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873BB" w14:textId="77777777" w:rsidR="001A5518" w:rsidRPr="005A3564" w:rsidRDefault="001A5518" w:rsidP="001A5518">
      <w:pPr>
        <w:rPr>
          <w:b/>
          <w:bCs/>
          <w:i/>
          <w:iCs/>
          <w:sz w:val="22"/>
          <w:szCs w:val="22"/>
          <w:u w:val="single"/>
          <w:lang w:val="sr-Latn-ME"/>
        </w:rPr>
      </w:pPr>
    </w:p>
    <w:p w14:paraId="233C9DA2" w14:textId="77777777" w:rsidR="00F91C7B" w:rsidRPr="005A3564" w:rsidRDefault="00F91C7B" w:rsidP="001A5518">
      <w:pPr>
        <w:rPr>
          <w:b/>
          <w:bCs/>
          <w:i/>
          <w:iCs/>
          <w:sz w:val="22"/>
          <w:szCs w:val="22"/>
          <w:u w:val="single"/>
          <w:lang w:val="sr-Latn-ME"/>
        </w:rPr>
      </w:pPr>
    </w:p>
    <w:p w14:paraId="67781B61" w14:textId="77777777" w:rsidR="002510A5" w:rsidRPr="005A3564" w:rsidRDefault="002510A5" w:rsidP="002510A5">
      <w:pPr>
        <w:jc w:val="center"/>
        <w:rPr>
          <w:b/>
          <w:bCs/>
          <w:iCs/>
          <w:sz w:val="22"/>
          <w:szCs w:val="22"/>
          <w:u w:val="single"/>
          <w:lang w:val="sr-Latn-ME"/>
        </w:rPr>
      </w:pPr>
      <w:r w:rsidRPr="005A3564">
        <w:rPr>
          <w:b/>
          <w:bCs/>
          <w:iCs/>
          <w:sz w:val="22"/>
          <w:szCs w:val="22"/>
          <w:u w:val="single"/>
          <w:lang w:val="sr-Latn-ME"/>
        </w:rPr>
        <w:t>SAŽETAK KARAKTERISTIKA LIJEKA</w:t>
      </w:r>
    </w:p>
    <w:p w14:paraId="05BF35AE" w14:textId="31D4C300" w:rsidR="00C37FD7" w:rsidRPr="005A3564" w:rsidRDefault="00C37FD7" w:rsidP="00F5167F">
      <w:pPr>
        <w:tabs>
          <w:tab w:val="left" w:pos="540"/>
          <w:tab w:val="left" w:pos="569"/>
        </w:tabs>
        <w:rPr>
          <w:bCs/>
          <w:sz w:val="22"/>
          <w:szCs w:val="22"/>
          <w:lang w:val="sr-Latn-ME"/>
        </w:rPr>
      </w:pPr>
    </w:p>
    <w:p w14:paraId="4A499F15" w14:textId="77777777" w:rsidR="0044151F" w:rsidRPr="005A3564" w:rsidRDefault="0044151F" w:rsidP="00F5167F">
      <w:pPr>
        <w:tabs>
          <w:tab w:val="left" w:pos="540"/>
          <w:tab w:val="left" w:pos="569"/>
        </w:tabs>
        <w:rPr>
          <w:bCs/>
          <w:sz w:val="22"/>
          <w:szCs w:val="22"/>
          <w:lang w:val="sr-Latn-ME"/>
        </w:rPr>
      </w:pPr>
    </w:p>
    <w:p w14:paraId="137AF4BC" w14:textId="77777777" w:rsidR="00411B4B" w:rsidRPr="005A3564" w:rsidRDefault="00411B4B" w:rsidP="00F5167F">
      <w:pPr>
        <w:tabs>
          <w:tab w:val="left" w:pos="540"/>
          <w:tab w:val="left" w:pos="569"/>
        </w:tabs>
        <w:rPr>
          <w:b/>
          <w:bCs/>
          <w:sz w:val="22"/>
          <w:szCs w:val="22"/>
          <w:lang w:val="sr-Latn-ME"/>
        </w:rPr>
      </w:pPr>
      <w:r w:rsidRPr="005A3564">
        <w:rPr>
          <w:b/>
          <w:bCs/>
          <w:sz w:val="22"/>
          <w:szCs w:val="22"/>
          <w:lang w:val="sr-Latn-ME"/>
        </w:rPr>
        <w:t>1.</w:t>
      </w:r>
      <w:r w:rsidR="00F5167F" w:rsidRPr="005A3564">
        <w:rPr>
          <w:b/>
          <w:bCs/>
          <w:sz w:val="22"/>
          <w:szCs w:val="22"/>
          <w:lang w:val="sr-Latn-ME"/>
        </w:rPr>
        <w:tab/>
      </w:r>
      <w:r w:rsidR="002846DB" w:rsidRPr="005A3564">
        <w:rPr>
          <w:b/>
          <w:bCs/>
          <w:sz w:val="22"/>
          <w:szCs w:val="22"/>
          <w:lang w:val="sr-Latn-ME"/>
        </w:rPr>
        <w:t xml:space="preserve">NAZIV </w:t>
      </w:r>
      <w:r w:rsidRPr="005A3564">
        <w:rPr>
          <w:b/>
          <w:bCs/>
          <w:sz w:val="22"/>
          <w:szCs w:val="22"/>
          <w:lang w:val="sr-Latn-ME"/>
        </w:rPr>
        <w:t>LIJEKA</w:t>
      </w:r>
    </w:p>
    <w:p w14:paraId="6F0B7D54" w14:textId="77777777" w:rsidR="00EC2532" w:rsidRPr="005A3564" w:rsidRDefault="00EC2532">
      <w:pPr>
        <w:rPr>
          <w:sz w:val="22"/>
          <w:szCs w:val="22"/>
          <w:lang w:val="sr-Latn-ME"/>
        </w:rPr>
      </w:pPr>
    </w:p>
    <w:p w14:paraId="26D3DFBA" w14:textId="0D695B21" w:rsidR="00A60833" w:rsidRPr="005A3564" w:rsidRDefault="00A60833" w:rsidP="00A60833">
      <w:pPr>
        <w:jc w:val="both"/>
        <w:rPr>
          <w:sz w:val="22"/>
          <w:szCs w:val="22"/>
          <w:lang w:val="sr-Latn-ME"/>
        </w:rPr>
      </w:pPr>
      <w:r w:rsidRPr="005A3564">
        <w:rPr>
          <w:sz w:val="22"/>
          <w:szCs w:val="22"/>
          <w:lang w:val="sr-Latn-ME"/>
        </w:rPr>
        <w:t>Controloc</w:t>
      </w:r>
      <w:r w:rsidR="0044151F" w:rsidRPr="005A3564">
        <w:rPr>
          <w:sz w:val="22"/>
          <w:szCs w:val="22"/>
          <w:lang w:val="sr-Latn-ME"/>
        </w:rPr>
        <w:t xml:space="preserve">, </w:t>
      </w:r>
      <w:r w:rsidRPr="005A3564">
        <w:rPr>
          <w:sz w:val="22"/>
          <w:szCs w:val="22"/>
          <w:lang w:val="sr-Latn-ME"/>
        </w:rPr>
        <w:t>20 mg, gastrorezistentna tableta</w:t>
      </w:r>
    </w:p>
    <w:p w14:paraId="46AD2ECE" w14:textId="77777777" w:rsidR="0044151F" w:rsidRPr="005A3564" w:rsidRDefault="0044151F" w:rsidP="00A60833">
      <w:pPr>
        <w:jc w:val="both"/>
        <w:rPr>
          <w:sz w:val="22"/>
          <w:szCs w:val="22"/>
          <w:lang w:val="sr-Latn-ME"/>
        </w:rPr>
      </w:pPr>
    </w:p>
    <w:p w14:paraId="293A9EBD" w14:textId="77777777" w:rsidR="00530BD7" w:rsidRPr="005A3564" w:rsidRDefault="00A60833" w:rsidP="00A60833">
      <w:pPr>
        <w:rPr>
          <w:sz w:val="22"/>
          <w:szCs w:val="22"/>
          <w:lang w:val="sr-Latn-ME"/>
        </w:rPr>
      </w:pPr>
      <w:r w:rsidRPr="005A3564">
        <w:rPr>
          <w:sz w:val="22"/>
          <w:szCs w:val="22"/>
          <w:lang w:val="sr-Latn-ME"/>
        </w:rPr>
        <w:t>INN: pantoprazol</w:t>
      </w:r>
    </w:p>
    <w:p w14:paraId="48E88D07" w14:textId="77C0B6BA" w:rsidR="00A60833" w:rsidRPr="005A3564" w:rsidRDefault="00A60833" w:rsidP="00A60833">
      <w:pPr>
        <w:rPr>
          <w:bCs/>
          <w:sz w:val="22"/>
          <w:szCs w:val="22"/>
          <w:lang w:val="sr-Latn-ME"/>
        </w:rPr>
      </w:pPr>
    </w:p>
    <w:p w14:paraId="372EED70" w14:textId="77777777" w:rsidR="0044151F" w:rsidRPr="005A3564" w:rsidRDefault="0044151F" w:rsidP="00A60833">
      <w:pPr>
        <w:rPr>
          <w:bCs/>
          <w:sz w:val="22"/>
          <w:szCs w:val="22"/>
          <w:lang w:val="sr-Latn-ME"/>
        </w:rPr>
      </w:pPr>
    </w:p>
    <w:p w14:paraId="1C77339D" w14:textId="77777777" w:rsidR="00411B4B" w:rsidRPr="005A3564" w:rsidRDefault="00411B4B" w:rsidP="00F5167F">
      <w:pPr>
        <w:tabs>
          <w:tab w:val="left" w:pos="540"/>
          <w:tab w:val="left" w:pos="569"/>
        </w:tabs>
        <w:rPr>
          <w:b/>
          <w:bCs/>
          <w:sz w:val="22"/>
          <w:szCs w:val="22"/>
          <w:lang w:val="sr-Latn-ME"/>
        </w:rPr>
      </w:pPr>
      <w:r w:rsidRPr="005A3564">
        <w:rPr>
          <w:b/>
          <w:bCs/>
          <w:sz w:val="22"/>
          <w:szCs w:val="22"/>
          <w:lang w:val="sr-Latn-ME"/>
        </w:rPr>
        <w:t xml:space="preserve">2. </w:t>
      </w:r>
      <w:r w:rsidR="00F5167F" w:rsidRPr="005A3564">
        <w:rPr>
          <w:b/>
          <w:bCs/>
          <w:sz w:val="22"/>
          <w:szCs w:val="22"/>
          <w:lang w:val="sr-Latn-ME"/>
        </w:rPr>
        <w:tab/>
      </w:r>
      <w:r w:rsidRPr="005A3564">
        <w:rPr>
          <w:b/>
          <w:bCs/>
          <w:sz w:val="22"/>
          <w:szCs w:val="22"/>
          <w:lang w:val="sr-Latn-ME"/>
        </w:rPr>
        <w:t>KVALITATIVNI I KVANTITATIVNI SASTAV</w:t>
      </w:r>
    </w:p>
    <w:p w14:paraId="2403E15C" w14:textId="77777777" w:rsidR="005A0B2E" w:rsidRPr="005A3564" w:rsidRDefault="005A0B2E">
      <w:pPr>
        <w:rPr>
          <w:sz w:val="22"/>
          <w:szCs w:val="22"/>
          <w:lang w:val="sr-Latn-ME"/>
        </w:rPr>
      </w:pPr>
    </w:p>
    <w:p w14:paraId="6547FF42" w14:textId="59AD0395" w:rsidR="00A60833" w:rsidRPr="005A3564" w:rsidRDefault="00A60833" w:rsidP="00A60833">
      <w:pPr>
        <w:jc w:val="both"/>
        <w:rPr>
          <w:sz w:val="22"/>
          <w:szCs w:val="22"/>
          <w:lang w:val="sr-Latn-ME"/>
        </w:rPr>
      </w:pPr>
      <w:r w:rsidRPr="005A3564">
        <w:rPr>
          <w:sz w:val="22"/>
          <w:szCs w:val="22"/>
          <w:lang w:val="sr-Latn-ME"/>
        </w:rPr>
        <w:t>Jedna gastrorezistentna tableta sadrži</w:t>
      </w:r>
      <w:r w:rsidR="00F54212" w:rsidRPr="005A3564">
        <w:rPr>
          <w:sz w:val="22"/>
          <w:szCs w:val="22"/>
          <w:lang w:val="sr-Latn-ME"/>
        </w:rPr>
        <w:t xml:space="preserve"> 2</w:t>
      </w:r>
      <w:r w:rsidRPr="005A3564">
        <w:rPr>
          <w:sz w:val="22"/>
          <w:szCs w:val="22"/>
          <w:lang w:val="sr-Latn-ME"/>
        </w:rPr>
        <w:t>0 mg pantoprazola (u obliku</w:t>
      </w:r>
      <w:r w:rsidR="00F54212" w:rsidRPr="005A3564">
        <w:rPr>
          <w:sz w:val="22"/>
          <w:szCs w:val="22"/>
          <w:lang w:val="sr-Latn-ME"/>
        </w:rPr>
        <w:t xml:space="preserve"> </w:t>
      </w:r>
      <w:r w:rsidRPr="005A3564">
        <w:rPr>
          <w:sz w:val="22"/>
          <w:szCs w:val="22"/>
          <w:lang w:val="sr-Latn-ME"/>
        </w:rPr>
        <w:t>pantoprazol natrijum seskvihidrata)</w:t>
      </w:r>
      <w:r w:rsidR="005A3564">
        <w:rPr>
          <w:sz w:val="22"/>
          <w:szCs w:val="22"/>
          <w:lang w:val="sr-Latn-ME"/>
        </w:rPr>
        <w:t>.</w:t>
      </w:r>
    </w:p>
    <w:p w14:paraId="16188156" w14:textId="77777777" w:rsidR="00A60833" w:rsidRPr="005A3564" w:rsidRDefault="00A60833">
      <w:pPr>
        <w:rPr>
          <w:sz w:val="22"/>
          <w:szCs w:val="22"/>
          <w:lang w:val="sr-Latn-ME"/>
        </w:rPr>
      </w:pPr>
    </w:p>
    <w:p w14:paraId="45268B78" w14:textId="42EBC61C" w:rsidR="0003793F" w:rsidRPr="005A3564" w:rsidRDefault="0003793F">
      <w:pPr>
        <w:rPr>
          <w:sz w:val="22"/>
          <w:szCs w:val="22"/>
          <w:lang w:val="sr-Latn-ME"/>
        </w:rPr>
      </w:pPr>
      <w:r w:rsidRPr="005A3564">
        <w:rPr>
          <w:sz w:val="22"/>
          <w:szCs w:val="22"/>
          <w:lang w:val="sr-Latn-ME"/>
        </w:rPr>
        <w:t>Za spisak svih ekscipijenasa, pogledati dio 6.1.</w:t>
      </w:r>
    </w:p>
    <w:p w14:paraId="6A1BFC1B" w14:textId="77777777" w:rsidR="00FE7365" w:rsidRPr="005A3564" w:rsidRDefault="00FE7365">
      <w:pPr>
        <w:rPr>
          <w:sz w:val="22"/>
          <w:szCs w:val="22"/>
          <w:lang w:val="sr-Latn-ME"/>
        </w:rPr>
      </w:pPr>
    </w:p>
    <w:p w14:paraId="72C16284" w14:textId="77777777" w:rsidR="00C37FD7" w:rsidRPr="005A3564" w:rsidRDefault="00C37FD7">
      <w:pPr>
        <w:rPr>
          <w:sz w:val="22"/>
          <w:szCs w:val="22"/>
          <w:lang w:val="sr-Latn-ME"/>
        </w:rPr>
      </w:pPr>
    </w:p>
    <w:p w14:paraId="7FED5FAE" w14:textId="77777777" w:rsidR="00411B4B" w:rsidRPr="005A3564" w:rsidRDefault="00411B4B" w:rsidP="00F5167F">
      <w:pPr>
        <w:tabs>
          <w:tab w:val="left" w:pos="540"/>
          <w:tab w:val="left" w:pos="569"/>
        </w:tabs>
        <w:rPr>
          <w:b/>
          <w:bCs/>
          <w:sz w:val="22"/>
          <w:szCs w:val="22"/>
          <w:lang w:val="sr-Latn-ME"/>
        </w:rPr>
      </w:pPr>
      <w:r w:rsidRPr="005A3564">
        <w:rPr>
          <w:b/>
          <w:bCs/>
          <w:sz w:val="22"/>
          <w:szCs w:val="22"/>
          <w:lang w:val="sr-Latn-ME"/>
        </w:rPr>
        <w:t xml:space="preserve">3. </w:t>
      </w:r>
      <w:r w:rsidR="00F5167F" w:rsidRPr="005A3564">
        <w:rPr>
          <w:b/>
          <w:bCs/>
          <w:sz w:val="22"/>
          <w:szCs w:val="22"/>
          <w:lang w:val="sr-Latn-ME"/>
        </w:rPr>
        <w:tab/>
      </w:r>
      <w:r w:rsidRPr="005A3564">
        <w:rPr>
          <w:b/>
          <w:bCs/>
          <w:sz w:val="22"/>
          <w:szCs w:val="22"/>
          <w:lang w:val="sr-Latn-ME"/>
        </w:rPr>
        <w:t>FARMACEUTSKI OBLIK</w:t>
      </w:r>
      <w:r w:rsidR="009F2D23" w:rsidRPr="005A3564">
        <w:rPr>
          <w:b/>
          <w:bCs/>
          <w:sz w:val="22"/>
          <w:szCs w:val="22"/>
          <w:lang w:val="sr-Latn-ME"/>
        </w:rPr>
        <w:t xml:space="preserve"> </w:t>
      </w:r>
    </w:p>
    <w:p w14:paraId="507C8E9F" w14:textId="77777777" w:rsidR="00411B4B" w:rsidRPr="005A3564" w:rsidRDefault="00411B4B">
      <w:pPr>
        <w:rPr>
          <w:bCs/>
          <w:sz w:val="22"/>
          <w:szCs w:val="22"/>
          <w:lang w:val="sr-Latn-ME"/>
        </w:rPr>
      </w:pPr>
    </w:p>
    <w:p w14:paraId="55783FB4" w14:textId="77777777" w:rsidR="00A60833" w:rsidRPr="005A3564" w:rsidRDefault="00A60833" w:rsidP="00A60833">
      <w:pPr>
        <w:jc w:val="both"/>
        <w:rPr>
          <w:sz w:val="22"/>
          <w:szCs w:val="22"/>
          <w:lang w:val="sr-Latn-ME"/>
        </w:rPr>
      </w:pPr>
      <w:r w:rsidRPr="005A3564">
        <w:rPr>
          <w:sz w:val="22"/>
          <w:szCs w:val="22"/>
          <w:lang w:val="sr-Latn-ME"/>
        </w:rPr>
        <w:t>Gastrorezistentna tableta.</w:t>
      </w:r>
    </w:p>
    <w:p w14:paraId="27B32371" w14:textId="77777777" w:rsidR="005A3564" w:rsidRDefault="005A3564" w:rsidP="00CD5304">
      <w:pPr>
        <w:jc w:val="both"/>
        <w:rPr>
          <w:sz w:val="22"/>
          <w:szCs w:val="22"/>
          <w:lang w:val="sr-Latn-ME"/>
        </w:rPr>
      </w:pPr>
    </w:p>
    <w:p w14:paraId="0130C359" w14:textId="38EE43FD" w:rsidR="00A60833" w:rsidRPr="005A3564" w:rsidRDefault="00A60833" w:rsidP="00CD5304">
      <w:pPr>
        <w:jc w:val="both"/>
        <w:rPr>
          <w:sz w:val="22"/>
          <w:szCs w:val="22"/>
          <w:lang w:val="sr-Latn-ME"/>
        </w:rPr>
      </w:pPr>
      <w:r w:rsidRPr="005A3564">
        <w:rPr>
          <w:sz w:val="22"/>
          <w:szCs w:val="22"/>
          <w:lang w:val="sr-Latn-ME"/>
        </w:rPr>
        <w:t>Ovalne bikonveksne film tablete, žute boje sa bijelim ili skoro bijelim jezgrom, koje na jednoj strani imaju utisnutu oznaku "P 20" braon boje.</w:t>
      </w:r>
    </w:p>
    <w:p w14:paraId="17903681" w14:textId="77777777" w:rsidR="00FE7365" w:rsidRPr="005A3564" w:rsidRDefault="00FE7365" w:rsidP="00CD5304">
      <w:pPr>
        <w:jc w:val="both"/>
        <w:rPr>
          <w:sz w:val="22"/>
          <w:szCs w:val="22"/>
          <w:lang w:val="sr-Latn-ME"/>
        </w:rPr>
      </w:pPr>
    </w:p>
    <w:p w14:paraId="46C2D079" w14:textId="77777777" w:rsidR="00EC2532" w:rsidRPr="005A3564" w:rsidRDefault="00EC2532">
      <w:pPr>
        <w:rPr>
          <w:bCs/>
          <w:sz w:val="22"/>
          <w:szCs w:val="22"/>
          <w:lang w:val="sr-Latn-ME"/>
        </w:rPr>
      </w:pPr>
    </w:p>
    <w:p w14:paraId="3AC49311" w14:textId="77777777" w:rsidR="00411B4B" w:rsidRPr="005A3564" w:rsidRDefault="00411B4B" w:rsidP="00F5167F">
      <w:pPr>
        <w:tabs>
          <w:tab w:val="left" w:pos="540"/>
          <w:tab w:val="left" w:pos="569"/>
        </w:tabs>
        <w:rPr>
          <w:b/>
          <w:bCs/>
          <w:sz w:val="22"/>
          <w:szCs w:val="22"/>
          <w:lang w:val="sr-Latn-ME"/>
        </w:rPr>
      </w:pPr>
      <w:r w:rsidRPr="005A3564">
        <w:rPr>
          <w:b/>
          <w:bCs/>
          <w:sz w:val="22"/>
          <w:szCs w:val="22"/>
          <w:lang w:val="sr-Latn-ME"/>
        </w:rPr>
        <w:t xml:space="preserve">4. </w:t>
      </w:r>
      <w:r w:rsidR="00480FB1" w:rsidRPr="005A3564">
        <w:rPr>
          <w:b/>
          <w:bCs/>
          <w:sz w:val="22"/>
          <w:szCs w:val="22"/>
          <w:lang w:val="sr-Latn-ME"/>
        </w:rPr>
        <w:tab/>
      </w:r>
      <w:r w:rsidRPr="005A3564">
        <w:rPr>
          <w:b/>
          <w:bCs/>
          <w:sz w:val="22"/>
          <w:szCs w:val="22"/>
          <w:lang w:val="sr-Latn-ME"/>
        </w:rPr>
        <w:t>KLINIČKI PODACI</w:t>
      </w:r>
    </w:p>
    <w:p w14:paraId="224AC1B4" w14:textId="77777777" w:rsidR="00CD6F02" w:rsidRPr="005A3564" w:rsidRDefault="00CD6F02" w:rsidP="00480FB1">
      <w:pPr>
        <w:tabs>
          <w:tab w:val="left" w:pos="540"/>
          <w:tab w:val="left" w:pos="569"/>
        </w:tabs>
        <w:rPr>
          <w:bCs/>
          <w:sz w:val="22"/>
          <w:szCs w:val="22"/>
          <w:lang w:val="sr-Latn-ME"/>
        </w:rPr>
      </w:pPr>
    </w:p>
    <w:p w14:paraId="28F5D7A8" w14:textId="77777777" w:rsidR="00411B4B" w:rsidRPr="005A3564" w:rsidRDefault="00411B4B" w:rsidP="00480FB1">
      <w:pPr>
        <w:tabs>
          <w:tab w:val="left" w:pos="540"/>
          <w:tab w:val="left" w:pos="569"/>
        </w:tabs>
        <w:rPr>
          <w:b/>
          <w:bCs/>
          <w:sz w:val="22"/>
          <w:szCs w:val="22"/>
          <w:lang w:val="sr-Latn-ME"/>
        </w:rPr>
      </w:pPr>
      <w:r w:rsidRPr="005A3564">
        <w:rPr>
          <w:b/>
          <w:bCs/>
          <w:sz w:val="22"/>
          <w:szCs w:val="22"/>
          <w:lang w:val="sr-Latn-ME"/>
        </w:rPr>
        <w:t xml:space="preserve">4.1. </w:t>
      </w:r>
      <w:r w:rsidR="00480FB1" w:rsidRPr="005A3564">
        <w:rPr>
          <w:b/>
          <w:bCs/>
          <w:sz w:val="22"/>
          <w:szCs w:val="22"/>
          <w:lang w:val="sr-Latn-ME"/>
        </w:rPr>
        <w:tab/>
      </w:r>
      <w:r w:rsidRPr="005A3564">
        <w:rPr>
          <w:b/>
          <w:bCs/>
          <w:sz w:val="22"/>
          <w:szCs w:val="22"/>
          <w:lang w:val="sr-Latn-ME"/>
        </w:rPr>
        <w:t>Terapijske indikacije</w:t>
      </w:r>
    </w:p>
    <w:p w14:paraId="7A5F0385" w14:textId="77777777" w:rsidR="00411B4B" w:rsidRPr="005A3564" w:rsidRDefault="00411B4B" w:rsidP="00480FB1">
      <w:pPr>
        <w:tabs>
          <w:tab w:val="left" w:pos="540"/>
          <w:tab w:val="left" w:pos="569"/>
        </w:tabs>
        <w:rPr>
          <w:bCs/>
          <w:sz w:val="22"/>
          <w:szCs w:val="22"/>
          <w:lang w:val="sr-Latn-ME"/>
        </w:rPr>
      </w:pPr>
    </w:p>
    <w:p w14:paraId="6AAC738A" w14:textId="4604EE23" w:rsidR="00635AC3" w:rsidRPr="005A3564" w:rsidRDefault="00635AC3" w:rsidP="00635AC3">
      <w:pPr>
        <w:rPr>
          <w:iCs/>
          <w:sz w:val="22"/>
          <w:szCs w:val="22"/>
          <w:lang w:val="sr-Latn-ME"/>
        </w:rPr>
      </w:pPr>
      <w:r w:rsidRPr="005A3564">
        <w:rPr>
          <w:iCs/>
          <w:sz w:val="22"/>
          <w:szCs w:val="22"/>
          <w:lang w:val="sr-Latn-ME"/>
        </w:rPr>
        <w:t>Controloc je indikovan za upotrebu kod odraslih i adolescenata uzrasta od 12 godina i starijih</w:t>
      </w:r>
      <w:r w:rsidR="005019CF" w:rsidRPr="005A3564">
        <w:rPr>
          <w:iCs/>
          <w:sz w:val="22"/>
          <w:szCs w:val="22"/>
          <w:lang w:val="sr-Latn-ME"/>
        </w:rPr>
        <w:t xml:space="preserve"> </w:t>
      </w:r>
      <w:r w:rsidR="00F24D4A" w:rsidRPr="005A3564">
        <w:rPr>
          <w:iCs/>
          <w:sz w:val="22"/>
          <w:szCs w:val="22"/>
          <w:lang w:val="sr-Latn-ME"/>
        </w:rPr>
        <w:t>za:</w:t>
      </w:r>
    </w:p>
    <w:p w14:paraId="33941AB5" w14:textId="4AB35BAA" w:rsidR="00A60833" w:rsidRPr="005A3564" w:rsidRDefault="00A60833" w:rsidP="0050376C">
      <w:pPr>
        <w:pStyle w:val="ListParagraph"/>
        <w:numPr>
          <w:ilvl w:val="0"/>
          <w:numId w:val="12"/>
        </w:numPr>
        <w:jc w:val="both"/>
        <w:rPr>
          <w:sz w:val="22"/>
          <w:szCs w:val="22"/>
          <w:lang w:val="sr-Latn-ME"/>
        </w:rPr>
      </w:pPr>
      <w:r w:rsidRPr="005A3564">
        <w:rPr>
          <w:sz w:val="22"/>
          <w:szCs w:val="22"/>
          <w:lang w:val="sr-Latn-ME"/>
        </w:rPr>
        <w:t>Simptomatsk</w:t>
      </w:r>
      <w:r w:rsidR="00F24D4A" w:rsidRPr="005A3564">
        <w:rPr>
          <w:sz w:val="22"/>
          <w:szCs w:val="22"/>
          <w:lang w:val="sr-Latn-ME"/>
        </w:rPr>
        <w:t>u</w:t>
      </w:r>
      <w:r w:rsidRPr="005A3564">
        <w:rPr>
          <w:sz w:val="22"/>
          <w:szCs w:val="22"/>
          <w:lang w:val="sr-Latn-ME"/>
        </w:rPr>
        <w:t xml:space="preserve"> gastroezofagealn</w:t>
      </w:r>
      <w:r w:rsidR="00F24D4A" w:rsidRPr="005A3564">
        <w:rPr>
          <w:sz w:val="22"/>
          <w:szCs w:val="22"/>
          <w:lang w:val="sr-Latn-ME"/>
        </w:rPr>
        <w:t>u</w:t>
      </w:r>
      <w:r w:rsidRPr="005A3564">
        <w:rPr>
          <w:sz w:val="22"/>
          <w:szCs w:val="22"/>
          <w:lang w:val="sr-Latn-ME"/>
        </w:rPr>
        <w:t xml:space="preserve"> refluksn</w:t>
      </w:r>
      <w:r w:rsidR="00F24D4A" w:rsidRPr="005A3564">
        <w:rPr>
          <w:sz w:val="22"/>
          <w:szCs w:val="22"/>
          <w:lang w:val="sr-Latn-ME"/>
        </w:rPr>
        <w:t>u</w:t>
      </w:r>
      <w:r w:rsidRPr="005A3564">
        <w:rPr>
          <w:sz w:val="22"/>
          <w:szCs w:val="22"/>
          <w:lang w:val="sr-Latn-ME"/>
        </w:rPr>
        <w:t xml:space="preserve"> bolest.</w:t>
      </w:r>
    </w:p>
    <w:p w14:paraId="53D16034" w14:textId="77777777" w:rsidR="00A60833" w:rsidRPr="005A3564" w:rsidRDefault="00A60833" w:rsidP="0050376C">
      <w:pPr>
        <w:pStyle w:val="ListParagraph"/>
        <w:numPr>
          <w:ilvl w:val="0"/>
          <w:numId w:val="12"/>
        </w:numPr>
        <w:jc w:val="both"/>
        <w:rPr>
          <w:sz w:val="22"/>
          <w:szCs w:val="22"/>
          <w:lang w:val="sr-Latn-ME"/>
        </w:rPr>
      </w:pPr>
      <w:r w:rsidRPr="005A3564">
        <w:rPr>
          <w:sz w:val="22"/>
          <w:szCs w:val="22"/>
          <w:lang w:val="sr-Latn-ME"/>
        </w:rPr>
        <w:t>Dugotrajno liječenje i prevencija recidiva refluksnog ezofagitisa.</w:t>
      </w:r>
    </w:p>
    <w:p w14:paraId="22648B8D" w14:textId="77777777" w:rsidR="00A60833" w:rsidRPr="005A3564" w:rsidRDefault="00A60833" w:rsidP="00A60833">
      <w:pPr>
        <w:ind w:left="720"/>
        <w:jc w:val="both"/>
        <w:rPr>
          <w:sz w:val="22"/>
          <w:szCs w:val="22"/>
          <w:lang w:val="sr-Latn-ME"/>
        </w:rPr>
      </w:pPr>
    </w:p>
    <w:p w14:paraId="057F40A2" w14:textId="6B05E987" w:rsidR="00635AC3" w:rsidRPr="005A3564" w:rsidRDefault="00635AC3" w:rsidP="00635AC3">
      <w:pPr>
        <w:rPr>
          <w:iCs/>
          <w:sz w:val="22"/>
          <w:szCs w:val="22"/>
          <w:lang w:val="sr-Latn-ME"/>
        </w:rPr>
      </w:pPr>
      <w:r w:rsidRPr="005A3564">
        <w:rPr>
          <w:iCs/>
          <w:sz w:val="22"/>
          <w:szCs w:val="22"/>
          <w:lang w:val="sr-Latn-ME"/>
        </w:rPr>
        <w:t>Controloc je indikovan za upotrebu kod odraslih</w:t>
      </w:r>
      <w:r w:rsidR="00F24D4A" w:rsidRPr="005A3564">
        <w:rPr>
          <w:iCs/>
          <w:sz w:val="22"/>
          <w:szCs w:val="22"/>
          <w:lang w:val="sr-Latn-ME"/>
        </w:rPr>
        <w:t xml:space="preserve"> za</w:t>
      </w:r>
    </w:p>
    <w:p w14:paraId="6E4B76BF" w14:textId="1C0D7428" w:rsidR="00A60833" w:rsidRPr="005A3564" w:rsidRDefault="00A60833" w:rsidP="0050376C">
      <w:pPr>
        <w:pStyle w:val="ListParagraph"/>
        <w:numPr>
          <w:ilvl w:val="0"/>
          <w:numId w:val="12"/>
        </w:numPr>
        <w:jc w:val="both"/>
        <w:rPr>
          <w:sz w:val="22"/>
          <w:szCs w:val="22"/>
          <w:lang w:val="sr-Latn-ME"/>
        </w:rPr>
      </w:pPr>
      <w:r w:rsidRPr="005A3564">
        <w:rPr>
          <w:sz w:val="22"/>
          <w:szCs w:val="22"/>
          <w:lang w:val="sr-Latn-ME"/>
        </w:rPr>
        <w:t>Prevencij</w:t>
      </w:r>
      <w:r w:rsidR="00F24D4A" w:rsidRPr="005A3564">
        <w:rPr>
          <w:sz w:val="22"/>
          <w:szCs w:val="22"/>
          <w:lang w:val="sr-Latn-ME"/>
        </w:rPr>
        <w:t>u</w:t>
      </w:r>
      <w:r w:rsidRPr="005A3564">
        <w:rPr>
          <w:sz w:val="22"/>
          <w:szCs w:val="22"/>
          <w:lang w:val="sr-Latn-ME"/>
        </w:rPr>
        <w:t xml:space="preserve"> gastroduodenalnog ulkusa izazvanog neselektivnim nesteroidnim antiinflamatornim ljekovima (NSAIL) kod rizičnih grupa pacijenata kojima je potrebno kontinuirano liječenje NSAIL (vidjeti</w:t>
      </w:r>
      <w:r w:rsidR="00635AC3" w:rsidRPr="005A3564">
        <w:rPr>
          <w:sz w:val="22"/>
          <w:szCs w:val="22"/>
          <w:lang w:val="sr-Latn-ME"/>
        </w:rPr>
        <w:t xml:space="preserve"> dio</w:t>
      </w:r>
      <w:r w:rsidR="00F24D4A" w:rsidRPr="005A3564">
        <w:rPr>
          <w:sz w:val="22"/>
          <w:szCs w:val="22"/>
          <w:lang w:val="sr-Latn-ME"/>
        </w:rPr>
        <w:t xml:space="preserve"> </w:t>
      </w:r>
      <w:r w:rsidRPr="005A3564">
        <w:rPr>
          <w:sz w:val="22"/>
          <w:szCs w:val="22"/>
          <w:lang w:val="sr-Latn-ME"/>
        </w:rPr>
        <w:t>4.4).</w:t>
      </w:r>
    </w:p>
    <w:p w14:paraId="60176DB4" w14:textId="77777777" w:rsidR="00A60833" w:rsidRPr="005A3564" w:rsidRDefault="00A60833" w:rsidP="00480FB1">
      <w:pPr>
        <w:tabs>
          <w:tab w:val="left" w:pos="540"/>
          <w:tab w:val="left" w:pos="569"/>
        </w:tabs>
        <w:rPr>
          <w:bCs/>
          <w:sz w:val="22"/>
          <w:szCs w:val="22"/>
          <w:lang w:val="sr-Latn-ME"/>
        </w:rPr>
      </w:pPr>
    </w:p>
    <w:p w14:paraId="7DD87704" w14:textId="77777777" w:rsidR="00411B4B" w:rsidRPr="005A3564" w:rsidRDefault="00411B4B" w:rsidP="00480FB1">
      <w:pPr>
        <w:tabs>
          <w:tab w:val="left" w:pos="540"/>
          <w:tab w:val="left" w:pos="569"/>
        </w:tabs>
        <w:rPr>
          <w:b/>
          <w:bCs/>
          <w:sz w:val="22"/>
          <w:szCs w:val="22"/>
          <w:lang w:val="sr-Latn-ME"/>
        </w:rPr>
      </w:pPr>
      <w:r w:rsidRPr="005A3564">
        <w:rPr>
          <w:b/>
          <w:bCs/>
          <w:sz w:val="22"/>
          <w:szCs w:val="22"/>
          <w:lang w:val="sr-Latn-ME"/>
        </w:rPr>
        <w:t xml:space="preserve">4.2. </w:t>
      </w:r>
      <w:r w:rsidR="00480FB1" w:rsidRPr="005A3564">
        <w:rPr>
          <w:b/>
          <w:bCs/>
          <w:sz w:val="22"/>
          <w:szCs w:val="22"/>
          <w:lang w:val="sr-Latn-ME"/>
        </w:rPr>
        <w:tab/>
      </w:r>
      <w:r w:rsidRPr="005A3564">
        <w:rPr>
          <w:b/>
          <w:bCs/>
          <w:sz w:val="22"/>
          <w:szCs w:val="22"/>
          <w:lang w:val="sr-Latn-ME"/>
        </w:rPr>
        <w:t>Doziranje i način primjene</w:t>
      </w:r>
    </w:p>
    <w:p w14:paraId="745AD27B" w14:textId="77777777" w:rsidR="0072020E" w:rsidRPr="005A3564" w:rsidRDefault="0072020E" w:rsidP="00480FB1">
      <w:pPr>
        <w:tabs>
          <w:tab w:val="left" w:pos="540"/>
          <w:tab w:val="left" w:pos="569"/>
        </w:tabs>
        <w:rPr>
          <w:bCs/>
          <w:sz w:val="22"/>
          <w:szCs w:val="22"/>
          <w:lang w:val="sr-Latn-ME"/>
        </w:rPr>
      </w:pPr>
    </w:p>
    <w:p w14:paraId="5B49A69A" w14:textId="77777777" w:rsidR="00452E9D" w:rsidRPr="005A3564" w:rsidRDefault="00452E9D" w:rsidP="00480FB1">
      <w:pPr>
        <w:tabs>
          <w:tab w:val="left" w:pos="540"/>
          <w:tab w:val="left" w:pos="569"/>
        </w:tabs>
        <w:rPr>
          <w:bCs/>
          <w:sz w:val="22"/>
          <w:szCs w:val="22"/>
          <w:u w:val="single"/>
          <w:lang w:val="sr-Latn-ME"/>
        </w:rPr>
      </w:pPr>
      <w:r w:rsidRPr="005A3564">
        <w:rPr>
          <w:bCs/>
          <w:sz w:val="22"/>
          <w:szCs w:val="22"/>
          <w:u w:val="single"/>
          <w:lang w:val="sr-Latn-ME"/>
        </w:rPr>
        <w:t>Doziranje</w:t>
      </w:r>
    </w:p>
    <w:p w14:paraId="33894DC5" w14:textId="77777777" w:rsidR="00452E9D" w:rsidRPr="005A3564" w:rsidRDefault="00452E9D" w:rsidP="00480FB1">
      <w:pPr>
        <w:tabs>
          <w:tab w:val="left" w:pos="540"/>
          <w:tab w:val="left" w:pos="569"/>
        </w:tabs>
        <w:rPr>
          <w:bCs/>
          <w:sz w:val="22"/>
          <w:szCs w:val="22"/>
          <w:u w:val="single"/>
          <w:lang w:val="sr-Latn-ME"/>
        </w:rPr>
      </w:pPr>
    </w:p>
    <w:p w14:paraId="357940A7" w14:textId="77777777" w:rsidR="00A60833" w:rsidRPr="005A3564" w:rsidRDefault="00A60833" w:rsidP="00A60833">
      <w:pPr>
        <w:jc w:val="both"/>
        <w:rPr>
          <w:i/>
          <w:sz w:val="22"/>
          <w:szCs w:val="22"/>
          <w:lang w:val="sr-Latn-ME"/>
        </w:rPr>
      </w:pPr>
      <w:r w:rsidRPr="005A3564">
        <w:rPr>
          <w:i/>
          <w:sz w:val="22"/>
          <w:szCs w:val="22"/>
          <w:lang w:val="sr-Latn-ME"/>
        </w:rPr>
        <w:t>Odrasli i adolescenti od 12 godina i stariji</w:t>
      </w:r>
    </w:p>
    <w:p w14:paraId="07B22874" w14:textId="77777777" w:rsidR="00A60833" w:rsidRPr="005A3564" w:rsidRDefault="00A60833" w:rsidP="00A60833">
      <w:pPr>
        <w:jc w:val="both"/>
        <w:rPr>
          <w:sz w:val="22"/>
          <w:szCs w:val="22"/>
          <w:lang w:val="sr-Latn-ME"/>
        </w:rPr>
      </w:pPr>
    </w:p>
    <w:p w14:paraId="58C69F30" w14:textId="4B2DE2BF" w:rsidR="00A60833" w:rsidRPr="005A3564" w:rsidRDefault="00A60833" w:rsidP="00A60833">
      <w:pPr>
        <w:jc w:val="both"/>
        <w:rPr>
          <w:sz w:val="22"/>
          <w:szCs w:val="22"/>
          <w:u w:val="single"/>
          <w:lang w:val="sr-Latn-ME"/>
        </w:rPr>
      </w:pPr>
      <w:r w:rsidRPr="005A3564">
        <w:rPr>
          <w:sz w:val="22"/>
          <w:szCs w:val="22"/>
          <w:u w:val="single"/>
          <w:lang w:val="sr-Latn-ME"/>
        </w:rPr>
        <w:t>Simptomatska gastroezofagealna refluksna bolest</w:t>
      </w:r>
    </w:p>
    <w:p w14:paraId="56D5E55A" w14:textId="77777777" w:rsidR="00A60833" w:rsidRPr="005A3564" w:rsidRDefault="00A60833" w:rsidP="00A60833">
      <w:pPr>
        <w:pStyle w:val="BodyText2"/>
        <w:rPr>
          <w:bCs w:val="0"/>
          <w:szCs w:val="22"/>
        </w:rPr>
      </w:pPr>
    </w:p>
    <w:p w14:paraId="007EE246" w14:textId="3A60866A" w:rsidR="00635AC3" w:rsidRPr="005A3564" w:rsidRDefault="00A60833" w:rsidP="00A60833">
      <w:pPr>
        <w:jc w:val="both"/>
        <w:rPr>
          <w:sz w:val="22"/>
          <w:szCs w:val="22"/>
          <w:lang w:val="sr-Latn-ME"/>
        </w:rPr>
      </w:pPr>
      <w:r w:rsidRPr="005A3564">
        <w:rPr>
          <w:sz w:val="22"/>
          <w:szCs w:val="22"/>
          <w:lang w:val="sr-Latn-ME"/>
        </w:rPr>
        <w:t xml:space="preserve">Preporučena oralna doza je jedna gastrorezistentna tableta lijeka Controloc 20 mg na dan.  Ublažavanje simptoma bolesti se postiže za 2 do 4 nedjelje. Ako ovo nije dovoljno, </w:t>
      </w:r>
      <w:r w:rsidR="00F24D4A" w:rsidRPr="005A3564">
        <w:rPr>
          <w:sz w:val="22"/>
          <w:szCs w:val="22"/>
          <w:lang w:val="sr-Latn-ME"/>
        </w:rPr>
        <w:t>ublažavanje simptoma</w:t>
      </w:r>
      <w:r w:rsidRPr="005A3564">
        <w:rPr>
          <w:sz w:val="22"/>
          <w:szCs w:val="22"/>
          <w:lang w:val="sr-Latn-ME"/>
        </w:rPr>
        <w:t xml:space="preserve"> se obično postiže u naredne 4 nedjelje. </w:t>
      </w:r>
    </w:p>
    <w:p w14:paraId="66CCA3A1" w14:textId="24115FDC" w:rsidR="00A60833" w:rsidRPr="005A3564" w:rsidRDefault="00A60833" w:rsidP="00A60833">
      <w:pPr>
        <w:jc w:val="both"/>
        <w:rPr>
          <w:bCs/>
          <w:sz w:val="22"/>
          <w:szCs w:val="22"/>
          <w:lang w:val="sr-Latn-ME"/>
        </w:rPr>
      </w:pPr>
      <w:r w:rsidRPr="005A3564">
        <w:rPr>
          <w:sz w:val="22"/>
          <w:szCs w:val="22"/>
          <w:lang w:val="sr-Latn-ME"/>
        </w:rPr>
        <w:t>Kada se postigne ublažavanje simptoma bolesti, pojava recidiva simptoma se može kontrolisati uzimanjem 20 mg dnevno</w:t>
      </w:r>
      <w:r w:rsidR="00F24D4A" w:rsidRPr="005A3564">
        <w:rPr>
          <w:sz w:val="22"/>
          <w:szCs w:val="22"/>
          <w:lang w:val="sr-Latn-ME"/>
        </w:rPr>
        <w:t>, po potrebi</w:t>
      </w:r>
      <w:r w:rsidRPr="005A3564">
        <w:rPr>
          <w:sz w:val="22"/>
          <w:szCs w:val="22"/>
          <w:lang w:val="sr-Latn-ME"/>
        </w:rPr>
        <w:t>. U slučaju da se uzimanjem po potrebi ne postiže zadovoljavajuća kontrola simptoma, treba razmotriti mogućnost prelaska na kontinuiranu terapiju.</w:t>
      </w:r>
    </w:p>
    <w:p w14:paraId="53AE53F1" w14:textId="008E6712" w:rsidR="00A60833" w:rsidRPr="005A3564" w:rsidRDefault="00A60833" w:rsidP="00A60833">
      <w:pPr>
        <w:pStyle w:val="BodyText2"/>
        <w:rPr>
          <w:bCs w:val="0"/>
          <w:szCs w:val="22"/>
        </w:rPr>
      </w:pPr>
    </w:p>
    <w:p w14:paraId="7214D61B" w14:textId="3EB6F023" w:rsidR="00956EDF" w:rsidRPr="005A3564" w:rsidRDefault="00956EDF" w:rsidP="00A60833">
      <w:pPr>
        <w:pStyle w:val="BodyText2"/>
        <w:rPr>
          <w:bCs w:val="0"/>
          <w:szCs w:val="22"/>
        </w:rPr>
      </w:pPr>
    </w:p>
    <w:p w14:paraId="0B27487C" w14:textId="77777777" w:rsidR="00956EDF" w:rsidRPr="005A3564" w:rsidRDefault="00956EDF" w:rsidP="00A60833">
      <w:pPr>
        <w:pStyle w:val="BodyText2"/>
        <w:rPr>
          <w:bCs w:val="0"/>
          <w:szCs w:val="22"/>
        </w:rPr>
      </w:pPr>
    </w:p>
    <w:p w14:paraId="61D73970" w14:textId="77777777" w:rsidR="00A60833" w:rsidRPr="005A3564" w:rsidRDefault="00A60833" w:rsidP="005A3564">
      <w:pPr>
        <w:jc w:val="both"/>
        <w:rPr>
          <w:sz w:val="22"/>
          <w:szCs w:val="22"/>
          <w:u w:val="single"/>
          <w:lang w:val="sr-Latn-ME"/>
        </w:rPr>
      </w:pPr>
      <w:r w:rsidRPr="005A3564">
        <w:rPr>
          <w:sz w:val="22"/>
          <w:szCs w:val="22"/>
          <w:u w:val="single"/>
          <w:lang w:val="sr-Latn-ME"/>
        </w:rPr>
        <w:lastRenderedPageBreak/>
        <w:t>Dugotrajno liječenje i prevencija recidiva refluksnog ezofagitisa</w:t>
      </w:r>
    </w:p>
    <w:p w14:paraId="18C36551" w14:textId="77777777" w:rsidR="00A60833" w:rsidRPr="005A3564" w:rsidRDefault="00A60833" w:rsidP="005A3564">
      <w:pPr>
        <w:jc w:val="both"/>
        <w:rPr>
          <w:bCs/>
          <w:sz w:val="22"/>
          <w:szCs w:val="22"/>
          <w:u w:val="single"/>
          <w:lang w:val="sr-Latn-ME"/>
        </w:rPr>
      </w:pPr>
    </w:p>
    <w:p w14:paraId="1B128FEC" w14:textId="535CF5EB" w:rsidR="00A60833" w:rsidRPr="005A3564" w:rsidRDefault="00A60833" w:rsidP="005A3564">
      <w:pPr>
        <w:jc w:val="both"/>
        <w:rPr>
          <w:bCs/>
          <w:sz w:val="22"/>
          <w:szCs w:val="22"/>
          <w:lang w:val="sr-Latn-ME"/>
        </w:rPr>
      </w:pPr>
      <w:r w:rsidRPr="005A3564">
        <w:rPr>
          <w:bCs/>
          <w:sz w:val="22"/>
          <w:szCs w:val="22"/>
          <w:lang w:val="sr-Latn-ME"/>
        </w:rPr>
        <w:t xml:space="preserve">Za dugotrajno liječenje se preporučuje jedna </w:t>
      </w:r>
      <w:r w:rsidRPr="005A3564">
        <w:rPr>
          <w:sz w:val="22"/>
          <w:szCs w:val="22"/>
          <w:lang w:val="sr-Latn-ME"/>
        </w:rPr>
        <w:t>gastrorezistentna tableta Controloc, 20 mg dnevno. U slučaju pojave recidiva povećati dozu na 40 mg dnevno. U tom slučaju moguće je koristiti gastrorezistentnu tabletu Controloc,</w:t>
      </w:r>
      <w:r w:rsidR="00635AC3" w:rsidRPr="005A3564">
        <w:rPr>
          <w:sz w:val="22"/>
          <w:szCs w:val="22"/>
          <w:lang w:val="sr-Latn-ME"/>
        </w:rPr>
        <w:t xml:space="preserve"> </w:t>
      </w:r>
      <w:r w:rsidRPr="005A3564">
        <w:rPr>
          <w:sz w:val="22"/>
          <w:szCs w:val="22"/>
          <w:lang w:val="sr-Latn-ME"/>
        </w:rPr>
        <w:t>40 mg. Po povlačenju recidiva dozu treba ponovo smanjiti na 20 mg pantoprazola.</w:t>
      </w:r>
    </w:p>
    <w:p w14:paraId="32280CC1" w14:textId="77777777" w:rsidR="00A60833" w:rsidRPr="005A3564" w:rsidRDefault="00A60833" w:rsidP="005A3564">
      <w:pPr>
        <w:jc w:val="both"/>
        <w:rPr>
          <w:bCs/>
          <w:sz w:val="22"/>
          <w:szCs w:val="22"/>
          <w:lang w:val="sr-Latn-ME"/>
        </w:rPr>
      </w:pPr>
    </w:p>
    <w:p w14:paraId="457E0E8C" w14:textId="77777777" w:rsidR="00A60833" w:rsidRPr="005A3564" w:rsidRDefault="00A60833" w:rsidP="005A3564">
      <w:pPr>
        <w:jc w:val="both"/>
        <w:rPr>
          <w:bCs/>
          <w:i/>
          <w:sz w:val="22"/>
          <w:szCs w:val="22"/>
          <w:lang w:val="sr-Latn-ME"/>
        </w:rPr>
      </w:pPr>
      <w:r w:rsidRPr="005A3564">
        <w:rPr>
          <w:i/>
          <w:sz w:val="22"/>
          <w:szCs w:val="22"/>
          <w:lang w:val="sr-Latn-ME"/>
        </w:rPr>
        <w:t>Odrasli:</w:t>
      </w:r>
    </w:p>
    <w:p w14:paraId="1000E0D0" w14:textId="77777777" w:rsidR="00A60833" w:rsidRPr="005A3564" w:rsidRDefault="00A60833" w:rsidP="005A3564">
      <w:pPr>
        <w:jc w:val="both"/>
        <w:rPr>
          <w:sz w:val="22"/>
          <w:szCs w:val="22"/>
          <w:u w:val="single"/>
          <w:lang w:val="sr-Latn-ME"/>
        </w:rPr>
      </w:pPr>
    </w:p>
    <w:p w14:paraId="0CBD37C6" w14:textId="49973C1C" w:rsidR="00A60833" w:rsidRPr="005A3564" w:rsidRDefault="00A60833" w:rsidP="005A3564">
      <w:pPr>
        <w:jc w:val="both"/>
        <w:rPr>
          <w:bCs/>
          <w:sz w:val="22"/>
          <w:szCs w:val="22"/>
          <w:u w:val="single"/>
          <w:lang w:val="sr-Latn-ME"/>
        </w:rPr>
      </w:pPr>
      <w:r w:rsidRPr="005A3564">
        <w:rPr>
          <w:sz w:val="22"/>
          <w:szCs w:val="22"/>
          <w:u w:val="single"/>
          <w:lang w:val="sr-Latn-ME"/>
        </w:rPr>
        <w:t>Prevencija gastroduodenalnog ulkusa izazvanog neselektivnim nesteroidnim antiinflamatornim ljekovima (NSAIL) kod rizičnih grupa pacijenata kojima je potrebno kontinuirano liječenje NSAIL</w:t>
      </w:r>
    </w:p>
    <w:p w14:paraId="521160D9" w14:textId="77777777" w:rsidR="00A60833" w:rsidRPr="005A3564" w:rsidRDefault="00A60833" w:rsidP="005A3564">
      <w:pPr>
        <w:jc w:val="both"/>
        <w:rPr>
          <w:bCs/>
          <w:sz w:val="22"/>
          <w:szCs w:val="22"/>
          <w:lang w:val="sr-Latn-ME"/>
        </w:rPr>
      </w:pPr>
    </w:p>
    <w:p w14:paraId="7FBD4E54" w14:textId="77777777" w:rsidR="00A60833" w:rsidRPr="005A3564" w:rsidRDefault="00A60833" w:rsidP="005A3564">
      <w:pPr>
        <w:pStyle w:val="BodyText2"/>
        <w:rPr>
          <w:szCs w:val="22"/>
        </w:rPr>
      </w:pPr>
      <w:r w:rsidRPr="005A3564">
        <w:rPr>
          <w:szCs w:val="22"/>
        </w:rPr>
        <w:t>Preporučena oralna doza je 1 gastrorezistentna tableta Controloc, 20 mg dnevno.</w:t>
      </w:r>
    </w:p>
    <w:p w14:paraId="1C72E321" w14:textId="77777777" w:rsidR="00A60833" w:rsidRPr="005A3564" w:rsidRDefault="00A60833" w:rsidP="005A3564">
      <w:pPr>
        <w:jc w:val="both"/>
        <w:rPr>
          <w:bCs/>
          <w:sz w:val="22"/>
          <w:szCs w:val="22"/>
          <w:lang w:val="sr-Latn-ME"/>
        </w:rPr>
      </w:pPr>
    </w:p>
    <w:p w14:paraId="6B8B226C" w14:textId="77777777" w:rsidR="00635AC3" w:rsidRPr="005A3564" w:rsidRDefault="00635AC3" w:rsidP="005A3564">
      <w:pPr>
        <w:pStyle w:val="BodyText2"/>
        <w:rPr>
          <w:szCs w:val="22"/>
          <w:u w:val="single"/>
        </w:rPr>
      </w:pPr>
      <w:r w:rsidRPr="005A3564">
        <w:rPr>
          <w:szCs w:val="22"/>
          <w:u w:val="single"/>
        </w:rPr>
        <w:t>Posebne grupe pacijenata</w:t>
      </w:r>
    </w:p>
    <w:p w14:paraId="7E803124" w14:textId="77777777" w:rsidR="00A60833" w:rsidRPr="005A3564" w:rsidRDefault="00A60833" w:rsidP="005A3564">
      <w:pPr>
        <w:jc w:val="both"/>
        <w:rPr>
          <w:b/>
          <w:i/>
          <w:sz w:val="22"/>
          <w:szCs w:val="22"/>
          <w:lang w:val="sr-Latn-ME"/>
        </w:rPr>
      </w:pPr>
    </w:p>
    <w:p w14:paraId="16EA2F36" w14:textId="40682E33" w:rsidR="00A60833" w:rsidRPr="005A3564" w:rsidRDefault="00635AC3" w:rsidP="005A3564">
      <w:pPr>
        <w:jc w:val="both"/>
        <w:rPr>
          <w:i/>
          <w:sz w:val="22"/>
          <w:szCs w:val="22"/>
          <w:lang w:val="sr-Latn-ME"/>
        </w:rPr>
      </w:pPr>
      <w:r w:rsidRPr="005A3564">
        <w:rPr>
          <w:i/>
          <w:sz w:val="22"/>
          <w:szCs w:val="22"/>
          <w:lang w:val="sr-Latn-ME"/>
        </w:rPr>
        <w:t xml:space="preserve">Pacijenti sa oštećenjem </w:t>
      </w:r>
      <w:r w:rsidR="00A60833" w:rsidRPr="005A3564">
        <w:rPr>
          <w:i/>
          <w:sz w:val="22"/>
          <w:szCs w:val="22"/>
          <w:lang w:val="sr-Latn-ME"/>
        </w:rPr>
        <w:t>funkcije jetre</w:t>
      </w:r>
    </w:p>
    <w:p w14:paraId="3121EB48" w14:textId="77C13A0F" w:rsidR="00A60833" w:rsidRPr="005A3564" w:rsidRDefault="00A60833" w:rsidP="005A3564">
      <w:pPr>
        <w:jc w:val="both"/>
        <w:rPr>
          <w:bCs/>
          <w:sz w:val="22"/>
          <w:szCs w:val="22"/>
          <w:lang w:val="sr-Latn-ME"/>
        </w:rPr>
      </w:pPr>
      <w:r w:rsidRPr="005A3564">
        <w:rPr>
          <w:bCs/>
          <w:sz w:val="22"/>
          <w:szCs w:val="22"/>
          <w:lang w:val="sr-Latn-ME"/>
        </w:rPr>
        <w:t xml:space="preserve">Kod pacijenata sa teškim oštećenjem jetre ne treba dati dnevnu dozu veću od 20 mg pantoprazola (vidjeti </w:t>
      </w:r>
      <w:r w:rsidR="00635AC3" w:rsidRPr="005A3564">
        <w:rPr>
          <w:bCs/>
          <w:sz w:val="22"/>
          <w:szCs w:val="22"/>
          <w:lang w:val="sr-Latn-ME"/>
        </w:rPr>
        <w:t xml:space="preserve">dio </w:t>
      </w:r>
      <w:r w:rsidRPr="005A3564">
        <w:rPr>
          <w:bCs/>
          <w:sz w:val="22"/>
          <w:szCs w:val="22"/>
          <w:lang w:val="sr-Latn-ME"/>
        </w:rPr>
        <w:t>4.4).</w:t>
      </w:r>
    </w:p>
    <w:p w14:paraId="7D4BF9A0" w14:textId="77777777" w:rsidR="00A60833" w:rsidRPr="005A3564" w:rsidRDefault="00A60833" w:rsidP="005A3564">
      <w:pPr>
        <w:jc w:val="both"/>
        <w:rPr>
          <w:bCs/>
          <w:sz w:val="22"/>
          <w:szCs w:val="22"/>
          <w:lang w:val="sr-Latn-ME"/>
        </w:rPr>
      </w:pPr>
    </w:p>
    <w:p w14:paraId="66B47279" w14:textId="4ADD41FE" w:rsidR="00A60833" w:rsidRPr="005A3564" w:rsidRDefault="00635AC3" w:rsidP="005A3564">
      <w:pPr>
        <w:jc w:val="both"/>
        <w:rPr>
          <w:bCs/>
          <w:i/>
          <w:sz w:val="22"/>
          <w:szCs w:val="22"/>
          <w:lang w:val="sr-Latn-ME"/>
        </w:rPr>
      </w:pPr>
      <w:r w:rsidRPr="005A3564">
        <w:rPr>
          <w:i/>
          <w:sz w:val="22"/>
          <w:szCs w:val="22"/>
          <w:lang w:val="sr-Latn-ME"/>
        </w:rPr>
        <w:t>Pacijenti sa oštećenjem</w:t>
      </w:r>
      <w:r w:rsidR="00A60833" w:rsidRPr="005A3564">
        <w:rPr>
          <w:bCs/>
          <w:i/>
          <w:sz w:val="22"/>
          <w:szCs w:val="22"/>
          <w:lang w:val="sr-Latn-ME"/>
        </w:rPr>
        <w:t xml:space="preserve"> funkcije bubrega</w:t>
      </w:r>
    </w:p>
    <w:p w14:paraId="339875D5" w14:textId="25398085" w:rsidR="00A60833" w:rsidRPr="005A3564" w:rsidRDefault="00A60833" w:rsidP="005A3564">
      <w:pPr>
        <w:jc w:val="both"/>
        <w:rPr>
          <w:bCs/>
          <w:sz w:val="22"/>
          <w:szCs w:val="22"/>
          <w:lang w:val="sr-Latn-ME"/>
        </w:rPr>
      </w:pPr>
      <w:r w:rsidRPr="005A3564">
        <w:rPr>
          <w:bCs/>
          <w:sz w:val="22"/>
          <w:szCs w:val="22"/>
          <w:lang w:val="sr-Latn-ME"/>
        </w:rPr>
        <w:t xml:space="preserve">Kod pacijenata sa oštećenom funkcijom bubrega nije potrebno prilagoditi dozu (vidjeti </w:t>
      </w:r>
      <w:r w:rsidR="009844CB" w:rsidRPr="005A3564">
        <w:rPr>
          <w:bCs/>
          <w:sz w:val="22"/>
          <w:szCs w:val="22"/>
          <w:lang w:val="sr-Latn-ME"/>
        </w:rPr>
        <w:t>dio</w:t>
      </w:r>
      <w:r w:rsidRPr="005A3564">
        <w:rPr>
          <w:bCs/>
          <w:sz w:val="22"/>
          <w:szCs w:val="22"/>
          <w:lang w:val="sr-Latn-ME"/>
        </w:rPr>
        <w:t xml:space="preserve"> 5.2).</w:t>
      </w:r>
    </w:p>
    <w:p w14:paraId="7AED391A" w14:textId="77777777" w:rsidR="00A60833" w:rsidRPr="005A3564" w:rsidRDefault="00A60833" w:rsidP="005A3564">
      <w:pPr>
        <w:jc w:val="both"/>
        <w:rPr>
          <w:bCs/>
          <w:sz w:val="22"/>
          <w:szCs w:val="22"/>
          <w:lang w:val="sr-Latn-ME"/>
        </w:rPr>
      </w:pPr>
    </w:p>
    <w:p w14:paraId="79B49AA5" w14:textId="77777777" w:rsidR="00A60833" w:rsidRPr="005A3564" w:rsidRDefault="00A60833" w:rsidP="005A3564">
      <w:pPr>
        <w:jc w:val="both"/>
        <w:rPr>
          <w:bCs/>
          <w:i/>
          <w:sz w:val="22"/>
          <w:szCs w:val="22"/>
          <w:lang w:val="sr-Latn-ME"/>
        </w:rPr>
      </w:pPr>
      <w:r w:rsidRPr="005A3564">
        <w:rPr>
          <w:bCs/>
          <w:i/>
          <w:sz w:val="22"/>
          <w:szCs w:val="22"/>
          <w:lang w:val="sr-Latn-ME"/>
        </w:rPr>
        <w:t>Stariji pacijenti</w:t>
      </w:r>
    </w:p>
    <w:p w14:paraId="209DA40E" w14:textId="2A044097" w:rsidR="00A60833" w:rsidRPr="005A3564" w:rsidRDefault="00A60833" w:rsidP="005A3564">
      <w:pPr>
        <w:jc w:val="both"/>
        <w:rPr>
          <w:bCs/>
          <w:sz w:val="22"/>
          <w:szCs w:val="22"/>
          <w:lang w:val="sr-Latn-ME"/>
        </w:rPr>
      </w:pPr>
      <w:r w:rsidRPr="005A3564">
        <w:rPr>
          <w:bCs/>
          <w:sz w:val="22"/>
          <w:szCs w:val="22"/>
          <w:lang w:val="sr-Latn-ME"/>
        </w:rPr>
        <w:t xml:space="preserve">Kod starijih pacijenata nije potrebno prilagoditi dozu (vidjeti </w:t>
      </w:r>
      <w:r w:rsidR="009844CB" w:rsidRPr="005A3564">
        <w:rPr>
          <w:bCs/>
          <w:sz w:val="22"/>
          <w:szCs w:val="22"/>
          <w:lang w:val="sr-Latn-ME"/>
        </w:rPr>
        <w:t>dio</w:t>
      </w:r>
      <w:r w:rsidRPr="005A3564">
        <w:rPr>
          <w:bCs/>
          <w:sz w:val="22"/>
          <w:szCs w:val="22"/>
          <w:lang w:val="sr-Latn-ME"/>
        </w:rPr>
        <w:t xml:space="preserve"> 5.2).</w:t>
      </w:r>
    </w:p>
    <w:p w14:paraId="5AAB6727" w14:textId="77777777" w:rsidR="00A60833" w:rsidRPr="005A3564" w:rsidRDefault="00A60833" w:rsidP="005A3564">
      <w:pPr>
        <w:tabs>
          <w:tab w:val="left" w:pos="540"/>
          <w:tab w:val="left" w:pos="569"/>
        </w:tabs>
        <w:jc w:val="both"/>
        <w:rPr>
          <w:bCs/>
          <w:sz w:val="22"/>
          <w:szCs w:val="22"/>
          <w:lang w:val="sr-Latn-ME"/>
        </w:rPr>
      </w:pPr>
    </w:p>
    <w:p w14:paraId="7CA13A9A" w14:textId="77777777" w:rsidR="00A60833" w:rsidRPr="005A3564" w:rsidRDefault="00A60833" w:rsidP="005A3564">
      <w:pPr>
        <w:jc w:val="both"/>
        <w:rPr>
          <w:i/>
          <w:sz w:val="22"/>
          <w:szCs w:val="22"/>
          <w:lang w:val="sr-Latn-ME"/>
        </w:rPr>
      </w:pPr>
      <w:r w:rsidRPr="005A3564">
        <w:rPr>
          <w:i/>
          <w:sz w:val="22"/>
          <w:szCs w:val="22"/>
          <w:lang w:val="sr-Latn-ME"/>
        </w:rPr>
        <w:t>Djeca mlađa od 12 godina starosti</w:t>
      </w:r>
    </w:p>
    <w:p w14:paraId="50521450" w14:textId="77777777" w:rsidR="00A60833" w:rsidRPr="005A3564" w:rsidRDefault="00A60833" w:rsidP="005A3564">
      <w:pPr>
        <w:jc w:val="both"/>
        <w:rPr>
          <w:bCs/>
          <w:noProof/>
          <w:sz w:val="22"/>
          <w:szCs w:val="22"/>
          <w:lang w:val="sr-Latn-ME"/>
        </w:rPr>
      </w:pPr>
    </w:p>
    <w:p w14:paraId="77E23054" w14:textId="439ED3C0" w:rsidR="00A60833" w:rsidRPr="005A3564" w:rsidRDefault="00A60833" w:rsidP="005A3564">
      <w:pPr>
        <w:jc w:val="both"/>
        <w:rPr>
          <w:sz w:val="22"/>
          <w:szCs w:val="22"/>
          <w:lang w:val="sr-Latn-ME"/>
        </w:rPr>
      </w:pPr>
      <w:r w:rsidRPr="005A3564">
        <w:rPr>
          <w:bCs/>
          <w:noProof/>
          <w:sz w:val="22"/>
          <w:szCs w:val="22"/>
          <w:lang w:val="sr-Latn-ME"/>
        </w:rPr>
        <w:t xml:space="preserve">Zbog nedovoljno podataka o efikasnosti i bezbjednosti lijeka, ne preporučuje se primjena lijeka </w:t>
      </w:r>
      <w:r w:rsidRPr="005A3564">
        <w:rPr>
          <w:sz w:val="22"/>
          <w:szCs w:val="22"/>
          <w:lang w:val="sr-Latn-ME"/>
        </w:rPr>
        <w:t>Controloc kod d</w:t>
      </w:r>
      <w:r w:rsidR="00F24D4A" w:rsidRPr="005A3564">
        <w:rPr>
          <w:sz w:val="22"/>
          <w:szCs w:val="22"/>
          <w:lang w:val="sr-Latn-ME"/>
        </w:rPr>
        <w:t>j</w:t>
      </w:r>
      <w:r w:rsidRPr="005A3564">
        <w:rPr>
          <w:sz w:val="22"/>
          <w:szCs w:val="22"/>
          <w:lang w:val="sr-Latn-ME"/>
        </w:rPr>
        <w:t xml:space="preserve">ece </w:t>
      </w:r>
      <w:r w:rsidRPr="005A3564">
        <w:rPr>
          <w:bCs/>
          <w:noProof/>
          <w:sz w:val="22"/>
          <w:szCs w:val="22"/>
          <w:lang w:val="sr-Latn-ME"/>
        </w:rPr>
        <w:t>mlađe od</w:t>
      </w:r>
      <w:r w:rsidRPr="005A3564">
        <w:rPr>
          <w:sz w:val="22"/>
          <w:szCs w:val="22"/>
          <w:lang w:val="sr-Latn-ME"/>
        </w:rPr>
        <w:t xml:space="preserve"> 12 godina</w:t>
      </w:r>
      <w:r w:rsidRPr="005A3564">
        <w:rPr>
          <w:bCs/>
          <w:noProof/>
          <w:sz w:val="22"/>
          <w:szCs w:val="22"/>
          <w:lang w:val="sr-Latn-ME"/>
        </w:rPr>
        <w:t xml:space="preserve"> (vidjeti </w:t>
      </w:r>
      <w:r w:rsidR="009844CB" w:rsidRPr="005A3564">
        <w:rPr>
          <w:bCs/>
          <w:noProof/>
          <w:sz w:val="22"/>
          <w:szCs w:val="22"/>
          <w:lang w:val="sr-Latn-ME"/>
        </w:rPr>
        <w:t>dio</w:t>
      </w:r>
      <w:r w:rsidRPr="005A3564">
        <w:rPr>
          <w:bCs/>
          <w:noProof/>
          <w:sz w:val="22"/>
          <w:szCs w:val="22"/>
          <w:lang w:val="sr-Latn-ME"/>
        </w:rPr>
        <w:t xml:space="preserve"> 5.2).</w:t>
      </w:r>
    </w:p>
    <w:p w14:paraId="3B64FC9A" w14:textId="77777777" w:rsidR="00A60833" w:rsidRPr="005A3564" w:rsidRDefault="00A60833" w:rsidP="005A3564">
      <w:pPr>
        <w:tabs>
          <w:tab w:val="left" w:pos="540"/>
          <w:tab w:val="left" w:pos="569"/>
        </w:tabs>
        <w:jc w:val="both"/>
        <w:rPr>
          <w:bCs/>
          <w:sz w:val="22"/>
          <w:szCs w:val="22"/>
          <w:u w:val="single"/>
          <w:lang w:val="sr-Latn-ME"/>
        </w:rPr>
      </w:pPr>
    </w:p>
    <w:p w14:paraId="2C3B83FA" w14:textId="77777777" w:rsidR="00452E9D" w:rsidRPr="005A3564" w:rsidRDefault="00452E9D" w:rsidP="005A3564">
      <w:pPr>
        <w:tabs>
          <w:tab w:val="left" w:pos="540"/>
          <w:tab w:val="left" w:pos="569"/>
        </w:tabs>
        <w:jc w:val="both"/>
        <w:rPr>
          <w:bCs/>
          <w:sz w:val="22"/>
          <w:szCs w:val="22"/>
          <w:u w:val="single"/>
          <w:lang w:val="sr-Latn-ME"/>
        </w:rPr>
      </w:pPr>
      <w:r w:rsidRPr="005A3564">
        <w:rPr>
          <w:bCs/>
          <w:sz w:val="22"/>
          <w:szCs w:val="22"/>
          <w:u w:val="single"/>
          <w:lang w:val="sr-Latn-ME"/>
        </w:rPr>
        <w:t>Način primjene</w:t>
      </w:r>
    </w:p>
    <w:p w14:paraId="0242D41B" w14:textId="77777777" w:rsidR="00452E9D" w:rsidRPr="005A3564" w:rsidRDefault="00452E9D" w:rsidP="005A3564">
      <w:pPr>
        <w:tabs>
          <w:tab w:val="left" w:pos="540"/>
          <w:tab w:val="left" w:pos="569"/>
        </w:tabs>
        <w:jc w:val="both"/>
        <w:rPr>
          <w:bCs/>
          <w:sz w:val="22"/>
          <w:szCs w:val="22"/>
          <w:lang w:val="sr-Latn-ME"/>
        </w:rPr>
      </w:pPr>
    </w:p>
    <w:p w14:paraId="58CFD1D2" w14:textId="77777777" w:rsidR="00A60833" w:rsidRPr="005A3564" w:rsidRDefault="00A60833" w:rsidP="005A3564">
      <w:pPr>
        <w:jc w:val="both"/>
        <w:rPr>
          <w:sz w:val="22"/>
          <w:szCs w:val="22"/>
          <w:lang w:val="sr-Latn-ME"/>
        </w:rPr>
      </w:pPr>
      <w:r w:rsidRPr="005A3564">
        <w:rPr>
          <w:sz w:val="22"/>
          <w:szCs w:val="22"/>
          <w:lang w:val="sr-Latn-ME"/>
        </w:rPr>
        <w:t>Oralna primjena.</w:t>
      </w:r>
    </w:p>
    <w:p w14:paraId="37B1401B" w14:textId="49E9D90F" w:rsidR="00A60833" w:rsidRPr="005A3564" w:rsidRDefault="00A60833" w:rsidP="005A3564">
      <w:pPr>
        <w:jc w:val="both"/>
        <w:rPr>
          <w:sz w:val="22"/>
          <w:szCs w:val="22"/>
          <w:lang w:val="sr-Latn-ME"/>
        </w:rPr>
      </w:pPr>
      <w:r w:rsidRPr="005A3564">
        <w:rPr>
          <w:sz w:val="22"/>
          <w:szCs w:val="22"/>
          <w:lang w:val="sr-Latn-ME"/>
        </w:rPr>
        <w:t xml:space="preserve">Tablete </w:t>
      </w:r>
      <w:r w:rsidR="002F6D2C" w:rsidRPr="005A3564">
        <w:rPr>
          <w:sz w:val="22"/>
          <w:szCs w:val="22"/>
          <w:lang w:val="sr-Latn-ME"/>
        </w:rPr>
        <w:t>se ne smiju</w:t>
      </w:r>
      <w:r w:rsidRPr="005A3564">
        <w:rPr>
          <w:sz w:val="22"/>
          <w:szCs w:val="22"/>
          <w:lang w:val="sr-Latn-ME"/>
        </w:rPr>
        <w:t xml:space="preserve"> žvakati</w:t>
      </w:r>
      <w:r w:rsidRPr="005A3564">
        <w:rPr>
          <w:noProof/>
          <w:sz w:val="22"/>
          <w:szCs w:val="22"/>
          <w:lang w:val="sr-Latn-ME"/>
        </w:rPr>
        <w:t xml:space="preserve"> ili lomiti,</w:t>
      </w:r>
      <w:r w:rsidRPr="005A3564">
        <w:rPr>
          <w:sz w:val="22"/>
          <w:szCs w:val="22"/>
          <w:lang w:val="sr-Latn-ME"/>
        </w:rPr>
        <w:t xml:space="preserve"> treba ih progutati cijele </w:t>
      </w:r>
      <w:r w:rsidRPr="005A3564">
        <w:rPr>
          <w:noProof/>
          <w:sz w:val="22"/>
          <w:szCs w:val="22"/>
          <w:lang w:val="sr-Latn-ME"/>
        </w:rPr>
        <w:t xml:space="preserve">sa malo vode </w:t>
      </w:r>
      <w:r w:rsidRPr="005A3564">
        <w:rPr>
          <w:sz w:val="22"/>
          <w:szCs w:val="22"/>
          <w:lang w:val="sr-Latn-ME"/>
        </w:rPr>
        <w:t>1 sat prije obroka.</w:t>
      </w:r>
    </w:p>
    <w:p w14:paraId="25F51BFC" w14:textId="77777777" w:rsidR="00A60833" w:rsidRPr="005A3564" w:rsidRDefault="00A60833" w:rsidP="00480FB1">
      <w:pPr>
        <w:tabs>
          <w:tab w:val="left" w:pos="540"/>
          <w:tab w:val="left" w:pos="569"/>
        </w:tabs>
        <w:rPr>
          <w:bCs/>
          <w:sz w:val="22"/>
          <w:szCs w:val="22"/>
          <w:lang w:val="sr-Latn-ME"/>
        </w:rPr>
      </w:pPr>
    </w:p>
    <w:p w14:paraId="473F53A9" w14:textId="77777777" w:rsidR="00411B4B" w:rsidRPr="005A3564" w:rsidRDefault="00411B4B" w:rsidP="00480FB1">
      <w:pPr>
        <w:tabs>
          <w:tab w:val="left" w:pos="540"/>
          <w:tab w:val="left" w:pos="569"/>
        </w:tabs>
        <w:rPr>
          <w:b/>
          <w:bCs/>
          <w:sz w:val="22"/>
          <w:szCs w:val="22"/>
          <w:lang w:val="sr-Latn-ME"/>
        </w:rPr>
      </w:pPr>
      <w:r w:rsidRPr="005A3564">
        <w:rPr>
          <w:b/>
          <w:bCs/>
          <w:sz w:val="22"/>
          <w:szCs w:val="22"/>
          <w:lang w:val="sr-Latn-ME"/>
        </w:rPr>
        <w:t xml:space="preserve">4.3. </w:t>
      </w:r>
      <w:r w:rsidR="00480FB1" w:rsidRPr="005A3564">
        <w:rPr>
          <w:b/>
          <w:bCs/>
          <w:sz w:val="22"/>
          <w:szCs w:val="22"/>
          <w:lang w:val="sr-Latn-ME"/>
        </w:rPr>
        <w:tab/>
      </w:r>
      <w:r w:rsidRPr="005A3564">
        <w:rPr>
          <w:b/>
          <w:bCs/>
          <w:sz w:val="22"/>
          <w:szCs w:val="22"/>
          <w:lang w:val="sr-Latn-ME"/>
        </w:rPr>
        <w:t>Kontraindikacije</w:t>
      </w:r>
    </w:p>
    <w:p w14:paraId="63794E50" w14:textId="77777777" w:rsidR="0072020E" w:rsidRPr="005A3564" w:rsidRDefault="0072020E" w:rsidP="00480FB1">
      <w:pPr>
        <w:tabs>
          <w:tab w:val="left" w:pos="540"/>
          <w:tab w:val="left" w:pos="569"/>
        </w:tabs>
        <w:rPr>
          <w:bCs/>
          <w:sz w:val="22"/>
          <w:szCs w:val="22"/>
          <w:lang w:val="sr-Latn-ME"/>
        </w:rPr>
      </w:pPr>
    </w:p>
    <w:p w14:paraId="3FBE3DB0" w14:textId="32600B4A" w:rsidR="00A60833" w:rsidRPr="005A3564" w:rsidRDefault="00A60833" w:rsidP="005A3564">
      <w:pPr>
        <w:pStyle w:val="Header"/>
        <w:jc w:val="both"/>
        <w:rPr>
          <w:sz w:val="22"/>
          <w:szCs w:val="22"/>
          <w:lang w:val="sr-Latn-ME"/>
        </w:rPr>
      </w:pPr>
      <w:r w:rsidRPr="005A3564">
        <w:rPr>
          <w:noProof/>
          <w:sz w:val="22"/>
          <w:szCs w:val="22"/>
          <w:lang w:val="sr-Latn-ME"/>
        </w:rPr>
        <w:t>Preosjetljivost</w:t>
      </w:r>
      <w:r w:rsidRPr="005A3564">
        <w:rPr>
          <w:sz w:val="22"/>
          <w:szCs w:val="22"/>
          <w:lang w:val="sr-Latn-ME"/>
        </w:rPr>
        <w:t xml:space="preserve"> na aktivnu supstancu</w:t>
      </w:r>
      <w:r w:rsidRPr="005A3564">
        <w:rPr>
          <w:noProof/>
          <w:sz w:val="22"/>
          <w:szCs w:val="22"/>
          <w:lang w:val="sr-Latn-ME"/>
        </w:rPr>
        <w:t>, supstituisane benzimidazole</w:t>
      </w:r>
      <w:r w:rsidRPr="005A3564">
        <w:rPr>
          <w:sz w:val="22"/>
          <w:szCs w:val="22"/>
          <w:lang w:val="sr-Latn-ME"/>
        </w:rPr>
        <w:t xml:space="preserve"> ili bilo koju </w:t>
      </w:r>
      <w:r w:rsidRPr="005A3564">
        <w:rPr>
          <w:noProof/>
          <w:sz w:val="22"/>
          <w:szCs w:val="22"/>
          <w:lang w:val="sr-Latn-ME"/>
        </w:rPr>
        <w:t>pomoćnu supstancu</w:t>
      </w:r>
      <w:r w:rsidRPr="005A3564">
        <w:rPr>
          <w:sz w:val="22"/>
          <w:szCs w:val="22"/>
          <w:lang w:val="sr-Latn-ME"/>
        </w:rPr>
        <w:t xml:space="preserve"> lijeka </w:t>
      </w:r>
      <w:r w:rsidRPr="005A3564">
        <w:rPr>
          <w:noProof/>
          <w:sz w:val="22"/>
          <w:szCs w:val="22"/>
          <w:lang w:val="sr-Latn-ME"/>
        </w:rPr>
        <w:t xml:space="preserve">navedenih u </w:t>
      </w:r>
      <w:r w:rsidR="00635AC3" w:rsidRPr="005A3564">
        <w:rPr>
          <w:noProof/>
          <w:sz w:val="22"/>
          <w:szCs w:val="22"/>
          <w:lang w:val="sr-Latn-ME"/>
        </w:rPr>
        <w:t xml:space="preserve">dijelu </w:t>
      </w:r>
      <w:r w:rsidRPr="005A3564">
        <w:rPr>
          <w:noProof/>
          <w:sz w:val="22"/>
          <w:szCs w:val="22"/>
          <w:lang w:val="sr-Latn-ME"/>
        </w:rPr>
        <w:t>6.1.</w:t>
      </w:r>
    </w:p>
    <w:p w14:paraId="00514EA0" w14:textId="77777777" w:rsidR="00A60833" w:rsidRPr="005A3564" w:rsidRDefault="00A60833" w:rsidP="00480FB1">
      <w:pPr>
        <w:tabs>
          <w:tab w:val="left" w:pos="540"/>
          <w:tab w:val="left" w:pos="569"/>
        </w:tabs>
        <w:rPr>
          <w:bCs/>
          <w:sz w:val="22"/>
          <w:szCs w:val="22"/>
          <w:lang w:val="sr-Latn-ME"/>
        </w:rPr>
      </w:pPr>
    </w:p>
    <w:p w14:paraId="4A4200C1" w14:textId="77777777" w:rsidR="00411B4B" w:rsidRPr="005A3564" w:rsidRDefault="00411B4B" w:rsidP="00480FB1">
      <w:pPr>
        <w:tabs>
          <w:tab w:val="left" w:pos="540"/>
          <w:tab w:val="left" w:pos="569"/>
        </w:tabs>
        <w:rPr>
          <w:b/>
          <w:bCs/>
          <w:sz w:val="22"/>
          <w:szCs w:val="22"/>
          <w:lang w:val="sr-Latn-ME"/>
        </w:rPr>
      </w:pPr>
      <w:r w:rsidRPr="005A3564">
        <w:rPr>
          <w:b/>
          <w:bCs/>
          <w:sz w:val="22"/>
          <w:szCs w:val="22"/>
          <w:lang w:val="sr-Latn-ME"/>
        </w:rPr>
        <w:t xml:space="preserve">4.4. </w:t>
      </w:r>
      <w:r w:rsidR="00480FB1" w:rsidRPr="005A3564">
        <w:rPr>
          <w:b/>
          <w:bCs/>
          <w:sz w:val="22"/>
          <w:szCs w:val="22"/>
          <w:lang w:val="sr-Latn-ME"/>
        </w:rPr>
        <w:tab/>
      </w:r>
      <w:r w:rsidRPr="005A3564">
        <w:rPr>
          <w:b/>
          <w:bCs/>
          <w:sz w:val="22"/>
          <w:szCs w:val="22"/>
          <w:lang w:val="sr-Latn-ME"/>
        </w:rPr>
        <w:t>Posebna upozorenja i mjere opreza pri upotrebi lijeka</w:t>
      </w:r>
    </w:p>
    <w:p w14:paraId="6123C188" w14:textId="77777777" w:rsidR="0072020E" w:rsidRPr="005A3564" w:rsidRDefault="0072020E" w:rsidP="00480FB1">
      <w:pPr>
        <w:tabs>
          <w:tab w:val="left" w:pos="540"/>
          <w:tab w:val="left" w:pos="569"/>
        </w:tabs>
        <w:rPr>
          <w:bCs/>
          <w:sz w:val="22"/>
          <w:szCs w:val="22"/>
          <w:lang w:val="sr-Latn-ME"/>
        </w:rPr>
      </w:pPr>
    </w:p>
    <w:p w14:paraId="33C46954" w14:textId="77777777" w:rsidR="00A60833" w:rsidRPr="005A3564" w:rsidRDefault="00A60833" w:rsidP="00A60833">
      <w:pPr>
        <w:jc w:val="both"/>
        <w:rPr>
          <w:i/>
          <w:sz w:val="22"/>
          <w:szCs w:val="22"/>
          <w:lang w:val="sr-Latn-ME"/>
        </w:rPr>
      </w:pPr>
      <w:r w:rsidRPr="005A3564">
        <w:rPr>
          <w:i/>
          <w:sz w:val="22"/>
          <w:szCs w:val="22"/>
          <w:lang w:val="sr-Latn-ME"/>
        </w:rPr>
        <w:t>Oštećenje funkcije jetre</w:t>
      </w:r>
    </w:p>
    <w:p w14:paraId="11099D13" w14:textId="2B38FAF4" w:rsidR="00A60833" w:rsidRPr="005A3564" w:rsidRDefault="00A60833" w:rsidP="00A60833">
      <w:pPr>
        <w:jc w:val="both"/>
        <w:rPr>
          <w:sz w:val="22"/>
          <w:szCs w:val="22"/>
          <w:lang w:val="sr-Latn-ME"/>
        </w:rPr>
      </w:pPr>
      <w:r w:rsidRPr="005A3564">
        <w:rPr>
          <w:sz w:val="22"/>
          <w:szCs w:val="22"/>
          <w:lang w:val="sr-Latn-ME"/>
        </w:rPr>
        <w:t xml:space="preserve">Kod pacijenata sa teškom insuficijencijom jetre potrebno je pratiti vrijednosti enzima jetre tokom terapije pantoprazolom, a posebno tokom dugotrajnog liječenja. U slučaju porasta nivoa enzima jetre terapija se mora prekinuti (vidjeti </w:t>
      </w:r>
      <w:r w:rsidR="009844CB" w:rsidRPr="005A3564">
        <w:rPr>
          <w:sz w:val="22"/>
          <w:szCs w:val="22"/>
          <w:lang w:val="sr-Latn-ME"/>
        </w:rPr>
        <w:t>dio</w:t>
      </w:r>
      <w:r w:rsidRPr="005A3564">
        <w:rPr>
          <w:sz w:val="22"/>
          <w:szCs w:val="22"/>
          <w:lang w:val="sr-Latn-ME"/>
        </w:rPr>
        <w:t xml:space="preserve"> 4.2).</w:t>
      </w:r>
    </w:p>
    <w:p w14:paraId="38DBA869" w14:textId="77777777" w:rsidR="00A60833" w:rsidRPr="005A3564" w:rsidRDefault="00A60833" w:rsidP="00A60833">
      <w:pPr>
        <w:jc w:val="both"/>
        <w:rPr>
          <w:bCs/>
          <w:sz w:val="22"/>
          <w:szCs w:val="22"/>
          <w:lang w:val="sr-Latn-ME"/>
        </w:rPr>
      </w:pPr>
    </w:p>
    <w:p w14:paraId="5DD89B0F" w14:textId="77777777" w:rsidR="00A60833" w:rsidRPr="005A3564" w:rsidRDefault="00A60833" w:rsidP="00A60833">
      <w:pPr>
        <w:jc w:val="both"/>
        <w:rPr>
          <w:bCs/>
          <w:i/>
          <w:sz w:val="22"/>
          <w:szCs w:val="22"/>
          <w:lang w:val="sr-Latn-ME"/>
        </w:rPr>
      </w:pPr>
      <w:r w:rsidRPr="005A3564">
        <w:rPr>
          <w:bCs/>
          <w:i/>
          <w:sz w:val="22"/>
          <w:szCs w:val="22"/>
          <w:lang w:val="sr-Latn-ME"/>
        </w:rPr>
        <w:t>Istovremena primjena sa NSAIL</w:t>
      </w:r>
    </w:p>
    <w:p w14:paraId="59C18343" w14:textId="55262E7F" w:rsidR="00A60833" w:rsidRPr="005A3564" w:rsidRDefault="00A60833" w:rsidP="00A60833">
      <w:pPr>
        <w:jc w:val="both"/>
        <w:rPr>
          <w:bCs/>
          <w:sz w:val="22"/>
          <w:szCs w:val="22"/>
          <w:lang w:val="sr-Latn-ME"/>
        </w:rPr>
      </w:pPr>
      <w:r w:rsidRPr="005A3564">
        <w:rPr>
          <w:bCs/>
          <w:sz w:val="22"/>
          <w:szCs w:val="22"/>
          <w:lang w:val="sr-Latn-ME"/>
        </w:rPr>
        <w:t>Upotrebu gastrorezistentnih tableta Controloc 20 mg u prevenciji gastroduodenalnog ulkusa izazvanog neselektivnim nesteroidnim antiinflamatornim ljekovima (NSAIL) treba ograničiti na pacijente koji zahtijevaju dugotrajnu terapiju NSAIL i imaju povećan rizik pojave gastrointestinalnih komplikacija. Povećan rizik je individualan i u vezi sa godinama starosti (stariji od 65 godina), anamnestičkim podatkom o ulkusu duodenuma ili želuca ili krvarenj</w:t>
      </w:r>
      <w:r w:rsidR="003B7794" w:rsidRPr="005A3564">
        <w:rPr>
          <w:bCs/>
          <w:sz w:val="22"/>
          <w:szCs w:val="22"/>
          <w:lang w:val="sr-Latn-ME"/>
        </w:rPr>
        <w:t>em</w:t>
      </w:r>
      <w:r w:rsidRPr="005A3564">
        <w:rPr>
          <w:bCs/>
          <w:sz w:val="22"/>
          <w:szCs w:val="22"/>
          <w:lang w:val="sr-Latn-ME"/>
        </w:rPr>
        <w:t xml:space="preserve"> iz gornjih partija gastrointestinalnog trakta.</w:t>
      </w:r>
    </w:p>
    <w:p w14:paraId="6FD581FF" w14:textId="1D647C30" w:rsidR="00A60833" w:rsidRPr="005A3564" w:rsidRDefault="00A60833" w:rsidP="00A60833">
      <w:pPr>
        <w:jc w:val="both"/>
        <w:rPr>
          <w:sz w:val="22"/>
          <w:szCs w:val="22"/>
          <w:lang w:val="sr-Latn-ME"/>
        </w:rPr>
      </w:pPr>
    </w:p>
    <w:p w14:paraId="32FCED9E" w14:textId="63BD0866" w:rsidR="00956EDF" w:rsidRPr="005A3564" w:rsidRDefault="00956EDF" w:rsidP="00A60833">
      <w:pPr>
        <w:jc w:val="both"/>
        <w:rPr>
          <w:sz w:val="22"/>
          <w:szCs w:val="22"/>
          <w:lang w:val="sr-Latn-ME"/>
        </w:rPr>
      </w:pPr>
    </w:p>
    <w:p w14:paraId="65F82E7C" w14:textId="77777777" w:rsidR="00956EDF" w:rsidRPr="005A3564" w:rsidRDefault="00956EDF" w:rsidP="00A60833">
      <w:pPr>
        <w:jc w:val="both"/>
        <w:rPr>
          <w:sz w:val="22"/>
          <w:szCs w:val="22"/>
          <w:lang w:val="sr-Latn-ME"/>
        </w:rPr>
      </w:pPr>
    </w:p>
    <w:p w14:paraId="6CE8F99D" w14:textId="77777777" w:rsidR="00A60833" w:rsidRPr="005A3564" w:rsidRDefault="00A60833" w:rsidP="00A60833">
      <w:pPr>
        <w:pStyle w:val="Header"/>
        <w:tabs>
          <w:tab w:val="left" w:pos="284"/>
        </w:tabs>
        <w:rPr>
          <w:bCs/>
          <w:i/>
          <w:iCs/>
          <w:sz w:val="22"/>
          <w:szCs w:val="22"/>
          <w:lang w:val="sr-Latn-ME"/>
        </w:rPr>
      </w:pPr>
      <w:r w:rsidRPr="005A3564">
        <w:rPr>
          <w:bCs/>
          <w:i/>
          <w:iCs/>
          <w:sz w:val="22"/>
          <w:szCs w:val="22"/>
          <w:lang w:val="sr-Latn-ME"/>
        </w:rPr>
        <w:lastRenderedPageBreak/>
        <w:t>Malignitet želuca</w:t>
      </w:r>
    </w:p>
    <w:p w14:paraId="40BCDE1E" w14:textId="77777777" w:rsidR="00A60833" w:rsidRPr="005A3564" w:rsidRDefault="00A60833" w:rsidP="005A3564">
      <w:pPr>
        <w:jc w:val="both"/>
        <w:rPr>
          <w:sz w:val="22"/>
          <w:szCs w:val="22"/>
          <w:lang w:val="sr-Latn-ME"/>
        </w:rPr>
      </w:pPr>
      <w:r w:rsidRPr="005A3564">
        <w:rPr>
          <w:bCs/>
          <w:sz w:val="22"/>
          <w:szCs w:val="22"/>
          <w:lang w:val="sr-Latn-ME"/>
        </w:rPr>
        <w:t>Simptomatski odgovor na primjenu pantoprazola može maskirati simptome pojave želudačnog maligniteta i može odložiti postavljanje dijagnoze.</w:t>
      </w:r>
    </w:p>
    <w:p w14:paraId="28A1F5E6" w14:textId="77777777" w:rsidR="00A60833" w:rsidRPr="005A3564" w:rsidRDefault="00A60833" w:rsidP="005A3564">
      <w:pPr>
        <w:jc w:val="both"/>
        <w:rPr>
          <w:sz w:val="22"/>
          <w:szCs w:val="22"/>
          <w:lang w:val="sr-Latn-ME"/>
        </w:rPr>
      </w:pPr>
      <w:r w:rsidRPr="005A3564">
        <w:rPr>
          <w:sz w:val="22"/>
          <w:szCs w:val="22"/>
          <w:lang w:val="sr-Latn-ME"/>
        </w:rPr>
        <w:t>Kod pojave bilo kojih simptoma upozorenja (npr. značajan nenamjeran gubitak tjelesne težine, ponavljano povraćanje, disfagija, hematemeza, anemija i melena) i kada je gastrični ulkus suspektan ili prisutan, potrebno je isključiti malignitet.</w:t>
      </w:r>
    </w:p>
    <w:p w14:paraId="68633997" w14:textId="77777777" w:rsidR="00A60833" w:rsidRPr="005A3564" w:rsidRDefault="00A60833" w:rsidP="005A3564">
      <w:pPr>
        <w:jc w:val="both"/>
        <w:rPr>
          <w:sz w:val="22"/>
          <w:szCs w:val="22"/>
          <w:lang w:val="sr-Latn-ME"/>
        </w:rPr>
      </w:pPr>
    </w:p>
    <w:p w14:paraId="41A5492C" w14:textId="77777777" w:rsidR="00A60833" w:rsidRPr="005A3564" w:rsidRDefault="00A60833" w:rsidP="005A3564">
      <w:pPr>
        <w:jc w:val="both"/>
        <w:rPr>
          <w:sz w:val="22"/>
          <w:szCs w:val="22"/>
          <w:lang w:val="sr-Latn-ME"/>
        </w:rPr>
      </w:pPr>
      <w:r w:rsidRPr="005A3564">
        <w:rPr>
          <w:sz w:val="22"/>
          <w:szCs w:val="22"/>
          <w:lang w:val="sr-Latn-ME"/>
        </w:rPr>
        <w:t>Ako se i pored adekvatne terapije simptomi ne povlače, potrebno je izvršiti dodatna ispitivanja.</w:t>
      </w:r>
    </w:p>
    <w:p w14:paraId="7CF4E55D" w14:textId="77777777" w:rsidR="00A60833" w:rsidRPr="005A3564" w:rsidRDefault="00A60833" w:rsidP="00A60833">
      <w:pPr>
        <w:rPr>
          <w:sz w:val="22"/>
          <w:szCs w:val="22"/>
          <w:lang w:val="sr-Latn-ME"/>
        </w:rPr>
      </w:pPr>
    </w:p>
    <w:p w14:paraId="5A100C75" w14:textId="77777777" w:rsidR="00A60833" w:rsidRPr="005A3564" w:rsidRDefault="00A60833" w:rsidP="00A60833">
      <w:pPr>
        <w:rPr>
          <w:i/>
          <w:sz w:val="22"/>
          <w:szCs w:val="22"/>
          <w:lang w:val="sr-Latn-ME"/>
        </w:rPr>
      </w:pPr>
      <w:r w:rsidRPr="005A3564">
        <w:rPr>
          <w:i/>
          <w:sz w:val="22"/>
          <w:szCs w:val="22"/>
          <w:lang w:val="sr-Latn-ME"/>
        </w:rPr>
        <w:t xml:space="preserve">Istovremena primjena </w:t>
      </w:r>
      <w:r w:rsidRPr="005A3564">
        <w:rPr>
          <w:i/>
          <w:noProof/>
          <w:sz w:val="22"/>
          <w:szCs w:val="22"/>
          <w:lang w:val="sr-Latn-ME"/>
        </w:rPr>
        <w:t>inhibitora HIV proteaze</w:t>
      </w:r>
    </w:p>
    <w:p w14:paraId="34BABF18" w14:textId="3BDD12B4" w:rsidR="00A60833" w:rsidRPr="005A3564" w:rsidRDefault="00A60833" w:rsidP="00A60833">
      <w:pPr>
        <w:jc w:val="both"/>
        <w:rPr>
          <w:sz w:val="22"/>
          <w:szCs w:val="22"/>
          <w:lang w:val="sr-Latn-ME"/>
        </w:rPr>
      </w:pPr>
      <w:r w:rsidRPr="005A3564">
        <w:rPr>
          <w:sz w:val="22"/>
          <w:szCs w:val="22"/>
          <w:lang w:val="sr-Latn-ME"/>
        </w:rPr>
        <w:t xml:space="preserve">Ne preporučuje se istovremena primjena pantoprazola i inhibitora HIV proteaze čija je resorpcija zavisna od pH želudačnog sadržaja, kao što je atazanavir, a </w:t>
      </w:r>
      <w:r w:rsidR="003F45B4" w:rsidRPr="005A3564">
        <w:rPr>
          <w:sz w:val="22"/>
          <w:szCs w:val="22"/>
          <w:lang w:val="sr-Latn-ME"/>
        </w:rPr>
        <w:t xml:space="preserve">zbog </w:t>
      </w:r>
      <w:r w:rsidRPr="005A3564">
        <w:rPr>
          <w:sz w:val="22"/>
          <w:szCs w:val="22"/>
          <w:lang w:val="sr-Latn-ME"/>
        </w:rPr>
        <w:t xml:space="preserve">značajnog smanjenja </w:t>
      </w:r>
      <w:r w:rsidR="003F45B4" w:rsidRPr="005A3564">
        <w:rPr>
          <w:sz w:val="22"/>
          <w:szCs w:val="22"/>
          <w:lang w:val="sr-Latn-ME"/>
        </w:rPr>
        <w:t xml:space="preserve">njihove </w:t>
      </w:r>
      <w:r w:rsidRPr="005A3564">
        <w:rPr>
          <w:sz w:val="22"/>
          <w:szCs w:val="22"/>
          <w:lang w:val="sr-Latn-ME"/>
        </w:rPr>
        <w:t xml:space="preserve">bioraspoloživosti (vidjeti </w:t>
      </w:r>
      <w:r w:rsidR="009844CB" w:rsidRPr="005A3564">
        <w:rPr>
          <w:sz w:val="22"/>
          <w:szCs w:val="22"/>
          <w:lang w:val="sr-Latn-ME"/>
        </w:rPr>
        <w:t>dio</w:t>
      </w:r>
      <w:r w:rsidRPr="005A3564">
        <w:rPr>
          <w:sz w:val="22"/>
          <w:szCs w:val="22"/>
          <w:lang w:val="sr-Latn-ME"/>
        </w:rPr>
        <w:t xml:space="preserve"> 4.5).</w:t>
      </w:r>
    </w:p>
    <w:p w14:paraId="7B41C658" w14:textId="77777777" w:rsidR="00A60833" w:rsidRPr="005A3564" w:rsidRDefault="00A60833" w:rsidP="00A60833">
      <w:pPr>
        <w:rPr>
          <w:sz w:val="22"/>
          <w:szCs w:val="22"/>
          <w:lang w:val="sr-Latn-ME"/>
        </w:rPr>
      </w:pPr>
    </w:p>
    <w:p w14:paraId="25631AE0" w14:textId="77777777" w:rsidR="00A60833" w:rsidRPr="005A3564" w:rsidRDefault="00A60833" w:rsidP="00A60833">
      <w:pPr>
        <w:jc w:val="both"/>
        <w:rPr>
          <w:i/>
          <w:sz w:val="22"/>
          <w:szCs w:val="22"/>
          <w:lang w:val="sr-Latn-ME"/>
        </w:rPr>
      </w:pPr>
      <w:r w:rsidRPr="005A3564">
        <w:rPr>
          <w:i/>
          <w:sz w:val="22"/>
          <w:szCs w:val="22"/>
          <w:lang w:val="sr-Latn-ME"/>
        </w:rPr>
        <w:t>Uticaj na resorpciju vitamina B12</w:t>
      </w:r>
    </w:p>
    <w:p w14:paraId="660AD56B" w14:textId="2B234794" w:rsidR="00A60833" w:rsidRPr="005A3564" w:rsidRDefault="00A60833" w:rsidP="00A60833">
      <w:pPr>
        <w:jc w:val="both"/>
        <w:rPr>
          <w:sz w:val="22"/>
          <w:szCs w:val="22"/>
          <w:lang w:val="sr-Latn-ME"/>
        </w:rPr>
      </w:pPr>
      <w:r w:rsidRPr="005A3564">
        <w:rPr>
          <w:sz w:val="22"/>
          <w:szCs w:val="22"/>
          <w:lang w:val="sr-Latn-ME"/>
        </w:rPr>
        <w:t xml:space="preserve">Pantoprazol kao i svi ostali ljekovi koji blokiraju sekreciju želudačne kiseline može </w:t>
      </w:r>
      <w:r w:rsidR="003B7794" w:rsidRPr="005A3564">
        <w:rPr>
          <w:sz w:val="22"/>
          <w:szCs w:val="22"/>
          <w:lang w:val="sr-Latn-ME"/>
        </w:rPr>
        <w:t>zbog</w:t>
      </w:r>
      <w:r w:rsidRPr="005A3564">
        <w:rPr>
          <w:sz w:val="22"/>
          <w:szCs w:val="22"/>
          <w:lang w:val="sr-Latn-ME"/>
        </w:rPr>
        <w:t xml:space="preserve"> hipo ili ahlorhidrije da dovede do smanjenja resorpcije vitamina B</w:t>
      </w:r>
      <w:r w:rsidRPr="005A3564">
        <w:rPr>
          <w:sz w:val="22"/>
          <w:szCs w:val="22"/>
          <w:vertAlign w:val="subscript"/>
          <w:lang w:val="sr-Latn-ME"/>
        </w:rPr>
        <w:t>12</w:t>
      </w:r>
      <w:r w:rsidRPr="005A3564">
        <w:rPr>
          <w:sz w:val="22"/>
          <w:szCs w:val="22"/>
          <w:lang w:val="sr-Latn-ME"/>
        </w:rPr>
        <w:t xml:space="preserve"> (cijanokobalamin). Ovo treba imati u vidu kod pacijenata na dugotrajnoj terapiji sa niskim rezervama ili sa faktorima rizika za smanjenu resporpciju vitamina B</w:t>
      </w:r>
      <w:r w:rsidRPr="005A3564">
        <w:rPr>
          <w:sz w:val="22"/>
          <w:szCs w:val="22"/>
          <w:vertAlign w:val="subscript"/>
          <w:lang w:val="sr-Latn-ME"/>
        </w:rPr>
        <w:t>12</w:t>
      </w:r>
      <w:r w:rsidRPr="005A3564">
        <w:rPr>
          <w:sz w:val="22"/>
          <w:szCs w:val="22"/>
          <w:lang w:val="sr-Latn-ME"/>
        </w:rPr>
        <w:t>.</w:t>
      </w:r>
    </w:p>
    <w:p w14:paraId="48AA661A" w14:textId="77777777" w:rsidR="00A60833" w:rsidRPr="005A3564" w:rsidRDefault="00A60833" w:rsidP="00A60833">
      <w:pPr>
        <w:jc w:val="both"/>
        <w:rPr>
          <w:sz w:val="22"/>
          <w:szCs w:val="22"/>
          <w:lang w:val="sr-Latn-ME"/>
        </w:rPr>
      </w:pPr>
    </w:p>
    <w:p w14:paraId="4C1BD36E" w14:textId="77777777" w:rsidR="00A60833" w:rsidRPr="005A3564" w:rsidRDefault="00A60833" w:rsidP="00A60833">
      <w:pPr>
        <w:jc w:val="both"/>
        <w:rPr>
          <w:i/>
          <w:sz w:val="22"/>
          <w:szCs w:val="22"/>
          <w:lang w:val="sr-Latn-ME"/>
        </w:rPr>
      </w:pPr>
      <w:r w:rsidRPr="005A3564">
        <w:rPr>
          <w:i/>
          <w:sz w:val="22"/>
          <w:szCs w:val="22"/>
          <w:lang w:val="sr-Latn-ME"/>
        </w:rPr>
        <w:t>Dugotrajno liječenje</w:t>
      </w:r>
    </w:p>
    <w:p w14:paraId="628AF096" w14:textId="77777777" w:rsidR="00A60833" w:rsidRPr="005A3564" w:rsidRDefault="00A60833" w:rsidP="00A60833">
      <w:pPr>
        <w:jc w:val="both"/>
        <w:rPr>
          <w:sz w:val="22"/>
          <w:szCs w:val="22"/>
          <w:lang w:val="sr-Latn-ME"/>
        </w:rPr>
      </w:pPr>
      <w:r w:rsidRPr="005A3564">
        <w:rPr>
          <w:sz w:val="22"/>
          <w:szCs w:val="22"/>
          <w:lang w:val="sr-Latn-ME"/>
        </w:rPr>
        <w:t>Pacijenti na dugotrajnoj terapiji, posebno dužoj od jedne godine, moraju biti pod redovnim nadzorom.</w:t>
      </w:r>
    </w:p>
    <w:p w14:paraId="073C8B3A" w14:textId="77777777" w:rsidR="00A60833" w:rsidRPr="005A3564" w:rsidRDefault="00A60833" w:rsidP="00A60833">
      <w:pPr>
        <w:jc w:val="both"/>
        <w:rPr>
          <w:sz w:val="22"/>
          <w:szCs w:val="22"/>
          <w:lang w:val="sr-Latn-ME"/>
        </w:rPr>
      </w:pPr>
    </w:p>
    <w:p w14:paraId="38B5F6A7" w14:textId="77777777" w:rsidR="00A60833" w:rsidRPr="005A3564" w:rsidRDefault="00A60833" w:rsidP="00A60833">
      <w:pPr>
        <w:rPr>
          <w:i/>
          <w:sz w:val="22"/>
          <w:szCs w:val="22"/>
          <w:lang w:val="sr-Latn-ME"/>
        </w:rPr>
      </w:pPr>
      <w:r w:rsidRPr="005A3564">
        <w:rPr>
          <w:i/>
          <w:sz w:val="22"/>
          <w:szCs w:val="22"/>
          <w:lang w:val="sr-Latn-ME"/>
        </w:rPr>
        <w:t>Bakterijske gastrointestinalne infekcije</w:t>
      </w:r>
    </w:p>
    <w:p w14:paraId="37C4428E" w14:textId="77777777" w:rsidR="00A60833" w:rsidRPr="005A3564" w:rsidRDefault="00A60833" w:rsidP="00A60833">
      <w:pPr>
        <w:jc w:val="both"/>
        <w:rPr>
          <w:sz w:val="22"/>
          <w:szCs w:val="22"/>
          <w:lang w:val="sr-Latn-ME"/>
        </w:rPr>
      </w:pPr>
      <w:r w:rsidRPr="005A3564">
        <w:rPr>
          <w:sz w:val="22"/>
          <w:szCs w:val="22"/>
          <w:lang w:val="sr-Latn-ME"/>
        </w:rPr>
        <w:t xml:space="preserve">Liječenje lijekom Controloc može da dovede do blagog povećanja rizika od gastrointestinalnih infekcija izazvanih bakterijama kao što su </w:t>
      </w:r>
      <w:r w:rsidRPr="005A3564">
        <w:rPr>
          <w:i/>
          <w:sz w:val="22"/>
          <w:szCs w:val="22"/>
          <w:lang w:val="sr-Latn-ME"/>
        </w:rPr>
        <w:t>Salmonella</w:t>
      </w:r>
      <w:r w:rsidRPr="005A3564">
        <w:rPr>
          <w:sz w:val="22"/>
          <w:szCs w:val="22"/>
          <w:lang w:val="sr-Latn-ME"/>
        </w:rPr>
        <w:t xml:space="preserve"> i </w:t>
      </w:r>
      <w:r w:rsidRPr="005A3564">
        <w:rPr>
          <w:i/>
          <w:sz w:val="22"/>
          <w:szCs w:val="22"/>
          <w:lang w:val="sr-Latn-ME"/>
        </w:rPr>
        <w:t>Campylobacter</w:t>
      </w:r>
      <w:r w:rsidRPr="005A3564">
        <w:rPr>
          <w:noProof/>
          <w:sz w:val="22"/>
          <w:szCs w:val="22"/>
          <w:lang w:val="sr-Latn-ME"/>
        </w:rPr>
        <w:t xml:space="preserve"> ili </w:t>
      </w:r>
      <w:r w:rsidRPr="005A3564">
        <w:rPr>
          <w:i/>
          <w:noProof/>
          <w:sz w:val="22"/>
          <w:szCs w:val="22"/>
          <w:lang w:val="sr-Latn-ME"/>
        </w:rPr>
        <w:t>C. difficile</w:t>
      </w:r>
      <w:r w:rsidRPr="005A3564">
        <w:rPr>
          <w:sz w:val="22"/>
          <w:szCs w:val="22"/>
          <w:lang w:val="sr-Latn-ME"/>
        </w:rPr>
        <w:t>.</w:t>
      </w:r>
    </w:p>
    <w:p w14:paraId="7F3A0BE9" w14:textId="77777777" w:rsidR="00A60833" w:rsidRPr="005A3564" w:rsidRDefault="00A60833" w:rsidP="00A60833">
      <w:pPr>
        <w:jc w:val="both"/>
        <w:rPr>
          <w:sz w:val="22"/>
          <w:szCs w:val="22"/>
          <w:lang w:val="sr-Latn-ME"/>
        </w:rPr>
      </w:pPr>
    </w:p>
    <w:p w14:paraId="70E7F10A" w14:textId="77777777" w:rsidR="00A60833" w:rsidRPr="005A3564" w:rsidRDefault="00A60833" w:rsidP="00A60833">
      <w:pPr>
        <w:jc w:val="both"/>
        <w:rPr>
          <w:i/>
          <w:sz w:val="22"/>
          <w:szCs w:val="22"/>
          <w:lang w:val="sr-Latn-ME"/>
        </w:rPr>
      </w:pPr>
      <w:r w:rsidRPr="005A3564">
        <w:rPr>
          <w:i/>
          <w:sz w:val="22"/>
          <w:szCs w:val="22"/>
          <w:lang w:val="sr-Latn-ME"/>
        </w:rPr>
        <w:t>Hipomagnezijemija</w:t>
      </w:r>
    </w:p>
    <w:p w14:paraId="0D16EF2B" w14:textId="037DB77C" w:rsidR="00A60833" w:rsidRPr="005A3564" w:rsidRDefault="00A60833" w:rsidP="00A60833">
      <w:pPr>
        <w:jc w:val="both"/>
        <w:rPr>
          <w:sz w:val="22"/>
          <w:szCs w:val="22"/>
          <w:lang w:val="sr-Latn-ME"/>
        </w:rPr>
      </w:pPr>
      <w:r w:rsidRPr="005A3564">
        <w:rPr>
          <w:sz w:val="22"/>
          <w:szCs w:val="22"/>
          <w:lang w:val="sr-Latn-ME"/>
        </w:rPr>
        <w:t xml:space="preserve">Prijavljena je teška hipomagnezijemija kod pacijenata koji su inhibitorima protonske pumpe kao što je pantoprazol bili liječeni tokom najmanje tri mjeseca, a u većini slučajeva tokom godinu dana. Mogu se pojaviti ozbiljne manifestacije hipomagnezijemije kao što su umor, grčenje mišića, delirijum, konvulzije, vrtoglavica i ventrikularna aritmija, čiji </w:t>
      </w:r>
      <w:r w:rsidR="00387683" w:rsidRPr="005A3564">
        <w:rPr>
          <w:sz w:val="22"/>
          <w:szCs w:val="22"/>
          <w:lang w:val="sr-Latn-ME"/>
        </w:rPr>
        <w:t xml:space="preserve">početak </w:t>
      </w:r>
      <w:r w:rsidRPr="005A3564">
        <w:rPr>
          <w:sz w:val="22"/>
          <w:szCs w:val="22"/>
          <w:lang w:val="sr-Latn-ME"/>
        </w:rPr>
        <w:t xml:space="preserve">može biti podmukao i može se previdjeti. </w:t>
      </w:r>
      <w:r w:rsidR="001249BE" w:rsidRPr="005A3564">
        <w:rPr>
          <w:sz w:val="22"/>
          <w:szCs w:val="22"/>
          <w:lang w:val="sr-Latn-ME"/>
        </w:rPr>
        <w:t>Hipomagnezijemija može dovesti do hipokalcemije i/ili hipokalemije (vidjeti dio 4.8.).</w:t>
      </w:r>
      <w:r w:rsidRPr="005A3564">
        <w:rPr>
          <w:sz w:val="22"/>
          <w:szCs w:val="22"/>
          <w:lang w:val="sr-Latn-ME"/>
        </w:rPr>
        <w:t>Kod većine pogođenih pacijenata, hipomagnezijemija se poboljšala nakon nadoknade magnezijuma i prekida terapije inhibitorom protonske pumpe.</w:t>
      </w:r>
    </w:p>
    <w:p w14:paraId="43E1F2B4" w14:textId="77777777" w:rsidR="00A60833" w:rsidRPr="005A3564" w:rsidRDefault="00A60833" w:rsidP="00A60833">
      <w:pPr>
        <w:jc w:val="both"/>
        <w:rPr>
          <w:sz w:val="22"/>
          <w:szCs w:val="22"/>
          <w:lang w:val="sr-Latn-ME"/>
        </w:rPr>
      </w:pPr>
    </w:p>
    <w:p w14:paraId="4E28B211" w14:textId="08F4C4CD" w:rsidR="00A60833" w:rsidRPr="005A3564" w:rsidRDefault="00A60833" w:rsidP="00A60833">
      <w:pPr>
        <w:jc w:val="both"/>
        <w:rPr>
          <w:sz w:val="22"/>
          <w:szCs w:val="22"/>
          <w:lang w:val="sr-Latn-ME"/>
        </w:rPr>
      </w:pPr>
      <w:r w:rsidRPr="005A3564">
        <w:rPr>
          <w:sz w:val="22"/>
          <w:szCs w:val="22"/>
          <w:lang w:val="sr-Latn-ME"/>
        </w:rPr>
        <w:t xml:space="preserve">Kod pacijenata kod kojih se očekuje da će biti na dugotrajnoj terapiji inhibitorima protonske pumpe ili kod pacijenata koji istovremeno uzimaju digoksin ili </w:t>
      </w:r>
      <w:r w:rsidR="00754BF9" w:rsidRPr="005A3564">
        <w:rPr>
          <w:sz w:val="22"/>
          <w:szCs w:val="22"/>
          <w:lang w:val="sr-Latn-ME"/>
        </w:rPr>
        <w:t>druge ljekove</w:t>
      </w:r>
      <w:r w:rsidRPr="005A3564">
        <w:rPr>
          <w:sz w:val="22"/>
          <w:szCs w:val="22"/>
          <w:lang w:val="sr-Latn-ME"/>
        </w:rPr>
        <w:t xml:space="preserve"> koji mogu prouzrokovati hipomagnezijemiju (npr. diuretici), ljekar mora razmotriti praćenje koncentracije magnezijuma prije uvođenja inhibitora protonske pumpe u terapiju i periodično tokom liječenja.</w:t>
      </w:r>
    </w:p>
    <w:p w14:paraId="0A440561" w14:textId="77777777" w:rsidR="00A60833" w:rsidRPr="005A3564" w:rsidRDefault="00A60833" w:rsidP="00A60833">
      <w:pPr>
        <w:jc w:val="both"/>
        <w:rPr>
          <w:sz w:val="22"/>
          <w:szCs w:val="22"/>
          <w:lang w:val="sr-Latn-ME"/>
        </w:rPr>
      </w:pPr>
    </w:p>
    <w:p w14:paraId="5194E331" w14:textId="6DA2589F" w:rsidR="00635AC3" w:rsidRPr="005A3564" w:rsidRDefault="00635AC3" w:rsidP="00635AC3">
      <w:pPr>
        <w:pStyle w:val="Header"/>
        <w:tabs>
          <w:tab w:val="left" w:pos="284"/>
        </w:tabs>
        <w:rPr>
          <w:noProof/>
          <w:sz w:val="22"/>
          <w:szCs w:val="22"/>
          <w:lang w:val="sr-Latn-ME"/>
        </w:rPr>
      </w:pPr>
      <w:r w:rsidRPr="005A3564">
        <w:rPr>
          <w:i/>
          <w:noProof/>
          <w:sz w:val="22"/>
          <w:szCs w:val="22"/>
          <w:lang w:val="sr-Latn-ME"/>
        </w:rPr>
        <w:t xml:space="preserve">Frakture kostiju </w:t>
      </w:r>
    </w:p>
    <w:p w14:paraId="44FC2EF6" w14:textId="1F41265F" w:rsidR="00A60833" w:rsidRPr="005A3564" w:rsidRDefault="00A60833" w:rsidP="00A60833">
      <w:pPr>
        <w:jc w:val="both"/>
        <w:rPr>
          <w:sz w:val="22"/>
          <w:szCs w:val="22"/>
          <w:lang w:val="sr-Latn-ME"/>
        </w:rPr>
      </w:pPr>
      <w:r w:rsidRPr="005A3564">
        <w:rPr>
          <w:sz w:val="22"/>
          <w:szCs w:val="22"/>
          <w:lang w:val="sr-Latn-ME"/>
        </w:rPr>
        <w:t>Inhibitori protonske pumpe, posebno ako se primjenjuju u visokim dozama i tokom dužeg vremenskog perioda (&gt;1 godine), mogu umjereno povećati rizik od frakture kuka, ručnog zgloba i kičme, uglavnom kod starijih pacijenata ili ako su prisutni drugi poznati</w:t>
      </w:r>
      <w:r w:rsidR="00387683" w:rsidRPr="005A3564">
        <w:rPr>
          <w:sz w:val="22"/>
          <w:szCs w:val="22"/>
          <w:lang w:val="sr-Latn-ME"/>
        </w:rPr>
        <w:t xml:space="preserve"> faktori</w:t>
      </w:r>
      <w:r w:rsidRPr="005A3564">
        <w:rPr>
          <w:sz w:val="22"/>
          <w:szCs w:val="22"/>
          <w:lang w:val="sr-Latn-ME"/>
        </w:rPr>
        <w:t xml:space="preserve"> rizika. Opservaciona ispitivanja ukazuju da inhibitori protonske pumpe mogu povećati ukupni rizik od frakture za 10-40%. Neka od ovih povećanja mogu biti zbog uticaja drugih </w:t>
      </w:r>
      <w:r w:rsidR="00387683" w:rsidRPr="005A3564">
        <w:rPr>
          <w:sz w:val="22"/>
          <w:szCs w:val="22"/>
          <w:lang w:val="sr-Latn-ME"/>
        </w:rPr>
        <w:t>faktora</w:t>
      </w:r>
      <w:r w:rsidRPr="005A3564">
        <w:rPr>
          <w:sz w:val="22"/>
          <w:szCs w:val="22"/>
          <w:lang w:val="sr-Latn-ME"/>
        </w:rPr>
        <w:t xml:space="preserve"> rizika. Pacijenti koji su pod rizikom od nastanka osteoporoze moraju imati odgovarajuću njegu u skladu sa važećim kliničkim smjernicama i</w:t>
      </w:r>
      <w:r w:rsidR="00387683" w:rsidRPr="005A3564">
        <w:rPr>
          <w:sz w:val="22"/>
          <w:szCs w:val="22"/>
          <w:lang w:val="sr-Latn-ME"/>
        </w:rPr>
        <w:t xml:space="preserve"> </w:t>
      </w:r>
      <w:r w:rsidRPr="005A3564">
        <w:rPr>
          <w:sz w:val="22"/>
          <w:szCs w:val="22"/>
          <w:lang w:val="sr-Latn-ME"/>
        </w:rPr>
        <w:t xml:space="preserve">imati </w:t>
      </w:r>
      <w:r w:rsidR="00387683" w:rsidRPr="005A3564">
        <w:rPr>
          <w:sz w:val="22"/>
          <w:szCs w:val="22"/>
          <w:lang w:val="sr-Latn-ME"/>
        </w:rPr>
        <w:t>dovoljan</w:t>
      </w:r>
      <w:r w:rsidRPr="005A3564">
        <w:rPr>
          <w:sz w:val="22"/>
          <w:szCs w:val="22"/>
          <w:lang w:val="sr-Latn-ME"/>
        </w:rPr>
        <w:t xml:space="preserve"> unos vitamina D i kalcijuma.</w:t>
      </w:r>
    </w:p>
    <w:p w14:paraId="76DD4556" w14:textId="77777777" w:rsidR="00635AC3" w:rsidRPr="005A3564" w:rsidRDefault="00635AC3" w:rsidP="00A60833">
      <w:pPr>
        <w:jc w:val="both"/>
        <w:rPr>
          <w:sz w:val="22"/>
          <w:szCs w:val="22"/>
          <w:lang w:val="sr-Latn-ME"/>
        </w:rPr>
      </w:pPr>
    </w:p>
    <w:p w14:paraId="2D0203C4" w14:textId="595DECE8" w:rsidR="00635AC3" w:rsidRPr="005A3564" w:rsidRDefault="00635AC3" w:rsidP="00635AC3">
      <w:pPr>
        <w:pStyle w:val="Header"/>
        <w:tabs>
          <w:tab w:val="left" w:pos="284"/>
        </w:tabs>
        <w:rPr>
          <w:bCs/>
          <w:noProof/>
          <w:sz w:val="22"/>
          <w:szCs w:val="22"/>
          <w:lang w:val="sr-Latn-ME"/>
        </w:rPr>
      </w:pPr>
      <w:r w:rsidRPr="005A3564">
        <w:rPr>
          <w:bCs/>
          <w:i/>
          <w:iCs/>
          <w:noProof/>
          <w:sz w:val="22"/>
          <w:szCs w:val="22"/>
          <w:lang w:val="sr-Latn-ME"/>
        </w:rPr>
        <w:t xml:space="preserve">Teške kožne neželjene reakcije (engl. </w:t>
      </w:r>
      <w:r w:rsidR="00387683" w:rsidRPr="005A3564">
        <w:rPr>
          <w:bCs/>
          <w:i/>
          <w:iCs/>
          <w:noProof/>
          <w:sz w:val="22"/>
          <w:szCs w:val="22"/>
          <w:lang w:val="sr-Latn-ME"/>
        </w:rPr>
        <w:t xml:space="preserve">severe cutaneous adverse reactions, </w:t>
      </w:r>
      <w:r w:rsidRPr="005A3564">
        <w:rPr>
          <w:bCs/>
          <w:i/>
          <w:iCs/>
          <w:noProof/>
          <w:sz w:val="22"/>
          <w:szCs w:val="22"/>
          <w:lang w:val="sr-Latn-ME"/>
        </w:rPr>
        <w:t>SCARs)</w:t>
      </w:r>
    </w:p>
    <w:p w14:paraId="41574614" w14:textId="35DED180" w:rsidR="00635AC3" w:rsidRPr="005A3564" w:rsidRDefault="00635AC3" w:rsidP="00685378">
      <w:pPr>
        <w:pStyle w:val="Header"/>
        <w:jc w:val="both"/>
        <w:rPr>
          <w:bCs/>
          <w:noProof/>
          <w:sz w:val="22"/>
          <w:szCs w:val="22"/>
          <w:lang w:val="sr-Latn-ME"/>
        </w:rPr>
      </w:pPr>
      <w:r w:rsidRPr="005A3564">
        <w:rPr>
          <w:bCs/>
          <w:noProof/>
          <w:sz w:val="22"/>
          <w:szCs w:val="22"/>
          <w:lang w:val="sr-Latn-ME"/>
        </w:rPr>
        <w:t>Prijavljene su teške kožne neželjene reakcije (engl. SCARs) nepoznate učestalosti, uključujući multiformni eritem, Stevens-Johnsonov sindrom (SJS), toksičnu epidermalnu nekrolizu (TEN) i reakciju na l</w:t>
      </w:r>
      <w:r w:rsidR="00387683" w:rsidRPr="005A3564">
        <w:rPr>
          <w:bCs/>
          <w:noProof/>
          <w:sz w:val="22"/>
          <w:szCs w:val="22"/>
          <w:lang w:val="sr-Latn-ME"/>
        </w:rPr>
        <w:t>ij</w:t>
      </w:r>
      <w:r w:rsidRPr="005A3564">
        <w:rPr>
          <w:bCs/>
          <w:noProof/>
          <w:sz w:val="22"/>
          <w:szCs w:val="22"/>
          <w:lang w:val="sr-Latn-ME"/>
        </w:rPr>
        <w:t xml:space="preserve">ek sa eozinofilijom i sistemskim simptomima (engl. </w:t>
      </w:r>
      <w:r w:rsidRPr="005A3564">
        <w:rPr>
          <w:bCs/>
          <w:i/>
          <w:iCs/>
          <w:noProof/>
          <w:sz w:val="22"/>
          <w:szCs w:val="22"/>
          <w:lang w:val="sr-Latn-ME"/>
        </w:rPr>
        <w:t>drug reaction with eosinophilia and systemic symptom</w:t>
      </w:r>
      <w:r w:rsidRPr="005A3564">
        <w:rPr>
          <w:bCs/>
          <w:noProof/>
          <w:sz w:val="22"/>
          <w:szCs w:val="22"/>
          <w:lang w:val="sr-Latn-ME"/>
        </w:rPr>
        <w:t>s, DRESS) povezane sa terapijom pantoprazolom, a koje mogu biti opasane po život ili smrtonosne (videti dio 4.8.).</w:t>
      </w:r>
    </w:p>
    <w:p w14:paraId="4C2838DE" w14:textId="3B0054D0" w:rsidR="00635AC3" w:rsidRPr="005A3564" w:rsidRDefault="00635AC3" w:rsidP="001249BE">
      <w:pPr>
        <w:pStyle w:val="Header"/>
        <w:jc w:val="both"/>
        <w:rPr>
          <w:bCs/>
          <w:noProof/>
          <w:sz w:val="22"/>
          <w:szCs w:val="22"/>
          <w:lang w:val="sr-Latn-ME"/>
        </w:rPr>
      </w:pPr>
      <w:r w:rsidRPr="005A3564">
        <w:rPr>
          <w:bCs/>
          <w:noProof/>
          <w:sz w:val="22"/>
          <w:szCs w:val="22"/>
          <w:lang w:val="sr-Latn-ME"/>
        </w:rPr>
        <w:lastRenderedPageBreak/>
        <w:t>Pacijente je potrebno savetovati o znakovima i simptomima ovih reakcija i pomno ih pratiti na moguću pojavu istih.</w:t>
      </w:r>
      <w:r w:rsidR="001249BE" w:rsidRPr="005A3564">
        <w:rPr>
          <w:sz w:val="22"/>
          <w:szCs w:val="22"/>
          <w:lang w:val="sr-Latn-ME"/>
        </w:rPr>
        <w:t xml:space="preserve"> </w:t>
      </w:r>
      <w:r w:rsidR="001249BE" w:rsidRPr="005A3564">
        <w:rPr>
          <w:bCs/>
          <w:noProof/>
          <w:sz w:val="22"/>
          <w:szCs w:val="22"/>
          <w:lang w:val="sr-Latn-ME"/>
        </w:rPr>
        <w:t>U slučaju pojavljivanja znakova i simptoma koji upućuju na navedene reakcije, potrebno je odmah prekinuti primjenu pantoprazola i razmotriti alternativne terapijske opcije</w:t>
      </w:r>
    </w:p>
    <w:p w14:paraId="19A26771" w14:textId="77777777" w:rsidR="00A60833" w:rsidRPr="005A3564" w:rsidRDefault="00A60833" w:rsidP="00A60833">
      <w:pPr>
        <w:tabs>
          <w:tab w:val="left" w:pos="540"/>
          <w:tab w:val="left" w:pos="569"/>
        </w:tabs>
        <w:rPr>
          <w:bCs/>
          <w:sz w:val="22"/>
          <w:szCs w:val="22"/>
          <w:lang w:val="sr-Latn-ME"/>
        </w:rPr>
      </w:pPr>
    </w:p>
    <w:p w14:paraId="0667115A" w14:textId="38D76D78" w:rsidR="00A60833" w:rsidRPr="005A3564" w:rsidRDefault="00A60833" w:rsidP="00A60833">
      <w:pPr>
        <w:pStyle w:val="Header"/>
        <w:rPr>
          <w:i/>
          <w:sz w:val="22"/>
          <w:szCs w:val="22"/>
          <w:lang w:val="sr-Latn-ME"/>
        </w:rPr>
      </w:pPr>
      <w:r w:rsidRPr="005A3564">
        <w:rPr>
          <w:i/>
          <w:sz w:val="22"/>
          <w:szCs w:val="22"/>
          <w:lang w:val="sr-Latn-ME"/>
        </w:rPr>
        <w:t>Subakutni kožni lupus eritematodes (</w:t>
      </w:r>
      <w:r w:rsidR="00005D02" w:rsidRPr="005A3564">
        <w:rPr>
          <w:i/>
          <w:sz w:val="22"/>
          <w:szCs w:val="22"/>
          <w:lang w:val="sr-Latn-ME"/>
        </w:rPr>
        <w:t>engl.</w:t>
      </w:r>
      <w:r w:rsidR="00387683" w:rsidRPr="005A3564">
        <w:rPr>
          <w:i/>
          <w:sz w:val="22"/>
          <w:szCs w:val="22"/>
          <w:lang w:val="sr-Latn-ME"/>
        </w:rPr>
        <w:t xml:space="preserve"> sub-acute cutaneous lupus erythematosus,</w:t>
      </w:r>
      <w:r w:rsidR="00005D02" w:rsidRPr="005A3564">
        <w:rPr>
          <w:i/>
          <w:sz w:val="22"/>
          <w:szCs w:val="22"/>
          <w:lang w:val="sr-Latn-ME"/>
        </w:rPr>
        <w:t xml:space="preserve"> </w:t>
      </w:r>
      <w:r w:rsidRPr="005A3564">
        <w:rPr>
          <w:i/>
          <w:sz w:val="22"/>
          <w:szCs w:val="22"/>
          <w:lang w:val="sr-Latn-ME"/>
        </w:rPr>
        <w:t>SCLE)</w:t>
      </w:r>
    </w:p>
    <w:p w14:paraId="73042919" w14:textId="2E549E51" w:rsidR="00726EB0" w:rsidRPr="005A3564" w:rsidRDefault="00A60833" w:rsidP="00726EB0">
      <w:pPr>
        <w:pStyle w:val="Header"/>
        <w:tabs>
          <w:tab w:val="left" w:pos="284"/>
        </w:tabs>
        <w:jc w:val="both"/>
        <w:rPr>
          <w:sz w:val="22"/>
          <w:szCs w:val="22"/>
          <w:lang w:val="sr-Latn-ME"/>
        </w:rPr>
      </w:pPr>
      <w:r w:rsidRPr="005A3564">
        <w:rPr>
          <w:sz w:val="22"/>
          <w:szCs w:val="22"/>
          <w:lang w:val="sr-Latn-ME"/>
        </w:rPr>
        <w:t xml:space="preserve">Primjena inhibitora protonske pumpe je povezana sa vrlo </w:t>
      </w:r>
      <w:r w:rsidR="00726EB0" w:rsidRPr="005A3564">
        <w:rPr>
          <w:sz w:val="22"/>
          <w:szCs w:val="22"/>
          <w:lang w:val="sr-Latn-ME"/>
        </w:rPr>
        <w:t>rijetkim</w:t>
      </w:r>
      <w:r w:rsidRPr="005A3564">
        <w:rPr>
          <w:sz w:val="22"/>
          <w:szCs w:val="22"/>
          <w:lang w:val="sr-Latn-ME"/>
        </w:rPr>
        <w:t xml:space="preserve"> slučajev</w:t>
      </w:r>
      <w:r w:rsidR="00726EB0" w:rsidRPr="005A3564">
        <w:rPr>
          <w:sz w:val="22"/>
          <w:szCs w:val="22"/>
          <w:lang w:val="sr-Latn-ME"/>
        </w:rPr>
        <w:t>ima</w:t>
      </w:r>
      <w:r w:rsidRPr="005A3564">
        <w:rPr>
          <w:sz w:val="22"/>
          <w:szCs w:val="22"/>
          <w:lang w:val="sr-Latn-ME"/>
        </w:rPr>
        <w:t xml:space="preserve"> SCLE. Ukoliko se pojave lezije, posebno na </w:t>
      </w:r>
      <w:r w:rsidR="00726EB0" w:rsidRPr="005A3564">
        <w:rPr>
          <w:sz w:val="22"/>
          <w:szCs w:val="22"/>
          <w:lang w:val="sr-Latn-ME"/>
        </w:rPr>
        <w:t xml:space="preserve">djelovima kože </w:t>
      </w:r>
      <w:r w:rsidRPr="005A3564">
        <w:rPr>
          <w:sz w:val="22"/>
          <w:szCs w:val="22"/>
          <w:lang w:val="sr-Latn-ME"/>
        </w:rPr>
        <w:t>koj</w:t>
      </w:r>
      <w:r w:rsidR="00726EB0" w:rsidRPr="005A3564">
        <w:rPr>
          <w:sz w:val="22"/>
          <w:szCs w:val="22"/>
          <w:lang w:val="sr-Latn-ME"/>
        </w:rPr>
        <w:t>i</w:t>
      </w:r>
      <w:r w:rsidRPr="005A3564">
        <w:rPr>
          <w:sz w:val="22"/>
          <w:szCs w:val="22"/>
          <w:lang w:val="sr-Latn-ME"/>
        </w:rPr>
        <w:t xml:space="preserve"> su izložen</w:t>
      </w:r>
      <w:r w:rsidR="00726EB0" w:rsidRPr="005A3564">
        <w:rPr>
          <w:sz w:val="22"/>
          <w:szCs w:val="22"/>
          <w:lang w:val="sr-Latn-ME"/>
        </w:rPr>
        <w:t>i</w:t>
      </w:r>
      <w:r w:rsidRPr="005A3564">
        <w:rPr>
          <w:sz w:val="22"/>
          <w:szCs w:val="22"/>
          <w:lang w:val="sr-Latn-ME"/>
        </w:rPr>
        <w:t xml:space="preserve"> suncu i ukoliko su povezane sa pojavom artralgije, pacijentu je potrebno odmah ukazati medicinsku pomoć i ljekar bi trebalo da </w:t>
      </w:r>
      <w:r w:rsidR="00726EB0" w:rsidRPr="005A3564">
        <w:rPr>
          <w:sz w:val="22"/>
          <w:szCs w:val="22"/>
          <w:lang w:val="sr-Latn-ME"/>
        </w:rPr>
        <w:t xml:space="preserve">razmotri </w:t>
      </w:r>
      <w:r w:rsidRPr="005A3564">
        <w:rPr>
          <w:sz w:val="22"/>
          <w:szCs w:val="22"/>
          <w:lang w:val="sr-Latn-ME"/>
        </w:rPr>
        <w:t>preki</w:t>
      </w:r>
      <w:r w:rsidR="00726EB0" w:rsidRPr="005A3564">
        <w:rPr>
          <w:sz w:val="22"/>
          <w:szCs w:val="22"/>
          <w:lang w:val="sr-Latn-ME"/>
        </w:rPr>
        <w:t>d</w:t>
      </w:r>
      <w:r w:rsidRPr="005A3564">
        <w:rPr>
          <w:sz w:val="22"/>
          <w:szCs w:val="22"/>
          <w:lang w:val="sr-Latn-ME"/>
        </w:rPr>
        <w:t xml:space="preserve"> terapij</w:t>
      </w:r>
      <w:r w:rsidR="00726EB0" w:rsidRPr="005A3564">
        <w:rPr>
          <w:sz w:val="22"/>
          <w:szCs w:val="22"/>
          <w:lang w:val="sr-Latn-ME"/>
        </w:rPr>
        <w:t>e</w:t>
      </w:r>
      <w:r w:rsidRPr="005A3564">
        <w:rPr>
          <w:sz w:val="22"/>
          <w:szCs w:val="22"/>
          <w:lang w:val="sr-Latn-ME"/>
        </w:rPr>
        <w:t xml:space="preserve"> lijekom Controloc. </w:t>
      </w:r>
      <w:r w:rsidR="00726EB0" w:rsidRPr="005A3564">
        <w:rPr>
          <w:sz w:val="22"/>
          <w:szCs w:val="22"/>
          <w:lang w:val="sr-Latn-ME"/>
        </w:rPr>
        <w:t>Pojava SCLE pri primjeni jednog inhibitora protonske pumpe može povećati rizik od pojave SCLE pri terapiji drugim lijekom iz ove grupe</w:t>
      </w:r>
    </w:p>
    <w:p w14:paraId="3B115F1F" w14:textId="7F4A4D88" w:rsidR="00A60833" w:rsidRPr="005A3564" w:rsidRDefault="00A60833" w:rsidP="00685378">
      <w:pPr>
        <w:pStyle w:val="Header"/>
        <w:tabs>
          <w:tab w:val="left" w:pos="284"/>
        </w:tabs>
        <w:jc w:val="both"/>
        <w:rPr>
          <w:sz w:val="22"/>
          <w:szCs w:val="22"/>
          <w:lang w:val="sr-Latn-ME"/>
        </w:rPr>
      </w:pPr>
    </w:p>
    <w:p w14:paraId="247AEF4C" w14:textId="77777777" w:rsidR="00A60833" w:rsidRPr="005A3564" w:rsidRDefault="00A60833" w:rsidP="00A60833">
      <w:pPr>
        <w:pStyle w:val="Header"/>
        <w:tabs>
          <w:tab w:val="left" w:pos="284"/>
        </w:tabs>
        <w:rPr>
          <w:sz w:val="22"/>
          <w:szCs w:val="22"/>
          <w:lang w:val="sr-Latn-ME"/>
        </w:rPr>
      </w:pPr>
    </w:p>
    <w:p w14:paraId="1B3AF195" w14:textId="77777777" w:rsidR="00A60833" w:rsidRPr="005A3564" w:rsidRDefault="00A60833" w:rsidP="00A60833">
      <w:pPr>
        <w:pStyle w:val="Header"/>
        <w:rPr>
          <w:i/>
          <w:sz w:val="22"/>
          <w:szCs w:val="22"/>
          <w:lang w:val="sr-Latn-ME"/>
        </w:rPr>
      </w:pPr>
      <w:r w:rsidRPr="005A3564">
        <w:rPr>
          <w:i/>
          <w:sz w:val="22"/>
          <w:szCs w:val="22"/>
          <w:lang w:val="sr-Latn-ME"/>
        </w:rPr>
        <w:t>Interferencija sa laboratorijskim testovima</w:t>
      </w:r>
    </w:p>
    <w:p w14:paraId="3F5292BB" w14:textId="608D5EE1" w:rsidR="00A60833" w:rsidRPr="005A3564" w:rsidRDefault="00A60833" w:rsidP="00005D02">
      <w:pPr>
        <w:pStyle w:val="Header"/>
        <w:tabs>
          <w:tab w:val="left" w:pos="284"/>
        </w:tabs>
        <w:jc w:val="both"/>
        <w:rPr>
          <w:sz w:val="22"/>
          <w:szCs w:val="22"/>
          <w:lang w:val="sr-Latn-ME"/>
        </w:rPr>
      </w:pPr>
      <w:r w:rsidRPr="005A3564">
        <w:rPr>
          <w:sz w:val="22"/>
          <w:szCs w:val="22"/>
          <w:lang w:val="sr-Latn-ME"/>
        </w:rPr>
        <w:t>Povišen nivo Chromogranin A (CgA) može interferirati sa testovima za otkrivanje neuroendokrinih tumora. Kako bi se izbjegla ova interferencija, po</w:t>
      </w:r>
      <w:r w:rsidR="00387683" w:rsidRPr="005A3564">
        <w:rPr>
          <w:sz w:val="22"/>
          <w:szCs w:val="22"/>
          <w:lang w:val="sr-Latn-ME"/>
        </w:rPr>
        <w:t>t</w:t>
      </w:r>
      <w:r w:rsidRPr="005A3564">
        <w:rPr>
          <w:sz w:val="22"/>
          <w:szCs w:val="22"/>
          <w:lang w:val="sr-Latn-ME"/>
        </w:rPr>
        <w:t xml:space="preserve">rebno je prekinuti terapiju lijekom Controloc najmanje 5 dana prije mjerenja CgA (vidjeti </w:t>
      </w:r>
      <w:r w:rsidR="00387683" w:rsidRPr="005A3564">
        <w:rPr>
          <w:sz w:val="22"/>
          <w:szCs w:val="22"/>
          <w:lang w:val="sr-Latn-ME"/>
        </w:rPr>
        <w:t>dio</w:t>
      </w:r>
      <w:r w:rsidRPr="005A3564">
        <w:rPr>
          <w:sz w:val="22"/>
          <w:szCs w:val="22"/>
          <w:lang w:val="sr-Latn-ME"/>
        </w:rPr>
        <w:t xml:space="preserve"> 5.1). Ukoliko se nakon inicijalnog mjerenja, nivoi CgA i gastrina ne vrate na referentne vrijednosti, potrebno je ponoviti mjerenje 14 dana nakon obustavljanja terapije inhibitorom protonske pumpe.</w:t>
      </w:r>
    </w:p>
    <w:p w14:paraId="4873AC8C" w14:textId="77777777" w:rsidR="00005D02" w:rsidRPr="005A3564" w:rsidRDefault="00005D02" w:rsidP="00005D02">
      <w:pPr>
        <w:pStyle w:val="Header"/>
        <w:tabs>
          <w:tab w:val="left" w:pos="284"/>
        </w:tabs>
        <w:jc w:val="both"/>
        <w:rPr>
          <w:sz w:val="22"/>
          <w:szCs w:val="22"/>
          <w:lang w:val="sr-Latn-ME"/>
        </w:rPr>
      </w:pPr>
    </w:p>
    <w:p w14:paraId="72A8F042" w14:textId="20BE476F" w:rsidR="00005D02" w:rsidRPr="005A3564" w:rsidRDefault="00005D02" w:rsidP="00005D02">
      <w:pPr>
        <w:pStyle w:val="Header"/>
        <w:tabs>
          <w:tab w:val="left" w:pos="284"/>
        </w:tabs>
        <w:rPr>
          <w:i/>
          <w:iCs/>
          <w:sz w:val="22"/>
          <w:szCs w:val="22"/>
          <w:lang w:val="sr-Latn-ME"/>
        </w:rPr>
      </w:pPr>
      <w:r w:rsidRPr="005A3564">
        <w:rPr>
          <w:i/>
          <w:iCs/>
          <w:sz w:val="22"/>
          <w:szCs w:val="22"/>
          <w:lang w:val="sr-Latn-ME"/>
        </w:rPr>
        <w:t>Lijek Controloc sadrži natrijum</w:t>
      </w:r>
    </w:p>
    <w:p w14:paraId="5615FA2D" w14:textId="00076F8B" w:rsidR="00005D02" w:rsidRPr="005A3564" w:rsidRDefault="00005D02" w:rsidP="00005D02">
      <w:pPr>
        <w:pStyle w:val="Header"/>
        <w:tabs>
          <w:tab w:val="left" w:pos="284"/>
        </w:tabs>
        <w:rPr>
          <w:sz w:val="22"/>
          <w:szCs w:val="22"/>
          <w:lang w:val="sr-Latn-ME"/>
        </w:rPr>
      </w:pPr>
      <w:r w:rsidRPr="005A3564">
        <w:rPr>
          <w:sz w:val="22"/>
          <w:szCs w:val="22"/>
          <w:lang w:val="sr-Latn-ME"/>
        </w:rPr>
        <w:t>Ovaj lijek sadrži manje od 1mmol natrijuma (23mg) po tableti, te se može smatrati da je bez natrijuma.</w:t>
      </w:r>
    </w:p>
    <w:p w14:paraId="5DD3F336" w14:textId="77777777" w:rsidR="00A60833" w:rsidRPr="005A3564" w:rsidRDefault="00A60833" w:rsidP="00480FB1">
      <w:pPr>
        <w:tabs>
          <w:tab w:val="left" w:pos="540"/>
          <w:tab w:val="left" w:pos="569"/>
        </w:tabs>
        <w:rPr>
          <w:b/>
          <w:bCs/>
          <w:sz w:val="22"/>
          <w:szCs w:val="22"/>
          <w:lang w:val="sr-Latn-ME"/>
        </w:rPr>
      </w:pPr>
    </w:p>
    <w:p w14:paraId="2726524F" w14:textId="77777777" w:rsidR="00411B4B" w:rsidRPr="005A3564" w:rsidRDefault="00411B4B" w:rsidP="00480FB1">
      <w:pPr>
        <w:tabs>
          <w:tab w:val="left" w:pos="540"/>
          <w:tab w:val="left" w:pos="569"/>
        </w:tabs>
        <w:rPr>
          <w:b/>
          <w:bCs/>
          <w:sz w:val="22"/>
          <w:szCs w:val="22"/>
          <w:lang w:val="sr-Latn-ME"/>
        </w:rPr>
      </w:pPr>
      <w:r w:rsidRPr="005A3564">
        <w:rPr>
          <w:b/>
          <w:bCs/>
          <w:sz w:val="22"/>
          <w:szCs w:val="22"/>
          <w:lang w:val="sr-Latn-ME"/>
        </w:rPr>
        <w:t>4.5.</w:t>
      </w:r>
      <w:r w:rsidR="000D60CC" w:rsidRPr="005A3564">
        <w:rPr>
          <w:b/>
          <w:bCs/>
          <w:sz w:val="22"/>
          <w:szCs w:val="22"/>
          <w:lang w:val="sr-Latn-ME"/>
        </w:rPr>
        <w:tab/>
      </w:r>
      <w:r w:rsidRPr="005A3564">
        <w:rPr>
          <w:b/>
          <w:bCs/>
          <w:sz w:val="22"/>
          <w:szCs w:val="22"/>
          <w:lang w:val="sr-Latn-ME"/>
        </w:rPr>
        <w:t>Interakcije sa drugim ljekovima i druge vrste interakcija</w:t>
      </w:r>
    </w:p>
    <w:p w14:paraId="04306590" w14:textId="77777777" w:rsidR="0072020E" w:rsidRPr="005A3564" w:rsidRDefault="0072020E" w:rsidP="00480FB1">
      <w:pPr>
        <w:tabs>
          <w:tab w:val="left" w:pos="540"/>
          <w:tab w:val="left" w:pos="569"/>
        </w:tabs>
        <w:rPr>
          <w:bCs/>
          <w:sz w:val="22"/>
          <w:szCs w:val="22"/>
          <w:lang w:val="sr-Latn-ME"/>
        </w:rPr>
      </w:pPr>
    </w:p>
    <w:p w14:paraId="4FB4F604" w14:textId="77777777" w:rsidR="00A60833" w:rsidRPr="005A3564" w:rsidRDefault="00A60833" w:rsidP="00A60833">
      <w:pPr>
        <w:rPr>
          <w:noProof/>
          <w:sz w:val="22"/>
          <w:szCs w:val="22"/>
          <w:lang w:val="sr-Latn-ME"/>
        </w:rPr>
      </w:pPr>
      <w:r w:rsidRPr="005A3564">
        <w:rPr>
          <w:i/>
          <w:sz w:val="22"/>
          <w:szCs w:val="22"/>
          <w:u w:val="single"/>
          <w:lang w:val="sr-Latn-ME"/>
        </w:rPr>
        <w:t>Ljekovi čija je bioraspoloživost zavisna od pH želudačnog sadržaja</w:t>
      </w:r>
    </w:p>
    <w:p w14:paraId="6C4ED3D6" w14:textId="2A7DBCF9" w:rsidR="00A60833" w:rsidRPr="005A3564" w:rsidRDefault="00A60833" w:rsidP="00A60833">
      <w:pPr>
        <w:jc w:val="both"/>
        <w:rPr>
          <w:sz w:val="22"/>
          <w:szCs w:val="22"/>
          <w:lang w:val="sr-Latn-ME"/>
        </w:rPr>
      </w:pPr>
      <w:r w:rsidRPr="005A3564">
        <w:rPr>
          <w:sz w:val="22"/>
          <w:szCs w:val="22"/>
          <w:lang w:val="sr-Latn-ME"/>
        </w:rPr>
        <w:t xml:space="preserve">Zbog snažne i dugotrajne inhibicije </w:t>
      </w:r>
      <w:r w:rsidR="001249BE" w:rsidRPr="005A3564">
        <w:rPr>
          <w:sz w:val="22"/>
          <w:szCs w:val="22"/>
          <w:lang w:val="sr-Latn-ME"/>
        </w:rPr>
        <w:t xml:space="preserve">sekrecije </w:t>
      </w:r>
      <w:r w:rsidRPr="005A3564">
        <w:rPr>
          <w:sz w:val="22"/>
          <w:szCs w:val="22"/>
          <w:lang w:val="sr-Latn-ME"/>
        </w:rPr>
        <w:t>želudačne</w:t>
      </w:r>
      <w:r w:rsidR="001249BE" w:rsidRPr="005A3564">
        <w:rPr>
          <w:sz w:val="22"/>
          <w:szCs w:val="22"/>
          <w:lang w:val="sr-Latn-ME"/>
        </w:rPr>
        <w:t xml:space="preserve"> kiseline</w:t>
      </w:r>
      <w:r w:rsidRPr="005A3564">
        <w:rPr>
          <w:sz w:val="22"/>
          <w:szCs w:val="22"/>
          <w:lang w:val="sr-Latn-ME"/>
        </w:rPr>
        <w:t>, pantoprazol može da dovede do smanjenja resorpcije ljekova čija je biološka raspoloživost zavisna od pH želudačnog sadržaja, na primjer nekih azolnih antimikotika kao što su ketokonazol, itrakonazol, posakonazol i ostalih ljekova kao što je erlotinib.</w:t>
      </w:r>
    </w:p>
    <w:p w14:paraId="2721B786" w14:textId="77777777" w:rsidR="00A60833" w:rsidRPr="005A3564" w:rsidRDefault="00A60833" w:rsidP="00A60833">
      <w:pPr>
        <w:jc w:val="both"/>
        <w:rPr>
          <w:sz w:val="22"/>
          <w:szCs w:val="22"/>
          <w:lang w:val="sr-Latn-ME"/>
        </w:rPr>
      </w:pPr>
    </w:p>
    <w:p w14:paraId="538A500B" w14:textId="77777777" w:rsidR="00A60833" w:rsidRPr="005A3564" w:rsidRDefault="00A60833" w:rsidP="00A60833">
      <w:pPr>
        <w:rPr>
          <w:i/>
          <w:sz w:val="22"/>
          <w:szCs w:val="22"/>
          <w:lang w:val="sr-Latn-ME"/>
        </w:rPr>
      </w:pPr>
      <w:r w:rsidRPr="005A3564">
        <w:rPr>
          <w:sz w:val="22"/>
          <w:szCs w:val="22"/>
          <w:u w:val="single"/>
          <w:lang w:val="sr-Latn-ME"/>
        </w:rPr>
        <w:t>Ljekovi u terapiji HIV infekcije (</w:t>
      </w:r>
      <w:r w:rsidRPr="005A3564">
        <w:rPr>
          <w:i/>
          <w:sz w:val="22"/>
          <w:szCs w:val="22"/>
          <w:u w:val="single"/>
          <w:lang w:val="sr-Latn-ME"/>
        </w:rPr>
        <w:t>inhibitori HIV proteaze</w:t>
      </w:r>
      <w:r w:rsidRPr="005A3564">
        <w:rPr>
          <w:sz w:val="22"/>
          <w:szCs w:val="22"/>
          <w:u w:val="single"/>
          <w:lang w:val="sr-Latn-ME"/>
        </w:rPr>
        <w:t>)</w:t>
      </w:r>
    </w:p>
    <w:p w14:paraId="7C2D90F5" w14:textId="38903976" w:rsidR="00A60833" w:rsidRPr="005A3564" w:rsidRDefault="00A60833" w:rsidP="00A60833">
      <w:pPr>
        <w:jc w:val="both"/>
        <w:rPr>
          <w:sz w:val="22"/>
          <w:szCs w:val="22"/>
          <w:lang w:val="sr-Latn-ME"/>
        </w:rPr>
      </w:pPr>
      <w:r w:rsidRPr="005A3564">
        <w:rPr>
          <w:sz w:val="22"/>
          <w:szCs w:val="22"/>
          <w:lang w:val="sr-Latn-ME"/>
        </w:rPr>
        <w:t xml:space="preserve">Ne preporučuje se istovremena primjena pantoprazola i inhibitora HIV proteaze čija je resorpcija zavisna od pH želudačnog sadržaja, kao što je atazanavir, a uslijed značajnog smanjenja njihove bioraspoloživosti (vidjeti </w:t>
      </w:r>
      <w:r w:rsidR="009844CB" w:rsidRPr="005A3564">
        <w:rPr>
          <w:sz w:val="22"/>
          <w:szCs w:val="22"/>
          <w:lang w:val="sr-Latn-ME"/>
        </w:rPr>
        <w:t>dio</w:t>
      </w:r>
      <w:r w:rsidRPr="005A3564">
        <w:rPr>
          <w:sz w:val="22"/>
          <w:szCs w:val="22"/>
          <w:lang w:val="sr-Latn-ME"/>
        </w:rPr>
        <w:t xml:space="preserve"> 4.4).</w:t>
      </w:r>
    </w:p>
    <w:p w14:paraId="7B1EF479" w14:textId="77777777" w:rsidR="00A60833" w:rsidRPr="005A3564" w:rsidRDefault="00A60833" w:rsidP="00005D02">
      <w:pPr>
        <w:jc w:val="both"/>
        <w:rPr>
          <w:sz w:val="22"/>
          <w:szCs w:val="22"/>
          <w:lang w:val="sr-Latn-ME"/>
        </w:rPr>
      </w:pPr>
    </w:p>
    <w:p w14:paraId="6D95AE54" w14:textId="77777777" w:rsidR="00A60833" w:rsidRPr="005A3564" w:rsidRDefault="00A60833" w:rsidP="00685378">
      <w:pPr>
        <w:jc w:val="both"/>
        <w:rPr>
          <w:sz w:val="22"/>
          <w:szCs w:val="22"/>
          <w:lang w:val="sr-Latn-ME"/>
        </w:rPr>
      </w:pPr>
      <w:r w:rsidRPr="005A3564">
        <w:rPr>
          <w:sz w:val="22"/>
          <w:szCs w:val="22"/>
          <w:lang w:val="sr-Latn-ME"/>
        </w:rPr>
        <w:t>Ako se procijeni da je istovremena upotreba ova dva lijeka neizbježna, preporučuje se pažljivo kliničko praćenje (npr. viremija - virusno opterećenje). Dozu pantoprazola od 20 mg dnevno ne treba prekoračivati. Doziranje inhibitora HIV proteaze bi možda trebalo prilagoditi.</w:t>
      </w:r>
    </w:p>
    <w:p w14:paraId="224DCDC5" w14:textId="77777777" w:rsidR="00A60833" w:rsidRPr="005A3564" w:rsidRDefault="00A60833" w:rsidP="00005D02">
      <w:pPr>
        <w:jc w:val="both"/>
        <w:rPr>
          <w:sz w:val="22"/>
          <w:szCs w:val="22"/>
          <w:lang w:val="sr-Latn-ME"/>
        </w:rPr>
      </w:pPr>
    </w:p>
    <w:p w14:paraId="1DDBBEC8" w14:textId="77777777" w:rsidR="00A60833" w:rsidRPr="005A3564" w:rsidRDefault="00A60833" w:rsidP="00A60833">
      <w:pPr>
        <w:rPr>
          <w:sz w:val="22"/>
          <w:szCs w:val="22"/>
          <w:u w:val="single"/>
          <w:lang w:val="sr-Latn-ME"/>
        </w:rPr>
      </w:pPr>
      <w:r w:rsidRPr="005A3564">
        <w:rPr>
          <w:sz w:val="22"/>
          <w:szCs w:val="22"/>
          <w:u w:val="single"/>
          <w:lang w:val="sr-Latn-ME"/>
        </w:rPr>
        <w:t>Kumarinski antikoagulansi (fenprokumon ili varfarin)</w:t>
      </w:r>
    </w:p>
    <w:p w14:paraId="1232CBB0" w14:textId="0E800018" w:rsidR="00A60833" w:rsidRPr="005A3564" w:rsidRDefault="00A60833" w:rsidP="00685378">
      <w:pPr>
        <w:jc w:val="both"/>
        <w:rPr>
          <w:sz w:val="22"/>
          <w:szCs w:val="22"/>
          <w:lang w:val="sr-Latn-ME"/>
        </w:rPr>
      </w:pPr>
      <w:r w:rsidRPr="005A3564">
        <w:rPr>
          <w:sz w:val="22"/>
          <w:szCs w:val="22"/>
          <w:lang w:val="sr-Latn-ME"/>
        </w:rPr>
        <w:t>Istovremena primjena pantoprazola i varfarina ili fenoprokumonoma nije ugrozila farmakokinetiku varfarina, fenoprokumona ili INR. Međutim, prijavljeno je nekoliko slučajeva povećanja INR i protrombinskog vremena kod pacijenata koji su na istovremenoj terapiji IPP i varfarin</w:t>
      </w:r>
      <w:r w:rsidR="00735C7F" w:rsidRPr="005A3564">
        <w:rPr>
          <w:sz w:val="22"/>
          <w:szCs w:val="22"/>
          <w:lang w:val="sr-Latn-ME"/>
        </w:rPr>
        <w:t>om</w:t>
      </w:r>
      <w:r w:rsidRPr="005A3564">
        <w:rPr>
          <w:sz w:val="22"/>
          <w:szCs w:val="22"/>
          <w:lang w:val="sr-Latn-ME"/>
        </w:rPr>
        <w:t xml:space="preserve"> ili fenoprokumonom. Povećanje INR i protrombinskog vremena može dovesti do abnormalnog krvarenja, čak i smrtnog ishoda. Pacijenti koji su na terapiji pantoprazolom i varfarinom ili fenoprokumonomom moraju biti praćeni zbog povećanja INR i protrombinskog vremena.</w:t>
      </w:r>
    </w:p>
    <w:p w14:paraId="41BCC7EC" w14:textId="77777777" w:rsidR="00A60833" w:rsidRPr="005A3564" w:rsidRDefault="00A60833" w:rsidP="00A60833">
      <w:pPr>
        <w:rPr>
          <w:sz w:val="22"/>
          <w:szCs w:val="22"/>
          <w:lang w:val="sr-Latn-ME"/>
        </w:rPr>
      </w:pPr>
    </w:p>
    <w:p w14:paraId="024E904A" w14:textId="77777777" w:rsidR="00A60833" w:rsidRPr="005A3564" w:rsidRDefault="00A60833" w:rsidP="00A60833">
      <w:pPr>
        <w:rPr>
          <w:i/>
          <w:sz w:val="22"/>
          <w:szCs w:val="22"/>
          <w:lang w:val="sr-Latn-ME"/>
        </w:rPr>
      </w:pPr>
      <w:r w:rsidRPr="005A3564">
        <w:rPr>
          <w:i/>
          <w:sz w:val="22"/>
          <w:szCs w:val="22"/>
          <w:lang w:val="sr-Latn-ME"/>
        </w:rPr>
        <w:t>Metotreksat</w:t>
      </w:r>
    </w:p>
    <w:p w14:paraId="1B021B69" w14:textId="77777777" w:rsidR="00A60833" w:rsidRPr="005A3564" w:rsidRDefault="00A60833" w:rsidP="00685378">
      <w:pPr>
        <w:jc w:val="both"/>
        <w:rPr>
          <w:sz w:val="22"/>
          <w:szCs w:val="22"/>
          <w:lang w:val="sr-Latn-ME"/>
        </w:rPr>
      </w:pPr>
      <w:r w:rsidRPr="005A3564">
        <w:rPr>
          <w:sz w:val="22"/>
          <w:szCs w:val="22"/>
          <w:lang w:val="sr-Latn-ME"/>
        </w:rPr>
        <w:t>Pri istovremenoj primjeni visokih doza metotreksata (npr. 300 mg) i inhibitora protonske pumpe prijavljeno je da kod nekih pacijenata dolazi do povećanja nivoa metotreksata. Prema tome, kod pacijenata kod kojih se primjenjuje visoka doza metotreksata, na primjer kod terapije karcinoma i psorijaze, trebalo bi uzeti u obzir privremeni prekid terapije pantoprazolom.</w:t>
      </w:r>
    </w:p>
    <w:p w14:paraId="3AE24B49" w14:textId="77777777" w:rsidR="00A60833" w:rsidRPr="005A3564" w:rsidRDefault="00A60833" w:rsidP="00A60833">
      <w:pPr>
        <w:jc w:val="both"/>
        <w:rPr>
          <w:sz w:val="22"/>
          <w:szCs w:val="22"/>
          <w:lang w:val="sr-Latn-ME"/>
        </w:rPr>
      </w:pPr>
    </w:p>
    <w:p w14:paraId="166F0C95" w14:textId="39FDD8ED" w:rsidR="00A60833" w:rsidRPr="005A3564" w:rsidRDefault="00A60833" w:rsidP="00A60833">
      <w:pPr>
        <w:rPr>
          <w:sz w:val="22"/>
          <w:szCs w:val="22"/>
          <w:u w:val="single"/>
          <w:lang w:val="sr-Latn-ME"/>
        </w:rPr>
      </w:pPr>
      <w:r w:rsidRPr="005A3564">
        <w:rPr>
          <w:sz w:val="22"/>
          <w:szCs w:val="22"/>
          <w:u w:val="single"/>
          <w:lang w:val="sr-Latn-ME"/>
        </w:rPr>
        <w:t>Ostal</w:t>
      </w:r>
      <w:r w:rsidR="005617AA" w:rsidRPr="005A3564">
        <w:rPr>
          <w:sz w:val="22"/>
          <w:szCs w:val="22"/>
          <w:u w:val="single"/>
          <w:lang w:val="sr-Latn-ME"/>
        </w:rPr>
        <w:t>e</w:t>
      </w:r>
      <w:r w:rsidRPr="005A3564">
        <w:rPr>
          <w:sz w:val="22"/>
          <w:szCs w:val="22"/>
          <w:u w:val="single"/>
          <w:lang w:val="sr-Latn-ME"/>
        </w:rPr>
        <w:t xml:space="preserve"> </w:t>
      </w:r>
      <w:r w:rsidR="00005D02" w:rsidRPr="005A3564">
        <w:rPr>
          <w:sz w:val="22"/>
          <w:szCs w:val="22"/>
          <w:u w:val="single"/>
          <w:lang w:val="sr-Latn-ME"/>
        </w:rPr>
        <w:t>studije</w:t>
      </w:r>
      <w:r w:rsidRPr="005A3564">
        <w:rPr>
          <w:sz w:val="22"/>
          <w:szCs w:val="22"/>
          <w:u w:val="single"/>
          <w:lang w:val="sr-Latn-ME"/>
        </w:rPr>
        <w:t xml:space="preserve"> interakcija</w:t>
      </w:r>
    </w:p>
    <w:p w14:paraId="3D427A88" w14:textId="77777777" w:rsidR="00A60833" w:rsidRPr="005A3564" w:rsidRDefault="00A60833" w:rsidP="00005D02">
      <w:pPr>
        <w:jc w:val="both"/>
        <w:rPr>
          <w:sz w:val="22"/>
          <w:szCs w:val="22"/>
          <w:lang w:val="sr-Latn-ME"/>
        </w:rPr>
      </w:pPr>
      <w:r w:rsidRPr="005A3564">
        <w:rPr>
          <w:sz w:val="22"/>
          <w:szCs w:val="22"/>
          <w:lang w:val="sr-Latn-ME"/>
        </w:rPr>
        <w:t xml:space="preserve">Pantoprazol se intenzivno metaboliše u jetri putem citohrom P450 enzimskog sistema. Glavni metabolički put je demetilacija pomoću izoenzima CYP2C19, a ostali metabolički putevi uključuju oksidaciju pomoću CYP3A4. </w:t>
      </w:r>
    </w:p>
    <w:p w14:paraId="3A639B68" w14:textId="194623B8" w:rsidR="00A60833" w:rsidRPr="005A3564" w:rsidRDefault="005617AA" w:rsidP="00005D02">
      <w:pPr>
        <w:jc w:val="both"/>
        <w:rPr>
          <w:sz w:val="22"/>
          <w:szCs w:val="22"/>
          <w:lang w:val="sr-Latn-ME"/>
        </w:rPr>
      </w:pPr>
      <w:r w:rsidRPr="005A3564">
        <w:rPr>
          <w:sz w:val="22"/>
          <w:szCs w:val="22"/>
          <w:lang w:val="sr-Latn-ME"/>
        </w:rPr>
        <w:lastRenderedPageBreak/>
        <w:t xml:space="preserve">Studije interakcije </w:t>
      </w:r>
      <w:r w:rsidR="00A60833" w:rsidRPr="005A3564">
        <w:rPr>
          <w:sz w:val="22"/>
          <w:szCs w:val="22"/>
          <w:lang w:val="sr-Latn-ME"/>
        </w:rPr>
        <w:t xml:space="preserve">sa </w:t>
      </w:r>
      <w:r w:rsidRPr="005A3564">
        <w:rPr>
          <w:sz w:val="22"/>
          <w:szCs w:val="22"/>
          <w:lang w:val="sr-Latn-ME"/>
        </w:rPr>
        <w:t>ljekovima</w:t>
      </w:r>
      <w:r w:rsidR="00A60833" w:rsidRPr="005A3564">
        <w:rPr>
          <w:sz w:val="22"/>
          <w:szCs w:val="22"/>
          <w:lang w:val="sr-Latn-ME"/>
        </w:rPr>
        <w:t xml:space="preserve"> koji se takođe metabolišu ovim putevima, kao što su karbamazepin, diazepam, glibenklamid, nifedipin i oralni kontraceptivi koji sadrži levonorgestrel i etinilestradiol, nijesu pokazale klinički značajne interakcije.</w:t>
      </w:r>
    </w:p>
    <w:p w14:paraId="1A4DC31E" w14:textId="77777777" w:rsidR="00A60833" w:rsidRPr="005A3564" w:rsidRDefault="00A60833" w:rsidP="00685378">
      <w:pPr>
        <w:jc w:val="both"/>
        <w:rPr>
          <w:sz w:val="22"/>
          <w:szCs w:val="22"/>
          <w:lang w:val="sr-Latn-ME"/>
        </w:rPr>
      </w:pPr>
    </w:p>
    <w:p w14:paraId="344323AD" w14:textId="5F904D18" w:rsidR="00A60833" w:rsidRPr="005A3564" w:rsidRDefault="00A60833" w:rsidP="00685378">
      <w:pPr>
        <w:jc w:val="both"/>
        <w:rPr>
          <w:sz w:val="22"/>
          <w:szCs w:val="22"/>
          <w:lang w:val="sr-Latn-ME"/>
        </w:rPr>
      </w:pPr>
      <w:r w:rsidRPr="005A3564">
        <w:rPr>
          <w:sz w:val="22"/>
          <w:szCs w:val="22"/>
          <w:lang w:val="sr-Latn-ME"/>
        </w:rPr>
        <w:t xml:space="preserve">Interakcije pantoprazola sa drugim </w:t>
      </w:r>
      <w:r w:rsidR="000F462A" w:rsidRPr="005A3564">
        <w:rPr>
          <w:sz w:val="22"/>
          <w:szCs w:val="22"/>
          <w:lang w:val="sr-Latn-ME"/>
        </w:rPr>
        <w:t>ljekovima</w:t>
      </w:r>
      <w:r w:rsidRPr="005A3564">
        <w:rPr>
          <w:sz w:val="22"/>
          <w:szCs w:val="22"/>
          <w:lang w:val="sr-Latn-ME"/>
        </w:rPr>
        <w:t xml:space="preserve"> ili jedinjenjima, koja se metabolišu koristeći isti sistem enzima, se ne mogu isključiti.</w:t>
      </w:r>
    </w:p>
    <w:p w14:paraId="0EBC6C28" w14:textId="77777777" w:rsidR="00A60833" w:rsidRPr="005A3564" w:rsidRDefault="00A60833" w:rsidP="00A60833">
      <w:pPr>
        <w:rPr>
          <w:sz w:val="22"/>
          <w:szCs w:val="22"/>
          <w:lang w:val="sr-Latn-ME"/>
        </w:rPr>
      </w:pPr>
    </w:p>
    <w:p w14:paraId="6D8DF8DE" w14:textId="3DEA6A49" w:rsidR="00A60833" w:rsidRPr="005A3564" w:rsidRDefault="00A60833" w:rsidP="00A60833">
      <w:pPr>
        <w:jc w:val="both"/>
        <w:rPr>
          <w:sz w:val="22"/>
          <w:szCs w:val="22"/>
          <w:lang w:val="sr-Latn-ME"/>
        </w:rPr>
      </w:pPr>
      <w:r w:rsidRPr="005A3564">
        <w:rPr>
          <w:sz w:val="22"/>
          <w:szCs w:val="22"/>
          <w:lang w:val="sr-Latn-ME"/>
        </w:rPr>
        <w:t>Rezultati brojnih ispitivanja interakcija pokazal</w:t>
      </w:r>
      <w:r w:rsidR="000F462A" w:rsidRPr="005A3564">
        <w:rPr>
          <w:sz w:val="22"/>
          <w:szCs w:val="22"/>
          <w:lang w:val="sr-Latn-ME"/>
        </w:rPr>
        <w:t>i</w:t>
      </w:r>
      <w:r w:rsidRPr="005A3564">
        <w:rPr>
          <w:sz w:val="22"/>
          <w:szCs w:val="22"/>
          <w:lang w:val="sr-Latn-ME"/>
        </w:rPr>
        <w:t xml:space="preserve"> su da pantoprazol ne utiče na metabolizam aktivnih supstanci koje se metabolišu putem CYP1A2 (kao što su kofein, teofilin), CYP2C9 (kao što su piroksikam, diklofenak, naproksen), CYP2D6 (kao što je metoprolol), CYP2E1 (kao što je etanol) i ne remeti resorpciju digoksina povezanu sa p-glikoproteinom.</w:t>
      </w:r>
    </w:p>
    <w:p w14:paraId="7A9161A5" w14:textId="77777777" w:rsidR="00A60833" w:rsidRPr="005A3564" w:rsidRDefault="00A60833" w:rsidP="00A60833">
      <w:pPr>
        <w:jc w:val="both"/>
        <w:rPr>
          <w:sz w:val="22"/>
          <w:szCs w:val="22"/>
          <w:lang w:val="sr-Latn-ME"/>
        </w:rPr>
      </w:pPr>
    </w:p>
    <w:p w14:paraId="365BE0AB" w14:textId="77777777" w:rsidR="00A60833" w:rsidRPr="005A3564" w:rsidRDefault="00A60833" w:rsidP="00A60833">
      <w:pPr>
        <w:jc w:val="both"/>
        <w:rPr>
          <w:sz w:val="22"/>
          <w:szCs w:val="22"/>
          <w:lang w:val="sr-Latn-ME"/>
        </w:rPr>
      </w:pPr>
      <w:r w:rsidRPr="005A3564">
        <w:rPr>
          <w:sz w:val="22"/>
          <w:szCs w:val="22"/>
          <w:lang w:val="sr-Latn-ME"/>
        </w:rPr>
        <w:t>Nema interakcije kod istovremene primjene sa antacidima.</w:t>
      </w:r>
    </w:p>
    <w:p w14:paraId="7DC6BEFC" w14:textId="77777777" w:rsidR="00A60833" w:rsidRPr="005A3564" w:rsidRDefault="00A60833" w:rsidP="00A60833">
      <w:pPr>
        <w:jc w:val="both"/>
        <w:rPr>
          <w:sz w:val="22"/>
          <w:szCs w:val="22"/>
          <w:lang w:val="sr-Latn-ME"/>
        </w:rPr>
      </w:pPr>
    </w:p>
    <w:p w14:paraId="4C99B299" w14:textId="77777777" w:rsidR="00A60833" w:rsidRPr="005A3564" w:rsidRDefault="00A60833" w:rsidP="00A60833">
      <w:pPr>
        <w:jc w:val="both"/>
        <w:rPr>
          <w:sz w:val="22"/>
          <w:szCs w:val="22"/>
          <w:lang w:val="sr-Latn-ME"/>
        </w:rPr>
      </w:pPr>
      <w:r w:rsidRPr="005A3564">
        <w:rPr>
          <w:sz w:val="22"/>
          <w:szCs w:val="22"/>
          <w:lang w:val="sr-Latn-ME"/>
        </w:rPr>
        <w:t>Takođe su sprovedene studije u kojima je istovremeno primjenjivan pantoprazol sa odgovarajućim antibioticima (klaritromicin, metronidazol, amoksicilin). Nijesu utvrđene klinički značajne interakcije.</w:t>
      </w:r>
    </w:p>
    <w:p w14:paraId="3F656489" w14:textId="77777777" w:rsidR="00A60833" w:rsidRPr="005A3564" w:rsidRDefault="00A60833" w:rsidP="00A60833">
      <w:pPr>
        <w:tabs>
          <w:tab w:val="left" w:pos="540"/>
          <w:tab w:val="left" w:pos="569"/>
        </w:tabs>
        <w:rPr>
          <w:bCs/>
          <w:sz w:val="22"/>
          <w:szCs w:val="22"/>
          <w:lang w:val="sr-Latn-ME"/>
        </w:rPr>
      </w:pPr>
    </w:p>
    <w:p w14:paraId="2FCEA427" w14:textId="3C4F8B03" w:rsidR="00A60833" w:rsidRPr="005A3564" w:rsidRDefault="000F462A" w:rsidP="00A60833">
      <w:pPr>
        <w:pStyle w:val="Header"/>
        <w:tabs>
          <w:tab w:val="left" w:pos="284"/>
        </w:tabs>
        <w:rPr>
          <w:b/>
          <w:sz w:val="22"/>
          <w:szCs w:val="22"/>
          <w:lang w:val="sr-Latn-ME"/>
        </w:rPr>
      </w:pPr>
      <w:r w:rsidRPr="005A3564">
        <w:rPr>
          <w:b/>
          <w:sz w:val="22"/>
          <w:szCs w:val="22"/>
          <w:lang w:val="sr-Latn-ME"/>
        </w:rPr>
        <w:t>Ljekovi</w:t>
      </w:r>
      <w:r w:rsidR="00A60833" w:rsidRPr="005A3564">
        <w:rPr>
          <w:b/>
          <w:sz w:val="22"/>
          <w:szCs w:val="22"/>
          <w:lang w:val="sr-Latn-ME"/>
        </w:rPr>
        <w:t xml:space="preserve"> koji inhibi</w:t>
      </w:r>
      <w:r w:rsidRPr="005A3564">
        <w:rPr>
          <w:b/>
          <w:sz w:val="22"/>
          <w:szCs w:val="22"/>
          <w:lang w:val="sr-Latn-ME"/>
        </w:rPr>
        <w:t>raju</w:t>
      </w:r>
      <w:r w:rsidR="00A60833" w:rsidRPr="005A3564">
        <w:rPr>
          <w:b/>
          <w:sz w:val="22"/>
          <w:szCs w:val="22"/>
          <w:lang w:val="sr-Latn-ME"/>
        </w:rPr>
        <w:t xml:space="preserve"> ili indukuju CYP2C19:</w:t>
      </w:r>
    </w:p>
    <w:p w14:paraId="257C317B" w14:textId="77777777" w:rsidR="00A60833" w:rsidRPr="005A3564" w:rsidRDefault="00A60833" w:rsidP="00A60833">
      <w:pPr>
        <w:pStyle w:val="Header"/>
        <w:tabs>
          <w:tab w:val="left" w:pos="284"/>
        </w:tabs>
        <w:rPr>
          <w:sz w:val="22"/>
          <w:szCs w:val="22"/>
          <w:lang w:val="sr-Latn-ME"/>
        </w:rPr>
      </w:pPr>
    </w:p>
    <w:p w14:paraId="2882EFD6" w14:textId="2EAE5A2C" w:rsidR="00A60833" w:rsidRPr="005A3564" w:rsidRDefault="00A60833" w:rsidP="00685378">
      <w:pPr>
        <w:pStyle w:val="Header"/>
        <w:tabs>
          <w:tab w:val="left" w:pos="284"/>
        </w:tabs>
        <w:jc w:val="both"/>
        <w:rPr>
          <w:sz w:val="22"/>
          <w:szCs w:val="22"/>
          <w:lang w:val="sr-Latn-ME"/>
        </w:rPr>
      </w:pPr>
      <w:r w:rsidRPr="005A3564">
        <w:rPr>
          <w:sz w:val="22"/>
          <w:szCs w:val="22"/>
          <w:lang w:val="sr-Latn-ME"/>
        </w:rPr>
        <w:t>Inhibitori CYP2C19 kao što su fluvoksamin mogu povećati sistemsku izloženost pantoprazol</w:t>
      </w:r>
      <w:r w:rsidR="000F462A" w:rsidRPr="005A3564">
        <w:rPr>
          <w:sz w:val="22"/>
          <w:szCs w:val="22"/>
          <w:lang w:val="sr-Latn-ME"/>
        </w:rPr>
        <w:t>u</w:t>
      </w:r>
      <w:r w:rsidRPr="005A3564">
        <w:rPr>
          <w:sz w:val="22"/>
          <w:szCs w:val="22"/>
          <w:lang w:val="sr-Latn-ME"/>
        </w:rPr>
        <w:t xml:space="preserve">. Potrebno je razmisliti o smanjenju doze kod pacjenata na dugotrajnoj terapiji </w:t>
      </w:r>
      <w:r w:rsidR="00F66419" w:rsidRPr="005A3564">
        <w:rPr>
          <w:sz w:val="22"/>
          <w:szCs w:val="22"/>
          <w:lang w:val="sr-Latn-ME"/>
        </w:rPr>
        <w:t xml:space="preserve">visokim dozma </w:t>
      </w:r>
      <w:r w:rsidRPr="005A3564">
        <w:rPr>
          <w:sz w:val="22"/>
          <w:szCs w:val="22"/>
          <w:lang w:val="sr-Latn-ME"/>
        </w:rPr>
        <w:t>pantoprazolom, ili kod onih sa poremećenom funkcijom jetre.</w:t>
      </w:r>
    </w:p>
    <w:p w14:paraId="4237A867" w14:textId="77777777" w:rsidR="00A60833" w:rsidRPr="005A3564" w:rsidRDefault="00A60833" w:rsidP="00685378">
      <w:pPr>
        <w:pStyle w:val="Header"/>
        <w:tabs>
          <w:tab w:val="left" w:pos="284"/>
        </w:tabs>
        <w:jc w:val="both"/>
        <w:rPr>
          <w:sz w:val="22"/>
          <w:szCs w:val="22"/>
          <w:lang w:val="sr-Latn-ME"/>
        </w:rPr>
      </w:pPr>
    </w:p>
    <w:p w14:paraId="6C445214" w14:textId="77777777" w:rsidR="00A60833" w:rsidRPr="005A3564" w:rsidRDefault="00A60833" w:rsidP="005617AA">
      <w:pPr>
        <w:pStyle w:val="Header"/>
        <w:tabs>
          <w:tab w:val="left" w:pos="284"/>
        </w:tabs>
        <w:jc w:val="both"/>
        <w:rPr>
          <w:sz w:val="22"/>
          <w:szCs w:val="22"/>
          <w:lang w:val="sr-Latn-ME"/>
        </w:rPr>
      </w:pPr>
      <w:r w:rsidRPr="005A3564">
        <w:rPr>
          <w:sz w:val="22"/>
          <w:szCs w:val="22"/>
          <w:lang w:val="sr-Latn-ME"/>
        </w:rPr>
        <w:t>Induktori CYP2C19 i CYP3A4 kao što su rifampicin i kantarion (</w:t>
      </w:r>
      <w:r w:rsidRPr="005A3564">
        <w:rPr>
          <w:i/>
          <w:iCs/>
          <w:sz w:val="22"/>
          <w:szCs w:val="22"/>
          <w:lang w:val="sr-Latn-ME"/>
        </w:rPr>
        <w:t>Hypericum perforatum</w:t>
      </w:r>
      <w:r w:rsidRPr="005A3564">
        <w:rPr>
          <w:sz w:val="22"/>
          <w:szCs w:val="22"/>
          <w:lang w:val="sr-Latn-ME"/>
        </w:rPr>
        <w:t>) mogu smanjiti koncentraciju IPP koji se metabolišu pomoću ovih enzima, u plazmi.</w:t>
      </w:r>
    </w:p>
    <w:p w14:paraId="1EF9398B" w14:textId="77777777" w:rsidR="004E66FF" w:rsidRPr="005A3564" w:rsidRDefault="004E66FF" w:rsidP="004E66FF">
      <w:pPr>
        <w:pStyle w:val="Header"/>
        <w:tabs>
          <w:tab w:val="left" w:pos="284"/>
        </w:tabs>
        <w:rPr>
          <w:i/>
          <w:iCs/>
          <w:sz w:val="22"/>
          <w:szCs w:val="22"/>
          <w:lang w:val="sr-Latn-ME"/>
        </w:rPr>
      </w:pPr>
      <w:bookmarkStart w:id="0" w:name="_Hlk141098502"/>
    </w:p>
    <w:p w14:paraId="516E9DA6" w14:textId="71D1D87A" w:rsidR="004E66FF" w:rsidRPr="005A3564" w:rsidRDefault="004E66FF" w:rsidP="004E66FF">
      <w:pPr>
        <w:pStyle w:val="Header"/>
        <w:tabs>
          <w:tab w:val="left" w:pos="284"/>
        </w:tabs>
        <w:rPr>
          <w:sz w:val="22"/>
          <w:szCs w:val="22"/>
          <w:lang w:val="sr-Latn-ME"/>
        </w:rPr>
      </w:pPr>
      <w:r w:rsidRPr="005A3564">
        <w:rPr>
          <w:i/>
          <w:iCs/>
          <w:sz w:val="22"/>
          <w:szCs w:val="22"/>
          <w:lang w:val="sr-Latn-ME"/>
        </w:rPr>
        <w:t>Interakcije lijeka sa laboratorijskim analizama</w:t>
      </w:r>
    </w:p>
    <w:p w14:paraId="140DC13B" w14:textId="73457F46" w:rsidR="00A60833" w:rsidRPr="005A3564" w:rsidRDefault="004E66FF" w:rsidP="00113CF2">
      <w:pPr>
        <w:pStyle w:val="Header"/>
        <w:tabs>
          <w:tab w:val="left" w:pos="284"/>
        </w:tabs>
        <w:jc w:val="both"/>
        <w:rPr>
          <w:bCs/>
          <w:sz w:val="22"/>
          <w:szCs w:val="22"/>
          <w:lang w:val="sr-Latn-ME"/>
        </w:rPr>
      </w:pPr>
      <w:r w:rsidRPr="005A3564">
        <w:rPr>
          <w:sz w:val="22"/>
          <w:szCs w:val="22"/>
          <w:lang w:val="sr-Latn-ME"/>
        </w:rPr>
        <w:t>Kod pacijenata koji su primali pantoprazol zabilježeni su lažno pozitivni rezultati u nekim pretragama urina na tetrahidrokanabinol (THC). Potrebno je razmotriti korišćenje zamenske potvrdne metode za proveru pozitivnih rezultata.</w:t>
      </w:r>
      <w:r w:rsidRPr="005A3564">
        <w:rPr>
          <w:sz w:val="22"/>
          <w:szCs w:val="22"/>
          <w:lang w:val="sr-Latn-ME"/>
        </w:rPr>
        <w:cr/>
      </w:r>
      <w:bookmarkEnd w:id="0"/>
    </w:p>
    <w:p w14:paraId="6EBAA090" w14:textId="77777777" w:rsidR="0072020E" w:rsidRPr="005A3564" w:rsidRDefault="0072020E" w:rsidP="00480FB1">
      <w:pPr>
        <w:tabs>
          <w:tab w:val="left" w:pos="540"/>
          <w:tab w:val="left" w:pos="569"/>
        </w:tabs>
        <w:rPr>
          <w:b/>
          <w:sz w:val="22"/>
          <w:szCs w:val="22"/>
          <w:lang w:val="sr-Latn-ME"/>
        </w:rPr>
      </w:pPr>
      <w:r w:rsidRPr="005A3564">
        <w:rPr>
          <w:b/>
          <w:bCs/>
          <w:sz w:val="22"/>
          <w:szCs w:val="22"/>
          <w:lang w:val="sr-Latn-ME"/>
        </w:rPr>
        <w:t xml:space="preserve">4.6. </w:t>
      </w:r>
      <w:r w:rsidR="00480FB1" w:rsidRPr="005A3564">
        <w:rPr>
          <w:b/>
          <w:bCs/>
          <w:sz w:val="22"/>
          <w:szCs w:val="22"/>
          <w:lang w:val="sr-Latn-ME"/>
        </w:rPr>
        <w:tab/>
      </w:r>
      <w:r w:rsidR="006D20A5" w:rsidRPr="005A3564">
        <w:rPr>
          <w:b/>
          <w:sz w:val="22"/>
          <w:szCs w:val="22"/>
          <w:lang w:val="sr-Latn-ME"/>
        </w:rPr>
        <w:t>Plodnost, trudnoća i dojenje</w:t>
      </w:r>
    </w:p>
    <w:p w14:paraId="08AEB3FE" w14:textId="7136E64B" w:rsidR="002031B3" w:rsidRPr="005A3564" w:rsidRDefault="0050376C" w:rsidP="00480FB1">
      <w:pPr>
        <w:tabs>
          <w:tab w:val="left" w:pos="540"/>
          <w:tab w:val="left" w:pos="569"/>
        </w:tabs>
        <w:rPr>
          <w:sz w:val="22"/>
          <w:szCs w:val="22"/>
          <w:u w:val="single"/>
          <w:lang w:val="sr-Latn-ME"/>
        </w:rPr>
      </w:pPr>
      <w:r w:rsidRPr="005A3564">
        <w:rPr>
          <w:sz w:val="22"/>
          <w:szCs w:val="22"/>
          <w:u w:val="single"/>
          <w:lang w:val="sr-Latn-ME"/>
        </w:rPr>
        <w:t xml:space="preserve"> </w:t>
      </w:r>
    </w:p>
    <w:p w14:paraId="313BDE88" w14:textId="77777777" w:rsidR="002031B3" w:rsidRPr="005A3564" w:rsidRDefault="002031B3" w:rsidP="002031B3">
      <w:pPr>
        <w:tabs>
          <w:tab w:val="left" w:pos="540"/>
          <w:tab w:val="left" w:pos="569"/>
        </w:tabs>
        <w:rPr>
          <w:sz w:val="22"/>
          <w:szCs w:val="22"/>
          <w:u w:val="single"/>
          <w:lang w:val="sr-Latn-ME"/>
        </w:rPr>
      </w:pPr>
      <w:r w:rsidRPr="005A3564">
        <w:rPr>
          <w:sz w:val="22"/>
          <w:szCs w:val="22"/>
          <w:u w:val="single"/>
          <w:lang w:val="sr-Latn-ME"/>
        </w:rPr>
        <w:t>Plodnost</w:t>
      </w:r>
    </w:p>
    <w:p w14:paraId="60D4D747" w14:textId="2FA1BB19" w:rsidR="00A60833" w:rsidRPr="005A3564" w:rsidRDefault="00A60833" w:rsidP="005A3564">
      <w:pPr>
        <w:pStyle w:val="Header"/>
        <w:tabs>
          <w:tab w:val="left" w:pos="284"/>
        </w:tabs>
        <w:jc w:val="both"/>
        <w:rPr>
          <w:sz w:val="22"/>
          <w:szCs w:val="22"/>
          <w:lang w:val="sr-Latn-ME"/>
        </w:rPr>
      </w:pPr>
      <w:r w:rsidRPr="005A3564">
        <w:rPr>
          <w:sz w:val="22"/>
          <w:szCs w:val="22"/>
          <w:lang w:val="sr-Latn-ME"/>
        </w:rPr>
        <w:t>U ispitivanjima na životinjama nije bilo dokaza o smanjenoj plodnost nakon primjene pantoprazola</w:t>
      </w:r>
      <w:r w:rsidR="005617AA" w:rsidRPr="005A3564">
        <w:rPr>
          <w:sz w:val="22"/>
          <w:szCs w:val="22"/>
          <w:lang w:val="sr-Latn-ME"/>
        </w:rPr>
        <w:t xml:space="preserve"> (vidjeti dio 5.3.)</w:t>
      </w:r>
      <w:r w:rsidRPr="005A3564">
        <w:rPr>
          <w:sz w:val="22"/>
          <w:szCs w:val="22"/>
          <w:lang w:val="sr-Latn-ME"/>
        </w:rPr>
        <w:t>.</w:t>
      </w:r>
    </w:p>
    <w:p w14:paraId="6053B0C2" w14:textId="77777777" w:rsidR="002031B3" w:rsidRPr="005A3564" w:rsidRDefault="002031B3" w:rsidP="002031B3">
      <w:pPr>
        <w:tabs>
          <w:tab w:val="left" w:pos="540"/>
          <w:tab w:val="left" w:pos="569"/>
        </w:tabs>
        <w:rPr>
          <w:sz w:val="22"/>
          <w:szCs w:val="22"/>
          <w:u w:val="single"/>
          <w:lang w:val="sr-Latn-ME"/>
        </w:rPr>
      </w:pPr>
    </w:p>
    <w:p w14:paraId="05B0E6E2" w14:textId="77777777" w:rsidR="007A3ECB" w:rsidRPr="005A3564" w:rsidRDefault="007A3ECB" w:rsidP="00480FB1">
      <w:pPr>
        <w:tabs>
          <w:tab w:val="left" w:pos="540"/>
          <w:tab w:val="left" w:pos="569"/>
        </w:tabs>
        <w:rPr>
          <w:sz w:val="22"/>
          <w:szCs w:val="22"/>
          <w:u w:val="single"/>
          <w:lang w:val="sr-Latn-ME"/>
        </w:rPr>
      </w:pPr>
      <w:r w:rsidRPr="005A3564">
        <w:rPr>
          <w:sz w:val="22"/>
          <w:szCs w:val="22"/>
          <w:u w:val="single"/>
          <w:lang w:val="sr-Latn-ME"/>
        </w:rPr>
        <w:t>Trudnoća</w:t>
      </w:r>
    </w:p>
    <w:p w14:paraId="6E962EDC" w14:textId="4166FC20" w:rsidR="00A60833" w:rsidRPr="005A3564" w:rsidRDefault="00754BF9" w:rsidP="00685378">
      <w:pPr>
        <w:jc w:val="both"/>
        <w:rPr>
          <w:sz w:val="22"/>
          <w:szCs w:val="22"/>
          <w:lang w:val="sr-Latn-ME"/>
        </w:rPr>
      </w:pPr>
      <w:r w:rsidRPr="005A3564">
        <w:rPr>
          <w:sz w:val="22"/>
          <w:szCs w:val="22"/>
          <w:lang w:val="sr-Latn-ME"/>
        </w:rPr>
        <w:t>Ograničeni podaci</w:t>
      </w:r>
      <w:r w:rsidR="00A60833" w:rsidRPr="005A3564">
        <w:rPr>
          <w:sz w:val="22"/>
          <w:szCs w:val="22"/>
          <w:lang w:val="sr-Latn-ME"/>
        </w:rPr>
        <w:t xml:space="preserve"> o primjeni lijeka kod trudnica (između 300-1000 </w:t>
      </w:r>
      <w:r w:rsidR="00F66419" w:rsidRPr="005A3564">
        <w:rPr>
          <w:sz w:val="22"/>
          <w:szCs w:val="22"/>
          <w:lang w:val="sr-Latn-ME"/>
        </w:rPr>
        <w:t>ishoda trudnoća</w:t>
      </w:r>
      <w:r w:rsidR="00A60833" w:rsidRPr="005A3564">
        <w:rPr>
          <w:sz w:val="22"/>
          <w:szCs w:val="22"/>
          <w:lang w:val="sr-Latn-ME"/>
        </w:rPr>
        <w:t>) ne ukazuje na malformativu ili feto/neonatalnu toksičnost lijeka Controloc.</w:t>
      </w:r>
    </w:p>
    <w:p w14:paraId="1290A80F" w14:textId="08048175" w:rsidR="00A60833" w:rsidRPr="005A3564" w:rsidRDefault="00A60833" w:rsidP="00685378">
      <w:pPr>
        <w:jc w:val="both"/>
        <w:rPr>
          <w:sz w:val="22"/>
          <w:szCs w:val="22"/>
          <w:lang w:val="sr-Latn-ME"/>
        </w:rPr>
      </w:pPr>
      <w:r w:rsidRPr="005A3564">
        <w:rPr>
          <w:sz w:val="22"/>
          <w:szCs w:val="22"/>
          <w:lang w:val="sr-Latn-ME"/>
        </w:rPr>
        <w:t xml:space="preserve">Studije na životinjama su pokazale reproduktivnu toksičnost (vidjeti </w:t>
      </w:r>
      <w:r w:rsidR="009844CB" w:rsidRPr="005A3564">
        <w:rPr>
          <w:sz w:val="22"/>
          <w:szCs w:val="22"/>
          <w:lang w:val="sr-Latn-ME"/>
        </w:rPr>
        <w:t>dio</w:t>
      </w:r>
      <w:r w:rsidRPr="005A3564">
        <w:rPr>
          <w:sz w:val="22"/>
          <w:szCs w:val="22"/>
          <w:lang w:val="sr-Latn-ME"/>
        </w:rPr>
        <w:t xml:space="preserve"> 5.3).</w:t>
      </w:r>
    </w:p>
    <w:p w14:paraId="528BFDEC" w14:textId="77777777" w:rsidR="00A60833" w:rsidRPr="005A3564" w:rsidRDefault="00A60833" w:rsidP="00685378">
      <w:pPr>
        <w:jc w:val="both"/>
        <w:rPr>
          <w:sz w:val="22"/>
          <w:szCs w:val="22"/>
          <w:lang w:val="sr-Latn-ME"/>
        </w:rPr>
      </w:pPr>
      <w:r w:rsidRPr="005A3564">
        <w:rPr>
          <w:sz w:val="22"/>
          <w:szCs w:val="22"/>
          <w:lang w:val="sr-Latn-ME"/>
        </w:rPr>
        <w:t>Kao mjera predostrožnosti, poželjno je da se izbjegne primjena lijeka Controloc tokom trudnoće.</w:t>
      </w:r>
    </w:p>
    <w:p w14:paraId="5F992298" w14:textId="77777777" w:rsidR="002031B3" w:rsidRPr="005A3564" w:rsidRDefault="002031B3" w:rsidP="00480FB1">
      <w:pPr>
        <w:tabs>
          <w:tab w:val="left" w:pos="540"/>
          <w:tab w:val="left" w:pos="569"/>
        </w:tabs>
        <w:rPr>
          <w:sz w:val="22"/>
          <w:szCs w:val="22"/>
          <w:u w:val="single"/>
          <w:lang w:val="sr-Latn-ME"/>
        </w:rPr>
      </w:pPr>
    </w:p>
    <w:p w14:paraId="10D11596" w14:textId="77777777" w:rsidR="0072020E" w:rsidRPr="005A3564" w:rsidRDefault="007A3ECB" w:rsidP="00480FB1">
      <w:pPr>
        <w:tabs>
          <w:tab w:val="left" w:pos="540"/>
          <w:tab w:val="left" w:pos="569"/>
        </w:tabs>
        <w:rPr>
          <w:b/>
          <w:bCs/>
          <w:sz w:val="22"/>
          <w:szCs w:val="22"/>
          <w:lang w:val="sr-Latn-ME"/>
        </w:rPr>
      </w:pPr>
      <w:r w:rsidRPr="005A3564">
        <w:rPr>
          <w:sz w:val="22"/>
          <w:szCs w:val="22"/>
          <w:u w:val="single"/>
          <w:lang w:val="sr-Latn-ME"/>
        </w:rPr>
        <w:t xml:space="preserve">Dojenje </w:t>
      </w:r>
    </w:p>
    <w:p w14:paraId="4035D257" w14:textId="7F30D754" w:rsidR="00A60833" w:rsidRPr="005A3564" w:rsidRDefault="00A60833" w:rsidP="00A60833">
      <w:pPr>
        <w:jc w:val="both"/>
        <w:rPr>
          <w:sz w:val="22"/>
          <w:szCs w:val="22"/>
          <w:lang w:val="sr-Latn-ME"/>
        </w:rPr>
      </w:pPr>
      <w:r w:rsidRPr="005A3564">
        <w:rPr>
          <w:sz w:val="22"/>
          <w:szCs w:val="22"/>
          <w:lang w:val="sr-Latn-ME"/>
        </w:rPr>
        <w:t>Studije na životinjama su pokazale ekskreciju pantoprazola u mlijeko. Nema dovoljno informacija</w:t>
      </w:r>
      <w:r w:rsidR="00754BF9" w:rsidRPr="005A3564">
        <w:rPr>
          <w:sz w:val="22"/>
          <w:szCs w:val="22"/>
          <w:lang w:val="sr-Latn-ME"/>
        </w:rPr>
        <w:t>,</w:t>
      </w:r>
      <w:r w:rsidRPr="005A3564">
        <w:rPr>
          <w:sz w:val="22"/>
          <w:szCs w:val="22"/>
          <w:lang w:val="sr-Latn-ME"/>
        </w:rPr>
        <w:t xml:space="preserve"> </w:t>
      </w:r>
      <w:r w:rsidR="000F462A" w:rsidRPr="005A3564">
        <w:rPr>
          <w:sz w:val="22"/>
          <w:szCs w:val="22"/>
          <w:lang w:val="sr-Latn-ME"/>
        </w:rPr>
        <w:t>ali postoje izv</w:t>
      </w:r>
      <w:r w:rsidR="00754BF9" w:rsidRPr="005A3564">
        <w:rPr>
          <w:sz w:val="22"/>
          <w:szCs w:val="22"/>
          <w:lang w:val="sr-Latn-ME"/>
        </w:rPr>
        <w:t>j</w:t>
      </w:r>
      <w:r w:rsidR="000F462A" w:rsidRPr="005A3564">
        <w:rPr>
          <w:sz w:val="22"/>
          <w:szCs w:val="22"/>
          <w:lang w:val="sr-Latn-ME"/>
        </w:rPr>
        <w:t xml:space="preserve">eštaji o ekskreciji </w:t>
      </w:r>
      <w:r w:rsidRPr="005A3564">
        <w:rPr>
          <w:sz w:val="22"/>
          <w:szCs w:val="22"/>
          <w:lang w:val="sr-Latn-ME"/>
        </w:rPr>
        <w:t>pantoprazola u huma</w:t>
      </w:r>
      <w:r w:rsidR="000F462A" w:rsidRPr="005A3564">
        <w:rPr>
          <w:sz w:val="22"/>
          <w:szCs w:val="22"/>
          <w:lang w:val="sr-Latn-ME"/>
        </w:rPr>
        <w:t>n</w:t>
      </w:r>
      <w:r w:rsidRPr="005A3564">
        <w:rPr>
          <w:sz w:val="22"/>
          <w:szCs w:val="22"/>
          <w:lang w:val="sr-Latn-ME"/>
        </w:rPr>
        <w:t>o mlijeko. Rizik po novorođenče/</w:t>
      </w:r>
      <w:r w:rsidR="000F462A" w:rsidRPr="005A3564">
        <w:rPr>
          <w:sz w:val="22"/>
          <w:szCs w:val="22"/>
          <w:lang w:val="sr-Latn-ME"/>
        </w:rPr>
        <w:t>odoj</w:t>
      </w:r>
      <w:r w:rsidRPr="005A3564">
        <w:rPr>
          <w:sz w:val="22"/>
          <w:szCs w:val="22"/>
          <w:lang w:val="sr-Latn-ME"/>
        </w:rPr>
        <w:t xml:space="preserve">če se ne može </w:t>
      </w:r>
      <w:r w:rsidR="000F462A" w:rsidRPr="005A3564">
        <w:rPr>
          <w:sz w:val="22"/>
          <w:szCs w:val="22"/>
          <w:lang w:val="sr-Latn-ME"/>
        </w:rPr>
        <w:t>isključiti</w:t>
      </w:r>
      <w:r w:rsidRPr="005A3564">
        <w:rPr>
          <w:sz w:val="22"/>
          <w:szCs w:val="22"/>
          <w:lang w:val="sr-Latn-ME"/>
        </w:rPr>
        <w:t xml:space="preserve">. Zbog toga odluku da li nastaviti ili prekinuti dojenje ili nastaviti ili prekinuti terapiju lijekom </w:t>
      </w:r>
      <w:bookmarkStart w:id="1" w:name="OLE_LINK2"/>
      <w:r w:rsidRPr="005A3564">
        <w:rPr>
          <w:sz w:val="22"/>
          <w:szCs w:val="22"/>
          <w:lang w:val="sr-Latn-ME"/>
        </w:rPr>
        <w:t>Controloc</w:t>
      </w:r>
      <w:bookmarkEnd w:id="1"/>
      <w:r w:rsidRPr="005A3564">
        <w:rPr>
          <w:sz w:val="22"/>
          <w:szCs w:val="22"/>
          <w:vertAlign w:val="superscript"/>
          <w:lang w:val="sr-Latn-ME"/>
        </w:rPr>
        <w:t xml:space="preserve"> </w:t>
      </w:r>
      <w:r w:rsidRPr="005A3564">
        <w:rPr>
          <w:sz w:val="22"/>
          <w:szCs w:val="22"/>
          <w:lang w:val="sr-Latn-ME"/>
        </w:rPr>
        <w:t>treba donijeti prema procjeni koristi dojenja za dijete i koristi primjene terapije za majku.</w:t>
      </w:r>
    </w:p>
    <w:p w14:paraId="6BD32BF2" w14:textId="77777777" w:rsidR="00227BDB" w:rsidRPr="005A3564" w:rsidRDefault="00227BDB" w:rsidP="00396DFD">
      <w:pPr>
        <w:tabs>
          <w:tab w:val="left" w:pos="540"/>
          <w:tab w:val="left" w:pos="569"/>
        </w:tabs>
        <w:ind w:left="540" w:hanging="540"/>
        <w:rPr>
          <w:b/>
          <w:bCs/>
          <w:sz w:val="22"/>
          <w:szCs w:val="22"/>
          <w:lang w:val="sr-Latn-ME"/>
        </w:rPr>
      </w:pPr>
    </w:p>
    <w:p w14:paraId="1F49C2AD" w14:textId="77777777" w:rsidR="0072020E" w:rsidRPr="005A3564" w:rsidRDefault="0072020E" w:rsidP="00396DFD">
      <w:pPr>
        <w:tabs>
          <w:tab w:val="left" w:pos="540"/>
          <w:tab w:val="left" w:pos="569"/>
        </w:tabs>
        <w:ind w:left="540" w:hanging="540"/>
        <w:rPr>
          <w:b/>
          <w:bCs/>
          <w:sz w:val="22"/>
          <w:szCs w:val="22"/>
          <w:lang w:val="sr-Latn-ME"/>
        </w:rPr>
      </w:pPr>
      <w:r w:rsidRPr="005A3564">
        <w:rPr>
          <w:b/>
          <w:bCs/>
          <w:sz w:val="22"/>
          <w:szCs w:val="22"/>
          <w:lang w:val="sr-Latn-ME"/>
        </w:rPr>
        <w:t xml:space="preserve">4.7. </w:t>
      </w:r>
      <w:r w:rsidR="00480FB1" w:rsidRPr="005A3564">
        <w:rPr>
          <w:b/>
          <w:bCs/>
          <w:sz w:val="22"/>
          <w:szCs w:val="22"/>
          <w:lang w:val="sr-Latn-ME"/>
        </w:rPr>
        <w:tab/>
      </w:r>
      <w:r w:rsidRPr="005A3564">
        <w:rPr>
          <w:b/>
          <w:bCs/>
          <w:sz w:val="22"/>
          <w:szCs w:val="22"/>
          <w:lang w:val="sr-Latn-ME"/>
        </w:rPr>
        <w:t xml:space="preserve">Uticaj na </w:t>
      </w:r>
      <w:r w:rsidR="002031B3" w:rsidRPr="005A3564">
        <w:rPr>
          <w:b/>
          <w:bCs/>
          <w:sz w:val="22"/>
          <w:szCs w:val="22"/>
          <w:lang w:val="sr-Latn-ME"/>
        </w:rPr>
        <w:t xml:space="preserve">sposobnost </w:t>
      </w:r>
      <w:r w:rsidR="00F34554" w:rsidRPr="005A3564">
        <w:rPr>
          <w:b/>
          <w:bCs/>
          <w:sz w:val="22"/>
          <w:szCs w:val="22"/>
          <w:lang w:val="sr-Latn-ME"/>
        </w:rPr>
        <w:t>upravljanja vozili</w:t>
      </w:r>
      <w:r w:rsidRPr="005A3564">
        <w:rPr>
          <w:b/>
          <w:bCs/>
          <w:sz w:val="22"/>
          <w:szCs w:val="22"/>
          <w:lang w:val="sr-Latn-ME"/>
        </w:rPr>
        <w:t>m</w:t>
      </w:r>
      <w:r w:rsidR="00F34554" w:rsidRPr="005A3564">
        <w:rPr>
          <w:b/>
          <w:bCs/>
          <w:sz w:val="22"/>
          <w:szCs w:val="22"/>
          <w:lang w:val="sr-Latn-ME"/>
        </w:rPr>
        <w:t>a</w:t>
      </w:r>
      <w:r w:rsidRPr="005A3564">
        <w:rPr>
          <w:b/>
          <w:bCs/>
          <w:sz w:val="22"/>
          <w:szCs w:val="22"/>
          <w:lang w:val="sr-Latn-ME"/>
        </w:rPr>
        <w:t xml:space="preserve"> i </w:t>
      </w:r>
      <w:r w:rsidR="000D3449" w:rsidRPr="005A3564">
        <w:rPr>
          <w:b/>
          <w:bCs/>
          <w:sz w:val="22"/>
          <w:szCs w:val="22"/>
          <w:lang w:val="sr-Latn-ME"/>
        </w:rPr>
        <w:t xml:space="preserve">rukovanje </w:t>
      </w:r>
      <w:r w:rsidRPr="005A3564">
        <w:rPr>
          <w:b/>
          <w:bCs/>
          <w:sz w:val="22"/>
          <w:szCs w:val="22"/>
          <w:lang w:val="sr-Latn-ME"/>
        </w:rPr>
        <w:t>mašinama</w:t>
      </w:r>
    </w:p>
    <w:p w14:paraId="6BBE1FB7" w14:textId="77777777" w:rsidR="0072020E" w:rsidRPr="005A3564" w:rsidRDefault="0072020E" w:rsidP="00480FB1">
      <w:pPr>
        <w:tabs>
          <w:tab w:val="left" w:pos="540"/>
          <w:tab w:val="left" w:pos="569"/>
        </w:tabs>
        <w:rPr>
          <w:b/>
          <w:bCs/>
          <w:sz w:val="22"/>
          <w:szCs w:val="22"/>
          <w:lang w:val="sr-Latn-ME"/>
        </w:rPr>
      </w:pPr>
    </w:p>
    <w:p w14:paraId="77D3AA82" w14:textId="77777777" w:rsidR="00A60833" w:rsidRPr="005A3564" w:rsidRDefault="00A60833" w:rsidP="00A60833">
      <w:pPr>
        <w:pStyle w:val="Header"/>
        <w:tabs>
          <w:tab w:val="left" w:pos="284"/>
        </w:tabs>
        <w:rPr>
          <w:sz w:val="22"/>
          <w:szCs w:val="22"/>
          <w:lang w:val="sr-Latn-ME"/>
        </w:rPr>
      </w:pPr>
      <w:r w:rsidRPr="005A3564">
        <w:rPr>
          <w:sz w:val="22"/>
          <w:szCs w:val="22"/>
          <w:lang w:val="sr-Latn-ME"/>
        </w:rPr>
        <w:t>Primjena pantoprazola nema ili ima neznatan uticaj na sposobnost prilikom upravljanja motornim vozilom i rukovanja mašinama.</w:t>
      </w:r>
    </w:p>
    <w:p w14:paraId="0E414753" w14:textId="77777777" w:rsidR="00A60833" w:rsidRPr="005A3564" w:rsidRDefault="00A60833" w:rsidP="00A60833">
      <w:pPr>
        <w:tabs>
          <w:tab w:val="left" w:pos="540"/>
          <w:tab w:val="left" w:pos="569"/>
        </w:tabs>
        <w:rPr>
          <w:b/>
          <w:bCs/>
          <w:sz w:val="22"/>
          <w:szCs w:val="22"/>
          <w:lang w:val="sr-Latn-ME"/>
        </w:rPr>
      </w:pPr>
    </w:p>
    <w:p w14:paraId="7959E5A2" w14:textId="2FE725B8" w:rsidR="00A60833" w:rsidRPr="005A3564" w:rsidRDefault="00A60833" w:rsidP="00A60833">
      <w:pPr>
        <w:jc w:val="both"/>
        <w:rPr>
          <w:sz w:val="22"/>
          <w:szCs w:val="22"/>
          <w:lang w:val="sr-Latn-ME"/>
        </w:rPr>
      </w:pPr>
      <w:r w:rsidRPr="005A3564">
        <w:rPr>
          <w:sz w:val="22"/>
          <w:szCs w:val="22"/>
          <w:lang w:val="sr-Latn-ME"/>
        </w:rPr>
        <w:t xml:space="preserve">Mogu se javiti neželjena dejstva poput vrtoglavice i poremećaja vida (vidjeti </w:t>
      </w:r>
      <w:r w:rsidR="009844CB" w:rsidRPr="005A3564">
        <w:rPr>
          <w:sz w:val="22"/>
          <w:szCs w:val="22"/>
          <w:lang w:val="sr-Latn-ME"/>
        </w:rPr>
        <w:t>dio</w:t>
      </w:r>
      <w:r w:rsidRPr="005A3564">
        <w:rPr>
          <w:sz w:val="22"/>
          <w:szCs w:val="22"/>
          <w:lang w:val="sr-Latn-ME"/>
        </w:rPr>
        <w:t xml:space="preserve"> 4.8</w:t>
      </w:r>
      <w:r w:rsidR="005617AA" w:rsidRPr="005A3564">
        <w:rPr>
          <w:sz w:val="22"/>
          <w:szCs w:val="22"/>
          <w:lang w:val="sr-Latn-ME"/>
        </w:rPr>
        <w:t>.</w:t>
      </w:r>
      <w:r w:rsidRPr="005A3564">
        <w:rPr>
          <w:sz w:val="22"/>
          <w:szCs w:val="22"/>
          <w:lang w:val="sr-Latn-ME"/>
        </w:rPr>
        <w:t>). U takvim slučajevima, pacijenti ne smiju upravljati motornim vozilom ili rukovati mašinama.</w:t>
      </w:r>
    </w:p>
    <w:p w14:paraId="08CB77AF" w14:textId="77777777" w:rsidR="00A60833" w:rsidRPr="005A3564" w:rsidRDefault="00A60833" w:rsidP="00480FB1">
      <w:pPr>
        <w:tabs>
          <w:tab w:val="left" w:pos="540"/>
          <w:tab w:val="left" w:pos="569"/>
        </w:tabs>
        <w:rPr>
          <w:b/>
          <w:bCs/>
          <w:sz w:val="22"/>
          <w:szCs w:val="22"/>
          <w:lang w:val="sr-Latn-ME"/>
        </w:rPr>
      </w:pPr>
    </w:p>
    <w:p w14:paraId="00BB238F" w14:textId="3B305F7A" w:rsidR="0072020E" w:rsidRPr="005A3564" w:rsidRDefault="0072020E" w:rsidP="00480FB1">
      <w:pPr>
        <w:tabs>
          <w:tab w:val="left" w:pos="540"/>
          <w:tab w:val="left" w:pos="569"/>
        </w:tabs>
        <w:rPr>
          <w:b/>
          <w:bCs/>
          <w:sz w:val="22"/>
          <w:szCs w:val="22"/>
          <w:lang w:val="sr-Latn-ME"/>
        </w:rPr>
      </w:pPr>
      <w:r w:rsidRPr="005A3564">
        <w:rPr>
          <w:b/>
          <w:bCs/>
          <w:sz w:val="22"/>
          <w:szCs w:val="22"/>
          <w:lang w:val="sr-Latn-ME"/>
        </w:rPr>
        <w:lastRenderedPageBreak/>
        <w:t xml:space="preserve">4.8. </w:t>
      </w:r>
      <w:r w:rsidR="00480FB1" w:rsidRPr="005A3564">
        <w:rPr>
          <w:b/>
          <w:bCs/>
          <w:sz w:val="22"/>
          <w:szCs w:val="22"/>
          <w:lang w:val="sr-Latn-ME"/>
        </w:rPr>
        <w:tab/>
      </w:r>
      <w:r w:rsidRPr="005A3564">
        <w:rPr>
          <w:b/>
          <w:bCs/>
          <w:sz w:val="22"/>
          <w:szCs w:val="22"/>
          <w:lang w:val="sr-Latn-ME"/>
        </w:rPr>
        <w:t>Neželjena dejstva</w:t>
      </w:r>
    </w:p>
    <w:p w14:paraId="49CBA9E1" w14:textId="77777777" w:rsidR="00956EDF" w:rsidRPr="005A3564" w:rsidRDefault="00956EDF" w:rsidP="00480FB1">
      <w:pPr>
        <w:tabs>
          <w:tab w:val="left" w:pos="540"/>
          <w:tab w:val="left" w:pos="569"/>
        </w:tabs>
        <w:rPr>
          <w:b/>
          <w:bCs/>
          <w:sz w:val="22"/>
          <w:szCs w:val="22"/>
          <w:lang w:val="sr-Latn-ME"/>
        </w:rPr>
      </w:pPr>
    </w:p>
    <w:p w14:paraId="264FD428" w14:textId="663EB38A" w:rsidR="00A60833" w:rsidRPr="005A3564" w:rsidRDefault="00A60833" w:rsidP="00A60833">
      <w:pPr>
        <w:rPr>
          <w:sz w:val="22"/>
          <w:szCs w:val="22"/>
          <w:lang w:val="sr-Latn-ME"/>
        </w:rPr>
      </w:pPr>
      <w:r w:rsidRPr="005A3564">
        <w:rPr>
          <w:noProof/>
          <w:sz w:val="22"/>
          <w:szCs w:val="22"/>
          <w:lang w:val="sr-Latn-ME"/>
        </w:rPr>
        <w:t>Kod približno 5% pacijenata mogu se ispoljiti neželjena dejstva</w:t>
      </w:r>
      <w:r w:rsidR="002818F6" w:rsidRPr="005A3564">
        <w:rPr>
          <w:noProof/>
          <w:sz w:val="22"/>
          <w:szCs w:val="22"/>
          <w:lang w:val="sr-Latn-ME"/>
        </w:rPr>
        <w:t>.</w:t>
      </w:r>
    </w:p>
    <w:p w14:paraId="5F8AC6A4" w14:textId="77777777" w:rsidR="00A60833" w:rsidRPr="005A3564" w:rsidRDefault="00A60833" w:rsidP="00A60833">
      <w:pPr>
        <w:rPr>
          <w:sz w:val="22"/>
          <w:szCs w:val="22"/>
          <w:lang w:val="sr-Latn-ME"/>
        </w:rPr>
      </w:pPr>
    </w:p>
    <w:p w14:paraId="69F36B30" w14:textId="3A887183" w:rsidR="00A60833" w:rsidRPr="005A3564" w:rsidRDefault="00A60833" w:rsidP="00A60833">
      <w:pPr>
        <w:rPr>
          <w:sz w:val="22"/>
          <w:szCs w:val="22"/>
          <w:lang w:val="sr-Latn-ME"/>
        </w:rPr>
      </w:pPr>
      <w:r w:rsidRPr="005A3564">
        <w:rPr>
          <w:noProof/>
          <w:sz w:val="22"/>
          <w:szCs w:val="22"/>
          <w:lang w:val="sr-Latn-ME"/>
        </w:rPr>
        <w:t>U sljedećoj tabeli</w:t>
      </w:r>
      <w:r w:rsidRPr="005A3564" w:rsidDel="0053052F">
        <w:rPr>
          <w:sz w:val="22"/>
          <w:szCs w:val="22"/>
          <w:lang w:val="sr-Latn-ME"/>
        </w:rPr>
        <w:t xml:space="preserve"> </w:t>
      </w:r>
      <w:r w:rsidRPr="005A3564">
        <w:rPr>
          <w:sz w:val="22"/>
          <w:szCs w:val="22"/>
          <w:lang w:val="sr-Latn-ME"/>
        </w:rPr>
        <w:t>su prikazana neželjena dejstva</w:t>
      </w:r>
      <w:r w:rsidR="002818F6" w:rsidRPr="005A3564">
        <w:rPr>
          <w:sz w:val="22"/>
          <w:szCs w:val="22"/>
          <w:lang w:val="sr-Latn-ME"/>
        </w:rPr>
        <w:t xml:space="preserve"> pantoprazola</w:t>
      </w:r>
      <w:r w:rsidRPr="005A3564">
        <w:rPr>
          <w:sz w:val="22"/>
          <w:szCs w:val="22"/>
          <w:lang w:val="sr-Latn-ME"/>
        </w:rPr>
        <w:t xml:space="preserve"> svrstana prema sljedećoj učestalosti:</w:t>
      </w:r>
    </w:p>
    <w:p w14:paraId="3A63FE48" w14:textId="77777777" w:rsidR="00A60833" w:rsidRPr="005A3564" w:rsidRDefault="00A60833" w:rsidP="00A60833">
      <w:pPr>
        <w:rPr>
          <w:sz w:val="22"/>
          <w:szCs w:val="22"/>
          <w:lang w:val="sr-Latn-ME"/>
        </w:rPr>
      </w:pPr>
    </w:p>
    <w:p w14:paraId="291EF4F0" w14:textId="77777777" w:rsidR="00A60833" w:rsidRPr="005A3564" w:rsidRDefault="00A60833" w:rsidP="00A60833">
      <w:pPr>
        <w:jc w:val="both"/>
        <w:rPr>
          <w:sz w:val="22"/>
          <w:szCs w:val="22"/>
          <w:lang w:val="sr-Latn-ME"/>
        </w:rPr>
      </w:pPr>
      <w:r w:rsidRPr="005A3564">
        <w:rPr>
          <w:sz w:val="22"/>
          <w:szCs w:val="22"/>
          <w:lang w:val="sr-Latn-ME"/>
        </w:rPr>
        <w:t>Veoma česta (≥1/10); česta (≥1/100 do &lt;1/10); povremena (≥1/1.000 do &lt;1/100); rijetka (≥1/10.000 do &lt;1/1.000); veoma rijetka (&lt;1/10.000); nepoznata (prema dostupnim podacima nemoguće je odrediti učestalost).</w:t>
      </w:r>
    </w:p>
    <w:p w14:paraId="23A75A6E" w14:textId="77777777" w:rsidR="00A60833" w:rsidRPr="005A3564" w:rsidRDefault="00A60833" w:rsidP="00A60833">
      <w:pPr>
        <w:jc w:val="both"/>
        <w:rPr>
          <w:sz w:val="22"/>
          <w:szCs w:val="22"/>
          <w:lang w:val="sr-Latn-ME"/>
        </w:rPr>
      </w:pPr>
      <w:r w:rsidRPr="005A3564">
        <w:rPr>
          <w:sz w:val="22"/>
          <w:szCs w:val="22"/>
          <w:lang w:val="sr-Latn-ME"/>
        </w:rPr>
        <w:t xml:space="preserve">Za sva neželjena dejstva prijavljena u postmarketinškom iskustvu nije moguće primijeniti definisanu učestalost, te je njihova učestalost označena kao </w:t>
      </w:r>
      <w:r w:rsidRPr="005A3564">
        <w:rPr>
          <w:i/>
          <w:sz w:val="22"/>
          <w:szCs w:val="22"/>
          <w:lang w:val="sr-Latn-ME"/>
        </w:rPr>
        <w:t>nepoznata</w:t>
      </w:r>
      <w:r w:rsidRPr="005A3564">
        <w:rPr>
          <w:sz w:val="22"/>
          <w:szCs w:val="22"/>
          <w:lang w:val="sr-Latn-ME"/>
        </w:rPr>
        <w:t>.</w:t>
      </w:r>
    </w:p>
    <w:p w14:paraId="6644ED20" w14:textId="77777777" w:rsidR="00A60833" w:rsidRPr="005A3564" w:rsidRDefault="00A60833" w:rsidP="00A60833">
      <w:pPr>
        <w:rPr>
          <w:sz w:val="22"/>
          <w:szCs w:val="22"/>
          <w:lang w:val="sr-Latn-ME"/>
        </w:rPr>
      </w:pPr>
    </w:p>
    <w:p w14:paraId="7D49C32E" w14:textId="77777777" w:rsidR="00A60833" w:rsidRPr="005A3564" w:rsidRDefault="00A60833" w:rsidP="00A60833">
      <w:pPr>
        <w:rPr>
          <w:sz w:val="22"/>
          <w:szCs w:val="22"/>
          <w:lang w:val="sr-Latn-ME"/>
        </w:rPr>
      </w:pPr>
      <w:r w:rsidRPr="005A3564">
        <w:rPr>
          <w:sz w:val="22"/>
          <w:szCs w:val="22"/>
          <w:lang w:val="sr-Latn-ME"/>
        </w:rPr>
        <w:t>Unutar svake grupe učestalosti neželjena dejstva su prikazana prema opadajućoj ozbiljnosti.</w:t>
      </w:r>
    </w:p>
    <w:p w14:paraId="3CF9B887" w14:textId="77777777" w:rsidR="005617AA" w:rsidRPr="005A3564" w:rsidRDefault="005617AA" w:rsidP="00A60833">
      <w:pPr>
        <w:rPr>
          <w:sz w:val="22"/>
          <w:szCs w:val="22"/>
          <w:lang w:val="sr-Latn-ME"/>
        </w:rPr>
      </w:pPr>
    </w:p>
    <w:p w14:paraId="3776027F" w14:textId="175E4903" w:rsidR="00A60833" w:rsidRPr="005A3564" w:rsidRDefault="00A60833" w:rsidP="00A60833">
      <w:pPr>
        <w:rPr>
          <w:sz w:val="22"/>
          <w:szCs w:val="22"/>
          <w:lang w:val="sr-Latn-ME"/>
        </w:rPr>
      </w:pPr>
      <w:r w:rsidRPr="005A3564">
        <w:rPr>
          <w:sz w:val="22"/>
          <w:szCs w:val="22"/>
          <w:lang w:val="sr-Latn-ME"/>
        </w:rPr>
        <w:t>Tabela 1: Neželjena dejstva na pantoprazol u kliničkim ispitivanjima i postmarketinškom iskustvu</w:t>
      </w:r>
    </w:p>
    <w:p w14:paraId="576618FD" w14:textId="77777777" w:rsidR="00A60833" w:rsidRPr="005A3564" w:rsidRDefault="00A60833" w:rsidP="00A60833">
      <w:pPr>
        <w:rPr>
          <w:sz w:val="22"/>
          <w:szCs w:val="22"/>
          <w:lang w:val="sr-Latn-ME"/>
        </w:rPr>
      </w:pP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440"/>
        <w:gridCol w:w="1440"/>
        <w:gridCol w:w="1676"/>
        <w:gridCol w:w="2100"/>
        <w:gridCol w:w="2093"/>
      </w:tblGrid>
      <w:tr w:rsidR="00A60833" w:rsidRPr="005A3564" w14:paraId="7C471173" w14:textId="77777777" w:rsidTr="00A60833">
        <w:trPr>
          <w:jc w:val="center"/>
        </w:trPr>
        <w:tc>
          <w:tcPr>
            <w:tcW w:w="1838" w:type="dxa"/>
            <w:tcBorders>
              <w:tl2br w:val="single" w:sz="4" w:space="0" w:color="auto"/>
            </w:tcBorders>
            <w:vAlign w:val="center"/>
          </w:tcPr>
          <w:p w14:paraId="02D9747C" w14:textId="200A5679" w:rsidR="00A60833" w:rsidRPr="005A3564" w:rsidRDefault="00A60833" w:rsidP="000F462A">
            <w:pPr>
              <w:jc w:val="center"/>
              <w:rPr>
                <w:b/>
                <w:bCs/>
                <w:sz w:val="22"/>
                <w:szCs w:val="22"/>
                <w:lang w:val="sr-Latn-ME"/>
              </w:rPr>
            </w:pPr>
            <w:r w:rsidRPr="005A3564">
              <w:rPr>
                <w:b/>
                <w:bCs/>
                <w:sz w:val="22"/>
                <w:szCs w:val="22"/>
                <w:lang w:val="sr-Latn-ME"/>
              </w:rPr>
              <w:t xml:space="preserve">       Učestalost</w:t>
            </w:r>
          </w:p>
          <w:p w14:paraId="6B5672F7" w14:textId="77777777" w:rsidR="00A60833" w:rsidRPr="005A3564" w:rsidRDefault="00A60833" w:rsidP="000F462A">
            <w:pPr>
              <w:jc w:val="center"/>
              <w:rPr>
                <w:b/>
                <w:bCs/>
                <w:sz w:val="22"/>
                <w:szCs w:val="22"/>
                <w:lang w:val="sr-Latn-ME"/>
              </w:rPr>
            </w:pPr>
          </w:p>
          <w:p w14:paraId="6E85573B" w14:textId="77777777" w:rsidR="00A60833" w:rsidRPr="005A3564" w:rsidRDefault="00A60833" w:rsidP="000F462A">
            <w:pPr>
              <w:jc w:val="center"/>
              <w:rPr>
                <w:b/>
                <w:bCs/>
                <w:sz w:val="22"/>
                <w:szCs w:val="22"/>
                <w:lang w:val="sr-Latn-ME"/>
              </w:rPr>
            </w:pPr>
          </w:p>
          <w:p w14:paraId="0C7059C3" w14:textId="77777777" w:rsidR="00A60833" w:rsidRPr="005A3564" w:rsidRDefault="00A60833" w:rsidP="000F462A">
            <w:pPr>
              <w:ind w:right="-113"/>
              <w:rPr>
                <w:b/>
                <w:bCs/>
                <w:sz w:val="22"/>
                <w:szCs w:val="22"/>
                <w:lang w:val="sr-Latn-ME"/>
              </w:rPr>
            </w:pPr>
            <w:r w:rsidRPr="005A3564">
              <w:rPr>
                <w:b/>
                <w:bCs/>
                <w:sz w:val="22"/>
                <w:szCs w:val="22"/>
                <w:lang w:val="sr-Latn-ME"/>
              </w:rPr>
              <w:t>Klase sistema organa</w:t>
            </w:r>
          </w:p>
        </w:tc>
        <w:tc>
          <w:tcPr>
            <w:tcW w:w="1440" w:type="dxa"/>
          </w:tcPr>
          <w:p w14:paraId="4A11A72A" w14:textId="77777777" w:rsidR="0096377A" w:rsidRPr="005A3564" w:rsidRDefault="0096377A" w:rsidP="00852EFE">
            <w:pPr>
              <w:jc w:val="center"/>
              <w:rPr>
                <w:b/>
                <w:bCs/>
                <w:sz w:val="22"/>
                <w:szCs w:val="22"/>
                <w:lang w:val="sr-Latn-ME"/>
              </w:rPr>
            </w:pPr>
          </w:p>
          <w:p w14:paraId="4D3053E6" w14:textId="13CDBE74" w:rsidR="00A60833" w:rsidRPr="005A3564" w:rsidRDefault="0096377A" w:rsidP="00CD5304">
            <w:pPr>
              <w:rPr>
                <w:b/>
                <w:bCs/>
                <w:sz w:val="22"/>
                <w:szCs w:val="22"/>
                <w:lang w:val="sr-Latn-ME"/>
              </w:rPr>
            </w:pPr>
            <w:r w:rsidRPr="005A3564">
              <w:rPr>
                <w:b/>
                <w:bCs/>
                <w:sz w:val="22"/>
                <w:szCs w:val="22"/>
                <w:lang w:val="sr-Latn-ME"/>
              </w:rPr>
              <w:t>Č</w:t>
            </w:r>
            <w:r w:rsidR="00A60833" w:rsidRPr="005A3564">
              <w:rPr>
                <w:b/>
                <w:bCs/>
                <w:sz w:val="22"/>
                <w:szCs w:val="22"/>
                <w:lang w:val="sr-Latn-ME"/>
              </w:rPr>
              <w:t xml:space="preserve">esta </w:t>
            </w:r>
          </w:p>
        </w:tc>
        <w:tc>
          <w:tcPr>
            <w:tcW w:w="1440" w:type="dxa"/>
            <w:vAlign w:val="center"/>
          </w:tcPr>
          <w:p w14:paraId="520F7206" w14:textId="77777777" w:rsidR="00A60833" w:rsidRPr="005A3564" w:rsidRDefault="00A60833" w:rsidP="00CD5304">
            <w:pPr>
              <w:rPr>
                <w:b/>
                <w:bCs/>
                <w:sz w:val="22"/>
                <w:szCs w:val="22"/>
                <w:lang w:val="sr-Latn-ME"/>
              </w:rPr>
            </w:pPr>
            <w:r w:rsidRPr="005A3564">
              <w:rPr>
                <w:b/>
                <w:bCs/>
                <w:sz w:val="22"/>
                <w:szCs w:val="22"/>
                <w:lang w:val="sr-Latn-ME"/>
              </w:rPr>
              <w:t>Povremena</w:t>
            </w:r>
          </w:p>
          <w:p w14:paraId="5ED67C77" w14:textId="207348E6" w:rsidR="00A60833" w:rsidRPr="005A3564" w:rsidRDefault="00A60833" w:rsidP="000F462A">
            <w:pPr>
              <w:ind w:left="-41" w:right="-175"/>
              <w:jc w:val="center"/>
              <w:rPr>
                <w:b/>
                <w:bCs/>
                <w:sz w:val="22"/>
                <w:szCs w:val="22"/>
                <w:lang w:val="sr-Latn-ME"/>
              </w:rPr>
            </w:pPr>
          </w:p>
        </w:tc>
        <w:tc>
          <w:tcPr>
            <w:tcW w:w="1676" w:type="dxa"/>
            <w:vAlign w:val="center"/>
          </w:tcPr>
          <w:p w14:paraId="6571DC56" w14:textId="77777777" w:rsidR="00A60833" w:rsidRPr="005A3564" w:rsidRDefault="00A60833" w:rsidP="000F462A">
            <w:pPr>
              <w:jc w:val="center"/>
              <w:rPr>
                <w:b/>
                <w:bCs/>
                <w:sz w:val="22"/>
                <w:szCs w:val="22"/>
                <w:lang w:val="sr-Latn-ME"/>
              </w:rPr>
            </w:pPr>
            <w:r w:rsidRPr="005A3564">
              <w:rPr>
                <w:b/>
                <w:bCs/>
                <w:sz w:val="22"/>
                <w:szCs w:val="22"/>
                <w:lang w:val="sr-Latn-ME"/>
              </w:rPr>
              <w:t>Rijetka</w:t>
            </w:r>
          </w:p>
          <w:p w14:paraId="21CA5F77" w14:textId="4E37BDCC" w:rsidR="00A60833" w:rsidRPr="005A3564" w:rsidRDefault="00A60833" w:rsidP="000F462A">
            <w:pPr>
              <w:ind w:right="-126" w:hanging="84"/>
              <w:jc w:val="center"/>
              <w:rPr>
                <w:b/>
                <w:bCs/>
                <w:sz w:val="22"/>
                <w:szCs w:val="22"/>
                <w:lang w:val="sr-Latn-ME"/>
              </w:rPr>
            </w:pPr>
          </w:p>
        </w:tc>
        <w:tc>
          <w:tcPr>
            <w:tcW w:w="2100" w:type="dxa"/>
            <w:vAlign w:val="center"/>
          </w:tcPr>
          <w:p w14:paraId="6BBD0CFA" w14:textId="77777777" w:rsidR="00A60833" w:rsidRPr="005A3564" w:rsidRDefault="00A60833" w:rsidP="000F462A">
            <w:pPr>
              <w:jc w:val="center"/>
              <w:rPr>
                <w:b/>
                <w:bCs/>
                <w:sz w:val="22"/>
                <w:szCs w:val="22"/>
                <w:lang w:val="sr-Latn-ME"/>
              </w:rPr>
            </w:pPr>
            <w:r w:rsidRPr="005A3564">
              <w:rPr>
                <w:b/>
                <w:bCs/>
                <w:sz w:val="22"/>
                <w:szCs w:val="22"/>
                <w:lang w:val="sr-Latn-ME"/>
              </w:rPr>
              <w:t>Veoma rijetka</w:t>
            </w:r>
          </w:p>
          <w:p w14:paraId="4EA7CE3A" w14:textId="4B791374" w:rsidR="00A60833" w:rsidRPr="005A3564" w:rsidRDefault="00A60833" w:rsidP="000F462A">
            <w:pPr>
              <w:jc w:val="center"/>
              <w:rPr>
                <w:b/>
                <w:bCs/>
                <w:sz w:val="22"/>
                <w:szCs w:val="22"/>
                <w:lang w:val="sr-Latn-ME"/>
              </w:rPr>
            </w:pPr>
          </w:p>
        </w:tc>
        <w:tc>
          <w:tcPr>
            <w:tcW w:w="2093" w:type="dxa"/>
            <w:vAlign w:val="center"/>
          </w:tcPr>
          <w:p w14:paraId="169F6735" w14:textId="77777777" w:rsidR="00A60833" w:rsidRPr="005A3564" w:rsidRDefault="00A60833" w:rsidP="000F462A">
            <w:pPr>
              <w:jc w:val="center"/>
              <w:rPr>
                <w:b/>
                <w:bCs/>
                <w:sz w:val="22"/>
                <w:szCs w:val="22"/>
                <w:lang w:val="sr-Latn-ME"/>
              </w:rPr>
            </w:pPr>
            <w:r w:rsidRPr="005A3564">
              <w:rPr>
                <w:b/>
                <w:bCs/>
                <w:sz w:val="22"/>
                <w:szCs w:val="22"/>
                <w:lang w:val="sr-Latn-ME"/>
              </w:rPr>
              <w:t>Nepoznata</w:t>
            </w:r>
          </w:p>
        </w:tc>
      </w:tr>
      <w:tr w:rsidR="00A60833" w:rsidRPr="005A3564" w14:paraId="5471D689" w14:textId="77777777" w:rsidTr="00A60833">
        <w:trPr>
          <w:jc w:val="center"/>
        </w:trPr>
        <w:tc>
          <w:tcPr>
            <w:tcW w:w="1838" w:type="dxa"/>
            <w:vAlign w:val="center"/>
          </w:tcPr>
          <w:p w14:paraId="4D7567A1" w14:textId="77777777" w:rsidR="00A60833" w:rsidRPr="005A3564" w:rsidRDefault="00A60833" w:rsidP="000F462A">
            <w:pPr>
              <w:rPr>
                <w:sz w:val="22"/>
                <w:szCs w:val="22"/>
                <w:lang w:val="sr-Latn-ME"/>
              </w:rPr>
            </w:pPr>
            <w:r w:rsidRPr="005A3564">
              <w:rPr>
                <w:sz w:val="22"/>
                <w:szCs w:val="22"/>
                <w:lang w:val="sr-Latn-ME"/>
              </w:rPr>
              <w:t>Poremećaji na nivou krvi i limfnog sistema</w:t>
            </w:r>
          </w:p>
        </w:tc>
        <w:tc>
          <w:tcPr>
            <w:tcW w:w="1440" w:type="dxa"/>
          </w:tcPr>
          <w:p w14:paraId="2C157943" w14:textId="77777777" w:rsidR="00A60833" w:rsidRPr="005A3564" w:rsidRDefault="00A60833" w:rsidP="000F462A">
            <w:pPr>
              <w:rPr>
                <w:sz w:val="22"/>
                <w:szCs w:val="22"/>
                <w:lang w:val="sr-Latn-ME"/>
              </w:rPr>
            </w:pPr>
          </w:p>
        </w:tc>
        <w:tc>
          <w:tcPr>
            <w:tcW w:w="1440" w:type="dxa"/>
            <w:vAlign w:val="center"/>
          </w:tcPr>
          <w:p w14:paraId="4ED9B6C9" w14:textId="77777777" w:rsidR="00A60833" w:rsidRPr="005A3564" w:rsidRDefault="00A60833" w:rsidP="000F462A">
            <w:pPr>
              <w:rPr>
                <w:sz w:val="22"/>
                <w:szCs w:val="22"/>
                <w:lang w:val="sr-Latn-ME"/>
              </w:rPr>
            </w:pPr>
          </w:p>
        </w:tc>
        <w:tc>
          <w:tcPr>
            <w:tcW w:w="1676" w:type="dxa"/>
            <w:vAlign w:val="center"/>
          </w:tcPr>
          <w:p w14:paraId="114626BF" w14:textId="77777777" w:rsidR="00A60833" w:rsidRPr="005A3564" w:rsidRDefault="00A60833" w:rsidP="000F462A">
            <w:pPr>
              <w:rPr>
                <w:sz w:val="22"/>
                <w:szCs w:val="22"/>
                <w:lang w:val="sr-Latn-ME"/>
              </w:rPr>
            </w:pPr>
            <w:r w:rsidRPr="005A3564">
              <w:rPr>
                <w:sz w:val="22"/>
                <w:szCs w:val="22"/>
                <w:lang w:val="sr-Latn-ME"/>
              </w:rPr>
              <w:t>Agranulocitoza</w:t>
            </w:r>
          </w:p>
        </w:tc>
        <w:tc>
          <w:tcPr>
            <w:tcW w:w="2100" w:type="dxa"/>
            <w:vAlign w:val="center"/>
          </w:tcPr>
          <w:p w14:paraId="4B492C2D" w14:textId="77777777" w:rsidR="00A60833" w:rsidRPr="005A3564" w:rsidRDefault="00A60833" w:rsidP="000F462A">
            <w:pPr>
              <w:rPr>
                <w:sz w:val="22"/>
                <w:szCs w:val="22"/>
                <w:lang w:val="sr-Latn-ME"/>
              </w:rPr>
            </w:pPr>
            <w:r w:rsidRPr="005A3564">
              <w:rPr>
                <w:sz w:val="22"/>
                <w:szCs w:val="22"/>
                <w:lang w:val="sr-Latn-ME"/>
              </w:rPr>
              <w:t>Trombocitopenija; leukopenija;</w:t>
            </w:r>
          </w:p>
          <w:p w14:paraId="51309C6E" w14:textId="77777777" w:rsidR="00A60833" w:rsidRPr="005A3564" w:rsidRDefault="00A60833" w:rsidP="000F462A">
            <w:pPr>
              <w:rPr>
                <w:sz w:val="22"/>
                <w:szCs w:val="22"/>
                <w:lang w:val="sr-Latn-ME"/>
              </w:rPr>
            </w:pPr>
            <w:r w:rsidRPr="005A3564">
              <w:rPr>
                <w:sz w:val="22"/>
                <w:szCs w:val="22"/>
                <w:lang w:val="sr-Latn-ME"/>
              </w:rPr>
              <w:t>pancitopenija</w:t>
            </w:r>
          </w:p>
        </w:tc>
        <w:tc>
          <w:tcPr>
            <w:tcW w:w="2093" w:type="dxa"/>
            <w:vAlign w:val="center"/>
          </w:tcPr>
          <w:p w14:paraId="50EDF8E2" w14:textId="77777777" w:rsidR="00A60833" w:rsidRPr="005A3564" w:rsidRDefault="00A60833" w:rsidP="000F462A">
            <w:pPr>
              <w:rPr>
                <w:sz w:val="22"/>
                <w:szCs w:val="22"/>
                <w:lang w:val="sr-Latn-ME"/>
              </w:rPr>
            </w:pPr>
          </w:p>
        </w:tc>
      </w:tr>
      <w:tr w:rsidR="00A60833" w:rsidRPr="005A3564" w14:paraId="45550C69" w14:textId="77777777" w:rsidTr="00A60833">
        <w:trPr>
          <w:jc w:val="center"/>
        </w:trPr>
        <w:tc>
          <w:tcPr>
            <w:tcW w:w="1838" w:type="dxa"/>
            <w:vAlign w:val="center"/>
          </w:tcPr>
          <w:p w14:paraId="2E4016D8" w14:textId="77777777" w:rsidR="00A60833" w:rsidRPr="005A3564" w:rsidRDefault="00A60833" w:rsidP="000F462A">
            <w:pPr>
              <w:rPr>
                <w:sz w:val="22"/>
                <w:szCs w:val="22"/>
                <w:lang w:val="sr-Latn-ME"/>
              </w:rPr>
            </w:pPr>
            <w:r w:rsidRPr="005A3564">
              <w:rPr>
                <w:sz w:val="22"/>
                <w:szCs w:val="22"/>
                <w:lang w:val="sr-Latn-ME"/>
              </w:rPr>
              <w:t xml:space="preserve">Poremećaji imunog sistema </w:t>
            </w:r>
          </w:p>
        </w:tc>
        <w:tc>
          <w:tcPr>
            <w:tcW w:w="1440" w:type="dxa"/>
          </w:tcPr>
          <w:p w14:paraId="6BB92479" w14:textId="77777777" w:rsidR="00A60833" w:rsidRPr="005A3564" w:rsidRDefault="00A60833" w:rsidP="000F462A">
            <w:pPr>
              <w:rPr>
                <w:sz w:val="22"/>
                <w:szCs w:val="22"/>
                <w:lang w:val="sr-Latn-ME"/>
              </w:rPr>
            </w:pPr>
          </w:p>
        </w:tc>
        <w:tc>
          <w:tcPr>
            <w:tcW w:w="1440" w:type="dxa"/>
            <w:vAlign w:val="center"/>
          </w:tcPr>
          <w:p w14:paraId="38B92527" w14:textId="77777777" w:rsidR="00A60833" w:rsidRPr="005A3564" w:rsidRDefault="00A60833" w:rsidP="000F462A">
            <w:pPr>
              <w:rPr>
                <w:sz w:val="22"/>
                <w:szCs w:val="22"/>
                <w:lang w:val="sr-Latn-ME"/>
              </w:rPr>
            </w:pPr>
          </w:p>
        </w:tc>
        <w:tc>
          <w:tcPr>
            <w:tcW w:w="1676" w:type="dxa"/>
            <w:vAlign w:val="center"/>
          </w:tcPr>
          <w:p w14:paraId="31D311ED" w14:textId="77777777" w:rsidR="00A60833" w:rsidRPr="005A3564" w:rsidRDefault="00A60833" w:rsidP="000F462A">
            <w:pPr>
              <w:rPr>
                <w:sz w:val="22"/>
                <w:szCs w:val="22"/>
                <w:lang w:val="sr-Latn-ME"/>
              </w:rPr>
            </w:pPr>
            <w:r w:rsidRPr="005A3564">
              <w:rPr>
                <w:sz w:val="22"/>
                <w:szCs w:val="22"/>
                <w:lang w:val="sr-Latn-ME"/>
              </w:rPr>
              <w:t>Preosjetljivost (uključujući anafilaktične reakcije i anafilaktični šok)</w:t>
            </w:r>
          </w:p>
        </w:tc>
        <w:tc>
          <w:tcPr>
            <w:tcW w:w="2100" w:type="dxa"/>
            <w:vAlign w:val="center"/>
          </w:tcPr>
          <w:p w14:paraId="096372E3" w14:textId="77777777" w:rsidR="00A60833" w:rsidRPr="005A3564" w:rsidRDefault="00A60833" w:rsidP="000F462A">
            <w:pPr>
              <w:rPr>
                <w:strike/>
                <w:sz w:val="22"/>
                <w:szCs w:val="22"/>
                <w:lang w:val="sr-Latn-ME"/>
              </w:rPr>
            </w:pPr>
          </w:p>
        </w:tc>
        <w:tc>
          <w:tcPr>
            <w:tcW w:w="2093" w:type="dxa"/>
            <w:vAlign w:val="center"/>
          </w:tcPr>
          <w:p w14:paraId="473B345F" w14:textId="77777777" w:rsidR="00A60833" w:rsidRPr="005A3564" w:rsidRDefault="00A60833" w:rsidP="000F462A">
            <w:pPr>
              <w:rPr>
                <w:strike/>
                <w:sz w:val="22"/>
                <w:szCs w:val="22"/>
                <w:lang w:val="sr-Latn-ME"/>
              </w:rPr>
            </w:pPr>
          </w:p>
        </w:tc>
      </w:tr>
      <w:tr w:rsidR="00A60833" w:rsidRPr="005A3564" w14:paraId="44B50181" w14:textId="77777777" w:rsidTr="00A60833">
        <w:trPr>
          <w:jc w:val="center"/>
        </w:trPr>
        <w:tc>
          <w:tcPr>
            <w:tcW w:w="1838" w:type="dxa"/>
            <w:vAlign w:val="center"/>
          </w:tcPr>
          <w:p w14:paraId="6AC9E133" w14:textId="77777777" w:rsidR="00A60833" w:rsidRPr="005A3564" w:rsidRDefault="00A60833" w:rsidP="000F462A">
            <w:pPr>
              <w:rPr>
                <w:sz w:val="22"/>
                <w:szCs w:val="22"/>
                <w:lang w:val="sr-Latn-ME"/>
              </w:rPr>
            </w:pPr>
            <w:r w:rsidRPr="005A3564">
              <w:rPr>
                <w:sz w:val="22"/>
                <w:szCs w:val="22"/>
                <w:lang w:val="sr-Latn-ME"/>
              </w:rPr>
              <w:t>Poremećaji metabolizma i ishrane</w:t>
            </w:r>
          </w:p>
        </w:tc>
        <w:tc>
          <w:tcPr>
            <w:tcW w:w="1440" w:type="dxa"/>
          </w:tcPr>
          <w:p w14:paraId="5DD13F30" w14:textId="77777777" w:rsidR="00A60833" w:rsidRPr="005A3564" w:rsidRDefault="00A60833" w:rsidP="000F462A">
            <w:pPr>
              <w:rPr>
                <w:sz w:val="22"/>
                <w:szCs w:val="22"/>
                <w:lang w:val="sr-Latn-ME"/>
              </w:rPr>
            </w:pPr>
          </w:p>
        </w:tc>
        <w:tc>
          <w:tcPr>
            <w:tcW w:w="1440" w:type="dxa"/>
            <w:vAlign w:val="center"/>
          </w:tcPr>
          <w:p w14:paraId="3F71F060" w14:textId="77777777" w:rsidR="00A60833" w:rsidRPr="005A3564" w:rsidRDefault="00A60833" w:rsidP="000F462A">
            <w:pPr>
              <w:rPr>
                <w:sz w:val="22"/>
                <w:szCs w:val="22"/>
                <w:lang w:val="sr-Latn-ME"/>
              </w:rPr>
            </w:pPr>
          </w:p>
        </w:tc>
        <w:tc>
          <w:tcPr>
            <w:tcW w:w="1676" w:type="dxa"/>
            <w:vAlign w:val="center"/>
          </w:tcPr>
          <w:p w14:paraId="111F67D9" w14:textId="54BFCA5C" w:rsidR="00A60833" w:rsidRPr="005A3564" w:rsidRDefault="00A60833" w:rsidP="000F462A">
            <w:pPr>
              <w:rPr>
                <w:sz w:val="22"/>
                <w:szCs w:val="22"/>
                <w:lang w:val="sr-Latn-ME"/>
              </w:rPr>
            </w:pPr>
            <w:r w:rsidRPr="005A3564">
              <w:rPr>
                <w:sz w:val="22"/>
                <w:szCs w:val="22"/>
                <w:lang w:val="sr-Latn-ME"/>
              </w:rPr>
              <w:t xml:space="preserve">Hiperlipidemije i povećanje lipida (trigliceridi, holesterol); promjene u tjelesnoj </w:t>
            </w:r>
            <w:r w:rsidR="005617AA" w:rsidRPr="005A3564">
              <w:rPr>
                <w:sz w:val="22"/>
                <w:szCs w:val="22"/>
                <w:lang w:val="sr-Latn-ME"/>
              </w:rPr>
              <w:t>masi</w:t>
            </w:r>
          </w:p>
        </w:tc>
        <w:tc>
          <w:tcPr>
            <w:tcW w:w="2100" w:type="dxa"/>
            <w:vAlign w:val="center"/>
          </w:tcPr>
          <w:p w14:paraId="7CDFA28E" w14:textId="77777777" w:rsidR="00A60833" w:rsidRPr="005A3564" w:rsidRDefault="00A60833" w:rsidP="000F462A">
            <w:pPr>
              <w:rPr>
                <w:sz w:val="22"/>
                <w:szCs w:val="22"/>
                <w:lang w:val="sr-Latn-ME"/>
              </w:rPr>
            </w:pPr>
          </w:p>
        </w:tc>
        <w:tc>
          <w:tcPr>
            <w:tcW w:w="2093" w:type="dxa"/>
            <w:vAlign w:val="center"/>
          </w:tcPr>
          <w:p w14:paraId="2A6C20AA" w14:textId="5CC312F9" w:rsidR="00A60833" w:rsidRPr="005A3564" w:rsidRDefault="00A60833" w:rsidP="000F462A">
            <w:pPr>
              <w:rPr>
                <w:sz w:val="22"/>
                <w:szCs w:val="22"/>
                <w:lang w:val="sr-Latn-ME"/>
              </w:rPr>
            </w:pPr>
            <w:r w:rsidRPr="005A3564">
              <w:rPr>
                <w:sz w:val="22"/>
                <w:szCs w:val="22"/>
                <w:lang w:val="sr-Latn-ME"/>
              </w:rPr>
              <w:t xml:space="preserve">Hiponatrijemija; hipomagnezijemija (vidjeti </w:t>
            </w:r>
            <w:r w:rsidR="009844CB" w:rsidRPr="005A3564">
              <w:rPr>
                <w:sz w:val="22"/>
                <w:szCs w:val="22"/>
                <w:lang w:val="sr-Latn-ME"/>
              </w:rPr>
              <w:t>dio</w:t>
            </w:r>
            <w:r w:rsidRPr="005A3564">
              <w:rPr>
                <w:sz w:val="22"/>
                <w:szCs w:val="22"/>
                <w:lang w:val="sr-Latn-ME"/>
              </w:rPr>
              <w:t xml:space="preserve"> 4.4)</w:t>
            </w:r>
          </w:p>
          <w:p w14:paraId="112DF5FF" w14:textId="77777777" w:rsidR="00A60833" w:rsidRPr="005A3564" w:rsidRDefault="00A60833" w:rsidP="000F462A">
            <w:pPr>
              <w:rPr>
                <w:noProof/>
                <w:sz w:val="22"/>
                <w:szCs w:val="22"/>
                <w:lang w:val="sr-Latn-ME"/>
              </w:rPr>
            </w:pPr>
            <w:r w:rsidRPr="005A3564">
              <w:rPr>
                <w:noProof/>
                <w:sz w:val="22"/>
                <w:szCs w:val="22"/>
                <w:lang w:val="sr-Latn-ME"/>
              </w:rPr>
              <w:t>Hipokalcijemija</w:t>
            </w:r>
            <w:r w:rsidRPr="005A3564">
              <w:rPr>
                <w:noProof/>
                <w:sz w:val="22"/>
                <w:szCs w:val="22"/>
                <w:vertAlign w:val="superscript"/>
                <w:lang w:val="sr-Latn-ME"/>
              </w:rPr>
              <w:t>(1)</w:t>
            </w:r>
            <w:r w:rsidRPr="005A3564">
              <w:rPr>
                <w:noProof/>
                <w:sz w:val="22"/>
                <w:szCs w:val="22"/>
                <w:lang w:val="sr-Latn-ME"/>
              </w:rPr>
              <w:t>;</w:t>
            </w:r>
          </w:p>
          <w:p w14:paraId="2B43021E" w14:textId="5F11EE70" w:rsidR="00A60833" w:rsidRPr="005A3564" w:rsidRDefault="00A60833" w:rsidP="000F462A">
            <w:pPr>
              <w:rPr>
                <w:sz w:val="22"/>
                <w:szCs w:val="22"/>
                <w:lang w:val="sr-Latn-ME"/>
              </w:rPr>
            </w:pPr>
            <w:r w:rsidRPr="005A3564">
              <w:rPr>
                <w:noProof/>
                <w:sz w:val="22"/>
                <w:szCs w:val="22"/>
                <w:lang w:val="sr-Latn-ME"/>
              </w:rPr>
              <w:t>Hipokalijemija</w:t>
            </w:r>
            <w:r w:rsidR="0096377A" w:rsidRPr="005A3564">
              <w:rPr>
                <w:noProof/>
                <w:sz w:val="22"/>
                <w:szCs w:val="22"/>
                <w:vertAlign w:val="superscript"/>
                <w:lang w:val="sr-Latn-ME"/>
              </w:rPr>
              <w:t>(1)</w:t>
            </w:r>
          </w:p>
        </w:tc>
      </w:tr>
      <w:tr w:rsidR="00A60833" w:rsidRPr="005A3564" w14:paraId="742B58BE" w14:textId="77777777" w:rsidTr="00A60833">
        <w:trPr>
          <w:jc w:val="center"/>
        </w:trPr>
        <w:tc>
          <w:tcPr>
            <w:tcW w:w="1838" w:type="dxa"/>
            <w:vAlign w:val="center"/>
          </w:tcPr>
          <w:p w14:paraId="6F078C13" w14:textId="77777777" w:rsidR="00A60833" w:rsidRPr="005A3564" w:rsidRDefault="00A60833" w:rsidP="000F462A">
            <w:pPr>
              <w:rPr>
                <w:sz w:val="22"/>
                <w:szCs w:val="22"/>
                <w:lang w:val="sr-Latn-ME"/>
              </w:rPr>
            </w:pPr>
            <w:r w:rsidRPr="005A3564">
              <w:rPr>
                <w:sz w:val="22"/>
                <w:szCs w:val="22"/>
                <w:lang w:val="sr-Latn-ME"/>
              </w:rPr>
              <w:t>Psihijatrijski poremećaji</w:t>
            </w:r>
          </w:p>
        </w:tc>
        <w:tc>
          <w:tcPr>
            <w:tcW w:w="1440" w:type="dxa"/>
          </w:tcPr>
          <w:p w14:paraId="0F95A96B" w14:textId="77777777" w:rsidR="00A60833" w:rsidRPr="005A3564" w:rsidRDefault="00A60833" w:rsidP="000F462A">
            <w:pPr>
              <w:rPr>
                <w:sz w:val="22"/>
                <w:szCs w:val="22"/>
                <w:lang w:val="sr-Latn-ME"/>
              </w:rPr>
            </w:pPr>
          </w:p>
        </w:tc>
        <w:tc>
          <w:tcPr>
            <w:tcW w:w="1440" w:type="dxa"/>
            <w:vAlign w:val="center"/>
          </w:tcPr>
          <w:p w14:paraId="7B9132BA" w14:textId="77777777" w:rsidR="00A60833" w:rsidRPr="005A3564" w:rsidRDefault="00A60833" w:rsidP="000F462A">
            <w:pPr>
              <w:rPr>
                <w:sz w:val="22"/>
                <w:szCs w:val="22"/>
                <w:lang w:val="sr-Latn-ME"/>
              </w:rPr>
            </w:pPr>
            <w:r w:rsidRPr="005A3564">
              <w:rPr>
                <w:sz w:val="22"/>
                <w:szCs w:val="22"/>
                <w:lang w:val="sr-Latn-ME"/>
              </w:rPr>
              <w:t>Poremećaji sna</w:t>
            </w:r>
          </w:p>
        </w:tc>
        <w:tc>
          <w:tcPr>
            <w:tcW w:w="1676" w:type="dxa"/>
            <w:vAlign w:val="center"/>
          </w:tcPr>
          <w:p w14:paraId="0C540701" w14:textId="77777777" w:rsidR="00A60833" w:rsidRPr="005A3564" w:rsidRDefault="00A60833" w:rsidP="000F462A">
            <w:pPr>
              <w:rPr>
                <w:sz w:val="22"/>
                <w:szCs w:val="22"/>
                <w:lang w:val="sr-Latn-ME"/>
              </w:rPr>
            </w:pPr>
            <w:r w:rsidRPr="005A3564">
              <w:rPr>
                <w:sz w:val="22"/>
                <w:szCs w:val="22"/>
                <w:lang w:val="sr-Latn-ME"/>
              </w:rPr>
              <w:t>Depresija (</w:t>
            </w:r>
            <w:r w:rsidRPr="005A3564">
              <w:rPr>
                <w:noProof/>
                <w:sz w:val="22"/>
                <w:szCs w:val="22"/>
                <w:lang w:val="sr-Latn-ME"/>
              </w:rPr>
              <w:t>i sva pogoršanja</w:t>
            </w:r>
            <w:r w:rsidRPr="005A3564">
              <w:rPr>
                <w:sz w:val="22"/>
                <w:szCs w:val="22"/>
                <w:lang w:val="sr-Latn-ME"/>
              </w:rPr>
              <w:t>)</w:t>
            </w:r>
          </w:p>
        </w:tc>
        <w:tc>
          <w:tcPr>
            <w:tcW w:w="2100" w:type="dxa"/>
            <w:vAlign w:val="center"/>
          </w:tcPr>
          <w:p w14:paraId="0E9D678A" w14:textId="77777777" w:rsidR="00A60833" w:rsidRPr="005A3564" w:rsidRDefault="00A60833" w:rsidP="000F462A">
            <w:pPr>
              <w:rPr>
                <w:sz w:val="22"/>
                <w:szCs w:val="22"/>
                <w:lang w:val="sr-Latn-ME"/>
              </w:rPr>
            </w:pPr>
            <w:r w:rsidRPr="005A3564">
              <w:rPr>
                <w:sz w:val="22"/>
                <w:szCs w:val="22"/>
                <w:lang w:val="sr-Latn-ME"/>
              </w:rPr>
              <w:t>Dezorijentacija (</w:t>
            </w:r>
            <w:r w:rsidRPr="005A3564">
              <w:rPr>
                <w:noProof/>
                <w:sz w:val="22"/>
                <w:szCs w:val="22"/>
                <w:lang w:val="sr-Latn-ME"/>
              </w:rPr>
              <w:t>i sva pogoršanja</w:t>
            </w:r>
            <w:r w:rsidRPr="005A3564">
              <w:rPr>
                <w:sz w:val="22"/>
                <w:szCs w:val="22"/>
                <w:lang w:val="sr-Latn-ME"/>
              </w:rPr>
              <w:t>)</w:t>
            </w:r>
          </w:p>
        </w:tc>
        <w:tc>
          <w:tcPr>
            <w:tcW w:w="2093" w:type="dxa"/>
            <w:vAlign w:val="center"/>
          </w:tcPr>
          <w:p w14:paraId="4799D91F" w14:textId="77777777" w:rsidR="00A60833" w:rsidRPr="005A3564" w:rsidRDefault="00A60833" w:rsidP="000F462A">
            <w:pPr>
              <w:rPr>
                <w:sz w:val="22"/>
                <w:szCs w:val="22"/>
                <w:lang w:val="sr-Latn-ME"/>
              </w:rPr>
            </w:pPr>
            <w:r w:rsidRPr="005A3564">
              <w:rPr>
                <w:sz w:val="22"/>
                <w:szCs w:val="22"/>
                <w:lang w:val="sr-Latn-ME"/>
              </w:rPr>
              <w:t>Halucinacije; konfuzija (posebno kod predisponiranih pacijenata</w:t>
            </w:r>
            <w:r w:rsidRPr="005A3564">
              <w:rPr>
                <w:noProof/>
                <w:sz w:val="22"/>
                <w:szCs w:val="22"/>
                <w:lang w:val="sr-Latn-ME"/>
              </w:rPr>
              <w:t xml:space="preserve"> i pogoršanje već postojećih simptoma</w:t>
            </w:r>
            <w:r w:rsidRPr="005A3564">
              <w:rPr>
                <w:sz w:val="22"/>
                <w:szCs w:val="22"/>
                <w:lang w:val="sr-Latn-ME"/>
              </w:rPr>
              <w:t>)</w:t>
            </w:r>
          </w:p>
        </w:tc>
      </w:tr>
      <w:tr w:rsidR="00A60833" w:rsidRPr="005A3564" w14:paraId="2BD6B22C" w14:textId="77777777" w:rsidTr="00A60833">
        <w:trPr>
          <w:jc w:val="center"/>
        </w:trPr>
        <w:tc>
          <w:tcPr>
            <w:tcW w:w="1838" w:type="dxa"/>
            <w:vAlign w:val="center"/>
          </w:tcPr>
          <w:p w14:paraId="3DF87319" w14:textId="77777777" w:rsidR="00A60833" w:rsidRPr="005A3564" w:rsidRDefault="00A60833" w:rsidP="000F462A">
            <w:pPr>
              <w:rPr>
                <w:sz w:val="22"/>
                <w:szCs w:val="22"/>
                <w:lang w:val="sr-Latn-ME"/>
              </w:rPr>
            </w:pPr>
            <w:r w:rsidRPr="005A3564">
              <w:rPr>
                <w:sz w:val="22"/>
                <w:szCs w:val="22"/>
                <w:lang w:val="sr-Latn-ME"/>
              </w:rPr>
              <w:t>Poremećaji nervnog sistema</w:t>
            </w:r>
          </w:p>
        </w:tc>
        <w:tc>
          <w:tcPr>
            <w:tcW w:w="1440" w:type="dxa"/>
          </w:tcPr>
          <w:p w14:paraId="7F646C81" w14:textId="77777777" w:rsidR="00A60833" w:rsidRPr="005A3564" w:rsidRDefault="00A60833" w:rsidP="000F462A">
            <w:pPr>
              <w:rPr>
                <w:sz w:val="22"/>
                <w:szCs w:val="22"/>
                <w:lang w:val="sr-Latn-ME"/>
              </w:rPr>
            </w:pPr>
          </w:p>
        </w:tc>
        <w:tc>
          <w:tcPr>
            <w:tcW w:w="1440" w:type="dxa"/>
            <w:vAlign w:val="center"/>
          </w:tcPr>
          <w:p w14:paraId="4AA39CAE" w14:textId="77777777" w:rsidR="00A60833" w:rsidRPr="005A3564" w:rsidRDefault="00A60833" w:rsidP="000F462A">
            <w:pPr>
              <w:rPr>
                <w:sz w:val="22"/>
                <w:szCs w:val="22"/>
                <w:lang w:val="sr-Latn-ME"/>
              </w:rPr>
            </w:pPr>
            <w:r w:rsidRPr="005A3564">
              <w:rPr>
                <w:sz w:val="22"/>
                <w:szCs w:val="22"/>
                <w:lang w:val="sr-Latn-ME"/>
              </w:rPr>
              <w:t>Glavobolja; vrtoglavica</w:t>
            </w:r>
          </w:p>
        </w:tc>
        <w:tc>
          <w:tcPr>
            <w:tcW w:w="1676" w:type="dxa"/>
            <w:vAlign w:val="center"/>
          </w:tcPr>
          <w:p w14:paraId="01BE96F5" w14:textId="77777777" w:rsidR="00A60833" w:rsidRPr="005A3564" w:rsidRDefault="00A60833" w:rsidP="000F462A">
            <w:pPr>
              <w:rPr>
                <w:sz w:val="22"/>
                <w:szCs w:val="22"/>
                <w:lang w:val="sr-Latn-ME"/>
              </w:rPr>
            </w:pPr>
            <w:r w:rsidRPr="005A3564">
              <w:rPr>
                <w:sz w:val="22"/>
                <w:szCs w:val="22"/>
                <w:lang w:val="sr-Latn-ME"/>
              </w:rPr>
              <w:t>Poremećaj čula ukusa</w:t>
            </w:r>
          </w:p>
        </w:tc>
        <w:tc>
          <w:tcPr>
            <w:tcW w:w="2100" w:type="dxa"/>
            <w:vAlign w:val="center"/>
          </w:tcPr>
          <w:p w14:paraId="07B1DD05" w14:textId="77777777" w:rsidR="00A60833" w:rsidRPr="005A3564" w:rsidRDefault="00A60833" w:rsidP="000F462A">
            <w:pPr>
              <w:rPr>
                <w:sz w:val="22"/>
                <w:szCs w:val="22"/>
                <w:lang w:val="sr-Latn-ME"/>
              </w:rPr>
            </w:pPr>
          </w:p>
        </w:tc>
        <w:tc>
          <w:tcPr>
            <w:tcW w:w="2093" w:type="dxa"/>
            <w:vAlign w:val="center"/>
          </w:tcPr>
          <w:p w14:paraId="4D78BC25" w14:textId="77777777" w:rsidR="00A60833" w:rsidRPr="005A3564" w:rsidRDefault="00A60833" w:rsidP="000F462A">
            <w:pPr>
              <w:rPr>
                <w:sz w:val="22"/>
                <w:szCs w:val="22"/>
                <w:lang w:val="sr-Latn-ME"/>
              </w:rPr>
            </w:pPr>
            <w:r w:rsidRPr="005A3564">
              <w:rPr>
                <w:sz w:val="22"/>
                <w:szCs w:val="22"/>
                <w:lang w:val="sr-Latn-ME"/>
              </w:rPr>
              <w:t>Parestezija</w:t>
            </w:r>
          </w:p>
        </w:tc>
      </w:tr>
      <w:tr w:rsidR="00A60833" w:rsidRPr="005A3564" w14:paraId="7C744DCA" w14:textId="77777777" w:rsidTr="00A60833">
        <w:trPr>
          <w:jc w:val="center"/>
        </w:trPr>
        <w:tc>
          <w:tcPr>
            <w:tcW w:w="1838" w:type="dxa"/>
            <w:vAlign w:val="center"/>
          </w:tcPr>
          <w:p w14:paraId="667E0B43" w14:textId="77777777" w:rsidR="00A60833" w:rsidRPr="005A3564" w:rsidRDefault="00A60833" w:rsidP="000F462A">
            <w:pPr>
              <w:rPr>
                <w:sz w:val="22"/>
                <w:szCs w:val="22"/>
                <w:lang w:val="sr-Latn-ME"/>
              </w:rPr>
            </w:pPr>
            <w:r w:rsidRPr="005A3564">
              <w:rPr>
                <w:sz w:val="22"/>
                <w:szCs w:val="22"/>
                <w:lang w:val="sr-Latn-ME"/>
              </w:rPr>
              <w:t>Poremećaji na nivou oka</w:t>
            </w:r>
          </w:p>
        </w:tc>
        <w:tc>
          <w:tcPr>
            <w:tcW w:w="1440" w:type="dxa"/>
          </w:tcPr>
          <w:p w14:paraId="0C82FBE9" w14:textId="77777777" w:rsidR="00A60833" w:rsidRPr="005A3564" w:rsidRDefault="00A60833" w:rsidP="000F462A">
            <w:pPr>
              <w:rPr>
                <w:sz w:val="22"/>
                <w:szCs w:val="22"/>
                <w:lang w:val="sr-Latn-ME"/>
              </w:rPr>
            </w:pPr>
          </w:p>
        </w:tc>
        <w:tc>
          <w:tcPr>
            <w:tcW w:w="1440" w:type="dxa"/>
            <w:vAlign w:val="center"/>
          </w:tcPr>
          <w:p w14:paraId="1806C2B5" w14:textId="77777777" w:rsidR="00A60833" w:rsidRPr="005A3564" w:rsidRDefault="00A60833" w:rsidP="000F462A">
            <w:pPr>
              <w:rPr>
                <w:sz w:val="22"/>
                <w:szCs w:val="22"/>
                <w:lang w:val="sr-Latn-ME"/>
              </w:rPr>
            </w:pPr>
          </w:p>
        </w:tc>
        <w:tc>
          <w:tcPr>
            <w:tcW w:w="1676" w:type="dxa"/>
            <w:vAlign w:val="center"/>
          </w:tcPr>
          <w:p w14:paraId="566861E9" w14:textId="77777777" w:rsidR="00A60833" w:rsidRPr="005A3564" w:rsidRDefault="00A60833" w:rsidP="000F462A">
            <w:pPr>
              <w:rPr>
                <w:sz w:val="22"/>
                <w:szCs w:val="22"/>
                <w:lang w:val="sr-Latn-ME"/>
              </w:rPr>
            </w:pPr>
            <w:r w:rsidRPr="005A3564">
              <w:rPr>
                <w:sz w:val="22"/>
                <w:szCs w:val="22"/>
                <w:lang w:val="sr-Latn-ME"/>
              </w:rPr>
              <w:t>Poremećaji vida (zamućen vid)</w:t>
            </w:r>
          </w:p>
        </w:tc>
        <w:tc>
          <w:tcPr>
            <w:tcW w:w="2100" w:type="dxa"/>
            <w:vAlign w:val="center"/>
          </w:tcPr>
          <w:p w14:paraId="7D80FE68" w14:textId="77777777" w:rsidR="00A60833" w:rsidRPr="005A3564" w:rsidRDefault="00A60833" w:rsidP="000F462A">
            <w:pPr>
              <w:rPr>
                <w:sz w:val="22"/>
                <w:szCs w:val="22"/>
                <w:lang w:val="sr-Latn-ME"/>
              </w:rPr>
            </w:pPr>
          </w:p>
        </w:tc>
        <w:tc>
          <w:tcPr>
            <w:tcW w:w="2093" w:type="dxa"/>
            <w:vAlign w:val="center"/>
          </w:tcPr>
          <w:p w14:paraId="58ACE905" w14:textId="77777777" w:rsidR="00A60833" w:rsidRPr="005A3564" w:rsidRDefault="00A60833" w:rsidP="000F462A">
            <w:pPr>
              <w:rPr>
                <w:sz w:val="22"/>
                <w:szCs w:val="22"/>
                <w:lang w:val="sr-Latn-ME"/>
              </w:rPr>
            </w:pPr>
          </w:p>
        </w:tc>
      </w:tr>
      <w:tr w:rsidR="00A60833" w:rsidRPr="005A3564" w14:paraId="652D9BA7" w14:textId="77777777" w:rsidTr="00A60833">
        <w:trPr>
          <w:jc w:val="center"/>
        </w:trPr>
        <w:tc>
          <w:tcPr>
            <w:tcW w:w="1838" w:type="dxa"/>
            <w:vAlign w:val="center"/>
          </w:tcPr>
          <w:p w14:paraId="14D92A95" w14:textId="77777777" w:rsidR="00A60833" w:rsidRPr="005A3564" w:rsidRDefault="00A60833" w:rsidP="00A60833">
            <w:pPr>
              <w:rPr>
                <w:sz w:val="22"/>
                <w:szCs w:val="22"/>
                <w:lang w:val="sr-Latn-ME"/>
              </w:rPr>
            </w:pPr>
            <w:r w:rsidRPr="005A3564">
              <w:rPr>
                <w:sz w:val="22"/>
                <w:szCs w:val="22"/>
                <w:lang w:val="sr-Latn-ME"/>
              </w:rPr>
              <w:t>Gastrointestinalniporemećaji</w:t>
            </w:r>
          </w:p>
        </w:tc>
        <w:tc>
          <w:tcPr>
            <w:tcW w:w="1440" w:type="dxa"/>
          </w:tcPr>
          <w:p w14:paraId="6A4354B1" w14:textId="5B33858A" w:rsidR="00A60833" w:rsidRPr="005A3564" w:rsidRDefault="00A60833" w:rsidP="00A60833">
            <w:pPr>
              <w:rPr>
                <w:noProof/>
                <w:sz w:val="22"/>
                <w:szCs w:val="22"/>
                <w:lang w:val="sr-Latn-ME"/>
              </w:rPr>
            </w:pPr>
            <w:r w:rsidRPr="005A3564">
              <w:rPr>
                <w:noProof/>
                <w:sz w:val="22"/>
                <w:szCs w:val="22"/>
                <w:lang w:val="sr-Latn-ME"/>
              </w:rPr>
              <w:t>Polipi fundusnih žl</w:t>
            </w:r>
            <w:r w:rsidR="00754BF9" w:rsidRPr="005A3564">
              <w:rPr>
                <w:noProof/>
                <w:sz w:val="22"/>
                <w:szCs w:val="22"/>
                <w:lang w:val="sr-Latn-ME"/>
              </w:rPr>
              <w:t>ij</w:t>
            </w:r>
            <w:r w:rsidRPr="005A3564">
              <w:rPr>
                <w:noProof/>
                <w:sz w:val="22"/>
                <w:szCs w:val="22"/>
                <w:lang w:val="sr-Latn-ME"/>
              </w:rPr>
              <w:t>ezda (benigni)</w:t>
            </w:r>
          </w:p>
        </w:tc>
        <w:tc>
          <w:tcPr>
            <w:tcW w:w="1440" w:type="dxa"/>
            <w:vAlign w:val="center"/>
          </w:tcPr>
          <w:p w14:paraId="3414FDD7" w14:textId="7D071CE7" w:rsidR="00A60833" w:rsidRPr="005A3564" w:rsidRDefault="005617AA" w:rsidP="00A60833">
            <w:pPr>
              <w:rPr>
                <w:sz w:val="22"/>
                <w:szCs w:val="22"/>
                <w:lang w:val="sr-Latn-ME"/>
              </w:rPr>
            </w:pPr>
            <w:r w:rsidRPr="005A3564">
              <w:rPr>
                <w:sz w:val="22"/>
                <w:szCs w:val="22"/>
                <w:lang w:val="sr-Latn-ME"/>
              </w:rPr>
              <w:t>Dijareja</w:t>
            </w:r>
            <w:r w:rsidR="00A60833" w:rsidRPr="005A3564">
              <w:rPr>
                <w:sz w:val="22"/>
                <w:szCs w:val="22"/>
                <w:lang w:val="sr-Latn-ME"/>
              </w:rPr>
              <w:t xml:space="preserve">; mučnina/ povraćanje; nadimanje i pojava gasova; zatvor; suva usta; bol u trbuhu i </w:t>
            </w:r>
            <w:r w:rsidR="00A60833" w:rsidRPr="005A3564">
              <w:rPr>
                <w:sz w:val="22"/>
                <w:szCs w:val="22"/>
                <w:lang w:val="sr-Latn-ME"/>
              </w:rPr>
              <w:lastRenderedPageBreak/>
              <w:t>nelagodnost</w:t>
            </w:r>
            <w:r w:rsidR="00754BF9" w:rsidRPr="005A3564">
              <w:rPr>
                <w:sz w:val="22"/>
                <w:szCs w:val="22"/>
                <w:lang w:val="sr-Latn-ME"/>
              </w:rPr>
              <w:t xml:space="preserve"> u abdmenu</w:t>
            </w:r>
          </w:p>
        </w:tc>
        <w:tc>
          <w:tcPr>
            <w:tcW w:w="1676" w:type="dxa"/>
            <w:vAlign w:val="center"/>
          </w:tcPr>
          <w:p w14:paraId="245AFE65" w14:textId="77777777" w:rsidR="00A60833" w:rsidRPr="005A3564" w:rsidRDefault="00A60833" w:rsidP="00A60833">
            <w:pPr>
              <w:rPr>
                <w:sz w:val="22"/>
                <w:szCs w:val="22"/>
                <w:lang w:val="sr-Latn-ME"/>
              </w:rPr>
            </w:pPr>
          </w:p>
        </w:tc>
        <w:tc>
          <w:tcPr>
            <w:tcW w:w="2100" w:type="dxa"/>
            <w:vAlign w:val="center"/>
          </w:tcPr>
          <w:p w14:paraId="51DE21A3" w14:textId="77777777" w:rsidR="00A60833" w:rsidRPr="005A3564" w:rsidRDefault="00A60833" w:rsidP="00A60833">
            <w:pPr>
              <w:rPr>
                <w:sz w:val="22"/>
                <w:szCs w:val="22"/>
                <w:lang w:val="sr-Latn-ME"/>
              </w:rPr>
            </w:pPr>
          </w:p>
        </w:tc>
        <w:tc>
          <w:tcPr>
            <w:tcW w:w="2093" w:type="dxa"/>
            <w:vAlign w:val="center"/>
          </w:tcPr>
          <w:p w14:paraId="51BD45DA" w14:textId="5FB734A6" w:rsidR="00A60833" w:rsidRPr="005A3564" w:rsidRDefault="005617AA" w:rsidP="00A60833">
            <w:pPr>
              <w:ind w:right="-232"/>
              <w:rPr>
                <w:sz w:val="22"/>
                <w:szCs w:val="22"/>
                <w:lang w:val="sr-Latn-ME"/>
              </w:rPr>
            </w:pPr>
            <w:r w:rsidRPr="005A3564">
              <w:rPr>
                <w:sz w:val="22"/>
                <w:szCs w:val="22"/>
                <w:lang w:val="sr-Latn-ME"/>
              </w:rPr>
              <w:t>Mikroskopski kolitis</w:t>
            </w:r>
          </w:p>
        </w:tc>
      </w:tr>
      <w:tr w:rsidR="00A60833" w:rsidRPr="005A3564" w14:paraId="079EC050" w14:textId="77777777" w:rsidTr="00A60833">
        <w:trPr>
          <w:jc w:val="center"/>
        </w:trPr>
        <w:tc>
          <w:tcPr>
            <w:tcW w:w="1838" w:type="dxa"/>
            <w:vAlign w:val="center"/>
          </w:tcPr>
          <w:p w14:paraId="21B93F3E" w14:textId="77777777" w:rsidR="00A60833" w:rsidRPr="005A3564" w:rsidRDefault="00A60833" w:rsidP="00A60833">
            <w:pPr>
              <w:rPr>
                <w:sz w:val="22"/>
                <w:szCs w:val="22"/>
                <w:lang w:val="sr-Latn-ME"/>
              </w:rPr>
            </w:pPr>
            <w:r w:rsidRPr="005A3564">
              <w:rPr>
                <w:sz w:val="22"/>
                <w:szCs w:val="22"/>
                <w:lang w:val="sr-Latn-ME"/>
              </w:rPr>
              <w:t>Hepatobilijarni poremećaji</w:t>
            </w:r>
          </w:p>
        </w:tc>
        <w:tc>
          <w:tcPr>
            <w:tcW w:w="1440" w:type="dxa"/>
          </w:tcPr>
          <w:p w14:paraId="5ABC04BD" w14:textId="77777777" w:rsidR="00A60833" w:rsidRPr="005A3564" w:rsidRDefault="00A60833" w:rsidP="00A60833">
            <w:pPr>
              <w:rPr>
                <w:sz w:val="22"/>
                <w:szCs w:val="22"/>
                <w:lang w:val="sr-Latn-ME"/>
              </w:rPr>
            </w:pPr>
          </w:p>
        </w:tc>
        <w:tc>
          <w:tcPr>
            <w:tcW w:w="1440" w:type="dxa"/>
            <w:vAlign w:val="center"/>
          </w:tcPr>
          <w:p w14:paraId="7A0EB0FB" w14:textId="77777777" w:rsidR="00A60833" w:rsidRPr="005A3564" w:rsidRDefault="00A60833" w:rsidP="00A60833">
            <w:pPr>
              <w:rPr>
                <w:sz w:val="22"/>
                <w:szCs w:val="22"/>
                <w:lang w:val="sr-Latn-ME"/>
              </w:rPr>
            </w:pPr>
            <w:r w:rsidRPr="005A3564">
              <w:rPr>
                <w:sz w:val="22"/>
                <w:szCs w:val="22"/>
                <w:lang w:val="sr-Latn-ME"/>
              </w:rPr>
              <w:t>Povećanje enzima jetre (transaminaze, γ-GT)</w:t>
            </w:r>
          </w:p>
        </w:tc>
        <w:tc>
          <w:tcPr>
            <w:tcW w:w="1676" w:type="dxa"/>
            <w:vAlign w:val="center"/>
          </w:tcPr>
          <w:p w14:paraId="20A883B9" w14:textId="77777777" w:rsidR="00A60833" w:rsidRPr="005A3564" w:rsidRDefault="00A60833" w:rsidP="00A60833">
            <w:pPr>
              <w:rPr>
                <w:sz w:val="22"/>
                <w:szCs w:val="22"/>
                <w:lang w:val="sr-Latn-ME"/>
              </w:rPr>
            </w:pPr>
            <w:r w:rsidRPr="005A3564">
              <w:rPr>
                <w:sz w:val="22"/>
                <w:szCs w:val="22"/>
                <w:lang w:val="sr-Latn-ME"/>
              </w:rPr>
              <w:t>Povećanje bilirubina</w:t>
            </w:r>
          </w:p>
        </w:tc>
        <w:tc>
          <w:tcPr>
            <w:tcW w:w="2100" w:type="dxa"/>
            <w:vAlign w:val="center"/>
          </w:tcPr>
          <w:p w14:paraId="7BD21177" w14:textId="77777777" w:rsidR="00A60833" w:rsidRPr="005A3564" w:rsidRDefault="00A60833" w:rsidP="00A60833">
            <w:pPr>
              <w:rPr>
                <w:strike/>
                <w:sz w:val="22"/>
                <w:szCs w:val="22"/>
                <w:lang w:val="sr-Latn-ME"/>
              </w:rPr>
            </w:pPr>
          </w:p>
        </w:tc>
        <w:tc>
          <w:tcPr>
            <w:tcW w:w="2093" w:type="dxa"/>
            <w:vAlign w:val="center"/>
          </w:tcPr>
          <w:p w14:paraId="44F50A73" w14:textId="77777777" w:rsidR="00A60833" w:rsidRPr="005A3564" w:rsidRDefault="00A60833" w:rsidP="00A60833">
            <w:pPr>
              <w:rPr>
                <w:sz w:val="22"/>
                <w:szCs w:val="22"/>
                <w:lang w:val="sr-Latn-ME"/>
              </w:rPr>
            </w:pPr>
            <w:r w:rsidRPr="005A3564">
              <w:rPr>
                <w:sz w:val="22"/>
                <w:szCs w:val="22"/>
                <w:lang w:val="sr-Latn-ME"/>
              </w:rPr>
              <w:t>Hepatocelularno oštećenje; žutica; hepatocelularna  insuficijencija</w:t>
            </w:r>
          </w:p>
        </w:tc>
      </w:tr>
      <w:tr w:rsidR="00A60833" w:rsidRPr="005A3564" w14:paraId="1B5A31D1" w14:textId="77777777" w:rsidTr="00A60833">
        <w:trPr>
          <w:jc w:val="center"/>
        </w:trPr>
        <w:tc>
          <w:tcPr>
            <w:tcW w:w="1838" w:type="dxa"/>
            <w:vAlign w:val="center"/>
          </w:tcPr>
          <w:p w14:paraId="70446B11" w14:textId="77777777" w:rsidR="00A60833" w:rsidRPr="005A3564" w:rsidRDefault="00A60833" w:rsidP="00A60833">
            <w:pPr>
              <w:rPr>
                <w:sz w:val="22"/>
                <w:szCs w:val="22"/>
                <w:lang w:val="sr-Latn-ME"/>
              </w:rPr>
            </w:pPr>
            <w:r w:rsidRPr="005A3564">
              <w:rPr>
                <w:sz w:val="22"/>
                <w:szCs w:val="22"/>
                <w:lang w:val="sr-Latn-ME"/>
              </w:rPr>
              <w:t>Poremećaji na nivou kože i potkožnog tkiva</w:t>
            </w:r>
          </w:p>
        </w:tc>
        <w:tc>
          <w:tcPr>
            <w:tcW w:w="1440" w:type="dxa"/>
          </w:tcPr>
          <w:p w14:paraId="0BCC5940" w14:textId="77777777" w:rsidR="00A60833" w:rsidRPr="005A3564" w:rsidRDefault="00A60833" w:rsidP="00A60833">
            <w:pPr>
              <w:rPr>
                <w:sz w:val="22"/>
                <w:szCs w:val="22"/>
                <w:lang w:val="sr-Latn-ME"/>
              </w:rPr>
            </w:pPr>
          </w:p>
        </w:tc>
        <w:tc>
          <w:tcPr>
            <w:tcW w:w="1440" w:type="dxa"/>
            <w:vAlign w:val="center"/>
          </w:tcPr>
          <w:p w14:paraId="39889948" w14:textId="7EEC1989" w:rsidR="00A60833" w:rsidRPr="005A3564" w:rsidRDefault="00754BF9" w:rsidP="00A60833">
            <w:pPr>
              <w:rPr>
                <w:sz w:val="22"/>
                <w:szCs w:val="22"/>
                <w:lang w:val="sr-Latn-ME"/>
              </w:rPr>
            </w:pPr>
            <w:r w:rsidRPr="005A3564">
              <w:rPr>
                <w:sz w:val="22"/>
                <w:szCs w:val="22"/>
                <w:lang w:val="sr-Latn-ME"/>
              </w:rPr>
              <w:t>Osip</w:t>
            </w:r>
            <w:r w:rsidR="00F66419" w:rsidRPr="005A3564">
              <w:rPr>
                <w:sz w:val="22"/>
                <w:szCs w:val="22"/>
                <w:lang w:val="sr-Latn-ME"/>
              </w:rPr>
              <w:t xml:space="preserve"> /</w:t>
            </w:r>
            <w:r w:rsidRPr="005A3564">
              <w:rPr>
                <w:sz w:val="22"/>
                <w:szCs w:val="22"/>
                <w:lang w:val="sr-Latn-ME"/>
              </w:rPr>
              <w:t>egzantem</w:t>
            </w:r>
            <w:r w:rsidR="00F66419" w:rsidRPr="005A3564">
              <w:rPr>
                <w:sz w:val="22"/>
                <w:szCs w:val="22"/>
                <w:lang w:val="sr-Latn-ME"/>
              </w:rPr>
              <w:t xml:space="preserve">/, erupcije; </w:t>
            </w:r>
            <w:r w:rsidRPr="005A3564">
              <w:rPr>
                <w:sz w:val="22"/>
                <w:szCs w:val="22"/>
                <w:lang w:val="sr-Latn-ME"/>
              </w:rPr>
              <w:t>Pruritus</w:t>
            </w:r>
          </w:p>
        </w:tc>
        <w:tc>
          <w:tcPr>
            <w:tcW w:w="1676" w:type="dxa"/>
            <w:vAlign w:val="center"/>
          </w:tcPr>
          <w:p w14:paraId="486D3F5D" w14:textId="77777777" w:rsidR="00A60833" w:rsidRPr="005A3564" w:rsidRDefault="00A60833" w:rsidP="00A60833">
            <w:pPr>
              <w:rPr>
                <w:sz w:val="22"/>
                <w:szCs w:val="22"/>
                <w:lang w:val="sr-Latn-ME"/>
              </w:rPr>
            </w:pPr>
            <w:r w:rsidRPr="005A3564">
              <w:rPr>
                <w:sz w:val="22"/>
                <w:szCs w:val="22"/>
                <w:lang w:val="sr-Latn-ME"/>
              </w:rPr>
              <w:t>Urtikarija; angioedem</w:t>
            </w:r>
          </w:p>
        </w:tc>
        <w:tc>
          <w:tcPr>
            <w:tcW w:w="2100" w:type="dxa"/>
            <w:vAlign w:val="center"/>
          </w:tcPr>
          <w:p w14:paraId="2224B551" w14:textId="77777777" w:rsidR="00A60833" w:rsidRPr="005A3564" w:rsidRDefault="00A60833" w:rsidP="00A60833">
            <w:pPr>
              <w:rPr>
                <w:sz w:val="22"/>
                <w:szCs w:val="22"/>
                <w:lang w:val="sr-Latn-ME"/>
              </w:rPr>
            </w:pPr>
          </w:p>
        </w:tc>
        <w:tc>
          <w:tcPr>
            <w:tcW w:w="2093" w:type="dxa"/>
            <w:vAlign w:val="center"/>
          </w:tcPr>
          <w:p w14:paraId="7779A4BB" w14:textId="429C9927" w:rsidR="005617AA" w:rsidRPr="005A3564" w:rsidRDefault="00A60833" w:rsidP="005617AA">
            <w:pPr>
              <w:rPr>
                <w:noProof/>
                <w:sz w:val="22"/>
                <w:szCs w:val="22"/>
                <w:lang w:val="sr-Latn-ME"/>
              </w:rPr>
            </w:pPr>
            <w:r w:rsidRPr="005A3564">
              <w:rPr>
                <w:noProof/>
                <w:sz w:val="22"/>
                <w:szCs w:val="22"/>
                <w:lang w:val="sr-Latn-ME"/>
              </w:rPr>
              <w:t>Stiven-Džonsonov (</w:t>
            </w:r>
            <w:r w:rsidRPr="005A3564">
              <w:rPr>
                <w:sz w:val="22"/>
                <w:szCs w:val="22"/>
                <w:lang w:val="sr-Latn-ME"/>
              </w:rPr>
              <w:t xml:space="preserve">Stevens-Johnson) sindrom; </w:t>
            </w:r>
            <w:r w:rsidRPr="005A3564">
              <w:rPr>
                <w:noProof/>
                <w:sz w:val="22"/>
                <w:szCs w:val="22"/>
                <w:lang w:val="sr-Latn-ME"/>
              </w:rPr>
              <w:t>Lajelov (</w:t>
            </w:r>
            <w:r w:rsidRPr="005A3564">
              <w:rPr>
                <w:sz w:val="22"/>
                <w:szCs w:val="22"/>
                <w:lang w:val="sr-Latn-ME"/>
              </w:rPr>
              <w:t xml:space="preserve">Lyell) sindrom </w:t>
            </w:r>
            <w:r w:rsidR="005E3825" w:rsidRPr="005A3564">
              <w:rPr>
                <w:sz w:val="22"/>
                <w:szCs w:val="22"/>
                <w:lang w:val="sr-Latn-ME"/>
              </w:rPr>
              <w:t>(</w:t>
            </w:r>
            <w:r w:rsidR="005617AA" w:rsidRPr="005A3564">
              <w:rPr>
                <w:sz w:val="22"/>
                <w:szCs w:val="22"/>
                <w:lang w:val="sr-Latn-ME"/>
              </w:rPr>
              <w:t>TEN</w:t>
            </w:r>
            <w:r w:rsidR="005E3825" w:rsidRPr="005A3564">
              <w:rPr>
                <w:sz w:val="22"/>
                <w:szCs w:val="22"/>
                <w:lang w:val="sr-Latn-ME"/>
              </w:rPr>
              <w:t>)</w:t>
            </w:r>
          </w:p>
          <w:p w14:paraId="10B19C2A" w14:textId="13238EF8" w:rsidR="005617AA" w:rsidRPr="005A3564" w:rsidRDefault="005617AA" w:rsidP="005617AA">
            <w:pPr>
              <w:rPr>
                <w:noProof/>
                <w:sz w:val="22"/>
                <w:szCs w:val="22"/>
                <w:lang w:val="sr-Latn-ME"/>
              </w:rPr>
            </w:pPr>
            <w:r w:rsidRPr="005A3564">
              <w:rPr>
                <w:noProof/>
                <w:sz w:val="22"/>
                <w:szCs w:val="22"/>
                <w:lang w:val="sr-Latn-ME"/>
              </w:rPr>
              <w:t>Reakcija na lijek sa eozinofilijom i sistemskim simptomima (</w:t>
            </w:r>
            <w:r w:rsidRPr="005A3564">
              <w:rPr>
                <w:i/>
                <w:iCs/>
                <w:noProof/>
                <w:sz w:val="22"/>
                <w:szCs w:val="22"/>
                <w:lang w:val="sr-Latn-ME"/>
              </w:rPr>
              <w:t>DRESS</w:t>
            </w:r>
            <w:r w:rsidRPr="005A3564">
              <w:rPr>
                <w:noProof/>
                <w:sz w:val="22"/>
                <w:szCs w:val="22"/>
                <w:lang w:val="sr-Latn-ME"/>
              </w:rPr>
              <w:t>);</w:t>
            </w:r>
          </w:p>
          <w:p w14:paraId="08C09F0C" w14:textId="0CAC34BA" w:rsidR="005617AA" w:rsidRPr="005A3564" w:rsidRDefault="0096377A" w:rsidP="005617AA">
            <w:pPr>
              <w:rPr>
                <w:noProof/>
                <w:sz w:val="22"/>
                <w:szCs w:val="22"/>
                <w:lang w:val="sr-Latn-ME"/>
              </w:rPr>
            </w:pPr>
            <w:r w:rsidRPr="005A3564">
              <w:rPr>
                <w:noProof/>
                <w:sz w:val="22"/>
                <w:szCs w:val="22"/>
                <w:lang w:val="sr-Latn-ME"/>
              </w:rPr>
              <w:t>Multiformni eritem</w:t>
            </w:r>
            <w:r w:rsidR="005617AA" w:rsidRPr="005A3564">
              <w:rPr>
                <w:noProof/>
                <w:sz w:val="22"/>
                <w:szCs w:val="22"/>
                <w:lang w:val="sr-Latn-ME"/>
              </w:rPr>
              <w:t>;</w:t>
            </w:r>
          </w:p>
          <w:p w14:paraId="60A25424" w14:textId="77777777" w:rsidR="005617AA" w:rsidRPr="005A3564" w:rsidRDefault="005617AA" w:rsidP="005617AA">
            <w:pPr>
              <w:rPr>
                <w:noProof/>
                <w:sz w:val="22"/>
                <w:szCs w:val="22"/>
                <w:lang w:val="sr-Latn-ME"/>
              </w:rPr>
            </w:pPr>
            <w:r w:rsidRPr="005A3564">
              <w:rPr>
                <w:noProof/>
                <w:sz w:val="22"/>
                <w:szCs w:val="22"/>
                <w:lang w:val="sr-Latn-ME"/>
              </w:rPr>
              <w:t>Fotosenzitivnost;</w:t>
            </w:r>
          </w:p>
          <w:p w14:paraId="754CB8CB" w14:textId="456F88F4" w:rsidR="00A60833" w:rsidRPr="005A3564" w:rsidRDefault="005617AA" w:rsidP="00852EFE">
            <w:pPr>
              <w:rPr>
                <w:sz w:val="22"/>
                <w:szCs w:val="22"/>
                <w:lang w:val="sr-Latn-ME"/>
              </w:rPr>
            </w:pPr>
            <w:r w:rsidRPr="005A3564">
              <w:rPr>
                <w:noProof/>
                <w:sz w:val="22"/>
                <w:szCs w:val="22"/>
                <w:lang w:val="sr-Latn-ME"/>
              </w:rPr>
              <w:t>Subakutni kožni lupus eritematodes (vid</w:t>
            </w:r>
            <w:r w:rsidR="0016654B" w:rsidRPr="005A3564">
              <w:rPr>
                <w:noProof/>
                <w:sz w:val="22"/>
                <w:szCs w:val="22"/>
                <w:lang w:val="sr-Latn-ME"/>
              </w:rPr>
              <w:t>j</w:t>
            </w:r>
            <w:r w:rsidRPr="005A3564">
              <w:rPr>
                <w:noProof/>
                <w:sz w:val="22"/>
                <w:szCs w:val="22"/>
                <w:lang w:val="sr-Latn-ME"/>
              </w:rPr>
              <w:t xml:space="preserve">eti </w:t>
            </w:r>
            <w:r w:rsidR="0096377A" w:rsidRPr="005A3564">
              <w:rPr>
                <w:noProof/>
                <w:sz w:val="22"/>
                <w:szCs w:val="22"/>
                <w:lang w:val="sr-Latn-ME"/>
              </w:rPr>
              <w:t xml:space="preserve">dio </w:t>
            </w:r>
            <w:r w:rsidRPr="005A3564">
              <w:rPr>
                <w:noProof/>
                <w:sz w:val="22"/>
                <w:szCs w:val="22"/>
                <w:lang w:val="sr-Latn-ME"/>
              </w:rPr>
              <w:t>4.4)</w:t>
            </w:r>
          </w:p>
        </w:tc>
      </w:tr>
      <w:tr w:rsidR="00A60833" w:rsidRPr="005A3564" w14:paraId="5E13061A" w14:textId="77777777" w:rsidTr="00A60833">
        <w:trPr>
          <w:jc w:val="center"/>
        </w:trPr>
        <w:tc>
          <w:tcPr>
            <w:tcW w:w="1838" w:type="dxa"/>
            <w:vAlign w:val="center"/>
          </w:tcPr>
          <w:p w14:paraId="6E35F252" w14:textId="77777777" w:rsidR="00A60833" w:rsidRPr="005A3564" w:rsidRDefault="00A60833" w:rsidP="00A60833">
            <w:pPr>
              <w:rPr>
                <w:sz w:val="22"/>
                <w:szCs w:val="22"/>
                <w:lang w:val="sr-Latn-ME"/>
              </w:rPr>
            </w:pPr>
            <w:r w:rsidRPr="005A3564">
              <w:rPr>
                <w:sz w:val="22"/>
                <w:szCs w:val="22"/>
                <w:lang w:val="sr-Latn-ME"/>
              </w:rPr>
              <w:t>Poremećaji mišićno-skeletnog i vezivnog tkiva</w:t>
            </w:r>
          </w:p>
        </w:tc>
        <w:tc>
          <w:tcPr>
            <w:tcW w:w="1440" w:type="dxa"/>
          </w:tcPr>
          <w:p w14:paraId="269E1400" w14:textId="77777777" w:rsidR="00A60833" w:rsidRPr="005A3564" w:rsidRDefault="00A60833" w:rsidP="00A60833">
            <w:pPr>
              <w:rPr>
                <w:sz w:val="22"/>
                <w:szCs w:val="22"/>
                <w:lang w:val="sr-Latn-ME"/>
              </w:rPr>
            </w:pPr>
          </w:p>
        </w:tc>
        <w:tc>
          <w:tcPr>
            <w:tcW w:w="1440" w:type="dxa"/>
            <w:vAlign w:val="center"/>
          </w:tcPr>
          <w:p w14:paraId="1972002C" w14:textId="218383ED" w:rsidR="00A60833" w:rsidRPr="005A3564" w:rsidRDefault="00A60833" w:rsidP="00A60833">
            <w:pPr>
              <w:rPr>
                <w:sz w:val="22"/>
                <w:szCs w:val="22"/>
                <w:lang w:val="sr-Latn-ME"/>
              </w:rPr>
            </w:pPr>
            <w:r w:rsidRPr="005A3564">
              <w:rPr>
                <w:sz w:val="22"/>
                <w:szCs w:val="22"/>
                <w:lang w:val="sr-Latn-ME"/>
              </w:rPr>
              <w:t xml:space="preserve">Fraktura kuka, ručnog zgloba ili kičme (vidjeti </w:t>
            </w:r>
            <w:r w:rsidR="009844CB" w:rsidRPr="005A3564">
              <w:rPr>
                <w:sz w:val="22"/>
                <w:szCs w:val="22"/>
                <w:lang w:val="sr-Latn-ME"/>
              </w:rPr>
              <w:t>dio</w:t>
            </w:r>
            <w:r w:rsidRPr="005A3564">
              <w:rPr>
                <w:sz w:val="22"/>
                <w:szCs w:val="22"/>
                <w:lang w:val="sr-Latn-ME"/>
              </w:rPr>
              <w:t xml:space="preserve"> 4.4)</w:t>
            </w:r>
          </w:p>
        </w:tc>
        <w:tc>
          <w:tcPr>
            <w:tcW w:w="1676" w:type="dxa"/>
            <w:vAlign w:val="center"/>
          </w:tcPr>
          <w:p w14:paraId="457D45FE" w14:textId="77777777" w:rsidR="00A60833" w:rsidRPr="005A3564" w:rsidRDefault="00A60833" w:rsidP="00A60833">
            <w:pPr>
              <w:rPr>
                <w:sz w:val="22"/>
                <w:szCs w:val="22"/>
                <w:lang w:val="sr-Latn-ME"/>
              </w:rPr>
            </w:pPr>
            <w:r w:rsidRPr="005A3564">
              <w:rPr>
                <w:sz w:val="22"/>
                <w:szCs w:val="22"/>
                <w:lang w:val="sr-Latn-ME"/>
              </w:rPr>
              <w:t>Artralgija; mialgija</w:t>
            </w:r>
          </w:p>
        </w:tc>
        <w:tc>
          <w:tcPr>
            <w:tcW w:w="2100" w:type="dxa"/>
            <w:vAlign w:val="center"/>
          </w:tcPr>
          <w:p w14:paraId="71F2E8FA" w14:textId="77777777" w:rsidR="00A60833" w:rsidRPr="005A3564" w:rsidRDefault="00A60833" w:rsidP="00A60833">
            <w:pPr>
              <w:rPr>
                <w:strike/>
                <w:sz w:val="22"/>
                <w:szCs w:val="22"/>
                <w:lang w:val="sr-Latn-ME"/>
              </w:rPr>
            </w:pPr>
          </w:p>
        </w:tc>
        <w:tc>
          <w:tcPr>
            <w:tcW w:w="2093" w:type="dxa"/>
            <w:vAlign w:val="center"/>
          </w:tcPr>
          <w:p w14:paraId="0EE0B882" w14:textId="5DBC8BE2" w:rsidR="00A60833" w:rsidRPr="005A3564" w:rsidRDefault="001B55E8" w:rsidP="00A60833">
            <w:pPr>
              <w:rPr>
                <w:sz w:val="22"/>
                <w:szCs w:val="22"/>
                <w:lang w:val="sr-Latn-ME"/>
              </w:rPr>
            </w:pPr>
            <w:r w:rsidRPr="005A3564">
              <w:rPr>
                <w:sz w:val="22"/>
                <w:szCs w:val="22"/>
                <w:lang w:val="sr-Latn-ME"/>
              </w:rPr>
              <w:t>Mišićni spazam</w:t>
            </w:r>
            <w:r w:rsidRPr="005A3564">
              <w:rPr>
                <w:sz w:val="22"/>
                <w:szCs w:val="22"/>
                <w:vertAlign w:val="superscript"/>
                <w:lang w:val="sr-Latn-ME"/>
              </w:rPr>
              <w:t>(2)</w:t>
            </w:r>
          </w:p>
        </w:tc>
      </w:tr>
      <w:tr w:rsidR="00A60833" w:rsidRPr="005A3564" w14:paraId="46199E9A" w14:textId="77777777" w:rsidTr="00A60833">
        <w:trPr>
          <w:jc w:val="center"/>
        </w:trPr>
        <w:tc>
          <w:tcPr>
            <w:tcW w:w="1838" w:type="dxa"/>
            <w:vAlign w:val="center"/>
          </w:tcPr>
          <w:p w14:paraId="1ADDFA1A" w14:textId="77777777" w:rsidR="00A60833" w:rsidRPr="005A3564" w:rsidRDefault="00A60833" w:rsidP="00A60833">
            <w:pPr>
              <w:rPr>
                <w:sz w:val="22"/>
                <w:szCs w:val="22"/>
                <w:lang w:val="sr-Latn-ME"/>
              </w:rPr>
            </w:pPr>
            <w:r w:rsidRPr="005A3564">
              <w:rPr>
                <w:sz w:val="22"/>
                <w:szCs w:val="22"/>
                <w:lang w:val="sr-Latn-ME"/>
              </w:rPr>
              <w:t>Poremećaji na nivou bubrega i urinarnog sistema</w:t>
            </w:r>
          </w:p>
        </w:tc>
        <w:tc>
          <w:tcPr>
            <w:tcW w:w="1440" w:type="dxa"/>
          </w:tcPr>
          <w:p w14:paraId="50D06513" w14:textId="77777777" w:rsidR="00A60833" w:rsidRPr="005A3564" w:rsidRDefault="00A60833" w:rsidP="00A60833">
            <w:pPr>
              <w:rPr>
                <w:sz w:val="22"/>
                <w:szCs w:val="22"/>
                <w:lang w:val="sr-Latn-ME"/>
              </w:rPr>
            </w:pPr>
          </w:p>
        </w:tc>
        <w:tc>
          <w:tcPr>
            <w:tcW w:w="1440" w:type="dxa"/>
            <w:vAlign w:val="center"/>
          </w:tcPr>
          <w:p w14:paraId="65C27B7E" w14:textId="77777777" w:rsidR="00A60833" w:rsidRPr="005A3564" w:rsidRDefault="00A60833" w:rsidP="00A60833">
            <w:pPr>
              <w:rPr>
                <w:sz w:val="22"/>
                <w:szCs w:val="22"/>
                <w:lang w:val="sr-Latn-ME"/>
              </w:rPr>
            </w:pPr>
          </w:p>
        </w:tc>
        <w:tc>
          <w:tcPr>
            <w:tcW w:w="1676" w:type="dxa"/>
            <w:vAlign w:val="center"/>
          </w:tcPr>
          <w:p w14:paraId="710878B2" w14:textId="77777777" w:rsidR="00A60833" w:rsidRPr="005A3564" w:rsidRDefault="00A60833" w:rsidP="00A60833">
            <w:pPr>
              <w:rPr>
                <w:sz w:val="22"/>
                <w:szCs w:val="22"/>
                <w:lang w:val="sr-Latn-ME"/>
              </w:rPr>
            </w:pPr>
          </w:p>
        </w:tc>
        <w:tc>
          <w:tcPr>
            <w:tcW w:w="2100" w:type="dxa"/>
            <w:vAlign w:val="center"/>
          </w:tcPr>
          <w:p w14:paraId="6D0B4264" w14:textId="77777777" w:rsidR="00A60833" w:rsidRPr="005A3564" w:rsidRDefault="00A60833" w:rsidP="00A60833">
            <w:pPr>
              <w:rPr>
                <w:strike/>
                <w:sz w:val="22"/>
                <w:szCs w:val="22"/>
                <w:lang w:val="sr-Latn-ME"/>
              </w:rPr>
            </w:pPr>
          </w:p>
        </w:tc>
        <w:tc>
          <w:tcPr>
            <w:tcW w:w="2093" w:type="dxa"/>
            <w:vAlign w:val="center"/>
          </w:tcPr>
          <w:p w14:paraId="63FEEEBC" w14:textId="4D68DBE9" w:rsidR="00A60833" w:rsidRPr="005A3564" w:rsidRDefault="008F6A1E" w:rsidP="00A60833">
            <w:pPr>
              <w:rPr>
                <w:sz w:val="22"/>
                <w:szCs w:val="22"/>
                <w:lang w:val="sr-Latn-ME"/>
              </w:rPr>
            </w:pPr>
            <w:r w:rsidRPr="005A3564">
              <w:rPr>
                <w:sz w:val="22"/>
                <w:szCs w:val="22"/>
                <w:lang w:val="sr-Latn-ME"/>
              </w:rPr>
              <w:t>Tubuloi</w:t>
            </w:r>
            <w:r w:rsidR="00A60833" w:rsidRPr="005A3564">
              <w:rPr>
                <w:sz w:val="22"/>
                <w:szCs w:val="22"/>
                <w:lang w:val="sr-Latn-ME"/>
              </w:rPr>
              <w:t xml:space="preserve">ntersticijalni nefritis </w:t>
            </w:r>
            <w:r w:rsidRPr="005A3564">
              <w:rPr>
                <w:sz w:val="22"/>
                <w:szCs w:val="22"/>
                <w:lang w:val="sr-Latn-ME"/>
              </w:rPr>
              <w:t xml:space="preserve">(TIN) </w:t>
            </w:r>
            <w:r w:rsidR="00A60833" w:rsidRPr="005A3564">
              <w:rPr>
                <w:sz w:val="22"/>
                <w:szCs w:val="22"/>
                <w:lang w:val="sr-Latn-ME"/>
              </w:rPr>
              <w:t>(sa mogućom progresijom ka bubrežnoj insuficijenciji)</w:t>
            </w:r>
          </w:p>
        </w:tc>
      </w:tr>
      <w:tr w:rsidR="00A60833" w:rsidRPr="005A3564" w14:paraId="72474BCB" w14:textId="77777777" w:rsidTr="00A60833">
        <w:trPr>
          <w:jc w:val="center"/>
        </w:trPr>
        <w:tc>
          <w:tcPr>
            <w:tcW w:w="1838" w:type="dxa"/>
            <w:vAlign w:val="center"/>
          </w:tcPr>
          <w:p w14:paraId="5FE660E5" w14:textId="77777777" w:rsidR="00A60833" w:rsidRPr="005A3564" w:rsidRDefault="00A60833" w:rsidP="00A60833">
            <w:pPr>
              <w:rPr>
                <w:sz w:val="22"/>
                <w:szCs w:val="22"/>
                <w:lang w:val="sr-Latn-ME"/>
              </w:rPr>
            </w:pPr>
            <w:r w:rsidRPr="005A3564">
              <w:rPr>
                <w:sz w:val="22"/>
                <w:szCs w:val="22"/>
                <w:lang w:val="sr-Latn-ME"/>
              </w:rPr>
              <w:t>Poremećaji reproduktivnog sistema i na nivou dojki</w:t>
            </w:r>
          </w:p>
        </w:tc>
        <w:tc>
          <w:tcPr>
            <w:tcW w:w="1440" w:type="dxa"/>
          </w:tcPr>
          <w:p w14:paraId="24202110" w14:textId="77777777" w:rsidR="00A60833" w:rsidRPr="005A3564" w:rsidRDefault="00A60833" w:rsidP="00A60833">
            <w:pPr>
              <w:rPr>
                <w:sz w:val="22"/>
                <w:szCs w:val="22"/>
                <w:lang w:val="sr-Latn-ME"/>
              </w:rPr>
            </w:pPr>
          </w:p>
        </w:tc>
        <w:tc>
          <w:tcPr>
            <w:tcW w:w="1440" w:type="dxa"/>
            <w:vAlign w:val="center"/>
          </w:tcPr>
          <w:p w14:paraId="7FA11D8D" w14:textId="77777777" w:rsidR="00A60833" w:rsidRPr="005A3564" w:rsidRDefault="00A60833" w:rsidP="00A60833">
            <w:pPr>
              <w:rPr>
                <w:sz w:val="22"/>
                <w:szCs w:val="22"/>
                <w:lang w:val="sr-Latn-ME"/>
              </w:rPr>
            </w:pPr>
          </w:p>
        </w:tc>
        <w:tc>
          <w:tcPr>
            <w:tcW w:w="1676" w:type="dxa"/>
            <w:vAlign w:val="center"/>
          </w:tcPr>
          <w:p w14:paraId="62F7BA02" w14:textId="77777777" w:rsidR="00A60833" w:rsidRPr="005A3564" w:rsidRDefault="00A60833" w:rsidP="00A60833">
            <w:pPr>
              <w:rPr>
                <w:sz w:val="22"/>
                <w:szCs w:val="22"/>
                <w:lang w:val="sr-Latn-ME"/>
              </w:rPr>
            </w:pPr>
            <w:r w:rsidRPr="005A3564">
              <w:rPr>
                <w:sz w:val="22"/>
                <w:szCs w:val="22"/>
                <w:lang w:val="sr-Latn-ME"/>
              </w:rPr>
              <w:t>Ginekomastija</w:t>
            </w:r>
          </w:p>
        </w:tc>
        <w:tc>
          <w:tcPr>
            <w:tcW w:w="2100" w:type="dxa"/>
            <w:vAlign w:val="center"/>
          </w:tcPr>
          <w:p w14:paraId="54A7CE72" w14:textId="77777777" w:rsidR="00A60833" w:rsidRPr="005A3564" w:rsidRDefault="00A60833" w:rsidP="00A60833">
            <w:pPr>
              <w:rPr>
                <w:sz w:val="22"/>
                <w:szCs w:val="22"/>
                <w:lang w:val="sr-Latn-ME"/>
              </w:rPr>
            </w:pPr>
          </w:p>
        </w:tc>
        <w:tc>
          <w:tcPr>
            <w:tcW w:w="2093" w:type="dxa"/>
            <w:vAlign w:val="center"/>
          </w:tcPr>
          <w:p w14:paraId="44A7BE96" w14:textId="77777777" w:rsidR="00A60833" w:rsidRPr="005A3564" w:rsidRDefault="00A60833" w:rsidP="00A60833">
            <w:pPr>
              <w:ind w:right="-232"/>
              <w:rPr>
                <w:sz w:val="22"/>
                <w:szCs w:val="22"/>
                <w:lang w:val="sr-Latn-ME"/>
              </w:rPr>
            </w:pPr>
          </w:p>
        </w:tc>
      </w:tr>
      <w:tr w:rsidR="00A60833" w:rsidRPr="005A3564" w14:paraId="2449C64C" w14:textId="77777777" w:rsidTr="00A60833">
        <w:trPr>
          <w:jc w:val="center"/>
        </w:trPr>
        <w:tc>
          <w:tcPr>
            <w:tcW w:w="1838" w:type="dxa"/>
            <w:vAlign w:val="center"/>
          </w:tcPr>
          <w:p w14:paraId="343399A4" w14:textId="77777777" w:rsidR="00A60833" w:rsidRPr="005A3564" w:rsidRDefault="00A60833" w:rsidP="00A60833">
            <w:pPr>
              <w:rPr>
                <w:sz w:val="22"/>
                <w:szCs w:val="22"/>
                <w:lang w:val="sr-Latn-ME"/>
              </w:rPr>
            </w:pPr>
            <w:r w:rsidRPr="005A3564">
              <w:rPr>
                <w:sz w:val="22"/>
                <w:szCs w:val="22"/>
                <w:lang w:val="sr-Latn-ME"/>
              </w:rPr>
              <w:t>Opšti poremećaji i reakcije na mjestu primjene</w:t>
            </w:r>
          </w:p>
        </w:tc>
        <w:tc>
          <w:tcPr>
            <w:tcW w:w="1440" w:type="dxa"/>
          </w:tcPr>
          <w:p w14:paraId="3A99FBD3" w14:textId="77777777" w:rsidR="00A60833" w:rsidRPr="005A3564" w:rsidRDefault="00A60833" w:rsidP="00A60833">
            <w:pPr>
              <w:rPr>
                <w:sz w:val="22"/>
                <w:szCs w:val="22"/>
                <w:lang w:val="sr-Latn-ME"/>
              </w:rPr>
            </w:pPr>
          </w:p>
        </w:tc>
        <w:tc>
          <w:tcPr>
            <w:tcW w:w="1440" w:type="dxa"/>
            <w:vAlign w:val="center"/>
          </w:tcPr>
          <w:p w14:paraId="405E9FED" w14:textId="77777777" w:rsidR="00A60833" w:rsidRPr="005A3564" w:rsidRDefault="00A60833" w:rsidP="00A60833">
            <w:pPr>
              <w:rPr>
                <w:sz w:val="22"/>
                <w:szCs w:val="22"/>
                <w:lang w:val="sr-Latn-ME"/>
              </w:rPr>
            </w:pPr>
            <w:r w:rsidRPr="005A3564">
              <w:rPr>
                <w:sz w:val="22"/>
                <w:szCs w:val="22"/>
                <w:lang w:val="sr-Latn-ME"/>
              </w:rPr>
              <w:t>Astenija, zamor i osjećaj slabosti</w:t>
            </w:r>
          </w:p>
        </w:tc>
        <w:tc>
          <w:tcPr>
            <w:tcW w:w="1676" w:type="dxa"/>
            <w:vAlign w:val="center"/>
          </w:tcPr>
          <w:p w14:paraId="092A0B83" w14:textId="77777777" w:rsidR="00A60833" w:rsidRPr="005A3564" w:rsidRDefault="00A60833" w:rsidP="00A60833">
            <w:pPr>
              <w:rPr>
                <w:sz w:val="22"/>
                <w:szCs w:val="22"/>
                <w:lang w:val="sr-Latn-ME"/>
              </w:rPr>
            </w:pPr>
            <w:r w:rsidRPr="005A3564">
              <w:rPr>
                <w:sz w:val="22"/>
                <w:szCs w:val="22"/>
                <w:lang w:val="sr-Latn-ME"/>
              </w:rPr>
              <w:t>Povećanje tjelesne temperature; periferni edem</w:t>
            </w:r>
          </w:p>
        </w:tc>
        <w:tc>
          <w:tcPr>
            <w:tcW w:w="2100" w:type="dxa"/>
            <w:vAlign w:val="center"/>
          </w:tcPr>
          <w:p w14:paraId="2D084DD9" w14:textId="77777777" w:rsidR="00A60833" w:rsidRPr="005A3564" w:rsidRDefault="00A60833" w:rsidP="00A60833">
            <w:pPr>
              <w:rPr>
                <w:sz w:val="22"/>
                <w:szCs w:val="22"/>
                <w:lang w:val="sr-Latn-ME"/>
              </w:rPr>
            </w:pPr>
          </w:p>
        </w:tc>
        <w:tc>
          <w:tcPr>
            <w:tcW w:w="2093" w:type="dxa"/>
            <w:vAlign w:val="center"/>
          </w:tcPr>
          <w:p w14:paraId="329F4C95" w14:textId="77777777" w:rsidR="00A60833" w:rsidRPr="005A3564" w:rsidRDefault="00A60833" w:rsidP="00A60833">
            <w:pPr>
              <w:ind w:right="-232"/>
              <w:rPr>
                <w:sz w:val="22"/>
                <w:szCs w:val="22"/>
                <w:lang w:val="sr-Latn-ME"/>
              </w:rPr>
            </w:pPr>
          </w:p>
        </w:tc>
      </w:tr>
    </w:tbl>
    <w:p w14:paraId="3D49271A" w14:textId="5CB8F562" w:rsidR="00A60833" w:rsidRPr="005A3564" w:rsidRDefault="00A60833" w:rsidP="00A60833">
      <w:pPr>
        <w:pStyle w:val="Header"/>
        <w:tabs>
          <w:tab w:val="left" w:pos="284"/>
        </w:tabs>
        <w:rPr>
          <w:sz w:val="22"/>
          <w:szCs w:val="22"/>
          <w:lang w:val="sr-Latn-ME"/>
        </w:rPr>
      </w:pPr>
      <w:r w:rsidRPr="005A3564">
        <w:rPr>
          <w:sz w:val="22"/>
          <w:szCs w:val="22"/>
          <w:vertAlign w:val="superscript"/>
          <w:lang w:val="sr-Latn-ME"/>
        </w:rPr>
        <w:t>1</w:t>
      </w:r>
      <w:r w:rsidRPr="005A3564">
        <w:rPr>
          <w:sz w:val="22"/>
          <w:szCs w:val="22"/>
          <w:lang w:val="sr-Latn-ME"/>
        </w:rPr>
        <w:t xml:space="preserve"> Hipokalcijemija</w:t>
      </w:r>
      <w:r w:rsidR="008F6A1E" w:rsidRPr="005A3564">
        <w:rPr>
          <w:sz w:val="22"/>
          <w:szCs w:val="22"/>
          <w:lang w:val="sr-Latn-ME"/>
        </w:rPr>
        <w:t xml:space="preserve"> i/ili hipokalemija</w:t>
      </w:r>
      <w:r w:rsidRPr="005A3564">
        <w:rPr>
          <w:sz w:val="22"/>
          <w:szCs w:val="22"/>
          <w:lang w:val="sr-Latn-ME"/>
        </w:rPr>
        <w:t xml:space="preserve"> je povezana sa hipomagnezijemijom</w:t>
      </w:r>
      <w:r w:rsidR="008F6A1E" w:rsidRPr="005A3564">
        <w:rPr>
          <w:sz w:val="22"/>
          <w:szCs w:val="22"/>
          <w:lang w:val="sr-Latn-ME"/>
        </w:rPr>
        <w:t xml:space="preserve"> (vidjeti dio 4.4.)</w:t>
      </w:r>
    </w:p>
    <w:p w14:paraId="3A6DF3F3" w14:textId="77777777" w:rsidR="00A60833" w:rsidRPr="005A3564" w:rsidRDefault="00A60833">
      <w:pPr>
        <w:pStyle w:val="Header"/>
        <w:tabs>
          <w:tab w:val="left" w:pos="284"/>
        </w:tabs>
        <w:rPr>
          <w:sz w:val="22"/>
          <w:szCs w:val="22"/>
          <w:lang w:val="sr-Latn-ME"/>
        </w:rPr>
      </w:pPr>
      <w:r w:rsidRPr="005A3564">
        <w:rPr>
          <w:sz w:val="22"/>
          <w:szCs w:val="22"/>
          <w:vertAlign w:val="superscript"/>
          <w:lang w:val="sr-Latn-ME"/>
        </w:rPr>
        <w:t>2</w:t>
      </w:r>
      <w:r w:rsidRPr="005A3564">
        <w:rPr>
          <w:sz w:val="22"/>
          <w:szCs w:val="22"/>
          <w:lang w:val="sr-Latn-ME"/>
        </w:rPr>
        <w:t xml:space="preserve"> Mišićni spazam je posljedica elektrolitnog disbalansa</w:t>
      </w:r>
    </w:p>
    <w:p w14:paraId="39E4A1E4" w14:textId="77777777" w:rsidR="00956EDF" w:rsidRPr="005A3564" w:rsidRDefault="00956EDF" w:rsidP="00113CF2">
      <w:pPr>
        <w:spacing w:line="276" w:lineRule="auto"/>
        <w:rPr>
          <w:rFonts w:eastAsia="Calibri"/>
          <w:sz w:val="22"/>
          <w:szCs w:val="22"/>
          <w:u w:val="single"/>
          <w:lang w:val="sr-Latn-ME"/>
        </w:rPr>
      </w:pPr>
    </w:p>
    <w:p w14:paraId="270BC116" w14:textId="6476BAAE" w:rsidR="005A23D2" w:rsidRPr="005A3564" w:rsidRDefault="005A23D2" w:rsidP="00113CF2">
      <w:pPr>
        <w:spacing w:line="276" w:lineRule="auto"/>
        <w:rPr>
          <w:rFonts w:eastAsia="Calibri"/>
          <w:sz w:val="22"/>
          <w:szCs w:val="22"/>
          <w:u w:val="single"/>
          <w:lang w:val="sr-Latn-ME"/>
        </w:rPr>
      </w:pPr>
      <w:r w:rsidRPr="005A3564">
        <w:rPr>
          <w:rFonts w:eastAsia="Calibri"/>
          <w:sz w:val="22"/>
          <w:szCs w:val="22"/>
          <w:u w:val="single"/>
          <w:lang w:val="sr-Latn-ME"/>
        </w:rPr>
        <w:t>Prijavljivanje sumnji na neželjena dejstva</w:t>
      </w:r>
    </w:p>
    <w:p w14:paraId="1866C309" w14:textId="77777777" w:rsidR="00450A60" w:rsidRPr="005A3564" w:rsidRDefault="00450A60" w:rsidP="00450A60">
      <w:pPr>
        <w:spacing w:after="200"/>
        <w:jc w:val="both"/>
        <w:rPr>
          <w:rFonts w:eastAsia="Calibri"/>
          <w:sz w:val="22"/>
          <w:szCs w:val="22"/>
          <w:lang w:val="sr-Latn-ME"/>
        </w:rPr>
      </w:pPr>
      <w:r w:rsidRPr="005A3564">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954EF5C" w14:textId="77777777" w:rsidR="00450A60" w:rsidRPr="005A3564" w:rsidRDefault="00450A60" w:rsidP="00450A60">
      <w:pPr>
        <w:pStyle w:val="NoSpacing"/>
        <w:jc w:val="both"/>
        <w:rPr>
          <w:rFonts w:eastAsia="Calibri"/>
          <w:sz w:val="22"/>
          <w:szCs w:val="22"/>
          <w:lang w:val="sr-Latn-ME"/>
        </w:rPr>
      </w:pPr>
      <w:r w:rsidRPr="005A3564">
        <w:rPr>
          <w:rFonts w:eastAsia="Calibri"/>
          <w:sz w:val="22"/>
          <w:szCs w:val="22"/>
          <w:lang w:val="sr-Latn-ME"/>
        </w:rPr>
        <w:t xml:space="preserve">Institut za ljekove i medicinska sredstva </w:t>
      </w:r>
    </w:p>
    <w:p w14:paraId="0A6F7404" w14:textId="77777777" w:rsidR="00450A60" w:rsidRPr="005A3564" w:rsidRDefault="00450A60" w:rsidP="00450A60">
      <w:pPr>
        <w:pStyle w:val="NoSpacing"/>
        <w:jc w:val="both"/>
        <w:rPr>
          <w:rFonts w:eastAsia="Calibri"/>
          <w:sz w:val="22"/>
          <w:szCs w:val="22"/>
          <w:lang w:val="sr-Latn-ME"/>
        </w:rPr>
      </w:pPr>
      <w:r w:rsidRPr="005A3564">
        <w:rPr>
          <w:rFonts w:eastAsia="Calibri"/>
          <w:sz w:val="22"/>
          <w:szCs w:val="22"/>
          <w:lang w:val="sr-Latn-ME"/>
        </w:rPr>
        <w:t>Odjeljenje za farmakovigilancu</w:t>
      </w:r>
    </w:p>
    <w:p w14:paraId="70C27DE4" w14:textId="77777777" w:rsidR="00450A60" w:rsidRPr="005A3564" w:rsidRDefault="00450A60" w:rsidP="00450A60">
      <w:pPr>
        <w:pStyle w:val="NoSpacing"/>
        <w:jc w:val="both"/>
        <w:rPr>
          <w:rFonts w:eastAsia="Calibri"/>
          <w:sz w:val="22"/>
          <w:szCs w:val="22"/>
          <w:lang w:val="sr-Latn-ME"/>
        </w:rPr>
      </w:pPr>
      <w:r w:rsidRPr="005A3564">
        <w:rPr>
          <w:rFonts w:eastAsia="Calibri"/>
          <w:sz w:val="22"/>
          <w:szCs w:val="22"/>
          <w:lang w:val="sr-Latn-ME"/>
        </w:rPr>
        <w:t>Bulevar Ivana Crnojevića 64a, 81000 Podgorica</w:t>
      </w:r>
    </w:p>
    <w:p w14:paraId="706475C2" w14:textId="77777777" w:rsidR="00450A60" w:rsidRPr="005A3564" w:rsidRDefault="00450A60" w:rsidP="00450A60">
      <w:pPr>
        <w:pStyle w:val="NoSpacing"/>
        <w:rPr>
          <w:rFonts w:eastAsia="Calibri"/>
          <w:sz w:val="22"/>
          <w:szCs w:val="22"/>
          <w:lang w:val="sr-Latn-ME"/>
        </w:rPr>
      </w:pPr>
    </w:p>
    <w:p w14:paraId="59067CE6" w14:textId="77777777" w:rsidR="00450A60" w:rsidRPr="005A3564" w:rsidRDefault="00450A60" w:rsidP="00450A60">
      <w:pPr>
        <w:pStyle w:val="NoSpacing"/>
        <w:jc w:val="both"/>
        <w:rPr>
          <w:rFonts w:eastAsia="Calibri"/>
          <w:sz w:val="22"/>
          <w:szCs w:val="22"/>
          <w:lang w:val="sr-Latn-ME"/>
        </w:rPr>
      </w:pPr>
      <w:r w:rsidRPr="005A3564">
        <w:rPr>
          <w:rFonts w:eastAsia="Calibri"/>
          <w:sz w:val="22"/>
          <w:szCs w:val="22"/>
          <w:lang w:val="sr-Latn-ME"/>
        </w:rPr>
        <w:t>tel: +382 (0) 20 310 280</w:t>
      </w:r>
    </w:p>
    <w:p w14:paraId="68F27345" w14:textId="77777777" w:rsidR="00450A60" w:rsidRPr="005A3564" w:rsidRDefault="00450A60" w:rsidP="00450A60">
      <w:pPr>
        <w:pStyle w:val="NoSpacing"/>
        <w:tabs>
          <w:tab w:val="left" w:pos="6720"/>
        </w:tabs>
        <w:jc w:val="both"/>
        <w:rPr>
          <w:rFonts w:eastAsia="Calibri"/>
          <w:sz w:val="22"/>
          <w:szCs w:val="22"/>
          <w:lang w:val="sr-Latn-ME"/>
        </w:rPr>
      </w:pPr>
      <w:r w:rsidRPr="005A3564">
        <w:rPr>
          <w:rFonts w:eastAsia="Calibri"/>
          <w:sz w:val="22"/>
          <w:szCs w:val="22"/>
          <w:lang w:val="sr-Latn-ME"/>
        </w:rPr>
        <w:t>fax: +382 (0) 20 310 581</w:t>
      </w:r>
      <w:r w:rsidRPr="005A3564">
        <w:rPr>
          <w:rFonts w:eastAsia="Calibri"/>
          <w:sz w:val="22"/>
          <w:szCs w:val="22"/>
          <w:lang w:val="sr-Latn-ME"/>
        </w:rPr>
        <w:tab/>
      </w:r>
    </w:p>
    <w:p w14:paraId="206FE9B3" w14:textId="3235DCF2" w:rsidR="00956EDF" w:rsidRDefault="00956EDF" w:rsidP="00450A60">
      <w:pPr>
        <w:pStyle w:val="NoSpacing"/>
        <w:jc w:val="both"/>
        <w:rPr>
          <w:sz w:val="22"/>
          <w:szCs w:val="22"/>
          <w:lang w:val="sr-Latn-ME"/>
        </w:rPr>
      </w:pPr>
    </w:p>
    <w:p w14:paraId="5769F047" w14:textId="77777777" w:rsidR="005A3564" w:rsidRPr="005A3564" w:rsidRDefault="005A3564" w:rsidP="00450A60">
      <w:pPr>
        <w:pStyle w:val="NoSpacing"/>
        <w:jc w:val="both"/>
        <w:rPr>
          <w:sz w:val="22"/>
          <w:szCs w:val="22"/>
          <w:lang w:val="sr-Latn-ME"/>
        </w:rPr>
      </w:pPr>
    </w:p>
    <w:p w14:paraId="383D179A" w14:textId="741D3B11" w:rsidR="00450A60" w:rsidRPr="005A3564" w:rsidRDefault="00327F19" w:rsidP="00450A60">
      <w:pPr>
        <w:pStyle w:val="NoSpacing"/>
        <w:jc w:val="both"/>
        <w:rPr>
          <w:rFonts w:eastAsia="Calibri"/>
          <w:sz w:val="22"/>
          <w:szCs w:val="22"/>
          <w:lang w:val="sr-Latn-ME"/>
        </w:rPr>
      </w:pPr>
      <w:hyperlink r:id="rId8" w:history="1">
        <w:r w:rsidR="00450A60" w:rsidRPr="005A3564">
          <w:rPr>
            <w:rStyle w:val="Hyperlink"/>
            <w:rFonts w:eastAsia="Calibri"/>
            <w:sz w:val="22"/>
            <w:szCs w:val="22"/>
            <w:lang w:val="sr-Latn-ME"/>
          </w:rPr>
          <w:t>www.cinmed.me</w:t>
        </w:r>
      </w:hyperlink>
    </w:p>
    <w:p w14:paraId="1ABF3A40" w14:textId="77777777" w:rsidR="00450A60" w:rsidRPr="005A3564" w:rsidRDefault="00327F19" w:rsidP="00450A60">
      <w:pPr>
        <w:pStyle w:val="NoSpacing"/>
        <w:jc w:val="both"/>
        <w:rPr>
          <w:rFonts w:eastAsia="Calibri"/>
          <w:color w:val="0000FF"/>
          <w:sz w:val="22"/>
          <w:szCs w:val="22"/>
          <w:u w:val="single"/>
          <w:lang w:val="sr-Latn-ME"/>
        </w:rPr>
      </w:pPr>
      <w:hyperlink r:id="rId9" w:history="1">
        <w:r w:rsidR="00450A60" w:rsidRPr="005A3564">
          <w:rPr>
            <w:rStyle w:val="Hyperlink"/>
            <w:rFonts w:eastAsia="Calibri"/>
            <w:sz w:val="22"/>
            <w:szCs w:val="22"/>
            <w:lang w:val="sr-Latn-ME"/>
          </w:rPr>
          <w:t>nezeljenadejstva@cinmed.me</w:t>
        </w:r>
      </w:hyperlink>
    </w:p>
    <w:p w14:paraId="352A71C8" w14:textId="77777777" w:rsidR="00450A60" w:rsidRPr="005A3564" w:rsidRDefault="00450A60" w:rsidP="00450A60">
      <w:pPr>
        <w:pStyle w:val="NoSpacing"/>
        <w:jc w:val="both"/>
        <w:rPr>
          <w:rFonts w:eastAsia="Calibri"/>
          <w:sz w:val="22"/>
          <w:szCs w:val="22"/>
          <w:lang w:val="sr-Latn-ME"/>
        </w:rPr>
      </w:pPr>
      <w:r w:rsidRPr="005A3564">
        <w:rPr>
          <w:rFonts w:eastAsia="Calibri"/>
          <w:sz w:val="22"/>
          <w:szCs w:val="22"/>
          <w:lang w:val="sr-Latn-ME"/>
        </w:rPr>
        <w:t>putem IS zdravstvene zaštite</w:t>
      </w:r>
    </w:p>
    <w:p w14:paraId="385BD8E7" w14:textId="77777777" w:rsidR="00450A60" w:rsidRPr="005A3564" w:rsidRDefault="00450A60" w:rsidP="00450A60">
      <w:pPr>
        <w:pStyle w:val="NoSpacing"/>
        <w:jc w:val="both"/>
        <w:rPr>
          <w:rFonts w:eastAsia="Calibri"/>
          <w:sz w:val="22"/>
          <w:szCs w:val="22"/>
          <w:lang w:val="sr-Latn-ME"/>
        </w:rPr>
      </w:pPr>
      <w:r w:rsidRPr="005A3564">
        <w:rPr>
          <w:rFonts w:eastAsia="Calibri"/>
          <w:sz w:val="22"/>
          <w:szCs w:val="22"/>
          <w:lang w:val="sr-Latn-ME"/>
        </w:rPr>
        <w:t>QR kod za online prijavu sumnje na neželjeno dejstvo lijeka:</w:t>
      </w:r>
    </w:p>
    <w:p w14:paraId="369CE831" w14:textId="77777777" w:rsidR="00450A60" w:rsidRPr="005A3564" w:rsidRDefault="00450A60" w:rsidP="00450A60">
      <w:pPr>
        <w:pStyle w:val="NoSpacing"/>
        <w:jc w:val="both"/>
        <w:rPr>
          <w:rFonts w:eastAsia="Calibri"/>
          <w:sz w:val="22"/>
          <w:szCs w:val="22"/>
          <w:lang w:val="sr-Latn-ME"/>
        </w:rPr>
      </w:pPr>
    </w:p>
    <w:p w14:paraId="3C846436" w14:textId="60E364AF" w:rsidR="00450A60" w:rsidRPr="005A3564" w:rsidRDefault="0096377A" w:rsidP="00450A60">
      <w:pPr>
        <w:pStyle w:val="NoSpacing"/>
        <w:rPr>
          <w:rFonts w:eastAsia="Calibri"/>
          <w:sz w:val="22"/>
          <w:szCs w:val="22"/>
          <w:lang w:val="sr-Latn-ME"/>
        </w:rPr>
      </w:pPr>
      <w:r w:rsidRPr="005A3564">
        <w:rPr>
          <w:b/>
          <w:bCs/>
          <w:noProof/>
          <w:sz w:val="22"/>
          <w:szCs w:val="22"/>
          <w:lang w:val="sr-Latn-ME"/>
        </w:rPr>
        <w:drawing>
          <wp:inline distT="0" distB="0" distL="0" distR="0" wp14:anchorId="2DD98E57" wp14:editId="36252FB1">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79F300A" w14:textId="77777777" w:rsidR="0096377A" w:rsidRPr="005A3564" w:rsidRDefault="0096377A" w:rsidP="00450A60">
      <w:pPr>
        <w:pStyle w:val="NoSpacing"/>
        <w:rPr>
          <w:rFonts w:eastAsia="Calibri"/>
          <w:sz w:val="22"/>
          <w:szCs w:val="22"/>
          <w:lang w:val="sr-Latn-ME"/>
        </w:rPr>
      </w:pPr>
    </w:p>
    <w:p w14:paraId="38AFFF93" w14:textId="77777777" w:rsidR="00CD6F02"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4.9. </w:t>
      </w:r>
      <w:r w:rsidR="00480FB1" w:rsidRPr="005A3564">
        <w:rPr>
          <w:b/>
          <w:bCs/>
          <w:sz w:val="22"/>
          <w:szCs w:val="22"/>
          <w:lang w:val="sr-Latn-ME"/>
        </w:rPr>
        <w:tab/>
      </w:r>
      <w:r w:rsidRPr="005A3564">
        <w:rPr>
          <w:b/>
          <w:bCs/>
          <w:sz w:val="22"/>
          <w:szCs w:val="22"/>
          <w:lang w:val="sr-Latn-ME"/>
        </w:rPr>
        <w:t>Predoziranje</w:t>
      </w:r>
      <w:r w:rsidR="002846DB" w:rsidRPr="005A3564">
        <w:rPr>
          <w:b/>
          <w:bCs/>
          <w:sz w:val="22"/>
          <w:szCs w:val="22"/>
          <w:lang w:val="sr-Latn-ME"/>
        </w:rPr>
        <w:t xml:space="preserve"> </w:t>
      </w:r>
    </w:p>
    <w:p w14:paraId="52EC8118" w14:textId="77777777" w:rsidR="00CD6F02" w:rsidRPr="005A3564" w:rsidRDefault="00CD6F02" w:rsidP="00685378">
      <w:pPr>
        <w:tabs>
          <w:tab w:val="left" w:pos="540"/>
          <w:tab w:val="left" w:pos="569"/>
        </w:tabs>
        <w:jc w:val="both"/>
        <w:rPr>
          <w:b/>
          <w:bCs/>
          <w:sz w:val="22"/>
          <w:szCs w:val="22"/>
          <w:lang w:val="sr-Latn-ME"/>
        </w:rPr>
      </w:pPr>
    </w:p>
    <w:p w14:paraId="562155A0" w14:textId="77777777" w:rsidR="00A60833" w:rsidRPr="005A3564" w:rsidRDefault="00A60833" w:rsidP="00685378">
      <w:pPr>
        <w:jc w:val="both"/>
        <w:rPr>
          <w:sz w:val="22"/>
          <w:szCs w:val="22"/>
          <w:lang w:val="sr-Latn-ME"/>
        </w:rPr>
      </w:pPr>
      <w:r w:rsidRPr="005A3564">
        <w:rPr>
          <w:sz w:val="22"/>
          <w:szCs w:val="22"/>
          <w:lang w:val="sr-Latn-ME"/>
        </w:rPr>
        <w:t>Nijesu poznati simptomi predoziranja kod ljudi.</w:t>
      </w:r>
    </w:p>
    <w:p w14:paraId="57DEC825" w14:textId="77777777" w:rsidR="00A60833" w:rsidRPr="005A3564" w:rsidRDefault="00A60833" w:rsidP="00685378">
      <w:pPr>
        <w:jc w:val="both"/>
        <w:rPr>
          <w:sz w:val="22"/>
          <w:szCs w:val="22"/>
          <w:lang w:val="sr-Latn-ME"/>
        </w:rPr>
      </w:pPr>
      <w:r w:rsidRPr="005A3564">
        <w:rPr>
          <w:sz w:val="22"/>
          <w:szCs w:val="22"/>
          <w:lang w:val="sr-Latn-ME"/>
        </w:rPr>
        <w:t>Sistemska izloženost dozi do 240 mg primijenjene intravenskim putem tokom 2 minuta dobro je tolerisana.</w:t>
      </w:r>
    </w:p>
    <w:p w14:paraId="41B06AD6" w14:textId="3B7D4CA7" w:rsidR="00DD5CA0" w:rsidRPr="005A3564" w:rsidRDefault="00A60833" w:rsidP="00685378">
      <w:pPr>
        <w:jc w:val="both"/>
        <w:rPr>
          <w:sz w:val="22"/>
          <w:szCs w:val="22"/>
          <w:lang w:val="sr-Latn-ME"/>
        </w:rPr>
      </w:pPr>
      <w:r w:rsidRPr="005A3564">
        <w:rPr>
          <w:sz w:val="22"/>
          <w:szCs w:val="22"/>
          <w:lang w:val="sr-Latn-ME"/>
        </w:rPr>
        <w:t>S obzirom da se pantoprazol u velikom procentu vezuje za proteine plazme, ne dijalizira se lako.</w:t>
      </w:r>
    </w:p>
    <w:p w14:paraId="12CCF056" w14:textId="77777777" w:rsidR="00A60833" w:rsidRPr="005A3564" w:rsidRDefault="00A60833" w:rsidP="00685378">
      <w:pPr>
        <w:jc w:val="both"/>
        <w:rPr>
          <w:b/>
          <w:bCs/>
          <w:sz w:val="22"/>
          <w:szCs w:val="22"/>
          <w:lang w:val="sr-Latn-ME"/>
        </w:rPr>
      </w:pPr>
      <w:r w:rsidRPr="005A3564">
        <w:rPr>
          <w:sz w:val="22"/>
          <w:szCs w:val="22"/>
          <w:lang w:val="sr-Latn-ME"/>
        </w:rPr>
        <w:t xml:space="preserve">U slučaju predoziranja sa kliničkim znacima intoksikacije, osim simptomatske i potporne terapije, nema specifičnih preporuka za liječenje. </w:t>
      </w:r>
    </w:p>
    <w:p w14:paraId="5B2CCBD0" w14:textId="77777777" w:rsidR="00227BDB" w:rsidRPr="005A3564" w:rsidRDefault="00227BDB" w:rsidP="00480FB1">
      <w:pPr>
        <w:tabs>
          <w:tab w:val="left" w:pos="540"/>
          <w:tab w:val="left" w:pos="569"/>
        </w:tabs>
        <w:rPr>
          <w:b/>
          <w:bCs/>
          <w:sz w:val="22"/>
          <w:szCs w:val="22"/>
          <w:lang w:val="sr-Latn-ME"/>
        </w:rPr>
      </w:pPr>
    </w:p>
    <w:p w14:paraId="0AFB7BBB" w14:textId="77777777" w:rsidR="00DD5CA0" w:rsidRPr="005A3564" w:rsidRDefault="00DD5CA0" w:rsidP="00480FB1">
      <w:pPr>
        <w:tabs>
          <w:tab w:val="left" w:pos="540"/>
          <w:tab w:val="left" w:pos="569"/>
        </w:tabs>
        <w:rPr>
          <w:b/>
          <w:bCs/>
          <w:sz w:val="22"/>
          <w:szCs w:val="22"/>
          <w:lang w:val="sr-Latn-ME"/>
        </w:rPr>
      </w:pPr>
    </w:p>
    <w:p w14:paraId="6093C9B8" w14:textId="77777777" w:rsidR="0072020E"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5. </w:t>
      </w:r>
      <w:r w:rsidR="00480FB1" w:rsidRPr="005A3564">
        <w:rPr>
          <w:b/>
          <w:bCs/>
          <w:sz w:val="22"/>
          <w:szCs w:val="22"/>
          <w:lang w:val="sr-Latn-ME"/>
        </w:rPr>
        <w:tab/>
      </w:r>
      <w:r w:rsidRPr="005A3564">
        <w:rPr>
          <w:b/>
          <w:bCs/>
          <w:sz w:val="22"/>
          <w:szCs w:val="22"/>
          <w:lang w:val="sr-Latn-ME"/>
        </w:rPr>
        <w:t>FARMAKOLOŠK</w:t>
      </w:r>
      <w:r w:rsidR="000D425A" w:rsidRPr="005A3564">
        <w:rPr>
          <w:b/>
          <w:bCs/>
          <w:sz w:val="22"/>
          <w:szCs w:val="22"/>
          <w:lang w:val="sr-Latn-ME"/>
        </w:rPr>
        <w:t>I</w:t>
      </w:r>
      <w:r w:rsidRPr="005A3564">
        <w:rPr>
          <w:b/>
          <w:bCs/>
          <w:sz w:val="22"/>
          <w:szCs w:val="22"/>
          <w:lang w:val="sr-Latn-ME"/>
        </w:rPr>
        <w:t xml:space="preserve"> PODACI</w:t>
      </w:r>
    </w:p>
    <w:p w14:paraId="20AE8BE9" w14:textId="77777777" w:rsidR="0072020E" w:rsidRPr="005A3564" w:rsidRDefault="0072020E" w:rsidP="00480FB1">
      <w:pPr>
        <w:tabs>
          <w:tab w:val="left" w:pos="540"/>
          <w:tab w:val="left" w:pos="569"/>
        </w:tabs>
        <w:rPr>
          <w:b/>
          <w:bCs/>
          <w:sz w:val="22"/>
          <w:szCs w:val="22"/>
          <w:lang w:val="sr-Latn-ME"/>
        </w:rPr>
      </w:pPr>
    </w:p>
    <w:p w14:paraId="633A2AFB" w14:textId="77777777" w:rsidR="0072020E"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5.1. </w:t>
      </w:r>
      <w:r w:rsidR="00480FB1" w:rsidRPr="005A3564">
        <w:rPr>
          <w:b/>
          <w:bCs/>
          <w:sz w:val="22"/>
          <w:szCs w:val="22"/>
          <w:lang w:val="sr-Latn-ME"/>
        </w:rPr>
        <w:tab/>
      </w:r>
      <w:r w:rsidRPr="005A3564">
        <w:rPr>
          <w:b/>
          <w:bCs/>
          <w:sz w:val="22"/>
          <w:szCs w:val="22"/>
          <w:lang w:val="sr-Latn-ME"/>
        </w:rPr>
        <w:t>Farmakodinamski podaci</w:t>
      </w:r>
      <w:r w:rsidR="003A7059" w:rsidRPr="005A3564">
        <w:rPr>
          <w:b/>
          <w:bCs/>
          <w:sz w:val="22"/>
          <w:szCs w:val="22"/>
          <w:lang w:val="sr-Latn-ME"/>
        </w:rPr>
        <w:t xml:space="preserve"> </w:t>
      </w:r>
    </w:p>
    <w:p w14:paraId="498FC802" w14:textId="77777777" w:rsidR="00F45F77" w:rsidRPr="005A3564" w:rsidRDefault="00F45F77" w:rsidP="00480FB1">
      <w:pPr>
        <w:tabs>
          <w:tab w:val="left" w:pos="540"/>
          <w:tab w:val="left" w:pos="569"/>
        </w:tabs>
        <w:rPr>
          <w:b/>
          <w:bCs/>
          <w:sz w:val="22"/>
          <w:szCs w:val="22"/>
          <w:lang w:val="sr-Latn-ME"/>
        </w:rPr>
      </w:pPr>
    </w:p>
    <w:p w14:paraId="2BF8D2FD" w14:textId="77777777" w:rsidR="00A60833" w:rsidRPr="005A3564" w:rsidRDefault="00A60833" w:rsidP="00A60833">
      <w:pPr>
        <w:tabs>
          <w:tab w:val="left" w:pos="540"/>
          <w:tab w:val="left" w:pos="569"/>
        </w:tabs>
        <w:rPr>
          <w:sz w:val="22"/>
          <w:szCs w:val="22"/>
          <w:lang w:val="sr-Latn-ME"/>
        </w:rPr>
      </w:pPr>
      <w:r w:rsidRPr="005A3564">
        <w:rPr>
          <w:bCs/>
          <w:sz w:val="22"/>
          <w:szCs w:val="22"/>
          <w:lang w:val="sr-Latn-ME"/>
        </w:rPr>
        <w:t>Farmakoterapijska grupa:</w:t>
      </w:r>
      <w:r w:rsidRPr="005A3564">
        <w:rPr>
          <w:bCs/>
          <w:sz w:val="22"/>
          <w:szCs w:val="22"/>
          <w:lang w:val="sr-Latn-ME"/>
        </w:rPr>
        <w:tab/>
      </w:r>
      <w:r w:rsidRPr="005A3564">
        <w:rPr>
          <w:sz w:val="22"/>
          <w:szCs w:val="22"/>
          <w:lang w:val="sr-Latn-ME"/>
        </w:rPr>
        <w:t>Inhibitori protonske pumpe</w:t>
      </w:r>
    </w:p>
    <w:p w14:paraId="03C2FAB9" w14:textId="77777777" w:rsidR="00A60833" w:rsidRPr="005A3564" w:rsidRDefault="00A60833" w:rsidP="00A60833">
      <w:pPr>
        <w:tabs>
          <w:tab w:val="left" w:pos="540"/>
          <w:tab w:val="left" w:pos="569"/>
        </w:tabs>
        <w:rPr>
          <w:bCs/>
          <w:sz w:val="22"/>
          <w:szCs w:val="22"/>
          <w:lang w:val="sr-Latn-ME"/>
        </w:rPr>
      </w:pPr>
    </w:p>
    <w:p w14:paraId="6A193145" w14:textId="77777777" w:rsidR="00A60833" w:rsidRPr="005A3564" w:rsidRDefault="00A60833" w:rsidP="00A60833">
      <w:pPr>
        <w:jc w:val="both"/>
        <w:rPr>
          <w:sz w:val="22"/>
          <w:szCs w:val="22"/>
          <w:lang w:val="sr-Latn-ME"/>
        </w:rPr>
      </w:pPr>
      <w:r w:rsidRPr="005A3564">
        <w:rPr>
          <w:sz w:val="22"/>
          <w:szCs w:val="22"/>
          <w:lang w:val="sr-Latn-ME"/>
        </w:rPr>
        <w:t>ATC kod: A02BC02</w:t>
      </w:r>
    </w:p>
    <w:p w14:paraId="63840865" w14:textId="77777777" w:rsidR="00A60833" w:rsidRPr="005A3564" w:rsidRDefault="00A60833" w:rsidP="00A60833">
      <w:pPr>
        <w:jc w:val="both"/>
        <w:rPr>
          <w:sz w:val="22"/>
          <w:szCs w:val="22"/>
          <w:lang w:val="sr-Latn-ME"/>
        </w:rPr>
      </w:pPr>
    </w:p>
    <w:p w14:paraId="5B42ECD9" w14:textId="77777777" w:rsidR="00A60833" w:rsidRPr="005A3564" w:rsidRDefault="00A60833" w:rsidP="00A60833">
      <w:pPr>
        <w:jc w:val="both"/>
        <w:rPr>
          <w:i/>
          <w:sz w:val="22"/>
          <w:szCs w:val="22"/>
          <w:u w:val="single"/>
          <w:lang w:val="sr-Latn-ME"/>
        </w:rPr>
      </w:pPr>
      <w:r w:rsidRPr="005A3564">
        <w:rPr>
          <w:i/>
          <w:sz w:val="22"/>
          <w:szCs w:val="22"/>
          <w:u w:val="single"/>
          <w:lang w:val="sr-Latn-ME"/>
        </w:rPr>
        <w:t>Mehanizam dejstva</w:t>
      </w:r>
    </w:p>
    <w:p w14:paraId="318518B9" w14:textId="0091C1C6" w:rsidR="00A60833" w:rsidRPr="005A3564" w:rsidRDefault="00A60833" w:rsidP="00A60833">
      <w:pPr>
        <w:jc w:val="both"/>
        <w:rPr>
          <w:sz w:val="22"/>
          <w:szCs w:val="22"/>
          <w:lang w:val="sr-Latn-ME"/>
        </w:rPr>
      </w:pPr>
      <w:r w:rsidRPr="005A3564">
        <w:rPr>
          <w:sz w:val="22"/>
          <w:szCs w:val="22"/>
          <w:lang w:val="sr-Latn-ME"/>
        </w:rPr>
        <w:t xml:space="preserve">Pantoprazol je supstituisani benzimidazol koji </w:t>
      </w:r>
      <w:r w:rsidRPr="005A3564">
        <w:rPr>
          <w:noProof/>
          <w:sz w:val="22"/>
          <w:szCs w:val="22"/>
          <w:lang w:val="sr-Latn-ME"/>
        </w:rPr>
        <w:t>specifi</w:t>
      </w:r>
      <w:r w:rsidRPr="005A3564">
        <w:rPr>
          <w:rFonts w:eastAsia="TimesNewRoman"/>
          <w:noProof/>
          <w:sz w:val="22"/>
          <w:szCs w:val="22"/>
          <w:lang w:val="sr-Latn-ME"/>
        </w:rPr>
        <w:t>č</w:t>
      </w:r>
      <w:r w:rsidRPr="005A3564">
        <w:rPr>
          <w:noProof/>
          <w:sz w:val="22"/>
          <w:szCs w:val="22"/>
          <w:lang w:val="sr-Latn-ME"/>
        </w:rPr>
        <w:t xml:space="preserve">nim dejstvom na protonske pumpe parijetalnih </w:t>
      </w:r>
      <w:r w:rsidRPr="005A3564">
        <w:rPr>
          <w:rFonts w:eastAsia="TimesNewRoman"/>
          <w:noProof/>
          <w:sz w:val="22"/>
          <w:szCs w:val="22"/>
          <w:lang w:val="sr-Latn-ME"/>
        </w:rPr>
        <w:t>ć</w:t>
      </w:r>
      <w:r w:rsidRPr="005A3564">
        <w:rPr>
          <w:noProof/>
          <w:sz w:val="22"/>
          <w:szCs w:val="22"/>
          <w:lang w:val="sr-Latn-ME"/>
        </w:rPr>
        <w:t>elija</w:t>
      </w:r>
      <w:r w:rsidRPr="005A3564">
        <w:rPr>
          <w:sz w:val="22"/>
          <w:szCs w:val="22"/>
          <w:lang w:val="sr-Latn-ME"/>
        </w:rPr>
        <w:t xml:space="preserve"> inhibira sekreciju hlorovodonične kiseline u želucu.</w:t>
      </w:r>
    </w:p>
    <w:p w14:paraId="5A124D84" w14:textId="77777777" w:rsidR="00A60833" w:rsidRPr="005A3564" w:rsidRDefault="00A60833" w:rsidP="00A60833">
      <w:pPr>
        <w:jc w:val="both"/>
        <w:rPr>
          <w:sz w:val="22"/>
          <w:szCs w:val="22"/>
          <w:lang w:val="sr-Latn-ME"/>
        </w:rPr>
      </w:pPr>
    </w:p>
    <w:p w14:paraId="0D999596" w14:textId="77777777" w:rsidR="00DD5CA0" w:rsidRPr="005A3564" w:rsidRDefault="00A60833" w:rsidP="00A60833">
      <w:pPr>
        <w:jc w:val="both"/>
        <w:rPr>
          <w:sz w:val="22"/>
          <w:szCs w:val="22"/>
          <w:lang w:val="sr-Latn-ME"/>
        </w:rPr>
      </w:pPr>
      <w:r w:rsidRPr="005A3564">
        <w:rPr>
          <w:sz w:val="22"/>
          <w:szCs w:val="22"/>
          <w:lang w:val="sr-Latn-ME"/>
        </w:rPr>
        <w:t>Pantoprazol prelazi u svoj aktivni oblik u kiseloj sredini u parijetalnim ćelijama gdje inhibira enzim H</w:t>
      </w:r>
      <w:r w:rsidRPr="005A3564">
        <w:rPr>
          <w:sz w:val="22"/>
          <w:szCs w:val="22"/>
          <w:vertAlign w:val="superscript"/>
          <w:lang w:val="sr-Latn-ME"/>
        </w:rPr>
        <w:t>+</w:t>
      </w:r>
      <w:r w:rsidRPr="005A3564">
        <w:rPr>
          <w:sz w:val="22"/>
          <w:szCs w:val="22"/>
          <w:lang w:val="sr-Latn-ME"/>
        </w:rPr>
        <w:t>/K</w:t>
      </w:r>
      <w:r w:rsidRPr="005A3564">
        <w:rPr>
          <w:sz w:val="22"/>
          <w:szCs w:val="22"/>
          <w:vertAlign w:val="superscript"/>
          <w:lang w:val="sr-Latn-ME"/>
        </w:rPr>
        <w:t>+</w:t>
      </w:r>
      <w:r w:rsidRPr="005A3564">
        <w:rPr>
          <w:sz w:val="22"/>
          <w:szCs w:val="22"/>
          <w:lang w:val="sr-Latn-ME"/>
        </w:rPr>
        <w:t xml:space="preserve">-ATP-azu, odnosno završnu fazu produkcije hlorovodonične kiseline u želucu. Stepen inhibicije zavisi od doze i utiče kako na osnovnu, tako i na stimulisanu sekreciju kiseline. Kod većine pacijenata nestanak simptoma se postiže nakon 2 nedjelje. </w:t>
      </w:r>
    </w:p>
    <w:p w14:paraId="0B34B8C4" w14:textId="50F27B4F" w:rsidR="00A60833" w:rsidRPr="005A3564" w:rsidRDefault="00A60833" w:rsidP="00A60833">
      <w:pPr>
        <w:jc w:val="both"/>
        <w:rPr>
          <w:sz w:val="22"/>
          <w:szCs w:val="22"/>
          <w:lang w:val="sr-Latn-ME"/>
        </w:rPr>
      </w:pPr>
      <w:r w:rsidRPr="005A3564">
        <w:rPr>
          <w:sz w:val="22"/>
          <w:szCs w:val="22"/>
          <w:lang w:val="sr-Latn-ME"/>
        </w:rPr>
        <w:t>Kao i kod drugih inhibitora protonske pumpe i inhibitora H</w:t>
      </w:r>
      <w:r w:rsidRPr="005A3564">
        <w:rPr>
          <w:sz w:val="22"/>
          <w:szCs w:val="22"/>
          <w:vertAlign w:val="subscript"/>
          <w:lang w:val="sr-Latn-ME"/>
        </w:rPr>
        <w:t>2</w:t>
      </w:r>
      <w:r w:rsidRPr="005A3564">
        <w:rPr>
          <w:sz w:val="22"/>
          <w:szCs w:val="22"/>
          <w:lang w:val="sr-Latn-ME"/>
        </w:rPr>
        <w:t xml:space="preserve"> receptora, liječenje pantoprazolom uzrokuje smanjenu kiselost u želucu, a tako i povećanje gastrina srazmjerno smanjenoj kiselosti. Povećanje gastrina je reverzibilno. Pošto se pantoprazol vezuje za enzim distalno u odnosu na nivo ćelijskog receptora, ova supstanca može inhibi</w:t>
      </w:r>
      <w:r w:rsidR="0096377A" w:rsidRPr="005A3564">
        <w:rPr>
          <w:sz w:val="22"/>
          <w:szCs w:val="22"/>
          <w:lang w:val="sr-Latn-ME"/>
        </w:rPr>
        <w:t>r</w:t>
      </w:r>
      <w:r w:rsidRPr="005A3564">
        <w:rPr>
          <w:sz w:val="22"/>
          <w:szCs w:val="22"/>
          <w:lang w:val="sr-Latn-ME"/>
        </w:rPr>
        <w:t>ati sekreciju hlorovodonične kiseline nezavisno od stimulacije drugim materijama (acetilholinom, histaminom, gastrinom). Efekat je isti bilo da se preparat daje peroralno ili intravenski.</w:t>
      </w:r>
    </w:p>
    <w:p w14:paraId="00A0FBB1" w14:textId="77777777" w:rsidR="00A60833" w:rsidRPr="005A3564" w:rsidRDefault="00A60833" w:rsidP="00A60833">
      <w:pPr>
        <w:jc w:val="both"/>
        <w:rPr>
          <w:sz w:val="22"/>
          <w:szCs w:val="22"/>
          <w:lang w:val="sr-Latn-ME"/>
        </w:rPr>
      </w:pPr>
    </w:p>
    <w:p w14:paraId="3AE46987" w14:textId="77777777" w:rsidR="00A60833" w:rsidRPr="005A3564" w:rsidRDefault="00A60833" w:rsidP="00A60833">
      <w:pPr>
        <w:rPr>
          <w:sz w:val="22"/>
          <w:szCs w:val="22"/>
          <w:u w:val="single"/>
          <w:lang w:val="sr-Latn-ME"/>
        </w:rPr>
      </w:pPr>
      <w:r w:rsidRPr="005A3564">
        <w:rPr>
          <w:sz w:val="22"/>
          <w:szCs w:val="22"/>
          <w:u w:val="single"/>
          <w:lang w:val="sr-Latn-ME"/>
        </w:rPr>
        <w:t>Farmakodinamski efekti</w:t>
      </w:r>
    </w:p>
    <w:p w14:paraId="67B12AAC" w14:textId="72C37848" w:rsidR="00A60833" w:rsidRPr="005A3564" w:rsidRDefault="00A60833" w:rsidP="00A60833">
      <w:pPr>
        <w:jc w:val="both"/>
        <w:rPr>
          <w:sz w:val="22"/>
          <w:szCs w:val="22"/>
          <w:lang w:val="sr-Latn-ME"/>
        </w:rPr>
      </w:pPr>
      <w:r w:rsidRPr="005A3564">
        <w:rPr>
          <w:sz w:val="22"/>
          <w:szCs w:val="22"/>
          <w:lang w:val="sr-Latn-ME"/>
        </w:rPr>
        <w:t xml:space="preserve">Pod uticajem pantoprazola dolazi do porasta vrijednosti gastrina na tašte. Kod kratkotrajne primjene u većini slučajeva te vrijednosti ne prelaze normalnu gornju granicu. Kod dugotrajne primjene, u većini slučajeva vrijednosti gastrina se dupliraju. Enormno povećanje se pak dešava samo u pojedinim slučajevima.  Kao posljedica toga je u malom broju slučajeva tokom dugotrajne terapije uočena pojava blagog do umjerenog povećanja specifičnih endokrinih ćelija u želucu (ECL) (jednostavna do adenomatoidna hiperplazija). Međutim, prema dosadašnjim ispitivanjima stvaranje karcinoidnih prekursora (atipična hiperplazija) ili gastričnih karcinoida koji su nađeni u eksperimentima na životinjama (vidjeti </w:t>
      </w:r>
      <w:r w:rsidR="009844CB" w:rsidRPr="005A3564">
        <w:rPr>
          <w:sz w:val="22"/>
          <w:szCs w:val="22"/>
          <w:lang w:val="sr-Latn-ME"/>
        </w:rPr>
        <w:t>dio</w:t>
      </w:r>
      <w:r w:rsidRPr="005A3564">
        <w:rPr>
          <w:sz w:val="22"/>
          <w:szCs w:val="22"/>
          <w:lang w:val="sr-Latn-ME"/>
        </w:rPr>
        <w:t xml:space="preserve"> 5.3), nije uočeno kod ljudi.</w:t>
      </w:r>
    </w:p>
    <w:p w14:paraId="12BEEA7E" w14:textId="77777777" w:rsidR="00A60833" w:rsidRPr="005A3564" w:rsidRDefault="00A60833" w:rsidP="00A60833">
      <w:pPr>
        <w:rPr>
          <w:sz w:val="22"/>
          <w:szCs w:val="22"/>
          <w:lang w:val="sr-Latn-ME"/>
        </w:rPr>
      </w:pPr>
    </w:p>
    <w:p w14:paraId="4136ADBA" w14:textId="77777777" w:rsidR="00A60833" w:rsidRPr="005A3564" w:rsidRDefault="00A60833" w:rsidP="00DD5CA0">
      <w:pPr>
        <w:tabs>
          <w:tab w:val="left" w:pos="540"/>
          <w:tab w:val="left" w:pos="569"/>
        </w:tabs>
        <w:jc w:val="both"/>
        <w:rPr>
          <w:sz w:val="22"/>
          <w:szCs w:val="22"/>
          <w:lang w:val="sr-Latn-ME"/>
        </w:rPr>
      </w:pPr>
      <w:r w:rsidRPr="005A3564">
        <w:rPr>
          <w:sz w:val="22"/>
          <w:szCs w:val="22"/>
          <w:lang w:val="sr-Latn-ME"/>
        </w:rPr>
        <w:t>Prema rezultatima istraživanja na životinjama, kod dugotrajne primjene pantoprazola u trajanju dužem od jedne godine, ne može se potpuno isključiti uticaj na endokrine parametre tireoidne žlijezde.</w:t>
      </w:r>
    </w:p>
    <w:p w14:paraId="2A9FA553" w14:textId="77777777" w:rsidR="00A60833" w:rsidRPr="005A3564" w:rsidRDefault="00A60833" w:rsidP="00685378">
      <w:pPr>
        <w:pStyle w:val="Header"/>
        <w:jc w:val="both"/>
        <w:rPr>
          <w:sz w:val="22"/>
          <w:szCs w:val="22"/>
          <w:lang w:val="sr-Latn-ME"/>
        </w:rPr>
      </w:pPr>
      <w:r w:rsidRPr="005A3564">
        <w:rPr>
          <w:sz w:val="22"/>
          <w:szCs w:val="22"/>
          <w:lang w:val="sr-Latn-ME"/>
        </w:rPr>
        <w:lastRenderedPageBreak/>
        <w:t>Tokom terapije antisekretornim medicinskim proizvodima, nivo gastrina u serumu se povećava kao odgovor na smanjenu sekreciju gastične kiseline. Takođe, nivo CgA se povećava uslijed smanjenja gastrične kiselosti. Povišeni nivo CgA može interferisati sa laboratorijskim pretragama neuroendokrinih tumora.</w:t>
      </w:r>
    </w:p>
    <w:p w14:paraId="49962CAE" w14:textId="77777777" w:rsidR="00A60833" w:rsidRPr="005A3564" w:rsidRDefault="00A60833" w:rsidP="00685378">
      <w:pPr>
        <w:pStyle w:val="Header"/>
        <w:jc w:val="both"/>
        <w:rPr>
          <w:sz w:val="22"/>
          <w:szCs w:val="22"/>
          <w:lang w:val="sr-Latn-ME"/>
        </w:rPr>
      </w:pPr>
    </w:p>
    <w:p w14:paraId="213CECA6" w14:textId="77777777" w:rsidR="00A60833" w:rsidRPr="005A3564" w:rsidRDefault="00A60833" w:rsidP="00685378">
      <w:pPr>
        <w:pStyle w:val="Header"/>
        <w:tabs>
          <w:tab w:val="left" w:pos="284"/>
        </w:tabs>
        <w:jc w:val="both"/>
        <w:rPr>
          <w:sz w:val="22"/>
          <w:szCs w:val="22"/>
          <w:lang w:val="sr-Latn-ME"/>
        </w:rPr>
      </w:pPr>
      <w:r w:rsidRPr="005A3564">
        <w:rPr>
          <w:sz w:val="22"/>
          <w:szCs w:val="22"/>
          <w:lang w:val="sr-Latn-ME"/>
        </w:rPr>
        <w:t>Dostupni, publikovani podaci sugerišu da terapiju inhibitorima protonske pumpe treba prekinuti između 5 dana i 2 nedjelje prije mjerenja CgA nivoa. Ovo će omogućiti nivoima CgA koji su moguće lažno povećani nakon terpije IPP, da se vrate na referentne vrijednosti.</w:t>
      </w:r>
    </w:p>
    <w:p w14:paraId="394F6330" w14:textId="77777777" w:rsidR="002E37A5" w:rsidRPr="005A3564" w:rsidRDefault="002E37A5" w:rsidP="00480FB1">
      <w:pPr>
        <w:tabs>
          <w:tab w:val="left" w:pos="540"/>
          <w:tab w:val="left" w:pos="569"/>
        </w:tabs>
        <w:rPr>
          <w:b/>
          <w:bCs/>
          <w:sz w:val="22"/>
          <w:szCs w:val="22"/>
          <w:lang w:val="sr-Latn-ME"/>
        </w:rPr>
      </w:pPr>
    </w:p>
    <w:p w14:paraId="5AFA551D" w14:textId="21F42C2D" w:rsidR="00DD5CA0"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5.2. </w:t>
      </w:r>
      <w:r w:rsidR="00480FB1" w:rsidRPr="005A3564">
        <w:rPr>
          <w:b/>
          <w:bCs/>
          <w:sz w:val="22"/>
          <w:szCs w:val="22"/>
          <w:lang w:val="sr-Latn-ME"/>
        </w:rPr>
        <w:tab/>
      </w:r>
      <w:r w:rsidRPr="005A3564">
        <w:rPr>
          <w:b/>
          <w:bCs/>
          <w:sz w:val="22"/>
          <w:szCs w:val="22"/>
          <w:lang w:val="sr-Latn-ME"/>
        </w:rPr>
        <w:t>Farmakokinetički podaci</w:t>
      </w:r>
      <w:r w:rsidR="003A7059" w:rsidRPr="005A3564">
        <w:rPr>
          <w:b/>
          <w:bCs/>
          <w:sz w:val="22"/>
          <w:szCs w:val="22"/>
          <w:lang w:val="sr-Latn-ME"/>
        </w:rPr>
        <w:t xml:space="preserve"> </w:t>
      </w:r>
    </w:p>
    <w:p w14:paraId="2F4F6D00" w14:textId="77777777" w:rsidR="0096377A" w:rsidRPr="005A3564" w:rsidRDefault="0096377A" w:rsidP="00480FB1">
      <w:pPr>
        <w:tabs>
          <w:tab w:val="left" w:pos="540"/>
          <w:tab w:val="left" w:pos="569"/>
        </w:tabs>
        <w:rPr>
          <w:b/>
          <w:bCs/>
          <w:sz w:val="22"/>
          <w:szCs w:val="22"/>
          <w:lang w:val="sr-Latn-ME"/>
        </w:rPr>
      </w:pPr>
    </w:p>
    <w:p w14:paraId="631B2F05" w14:textId="77777777" w:rsidR="00A60833" w:rsidRPr="005A3564" w:rsidRDefault="00A60833" w:rsidP="00685378">
      <w:pPr>
        <w:tabs>
          <w:tab w:val="left" w:pos="540"/>
          <w:tab w:val="left" w:pos="569"/>
        </w:tabs>
        <w:rPr>
          <w:i/>
          <w:sz w:val="22"/>
          <w:szCs w:val="22"/>
          <w:u w:val="single"/>
          <w:lang w:val="sr-Latn-ME"/>
        </w:rPr>
      </w:pPr>
      <w:r w:rsidRPr="005A3564">
        <w:rPr>
          <w:i/>
          <w:sz w:val="22"/>
          <w:szCs w:val="22"/>
          <w:u w:val="single"/>
          <w:lang w:val="sr-Latn-ME"/>
        </w:rPr>
        <w:t>Resorpcija</w:t>
      </w:r>
    </w:p>
    <w:p w14:paraId="24E7CD8D" w14:textId="77777777" w:rsidR="00A60833" w:rsidRPr="005A3564" w:rsidRDefault="00A60833" w:rsidP="00A60833">
      <w:pPr>
        <w:jc w:val="both"/>
        <w:rPr>
          <w:sz w:val="22"/>
          <w:szCs w:val="22"/>
          <w:lang w:val="sr-Latn-ME"/>
        </w:rPr>
      </w:pPr>
      <w:r w:rsidRPr="005A3564">
        <w:rPr>
          <w:sz w:val="22"/>
          <w:szCs w:val="22"/>
          <w:lang w:val="sr-Latn-ME"/>
        </w:rPr>
        <w:t xml:space="preserve">Pantoprazol se brzo resorbuje, a maksimalna koncentracija u plazmi se postiže već poslije jedne oralne doze od 20 mg. Maksimalna koncentracija u serumu od oko 1-1.5 μg/ml u prosjeku se postiže za oko 2,0 do 2,5 časa i ova vrijednost se ne mijenja nakon ponovljenog  uzimanja. </w:t>
      </w:r>
    </w:p>
    <w:p w14:paraId="6BC561ED" w14:textId="77777777" w:rsidR="00A60833" w:rsidRPr="005A3564" w:rsidRDefault="00A60833" w:rsidP="00A60833">
      <w:pPr>
        <w:jc w:val="both"/>
        <w:rPr>
          <w:sz w:val="22"/>
          <w:szCs w:val="22"/>
          <w:lang w:val="sr-Latn-ME"/>
        </w:rPr>
      </w:pPr>
      <w:r w:rsidRPr="005A3564">
        <w:rPr>
          <w:sz w:val="22"/>
          <w:szCs w:val="22"/>
          <w:lang w:val="sr-Latn-ME"/>
        </w:rPr>
        <w:t>Farmakokinetska svojstva ne zavise od toga da li je u pitanju pojedinačna ili ponovljena doza. U rasponu doze od 10 do 80 mg, kinetika pantoprazola u plazmi je praktično linearna kako po peroralnoj, tako i po intravenskoj primjeni.</w:t>
      </w:r>
    </w:p>
    <w:p w14:paraId="0E4ABAC9" w14:textId="77777777" w:rsidR="00A60833" w:rsidRPr="005A3564" w:rsidRDefault="00A60833" w:rsidP="00A60833">
      <w:pPr>
        <w:rPr>
          <w:sz w:val="22"/>
          <w:szCs w:val="22"/>
          <w:lang w:val="sr-Latn-ME"/>
        </w:rPr>
      </w:pPr>
    </w:p>
    <w:p w14:paraId="63EC63E5" w14:textId="499DF7F4" w:rsidR="00A60833" w:rsidRPr="005A3564" w:rsidRDefault="00A60833" w:rsidP="00A60833">
      <w:pPr>
        <w:jc w:val="both"/>
        <w:rPr>
          <w:sz w:val="22"/>
          <w:szCs w:val="22"/>
          <w:lang w:val="sr-Latn-ME"/>
        </w:rPr>
      </w:pPr>
      <w:r w:rsidRPr="005A3564">
        <w:rPr>
          <w:sz w:val="22"/>
          <w:szCs w:val="22"/>
          <w:lang w:val="sr-Latn-ME"/>
        </w:rPr>
        <w:t>Apsolutna bioraspoloživost iz tablete iznosi oko 77%. Istovremeno uzimanje hrane nema uticaja na površinu ispod krive (PIK) i maksimalnu koncentraciju u serumu, pa prema tome ni na bioraspoloživost. Istovremenim uzimanjem hrane povećava se samo varijabilnost</w:t>
      </w:r>
      <w:r w:rsidR="0016654B" w:rsidRPr="005A3564">
        <w:rPr>
          <w:sz w:val="22"/>
          <w:szCs w:val="22"/>
          <w:lang w:val="sr-Latn-ME"/>
        </w:rPr>
        <w:t xml:space="preserve"> vremena</w:t>
      </w:r>
      <w:r w:rsidRPr="005A3564">
        <w:rPr>
          <w:sz w:val="22"/>
          <w:szCs w:val="22"/>
          <w:lang w:val="sr-Latn-ME"/>
        </w:rPr>
        <w:t xml:space="preserve"> početka resorpcije (t</w:t>
      </w:r>
      <w:r w:rsidRPr="005A3564">
        <w:rPr>
          <w:sz w:val="22"/>
          <w:szCs w:val="22"/>
          <w:vertAlign w:val="subscript"/>
          <w:lang w:val="sr-Latn-ME"/>
        </w:rPr>
        <w:t>lag</w:t>
      </w:r>
      <w:r w:rsidRPr="005A3564">
        <w:rPr>
          <w:sz w:val="22"/>
          <w:szCs w:val="22"/>
          <w:lang w:val="sr-Latn-ME"/>
        </w:rPr>
        <w:t>).</w:t>
      </w:r>
    </w:p>
    <w:p w14:paraId="7EC12ED7" w14:textId="77777777" w:rsidR="00A60833" w:rsidRPr="005A3564" w:rsidRDefault="00A60833" w:rsidP="00A60833">
      <w:pPr>
        <w:rPr>
          <w:sz w:val="22"/>
          <w:szCs w:val="22"/>
          <w:lang w:val="sr-Latn-ME"/>
        </w:rPr>
      </w:pPr>
    </w:p>
    <w:p w14:paraId="542EE876" w14:textId="77777777" w:rsidR="00A60833" w:rsidRPr="005A3564" w:rsidRDefault="00A60833" w:rsidP="00A60833">
      <w:pPr>
        <w:rPr>
          <w:i/>
          <w:sz w:val="22"/>
          <w:szCs w:val="22"/>
          <w:u w:val="single"/>
          <w:lang w:val="sr-Latn-ME"/>
        </w:rPr>
      </w:pPr>
      <w:r w:rsidRPr="005A3564">
        <w:rPr>
          <w:i/>
          <w:sz w:val="22"/>
          <w:szCs w:val="22"/>
          <w:u w:val="single"/>
          <w:lang w:val="sr-Latn-ME"/>
        </w:rPr>
        <w:t>Distribucija</w:t>
      </w:r>
    </w:p>
    <w:p w14:paraId="2698E889" w14:textId="77777777" w:rsidR="00A60833" w:rsidRPr="005A3564" w:rsidRDefault="00A60833" w:rsidP="00A60833">
      <w:pPr>
        <w:rPr>
          <w:sz w:val="22"/>
          <w:szCs w:val="22"/>
          <w:lang w:val="sr-Latn-ME"/>
        </w:rPr>
      </w:pPr>
      <w:r w:rsidRPr="005A3564">
        <w:rPr>
          <w:sz w:val="22"/>
          <w:szCs w:val="22"/>
          <w:lang w:val="sr-Latn-ME"/>
        </w:rPr>
        <w:t>Vezivanje pantoprazola za proteine plazme je oko 98%. Volumen distribucije je oko 0.15 l/kg.</w:t>
      </w:r>
    </w:p>
    <w:p w14:paraId="531D984D" w14:textId="77777777" w:rsidR="00A60833" w:rsidRPr="005A3564" w:rsidRDefault="00A60833" w:rsidP="00A60833">
      <w:pPr>
        <w:jc w:val="both"/>
        <w:rPr>
          <w:sz w:val="22"/>
          <w:szCs w:val="22"/>
          <w:lang w:val="sr-Latn-ME"/>
        </w:rPr>
      </w:pPr>
    </w:p>
    <w:p w14:paraId="31689538" w14:textId="77777777" w:rsidR="00A60833" w:rsidRPr="005A3564" w:rsidRDefault="00A60833" w:rsidP="00A60833">
      <w:pPr>
        <w:jc w:val="both"/>
        <w:rPr>
          <w:sz w:val="22"/>
          <w:szCs w:val="22"/>
          <w:lang w:val="sr-Latn-ME"/>
        </w:rPr>
      </w:pPr>
      <w:r w:rsidRPr="005A3564">
        <w:rPr>
          <w:i/>
          <w:sz w:val="22"/>
          <w:szCs w:val="22"/>
          <w:u w:val="single"/>
          <w:lang w:val="sr-Latn-ME"/>
        </w:rPr>
        <w:t>Biotransformacija</w:t>
      </w:r>
    </w:p>
    <w:p w14:paraId="1431579E" w14:textId="01715AF9" w:rsidR="00A60833" w:rsidRPr="005A3564" w:rsidRDefault="0016654B" w:rsidP="00A60833">
      <w:pPr>
        <w:jc w:val="both"/>
        <w:rPr>
          <w:sz w:val="22"/>
          <w:szCs w:val="22"/>
          <w:lang w:val="sr-Latn-ME"/>
        </w:rPr>
      </w:pPr>
      <w:r w:rsidRPr="005A3564">
        <w:rPr>
          <w:sz w:val="22"/>
          <w:szCs w:val="22"/>
          <w:lang w:val="sr-Latn-ME"/>
        </w:rPr>
        <w:t>Pantoprazol</w:t>
      </w:r>
      <w:r w:rsidR="00A60833" w:rsidRPr="005A3564">
        <w:rPr>
          <w:sz w:val="22"/>
          <w:szCs w:val="22"/>
          <w:lang w:val="sr-Latn-ME"/>
        </w:rPr>
        <w:t xml:space="preserve"> se gotovo u potpunosti metaboliše u jetri. Glavni metabolički put je demetilacija izoenzimom CYP2C19 sa posljedičnom konjugacijom sulfatima. Drugi metabolički put uključuje oksidaciju izoenzimom CYP3A4.</w:t>
      </w:r>
    </w:p>
    <w:p w14:paraId="43FB0CCF" w14:textId="77777777" w:rsidR="00A60833" w:rsidRPr="005A3564" w:rsidRDefault="00A60833" w:rsidP="00A60833">
      <w:pPr>
        <w:jc w:val="both"/>
        <w:rPr>
          <w:i/>
          <w:sz w:val="22"/>
          <w:szCs w:val="22"/>
          <w:u w:val="single"/>
          <w:lang w:val="sr-Latn-ME"/>
        </w:rPr>
      </w:pPr>
    </w:p>
    <w:p w14:paraId="112734D3" w14:textId="77777777" w:rsidR="00A60833" w:rsidRPr="005A3564" w:rsidRDefault="00A60833" w:rsidP="00A60833">
      <w:pPr>
        <w:jc w:val="both"/>
        <w:rPr>
          <w:sz w:val="22"/>
          <w:szCs w:val="22"/>
          <w:lang w:val="sr-Latn-ME"/>
        </w:rPr>
      </w:pPr>
      <w:r w:rsidRPr="005A3564">
        <w:rPr>
          <w:i/>
          <w:sz w:val="22"/>
          <w:szCs w:val="22"/>
          <w:u w:val="single"/>
          <w:lang w:val="sr-Latn-ME"/>
        </w:rPr>
        <w:t>Eliminacija</w:t>
      </w:r>
    </w:p>
    <w:p w14:paraId="4848D70C" w14:textId="77777777" w:rsidR="00DD5CA0" w:rsidRPr="005A3564" w:rsidRDefault="00A60833" w:rsidP="00A60833">
      <w:pPr>
        <w:jc w:val="both"/>
        <w:rPr>
          <w:sz w:val="22"/>
          <w:szCs w:val="22"/>
          <w:lang w:val="sr-Latn-ME"/>
        </w:rPr>
      </w:pPr>
      <w:r w:rsidRPr="005A3564">
        <w:rPr>
          <w:sz w:val="22"/>
          <w:szCs w:val="22"/>
          <w:lang w:val="sr-Latn-ME"/>
        </w:rPr>
        <w:t xml:space="preserve">Terminalno poluvrijeme eliminacije je oko 1 sat a klirens je oko 0,1 l/h/kg. Bilo je nekoliko slučajeva zakašnjele eliminacije. </w:t>
      </w:r>
    </w:p>
    <w:p w14:paraId="28222B0A" w14:textId="0984D76B" w:rsidR="00A60833" w:rsidRPr="005A3564" w:rsidRDefault="00A60833" w:rsidP="00A60833">
      <w:pPr>
        <w:jc w:val="both"/>
        <w:rPr>
          <w:sz w:val="22"/>
          <w:szCs w:val="22"/>
          <w:lang w:val="sr-Latn-ME"/>
        </w:rPr>
      </w:pPr>
      <w:r w:rsidRPr="005A3564">
        <w:rPr>
          <w:sz w:val="22"/>
          <w:szCs w:val="22"/>
          <w:lang w:val="sr-Latn-ME"/>
        </w:rPr>
        <w:t>Zbog specifičnog vezivanja pantoprazola za protonsku pumpu parijetalnih ćelija, poluvrijeme eliminacije nije u korelaciji sa mnogo dužim trajanjem aktivnosti (inhibicija sekrecije kiseline).</w:t>
      </w:r>
    </w:p>
    <w:p w14:paraId="619131F7" w14:textId="77777777" w:rsidR="00A60833" w:rsidRPr="005A3564" w:rsidRDefault="00A60833" w:rsidP="00A60833">
      <w:pPr>
        <w:jc w:val="both"/>
        <w:rPr>
          <w:sz w:val="22"/>
          <w:szCs w:val="22"/>
          <w:lang w:val="sr-Latn-ME"/>
        </w:rPr>
      </w:pPr>
      <w:r w:rsidRPr="005A3564">
        <w:rPr>
          <w:sz w:val="22"/>
          <w:szCs w:val="22"/>
          <w:lang w:val="sr-Latn-ME"/>
        </w:rPr>
        <w:t>Za metabolite pantoprazola eliminacija preko bubrega predstavlja glavni put ekskrecije (oko 80%), ostalo se izlučuje fecesom. Glavni metabolit i u serumu i u mokraći je desmetilpantoprazol koji je konjugovan sa sulfatom. Poluvrijeme eliminacije za glavni metabolit (oko 1,5 sat) nije mnogo duže nego za pantoprazol.</w:t>
      </w:r>
    </w:p>
    <w:p w14:paraId="1A36B43D" w14:textId="77777777" w:rsidR="00A60833" w:rsidRPr="005A3564" w:rsidRDefault="00A60833" w:rsidP="00A60833">
      <w:pPr>
        <w:jc w:val="both"/>
        <w:rPr>
          <w:sz w:val="22"/>
          <w:szCs w:val="22"/>
          <w:lang w:val="sr-Latn-ME"/>
        </w:rPr>
      </w:pPr>
    </w:p>
    <w:p w14:paraId="3FAD4407" w14:textId="77777777" w:rsidR="00A60833" w:rsidRPr="005A3564" w:rsidRDefault="00A60833" w:rsidP="00A60833">
      <w:pPr>
        <w:jc w:val="both"/>
        <w:rPr>
          <w:i/>
          <w:sz w:val="22"/>
          <w:szCs w:val="22"/>
          <w:lang w:val="sr-Latn-ME"/>
        </w:rPr>
      </w:pPr>
      <w:r w:rsidRPr="005A3564">
        <w:rPr>
          <w:i/>
          <w:sz w:val="22"/>
          <w:szCs w:val="22"/>
          <w:lang w:val="sr-Latn-ME"/>
        </w:rPr>
        <w:t>Farmakokinetika u posebnim grupama pacijenata</w:t>
      </w:r>
    </w:p>
    <w:p w14:paraId="75179F66" w14:textId="77777777" w:rsidR="00A60833" w:rsidRPr="005A3564" w:rsidRDefault="00A60833" w:rsidP="00A60833">
      <w:pPr>
        <w:jc w:val="both"/>
        <w:rPr>
          <w:i/>
          <w:sz w:val="22"/>
          <w:szCs w:val="22"/>
          <w:lang w:val="sr-Latn-ME"/>
        </w:rPr>
      </w:pPr>
    </w:p>
    <w:p w14:paraId="264B0A9C" w14:textId="74BBAAB1" w:rsidR="00A60833" w:rsidRPr="005A3564" w:rsidRDefault="00DB3B4C" w:rsidP="00A60833">
      <w:pPr>
        <w:pStyle w:val="BodyText2"/>
        <w:jc w:val="left"/>
        <w:rPr>
          <w:i/>
          <w:noProof/>
          <w:szCs w:val="22"/>
        </w:rPr>
      </w:pPr>
      <w:r w:rsidRPr="005A3564">
        <w:rPr>
          <w:i/>
          <w:noProof/>
          <w:szCs w:val="22"/>
        </w:rPr>
        <w:t xml:space="preserve">Spori </w:t>
      </w:r>
      <w:r w:rsidR="00A60833" w:rsidRPr="005A3564">
        <w:rPr>
          <w:i/>
          <w:noProof/>
          <w:szCs w:val="22"/>
        </w:rPr>
        <w:t>metabolizeri</w:t>
      </w:r>
    </w:p>
    <w:p w14:paraId="27E2D492" w14:textId="302DF29A" w:rsidR="00A60833" w:rsidRPr="005A3564" w:rsidRDefault="00A60833" w:rsidP="00A60833">
      <w:pPr>
        <w:pStyle w:val="BodyText2"/>
        <w:rPr>
          <w:szCs w:val="22"/>
        </w:rPr>
      </w:pPr>
      <w:r w:rsidRPr="005A3564">
        <w:rPr>
          <w:szCs w:val="22"/>
        </w:rPr>
        <w:t>Oko približno 3% evropljana ima nedostatak funkcionalnog enzima CYP2C19 i nazivamo ih  „sporim metabolizerima“. Kod tih osoba se metabolizam pantoprazola vjerovatno odvija preko izoenzima CYP3A4. Nakon pojedinačne doze od 40 mg pantoprazola srednja vrijednosti površine ispod krive koncentracije u plazmi je bila oko 6 puta veća kod „sporih metabolizera“ nego kod osoba koje imaju funkcionalan izoenzim CYP2C19 („brzi metabolizeri“). Srednj</w:t>
      </w:r>
      <w:r w:rsidR="0016654B" w:rsidRPr="005A3564">
        <w:rPr>
          <w:szCs w:val="22"/>
        </w:rPr>
        <w:t>e</w:t>
      </w:r>
      <w:r w:rsidR="00DD5CA0" w:rsidRPr="005A3564">
        <w:rPr>
          <w:szCs w:val="22"/>
        </w:rPr>
        <w:t xml:space="preserve"> vrijednost</w:t>
      </w:r>
      <w:r w:rsidR="0016654B" w:rsidRPr="005A3564">
        <w:rPr>
          <w:szCs w:val="22"/>
        </w:rPr>
        <w:t>i</w:t>
      </w:r>
      <w:r w:rsidR="00DD5CA0" w:rsidRPr="005A3564">
        <w:rPr>
          <w:szCs w:val="22"/>
        </w:rPr>
        <w:t xml:space="preserve"> maksimalnih </w:t>
      </w:r>
      <w:r w:rsidRPr="005A3564">
        <w:rPr>
          <w:szCs w:val="22"/>
        </w:rPr>
        <w:t>koncentracij</w:t>
      </w:r>
      <w:r w:rsidR="00DD5CA0" w:rsidRPr="005A3564">
        <w:rPr>
          <w:szCs w:val="22"/>
        </w:rPr>
        <w:t>a</w:t>
      </w:r>
      <w:r w:rsidRPr="005A3564">
        <w:rPr>
          <w:szCs w:val="22"/>
        </w:rPr>
        <w:t xml:space="preserve"> u plazmi </w:t>
      </w:r>
      <w:r w:rsidR="0016654B" w:rsidRPr="005A3564">
        <w:rPr>
          <w:szCs w:val="22"/>
        </w:rPr>
        <w:t>se</w:t>
      </w:r>
      <w:r w:rsidRPr="005A3564">
        <w:rPr>
          <w:szCs w:val="22"/>
        </w:rPr>
        <w:t xml:space="preserve"> poveća</w:t>
      </w:r>
      <w:r w:rsidR="0016654B" w:rsidRPr="005A3564">
        <w:rPr>
          <w:szCs w:val="22"/>
        </w:rPr>
        <w:t>vaju</w:t>
      </w:r>
      <w:r w:rsidRPr="005A3564">
        <w:rPr>
          <w:szCs w:val="22"/>
        </w:rPr>
        <w:t xml:space="preserve"> za oko 60%. Ovi nalazi nemaju uticaj na doziranje pantoprazola.</w:t>
      </w:r>
    </w:p>
    <w:p w14:paraId="4401ACF8" w14:textId="77777777" w:rsidR="00A60833" w:rsidRPr="005A3564" w:rsidRDefault="00A60833" w:rsidP="00A60833">
      <w:pPr>
        <w:pStyle w:val="BodyText2"/>
        <w:jc w:val="left"/>
        <w:rPr>
          <w:szCs w:val="22"/>
        </w:rPr>
      </w:pPr>
    </w:p>
    <w:p w14:paraId="0F558E53" w14:textId="77777777" w:rsidR="00A60833" w:rsidRPr="005A3564" w:rsidRDefault="00A60833" w:rsidP="00A60833">
      <w:pPr>
        <w:rPr>
          <w:i/>
          <w:noProof/>
          <w:sz w:val="22"/>
          <w:szCs w:val="22"/>
          <w:lang w:val="sr-Latn-ME"/>
        </w:rPr>
      </w:pPr>
      <w:r w:rsidRPr="005A3564">
        <w:rPr>
          <w:i/>
          <w:noProof/>
          <w:sz w:val="22"/>
          <w:szCs w:val="22"/>
          <w:lang w:val="sr-Latn-ME"/>
        </w:rPr>
        <w:t>Poremećaj funkcije bubrega</w:t>
      </w:r>
    </w:p>
    <w:p w14:paraId="6041ACAA" w14:textId="77777777" w:rsidR="00A60833" w:rsidRPr="005A3564" w:rsidRDefault="00A60833" w:rsidP="00A60833">
      <w:pPr>
        <w:jc w:val="both"/>
        <w:rPr>
          <w:sz w:val="22"/>
          <w:szCs w:val="22"/>
          <w:lang w:val="sr-Latn-ME"/>
        </w:rPr>
      </w:pPr>
      <w:r w:rsidRPr="005A3564">
        <w:rPr>
          <w:sz w:val="22"/>
          <w:szCs w:val="22"/>
          <w:lang w:val="sr-Latn-ME"/>
        </w:rPr>
        <w:t>Kod primjene pantoprazola kod pacijentima sa ograničenom funkcijom bubrega (uključujući i pacijente na dijalizi) nije potrebno smanjenje doze pantoprazola. Kao i kod zdravih ispitanika, poluvrijeme eliminacije pantoprazola je kratko. Dijaliziraju se samo male količine pantoprazola. Iako je poluvrijeme eliminacije glavnog metabolita umjereno produženo (2–3 sata), izlučivanje se ipak dešava dovoljno brzo da ne dođe do akumulacije.</w:t>
      </w:r>
    </w:p>
    <w:p w14:paraId="0E049A34" w14:textId="77777777" w:rsidR="00A60833" w:rsidRPr="005A3564" w:rsidRDefault="00A60833" w:rsidP="00A60833">
      <w:pPr>
        <w:pStyle w:val="Header"/>
        <w:rPr>
          <w:i/>
          <w:sz w:val="22"/>
          <w:szCs w:val="22"/>
          <w:lang w:val="sr-Latn-ME"/>
        </w:rPr>
      </w:pPr>
      <w:r w:rsidRPr="005A3564">
        <w:rPr>
          <w:i/>
          <w:sz w:val="22"/>
          <w:szCs w:val="22"/>
          <w:lang w:val="sr-Latn-ME"/>
        </w:rPr>
        <w:lastRenderedPageBreak/>
        <w:t>Poremećaj funkcije jetre</w:t>
      </w:r>
    </w:p>
    <w:p w14:paraId="619C70AA" w14:textId="19963208" w:rsidR="00A60833" w:rsidRPr="005A3564" w:rsidRDefault="00A60833" w:rsidP="00A60833">
      <w:pPr>
        <w:jc w:val="both"/>
        <w:rPr>
          <w:sz w:val="22"/>
          <w:szCs w:val="22"/>
          <w:lang w:val="sr-Latn-ME"/>
        </w:rPr>
      </w:pPr>
      <w:r w:rsidRPr="005A3564">
        <w:rPr>
          <w:sz w:val="22"/>
          <w:szCs w:val="22"/>
          <w:lang w:val="sr-Latn-ME"/>
        </w:rPr>
        <w:t xml:space="preserve">Iako su kod pacijenata sa cirozom jetre (klase A i B prema </w:t>
      </w:r>
      <w:r w:rsidRPr="005A3564">
        <w:rPr>
          <w:i/>
          <w:iCs/>
          <w:sz w:val="22"/>
          <w:szCs w:val="22"/>
          <w:lang w:val="sr-Latn-ME"/>
        </w:rPr>
        <w:t>Childu</w:t>
      </w:r>
      <w:r w:rsidRPr="005A3564">
        <w:rPr>
          <w:sz w:val="22"/>
          <w:szCs w:val="22"/>
          <w:lang w:val="sr-Latn-ME"/>
        </w:rPr>
        <w:t>) vrijednosti poluvremena eliminacije poveća</w:t>
      </w:r>
      <w:r w:rsidR="0016654B" w:rsidRPr="005A3564">
        <w:rPr>
          <w:sz w:val="22"/>
          <w:szCs w:val="22"/>
          <w:lang w:val="sr-Latn-ME"/>
        </w:rPr>
        <w:t>ne na</w:t>
      </w:r>
      <w:r w:rsidRPr="005A3564">
        <w:rPr>
          <w:sz w:val="22"/>
          <w:szCs w:val="22"/>
          <w:lang w:val="sr-Latn-ME"/>
        </w:rPr>
        <w:t xml:space="preserve"> između 3 i 6 h, a vrijednosti površine ispod krive (PIK) povećavaju se za faktor 3-5, maksimalna koncentracija u serumu povećava se samo za faktor 1.3 u odnosu na zdrave ispitanike.</w:t>
      </w:r>
    </w:p>
    <w:p w14:paraId="499B174D" w14:textId="77777777" w:rsidR="00A60833" w:rsidRPr="005A3564" w:rsidRDefault="00A60833" w:rsidP="00A60833">
      <w:pPr>
        <w:jc w:val="both"/>
        <w:rPr>
          <w:sz w:val="22"/>
          <w:szCs w:val="22"/>
          <w:lang w:val="sr-Latn-ME"/>
        </w:rPr>
      </w:pPr>
    </w:p>
    <w:p w14:paraId="5DD9D43D" w14:textId="77777777" w:rsidR="00A60833" w:rsidRPr="005A3564" w:rsidRDefault="00A60833" w:rsidP="00A60833">
      <w:pPr>
        <w:pStyle w:val="Header"/>
        <w:rPr>
          <w:i/>
          <w:sz w:val="22"/>
          <w:szCs w:val="22"/>
          <w:lang w:val="sr-Latn-ME"/>
        </w:rPr>
      </w:pPr>
      <w:r w:rsidRPr="005A3564">
        <w:rPr>
          <w:i/>
          <w:sz w:val="22"/>
          <w:szCs w:val="22"/>
          <w:lang w:val="sr-Latn-ME"/>
        </w:rPr>
        <w:t>Starije osobe</w:t>
      </w:r>
    </w:p>
    <w:p w14:paraId="08B01E40" w14:textId="5A9E396A" w:rsidR="00A60833" w:rsidRPr="005A3564" w:rsidRDefault="00A60833" w:rsidP="00A60833">
      <w:pPr>
        <w:jc w:val="both"/>
        <w:rPr>
          <w:sz w:val="22"/>
          <w:szCs w:val="22"/>
          <w:lang w:val="sr-Latn-ME"/>
        </w:rPr>
      </w:pPr>
      <w:r w:rsidRPr="005A3564">
        <w:rPr>
          <w:sz w:val="22"/>
          <w:szCs w:val="22"/>
          <w:lang w:val="sr-Latn-ME"/>
        </w:rPr>
        <w:t>Neznatno povećanje površine ispod krive (PIK) i C</w:t>
      </w:r>
      <w:r w:rsidRPr="005A3564">
        <w:rPr>
          <w:sz w:val="22"/>
          <w:szCs w:val="22"/>
          <w:vertAlign w:val="subscript"/>
          <w:lang w:val="sr-Latn-ME"/>
        </w:rPr>
        <w:t>max</w:t>
      </w:r>
      <w:r w:rsidRPr="005A3564">
        <w:rPr>
          <w:sz w:val="22"/>
          <w:szCs w:val="22"/>
          <w:lang w:val="sr-Latn-ME"/>
        </w:rPr>
        <w:t xml:space="preserve"> do koga dolazi kod starijih </w:t>
      </w:r>
      <w:r w:rsidR="00DB3B4C" w:rsidRPr="005A3564">
        <w:rPr>
          <w:sz w:val="22"/>
          <w:szCs w:val="22"/>
          <w:lang w:val="sr-Latn-ME"/>
        </w:rPr>
        <w:t xml:space="preserve">dobrovoljaca </w:t>
      </w:r>
      <w:r w:rsidRPr="005A3564">
        <w:rPr>
          <w:sz w:val="22"/>
          <w:szCs w:val="22"/>
          <w:lang w:val="sr-Latn-ME"/>
        </w:rPr>
        <w:t>u poređenju na mlađe osobe takođe nije klinički relevantno.</w:t>
      </w:r>
    </w:p>
    <w:p w14:paraId="67853AEA" w14:textId="77777777" w:rsidR="00A60833" w:rsidRPr="005A3564" w:rsidRDefault="00A60833" w:rsidP="00A60833">
      <w:pPr>
        <w:jc w:val="both"/>
        <w:rPr>
          <w:sz w:val="22"/>
          <w:szCs w:val="22"/>
          <w:lang w:val="sr-Latn-ME"/>
        </w:rPr>
      </w:pPr>
    </w:p>
    <w:p w14:paraId="22F42B41" w14:textId="77777777" w:rsidR="00D4493E" w:rsidRPr="005A3564" w:rsidRDefault="00D4493E" w:rsidP="00D4493E">
      <w:pPr>
        <w:jc w:val="both"/>
        <w:rPr>
          <w:i/>
          <w:sz w:val="22"/>
          <w:szCs w:val="22"/>
          <w:lang w:val="sr-Latn-ME"/>
        </w:rPr>
      </w:pPr>
      <w:r w:rsidRPr="005A3564">
        <w:rPr>
          <w:i/>
          <w:sz w:val="22"/>
          <w:szCs w:val="22"/>
          <w:lang w:val="sr-Latn-ME"/>
        </w:rPr>
        <w:t>Pedijatrijska populacija</w:t>
      </w:r>
    </w:p>
    <w:p w14:paraId="2E11111F" w14:textId="77777777" w:rsidR="00DD5CA0" w:rsidRPr="005A3564" w:rsidRDefault="00DD5CA0" w:rsidP="00A60833">
      <w:pPr>
        <w:jc w:val="both"/>
        <w:rPr>
          <w:i/>
          <w:sz w:val="22"/>
          <w:szCs w:val="22"/>
          <w:u w:val="single"/>
          <w:lang w:val="sr-Latn-ME"/>
        </w:rPr>
      </w:pPr>
    </w:p>
    <w:p w14:paraId="048F620C" w14:textId="77777777" w:rsidR="00A60833" w:rsidRPr="005A3564" w:rsidRDefault="00A60833" w:rsidP="00A60833">
      <w:pPr>
        <w:jc w:val="both"/>
        <w:rPr>
          <w:sz w:val="22"/>
          <w:szCs w:val="22"/>
          <w:lang w:val="sr-Latn-ME"/>
        </w:rPr>
      </w:pPr>
      <w:r w:rsidRPr="005A3564">
        <w:rPr>
          <w:sz w:val="22"/>
          <w:szCs w:val="22"/>
          <w:lang w:val="sr-Latn-ME"/>
        </w:rPr>
        <w:t>Nakon primjene pojedinačne oralne doze od 20 ili 40 mg pantoprazola kod djece uzrasta od 5 do 16 godina, zaključeno je da su površina ispod krive (PIK) i C</w:t>
      </w:r>
      <w:r w:rsidRPr="005A3564">
        <w:rPr>
          <w:sz w:val="22"/>
          <w:szCs w:val="22"/>
          <w:vertAlign w:val="subscript"/>
          <w:lang w:val="sr-Latn-ME"/>
        </w:rPr>
        <w:t>max</w:t>
      </w:r>
      <w:r w:rsidRPr="005A3564">
        <w:rPr>
          <w:sz w:val="22"/>
          <w:szCs w:val="22"/>
          <w:lang w:val="sr-Latn-ME"/>
        </w:rPr>
        <w:t xml:space="preserve"> bile u rasponu koji odgovara vrijednostima za odrasle.</w:t>
      </w:r>
    </w:p>
    <w:p w14:paraId="0BB11AE3" w14:textId="77777777" w:rsidR="00A60833" w:rsidRPr="005A3564" w:rsidRDefault="00A60833" w:rsidP="00A60833">
      <w:pPr>
        <w:jc w:val="both"/>
        <w:rPr>
          <w:sz w:val="22"/>
          <w:szCs w:val="22"/>
          <w:lang w:val="sr-Latn-ME"/>
        </w:rPr>
      </w:pPr>
    </w:p>
    <w:p w14:paraId="2461369B" w14:textId="320A1A20" w:rsidR="00A60833" w:rsidRPr="005A3564" w:rsidRDefault="00A60833" w:rsidP="00A60833">
      <w:pPr>
        <w:jc w:val="both"/>
        <w:rPr>
          <w:sz w:val="22"/>
          <w:szCs w:val="22"/>
          <w:lang w:val="sr-Latn-ME"/>
        </w:rPr>
      </w:pPr>
      <w:r w:rsidRPr="005A3564">
        <w:rPr>
          <w:sz w:val="22"/>
          <w:szCs w:val="22"/>
          <w:lang w:val="sr-Latn-ME"/>
        </w:rPr>
        <w:t xml:space="preserve">Nakon primjene pojedinačne i.v. doze od 0.8 ili 1.6 mg/kg pantoprazola kod djece uzrasta od 2 do 16 godina nije bilo značajne veze između klirensa pantoprazola i uzrasta ili tjelesne mase djeteta. PIK i volumen distribucije bili su u skladu sa podacima dobijenim </w:t>
      </w:r>
      <w:r w:rsidR="00DB3B4C" w:rsidRPr="005A3564">
        <w:rPr>
          <w:sz w:val="22"/>
          <w:szCs w:val="22"/>
          <w:lang w:val="sr-Latn-ME"/>
        </w:rPr>
        <w:t xml:space="preserve">kod </w:t>
      </w:r>
      <w:r w:rsidRPr="005A3564">
        <w:rPr>
          <w:sz w:val="22"/>
          <w:szCs w:val="22"/>
          <w:lang w:val="sr-Latn-ME"/>
        </w:rPr>
        <w:t>odraslih</w:t>
      </w:r>
      <w:r w:rsidR="00DB3B4C" w:rsidRPr="005A3564">
        <w:rPr>
          <w:sz w:val="22"/>
          <w:szCs w:val="22"/>
          <w:lang w:val="sr-Latn-ME"/>
        </w:rPr>
        <w:t xml:space="preserve"> pacijenata</w:t>
      </w:r>
      <w:r w:rsidRPr="005A3564">
        <w:rPr>
          <w:sz w:val="22"/>
          <w:szCs w:val="22"/>
          <w:lang w:val="sr-Latn-ME"/>
        </w:rPr>
        <w:t>.</w:t>
      </w:r>
    </w:p>
    <w:p w14:paraId="40789E5E" w14:textId="77777777" w:rsidR="00A60833" w:rsidRPr="005A3564" w:rsidRDefault="00A60833" w:rsidP="00480FB1">
      <w:pPr>
        <w:tabs>
          <w:tab w:val="left" w:pos="540"/>
          <w:tab w:val="left" w:pos="569"/>
        </w:tabs>
        <w:rPr>
          <w:bCs/>
          <w:sz w:val="22"/>
          <w:szCs w:val="22"/>
          <w:lang w:val="sr-Latn-ME"/>
        </w:rPr>
      </w:pPr>
    </w:p>
    <w:p w14:paraId="6E604F9E" w14:textId="77777777" w:rsidR="0072020E"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5.3. </w:t>
      </w:r>
      <w:r w:rsidR="00480FB1" w:rsidRPr="005A3564">
        <w:rPr>
          <w:b/>
          <w:bCs/>
          <w:sz w:val="22"/>
          <w:szCs w:val="22"/>
          <w:lang w:val="sr-Latn-ME"/>
        </w:rPr>
        <w:tab/>
      </w:r>
      <w:r w:rsidRPr="005A3564">
        <w:rPr>
          <w:b/>
          <w:bCs/>
          <w:sz w:val="22"/>
          <w:szCs w:val="22"/>
          <w:lang w:val="sr-Latn-ME"/>
        </w:rPr>
        <w:t xml:space="preserve">Pretklinički podaci o bezbjednosti </w:t>
      </w:r>
    </w:p>
    <w:p w14:paraId="7FDB4792" w14:textId="77777777" w:rsidR="00836B35" w:rsidRPr="005A3564" w:rsidRDefault="00836B35" w:rsidP="00480FB1">
      <w:pPr>
        <w:tabs>
          <w:tab w:val="left" w:pos="540"/>
          <w:tab w:val="left" w:pos="569"/>
        </w:tabs>
        <w:rPr>
          <w:bCs/>
          <w:sz w:val="22"/>
          <w:szCs w:val="22"/>
          <w:lang w:val="sr-Latn-ME"/>
        </w:rPr>
      </w:pPr>
    </w:p>
    <w:p w14:paraId="1A55B0E4" w14:textId="30B3899B" w:rsidR="00A60833" w:rsidRPr="005A3564" w:rsidRDefault="00A60833" w:rsidP="00A60833">
      <w:pPr>
        <w:jc w:val="both"/>
        <w:rPr>
          <w:sz w:val="22"/>
          <w:szCs w:val="22"/>
          <w:lang w:val="sr-Latn-ME"/>
        </w:rPr>
      </w:pPr>
      <w:r w:rsidRPr="005A3564">
        <w:rPr>
          <w:sz w:val="22"/>
          <w:szCs w:val="22"/>
          <w:lang w:val="sr-Latn-ME"/>
        </w:rPr>
        <w:t>Pretklinički podaci zasnovani na konvencionalnim farmakološkim ispitivanjima bezbjednosti lijeka, toksičnosti</w:t>
      </w:r>
      <w:r w:rsidR="0016654B" w:rsidRPr="005A3564">
        <w:rPr>
          <w:sz w:val="22"/>
          <w:szCs w:val="22"/>
          <w:lang w:val="sr-Latn-ME"/>
        </w:rPr>
        <w:t xml:space="preserve"> ponovljenih doza</w:t>
      </w:r>
      <w:r w:rsidRPr="005A3564">
        <w:rPr>
          <w:sz w:val="22"/>
          <w:szCs w:val="22"/>
          <w:lang w:val="sr-Latn-ME"/>
        </w:rPr>
        <w:t xml:space="preserve"> i </w:t>
      </w:r>
      <w:r w:rsidR="00DB3B4C" w:rsidRPr="005A3564">
        <w:rPr>
          <w:sz w:val="22"/>
          <w:szCs w:val="22"/>
          <w:lang w:val="sr-Latn-ME"/>
        </w:rPr>
        <w:t xml:space="preserve">genotoksičnosti </w:t>
      </w:r>
      <w:r w:rsidRPr="005A3564">
        <w:rPr>
          <w:sz w:val="22"/>
          <w:szCs w:val="22"/>
          <w:lang w:val="sr-Latn-ME"/>
        </w:rPr>
        <w:t xml:space="preserve">ne pokazuju neku posebnu opasnost za </w:t>
      </w:r>
      <w:r w:rsidR="004522DE" w:rsidRPr="005A3564">
        <w:rPr>
          <w:sz w:val="22"/>
          <w:szCs w:val="22"/>
          <w:lang w:val="sr-Latn-ME"/>
        </w:rPr>
        <w:t>primjenu kod ljudi</w:t>
      </w:r>
      <w:r w:rsidRPr="005A3564">
        <w:rPr>
          <w:sz w:val="22"/>
          <w:szCs w:val="22"/>
          <w:lang w:val="sr-Latn-ME"/>
        </w:rPr>
        <w:t>.</w:t>
      </w:r>
    </w:p>
    <w:p w14:paraId="646FD040" w14:textId="77777777" w:rsidR="00A60833" w:rsidRPr="005A3564" w:rsidRDefault="00A60833" w:rsidP="00A60833">
      <w:pPr>
        <w:jc w:val="both"/>
        <w:rPr>
          <w:sz w:val="22"/>
          <w:szCs w:val="22"/>
          <w:lang w:val="sr-Latn-ME"/>
        </w:rPr>
      </w:pPr>
    </w:p>
    <w:p w14:paraId="309514A6" w14:textId="77777777" w:rsidR="00A60833" w:rsidRPr="005A3564" w:rsidRDefault="00A60833" w:rsidP="00A60833">
      <w:pPr>
        <w:jc w:val="both"/>
        <w:rPr>
          <w:sz w:val="22"/>
          <w:szCs w:val="22"/>
          <w:lang w:val="sr-Latn-ME"/>
        </w:rPr>
      </w:pPr>
      <w:r w:rsidRPr="005A3564">
        <w:rPr>
          <w:sz w:val="22"/>
          <w:szCs w:val="22"/>
          <w:lang w:val="sr-Latn-ME"/>
        </w:rPr>
        <w:t>Tokom dvogodišnjeg ispitivanja kancerogenosti na pacovima (što kod pacova porazumijeva doživotnu primjenu) pronađene su neuroendokrine neoplazme. Uz to, u predželudačnom dijelu kod pacova pronađeni su papilomi skvamoznih ćelija. Pažljivo je ispitan mehanizam kojim supstituisani benzimidazoli dovode do formiranja gastričnih karcinoida. Zaključeno je da se radi o sekundarnoj reakciji na znatno povišen nivo gastrina u serumu pacova tokom hroničnog tretmana visokim dozama.</w:t>
      </w:r>
    </w:p>
    <w:p w14:paraId="6245DF46" w14:textId="77777777" w:rsidR="00A60833" w:rsidRPr="005A3564" w:rsidRDefault="00A60833" w:rsidP="00A60833">
      <w:pPr>
        <w:jc w:val="both"/>
        <w:rPr>
          <w:sz w:val="22"/>
          <w:szCs w:val="22"/>
          <w:lang w:val="sr-Latn-ME"/>
        </w:rPr>
      </w:pPr>
    </w:p>
    <w:p w14:paraId="2D935866" w14:textId="77777777" w:rsidR="00A60833" w:rsidRPr="005A3564" w:rsidRDefault="00A60833" w:rsidP="00A60833">
      <w:pPr>
        <w:jc w:val="both"/>
        <w:rPr>
          <w:sz w:val="22"/>
          <w:szCs w:val="22"/>
          <w:lang w:val="sr-Latn-ME"/>
        </w:rPr>
      </w:pPr>
      <w:r w:rsidRPr="005A3564">
        <w:rPr>
          <w:sz w:val="22"/>
          <w:szCs w:val="22"/>
          <w:lang w:val="sr-Latn-ME"/>
        </w:rPr>
        <w:t>Tokom dvogodišnjeg ispitivanja na glodarima zapažen je povećan broj tumora jetre kod pacova i ženki miševa, što se pripisuje intenzivnom metabolizmu pantoprazola u jetri.</w:t>
      </w:r>
    </w:p>
    <w:p w14:paraId="08B2FDFA" w14:textId="77777777" w:rsidR="00A60833" w:rsidRPr="005A3564" w:rsidRDefault="00A60833" w:rsidP="00A60833">
      <w:pPr>
        <w:jc w:val="both"/>
        <w:rPr>
          <w:sz w:val="22"/>
          <w:szCs w:val="22"/>
          <w:lang w:val="sr-Latn-ME"/>
        </w:rPr>
      </w:pPr>
    </w:p>
    <w:p w14:paraId="5F486BE6" w14:textId="11A50AE1" w:rsidR="00DD5CA0" w:rsidRPr="005A3564" w:rsidRDefault="00A60833" w:rsidP="00A60833">
      <w:pPr>
        <w:jc w:val="both"/>
        <w:rPr>
          <w:sz w:val="22"/>
          <w:szCs w:val="22"/>
          <w:lang w:val="sr-Latn-ME"/>
        </w:rPr>
      </w:pPr>
      <w:r w:rsidRPr="005A3564">
        <w:rPr>
          <w:sz w:val="22"/>
          <w:szCs w:val="22"/>
          <w:lang w:val="sr-Latn-ME"/>
        </w:rPr>
        <w:t>Blag porast neoplastičnih promjena tireoidne žl</w:t>
      </w:r>
      <w:r w:rsidR="0016654B" w:rsidRPr="005A3564">
        <w:rPr>
          <w:sz w:val="22"/>
          <w:szCs w:val="22"/>
          <w:lang w:val="sr-Latn-ME"/>
        </w:rPr>
        <w:t>ij</w:t>
      </w:r>
      <w:r w:rsidRPr="005A3564">
        <w:rPr>
          <w:sz w:val="22"/>
          <w:szCs w:val="22"/>
          <w:lang w:val="sr-Latn-ME"/>
        </w:rPr>
        <w:t xml:space="preserve">ezde uočen je u dvogodišnjoj studiji kod grupe pacova koji su primali najveće doze (200 mg/kg). </w:t>
      </w:r>
    </w:p>
    <w:p w14:paraId="55C606C8" w14:textId="027BB7D7" w:rsidR="00A60833" w:rsidRPr="005A3564" w:rsidRDefault="00A60833" w:rsidP="00A60833">
      <w:pPr>
        <w:jc w:val="both"/>
        <w:rPr>
          <w:sz w:val="22"/>
          <w:szCs w:val="22"/>
          <w:lang w:val="sr-Latn-ME"/>
        </w:rPr>
      </w:pPr>
      <w:r w:rsidRPr="005A3564">
        <w:rPr>
          <w:sz w:val="22"/>
          <w:szCs w:val="22"/>
          <w:lang w:val="sr-Latn-ME"/>
        </w:rPr>
        <w:t>Pojava ovih neoplazmi se povezuje sa promjenama u razgradnji tiroksina u jetri, pod dejstvom pantoprazola. Kako su kod ljudi terapijske doze niske, na tireoidnim žlijezdama se ne očekuju neželjena dejstva.</w:t>
      </w:r>
    </w:p>
    <w:p w14:paraId="28FF11E1" w14:textId="77777777" w:rsidR="00A60833" w:rsidRPr="005A3564" w:rsidRDefault="00A60833" w:rsidP="00A60833">
      <w:pPr>
        <w:jc w:val="both"/>
        <w:rPr>
          <w:sz w:val="22"/>
          <w:szCs w:val="22"/>
          <w:lang w:val="sr-Latn-ME"/>
        </w:rPr>
      </w:pPr>
    </w:p>
    <w:p w14:paraId="12FAAA3A" w14:textId="7F0DFD56" w:rsidR="00A60833" w:rsidRPr="005A3564" w:rsidRDefault="004A2A7B" w:rsidP="00A60833">
      <w:pPr>
        <w:jc w:val="both"/>
        <w:rPr>
          <w:noProof/>
          <w:sz w:val="22"/>
          <w:szCs w:val="22"/>
          <w:lang w:val="sr-Latn-ME"/>
        </w:rPr>
      </w:pPr>
      <w:bookmarkStart w:id="2" w:name="_Hlk23426150"/>
      <w:r w:rsidRPr="005A3564">
        <w:rPr>
          <w:noProof/>
          <w:sz w:val="22"/>
          <w:szCs w:val="22"/>
          <w:lang w:val="sr-Latn-ME"/>
        </w:rPr>
        <w:t>U peri-postnatalnom reporoduktivnom istraživanju na pacovima dizajniranom da proc</w:t>
      </w:r>
      <w:r w:rsidR="00367B8C" w:rsidRPr="005A3564">
        <w:rPr>
          <w:noProof/>
          <w:sz w:val="22"/>
          <w:szCs w:val="22"/>
          <w:lang w:val="sr-Latn-ME"/>
        </w:rPr>
        <w:t>i</w:t>
      </w:r>
      <w:r w:rsidR="00524B62" w:rsidRPr="005A3564">
        <w:rPr>
          <w:noProof/>
          <w:sz w:val="22"/>
          <w:szCs w:val="22"/>
          <w:lang w:val="sr-Latn-ME"/>
        </w:rPr>
        <w:t>j</w:t>
      </w:r>
      <w:r w:rsidRPr="005A3564">
        <w:rPr>
          <w:noProof/>
          <w:sz w:val="22"/>
          <w:szCs w:val="22"/>
          <w:lang w:val="sr-Latn-ME"/>
        </w:rPr>
        <w:t>eni razvoj kosti, znaci toksičnosti mladunaca (mortalitet, smanjenja srednja vr</w:t>
      </w:r>
      <w:r w:rsidR="00367B8C" w:rsidRPr="005A3564">
        <w:rPr>
          <w:noProof/>
          <w:sz w:val="22"/>
          <w:szCs w:val="22"/>
          <w:lang w:val="sr-Latn-ME"/>
        </w:rPr>
        <w:t>ij</w:t>
      </w:r>
      <w:r w:rsidRPr="005A3564">
        <w:rPr>
          <w:noProof/>
          <w:sz w:val="22"/>
          <w:szCs w:val="22"/>
          <w:lang w:val="sr-Latn-ME"/>
        </w:rPr>
        <w:t>ednost t</w:t>
      </w:r>
      <w:r w:rsidR="00367B8C" w:rsidRPr="005A3564">
        <w:rPr>
          <w:noProof/>
          <w:sz w:val="22"/>
          <w:szCs w:val="22"/>
          <w:lang w:val="sr-Latn-ME"/>
        </w:rPr>
        <w:t>j</w:t>
      </w:r>
      <w:r w:rsidRPr="005A3564">
        <w:rPr>
          <w:noProof/>
          <w:sz w:val="22"/>
          <w:szCs w:val="22"/>
          <w:lang w:val="sr-Latn-ME"/>
        </w:rPr>
        <w:t>elesne težine, smanjena srednja vr</w:t>
      </w:r>
      <w:r w:rsidR="00367B8C" w:rsidRPr="005A3564">
        <w:rPr>
          <w:noProof/>
          <w:sz w:val="22"/>
          <w:szCs w:val="22"/>
          <w:lang w:val="sr-Latn-ME"/>
        </w:rPr>
        <w:t>ij</w:t>
      </w:r>
      <w:r w:rsidRPr="005A3564">
        <w:rPr>
          <w:noProof/>
          <w:sz w:val="22"/>
          <w:szCs w:val="22"/>
          <w:lang w:val="sr-Latn-ME"/>
        </w:rPr>
        <w:t>ednost dobijanja na t</w:t>
      </w:r>
      <w:r w:rsidR="00367B8C" w:rsidRPr="005A3564">
        <w:rPr>
          <w:noProof/>
          <w:sz w:val="22"/>
          <w:szCs w:val="22"/>
          <w:lang w:val="sr-Latn-ME"/>
        </w:rPr>
        <w:t>j</w:t>
      </w:r>
      <w:r w:rsidRPr="005A3564">
        <w:rPr>
          <w:noProof/>
          <w:sz w:val="22"/>
          <w:szCs w:val="22"/>
          <w:lang w:val="sr-Latn-ME"/>
        </w:rPr>
        <w:t xml:space="preserve">elesnoj </w:t>
      </w:r>
      <w:r w:rsidR="0016654B" w:rsidRPr="005A3564">
        <w:rPr>
          <w:noProof/>
          <w:sz w:val="22"/>
          <w:szCs w:val="22"/>
          <w:lang w:val="sr-Latn-ME"/>
        </w:rPr>
        <w:t xml:space="preserve">masi </w:t>
      </w:r>
      <w:r w:rsidRPr="005A3564">
        <w:rPr>
          <w:noProof/>
          <w:sz w:val="22"/>
          <w:szCs w:val="22"/>
          <w:lang w:val="sr-Latn-ME"/>
        </w:rPr>
        <w:t>i smanjen rast kosti) su prim</w:t>
      </w:r>
      <w:r w:rsidR="00524B62" w:rsidRPr="005A3564">
        <w:rPr>
          <w:noProof/>
          <w:sz w:val="22"/>
          <w:szCs w:val="22"/>
          <w:lang w:val="sr-Latn-ME"/>
        </w:rPr>
        <w:t>ij</w:t>
      </w:r>
      <w:r w:rsidRPr="005A3564">
        <w:rPr>
          <w:noProof/>
          <w:sz w:val="22"/>
          <w:szCs w:val="22"/>
          <w:lang w:val="sr-Latn-ME"/>
        </w:rPr>
        <w:t xml:space="preserve">ećeni pri izloženosti (Cmax) približno 2x </w:t>
      </w:r>
      <w:r w:rsidR="00852EFE" w:rsidRPr="005A3564">
        <w:rPr>
          <w:noProof/>
          <w:sz w:val="22"/>
          <w:szCs w:val="22"/>
          <w:lang w:val="sr-Latn-ME"/>
        </w:rPr>
        <w:t xml:space="preserve">većoj od </w:t>
      </w:r>
      <w:r w:rsidRPr="005A3564">
        <w:rPr>
          <w:noProof/>
          <w:sz w:val="22"/>
          <w:szCs w:val="22"/>
          <w:lang w:val="sr-Latn-ME"/>
        </w:rPr>
        <w:t>izloženosti kod ljudi tokom kliničke prim</w:t>
      </w:r>
      <w:r w:rsidR="00852EFE" w:rsidRPr="005A3564">
        <w:rPr>
          <w:noProof/>
          <w:sz w:val="22"/>
          <w:szCs w:val="22"/>
          <w:lang w:val="sr-Latn-ME"/>
        </w:rPr>
        <w:t>j</w:t>
      </w:r>
      <w:r w:rsidRPr="005A3564">
        <w:rPr>
          <w:noProof/>
          <w:sz w:val="22"/>
          <w:szCs w:val="22"/>
          <w:lang w:val="sr-Latn-ME"/>
        </w:rPr>
        <w:t>ene. Do kraja faze oporavka, parametri kosti su bili slični u svim grupama i trend t</w:t>
      </w:r>
      <w:r w:rsidR="00367B8C" w:rsidRPr="005A3564">
        <w:rPr>
          <w:noProof/>
          <w:sz w:val="22"/>
          <w:szCs w:val="22"/>
          <w:lang w:val="sr-Latn-ME"/>
        </w:rPr>
        <w:t>j</w:t>
      </w:r>
      <w:r w:rsidRPr="005A3564">
        <w:rPr>
          <w:noProof/>
          <w:sz w:val="22"/>
          <w:szCs w:val="22"/>
          <w:lang w:val="sr-Latn-ME"/>
        </w:rPr>
        <w:t xml:space="preserve">elesnih </w:t>
      </w:r>
      <w:r w:rsidR="0016654B" w:rsidRPr="005A3564">
        <w:rPr>
          <w:noProof/>
          <w:sz w:val="22"/>
          <w:szCs w:val="22"/>
          <w:lang w:val="sr-Latn-ME"/>
        </w:rPr>
        <w:t>mas</w:t>
      </w:r>
      <w:r w:rsidRPr="005A3564">
        <w:rPr>
          <w:noProof/>
          <w:sz w:val="22"/>
          <w:szCs w:val="22"/>
          <w:lang w:val="sr-Latn-ME"/>
        </w:rPr>
        <w:t>a se kretao ka reverzibilnosti nakon perioda oporavka bez prim</w:t>
      </w:r>
      <w:r w:rsidR="00367B8C" w:rsidRPr="005A3564">
        <w:rPr>
          <w:noProof/>
          <w:sz w:val="22"/>
          <w:szCs w:val="22"/>
          <w:lang w:val="sr-Latn-ME"/>
        </w:rPr>
        <w:t>j</w:t>
      </w:r>
      <w:r w:rsidRPr="005A3564">
        <w:rPr>
          <w:noProof/>
          <w:sz w:val="22"/>
          <w:szCs w:val="22"/>
          <w:lang w:val="sr-Latn-ME"/>
        </w:rPr>
        <w:t>ene l</w:t>
      </w:r>
      <w:r w:rsidR="00367B8C" w:rsidRPr="005A3564">
        <w:rPr>
          <w:noProof/>
          <w:sz w:val="22"/>
          <w:szCs w:val="22"/>
          <w:lang w:val="sr-Latn-ME"/>
        </w:rPr>
        <w:t>ij</w:t>
      </w:r>
      <w:r w:rsidRPr="005A3564">
        <w:rPr>
          <w:noProof/>
          <w:sz w:val="22"/>
          <w:szCs w:val="22"/>
          <w:lang w:val="sr-Latn-ME"/>
        </w:rPr>
        <w:t xml:space="preserve">eka. Jedino je prijavljivan povećan mortalitet kod </w:t>
      </w:r>
      <w:r w:rsidR="00852EFE" w:rsidRPr="005A3564">
        <w:rPr>
          <w:noProof/>
          <w:sz w:val="22"/>
          <w:szCs w:val="22"/>
          <w:lang w:val="sr-Latn-ME"/>
        </w:rPr>
        <w:t>mladunaca pacova u periodu prije prestanka sisanja (do 21. dana) što je procijenj</w:t>
      </w:r>
      <w:r w:rsidR="00DB3B4C" w:rsidRPr="005A3564">
        <w:rPr>
          <w:noProof/>
          <w:sz w:val="22"/>
          <w:szCs w:val="22"/>
          <w:lang w:val="sr-Latn-ME"/>
        </w:rPr>
        <w:t>eno da odgovara uzrastu djece do</w:t>
      </w:r>
      <w:r w:rsidR="00852EFE" w:rsidRPr="005A3564">
        <w:rPr>
          <w:noProof/>
          <w:sz w:val="22"/>
          <w:szCs w:val="22"/>
          <w:lang w:val="sr-Latn-ME"/>
        </w:rPr>
        <w:t xml:space="preserve"> 2 godine</w:t>
      </w:r>
      <w:r w:rsidRPr="005A3564">
        <w:rPr>
          <w:noProof/>
          <w:sz w:val="22"/>
          <w:szCs w:val="22"/>
          <w:lang w:val="sr-Latn-ME"/>
        </w:rPr>
        <w:t>. Značaj ovog otkrića za pedijatrijsku populaciju je nejasan. Prethodno peri-postnatalno istraživanje kod pacova pri prim</w:t>
      </w:r>
      <w:r w:rsidR="00367B8C" w:rsidRPr="005A3564">
        <w:rPr>
          <w:noProof/>
          <w:sz w:val="22"/>
          <w:szCs w:val="22"/>
          <w:lang w:val="sr-Latn-ME"/>
        </w:rPr>
        <w:t>j</w:t>
      </w:r>
      <w:r w:rsidRPr="005A3564">
        <w:rPr>
          <w:noProof/>
          <w:sz w:val="22"/>
          <w:szCs w:val="22"/>
          <w:lang w:val="sr-Latn-ME"/>
        </w:rPr>
        <w:t>eni blago nižih doza od 3mg/kg, nije pokazalo pojavu neželjenih reakcija, u poređenju sa prim</w:t>
      </w:r>
      <w:r w:rsidR="00367B8C" w:rsidRPr="005A3564">
        <w:rPr>
          <w:noProof/>
          <w:sz w:val="22"/>
          <w:szCs w:val="22"/>
          <w:lang w:val="sr-Latn-ME"/>
        </w:rPr>
        <w:t>j</w:t>
      </w:r>
      <w:r w:rsidRPr="005A3564">
        <w:rPr>
          <w:noProof/>
          <w:sz w:val="22"/>
          <w:szCs w:val="22"/>
          <w:lang w:val="sr-Latn-ME"/>
        </w:rPr>
        <w:t xml:space="preserve">enom doze manje od 5mg/kg u ovom istraživanju. </w:t>
      </w:r>
      <w:bookmarkEnd w:id="2"/>
    </w:p>
    <w:p w14:paraId="6E471F45" w14:textId="77777777" w:rsidR="00367B8C" w:rsidRPr="005A3564" w:rsidRDefault="00367B8C" w:rsidP="00A60833">
      <w:pPr>
        <w:jc w:val="both"/>
        <w:rPr>
          <w:sz w:val="22"/>
          <w:szCs w:val="22"/>
          <w:lang w:val="sr-Latn-ME"/>
        </w:rPr>
      </w:pPr>
    </w:p>
    <w:p w14:paraId="35612520" w14:textId="77777777" w:rsidR="00A60833" w:rsidRPr="005A3564" w:rsidRDefault="00A60833" w:rsidP="00A60833">
      <w:pPr>
        <w:jc w:val="both"/>
        <w:rPr>
          <w:sz w:val="22"/>
          <w:szCs w:val="22"/>
          <w:lang w:val="sr-Latn-ME"/>
        </w:rPr>
      </w:pPr>
      <w:r w:rsidRPr="005A3564">
        <w:rPr>
          <w:sz w:val="22"/>
          <w:szCs w:val="22"/>
          <w:lang w:val="sr-Latn-ME"/>
        </w:rPr>
        <w:t>Istraživanja nijesu otkrila smanjenje fertiliteta ili teratogene efekte.</w:t>
      </w:r>
    </w:p>
    <w:p w14:paraId="6AD9FCFC" w14:textId="77777777" w:rsidR="00A60833" w:rsidRPr="005A3564" w:rsidRDefault="00A60833" w:rsidP="00A60833">
      <w:pPr>
        <w:jc w:val="both"/>
        <w:rPr>
          <w:sz w:val="22"/>
          <w:szCs w:val="22"/>
          <w:lang w:val="sr-Latn-ME"/>
        </w:rPr>
      </w:pPr>
      <w:r w:rsidRPr="005A3564">
        <w:rPr>
          <w:sz w:val="22"/>
          <w:szCs w:val="22"/>
          <w:lang w:val="sr-Latn-ME"/>
        </w:rPr>
        <w:t>Prolazak kroz placentu je istraživan kod pacova i otkriveno je da se povećava sa napredovanjem gestacije. Posljedica toga je povećanje koncentracije pantoprazola kod fetusa neposredno prije rođenja.</w:t>
      </w:r>
    </w:p>
    <w:p w14:paraId="47CB50DF" w14:textId="79B77335" w:rsidR="00396DFD" w:rsidRPr="005A3564" w:rsidRDefault="00396DFD" w:rsidP="00480FB1">
      <w:pPr>
        <w:tabs>
          <w:tab w:val="left" w:pos="540"/>
          <w:tab w:val="left" w:pos="569"/>
        </w:tabs>
        <w:rPr>
          <w:b/>
          <w:bCs/>
          <w:sz w:val="22"/>
          <w:szCs w:val="22"/>
          <w:lang w:val="sr-Latn-ME"/>
        </w:rPr>
      </w:pPr>
    </w:p>
    <w:p w14:paraId="0DCBA8CD" w14:textId="77777777" w:rsidR="00956EDF" w:rsidRPr="005A3564" w:rsidRDefault="00956EDF" w:rsidP="00480FB1">
      <w:pPr>
        <w:tabs>
          <w:tab w:val="left" w:pos="540"/>
          <w:tab w:val="left" w:pos="569"/>
        </w:tabs>
        <w:rPr>
          <w:b/>
          <w:bCs/>
          <w:sz w:val="22"/>
          <w:szCs w:val="22"/>
          <w:lang w:val="sr-Latn-ME"/>
        </w:rPr>
      </w:pPr>
    </w:p>
    <w:p w14:paraId="2C3806B2" w14:textId="77777777" w:rsidR="00524B62" w:rsidRPr="005A3564" w:rsidRDefault="00524B62" w:rsidP="00480FB1">
      <w:pPr>
        <w:tabs>
          <w:tab w:val="left" w:pos="540"/>
          <w:tab w:val="left" w:pos="569"/>
        </w:tabs>
        <w:rPr>
          <w:b/>
          <w:bCs/>
          <w:sz w:val="22"/>
          <w:szCs w:val="22"/>
          <w:lang w:val="sr-Latn-ME"/>
        </w:rPr>
      </w:pPr>
    </w:p>
    <w:p w14:paraId="5DEA68A1" w14:textId="77777777" w:rsidR="0072020E" w:rsidRPr="005A3564" w:rsidRDefault="0072020E" w:rsidP="00480FB1">
      <w:pPr>
        <w:tabs>
          <w:tab w:val="left" w:pos="540"/>
          <w:tab w:val="left" w:pos="569"/>
        </w:tabs>
        <w:rPr>
          <w:b/>
          <w:bCs/>
          <w:sz w:val="22"/>
          <w:szCs w:val="22"/>
          <w:lang w:val="sr-Latn-ME"/>
        </w:rPr>
      </w:pPr>
      <w:r w:rsidRPr="005A3564">
        <w:rPr>
          <w:b/>
          <w:bCs/>
          <w:sz w:val="22"/>
          <w:szCs w:val="22"/>
          <w:lang w:val="sr-Latn-ME"/>
        </w:rPr>
        <w:lastRenderedPageBreak/>
        <w:t xml:space="preserve">6. </w:t>
      </w:r>
      <w:r w:rsidR="00480FB1" w:rsidRPr="005A3564">
        <w:rPr>
          <w:b/>
          <w:bCs/>
          <w:sz w:val="22"/>
          <w:szCs w:val="22"/>
          <w:lang w:val="sr-Latn-ME"/>
        </w:rPr>
        <w:tab/>
      </w:r>
      <w:r w:rsidRPr="005A3564">
        <w:rPr>
          <w:b/>
          <w:bCs/>
          <w:sz w:val="22"/>
          <w:szCs w:val="22"/>
          <w:lang w:val="sr-Latn-ME"/>
        </w:rPr>
        <w:t>FARMACEUTSKI PODACI</w:t>
      </w:r>
    </w:p>
    <w:p w14:paraId="4C6BE963" w14:textId="77777777" w:rsidR="004A2A7B" w:rsidRPr="005A3564" w:rsidRDefault="004A2A7B" w:rsidP="00480FB1">
      <w:pPr>
        <w:tabs>
          <w:tab w:val="left" w:pos="540"/>
          <w:tab w:val="left" w:pos="569"/>
        </w:tabs>
        <w:rPr>
          <w:bCs/>
          <w:sz w:val="22"/>
          <w:szCs w:val="22"/>
          <w:lang w:val="sr-Latn-ME"/>
        </w:rPr>
      </w:pPr>
    </w:p>
    <w:p w14:paraId="62E56416" w14:textId="77777777" w:rsidR="0072020E"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6.1. </w:t>
      </w:r>
      <w:r w:rsidR="00480FB1" w:rsidRPr="005A3564">
        <w:rPr>
          <w:b/>
          <w:bCs/>
          <w:sz w:val="22"/>
          <w:szCs w:val="22"/>
          <w:lang w:val="sr-Latn-ME"/>
        </w:rPr>
        <w:tab/>
      </w:r>
      <w:r w:rsidRPr="005A3564">
        <w:rPr>
          <w:b/>
          <w:bCs/>
          <w:sz w:val="22"/>
          <w:szCs w:val="22"/>
          <w:lang w:val="sr-Latn-ME"/>
        </w:rPr>
        <w:t>Lista pomoćnih supstanci</w:t>
      </w:r>
      <w:r w:rsidR="002E0135" w:rsidRPr="005A3564">
        <w:rPr>
          <w:b/>
          <w:bCs/>
          <w:sz w:val="22"/>
          <w:szCs w:val="22"/>
          <w:lang w:val="sr-Latn-ME"/>
        </w:rPr>
        <w:t xml:space="preserve"> (ekscipijenasa)</w:t>
      </w:r>
    </w:p>
    <w:p w14:paraId="153D9A21" w14:textId="77777777" w:rsidR="0072020E" w:rsidRPr="005A3564" w:rsidRDefault="0072020E" w:rsidP="00480FB1">
      <w:pPr>
        <w:tabs>
          <w:tab w:val="left" w:pos="540"/>
          <w:tab w:val="left" w:pos="569"/>
        </w:tabs>
        <w:rPr>
          <w:bCs/>
          <w:sz w:val="22"/>
          <w:szCs w:val="22"/>
          <w:lang w:val="sr-Latn-ME"/>
        </w:rPr>
      </w:pPr>
    </w:p>
    <w:p w14:paraId="774E9A4F" w14:textId="77777777" w:rsidR="004A2A7B" w:rsidRPr="005A3564" w:rsidRDefault="004A2A7B" w:rsidP="004A2A7B">
      <w:pPr>
        <w:jc w:val="both"/>
        <w:rPr>
          <w:sz w:val="22"/>
          <w:szCs w:val="22"/>
          <w:u w:val="single"/>
          <w:lang w:val="sr-Latn-ME"/>
        </w:rPr>
      </w:pPr>
      <w:r w:rsidRPr="005A3564">
        <w:rPr>
          <w:noProof/>
          <w:sz w:val="22"/>
          <w:szCs w:val="22"/>
          <w:u w:val="single"/>
          <w:lang w:val="sr-Latn-ME"/>
        </w:rPr>
        <w:t>Jezgro tablete:</w:t>
      </w:r>
    </w:p>
    <w:p w14:paraId="1D82BCFE" w14:textId="77777777" w:rsidR="004A2A7B" w:rsidRPr="005A3564" w:rsidRDefault="004A2A7B" w:rsidP="004A2A7B">
      <w:pPr>
        <w:pStyle w:val="Header"/>
        <w:tabs>
          <w:tab w:val="left" w:pos="284"/>
        </w:tabs>
        <w:rPr>
          <w:noProof/>
          <w:sz w:val="22"/>
          <w:szCs w:val="22"/>
          <w:lang w:val="sr-Latn-ME"/>
        </w:rPr>
      </w:pPr>
      <w:r w:rsidRPr="005A3564">
        <w:rPr>
          <w:noProof/>
          <w:sz w:val="22"/>
          <w:szCs w:val="22"/>
          <w:lang w:val="sr-Latn-ME"/>
        </w:rPr>
        <w:t>natrijum karbonat, bezvodni</w:t>
      </w:r>
    </w:p>
    <w:p w14:paraId="3B990C27" w14:textId="77777777" w:rsidR="004A2A7B" w:rsidRPr="005A3564" w:rsidRDefault="004A2A7B" w:rsidP="004A2A7B">
      <w:pPr>
        <w:pStyle w:val="Header"/>
        <w:tabs>
          <w:tab w:val="left" w:pos="284"/>
        </w:tabs>
        <w:rPr>
          <w:noProof/>
          <w:sz w:val="22"/>
          <w:szCs w:val="22"/>
          <w:lang w:val="sr-Latn-ME"/>
        </w:rPr>
      </w:pPr>
      <w:r w:rsidRPr="005A3564">
        <w:rPr>
          <w:noProof/>
          <w:sz w:val="22"/>
          <w:szCs w:val="22"/>
          <w:lang w:val="sr-Latn-ME"/>
        </w:rPr>
        <w:t>manitol</w:t>
      </w:r>
    </w:p>
    <w:p w14:paraId="797410A0" w14:textId="77777777" w:rsidR="004A2A7B" w:rsidRPr="005A3564" w:rsidRDefault="004A2A7B" w:rsidP="004A2A7B">
      <w:pPr>
        <w:pStyle w:val="Header"/>
        <w:tabs>
          <w:tab w:val="left" w:pos="284"/>
        </w:tabs>
        <w:rPr>
          <w:noProof/>
          <w:sz w:val="22"/>
          <w:szCs w:val="22"/>
          <w:lang w:val="sr-Latn-ME"/>
        </w:rPr>
      </w:pPr>
      <w:r w:rsidRPr="005A3564">
        <w:rPr>
          <w:noProof/>
          <w:sz w:val="22"/>
          <w:szCs w:val="22"/>
          <w:lang w:val="sr-Latn-ME"/>
        </w:rPr>
        <w:t>krospovidon</w:t>
      </w:r>
    </w:p>
    <w:p w14:paraId="74AECFDE" w14:textId="77777777" w:rsidR="004A2A7B" w:rsidRPr="005A3564" w:rsidRDefault="004A2A7B" w:rsidP="004A2A7B">
      <w:pPr>
        <w:pStyle w:val="Header"/>
        <w:tabs>
          <w:tab w:val="left" w:pos="284"/>
        </w:tabs>
        <w:rPr>
          <w:noProof/>
          <w:sz w:val="22"/>
          <w:szCs w:val="22"/>
          <w:lang w:val="sr-Latn-ME"/>
        </w:rPr>
      </w:pPr>
      <w:r w:rsidRPr="005A3564">
        <w:rPr>
          <w:noProof/>
          <w:sz w:val="22"/>
          <w:szCs w:val="22"/>
          <w:lang w:val="sr-Latn-ME"/>
        </w:rPr>
        <w:t>povidon K90</w:t>
      </w:r>
    </w:p>
    <w:p w14:paraId="716980B1" w14:textId="77777777" w:rsidR="004A2A7B" w:rsidRPr="005A3564" w:rsidRDefault="004A2A7B" w:rsidP="004A2A7B">
      <w:pPr>
        <w:pStyle w:val="Header"/>
        <w:tabs>
          <w:tab w:val="left" w:pos="284"/>
        </w:tabs>
        <w:rPr>
          <w:noProof/>
          <w:sz w:val="22"/>
          <w:szCs w:val="22"/>
          <w:lang w:val="sr-Latn-ME"/>
        </w:rPr>
      </w:pPr>
      <w:r w:rsidRPr="005A3564">
        <w:rPr>
          <w:noProof/>
          <w:sz w:val="22"/>
          <w:szCs w:val="22"/>
          <w:lang w:val="sr-Latn-ME"/>
        </w:rPr>
        <w:t>kalcijum stearat</w:t>
      </w:r>
    </w:p>
    <w:p w14:paraId="777AE8AE" w14:textId="77777777" w:rsidR="004A2A7B" w:rsidRPr="005A3564" w:rsidRDefault="004A2A7B" w:rsidP="004A2A7B">
      <w:pPr>
        <w:pStyle w:val="Header"/>
        <w:tabs>
          <w:tab w:val="left" w:pos="284"/>
        </w:tabs>
        <w:rPr>
          <w:noProof/>
          <w:sz w:val="22"/>
          <w:szCs w:val="22"/>
          <w:lang w:val="sr-Latn-ME"/>
        </w:rPr>
      </w:pPr>
    </w:p>
    <w:p w14:paraId="413D4815" w14:textId="3161AD34" w:rsidR="004A2A7B" w:rsidRPr="005A3564" w:rsidRDefault="004A2A7B" w:rsidP="004A2A7B">
      <w:pPr>
        <w:pStyle w:val="Header"/>
        <w:tabs>
          <w:tab w:val="left" w:pos="284"/>
        </w:tabs>
        <w:rPr>
          <w:noProof/>
          <w:sz w:val="22"/>
          <w:szCs w:val="22"/>
          <w:u w:val="single"/>
          <w:lang w:val="sr-Latn-ME"/>
        </w:rPr>
      </w:pPr>
      <w:r w:rsidRPr="005A3564">
        <w:rPr>
          <w:noProof/>
          <w:sz w:val="22"/>
          <w:szCs w:val="22"/>
          <w:u w:val="single"/>
          <w:lang w:val="sr-Latn-ME"/>
        </w:rPr>
        <w:t>Obloga tablete:</w:t>
      </w:r>
    </w:p>
    <w:p w14:paraId="0B3E787D" w14:textId="5DCBC525" w:rsidR="00E6236B" w:rsidRPr="005A3564" w:rsidRDefault="00E6236B" w:rsidP="004A2A7B">
      <w:pPr>
        <w:pStyle w:val="Header"/>
        <w:tabs>
          <w:tab w:val="left" w:pos="284"/>
        </w:tabs>
        <w:rPr>
          <w:noProof/>
          <w:sz w:val="22"/>
          <w:szCs w:val="22"/>
          <w:lang w:val="sr-Latn-ME"/>
        </w:rPr>
      </w:pPr>
      <w:r w:rsidRPr="005A3564">
        <w:rPr>
          <w:noProof/>
          <w:sz w:val="22"/>
          <w:szCs w:val="22"/>
          <w:lang w:val="sr-Latn-ME"/>
        </w:rPr>
        <w:t>hipromeloza 2910</w:t>
      </w:r>
    </w:p>
    <w:p w14:paraId="370794CF" w14:textId="4969B6B2" w:rsidR="00524B62" w:rsidRPr="005A3564" w:rsidRDefault="00524B62" w:rsidP="00524B62">
      <w:pPr>
        <w:autoSpaceDE w:val="0"/>
        <w:autoSpaceDN w:val="0"/>
        <w:adjustRightInd w:val="0"/>
        <w:rPr>
          <w:sz w:val="22"/>
          <w:szCs w:val="22"/>
          <w:lang w:val="sr-Latn-ME"/>
        </w:rPr>
      </w:pPr>
      <w:r w:rsidRPr="005A3564">
        <w:rPr>
          <w:sz w:val="22"/>
          <w:szCs w:val="22"/>
          <w:lang w:val="sr-Latn-ME"/>
        </w:rPr>
        <w:t>povidon K25</w:t>
      </w:r>
    </w:p>
    <w:p w14:paraId="38E49A46" w14:textId="4FE318DA" w:rsidR="00524B62" w:rsidRPr="005A3564" w:rsidRDefault="00524B62" w:rsidP="00524B62">
      <w:pPr>
        <w:autoSpaceDE w:val="0"/>
        <w:autoSpaceDN w:val="0"/>
        <w:adjustRightInd w:val="0"/>
        <w:rPr>
          <w:sz w:val="22"/>
          <w:szCs w:val="22"/>
          <w:lang w:val="sr-Latn-ME"/>
        </w:rPr>
      </w:pPr>
      <w:r w:rsidRPr="005A3564">
        <w:rPr>
          <w:sz w:val="22"/>
          <w:szCs w:val="22"/>
          <w:lang w:val="sr-Latn-ME"/>
        </w:rPr>
        <w:t>titan</w:t>
      </w:r>
      <w:r w:rsidR="00FE7365" w:rsidRPr="005A3564">
        <w:rPr>
          <w:sz w:val="22"/>
          <w:szCs w:val="22"/>
          <w:lang w:val="sr-Latn-ME"/>
        </w:rPr>
        <w:t xml:space="preserve"> </w:t>
      </w:r>
      <w:r w:rsidRPr="005A3564">
        <w:rPr>
          <w:sz w:val="22"/>
          <w:szCs w:val="22"/>
          <w:lang w:val="sr-Latn-ME"/>
        </w:rPr>
        <w:t>dioksid (E 171)</w:t>
      </w:r>
    </w:p>
    <w:p w14:paraId="34FF3770" w14:textId="4C30898E" w:rsidR="00524B62" w:rsidRPr="005A3564" w:rsidRDefault="00524B62" w:rsidP="00524B62">
      <w:pPr>
        <w:autoSpaceDE w:val="0"/>
        <w:autoSpaceDN w:val="0"/>
        <w:adjustRightInd w:val="0"/>
        <w:rPr>
          <w:sz w:val="22"/>
          <w:szCs w:val="22"/>
          <w:lang w:val="sr-Latn-ME"/>
        </w:rPr>
      </w:pPr>
      <w:r w:rsidRPr="005A3564">
        <w:rPr>
          <w:sz w:val="22"/>
          <w:szCs w:val="22"/>
          <w:lang w:val="sr-Latn-ME"/>
        </w:rPr>
        <w:t>gvožđe</w:t>
      </w:r>
      <w:r w:rsidR="00956EDF" w:rsidRPr="005A3564">
        <w:rPr>
          <w:sz w:val="22"/>
          <w:szCs w:val="22"/>
          <w:lang w:val="sr-Latn-ME"/>
        </w:rPr>
        <w:t xml:space="preserve"> </w:t>
      </w:r>
      <w:r w:rsidRPr="005A3564">
        <w:rPr>
          <w:sz w:val="22"/>
          <w:szCs w:val="22"/>
          <w:lang w:val="sr-Latn-ME"/>
        </w:rPr>
        <w:t>(III)</w:t>
      </w:r>
      <w:r w:rsidR="00956EDF" w:rsidRPr="005A3564">
        <w:rPr>
          <w:sz w:val="22"/>
          <w:szCs w:val="22"/>
          <w:lang w:val="sr-Latn-ME"/>
        </w:rPr>
        <w:t xml:space="preserve"> </w:t>
      </w:r>
      <w:r w:rsidRPr="005A3564">
        <w:rPr>
          <w:sz w:val="22"/>
          <w:szCs w:val="22"/>
          <w:lang w:val="sr-Latn-ME"/>
        </w:rPr>
        <w:t>oksid, žuti (E 172)</w:t>
      </w:r>
    </w:p>
    <w:p w14:paraId="3DFE8C85" w14:textId="3122F257" w:rsidR="00524B62" w:rsidRPr="005A3564" w:rsidRDefault="00524B62" w:rsidP="00524B62">
      <w:pPr>
        <w:autoSpaceDE w:val="0"/>
        <w:autoSpaceDN w:val="0"/>
        <w:adjustRightInd w:val="0"/>
        <w:rPr>
          <w:sz w:val="22"/>
          <w:szCs w:val="22"/>
          <w:lang w:val="sr-Latn-ME"/>
        </w:rPr>
      </w:pPr>
      <w:r w:rsidRPr="005A3564">
        <w:rPr>
          <w:sz w:val="22"/>
          <w:szCs w:val="22"/>
          <w:lang w:val="sr-Latn-ME"/>
        </w:rPr>
        <w:t>propilen</w:t>
      </w:r>
      <w:r w:rsidR="00956EDF" w:rsidRPr="005A3564">
        <w:rPr>
          <w:sz w:val="22"/>
          <w:szCs w:val="22"/>
          <w:lang w:val="sr-Latn-ME"/>
        </w:rPr>
        <w:t xml:space="preserve"> </w:t>
      </w:r>
      <w:r w:rsidRPr="005A3564">
        <w:rPr>
          <w:sz w:val="22"/>
          <w:szCs w:val="22"/>
          <w:lang w:val="sr-Latn-ME"/>
        </w:rPr>
        <w:t>glikol (E1520)</w:t>
      </w:r>
    </w:p>
    <w:p w14:paraId="4CFF1A96" w14:textId="7D19E06D" w:rsidR="00956EDF" w:rsidRPr="005A3564" w:rsidRDefault="00524B62" w:rsidP="00CD5304">
      <w:pPr>
        <w:pStyle w:val="Header"/>
        <w:tabs>
          <w:tab w:val="left" w:pos="284"/>
        </w:tabs>
        <w:jc w:val="both"/>
        <w:rPr>
          <w:sz w:val="22"/>
          <w:szCs w:val="22"/>
          <w:lang w:val="sr-Latn-ME"/>
        </w:rPr>
      </w:pPr>
      <w:r w:rsidRPr="005A3564">
        <w:rPr>
          <w:sz w:val="22"/>
          <w:szCs w:val="22"/>
          <w:lang w:val="sr-Latn-ME"/>
        </w:rPr>
        <w:t>metakrilna kiselina-etakrilat kopolimer 1:1 disperzija</w:t>
      </w:r>
      <w:r w:rsidR="00427839" w:rsidRPr="005A3564">
        <w:rPr>
          <w:sz w:val="22"/>
          <w:szCs w:val="22"/>
          <w:lang w:val="sr-Latn-ME"/>
        </w:rPr>
        <w:t xml:space="preserve"> </w:t>
      </w:r>
      <w:r w:rsidRPr="005A3564">
        <w:rPr>
          <w:sz w:val="22"/>
          <w:szCs w:val="22"/>
          <w:lang w:val="sr-Latn-ME"/>
        </w:rPr>
        <w:t>30% se sastoji od: metakrilna kiselina-etilakrilat kopolimer (1:1), polisorbat 80, natrijum</w:t>
      </w:r>
      <w:r w:rsidR="001A4C34" w:rsidRPr="005A3564">
        <w:rPr>
          <w:sz w:val="22"/>
          <w:szCs w:val="22"/>
          <w:lang w:val="sr-Latn-ME"/>
        </w:rPr>
        <w:t xml:space="preserve"> </w:t>
      </w:r>
      <w:r w:rsidRPr="005A3564">
        <w:rPr>
          <w:sz w:val="22"/>
          <w:szCs w:val="22"/>
          <w:lang w:val="sr-Latn-ME"/>
        </w:rPr>
        <w:t>laurilsulfat</w:t>
      </w:r>
      <w:r w:rsidR="00956EDF" w:rsidRPr="005A3564">
        <w:rPr>
          <w:sz w:val="22"/>
          <w:szCs w:val="22"/>
          <w:lang w:val="sr-Latn-ME"/>
        </w:rPr>
        <w:t>.</w:t>
      </w:r>
      <w:r w:rsidRPr="005A3564">
        <w:rPr>
          <w:sz w:val="22"/>
          <w:szCs w:val="22"/>
          <w:lang w:val="sr-Latn-ME"/>
        </w:rPr>
        <w:t xml:space="preserve"> </w:t>
      </w:r>
    </w:p>
    <w:p w14:paraId="76BD1638" w14:textId="64C3BF9D" w:rsidR="00524B62" w:rsidRPr="005A3564" w:rsidRDefault="00524B62" w:rsidP="00CD5304">
      <w:pPr>
        <w:pStyle w:val="Header"/>
        <w:tabs>
          <w:tab w:val="left" w:pos="284"/>
        </w:tabs>
        <w:jc w:val="both"/>
        <w:rPr>
          <w:noProof/>
          <w:sz w:val="22"/>
          <w:szCs w:val="22"/>
          <w:lang w:val="sr-Latn-ME"/>
        </w:rPr>
      </w:pPr>
      <w:r w:rsidRPr="005A3564">
        <w:rPr>
          <w:sz w:val="22"/>
          <w:szCs w:val="22"/>
          <w:lang w:val="sr-Latn-ME"/>
        </w:rPr>
        <w:t>trietil</w:t>
      </w:r>
      <w:r w:rsidR="00956EDF" w:rsidRPr="005A3564">
        <w:rPr>
          <w:sz w:val="22"/>
          <w:szCs w:val="22"/>
          <w:lang w:val="sr-Latn-ME"/>
        </w:rPr>
        <w:t xml:space="preserve"> </w:t>
      </w:r>
      <w:r w:rsidRPr="005A3564">
        <w:rPr>
          <w:sz w:val="22"/>
          <w:szCs w:val="22"/>
          <w:lang w:val="sr-Latn-ME"/>
        </w:rPr>
        <w:t>citrat</w:t>
      </w:r>
    </w:p>
    <w:p w14:paraId="5907AAD6" w14:textId="77777777" w:rsidR="004A2A7B" w:rsidRPr="005A3564" w:rsidRDefault="004A2A7B" w:rsidP="004A2A7B">
      <w:pPr>
        <w:pStyle w:val="Header"/>
        <w:tabs>
          <w:tab w:val="left" w:pos="284"/>
        </w:tabs>
        <w:rPr>
          <w:noProof/>
          <w:sz w:val="22"/>
          <w:szCs w:val="22"/>
          <w:lang w:val="sr-Latn-ME"/>
        </w:rPr>
      </w:pPr>
    </w:p>
    <w:p w14:paraId="1631B42E" w14:textId="77777777" w:rsidR="004A2A7B" w:rsidRPr="005A3564" w:rsidRDefault="004A2A7B" w:rsidP="004A2A7B">
      <w:pPr>
        <w:pStyle w:val="Header"/>
        <w:tabs>
          <w:tab w:val="left" w:pos="284"/>
        </w:tabs>
        <w:rPr>
          <w:noProof/>
          <w:sz w:val="22"/>
          <w:szCs w:val="22"/>
          <w:u w:val="single"/>
          <w:lang w:val="sr-Latn-ME"/>
        </w:rPr>
      </w:pPr>
      <w:r w:rsidRPr="005A3564">
        <w:rPr>
          <w:noProof/>
          <w:sz w:val="22"/>
          <w:szCs w:val="22"/>
          <w:u w:val="single"/>
          <w:lang w:val="sr-Latn-ME"/>
        </w:rPr>
        <w:t xml:space="preserve">Mastilo za štampu – </w:t>
      </w:r>
      <w:r w:rsidRPr="005A3564">
        <w:rPr>
          <w:i/>
          <w:noProof/>
          <w:sz w:val="22"/>
          <w:szCs w:val="22"/>
          <w:u w:val="single"/>
          <w:lang w:val="sr-Latn-ME"/>
        </w:rPr>
        <w:t>Opacode S-1-16530</w:t>
      </w:r>
      <w:r w:rsidRPr="005A3564">
        <w:rPr>
          <w:noProof/>
          <w:sz w:val="22"/>
          <w:szCs w:val="22"/>
          <w:u w:val="single"/>
          <w:lang w:val="sr-Latn-ME"/>
        </w:rPr>
        <w:t>:</w:t>
      </w:r>
    </w:p>
    <w:p w14:paraId="0BD9F36C" w14:textId="77777777" w:rsidR="004A2A7B" w:rsidRPr="005A3564" w:rsidRDefault="004A2A7B" w:rsidP="004A2A7B">
      <w:pPr>
        <w:pStyle w:val="Header"/>
        <w:tabs>
          <w:tab w:val="left" w:pos="284"/>
        </w:tabs>
        <w:rPr>
          <w:noProof/>
          <w:sz w:val="22"/>
          <w:szCs w:val="22"/>
          <w:lang w:val="sr-Latn-ME"/>
        </w:rPr>
      </w:pPr>
      <w:r w:rsidRPr="005A3564">
        <w:rPr>
          <w:noProof/>
          <w:sz w:val="22"/>
          <w:szCs w:val="22"/>
          <w:lang w:val="sr-Latn-ME"/>
        </w:rPr>
        <w:t>rastvor amonijaka, koncentrovani</w:t>
      </w:r>
    </w:p>
    <w:p w14:paraId="435C3E3E" w14:textId="77777777" w:rsidR="004A2A7B" w:rsidRPr="005A3564" w:rsidRDefault="004A2A7B" w:rsidP="004A2A7B">
      <w:pPr>
        <w:pStyle w:val="Header"/>
        <w:tabs>
          <w:tab w:val="left" w:pos="284"/>
        </w:tabs>
        <w:rPr>
          <w:noProof/>
          <w:sz w:val="22"/>
          <w:szCs w:val="22"/>
          <w:lang w:val="sr-Latn-ME"/>
        </w:rPr>
      </w:pPr>
      <w:r w:rsidRPr="005A3564">
        <w:rPr>
          <w:noProof/>
          <w:sz w:val="22"/>
          <w:szCs w:val="22"/>
          <w:lang w:val="sr-Latn-ME"/>
        </w:rPr>
        <w:t>šelak</w:t>
      </w:r>
    </w:p>
    <w:p w14:paraId="44CC995B" w14:textId="449ADA5A" w:rsidR="004A2A7B" w:rsidRPr="005A3564" w:rsidRDefault="004A2A7B" w:rsidP="004A2A7B">
      <w:pPr>
        <w:pStyle w:val="Header"/>
        <w:tabs>
          <w:tab w:val="left" w:pos="284"/>
        </w:tabs>
        <w:rPr>
          <w:noProof/>
          <w:sz w:val="22"/>
          <w:szCs w:val="22"/>
          <w:lang w:val="sr-Latn-ME"/>
        </w:rPr>
      </w:pPr>
      <w:r w:rsidRPr="005A3564">
        <w:rPr>
          <w:noProof/>
          <w:sz w:val="22"/>
          <w:szCs w:val="22"/>
          <w:lang w:val="sr-Latn-ME"/>
        </w:rPr>
        <w:t>gvožđe</w:t>
      </w:r>
      <w:r w:rsidR="00956EDF" w:rsidRPr="005A3564">
        <w:rPr>
          <w:noProof/>
          <w:sz w:val="22"/>
          <w:szCs w:val="22"/>
          <w:lang w:val="sr-Latn-ME"/>
        </w:rPr>
        <w:t xml:space="preserve"> </w:t>
      </w:r>
      <w:r w:rsidRPr="005A3564">
        <w:rPr>
          <w:noProof/>
          <w:sz w:val="22"/>
          <w:szCs w:val="22"/>
          <w:lang w:val="sr-Latn-ME"/>
        </w:rPr>
        <w:t>(III)</w:t>
      </w:r>
      <w:r w:rsidR="00956EDF" w:rsidRPr="005A3564">
        <w:rPr>
          <w:noProof/>
          <w:sz w:val="22"/>
          <w:szCs w:val="22"/>
          <w:lang w:val="sr-Latn-ME"/>
        </w:rPr>
        <w:t xml:space="preserve"> </w:t>
      </w:r>
      <w:r w:rsidRPr="005A3564">
        <w:rPr>
          <w:noProof/>
          <w:sz w:val="22"/>
          <w:szCs w:val="22"/>
          <w:lang w:val="sr-Latn-ME"/>
        </w:rPr>
        <w:t>oksid, crveni (E172)</w:t>
      </w:r>
    </w:p>
    <w:p w14:paraId="782400D0" w14:textId="03B79341" w:rsidR="004A2A7B" w:rsidRPr="005A3564" w:rsidRDefault="004A2A7B" w:rsidP="004A2A7B">
      <w:pPr>
        <w:pStyle w:val="Header"/>
        <w:tabs>
          <w:tab w:val="left" w:pos="284"/>
        </w:tabs>
        <w:rPr>
          <w:noProof/>
          <w:sz w:val="22"/>
          <w:szCs w:val="22"/>
          <w:lang w:val="sr-Latn-ME"/>
        </w:rPr>
      </w:pPr>
      <w:r w:rsidRPr="005A3564">
        <w:rPr>
          <w:noProof/>
          <w:sz w:val="22"/>
          <w:szCs w:val="22"/>
          <w:lang w:val="sr-Latn-ME"/>
        </w:rPr>
        <w:t>gvožđe</w:t>
      </w:r>
      <w:r w:rsidR="00956EDF" w:rsidRPr="005A3564">
        <w:rPr>
          <w:noProof/>
          <w:sz w:val="22"/>
          <w:szCs w:val="22"/>
          <w:lang w:val="sr-Latn-ME"/>
        </w:rPr>
        <w:t xml:space="preserve"> </w:t>
      </w:r>
      <w:r w:rsidRPr="005A3564">
        <w:rPr>
          <w:noProof/>
          <w:sz w:val="22"/>
          <w:szCs w:val="22"/>
          <w:lang w:val="sr-Latn-ME"/>
        </w:rPr>
        <w:t>(III)</w:t>
      </w:r>
      <w:r w:rsidR="00956EDF" w:rsidRPr="005A3564">
        <w:rPr>
          <w:noProof/>
          <w:sz w:val="22"/>
          <w:szCs w:val="22"/>
          <w:lang w:val="sr-Latn-ME"/>
        </w:rPr>
        <w:t xml:space="preserve"> </w:t>
      </w:r>
      <w:r w:rsidRPr="005A3564">
        <w:rPr>
          <w:noProof/>
          <w:sz w:val="22"/>
          <w:szCs w:val="22"/>
          <w:lang w:val="sr-Latn-ME"/>
        </w:rPr>
        <w:t>oksid, crni (E172)</w:t>
      </w:r>
    </w:p>
    <w:p w14:paraId="184013B7" w14:textId="65480BCE" w:rsidR="004A2A7B" w:rsidRPr="005A3564" w:rsidRDefault="004A2A7B" w:rsidP="004A2A7B">
      <w:pPr>
        <w:pStyle w:val="Header"/>
        <w:tabs>
          <w:tab w:val="left" w:pos="284"/>
        </w:tabs>
        <w:rPr>
          <w:noProof/>
          <w:sz w:val="22"/>
          <w:szCs w:val="22"/>
          <w:lang w:val="sr-Latn-ME"/>
        </w:rPr>
      </w:pPr>
      <w:r w:rsidRPr="005A3564">
        <w:rPr>
          <w:noProof/>
          <w:sz w:val="22"/>
          <w:szCs w:val="22"/>
          <w:lang w:val="sr-Latn-ME"/>
        </w:rPr>
        <w:t>gvožđe</w:t>
      </w:r>
      <w:r w:rsidR="00956EDF" w:rsidRPr="005A3564">
        <w:rPr>
          <w:noProof/>
          <w:sz w:val="22"/>
          <w:szCs w:val="22"/>
          <w:lang w:val="sr-Latn-ME"/>
        </w:rPr>
        <w:t xml:space="preserve"> </w:t>
      </w:r>
      <w:r w:rsidRPr="005A3564">
        <w:rPr>
          <w:noProof/>
          <w:sz w:val="22"/>
          <w:szCs w:val="22"/>
          <w:lang w:val="sr-Latn-ME"/>
        </w:rPr>
        <w:t>(III)</w:t>
      </w:r>
      <w:r w:rsidR="00956EDF" w:rsidRPr="005A3564">
        <w:rPr>
          <w:noProof/>
          <w:sz w:val="22"/>
          <w:szCs w:val="22"/>
          <w:lang w:val="sr-Latn-ME"/>
        </w:rPr>
        <w:t xml:space="preserve"> </w:t>
      </w:r>
      <w:r w:rsidRPr="005A3564">
        <w:rPr>
          <w:noProof/>
          <w:sz w:val="22"/>
          <w:szCs w:val="22"/>
          <w:lang w:val="sr-Latn-ME"/>
        </w:rPr>
        <w:t>oksid, žuti (E172)</w:t>
      </w:r>
    </w:p>
    <w:p w14:paraId="6D411989" w14:textId="77777777" w:rsidR="004A2A7B" w:rsidRPr="005A3564" w:rsidRDefault="004A2A7B" w:rsidP="00480FB1">
      <w:pPr>
        <w:tabs>
          <w:tab w:val="left" w:pos="540"/>
          <w:tab w:val="left" w:pos="569"/>
        </w:tabs>
        <w:rPr>
          <w:bCs/>
          <w:sz w:val="22"/>
          <w:szCs w:val="22"/>
          <w:lang w:val="sr-Latn-ME"/>
        </w:rPr>
      </w:pPr>
    </w:p>
    <w:p w14:paraId="757D969A" w14:textId="77777777" w:rsidR="0072020E"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6.2. </w:t>
      </w:r>
      <w:r w:rsidR="00480FB1" w:rsidRPr="005A3564">
        <w:rPr>
          <w:b/>
          <w:bCs/>
          <w:sz w:val="22"/>
          <w:szCs w:val="22"/>
          <w:lang w:val="sr-Latn-ME"/>
        </w:rPr>
        <w:tab/>
      </w:r>
      <w:r w:rsidRPr="005A3564">
        <w:rPr>
          <w:b/>
          <w:bCs/>
          <w:sz w:val="22"/>
          <w:szCs w:val="22"/>
          <w:lang w:val="sr-Latn-ME"/>
        </w:rPr>
        <w:t>Inkompatibilnost</w:t>
      </w:r>
      <w:r w:rsidR="002846DB" w:rsidRPr="005A3564">
        <w:rPr>
          <w:b/>
          <w:bCs/>
          <w:sz w:val="22"/>
          <w:szCs w:val="22"/>
          <w:lang w:val="sr-Latn-ME"/>
        </w:rPr>
        <w:t>i</w:t>
      </w:r>
    </w:p>
    <w:p w14:paraId="6E077945" w14:textId="77777777" w:rsidR="0072020E" w:rsidRPr="005A3564" w:rsidRDefault="0072020E" w:rsidP="00480FB1">
      <w:pPr>
        <w:tabs>
          <w:tab w:val="left" w:pos="540"/>
          <w:tab w:val="left" w:pos="569"/>
        </w:tabs>
        <w:rPr>
          <w:bCs/>
          <w:sz w:val="22"/>
          <w:szCs w:val="22"/>
          <w:lang w:val="sr-Latn-ME"/>
        </w:rPr>
      </w:pPr>
    </w:p>
    <w:p w14:paraId="2FC4387D" w14:textId="17F9BB46" w:rsidR="004A2A7B" w:rsidRPr="005A3564" w:rsidRDefault="004A2A7B" w:rsidP="004A2A7B">
      <w:pPr>
        <w:tabs>
          <w:tab w:val="left" w:pos="540"/>
          <w:tab w:val="left" w:pos="569"/>
        </w:tabs>
        <w:rPr>
          <w:bCs/>
          <w:sz w:val="22"/>
          <w:szCs w:val="22"/>
          <w:lang w:val="sr-Latn-ME"/>
        </w:rPr>
      </w:pPr>
      <w:r w:rsidRPr="005A3564">
        <w:rPr>
          <w:sz w:val="22"/>
          <w:szCs w:val="22"/>
          <w:lang w:val="sr-Latn-ME"/>
        </w:rPr>
        <w:t>Nije p</w:t>
      </w:r>
      <w:r w:rsidR="00956EDF" w:rsidRPr="005A3564">
        <w:rPr>
          <w:sz w:val="22"/>
          <w:szCs w:val="22"/>
          <w:lang w:val="sr-Latn-ME"/>
        </w:rPr>
        <w:t>rimjenljivo</w:t>
      </w:r>
      <w:r w:rsidRPr="005A3564">
        <w:rPr>
          <w:sz w:val="22"/>
          <w:szCs w:val="22"/>
          <w:lang w:val="sr-Latn-ME"/>
        </w:rPr>
        <w:t>.</w:t>
      </w:r>
    </w:p>
    <w:p w14:paraId="15B7E6F5" w14:textId="77777777" w:rsidR="004A2A7B" w:rsidRPr="005A3564" w:rsidRDefault="004A2A7B" w:rsidP="00480FB1">
      <w:pPr>
        <w:tabs>
          <w:tab w:val="left" w:pos="540"/>
          <w:tab w:val="left" w:pos="569"/>
        </w:tabs>
        <w:rPr>
          <w:bCs/>
          <w:sz w:val="22"/>
          <w:szCs w:val="22"/>
          <w:lang w:val="sr-Latn-ME"/>
        </w:rPr>
      </w:pPr>
    </w:p>
    <w:p w14:paraId="4B240CC9" w14:textId="77777777" w:rsidR="0072020E" w:rsidRPr="005A3564" w:rsidRDefault="0072020E" w:rsidP="00480FB1">
      <w:pPr>
        <w:tabs>
          <w:tab w:val="left" w:pos="540"/>
          <w:tab w:val="left" w:pos="569"/>
        </w:tabs>
        <w:rPr>
          <w:b/>
          <w:bCs/>
          <w:sz w:val="22"/>
          <w:szCs w:val="22"/>
          <w:lang w:val="sr-Latn-ME"/>
        </w:rPr>
      </w:pPr>
      <w:r w:rsidRPr="005A3564">
        <w:rPr>
          <w:b/>
          <w:bCs/>
          <w:sz w:val="22"/>
          <w:szCs w:val="22"/>
          <w:lang w:val="sr-Latn-ME"/>
        </w:rPr>
        <w:t>6.3.</w:t>
      </w:r>
      <w:r w:rsidR="00C05DF8" w:rsidRPr="005A3564">
        <w:rPr>
          <w:b/>
          <w:bCs/>
          <w:sz w:val="22"/>
          <w:szCs w:val="22"/>
          <w:lang w:val="sr-Latn-ME"/>
        </w:rPr>
        <w:t xml:space="preserve"> </w:t>
      </w:r>
      <w:r w:rsidR="00480FB1" w:rsidRPr="005A3564">
        <w:rPr>
          <w:b/>
          <w:bCs/>
          <w:sz w:val="22"/>
          <w:szCs w:val="22"/>
          <w:lang w:val="sr-Latn-ME"/>
        </w:rPr>
        <w:tab/>
      </w:r>
      <w:r w:rsidRPr="005A3564">
        <w:rPr>
          <w:b/>
          <w:bCs/>
          <w:sz w:val="22"/>
          <w:szCs w:val="22"/>
          <w:lang w:val="sr-Latn-ME"/>
        </w:rPr>
        <w:t>Rok upotrebe</w:t>
      </w:r>
    </w:p>
    <w:p w14:paraId="410B554F" w14:textId="77777777" w:rsidR="0072020E" w:rsidRPr="005A3564" w:rsidRDefault="0072020E" w:rsidP="00480FB1">
      <w:pPr>
        <w:tabs>
          <w:tab w:val="left" w:pos="540"/>
          <w:tab w:val="left" w:pos="569"/>
        </w:tabs>
        <w:rPr>
          <w:bCs/>
          <w:sz w:val="22"/>
          <w:szCs w:val="22"/>
          <w:lang w:val="sr-Latn-ME"/>
        </w:rPr>
      </w:pPr>
    </w:p>
    <w:p w14:paraId="6AD48CD1" w14:textId="77777777" w:rsidR="004A2A7B" w:rsidRPr="005A3564" w:rsidRDefault="004A2A7B" w:rsidP="004A2A7B">
      <w:pPr>
        <w:jc w:val="both"/>
        <w:rPr>
          <w:sz w:val="22"/>
          <w:szCs w:val="22"/>
          <w:lang w:val="sr-Latn-ME"/>
        </w:rPr>
      </w:pPr>
      <w:r w:rsidRPr="005A3564">
        <w:rPr>
          <w:sz w:val="22"/>
          <w:szCs w:val="22"/>
          <w:lang w:val="sr-Latn-ME"/>
        </w:rPr>
        <w:t>3 godine.</w:t>
      </w:r>
    </w:p>
    <w:p w14:paraId="772B14F3" w14:textId="77777777" w:rsidR="004A2A7B" w:rsidRPr="005A3564" w:rsidRDefault="004A2A7B" w:rsidP="00480FB1">
      <w:pPr>
        <w:tabs>
          <w:tab w:val="left" w:pos="540"/>
          <w:tab w:val="left" w:pos="569"/>
        </w:tabs>
        <w:rPr>
          <w:bCs/>
          <w:sz w:val="22"/>
          <w:szCs w:val="22"/>
          <w:lang w:val="sr-Latn-ME"/>
        </w:rPr>
      </w:pPr>
    </w:p>
    <w:p w14:paraId="4ACFA530" w14:textId="77777777" w:rsidR="0072020E"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6.4. </w:t>
      </w:r>
      <w:r w:rsidR="00480FB1" w:rsidRPr="005A3564">
        <w:rPr>
          <w:b/>
          <w:bCs/>
          <w:sz w:val="22"/>
          <w:szCs w:val="22"/>
          <w:lang w:val="sr-Latn-ME"/>
        </w:rPr>
        <w:tab/>
      </w:r>
      <w:r w:rsidRPr="005A3564">
        <w:rPr>
          <w:b/>
          <w:bCs/>
          <w:sz w:val="22"/>
          <w:szCs w:val="22"/>
          <w:lang w:val="sr-Latn-ME"/>
        </w:rPr>
        <w:t>Posebne mjere upozorenja pri čuvanju</w:t>
      </w:r>
      <w:r w:rsidR="00F8570A" w:rsidRPr="005A3564">
        <w:rPr>
          <w:b/>
          <w:bCs/>
          <w:sz w:val="22"/>
          <w:szCs w:val="22"/>
          <w:lang w:val="sr-Latn-ME"/>
        </w:rPr>
        <w:t xml:space="preserve"> lijeka</w:t>
      </w:r>
    </w:p>
    <w:p w14:paraId="1B010678" w14:textId="77777777" w:rsidR="00EC2532" w:rsidRPr="005A3564" w:rsidRDefault="00EC2532" w:rsidP="00480FB1">
      <w:pPr>
        <w:tabs>
          <w:tab w:val="left" w:pos="540"/>
          <w:tab w:val="left" w:pos="569"/>
        </w:tabs>
        <w:rPr>
          <w:bCs/>
          <w:sz w:val="22"/>
          <w:szCs w:val="22"/>
          <w:lang w:val="sr-Latn-ME"/>
        </w:rPr>
      </w:pPr>
    </w:p>
    <w:p w14:paraId="1161EFE1" w14:textId="21E8A49C" w:rsidR="004A2A7B" w:rsidRPr="005A3564" w:rsidRDefault="00524B62" w:rsidP="004A2A7B">
      <w:pPr>
        <w:jc w:val="both"/>
        <w:rPr>
          <w:sz w:val="22"/>
          <w:szCs w:val="22"/>
          <w:lang w:val="sr-Latn-ME"/>
        </w:rPr>
      </w:pPr>
      <w:r w:rsidRPr="005A3564">
        <w:rPr>
          <w:sz w:val="22"/>
          <w:szCs w:val="22"/>
          <w:lang w:val="sr-Latn-ME"/>
        </w:rPr>
        <w:t>Lijek</w:t>
      </w:r>
      <w:r w:rsidR="004A2A7B" w:rsidRPr="005A3564">
        <w:rPr>
          <w:sz w:val="22"/>
          <w:szCs w:val="22"/>
          <w:lang w:val="sr-Latn-ME"/>
        </w:rPr>
        <w:t xml:space="preserve"> ne zahtijeva posebne temperaturne uslove čuvanja.</w:t>
      </w:r>
    </w:p>
    <w:p w14:paraId="753C4CBF" w14:textId="77777777" w:rsidR="004A2A7B" w:rsidRPr="005A3564" w:rsidRDefault="004A2A7B" w:rsidP="004A2A7B">
      <w:pPr>
        <w:pStyle w:val="Header"/>
        <w:tabs>
          <w:tab w:val="left" w:pos="284"/>
        </w:tabs>
        <w:rPr>
          <w:noProof/>
          <w:sz w:val="22"/>
          <w:szCs w:val="22"/>
          <w:lang w:val="sr-Latn-ME"/>
        </w:rPr>
      </w:pPr>
      <w:r w:rsidRPr="005A3564">
        <w:rPr>
          <w:noProof/>
          <w:sz w:val="22"/>
          <w:szCs w:val="22"/>
          <w:lang w:val="sr-Latn-ME"/>
        </w:rPr>
        <w:t>Čuvati u originalnom pakovanju radi zaštite od vlage.</w:t>
      </w:r>
    </w:p>
    <w:p w14:paraId="25593C91" w14:textId="77777777" w:rsidR="004A2A7B" w:rsidRPr="005A3564" w:rsidRDefault="004A2A7B" w:rsidP="00480FB1">
      <w:pPr>
        <w:tabs>
          <w:tab w:val="left" w:pos="540"/>
          <w:tab w:val="left" w:pos="569"/>
        </w:tabs>
        <w:rPr>
          <w:bCs/>
          <w:sz w:val="22"/>
          <w:szCs w:val="22"/>
          <w:lang w:val="sr-Latn-ME"/>
        </w:rPr>
      </w:pPr>
    </w:p>
    <w:p w14:paraId="6B753FD8" w14:textId="77777777" w:rsidR="0072020E"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6.5. </w:t>
      </w:r>
      <w:r w:rsidR="00480FB1" w:rsidRPr="005A3564">
        <w:rPr>
          <w:b/>
          <w:bCs/>
          <w:sz w:val="22"/>
          <w:szCs w:val="22"/>
          <w:lang w:val="sr-Latn-ME"/>
        </w:rPr>
        <w:tab/>
      </w:r>
      <w:r w:rsidR="002846DB" w:rsidRPr="005A3564">
        <w:rPr>
          <w:b/>
          <w:bCs/>
          <w:sz w:val="22"/>
          <w:szCs w:val="22"/>
          <w:lang w:val="sr-Latn-ME"/>
        </w:rPr>
        <w:t xml:space="preserve">Vrsta i sadržaj </w:t>
      </w:r>
      <w:r w:rsidR="00F8570A" w:rsidRPr="005A3564">
        <w:rPr>
          <w:b/>
          <w:bCs/>
          <w:sz w:val="22"/>
          <w:szCs w:val="22"/>
          <w:lang w:val="sr-Latn-ME"/>
        </w:rPr>
        <w:t>pakovanja</w:t>
      </w:r>
      <w:r w:rsidR="00C06864" w:rsidRPr="005A3564">
        <w:rPr>
          <w:b/>
          <w:bCs/>
          <w:sz w:val="22"/>
          <w:szCs w:val="22"/>
          <w:lang w:val="sr-Latn-ME"/>
        </w:rPr>
        <w:t xml:space="preserve"> </w:t>
      </w:r>
    </w:p>
    <w:p w14:paraId="0C1F3204" w14:textId="77777777" w:rsidR="0072020E" w:rsidRPr="005A3564" w:rsidRDefault="0072020E" w:rsidP="00480FB1">
      <w:pPr>
        <w:tabs>
          <w:tab w:val="left" w:pos="540"/>
          <w:tab w:val="left" w:pos="569"/>
        </w:tabs>
        <w:rPr>
          <w:bCs/>
          <w:sz w:val="22"/>
          <w:szCs w:val="22"/>
          <w:lang w:val="sr-Latn-ME"/>
        </w:rPr>
      </w:pPr>
    </w:p>
    <w:p w14:paraId="114B8A9A" w14:textId="77777777" w:rsidR="00524B62" w:rsidRPr="005A3564" w:rsidRDefault="00524B62" w:rsidP="00CD5304">
      <w:pPr>
        <w:tabs>
          <w:tab w:val="left" w:pos="540"/>
          <w:tab w:val="left" w:pos="569"/>
        </w:tabs>
        <w:jc w:val="both"/>
        <w:rPr>
          <w:sz w:val="22"/>
          <w:szCs w:val="22"/>
          <w:lang w:val="sr-Latn-ME"/>
        </w:rPr>
      </w:pPr>
      <w:r w:rsidRPr="005A3564">
        <w:rPr>
          <w:sz w:val="22"/>
          <w:szCs w:val="22"/>
          <w:lang w:val="sr-Latn-ME"/>
        </w:rPr>
        <w:t>Unutrašnje pakovanje je aluminijum-aluminijum (Al/PE-OPA//Al/PE) blister sa 14 gastrorezistentnih tableta.</w:t>
      </w:r>
    </w:p>
    <w:p w14:paraId="7A941400" w14:textId="6292334F" w:rsidR="00524B62" w:rsidRPr="005A3564" w:rsidRDefault="00524B62" w:rsidP="00E6236B">
      <w:pPr>
        <w:jc w:val="both"/>
        <w:rPr>
          <w:sz w:val="22"/>
          <w:szCs w:val="22"/>
          <w:lang w:val="sr-Latn-ME"/>
        </w:rPr>
      </w:pPr>
      <w:r w:rsidRPr="005A3564">
        <w:rPr>
          <w:sz w:val="22"/>
          <w:szCs w:val="22"/>
          <w:lang w:val="sr-Latn-ME"/>
        </w:rPr>
        <w:t>Spoljašnje pakovanje je složiva kartonska kutija u kojoj se nalaz</w:t>
      </w:r>
      <w:r w:rsidR="000B6ACD" w:rsidRPr="005A3564">
        <w:rPr>
          <w:sz w:val="22"/>
          <w:szCs w:val="22"/>
          <w:lang w:val="sr-Latn-ME"/>
        </w:rPr>
        <w:t>i</w:t>
      </w:r>
      <w:r w:rsidRPr="005A3564">
        <w:rPr>
          <w:sz w:val="22"/>
          <w:szCs w:val="22"/>
          <w:lang w:val="sr-Latn-ME"/>
        </w:rPr>
        <w:t xml:space="preserve"> jedan blister sa 14 gastrorezistentnih tableta (ukupno 14 gastrorezistentnih tableta) i Uputstvo za lijek.</w:t>
      </w:r>
    </w:p>
    <w:p w14:paraId="5A1B3D5D" w14:textId="77777777" w:rsidR="004A2A7B" w:rsidRPr="005A3564" w:rsidRDefault="004A2A7B" w:rsidP="00480FB1">
      <w:pPr>
        <w:tabs>
          <w:tab w:val="left" w:pos="540"/>
          <w:tab w:val="left" w:pos="569"/>
        </w:tabs>
        <w:rPr>
          <w:bCs/>
          <w:sz w:val="22"/>
          <w:szCs w:val="22"/>
          <w:lang w:val="sr-Latn-ME"/>
        </w:rPr>
      </w:pPr>
    </w:p>
    <w:p w14:paraId="620DEC67" w14:textId="77777777" w:rsidR="002846DB"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6.6. </w:t>
      </w:r>
      <w:r w:rsidR="00480FB1" w:rsidRPr="005A3564">
        <w:rPr>
          <w:b/>
          <w:bCs/>
          <w:sz w:val="22"/>
          <w:szCs w:val="22"/>
          <w:lang w:val="sr-Latn-ME"/>
        </w:rPr>
        <w:tab/>
      </w:r>
      <w:r w:rsidRPr="005A3564">
        <w:rPr>
          <w:b/>
          <w:bCs/>
          <w:color w:val="000000"/>
          <w:sz w:val="22"/>
          <w:szCs w:val="22"/>
          <w:lang w:val="sr-Latn-ME"/>
        </w:rPr>
        <w:t>Posebne mjere opreza pri odlaganju materijala koji treba odbaciti nakon primjene lijeka</w:t>
      </w:r>
      <w:r w:rsidRPr="005A3564">
        <w:rPr>
          <w:b/>
          <w:bCs/>
          <w:sz w:val="22"/>
          <w:szCs w:val="22"/>
          <w:lang w:val="sr-Latn-ME"/>
        </w:rPr>
        <w:t xml:space="preserve"> </w:t>
      </w:r>
      <w:r w:rsidR="00310F03" w:rsidRPr="005A3564">
        <w:rPr>
          <w:b/>
          <w:bCs/>
          <w:sz w:val="22"/>
          <w:szCs w:val="22"/>
          <w:lang w:val="sr-Latn-ME"/>
        </w:rPr>
        <w:t xml:space="preserve">(i druga uputsva za rukovanje lijekom) </w:t>
      </w:r>
    </w:p>
    <w:p w14:paraId="4B332088" w14:textId="77777777" w:rsidR="00B66A70" w:rsidRPr="005A3564" w:rsidRDefault="00B66A70" w:rsidP="00480FB1">
      <w:pPr>
        <w:tabs>
          <w:tab w:val="left" w:pos="540"/>
          <w:tab w:val="left" w:pos="569"/>
        </w:tabs>
        <w:rPr>
          <w:b/>
          <w:bCs/>
          <w:sz w:val="22"/>
          <w:szCs w:val="22"/>
          <w:lang w:val="sr-Latn-ME"/>
        </w:rPr>
      </w:pPr>
    </w:p>
    <w:p w14:paraId="0373D794" w14:textId="50617ECD" w:rsidR="004A2A7B" w:rsidRPr="005A3564" w:rsidRDefault="004A2A7B" w:rsidP="004A2A7B">
      <w:pPr>
        <w:jc w:val="both"/>
        <w:rPr>
          <w:iCs/>
          <w:sz w:val="22"/>
          <w:szCs w:val="22"/>
          <w:lang w:val="sr-Latn-ME"/>
        </w:rPr>
      </w:pPr>
      <w:r w:rsidRPr="005A3564">
        <w:rPr>
          <w:iCs/>
          <w:sz w:val="22"/>
          <w:szCs w:val="22"/>
          <w:lang w:val="sr-Latn-ME"/>
        </w:rPr>
        <w:t>Neupotrijebljeni lijek se uništava u skladu sa važećim propisima.</w:t>
      </w:r>
    </w:p>
    <w:p w14:paraId="474A54F1" w14:textId="77777777" w:rsidR="00E6236B" w:rsidRPr="005A3564" w:rsidRDefault="00E6236B" w:rsidP="004A2A7B">
      <w:pPr>
        <w:jc w:val="both"/>
        <w:rPr>
          <w:iCs/>
          <w:sz w:val="22"/>
          <w:szCs w:val="22"/>
          <w:lang w:val="sr-Latn-ME"/>
        </w:rPr>
      </w:pPr>
    </w:p>
    <w:p w14:paraId="0E21F7E6" w14:textId="77777777" w:rsidR="0072020E" w:rsidRPr="005A3564" w:rsidRDefault="0072020E" w:rsidP="00480FB1">
      <w:pPr>
        <w:tabs>
          <w:tab w:val="left" w:pos="540"/>
          <w:tab w:val="left" w:pos="569"/>
        </w:tabs>
        <w:rPr>
          <w:bCs/>
          <w:sz w:val="22"/>
          <w:szCs w:val="22"/>
          <w:lang w:val="sr-Latn-ME"/>
        </w:rPr>
      </w:pPr>
    </w:p>
    <w:p w14:paraId="482FEFB2" w14:textId="77777777" w:rsidR="00F8570A"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7. </w:t>
      </w:r>
      <w:r w:rsidR="00480FB1" w:rsidRPr="005A3564">
        <w:rPr>
          <w:b/>
          <w:bCs/>
          <w:sz w:val="22"/>
          <w:szCs w:val="22"/>
          <w:lang w:val="sr-Latn-ME"/>
        </w:rPr>
        <w:tab/>
      </w:r>
      <w:r w:rsidRPr="005A3564">
        <w:rPr>
          <w:b/>
          <w:bCs/>
          <w:sz w:val="22"/>
          <w:szCs w:val="22"/>
          <w:lang w:val="sr-Latn-ME"/>
        </w:rPr>
        <w:t>NOSILAC DOZVOLE</w:t>
      </w:r>
      <w:r w:rsidR="00483928" w:rsidRPr="005A3564">
        <w:rPr>
          <w:b/>
          <w:bCs/>
          <w:sz w:val="22"/>
          <w:szCs w:val="22"/>
          <w:lang w:val="sr-Latn-ME"/>
        </w:rPr>
        <w:t xml:space="preserve"> </w:t>
      </w:r>
    </w:p>
    <w:p w14:paraId="720B61E4" w14:textId="77777777" w:rsidR="00C61BE0" w:rsidRPr="005A3564" w:rsidRDefault="00C61BE0" w:rsidP="00480FB1">
      <w:pPr>
        <w:tabs>
          <w:tab w:val="left" w:pos="540"/>
          <w:tab w:val="left" w:pos="569"/>
        </w:tabs>
        <w:rPr>
          <w:bCs/>
          <w:sz w:val="22"/>
          <w:szCs w:val="22"/>
          <w:lang w:val="sr-Latn-ME"/>
        </w:rPr>
      </w:pPr>
    </w:p>
    <w:p w14:paraId="39B76D0D" w14:textId="4614DB72" w:rsidR="004A2A7B" w:rsidRPr="005A3564" w:rsidRDefault="004A2A7B" w:rsidP="004A2A7B">
      <w:pPr>
        <w:tabs>
          <w:tab w:val="left" w:pos="540"/>
          <w:tab w:val="left" w:pos="569"/>
        </w:tabs>
        <w:rPr>
          <w:bCs/>
          <w:sz w:val="22"/>
          <w:szCs w:val="22"/>
          <w:lang w:val="sr-Latn-ME"/>
        </w:rPr>
      </w:pPr>
      <w:r w:rsidRPr="005A3564">
        <w:rPr>
          <w:bCs/>
          <w:sz w:val="22"/>
          <w:szCs w:val="22"/>
          <w:lang w:val="sr-Latn-ME"/>
        </w:rPr>
        <w:t>Glosarij d.o.o.</w:t>
      </w:r>
      <w:r w:rsidR="008F03BA" w:rsidRPr="005A3564">
        <w:rPr>
          <w:bCs/>
          <w:sz w:val="22"/>
          <w:szCs w:val="22"/>
          <w:lang w:val="sr-Latn-ME"/>
        </w:rPr>
        <w:t xml:space="preserve"> Podgorica</w:t>
      </w:r>
      <w:r w:rsidRPr="005A3564">
        <w:rPr>
          <w:bCs/>
          <w:sz w:val="22"/>
          <w:szCs w:val="22"/>
          <w:lang w:val="sr-Latn-ME"/>
        </w:rPr>
        <w:t xml:space="preserve">, Vojislavljevića 76, </w:t>
      </w:r>
      <w:r w:rsidR="008F03BA" w:rsidRPr="005A3564">
        <w:rPr>
          <w:bCs/>
          <w:sz w:val="22"/>
          <w:szCs w:val="22"/>
          <w:lang w:val="sr-Latn-ME"/>
        </w:rPr>
        <w:t xml:space="preserve">81000 </w:t>
      </w:r>
      <w:r w:rsidRPr="005A3564">
        <w:rPr>
          <w:bCs/>
          <w:sz w:val="22"/>
          <w:szCs w:val="22"/>
          <w:lang w:val="sr-Latn-ME"/>
        </w:rPr>
        <w:t>Podgorica, Crna Gora</w:t>
      </w:r>
    </w:p>
    <w:p w14:paraId="4CDF6410" w14:textId="77777777" w:rsidR="00C37FD7" w:rsidRPr="005A3564" w:rsidRDefault="00C37FD7" w:rsidP="00480FB1">
      <w:pPr>
        <w:tabs>
          <w:tab w:val="left" w:pos="540"/>
          <w:tab w:val="left" w:pos="569"/>
        </w:tabs>
        <w:rPr>
          <w:bCs/>
          <w:sz w:val="22"/>
          <w:szCs w:val="22"/>
          <w:lang w:val="sr-Latn-ME"/>
        </w:rPr>
      </w:pPr>
    </w:p>
    <w:p w14:paraId="310E9992" w14:textId="77777777" w:rsidR="0072020E"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8. </w:t>
      </w:r>
      <w:r w:rsidR="00480FB1" w:rsidRPr="005A3564">
        <w:rPr>
          <w:b/>
          <w:bCs/>
          <w:sz w:val="22"/>
          <w:szCs w:val="22"/>
          <w:lang w:val="sr-Latn-ME"/>
        </w:rPr>
        <w:tab/>
      </w:r>
      <w:r w:rsidRPr="005A3564">
        <w:rPr>
          <w:b/>
          <w:bCs/>
          <w:sz w:val="22"/>
          <w:szCs w:val="22"/>
          <w:lang w:val="sr-Latn-ME"/>
        </w:rPr>
        <w:t>BROJ DOZVOLE</w:t>
      </w:r>
      <w:r w:rsidR="008A6D43" w:rsidRPr="005A3564">
        <w:rPr>
          <w:b/>
          <w:bCs/>
          <w:sz w:val="22"/>
          <w:szCs w:val="22"/>
          <w:lang w:val="sr-Latn-ME"/>
        </w:rPr>
        <w:t xml:space="preserve"> ZA STAVLJANJE LIJEKA U PROMET</w:t>
      </w:r>
    </w:p>
    <w:p w14:paraId="18265520" w14:textId="6D6CE928" w:rsidR="0072020E" w:rsidRDefault="0072020E" w:rsidP="00480FB1">
      <w:pPr>
        <w:tabs>
          <w:tab w:val="left" w:pos="540"/>
          <w:tab w:val="left" w:pos="569"/>
        </w:tabs>
        <w:rPr>
          <w:bCs/>
          <w:sz w:val="22"/>
          <w:szCs w:val="22"/>
          <w:lang w:val="sr-Latn-ME"/>
        </w:rPr>
      </w:pPr>
    </w:p>
    <w:p w14:paraId="0639859E" w14:textId="74B541E8" w:rsidR="005A3564" w:rsidRPr="005A3564" w:rsidRDefault="005A3564" w:rsidP="00480FB1">
      <w:pPr>
        <w:tabs>
          <w:tab w:val="left" w:pos="540"/>
          <w:tab w:val="left" w:pos="569"/>
        </w:tabs>
        <w:rPr>
          <w:bCs/>
          <w:sz w:val="22"/>
          <w:szCs w:val="22"/>
          <w:lang w:val="sr-Latn-ME"/>
        </w:rPr>
      </w:pPr>
      <w:r w:rsidRPr="005A3564">
        <w:rPr>
          <w:bCs/>
          <w:sz w:val="22"/>
          <w:szCs w:val="22"/>
          <w:lang w:val="sr-Latn-ME"/>
        </w:rPr>
        <w:t>2030/25/2532 - 4019</w:t>
      </w:r>
    </w:p>
    <w:p w14:paraId="06A58131" w14:textId="2FE63AFB" w:rsidR="00F45F77" w:rsidRPr="005A3564" w:rsidRDefault="00F45F77" w:rsidP="00480FB1">
      <w:pPr>
        <w:tabs>
          <w:tab w:val="left" w:pos="540"/>
          <w:tab w:val="left" w:pos="569"/>
        </w:tabs>
        <w:rPr>
          <w:bCs/>
          <w:sz w:val="22"/>
          <w:szCs w:val="22"/>
          <w:lang w:val="sr-Latn-ME"/>
        </w:rPr>
      </w:pPr>
    </w:p>
    <w:p w14:paraId="2E717B89" w14:textId="77777777" w:rsidR="00E6236B" w:rsidRPr="005A3564" w:rsidRDefault="00E6236B" w:rsidP="00480FB1">
      <w:pPr>
        <w:tabs>
          <w:tab w:val="left" w:pos="540"/>
          <w:tab w:val="left" w:pos="569"/>
        </w:tabs>
        <w:rPr>
          <w:bCs/>
          <w:sz w:val="22"/>
          <w:szCs w:val="22"/>
          <w:lang w:val="sr-Latn-ME"/>
        </w:rPr>
      </w:pPr>
    </w:p>
    <w:p w14:paraId="1659F039" w14:textId="77777777" w:rsidR="0072020E" w:rsidRPr="005A3564" w:rsidRDefault="0072020E" w:rsidP="00480FB1">
      <w:pPr>
        <w:tabs>
          <w:tab w:val="left" w:pos="540"/>
          <w:tab w:val="left" w:pos="569"/>
        </w:tabs>
        <w:rPr>
          <w:b/>
          <w:bCs/>
          <w:sz w:val="22"/>
          <w:szCs w:val="22"/>
          <w:lang w:val="sr-Latn-ME"/>
        </w:rPr>
      </w:pPr>
      <w:r w:rsidRPr="005A3564">
        <w:rPr>
          <w:b/>
          <w:bCs/>
          <w:sz w:val="22"/>
          <w:szCs w:val="22"/>
          <w:lang w:val="sr-Latn-ME"/>
        </w:rPr>
        <w:t xml:space="preserve">9. </w:t>
      </w:r>
      <w:r w:rsidR="00480FB1" w:rsidRPr="005A3564">
        <w:rPr>
          <w:b/>
          <w:bCs/>
          <w:sz w:val="22"/>
          <w:szCs w:val="22"/>
          <w:lang w:val="sr-Latn-ME"/>
        </w:rPr>
        <w:tab/>
      </w:r>
      <w:r w:rsidRPr="005A3564">
        <w:rPr>
          <w:b/>
          <w:bCs/>
          <w:sz w:val="22"/>
          <w:szCs w:val="22"/>
          <w:lang w:val="sr-Latn-ME"/>
        </w:rPr>
        <w:t xml:space="preserve">DATUM </w:t>
      </w:r>
      <w:r w:rsidR="00C05DF8" w:rsidRPr="005A3564">
        <w:rPr>
          <w:b/>
          <w:bCs/>
          <w:sz w:val="22"/>
          <w:szCs w:val="22"/>
          <w:lang w:val="sr-Latn-ME"/>
        </w:rPr>
        <w:t xml:space="preserve">PRVE </w:t>
      </w:r>
      <w:r w:rsidR="008A6D43" w:rsidRPr="005A3564">
        <w:rPr>
          <w:b/>
          <w:bCs/>
          <w:sz w:val="22"/>
          <w:szCs w:val="22"/>
          <w:lang w:val="sr-Latn-ME"/>
        </w:rPr>
        <w:t>DOZVOLE</w:t>
      </w:r>
      <w:r w:rsidR="00C05DF8" w:rsidRPr="005A3564">
        <w:rPr>
          <w:b/>
          <w:bCs/>
          <w:sz w:val="22"/>
          <w:szCs w:val="22"/>
          <w:lang w:val="sr-Latn-ME"/>
        </w:rPr>
        <w:t>/OBNOVE DOZVOLE</w:t>
      </w:r>
      <w:r w:rsidR="008A6D43" w:rsidRPr="005A3564">
        <w:rPr>
          <w:b/>
          <w:bCs/>
          <w:sz w:val="22"/>
          <w:szCs w:val="22"/>
          <w:lang w:val="sr-Latn-ME"/>
        </w:rPr>
        <w:t xml:space="preserve"> ZA STAVLJANJE LIJEKA U PROMET</w:t>
      </w:r>
    </w:p>
    <w:p w14:paraId="13616FC2" w14:textId="77777777" w:rsidR="0072020E" w:rsidRPr="005A3564" w:rsidRDefault="0072020E" w:rsidP="00480FB1">
      <w:pPr>
        <w:tabs>
          <w:tab w:val="left" w:pos="540"/>
          <w:tab w:val="left" w:pos="569"/>
        </w:tabs>
        <w:rPr>
          <w:bCs/>
          <w:sz w:val="22"/>
          <w:szCs w:val="22"/>
          <w:lang w:val="sr-Latn-ME"/>
        </w:rPr>
      </w:pPr>
    </w:p>
    <w:p w14:paraId="2784727B" w14:textId="34DDD16C" w:rsidR="004A2A7B" w:rsidRPr="005A3564" w:rsidRDefault="008F03BA" w:rsidP="004A2A7B">
      <w:pPr>
        <w:tabs>
          <w:tab w:val="left" w:pos="540"/>
          <w:tab w:val="left" w:pos="569"/>
        </w:tabs>
        <w:rPr>
          <w:sz w:val="22"/>
          <w:szCs w:val="22"/>
          <w:lang w:val="sr-Latn-ME" w:eastAsia="en-GB"/>
        </w:rPr>
      </w:pPr>
      <w:r w:rsidRPr="005A3564">
        <w:rPr>
          <w:sz w:val="22"/>
          <w:szCs w:val="22"/>
          <w:lang w:val="sr-Latn-ME" w:eastAsia="en-GB"/>
        </w:rPr>
        <w:t xml:space="preserve">Datum prve dozvole: </w:t>
      </w:r>
      <w:r w:rsidR="004A2A7B" w:rsidRPr="005A3564">
        <w:rPr>
          <w:sz w:val="22"/>
          <w:szCs w:val="22"/>
          <w:lang w:val="sr-Latn-ME" w:eastAsia="en-GB"/>
        </w:rPr>
        <w:t>10.03.2014. godine</w:t>
      </w:r>
    </w:p>
    <w:p w14:paraId="3CB7E13E" w14:textId="6403C52F" w:rsidR="008F03BA" w:rsidRPr="005A3564" w:rsidRDefault="008F03BA" w:rsidP="004A2A7B">
      <w:pPr>
        <w:tabs>
          <w:tab w:val="left" w:pos="540"/>
          <w:tab w:val="left" w:pos="569"/>
        </w:tabs>
        <w:rPr>
          <w:bCs/>
          <w:sz w:val="22"/>
          <w:szCs w:val="22"/>
          <w:lang w:val="sr-Latn-ME"/>
        </w:rPr>
      </w:pPr>
      <w:r w:rsidRPr="005A3564">
        <w:rPr>
          <w:sz w:val="22"/>
          <w:szCs w:val="22"/>
          <w:lang w:val="sr-Latn-ME" w:eastAsia="en-GB"/>
        </w:rPr>
        <w:t>Datum poslednje obnove dozvole:</w:t>
      </w:r>
      <w:r w:rsidR="005A3564">
        <w:rPr>
          <w:sz w:val="22"/>
          <w:szCs w:val="22"/>
          <w:lang w:val="sr-Latn-ME" w:eastAsia="en-GB"/>
        </w:rPr>
        <w:t xml:space="preserve"> </w:t>
      </w:r>
      <w:r w:rsidR="005A3564" w:rsidRPr="005A3564">
        <w:rPr>
          <w:sz w:val="22"/>
          <w:szCs w:val="22"/>
          <w:lang w:eastAsia="en-GB"/>
        </w:rPr>
        <w:t xml:space="preserve">07.07.2025. </w:t>
      </w:r>
      <w:r w:rsidR="005A3564" w:rsidRPr="005A3564">
        <w:rPr>
          <w:sz w:val="22"/>
          <w:szCs w:val="22"/>
          <w:lang w:val="sr-Latn-ME" w:eastAsia="en-GB"/>
        </w:rPr>
        <w:t>godine</w:t>
      </w:r>
    </w:p>
    <w:p w14:paraId="1F28AEC7" w14:textId="12F2028A" w:rsidR="00836B35" w:rsidRPr="005A3564" w:rsidRDefault="00836B35" w:rsidP="00480FB1">
      <w:pPr>
        <w:tabs>
          <w:tab w:val="left" w:pos="540"/>
          <w:tab w:val="left" w:pos="569"/>
        </w:tabs>
        <w:rPr>
          <w:bCs/>
          <w:sz w:val="22"/>
          <w:szCs w:val="22"/>
          <w:lang w:val="sr-Latn-ME"/>
        </w:rPr>
      </w:pPr>
      <w:bookmarkStart w:id="3" w:name="_GoBack"/>
      <w:bookmarkEnd w:id="3"/>
    </w:p>
    <w:p w14:paraId="695830D0" w14:textId="77777777" w:rsidR="00E6236B" w:rsidRPr="005A3564" w:rsidRDefault="00E6236B" w:rsidP="00480FB1">
      <w:pPr>
        <w:tabs>
          <w:tab w:val="left" w:pos="540"/>
          <w:tab w:val="left" w:pos="569"/>
        </w:tabs>
        <w:rPr>
          <w:bCs/>
          <w:sz w:val="22"/>
          <w:szCs w:val="22"/>
          <w:lang w:val="sr-Latn-ME"/>
        </w:rPr>
      </w:pPr>
    </w:p>
    <w:p w14:paraId="76C5D6D1" w14:textId="77777777" w:rsidR="003F6A59" w:rsidRPr="005A3564" w:rsidRDefault="0072020E" w:rsidP="00C05DF8">
      <w:pPr>
        <w:tabs>
          <w:tab w:val="left" w:pos="540"/>
          <w:tab w:val="left" w:pos="569"/>
        </w:tabs>
        <w:ind w:left="540" w:hanging="540"/>
        <w:rPr>
          <w:bCs/>
          <w:sz w:val="22"/>
          <w:szCs w:val="22"/>
          <w:lang w:val="sr-Latn-ME"/>
        </w:rPr>
      </w:pPr>
      <w:r w:rsidRPr="005A3564">
        <w:rPr>
          <w:b/>
          <w:bCs/>
          <w:sz w:val="22"/>
          <w:szCs w:val="22"/>
          <w:lang w:val="sr-Latn-ME"/>
        </w:rPr>
        <w:t xml:space="preserve">10. </w:t>
      </w:r>
      <w:r w:rsidR="00480FB1" w:rsidRPr="005A3564">
        <w:rPr>
          <w:b/>
          <w:bCs/>
          <w:sz w:val="22"/>
          <w:szCs w:val="22"/>
          <w:lang w:val="sr-Latn-ME"/>
        </w:rPr>
        <w:tab/>
      </w:r>
      <w:r w:rsidR="002846DB" w:rsidRPr="005A3564">
        <w:rPr>
          <w:b/>
          <w:bCs/>
          <w:sz w:val="22"/>
          <w:szCs w:val="22"/>
          <w:lang w:val="sr-Latn-ME"/>
        </w:rPr>
        <w:t>D</w:t>
      </w:r>
      <w:r w:rsidR="00EC2532" w:rsidRPr="005A3564">
        <w:rPr>
          <w:b/>
          <w:bCs/>
          <w:sz w:val="22"/>
          <w:szCs w:val="22"/>
          <w:lang w:val="sr-Latn-ME"/>
        </w:rPr>
        <w:t xml:space="preserve">ATUM REVIZIJE TEKSTA </w:t>
      </w:r>
    </w:p>
    <w:p w14:paraId="1ECEF78E" w14:textId="77777777" w:rsidR="003F6A59" w:rsidRPr="005A3564" w:rsidRDefault="003F6A59" w:rsidP="00480FB1">
      <w:pPr>
        <w:tabs>
          <w:tab w:val="left" w:pos="540"/>
          <w:tab w:val="left" w:pos="569"/>
        </w:tabs>
        <w:rPr>
          <w:bCs/>
          <w:sz w:val="22"/>
          <w:szCs w:val="22"/>
          <w:lang w:val="sr-Latn-ME"/>
        </w:rPr>
      </w:pPr>
    </w:p>
    <w:p w14:paraId="04FBBE28" w14:textId="4D40B5FA" w:rsidR="003F6A59" w:rsidRPr="005A3564" w:rsidRDefault="005A3564" w:rsidP="00DE3F5C">
      <w:pPr>
        <w:rPr>
          <w:sz w:val="22"/>
          <w:szCs w:val="22"/>
          <w:lang w:val="sr-Latn-ME"/>
        </w:rPr>
      </w:pPr>
      <w:r>
        <w:rPr>
          <w:sz w:val="22"/>
          <w:szCs w:val="22"/>
          <w:lang w:val="sr-Latn-ME"/>
        </w:rPr>
        <w:t>Jul, 2025. godine</w:t>
      </w:r>
    </w:p>
    <w:sectPr w:rsidR="003F6A59" w:rsidRPr="005A3564" w:rsidSect="007930FE">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F3E89" w14:textId="77777777" w:rsidR="00327F19" w:rsidRDefault="00327F19">
      <w:r>
        <w:separator/>
      </w:r>
    </w:p>
  </w:endnote>
  <w:endnote w:type="continuationSeparator" w:id="0">
    <w:p w14:paraId="0BBE5B5E" w14:textId="77777777" w:rsidR="00327F19" w:rsidRDefault="0032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9813" w14:textId="6A7658BE" w:rsidR="000F462A" w:rsidRPr="00B23F69" w:rsidRDefault="000F462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A3564">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A3564">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BFA21" w14:textId="77777777" w:rsidR="00327F19" w:rsidRDefault="00327F19">
      <w:r>
        <w:separator/>
      </w:r>
    </w:p>
  </w:footnote>
  <w:footnote w:type="continuationSeparator" w:id="0">
    <w:p w14:paraId="6C95BFC2" w14:textId="77777777" w:rsidR="00327F19" w:rsidRDefault="00327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8324A"/>
    <w:multiLevelType w:val="hybridMultilevel"/>
    <w:tmpl w:val="18B8C90C"/>
    <w:lvl w:ilvl="0" w:tplc="BF803BDE">
      <w:start w:val="7"/>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41813F6"/>
    <w:multiLevelType w:val="hybridMultilevel"/>
    <w:tmpl w:val="A762D038"/>
    <w:lvl w:ilvl="0" w:tplc="BF803BDE">
      <w:start w:val="7"/>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2710B2"/>
    <w:multiLevelType w:val="hybridMultilevel"/>
    <w:tmpl w:val="3B2218D6"/>
    <w:lvl w:ilvl="0" w:tplc="BF803BDE">
      <w:start w:val="7"/>
      <w:numFmt w:val="bullet"/>
      <w:lvlText w:val="-"/>
      <w:lvlJc w:val="left"/>
      <w:pPr>
        <w:ind w:left="1440" w:hanging="360"/>
      </w:pPr>
      <w:rPr>
        <w:rFonts w:ascii="Times New Roman" w:eastAsia="Times New Roman" w:hAnsi="Times New Roman"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0"/>
  </w:num>
  <w:num w:numId="5">
    <w:abstractNumId w:val="4"/>
  </w:num>
  <w:num w:numId="6">
    <w:abstractNumId w:val="1"/>
  </w:num>
  <w:num w:numId="7">
    <w:abstractNumId w:val="9"/>
  </w:num>
  <w:num w:numId="8">
    <w:abstractNumId w:val="3"/>
  </w:num>
  <w:num w:numId="9">
    <w:abstractNumId w:val="7"/>
  </w:num>
  <w:num w:numId="10">
    <w:abstractNumId w:val="13"/>
  </w:num>
  <w:num w:numId="11">
    <w:abstractNumId w:val="5"/>
  </w:num>
  <w:num w:numId="12">
    <w:abstractNumId w:va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D02"/>
    <w:rsid w:val="000176CA"/>
    <w:rsid w:val="0003331A"/>
    <w:rsid w:val="00036FA0"/>
    <w:rsid w:val="0003793F"/>
    <w:rsid w:val="00057E35"/>
    <w:rsid w:val="00076726"/>
    <w:rsid w:val="00080303"/>
    <w:rsid w:val="000A3F58"/>
    <w:rsid w:val="000B6ACD"/>
    <w:rsid w:val="000D2343"/>
    <w:rsid w:val="000D3449"/>
    <w:rsid w:val="000D425A"/>
    <w:rsid w:val="000D60CC"/>
    <w:rsid w:val="000E2084"/>
    <w:rsid w:val="000E6F55"/>
    <w:rsid w:val="000F462A"/>
    <w:rsid w:val="000F77FA"/>
    <w:rsid w:val="00107BF7"/>
    <w:rsid w:val="00113CF2"/>
    <w:rsid w:val="001249BE"/>
    <w:rsid w:val="00126F53"/>
    <w:rsid w:val="001429D0"/>
    <w:rsid w:val="0014766D"/>
    <w:rsid w:val="001536CC"/>
    <w:rsid w:val="0016654B"/>
    <w:rsid w:val="00196701"/>
    <w:rsid w:val="001A3FBA"/>
    <w:rsid w:val="001A4C34"/>
    <w:rsid w:val="001A5518"/>
    <w:rsid w:val="001B1C6A"/>
    <w:rsid w:val="001B55E8"/>
    <w:rsid w:val="001C0B82"/>
    <w:rsid w:val="001C1263"/>
    <w:rsid w:val="001C1417"/>
    <w:rsid w:val="001E390B"/>
    <w:rsid w:val="001F42FB"/>
    <w:rsid w:val="001F719A"/>
    <w:rsid w:val="002031B3"/>
    <w:rsid w:val="00215931"/>
    <w:rsid w:val="0022355D"/>
    <w:rsid w:val="00227BDB"/>
    <w:rsid w:val="00234CB1"/>
    <w:rsid w:val="002352F8"/>
    <w:rsid w:val="002510A5"/>
    <w:rsid w:val="00254A0A"/>
    <w:rsid w:val="00266046"/>
    <w:rsid w:val="002818F6"/>
    <w:rsid w:val="002846DB"/>
    <w:rsid w:val="00284CCD"/>
    <w:rsid w:val="002C6637"/>
    <w:rsid w:val="002E0135"/>
    <w:rsid w:val="002E37A5"/>
    <w:rsid w:val="002F6D2C"/>
    <w:rsid w:val="00310F03"/>
    <w:rsid w:val="003247D2"/>
    <w:rsid w:val="00325B89"/>
    <w:rsid w:val="00327F19"/>
    <w:rsid w:val="003445C1"/>
    <w:rsid w:val="00355B61"/>
    <w:rsid w:val="00362686"/>
    <w:rsid w:val="00367B8C"/>
    <w:rsid w:val="00371510"/>
    <w:rsid w:val="00387683"/>
    <w:rsid w:val="00396DFD"/>
    <w:rsid w:val="003A1AA5"/>
    <w:rsid w:val="003A4B37"/>
    <w:rsid w:val="003A7059"/>
    <w:rsid w:val="003B7794"/>
    <w:rsid w:val="003B7A36"/>
    <w:rsid w:val="003C17AB"/>
    <w:rsid w:val="003C7823"/>
    <w:rsid w:val="003E1DCC"/>
    <w:rsid w:val="003F45B4"/>
    <w:rsid w:val="003F6A59"/>
    <w:rsid w:val="004065C8"/>
    <w:rsid w:val="00411B4B"/>
    <w:rsid w:val="00415BEE"/>
    <w:rsid w:val="00423433"/>
    <w:rsid w:val="00427839"/>
    <w:rsid w:val="00427F85"/>
    <w:rsid w:val="00436F42"/>
    <w:rsid w:val="004378B4"/>
    <w:rsid w:val="0044151F"/>
    <w:rsid w:val="00450A60"/>
    <w:rsid w:val="00451314"/>
    <w:rsid w:val="004522DE"/>
    <w:rsid w:val="00452E9D"/>
    <w:rsid w:val="004534C7"/>
    <w:rsid w:val="004671AA"/>
    <w:rsid w:val="00480FB1"/>
    <w:rsid w:val="004834A8"/>
    <w:rsid w:val="00483928"/>
    <w:rsid w:val="004A2A7B"/>
    <w:rsid w:val="004D6103"/>
    <w:rsid w:val="004E3BCE"/>
    <w:rsid w:val="004E66FF"/>
    <w:rsid w:val="004F0E97"/>
    <w:rsid w:val="005019CF"/>
    <w:rsid w:val="0050376C"/>
    <w:rsid w:val="00515C21"/>
    <w:rsid w:val="00524B62"/>
    <w:rsid w:val="00530BD7"/>
    <w:rsid w:val="00545CD2"/>
    <w:rsid w:val="005476F3"/>
    <w:rsid w:val="00552654"/>
    <w:rsid w:val="005617AA"/>
    <w:rsid w:val="00572527"/>
    <w:rsid w:val="00573E40"/>
    <w:rsid w:val="00576348"/>
    <w:rsid w:val="005A0B2E"/>
    <w:rsid w:val="005A23D2"/>
    <w:rsid w:val="005A3564"/>
    <w:rsid w:val="005A36CB"/>
    <w:rsid w:val="005B49B8"/>
    <w:rsid w:val="005C0741"/>
    <w:rsid w:val="005C5EF4"/>
    <w:rsid w:val="005D14B9"/>
    <w:rsid w:val="005E2E0B"/>
    <w:rsid w:val="005E3825"/>
    <w:rsid w:val="005E7A7D"/>
    <w:rsid w:val="00635AC3"/>
    <w:rsid w:val="00646BD1"/>
    <w:rsid w:val="006561C2"/>
    <w:rsid w:val="00671CB3"/>
    <w:rsid w:val="00674BAF"/>
    <w:rsid w:val="00682200"/>
    <w:rsid w:val="00685378"/>
    <w:rsid w:val="006A1497"/>
    <w:rsid w:val="006B0BD1"/>
    <w:rsid w:val="006D20A5"/>
    <w:rsid w:val="006D37BF"/>
    <w:rsid w:val="00702E22"/>
    <w:rsid w:val="0072020E"/>
    <w:rsid w:val="00726EB0"/>
    <w:rsid w:val="00735C7F"/>
    <w:rsid w:val="00754BF9"/>
    <w:rsid w:val="00786071"/>
    <w:rsid w:val="007930FE"/>
    <w:rsid w:val="007A3ECB"/>
    <w:rsid w:val="007B57AD"/>
    <w:rsid w:val="00824AB9"/>
    <w:rsid w:val="00836B35"/>
    <w:rsid w:val="00843BDE"/>
    <w:rsid w:val="00852EFE"/>
    <w:rsid w:val="0089705C"/>
    <w:rsid w:val="008A44C0"/>
    <w:rsid w:val="008A6D43"/>
    <w:rsid w:val="008B491E"/>
    <w:rsid w:val="008C16E2"/>
    <w:rsid w:val="008C1A28"/>
    <w:rsid w:val="008C2E98"/>
    <w:rsid w:val="008E49BD"/>
    <w:rsid w:val="008E53E9"/>
    <w:rsid w:val="008E5771"/>
    <w:rsid w:val="008F03BA"/>
    <w:rsid w:val="008F6A1E"/>
    <w:rsid w:val="00940B9B"/>
    <w:rsid w:val="0095649E"/>
    <w:rsid w:val="0095676E"/>
    <w:rsid w:val="00956983"/>
    <w:rsid w:val="00956EDF"/>
    <w:rsid w:val="0096377A"/>
    <w:rsid w:val="00963CF0"/>
    <w:rsid w:val="00964BB1"/>
    <w:rsid w:val="009775D9"/>
    <w:rsid w:val="009844CB"/>
    <w:rsid w:val="00997175"/>
    <w:rsid w:val="009A1847"/>
    <w:rsid w:val="009B062A"/>
    <w:rsid w:val="009D6F09"/>
    <w:rsid w:val="009E7C6F"/>
    <w:rsid w:val="009F1793"/>
    <w:rsid w:val="009F2D23"/>
    <w:rsid w:val="00A01D69"/>
    <w:rsid w:val="00A02335"/>
    <w:rsid w:val="00A46C9A"/>
    <w:rsid w:val="00A60833"/>
    <w:rsid w:val="00A619F3"/>
    <w:rsid w:val="00A62A73"/>
    <w:rsid w:val="00A87FF6"/>
    <w:rsid w:val="00AA0A3B"/>
    <w:rsid w:val="00AB50CA"/>
    <w:rsid w:val="00AC53CE"/>
    <w:rsid w:val="00AD2193"/>
    <w:rsid w:val="00AF2AC7"/>
    <w:rsid w:val="00AF6BFF"/>
    <w:rsid w:val="00AF74CE"/>
    <w:rsid w:val="00B208DB"/>
    <w:rsid w:val="00B23F69"/>
    <w:rsid w:val="00B43394"/>
    <w:rsid w:val="00B51FCE"/>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1B4"/>
    <w:rsid w:val="00C61BE0"/>
    <w:rsid w:val="00C67803"/>
    <w:rsid w:val="00C70B0E"/>
    <w:rsid w:val="00C773CA"/>
    <w:rsid w:val="00C83785"/>
    <w:rsid w:val="00C94C0D"/>
    <w:rsid w:val="00CA1FEB"/>
    <w:rsid w:val="00CA2C87"/>
    <w:rsid w:val="00CD4F85"/>
    <w:rsid w:val="00CD5304"/>
    <w:rsid w:val="00CD6F02"/>
    <w:rsid w:val="00CE246D"/>
    <w:rsid w:val="00CF07A0"/>
    <w:rsid w:val="00CF3E03"/>
    <w:rsid w:val="00D0082A"/>
    <w:rsid w:val="00D049C5"/>
    <w:rsid w:val="00D16387"/>
    <w:rsid w:val="00D21455"/>
    <w:rsid w:val="00D4493E"/>
    <w:rsid w:val="00D47634"/>
    <w:rsid w:val="00D709B3"/>
    <w:rsid w:val="00DA2ED6"/>
    <w:rsid w:val="00DB3B4C"/>
    <w:rsid w:val="00DB76B8"/>
    <w:rsid w:val="00DC2EA1"/>
    <w:rsid w:val="00DD5CA0"/>
    <w:rsid w:val="00DD6AAF"/>
    <w:rsid w:val="00DE3F5C"/>
    <w:rsid w:val="00DF1D20"/>
    <w:rsid w:val="00E21324"/>
    <w:rsid w:val="00E246B9"/>
    <w:rsid w:val="00E31FEA"/>
    <w:rsid w:val="00E45169"/>
    <w:rsid w:val="00E47787"/>
    <w:rsid w:val="00E51C30"/>
    <w:rsid w:val="00E6236B"/>
    <w:rsid w:val="00E64180"/>
    <w:rsid w:val="00E74AEE"/>
    <w:rsid w:val="00E868E5"/>
    <w:rsid w:val="00E9237A"/>
    <w:rsid w:val="00E939FA"/>
    <w:rsid w:val="00EA5765"/>
    <w:rsid w:val="00EC2532"/>
    <w:rsid w:val="00EC7AFC"/>
    <w:rsid w:val="00ED40D8"/>
    <w:rsid w:val="00ED7812"/>
    <w:rsid w:val="00EF3B86"/>
    <w:rsid w:val="00F24D4A"/>
    <w:rsid w:val="00F317E9"/>
    <w:rsid w:val="00F34554"/>
    <w:rsid w:val="00F45F77"/>
    <w:rsid w:val="00F5167F"/>
    <w:rsid w:val="00F52258"/>
    <w:rsid w:val="00F54212"/>
    <w:rsid w:val="00F66419"/>
    <w:rsid w:val="00F8570A"/>
    <w:rsid w:val="00F91C7B"/>
    <w:rsid w:val="00FE7365"/>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4A3C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BodyText2">
    <w:name w:val="Body Text 2"/>
    <w:basedOn w:val="Normal"/>
    <w:link w:val="BodyText2Char"/>
    <w:rsid w:val="00A60833"/>
    <w:pPr>
      <w:jc w:val="both"/>
    </w:pPr>
    <w:rPr>
      <w:bCs/>
      <w:sz w:val="22"/>
      <w:lang w:val="sr-Latn-ME"/>
    </w:rPr>
  </w:style>
  <w:style w:type="character" w:customStyle="1" w:styleId="BodyText2Char">
    <w:name w:val="Body Text 2 Char"/>
    <w:basedOn w:val="DefaultParagraphFont"/>
    <w:link w:val="BodyText2"/>
    <w:rsid w:val="00A60833"/>
    <w:rPr>
      <w:bCs/>
      <w:sz w:val="22"/>
      <w:szCs w:val="24"/>
      <w:lang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A60833"/>
    <w:rPr>
      <w:sz w:val="24"/>
      <w:szCs w:val="24"/>
      <w:lang w:val="en-US" w:eastAsia="en-US"/>
    </w:rPr>
  </w:style>
  <w:style w:type="paragraph" w:styleId="Revision">
    <w:name w:val="Revision"/>
    <w:hidden/>
    <w:uiPriority w:val="99"/>
    <w:semiHidden/>
    <w:rsid w:val="00635AC3"/>
    <w:rPr>
      <w:sz w:val="24"/>
      <w:szCs w:val="24"/>
      <w:lang w:val="en-US" w:eastAsia="en-US"/>
    </w:rPr>
  </w:style>
  <w:style w:type="paragraph" w:styleId="ListParagraph">
    <w:name w:val="List Paragraph"/>
    <w:basedOn w:val="Normal"/>
    <w:uiPriority w:val="34"/>
    <w:qFormat/>
    <w:rsid w:val="00635AC3"/>
    <w:pPr>
      <w:ind w:left="720"/>
      <w:contextualSpacing/>
    </w:pPr>
  </w:style>
  <w:style w:type="character" w:styleId="Hyperlink">
    <w:name w:val="Hyperlink"/>
    <w:basedOn w:val="DefaultParagraphFont"/>
    <w:rsid w:val="00450A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B2819-CE61-4BF3-9715-7402FD34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4407</Words>
  <Characters>25121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29470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3</cp:revision>
  <dcterms:created xsi:type="dcterms:W3CDTF">2025-07-07T05:42:00Z</dcterms:created>
  <dcterms:modified xsi:type="dcterms:W3CDTF">2025-07-07T10:29:00Z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