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E7BE8" w14:textId="32C739E9" w:rsidR="00DC024B" w:rsidRPr="009A2DB8" w:rsidRDefault="00DC024B" w:rsidP="00527F5D">
      <w:pPr>
        <w:jc w:val="center"/>
        <w:rPr>
          <w:b/>
          <w:bCs/>
          <w:iCs/>
          <w:szCs w:val="22"/>
          <w:u w:val="single"/>
          <w:lang w:val="sr-Latn-RS"/>
        </w:rPr>
      </w:pPr>
      <w:r w:rsidRPr="009A2DB8">
        <w:rPr>
          <w:b/>
          <w:bCs/>
          <w:iCs/>
          <w:szCs w:val="22"/>
          <w:u w:val="single"/>
          <w:lang w:val="sr-Latn-RS"/>
        </w:rPr>
        <w:t>SAŽETAK KARAKTERISTIKA L</w:t>
      </w:r>
      <w:r w:rsidR="00464A4C">
        <w:rPr>
          <w:b/>
          <w:bCs/>
          <w:iCs/>
          <w:szCs w:val="22"/>
          <w:u w:val="single"/>
          <w:lang w:val="sr-Latn-RS"/>
        </w:rPr>
        <w:t>IJ</w:t>
      </w:r>
      <w:r w:rsidRPr="009A2DB8">
        <w:rPr>
          <w:b/>
          <w:bCs/>
          <w:iCs/>
          <w:szCs w:val="22"/>
          <w:u w:val="single"/>
          <w:lang w:val="sr-Latn-RS"/>
        </w:rPr>
        <w:t>EKA</w:t>
      </w:r>
    </w:p>
    <w:p w14:paraId="602E7BE9" w14:textId="77777777" w:rsidR="00DC024B" w:rsidRPr="009A2DB8" w:rsidRDefault="00DC024B" w:rsidP="00527F5D">
      <w:pPr>
        <w:rPr>
          <w:szCs w:val="22"/>
          <w:lang w:val="sr-Latn-RS"/>
        </w:rPr>
      </w:pPr>
    </w:p>
    <w:p w14:paraId="602E7BEA" w14:textId="77777777" w:rsidR="00DC024B" w:rsidRPr="009A2DB8" w:rsidRDefault="00DC024B" w:rsidP="00527F5D">
      <w:pPr>
        <w:rPr>
          <w:szCs w:val="22"/>
          <w:lang w:val="sr-Latn-RS"/>
        </w:rPr>
      </w:pPr>
    </w:p>
    <w:p w14:paraId="602E7BEB" w14:textId="5372C2E5" w:rsidR="00DC024B" w:rsidRPr="009A2DB8" w:rsidRDefault="00DC024B" w:rsidP="00527F5D">
      <w:pPr>
        <w:pStyle w:val="NASLOV123"/>
        <w:jc w:val="both"/>
        <w:rPr>
          <w:b w:val="0"/>
          <w:bCs/>
          <w:lang w:val="sr-Latn-RS"/>
        </w:rPr>
      </w:pPr>
      <w:r w:rsidRPr="009A2DB8">
        <w:rPr>
          <w:lang w:val="sr-Latn-RS"/>
        </w:rPr>
        <w:t xml:space="preserve">1. </w:t>
      </w:r>
      <w:r w:rsidR="00464A4C">
        <w:rPr>
          <w:lang w:val="sr-Latn-RS"/>
        </w:rPr>
        <w:t>NAZIV</w:t>
      </w:r>
      <w:r w:rsidRPr="009A2DB8">
        <w:rPr>
          <w:lang w:val="sr-Latn-RS"/>
        </w:rPr>
        <w:t xml:space="preserve"> L</w:t>
      </w:r>
      <w:r w:rsidR="00464A4C">
        <w:rPr>
          <w:lang w:val="sr-Latn-RS"/>
        </w:rPr>
        <w:t>IJ</w:t>
      </w:r>
      <w:r w:rsidRPr="009A2DB8">
        <w:rPr>
          <w:lang w:val="sr-Latn-RS"/>
        </w:rPr>
        <w:t>EKA</w:t>
      </w:r>
    </w:p>
    <w:p w14:paraId="602E7BEC" w14:textId="78E3EA32" w:rsidR="00DC024B" w:rsidRPr="009A2DB8" w:rsidRDefault="00DC024B" w:rsidP="00F73F1D">
      <w:pPr>
        <w:rPr>
          <w:bCs/>
          <w:szCs w:val="22"/>
          <w:lang w:val="sr-Latn-RS"/>
        </w:rPr>
      </w:pPr>
      <w:r w:rsidRPr="009A2DB8">
        <w:rPr>
          <w:bCs/>
          <w:szCs w:val="22"/>
          <w:lang w:val="sr-Latn-RS"/>
        </w:rPr>
        <w:t xml:space="preserve">Paracetamol </w:t>
      </w:r>
      <w:r w:rsidR="00E3084F" w:rsidRPr="009A2DB8">
        <w:rPr>
          <w:bCs/>
          <w:szCs w:val="22"/>
          <w:lang w:val="sr-Latn-RS"/>
        </w:rPr>
        <w:t>Galenika</w:t>
      </w:r>
      <w:r w:rsidR="00A60B8E" w:rsidRPr="009A2DB8">
        <w:rPr>
          <w:bCs/>
          <w:szCs w:val="22"/>
          <w:lang w:val="sr-Latn-RS"/>
        </w:rPr>
        <w:t xml:space="preserve">, </w:t>
      </w:r>
      <w:r w:rsidRPr="009A2DB8">
        <w:rPr>
          <w:bCs/>
          <w:szCs w:val="22"/>
          <w:lang w:val="sr-Latn-RS"/>
        </w:rPr>
        <w:t>120 mg /5 m</w:t>
      </w:r>
      <w:r w:rsidR="00464A4C">
        <w:rPr>
          <w:bCs/>
          <w:szCs w:val="22"/>
          <w:lang w:val="sr-Latn-RS"/>
        </w:rPr>
        <w:t>l</w:t>
      </w:r>
      <w:r w:rsidRPr="009A2DB8">
        <w:rPr>
          <w:bCs/>
          <w:szCs w:val="22"/>
          <w:lang w:val="sr-Latn-RS"/>
        </w:rPr>
        <w:t>, sirup</w:t>
      </w:r>
    </w:p>
    <w:p w14:paraId="602E7BED" w14:textId="77777777" w:rsidR="00DC024B" w:rsidRPr="009A2DB8" w:rsidRDefault="00DC024B" w:rsidP="00527F5D">
      <w:pPr>
        <w:rPr>
          <w:bCs/>
          <w:szCs w:val="22"/>
          <w:lang w:val="sr-Latn-RS"/>
        </w:rPr>
      </w:pPr>
    </w:p>
    <w:p w14:paraId="602E7BEE" w14:textId="5FF53BAF" w:rsidR="00DC024B" w:rsidRDefault="002B4C21" w:rsidP="00527F5D">
      <w:pPr>
        <w:rPr>
          <w:szCs w:val="22"/>
          <w:lang w:val="sr-Latn-RS"/>
        </w:rPr>
      </w:pPr>
      <w:r>
        <w:rPr>
          <w:szCs w:val="22"/>
          <w:lang w:val="sr-Latn-RS"/>
        </w:rPr>
        <w:t xml:space="preserve">INN: </w:t>
      </w:r>
      <w:r w:rsidR="00DC024B" w:rsidRPr="009A2DB8">
        <w:rPr>
          <w:szCs w:val="22"/>
          <w:lang w:val="sr-Latn-RS"/>
        </w:rPr>
        <w:t>paracetamol</w:t>
      </w:r>
    </w:p>
    <w:p w14:paraId="5DFF9C60" w14:textId="77777777" w:rsidR="002B4C21" w:rsidRPr="009A2DB8" w:rsidRDefault="002B4C21" w:rsidP="00527F5D">
      <w:pPr>
        <w:rPr>
          <w:szCs w:val="22"/>
          <w:lang w:val="sr-Latn-RS"/>
        </w:rPr>
      </w:pPr>
    </w:p>
    <w:p w14:paraId="602E7BF0" w14:textId="5A9C6EAF" w:rsidR="00DC024B" w:rsidRPr="009A2DB8" w:rsidRDefault="00DC024B" w:rsidP="00464A4C">
      <w:pPr>
        <w:pStyle w:val="NASLOV123"/>
        <w:jc w:val="both"/>
        <w:rPr>
          <w:lang w:val="sr-Latn-RS"/>
        </w:rPr>
      </w:pPr>
      <w:r w:rsidRPr="009A2DB8">
        <w:rPr>
          <w:lang w:val="sr-Latn-RS"/>
        </w:rPr>
        <w:t>2. KVALITATIVNI I KVANTITATIVNI SASTAV</w:t>
      </w:r>
      <w:r w:rsidR="002658A1" w:rsidRPr="009A2DB8">
        <w:rPr>
          <w:lang w:val="sr-Latn-RS"/>
        </w:rPr>
        <w:t xml:space="preserve"> </w:t>
      </w:r>
    </w:p>
    <w:p w14:paraId="602E7BF2" w14:textId="3E4F066B" w:rsidR="00DC024B" w:rsidRPr="009A2DB8" w:rsidRDefault="00DC024B">
      <w:pPr>
        <w:spacing w:after="80"/>
        <w:rPr>
          <w:szCs w:val="22"/>
          <w:lang w:val="sr-Latn-RS"/>
        </w:rPr>
      </w:pPr>
      <w:r w:rsidRPr="009A2DB8">
        <w:rPr>
          <w:szCs w:val="22"/>
          <w:lang w:val="sr-Latn-RS"/>
        </w:rPr>
        <w:t>Sadržaj aktivnih supstanci: 5 ml sirupa sadrži 120 mg paracetamola</w:t>
      </w:r>
      <w:r w:rsidR="00A60B8E" w:rsidRPr="009A2DB8">
        <w:rPr>
          <w:szCs w:val="22"/>
          <w:lang w:val="sr-Latn-RS"/>
        </w:rPr>
        <w:t>.</w:t>
      </w:r>
    </w:p>
    <w:p w14:paraId="5E641317" w14:textId="6EFC9C9B" w:rsidR="00AA0965" w:rsidRPr="009A2DB8" w:rsidRDefault="00DC024B" w:rsidP="006E7CFE">
      <w:pPr>
        <w:spacing w:after="80"/>
        <w:rPr>
          <w:szCs w:val="22"/>
          <w:lang w:val="sr-Latn-RS"/>
        </w:rPr>
      </w:pPr>
      <w:r w:rsidRPr="009A2DB8">
        <w:rPr>
          <w:szCs w:val="22"/>
          <w:lang w:val="sr-Latn-RS"/>
        </w:rPr>
        <w:t xml:space="preserve">Pomoćne supstance sa potvrđenim dejstvom: saharoza, sorbitol tečni, nekristališući (E420), metilparahidroksibenzoat (E218), </w:t>
      </w:r>
      <w:r w:rsidR="00B254B9" w:rsidRPr="009A2DB8">
        <w:rPr>
          <w:szCs w:val="22"/>
          <w:lang w:val="sr-Latn-RS"/>
        </w:rPr>
        <w:t xml:space="preserve">boja Allura Red </w:t>
      </w:r>
      <w:r w:rsidRPr="009A2DB8">
        <w:rPr>
          <w:szCs w:val="22"/>
          <w:lang w:val="sr-Latn-RS"/>
        </w:rPr>
        <w:t>(E129), propilenglikol</w:t>
      </w:r>
      <w:r w:rsidR="00F919DF" w:rsidRPr="009A2DB8">
        <w:rPr>
          <w:szCs w:val="22"/>
          <w:lang w:val="sr-Latn-RS"/>
        </w:rPr>
        <w:t>,</w:t>
      </w:r>
      <w:r w:rsidRPr="009A2DB8">
        <w:rPr>
          <w:szCs w:val="22"/>
          <w:lang w:val="sr-Latn-RS"/>
        </w:rPr>
        <w:t xml:space="preserve"> </w:t>
      </w:r>
      <w:r w:rsidR="00F919DF" w:rsidRPr="009A2DB8">
        <w:rPr>
          <w:szCs w:val="22"/>
          <w:lang w:val="sr-Latn-RS"/>
        </w:rPr>
        <w:t xml:space="preserve">etanol i </w:t>
      </w:r>
      <w:r w:rsidRPr="009A2DB8">
        <w:rPr>
          <w:szCs w:val="22"/>
          <w:lang w:val="sr-Latn-RS"/>
        </w:rPr>
        <w:t>glicerol.</w:t>
      </w:r>
    </w:p>
    <w:p w14:paraId="602E7BF6" w14:textId="1F0FDAB4" w:rsidR="00DC024B" w:rsidRDefault="00AA0965" w:rsidP="006E7CFE">
      <w:pPr>
        <w:tabs>
          <w:tab w:val="clear" w:pos="284"/>
        </w:tabs>
        <w:rPr>
          <w:szCs w:val="22"/>
          <w:lang w:val="sr-Latn-CS"/>
        </w:rPr>
      </w:pPr>
      <w:r w:rsidRPr="00AA0965">
        <w:rPr>
          <w:szCs w:val="22"/>
          <w:lang w:val="sr-Latn-CS"/>
        </w:rPr>
        <w:t>Za spisak svih ekscipijenasa, pogledati dio 6.1.</w:t>
      </w:r>
    </w:p>
    <w:p w14:paraId="3E45EDDA" w14:textId="77777777" w:rsidR="002B4C21" w:rsidRPr="00AA0965" w:rsidRDefault="002B4C21" w:rsidP="00AA0965">
      <w:pPr>
        <w:tabs>
          <w:tab w:val="clear" w:pos="284"/>
        </w:tabs>
        <w:jc w:val="left"/>
        <w:rPr>
          <w:szCs w:val="22"/>
          <w:lang w:val="sr-Latn-CS"/>
        </w:rPr>
      </w:pPr>
    </w:p>
    <w:p w14:paraId="602E7BF7" w14:textId="77777777" w:rsidR="00DC024B" w:rsidRPr="009A2DB8" w:rsidRDefault="00DC024B" w:rsidP="00527F5D">
      <w:pPr>
        <w:pStyle w:val="NASLOV123"/>
        <w:jc w:val="both"/>
        <w:rPr>
          <w:lang w:val="sr-Latn-RS"/>
        </w:rPr>
      </w:pPr>
      <w:r w:rsidRPr="009A2DB8">
        <w:rPr>
          <w:lang w:val="sr-Latn-RS"/>
        </w:rPr>
        <w:t>3. FARMACEUTSKI OBLIK</w:t>
      </w:r>
    </w:p>
    <w:p w14:paraId="602E7BF8" w14:textId="77777777" w:rsidR="00DC024B" w:rsidRPr="009A2DB8" w:rsidRDefault="00DC024B" w:rsidP="00163649">
      <w:pPr>
        <w:pStyle w:val="Header"/>
        <w:tabs>
          <w:tab w:val="clear" w:pos="4536"/>
          <w:tab w:val="clear" w:pos="9072"/>
          <w:tab w:val="left" w:pos="284"/>
        </w:tabs>
        <w:rPr>
          <w:rFonts w:cs="Arial"/>
          <w:sz w:val="22"/>
          <w:lang w:val="sr-Latn-RS"/>
        </w:rPr>
      </w:pPr>
      <w:r w:rsidRPr="009A2DB8">
        <w:rPr>
          <w:rFonts w:cs="Arial"/>
          <w:sz w:val="22"/>
          <w:lang w:val="sr-Latn-RS"/>
        </w:rPr>
        <w:t>Sirup.</w:t>
      </w:r>
    </w:p>
    <w:p w14:paraId="602E7BF9" w14:textId="638A6560" w:rsidR="00DC024B" w:rsidRDefault="00FF5445" w:rsidP="00527F5D">
      <w:pPr>
        <w:rPr>
          <w:rFonts w:cs="Arial"/>
          <w:lang w:val="sr-Latn-RS"/>
        </w:rPr>
      </w:pPr>
      <w:r w:rsidRPr="009A2DB8">
        <w:rPr>
          <w:rFonts w:cs="Arial"/>
          <w:lang w:val="sr-Latn-RS"/>
        </w:rPr>
        <w:t>S</w:t>
      </w:r>
      <w:r w:rsidR="00DC024B" w:rsidRPr="009A2DB8">
        <w:rPr>
          <w:rFonts w:cs="Arial"/>
          <w:lang w:val="sr-Latn-RS"/>
        </w:rPr>
        <w:t>irup je homogena suspenzija crvene boje, sa mirisom višnje.</w:t>
      </w:r>
    </w:p>
    <w:p w14:paraId="4F6006AA" w14:textId="77777777" w:rsidR="002B4C21" w:rsidRPr="009A2DB8" w:rsidRDefault="002B4C21" w:rsidP="00527F5D">
      <w:pPr>
        <w:rPr>
          <w:szCs w:val="22"/>
          <w:lang w:val="sr-Latn-RS"/>
        </w:rPr>
      </w:pPr>
    </w:p>
    <w:p w14:paraId="602E7BFA" w14:textId="1D5A7B08" w:rsidR="00DC024B" w:rsidRDefault="00DC024B" w:rsidP="006E7CFE">
      <w:pPr>
        <w:pStyle w:val="NASLOV123"/>
        <w:spacing w:after="0"/>
        <w:jc w:val="both"/>
        <w:rPr>
          <w:lang w:val="sr-Latn-RS"/>
        </w:rPr>
      </w:pPr>
      <w:r w:rsidRPr="009A2DB8">
        <w:rPr>
          <w:lang w:val="sr-Latn-RS"/>
        </w:rPr>
        <w:t>4. KLINIČKI PODACI</w:t>
      </w:r>
    </w:p>
    <w:p w14:paraId="332E971B" w14:textId="77777777" w:rsidR="00AB045F" w:rsidRPr="009A2DB8" w:rsidRDefault="00AB045F" w:rsidP="006E7CFE">
      <w:pPr>
        <w:pStyle w:val="NASLOV123"/>
        <w:spacing w:before="0" w:after="0"/>
        <w:jc w:val="both"/>
        <w:rPr>
          <w:lang w:val="sr-Latn-RS"/>
        </w:rPr>
      </w:pPr>
    </w:p>
    <w:p w14:paraId="602E7BFB" w14:textId="77777777" w:rsidR="00DC024B" w:rsidRPr="009A2DB8" w:rsidRDefault="00DC024B" w:rsidP="00527F5D">
      <w:pPr>
        <w:rPr>
          <w:b/>
          <w:bCs/>
          <w:szCs w:val="22"/>
          <w:lang w:val="sr-Latn-RS"/>
        </w:rPr>
      </w:pPr>
      <w:r w:rsidRPr="009A2DB8">
        <w:rPr>
          <w:b/>
          <w:bCs/>
          <w:szCs w:val="22"/>
          <w:lang w:val="sr-Latn-RS"/>
        </w:rPr>
        <w:t>4.1. Terapijske indikacije</w:t>
      </w:r>
    </w:p>
    <w:p w14:paraId="602E7BFC" w14:textId="77777777" w:rsidR="00DC024B" w:rsidRPr="009A2DB8" w:rsidRDefault="00DC024B" w:rsidP="00F73F1D">
      <w:pPr>
        <w:pStyle w:val="Header"/>
        <w:rPr>
          <w:sz w:val="22"/>
          <w:szCs w:val="22"/>
          <w:lang w:val="sr-Latn-RS"/>
        </w:rPr>
      </w:pPr>
    </w:p>
    <w:p w14:paraId="602E7BFD" w14:textId="1956BB3A" w:rsidR="00DC024B" w:rsidRPr="009A2DB8" w:rsidRDefault="00DC024B" w:rsidP="0061113A">
      <w:pPr>
        <w:pStyle w:val="Header"/>
        <w:rPr>
          <w:sz w:val="22"/>
          <w:szCs w:val="22"/>
          <w:lang w:val="sr-Latn-RS"/>
        </w:rPr>
      </w:pPr>
      <w:r w:rsidRPr="009A2DB8">
        <w:rPr>
          <w:sz w:val="22"/>
          <w:szCs w:val="22"/>
          <w:lang w:val="sr-Latn-RS"/>
        </w:rPr>
        <w:t>L</w:t>
      </w:r>
      <w:r w:rsidR="00464A4C">
        <w:rPr>
          <w:sz w:val="22"/>
          <w:szCs w:val="22"/>
          <w:lang w:val="sr-Latn-RS"/>
        </w:rPr>
        <w:t>ij</w:t>
      </w:r>
      <w:r w:rsidRPr="009A2DB8">
        <w:rPr>
          <w:sz w:val="22"/>
          <w:szCs w:val="22"/>
          <w:lang w:val="sr-Latn-RS"/>
        </w:rPr>
        <w:t xml:space="preserve">ek Paracetamol </w:t>
      </w:r>
      <w:r w:rsidR="006F6D56" w:rsidRPr="009A2DB8">
        <w:rPr>
          <w:sz w:val="22"/>
          <w:szCs w:val="22"/>
          <w:lang w:val="sr-Latn-RS"/>
        </w:rPr>
        <w:t>Galenika</w:t>
      </w:r>
      <w:r w:rsidR="001C4D30" w:rsidRPr="009A2DB8">
        <w:rPr>
          <w:sz w:val="22"/>
          <w:szCs w:val="22"/>
          <w:lang w:val="sr-Latn-RS"/>
        </w:rPr>
        <w:t>,</w:t>
      </w:r>
      <w:r w:rsidR="006F6D56" w:rsidRPr="009A2DB8">
        <w:rPr>
          <w:sz w:val="22"/>
          <w:szCs w:val="22"/>
          <w:lang w:val="sr-Latn-RS"/>
        </w:rPr>
        <w:t xml:space="preserve"> </w:t>
      </w:r>
      <w:r w:rsidRPr="009A2DB8">
        <w:rPr>
          <w:sz w:val="22"/>
          <w:szCs w:val="22"/>
          <w:lang w:val="sr-Latn-RS"/>
        </w:rPr>
        <w:t>sirup</w:t>
      </w:r>
      <w:r w:rsidR="006F6D56" w:rsidRPr="009A2DB8">
        <w:rPr>
          <w:sz w:val="22"/>
          <w:szCs w:val="22"/>
          <w:lang w:val="sr-Latn-RS"/>
        </w:rPr>
        <w:t>,</w:t>
      </w:r>
      <w:r w:rsidRPr="009A2DB8">
        <w:rPr>
          <w:sz w:val="22"/>
          <w:szCs w:val="22"/>
          <w:lang w:val="sr-Latn-RS"/>
        </w:rPr>
        <w:t xml:space="preserve"> preporučuje</w:t>
      </w:r>
      <w:r w:rsidR="006F6D56" w:rsidRPr="009A2DB8">
        <w:rPr>
          <w:sz w:val="22"/>
          <w:szCs w:val="22"/>
          <w:lang w:val="sr-Latn-RS"/>
        </w:rPr>
        <w:t xml:space="preserve"> se</w:t>
      </w:r>
      <w:r w:rsidRPr="009A2DB8">
        <w:rPr>
          <w:sz w:val="22"/>
          <w:szCs w:val="22"/>
          <w:lang w:val="sr-Latn-RS"/>
        </w:rPr>
        <w:t xml:space="preserve"> za ublažavanje bolova kod izbijanja zuba,</w:t>
      </w:r>
      <w:r w:rsidR="00A0075C" w:rsidRPr="009A2DB8">
        <w:rPr>
          <w:sz w:val="22"/>
          <w:szCs w:val="22"/>
          <w:lang w:val="sr-Latn-RS"/>
        </w:rPr>
        <w:t xml:space="preserve"> </w:t>
      </w:r>
      <w:r w:rsidRPr="009A2DB8">
        <w:rPr>
          <w:sz w:val="22"/>
          <w:szCs w:val="22"/>
          <w:lang w:val="sr-Latn-RS"/>
        </w:rPr>
        <w:t>zubobolje i bolova u grlu, kao i za snižavanje povišene t</w:t>
      </w:r>
      <w:r w:rsidR="00464A4C">
        <w:rPr>
          <w:sz w:val="22"/>
          <w:szCs w:val="22"/>
          <w:lang w:val="sr-Latn-RS"/>
        </w:rPr>
        <w:t>j</w:t>
      </w:r>
      <w:r w:rsidRPr="009A2DB8">
        <w:rPr>
          <w:sz w:val="22"/>
          <w:szCs w:val="22"/>
          <w:lang w:val="sr-Latn-RS"/>
        </w:rPr>
        <w:t>elesne temperature koja često prati prehladu, grip i druge d</w:t>
      </w:r>
      <w:r w:rsidR="00464A4C">
        <w:rPr>
          <w:sz w:val="22"/>
          <w:szCs w:val="22"/>
          <w:lang w:val="sr-Latn-RS"/>
        </w:rPr>
        <w:t>j</w:t>
      </w:r>
      <w:r w:rsidRPr="009A2DB8">
        <w:rPr>
          <w:sz w:val="22"/>
          <w:szCs w:val="22"/>
          <w:lang w:val="sr-Latn-RS"/>
        </w:rPr>
        <w:t>ečje infektivne bolesti (kao što su ovčije boginje, veliki kašalj, male boginje i zauške).</w:t>
      </w:r>
    </w:p>
    <w:p w14:paraId="602E7BFE" w14:textId="77777777" w:rsidR="00DC024B" w:rsidRPr="009A2DB8" w:rsidRDefault="00DC024B" w:rsidP="00527F5D">
      <w:pPr>
        <w:rPr>
          <w:b/>
          <w:bCs/>
          <w:szCs w:val="22"/>
          <w:lang w:val="sr-Latn-RS"/>
        </w:rPr>
      </w:pPr>
    </w:p>
    <w:p w14:paraId="602E7BFF" w14:textId="58CDCBBF" w:rsidR="00DC024B" w:rsidRPr="009A2DB8" w:rsidRDefault="00DC024B" w:rsidP="00527F5D">
      <w:pPr>
        <w:rPr>
          <w:b/>
          <w:bCs/>
          <w:szCs w:val="22"/>
          <w:lang w:val="sr-Latn-RS"/>
        </w:rPr>
      </w:pPr>
      <w:r w:rsidRPr="009A2DB8">
        <w:rPr>
          <w:b/>
          <w:bCs/>
          <w:szCs w:val="22"/>
          <w:lang w:val="sr-Latn-RS"/>
        </w:rPr>
        <w:t>4.2. Doziranje i način prim</w:t>
      </w:r>
      <w:r w:rsidR="00464A4C">
        <w:rPr>
          <w:b/>
          <w:bCs/>
          <w:szCs w:val="22"/>
          <w:lang w:val="sr-Latn-RS"/>
        </w:rPr>
        <w:t>j</w:t>
      </w:r>
      <w:r w:rsidRPr="009A2DB8">
        <w:rPr>
          <w:b/>
          <w:bCs/>
          <w:szCs w:val="22"/>
          <w:lang w:val="sr-Latn-RS"/>
        </w:rPr>
        <w:t>ene</w:t>
      </w:r>
    </w:p>
    <w:p w14:paraId="602E7C00" w14:textId="77777777" w:rsidR="00DC024B" w:rsidRPr="009A2DB8" w:rsidRDefault="00DC024B" w:rsidP="006F77FB">
      <w:pPr>
        <w:pStyle w:val="Header"/>
        <w:rPr>
          <w:sz w:val="22"/>
          <w:szCs w:val="22"/>
          <w:lang w:val="sr-Latn-RS"/>
        </w:rPr>
      </w:pPr>
    </w:p>
    <w:p w14:paraId="602E7C01" w14:textId="0AADAB8F" w:rsidR="00DC024B" w:rsidRDefault="00DC024B" w:rsidP="00B16CC1">
      <w:pPr>
        <w:pStyle w:val="Header"/>
        <w:rPr>
          <w:sz w:val="22"/>
          <w:szCs w:val="22"/>
          <w:lang w:val="sr-Latn-RS"/>
        </w:rPr>
      </w:pPr>
      <w:r w:rsidRPr="009A2DB8">
        <w:rPr>
          <w:sz w:val="22"/>
          <w:szCs w:val="22"/>
          <w:lang w:val="sr-Latn-RS"/>
        </w:rPr>
        <w:t>L</w:t>
      </w:r>
      <w:r w:rsidR="00464A4C">
        <w:rPr>
          <w:sz w:val="22"/>
          <w:szCs w:val="22"/>
          <w:lang w:val="sr-Latn-RS"/>
        </w:rPr>
        <w:t>ij</w:t>
      </w:r>
      <w:r w:rsidRPr="009A2DB8">
        <w:rPr>
          <w:sz w:val="22"/>
          <w:szCs w:val="22"/>
          <w:lang w:val="sr-Latn-RS"/>
        </w:rPr>
        <w:t>ek je nam</w:t>
      </w:r>
      <w:r w:rsidR="00464A4C">
        <w:rPr>
          <w:sz w:val="22"/>
          <w:szCs w:val="22"/>
          <w:lang w:val="sr-Latn-RS"/>
        </w:rPr>
        <w:t>ij</w:t>
      </w:r>
      <w:r w:rsidRPr="009A2DB8">
        <w:rPr>
          <w:sz w:val="22"/>
          <w:szCs w:val="22"/>
          <w:lang w:val="sr-Latn-RS"/>
        </w:rPr>
        <w:t>enjen isključivo za oralnu prim</w:t>
      </w:r>
      <w:r w:rsidR="00464A4C">
        <w:rPr>
          <w:sz w:val="22"/>
          <w:szCs w:val="22"/>
          <w:lang w:val="sr-Latn-RS"/>
        </w:rPr>
        <w:t>j</w:t>
      </w:r>
      <w:r w:rsidRPr="009A2DB8">
        <w:rPr>
          <w:sz w:val="22"/>
          <w:szCs w:val="22"/>
          <w:lang w:val="sr-Latn-RS"/>
        </w:rPr>
        <w:t>enu kod d</w:t>
      </w:r>
      <w:r w:rsidR="00464A4C">
        <w:rPr>
          <w:sz w:val="22"/>
          <w:szCs w:val="22"/>
          <w:lang w:val="sr-Latn-RS"/>
        </w:rPr>
        <w:t>j</w:t>
      </w:r>
      <w:r w:rsidRPr="009A2DB8">
        <w:rPr>
          <w:sz w:val="22"/>
          <w:szCs w:val="22"/>
          <w:lang w:val="sr-Latn-RS"/>
        </w:rPr>
        <w:t>ece.</w:t>
      </w:r>
    </w:p>
    <w:p w14:paraId="439B43A6" w14:textId="0F089A09" w:rsidR="002E4E87" w:rsidRDefault="002E4E87" w:rsidP="00B16CC1">
      <w:pPr>
        <w:pStyle w:val="Header"/>
        <w:rPr>
          <w:sz w:val="22"/>
          <w:szCs w:val="22"/>
          <w:lang w:val="sr-Latn-RS"/>
        </w:rPr>
      </w:pPr>
    </w:p>
    <w:p w14:paraId="580A0257" w14:textId="3C9064BA" w:rsidR="002E4E87" w:rsidRPr="006E7CFE" w:rsidRDefault="002E4E87" w:rsidP="00B16CC1">
      <w:pPr>
        <w:pStyle w:val="Header"/>
        <w:rPr>
          <w:sz w:val="22"/>
          <w:szCs w:val="22"/>
          <w:u w:val="single"/>
          <w:lang w:val="sr-Latn-RS"/>
        </w:rPr>
      </w:pPr>
      <w:r w:rsidRPr="006E7CFE">
        <w:rPr>
          <w:sz w:val="22"/>
          <w:szCs w:val="22"/>
          <w:u w:val="single"/>
          <w:lang w:val="sr-Latn-RS"/>
        </w:rPr>
        <w:t>Doziranje</w:t>
      </w:r>
    </w:p>
    <w:p w14:paraId="0ABB1852" w14:textId="77777777" w:rsidR="00D55FC4" w:rsidRPr="009A2DB8" w:rsidRDefault="00D55FC4" w:rsidP="00B16CC1">
      <w:pPr>
        <w:pStyle w:val="Header"/>
        <w:rPr>
          <w:sz w:val="22"/>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7"/>
        <w:gridCol w:w="5052"/>
      </w:tblGrid>
      <w:tr w:rsidR="00DC024B" w:rsidRPr="009A2DB8" w14:paraId="602E7C04" w14:textId="77777777" w:rsidTr="006E7CFE">
        <w:trPr>
          <w:trHeight w:val="372"/>
        </w:trPr>
        <w:tc>
          <w:tcPr>
            <w:tcW w:w="4577" w:type="dxa"/>
            <w:vAlign w:val="center"/>
          </w:tcPr>
          <w:p w14:paraId="602E7C02" w14:textId="2F5971D2" w:rsidR="00DC024B" w:rsidRPr="009A2DB8" w:rsidRDefault="00DC024B" w:rsidP="0087079A">
            <w:pPr>
              <w:pStyle w:val="Header"/>
              <w:jc w:val="left"/>
              <w:rPr>
                <w:sz w:val="22"/>
                <w:szCs w:val="24"/>
                <w:lang w:val="sr-Latn-RS"/>
              </w:rPr>
            </w:pPr>
            <w:r w:rsidRPr="009A2DB8">
              <w:rPr>
                <w:sz w:val="22"/>
                <w:szCs w:val="22"/>
                <w:lang w:val="sr-Latn-RS"/>
              </w:rPr>
              <w:t xml:space="preserve">Uzrast: 2 </w:t>
            </w:r>
            <w:r w:rsidR="00D55FC4">
              <w:rPr>
                <w:sz w:val="22"/>
                <w:szCs w:val="22"/>
                <w:lang w:val="sr-Latn-RS"/>
              </w:rPr>
              <w:t>–</w:t>
            </w:r>
            <w:r w:rsidRPr="009A2DB8">
              <w:rPr>
                <w:sz w:val="22"/>
                <w:szCs w:val="22"/>
                <w:lang w:val="sr-Latn-RS"/>
              </w:rPr>
              <w:t xml:space="preserve"> 3 m</w:t>
            </w:r>
            <w:r w:rsidR="00464A4C">
              <w:rPr>
                <w:sz w:val="22"/>
                <w:szCs w:val="22"/>
                <w:lang w:val="sr-Latn-RS"/>
              </w:rPr>
              <w:t>j</w:t>
            </w:r>
            <w:r w:rsidRPr="009A2DB8">
              <w:rPr>
                <w:sz w:val="22"/>
                <w:szCs w:val="22"/>
                <w:lang w:val="sr-Latn-RS"/>
              </w:rPr>
              <w:t>eseca</w:t>
            </w:r>
          </w:p>
        </w:tc>
        <w:tc>
          <w:tcPr>
            <w:tcW w:w="5053" w:type="dxa"/>
            <w:tcBorders>
              <w:bottom w:val="single" w:sz="4" w:space="0" w:color="auto"/>
            </w:tcBorders>
            <w:vAlign w:val="center"/>
          </w:tcPr>
          <w:p w14:paraId="602E7C03" w14:textId="77777777" w:rsidR="00DC024B" w:rsidRPr="009A2DB8" w:rsidRDefault="00DC024B" w:rsidP="0087079A">
            <w:pPr>
              <w:pStyle w:val="Header"/>
              <w:jc w:val="left"/>
              <w:rPr>
                <w:sz w:val="22"/>
                <w:szCs w:val="24"/>
                <w:lang w:val="sr-Latn-RS"/>
              </w:rPr>
            </w:pPr>
            <w:r w:rsidRPr="009A2DB8">
              <w:rPr>
                <w:sz w:val="22"/>
                <w:szCs w:val="22"/>
                <w:lang w:val="sr-Latn-RS"/>
              </w:rPr>
              <w:t>Doza</w:t>
            </w:r>
          </w:p>
        </w:tc>
      </w:tr>
      <w:tr w:rsidR="00DC024B" w:rsidRPr="009A2DB8" w14:paraId="602E7C09" w14:textId="77777777" w:rsidTr="006E7CFE">
        <w:trPr>
          <w:trHeight w:val="591"/>
        </w:trPr>
        <w:tc>
          <w:tcPr>
            <w:tcW w:w="4577" w:type="dxa"/>
          </w:tcPr>
          <w:p w14:paraId="602E7C05" w14:textId="7D7BBBBA" w:rsidR="00DC024B" w:rsidRPr="009A2DB8" w:rsidRDefault="00DC024B" w:rsidP="006E7CFE">
            <w:pPr>
              <w:pStyle w:val="Header"/>
              <w:numPr>
                <w:ilvl w:val="0"/>
                <w:numId w:val="22"/>
              </w:numPr>
              <w:tabs>
                <w:tab w:val="clear" w:pos="4536"/>
                <w:tab w:val="clear" w:pos="9072"/>
              </w:tabs>
              <w:ind w:left="270" w:hanging="270"/>
              <w:jc w:val="left"/>
              <w:rPr>
                <w:sz w:val="22"/>
                <w:szCs w:val="24"/>
                <w:lang w:val="sr-Latn-RS"/>
              </w:rPr>
            </w:pPr>
            <w:r w:rsidRPr="009A2DB8">
              <w:rPr>
                <w:sz w:val="22"/>
                <w:szCs w:val="22"/>
                <w:lang w:val="sr-Latn-RS"/>
              </w:rPr>
              <w:t>Povišena t</w:t>
            </w:r>
            <w:r w:rsidR="00464A4C">
              <w:rPr>
                <w:sz w:val="22"/>
                <w:szCs w:val="22"/>
                <w:lang w:val="sr-Latn-RS"/>
              </w:rPr>
              <w:t>j</w:t>
            </w:r>
            <w:r w:rsidRPr="009A2DB8">
              <w:rPr>
                <w:sz w:val="22"/>
                <w:szCs w:val="22"/>
                <w:lang w:val="sr-Latn-RS"/>
              </w:rPr>
              <w:t>elesna temperatura nakon imunizacije</w:t>
            </w:r>
          </w:p>
        </w:tc>
        <w:tc>
          <w:tcPr>
            <w:tcW w:w="5053" w:type="dxa"/>
            <w:tcBorders>
              <w:bottom w:val="nil"/>
            </w:tcBorders>
          </w:tcPr>
          <w:p w14:paraId="602E7C07" w14:textId="0E389DA1" w:rsidR="00DC024B" w:rsidRPr="009A2DB8" w:rsidRDefault="00DC024B" w:rsidP="008C0CDF">
            <w:pPr>
              <w:pStyle w:val="Header"/>
              <w:rPr>
                <w:sz w:val="22"/>
                <w:szCs w:val="24"/>
                <w:lang w:val="sr-Latn-RS"/>
              </w:rPr>
            </w:pPr>
            <w:r w:rsidRPr="009A2DB8">
              <w:rPr>
                <w:sz w:val="22"/>
                <w:szCs w:val="22"/>
                <w:lang w:val="sr-Latn-RS"/>
              </w:rPr>
              <w:t>2,5 m</w:t>
            </w:r>
            <w:r w:rsidR="00464A4C">
              <w:rPr>
                <w:sz w:val="22"/>
                <w:szCs w:val="22"/>
                <w:lang w:val="sr-Latn-RS"/>
              </w:rPr>
              <w:t>l</w:t>
            </w:r>
          </w:p>
          <w:p w14:paraId="602E7C08" w14:textId="0632B913" w:rsidR="00DC024B" w:rsidRPr="009A2DB8" w:rsidRDefault="00DC024B" w:rsidP="008C0CDF">
            <w:pPr>
              <w:pStyle w:val="Header"/>
              <w:rPr>
                <w:sz w:val="22"/>
                <w:szCs w:val="24"/>
                <w:lang w:val="sr-Latn-RS"/>
              </w:rPr>
            </w:pPr>
          </w:p>
        </w:tc>
      </w:tr>
      <w:tr w:rsidR="00DC024B" w:rsidRPr="009A2DB8" w14:paraId="602E7C0E" w14:textId="77777777" w:rsidTr="006E7CFE">
        <w:trPr>
          <w:trHeight w:val="834"/>
        </w:trPr>
        <w:tc>
          <w:tcPr>
            <w:tcW w:w="4577" w:type="dxa"/>
            <w:vAlign w:val="center"/>
          </w:tcPr>
          <w:p w14:paraId="602E7C0A" w14:textId="62F2B3D0" w:rsidR="00DC024B" w:rsidRPr="00F32A11" w:rsidRDefault="00DC024B" w:rsidP="006E7CFE">
            <w:pPr>
              <w:pStyle w:val="Header"/>
              <w:numPr>
                <w:ilvl w:val="0"/>
                <w:numId w:val="22"/>
              </w:numPr>
              <w:ind w:left="272" w:hanging="272"/>
              <w:jc w:val="left"/>
              <w:rPr>
                <w:sz w:val="22"/>
                <w:szCs w:val="22"/>
                <w:lang w:val="sr-Latn-RS"/>
              </w:rPr>
            </w:pPr>
            <w:r w:rsidRPr="009A2DB8">
              <w:rPr>
                <w:sz w:val="22"/>
                <w:szCs w:val="22"/>
                <w:lang w:val="sr-Latn-RS"/>
              </w:rPr>
              <w:t xml:space="preserve">Drugi uzroci bola i </w:t>
            </w:r>
            <w:r w:rsidR="003236EB" w:rsidRPr="009A2DB8">
              <w:rPr>
                <w:sz w:val="22"/>
                <w:szCs w:val="22"/>
                <w:lang w:val="sr-Latn-RS"/>
              </w:rPr>
              <w:t>povišene t</w:t>
            </w:r>
            <w:r w:rsidR="00464A4C">
              <w:rPr>
                <w:sz w:val="22"/>
                <w:szCs w:val="22"/>
                <w:lang w:val="sr-Latn-RS"/>
              </w:rPr>
              <w:t>j</w:t>
            </w:r>
            <w:r w:rsidR="003236EB" w:rsidRPr="009A2DB8">
              <w:rPr>
                <w:sz w:val="22"/>
                <w:szCs w:val="22"/>
                <w:lang w:val="sr-Latn-RS"/>
              </w:rPr>
              <w:t xml:space="preserve">elesne temperature </w:t>
            </w:r>
            <w:r w:rsidRPr="006E7CFE">
              <w:rPr>
                <w:sz w:val="22"/>
                <w:szCs w:val="22"/>
                <w:lang w:val="sr-Latn-RS"/>
              </w:rPr>
              <w:t>samo</w:t>
            </w:r>
            <w:r w:rsidRPr="009A2DB8">
              <w:rPr>
                <w:sz w:val="22"/>
                <w:szCs w:val="22"/>
                <w:lang w:val="sr-Latn-RS"/>
              </w:rPr>
              <w:t xml:space="preserve"> ukoliko je:</w:t>
            </w:r>
          </w:p>
          <w:p w14:paraId="602E7C0B" w14:textId="13E92F52" w:rsidR="00DC024B" w:rsidRPr="00F32A11" w:rsidRDefault="00DC024B" w:rsidP="006E7CFE">
            <w:pPr>
              <w:pStyle w:val="Header"/>
              <w:numPr>
                <w:ilvl w:val="0"/>
                <w:numId w:val="25"/>
              </w:numPr>
              <w:ind w:left="589" w:hanging="283"/>
              <w:rPr>
                <w:sz w:val="22"/>
                <w:szCs w:val="22"/>
                <w:lang w:val="sr-Latn-RS"/>
              </w:rPr>
            </w:pPr>
            <w:r w:rsidRPr="009A2DB8">
              <w:rPr>
                <w:sz w:val="22"/>
                <w:szCs w:val="22"/>
                <w:lang w:val="sr-Latn-RS"/>
              </w:rPr>
              <w:t>t</w:t>
            </w:r>
            <w:r w:rsidR="00464A4C">
              <w:rPr>
                <w:sz w:val="22"/>
                <w:szCs w:val="22"/>
                <w:lang w:val="sr-Latn-RS"/>
              </w:rPr>
              <w:t>j</w:t>
            </w:r>
            <w:r w:rsidRPr="009A2DB8">
              <w:rPr>
                <w:sz w:val="22"/>
                <w:szCs w:val="22"/>
                <w:lang w:val="sr-Latn-RS"/>
              </w:rPr>
              <w:t>elesna masa preko 4 kg</w:t>
            </w:r>
          </w:p>
          <w:p w14:paraId="602E7C0C" w14:textId="73C920D2" w:rsidR="00DC024B" w:rsidRPr="009A2DB8" w:rsidRDefault="00DC024B" w:rsidP="006E7CFE">
            <w:pPr>
              <w:pStyle w:val="Header"/>
              <w:numPr>
                <w:ilvl w:val="0"/>
                <w:numId w:val="25"/>
              </w:numPr>
              <w:ind w:left="589" w:hanging="283"/>
              <w:rPr>
                <w:sz w:val="22"/>
                <w:szCs w:val="24"/>
                <w:lang w:val="sr-Latn-RS"/>
              </w:rPr>
            </w:pPr>
            <w:r w:rsidRPr="009A2DB8">
              <w:rPr>
                <w:sz w:val="22"/>
                <w:szCs w:val="22"/>
                <w:lang w:val="sr-Latn-RS"/>
              </w:rPr>
              <w:t>d</w:t>
            </w:r>
            <w:r w:rsidR="00464A4C">
              <w:rPr>
                <w:sz w:val="22"/>
                <w:szCs w:val="22"/>
                <w:lang w:val="sr-Latn-RS"/>
              </w:rPr>
              <w:t>ij</w:t>
            </w:r>
            <w:r w:rsidRPr="009A2DB8">
              <w:rPr>
                <w:sz w:val="22"/>
                <w:szCs w:val="22"/>
                <w:lang w:val="sr-Latn-RS"/>
              </w:rPr>
              <w:t>ete rođeno nakon 37 ned</w:t>
            </w:r>
            <w:r w:rsidR="00464A4C">
              <w:rPr>
                <w:sz w:val="22"/>
                <w:szCs w:val="22"/>
                <w:lang w:val="sr-Latn-RS"/>
              </w:rPr>
              <w:t>j</w:t>
            </w:r>
            <w:r w:rsidRPr="009A2DB8">
              <w:rPr>
                <w:sz w:val="22"/>
                <w:szCs w:val="22"/>
                <w:lang w:val="sr-Latn-RS"/>
              </w:rPr>
              <w:t>elja</w:t>
            </w:r>
          </w:p>
        </w:tc>
        <w:tc>
          <w:tcPr>
            <w:tcW w:w="5053" w:type="dxa"/>
            <w:tcBorders>
              <w:top w:val="nil"/>
            </w:tcBorders>
          </w:tcPr>
          <w:p w14:paraId="602E7C0D" w14:textId="703382CD" w:rsidR="00DC024B" w:rsidRPr="009A2DB8" w:rsidRDefault="00D55FC4" w:rsidP="0087079A">
            <w:pPr>
              <w:pStyle w:val="Header"/>
              <w:jc w:val="left"/>
              <w:rPr>
                <w:sz w:val="22"/>
                <w:szCs w:val="24"/>
                <w:lang w:val="sr-Latn-RS"/>
              </w:rPr>
            </w:pPr>
            <w:r w:rsidRPr="009A2DB8">
              <w:rPr>
                <w:sz w:val="22"/>
                <w:szCs w:val="22"/>
                <w:lang w:val="sr-Latn-RS"/>
              </w:rPr>
              <w:t>Ako je potrebno</w:t>
            </w:r>
            <w:r>
              <w:rPr>
                <w:sz w:val="22"/>
                <w:szCs w:val="22"/>
                <w:lang w:val="sr-Latn-RS"/>
              </w:rPr>
              <w:t>,</w:t>
            </w:r>
            <w:r w:rsidRPr="009A2DB8">
              <w:rPr>
                <w:sz w:val="22"/>
                <w:szCs w:val="22"/>
                <w:lang w:val="sr-Latn-RS"/>
              </w:rPr>
              <w:t xml:space="preserve"> nakon 4 </w:t>
            </w:r>
            <w:r>
              <w:rPr>
                <w:sz w:val="22"/>
                <w:szCs w:val="22"/>
                <w:lang w:val="sr-Latn-RS"/>
              </w:rPr>
              <w:t>–</w:t>
            </w:r>
            <w:r w:rsidRPr="009A2DB8">
              <w:rPr>
                <w:sz w:val="22"/>
                <w:szCs w:val="22"/>
                <w:lang w:val="sr-Latn-RS"/>
              </w:rPr>
              <w:t xml:space="preserve"> 6 h dati drugu dozu                    od 2,5 m</w:t>
            </w:r>
            <w:r>
              <w:rPr>
                <w:sz w:val="22"/>
                <w:szCs w:val="22"/>
                <w:lang w:val="sr-Latn-RS"/>
              </w:rPr>
              <w:t>l.</w:t>
            </w:r>
          </w:p>
        </w:tc>
      </w:tr>
      <w:tr w:rsidR="00DC024B" w:rsidRPr="009A2DB8" w14:paraId="602E7C13" w14:textId="77777777" w:rsidTr="00AB6BBD">
        <w:trPr>
          <w:trHeight w:val="1161"/>
        </w:trPr>
        <w:tc>
          <w:tcPr>
            <w:tcW w:w="9630" w:type="dxa"/>
            <w:gridSpan w:val="2"/>
            <w:vAlign w:val="center"/>
          </w:tcPr>
          <w:p w14:paraId="602E7C0F" w14:textId="05FD15CC" w:rsidR="00DC024B" w:rsidRPr="00F32A11" w:rsidRDefault="00DC024B" w:rsidP="006E7CFE">
            <w:pPr>
              <w:pStyle w:val="Header"/>
              <w:numPr>
                <w:ilvl w:val="0"/>
                <w:numId w:val="25"/>
              </w:numPr>
              <w:ind w:left="306" w:hanging="284"/>
              <w:rPr>
                <w:sz w:val="22"/>
                <w:szCs w:val="22"/>
                <w:lang w:val="sr-Latn-RS"/>
              </w:rPr>
            </w:pPr>
            <w:r w:rsidRPr="009A2DB8">
              <w:rPr>
                <w:sz w:val="22"/>
                <w:szCs w:val="22"/>
                <w:lang w:val="sr-Latn-RS"/>
              </w:rPr>
              <w:t>L</w:t>
            </w:r>
            <w:r w:rsidR="00464A4C">
              <w:rPr>
                <w:sz w:val="22"/>
                <w:szCs w:val="22"/>
                <w:lang w:val="sr-Latn-RS"/>
              </w:rPr>
              <w:t>ij</w:t>
            </w:r>
            <w:r w:rsidRPr="009A2DB8">
              <w:rPr>
                <w:sz w:val="22"/>
                <w:szCs w:val="22"/>
                <w:lang w:val="sr-Latn-RS"/>
              </w:rPr>
              <w:t>ek ne prim</w:t>
            </w:r>
            <w:r w:rsidR="00464A4C">
              <w:rPr>
                <w:sz w:val="22"/>
                <w:szCs w:val="22"/>
                <w:lang w:val="sr-Latn-RS"/>
              </w:rPr>
              <w:t>j</w:t>
            </w:r>
            <w:r w:rsidRPr="009A2DB8">
              <w:rPr>
                <w:sz w:val="22"/>
                <w:szCs w:val="22"/>
                <w:lang w:val="sr-Latn-RS"/>
              </w:rPr>
              <w:t>enjivati kod beba uzrasta ispod 2 m</w:t>
            </w:r>
            <w:r w:rsidR="00464A4C">
              <w:rPr>
                <w:sz w:val="22"/>
                <w:szCs w:val="22"/>
                <w:lang w:val="sr-Latn-RS"/>
              </w:rPr>
              <w:t>j</w:t>
            </w:r>
            <w:r w:rsidRPr="009A2DB8">
              <w:rPr>
                <w:sz w:val="22"/>
                <w:szCs w:val="22"/>
                <w:lang w:val="sr-Latn-RS"/>
              </w:rPr>
              <w:t>eseca</w:t>
            </w:r>
            <w:r w:rsidR="00D55FC4">
              <w:rPr>
                <w:sz w:val="22"/>
                <w:szCs w:val="22"/>
                <w:lang w:val="sr-Latn-RS"/>
              </w:rPr>
              <w:t>.</w:t>
            </w:r>
          </w:p>
          <w:p w14:paraId="602E7C10" w14:textId="5939F02D" w:rsidR="00DC024B" w:rsidRPr="00F32A11" w:rsidRDefault="00DC024B" w:rsidP="006E7CFE">
            <w:pPr>
              <w:pStyle w:val="Header"/>
              <w:numPr>
                <w:ilvl w:val="0"/>
                <w:numId w:val="25"/>
              </w:numPr>
              <w:ind w:left="306" w:hanging="284"/>
              <w:rPr>
                <w:sz w:val="22"/>
                <w:szCs w:val="22"/>
                <w:lang w:val="sr-Latn-RS"/>
              </w:rPr>
            </w:pPr>
            <w:r w:rsidRPr="009A2DB8">
              <w:rPr>
                <w:sz w:val="22"/>
                <w:szCs w:val="22"/>
                <w:lang w:val="sr-Latn-RS"/>
              </w:rPr>
              <w:t>Ne prim</w:t>
            </w:r>
            <w:r w:rsidR="00464A4C">
              <w:rPr>
                <w:sz w:val="22"/>
                <w:szCs w:val="22"/>
                <w:lang w:val="sr-Latn-RS"/>
              </w:rPr>
              <w:t>j</w:t>
            </w:r>
            <w:r w:rsidRPr="009A2DB8">
              <w:rPr>
                <w:sz w:val="22"/>
                <w:szCs w:val="22"/>
                <w:lang w:val="sr-Latn-RS"/>
              </w:rPr>
              <w:t>enjivati više od dv</w:t>
            </w:r>
            <w:r w:rsidR="00464A4C">
              <w:rPr>
                <w:sz w:val="22"/>
                <w:szCs w:val="22"/>
                <w:lang w:val="sr-Latn-RS"/>
              </w:rPr>
              <w:t>ij</w:t>
            </w:r>
            <w:r w:rsidRPr="009A2DB8">
              <w:rPr>
                <w:sz w:val="22"/>
                <w:szCs w:val="22"/>
                <w:lang w:val="sr-Latn-RS"/>
              </w:rPr>
              <w:t>e doze l</w:t>
            </w:r>
            <w:r w:rsidR="00464A4C">
              <w:rPr>
                <w:sz w:val="22"/>
                <w:szCs w:val="22"/>
                <w:lang w:val="sr-Latn-RS"/>
              </w:rPr>
              <w:t>ij</w:t>
            </w:r>
            <w:r w:rsidRPr="009A2DB8">
              <w:rPr>
                <w:sz w:val="22"/>
                <w:szCs w:val="22"/>
                <w:lang w:val="sr-Latn-RS"/>
              </w:rPr>
              <w:t>eka</w:t>
            </w:r>
            <w:r w:rsidR="00D55FC4">
              <w:rPr>
                <w:sz w:val="22"/>
                <w:szCs w:val="22"/>
                <w:lang w:val="sr-Latn-RS"/>
              </w:rPr>
              <w:t>.</w:t>
            </w:r>
          </w:p>
          <w:p w14:paraId="602E7C11" w14:textId="1EBFC99D" w:rsidR="00DC024B" w:rsidRPr="00F32A11" w:rsidRDefault="00DC024B" w:rsidP="006E7CFE">
            <w:pPr>
              <w:pStyle w:val="Header"/>
              <w:numPr>
                <w:ilvl w:val="0"/>
                <w:numId w:val="25"/>
              </w:numPr>
              <w:ind w:left="306" w:hanging="284"/>
              <w:rPr>
                <w:sz w:val="22"/>
                <w:szCs w:val="22"/>
                <w:lang w:val="sr-Latn-RS"/>
              </w:rPr>
            </w:pPr>
            <w:r w:rsidRPr="009A2DB8">
              <w:rPr>
                <w:sz w:val="22"/>
                <w:szCs w:val="22"/>
                <w:lang w:val="sr-Latn-RS"/>
              </w:rPr>
              <w:t>L</w:t>
            </w:r>
            <w:r w:rsidR="00464A4C">
              <w:rPr>
                <w:sz w:val="22"/>
                <w:szCs w:val="22"/>
                <w:lang w:val="sr-Latn-RS"/>
              </w:rPr>
              <w:t>ij</w:t>
            </w:r>
            <w:r w:rsidRPr="009A2DB8">
              <w:rPr>
                <w:sz w:val="22"/>
                <w:szCs w:val="22"/>
                <w:lang w:val="sr-Latn-RS"/>
              </w:rPr>
              <w:t>ek prim</w:t>
            </w:r>
            <w:r w:rsidR="00464A4C">
              <w:rPr>
                <w:sz w:val="22"/>
                <w:szCs w:val="22"/>
                <w:lang w:val="sr-Latn-RS"/>
              </w:rPr>
              <w:t>j</w:t>
            </w:r>
            <w:r w:rsidRPr="009A2DB8">
              <w:rPr>
                <w:sz w:val="22"/>
                <w:szCs w:val="22"/>
                <w:lang w:val="sr-Latn-RS"/>
              </w:rPr>
              <w:t>enjivati u intervalu od najmanje 4 sata između doza</w:t>
            </w:r>
            <w:r w:rsidR="00D55FC4">
              <w:rPr>
                <w:sz w:val="22"/>
                <w:szCs w:val="22"/>
                <w:lang w:val="sr-Latn-RS"/>
              </w:rPr>
              <w:t>.</w:t>
            </w:r>
          </w:p>
          <w:p w14:paraId="602E7C12" w14:textId="0C3E067D" w:rsidR="00DC024B" w:rsidRPr="009A2DB8" w:rsidRDefault="00DC024B" w:rsidP="006E7CFE">
            <w:pPr>
              <w:pStyle w:val="Header"/>
              <w:numPr>
                <w:ilvl w:val="0"/>
                <w:numId w:val="25"/>
              </w:numPr>
              <w:ind w:left="306" w:hanging="284"/>
              <w:rPr>
                <w:sz w:val="22"/>
                <w:szCs w:val="24"/>
                <w:lang w:val="sr-Latn-RS"/>
              </w:rPr>
            </w:pPr>
            <w:r w:rsidRPr="009A2DB8">
              <w:rPr>
                <w:sz w:val="22"/>
                <w:szCs w:val="22"/>
                <w:lang w:val="sr-Latn-RS"/>
              </w:rPr>
              <w:t>Ukoliko je potrebno prim</w:t>
            </w:r>
            <w:r w:rsidR="00735844">
              <w:rPr>
                <w:sz w:val="22"/>
                <w:szCs w:val="22"/>
                <w:lang w:val="sr-Latn-RS"/>
              </w:rPr>
              <w:t>i</w:t>
            </w:r>
            <w:r w:rsidR="00464A4C">
              <w:rPr>
                <w:sz w:val="22"/>
                <w:szCs w:val="22"/>
                <w:lang w:val="sr-Latn-RS"/>
              </w:rPr>
              <w:t>j</w:t>
            </w:r>
            <w:r w:rsidRPr="009A2DB8">
              <w:rPr>
                <w:sz w:val="22"/>
                <w:szCs w:val="22"/>
                <w:lang w:val="sr-Latn-RS"/>
              </w:rPr>
              <w:t>eniti više od dv</w:t>
            </w:r>
            <w:r w:rsidR="00464A4C">
              <w:rPr>
                <w:sz w:val="22"/>
                <w:szCs w:val="22"/>
                <w:lang w:val="sr-Latn-RS"/>
              </w:rPr>
              <w:t>ij</w:t>
            </w:r>
            <w:r w:rsidRPr="009A2DB8">
              <w:rPr>
                <w:sz w:val="22"/>
                <w:szCs w:val="22"/>
                <w:lang w:val="sr-Latn-RS"/>
              </w:rPr>
              <w:t xml:space="preserve">e doze, konsultovati </w:t>
            </w:r>
            <w:r w:rsidR="00735844">
              <w:rPr>
                <w:sz w:val="22"/>
                <w:szCs w:val="22"/>
                <w:lang w:val="sr-Latn-RS"/>
              </w:rPr>
              <w:t xml:space="preserve">se sa </w:t>
            </w:r>
            <w:r w:rsidRPr="009A2DB8">
              <w:rPr>
                <w:sz w:val="22"/>
                <w:szCs w:val="22"/>
                <w:lang w:val="sr-Latn-RS"/>
              </w:rPr>
              <w:t>l</w:t>
            </w:r>
            <w:r w:rsidR="00464A4C">
              <w:rPr>
                <w:sz w:val="22"/>
                <w:szCs w:val="22"/>
                <w:lang w:val="sr-Latn-RS"/>
              </w:rPr>
              <w:t>j</w:t>
            </w:r>
            <w:r w:rsidRPr="009A2DB8">
              <w:rPr>
                <w:sz w:val="22"/>
                <w:szCs w:val="22"/>
                <w:lang w:val="sr-Latn-RS"/>
              </w:rPr>
              <w:t>ekar</w:t>
            </w:r>
            <w:r w:rsidR="00735844">
              <w:rPr>
                <w:sz w:val="22"/>
                <w:szCs w:val="22"/>
                <w:lang w:val="sr-Latn-RS"/>
              </w:rPr>
              <w:t>om ili farmaceutom</w:t>
            </w:r>
            <w:r w:rsidRPr="009A2DB8">
              <w:rPr>
                <w:sz w:val="22"/>
                <w:szCs w:val="22"/>
                <w:lang w:val="sr-Latn-RS"/>
              </w:rPr>
              <w:t>.</w:t>
            </w:r>
          </w:p>
        </w:tc>
      </w:tr>
    </w:tbl>
    <w:p w14:paraId="602E7C14" w14:textId="77777777" w:rsidR="00DC024B" w:rsidRPr="009A2DB8" w:rsidRDefault="00DC024B" w:rsidP="00F0347F">
      <w:pPr>
        <w:pStyle w:val="Header"/>
        <w:jc w:val="left"/>
        <w:rPr>
          <w:sz w:val="22"/>
          <w:szCs w:val="22"/>
          <w:lang w:val="sr-Latn-RS"/>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1"/>
        <w:gridCol w:w="3319"/>
        <w:gridCol w:w="3100"/>
      </w:tblGrid>
      <w:tr w:rsidR="00DC024B" w:rsidRPr="009A2DB8" w14:paraId="602E7C18" w14:textId="77777777" w:rsidTr="00AB6BBD">
        <w:tc>
          <w:tcPr>
            <w:tcW w:w="3211" w:type="dxa"/>
            <w:vAlign w:val="center"/>
          </w:tcPr>
          <w:p w14:paraId="602E7C15" w14:textId="2E8B0322" w:rsidR="00DC024B" w:rsidRPr="009A2DB8" w:rsidRDefault="00DC024B" w:rsidP="00AB6BBD">
            <w:pPr>
              <w:pStyle w:val="Header"/>
              <w:jc w:val="left"/>
              <w:rPr>
                <w:sz w:val="22"/>
                <w:szCs w:val="24"/>
                <w:lang w:val="sr-Latn-RS"/>
              </w:rPr>
            </w:pPr>
            <w:r w:rsidRPr="009A2DB8">
              <w:rPr>
                <w:sz w:val="22"/>
                <w:szCs w:val="22"/>
                <w:lang w:val="sr-Latn-RS"/>
              </w:rPr>
              <w:t>Uzrast d</w:t>
            </w:r>
            <w:r w:rsidR="00464A4C">
              <w:rPr>
                <w:sz w:val="22"/>
                <w:szCs w:val="22"/>
                <w:lang w:val="sr-Latn-RS"/>
              </w:rPr>
              <w:t>j</w:t>
            </w:r>
            <w:r w:rsidRPr="009A2DB8">
              <w:rPr>
                <w:sz w:val="22"/>
                <w:szCs w:val="22"/>
                <w:lang w:val="sr-Latn-RS"/>
              </w:rPr>
              <w:t>eteta</w:t>
            </w:r>
          </w:p>
        </w:tc>
        <w:tc>
          <w:tcPr>
            <w:tcW w:w="3319" w:type="dxa"/>
            <w:vAlign w:val="center"/>
          </w:tcPr>
          <w:p w14:paraId="602E7C16" w14:textId="03A23152" w:rsidR="00DC024B" w:rsidRPr="009A2DB8" w:rsidRDefault="00DC024B" w:rsidP="00AB6BBD">
            <w:pPr>
              <w:pStyle w:val="Header"/>
              <w:jc w:val="left"/>
              <w:rPr>
                <w:sz w:val="22"/>
                <w:szCs w:val="24"/>
                <w:lang w:val="sr-Latn-RS"/>
              </w:rPr>
            </w:pPr>
            <w:r w:rsidRPr="009A2DB8">
              <w:rPr>
                <w:sz w:val="22"/>
                <w:szCs w:val="22"/>
                <w:lang w:val="sr-Latn-RS"/>
              </w:rPr>
              <w:t>Doza l</w:t>
            </w:r>
            <w:r w:rsidR="00464A4C">
              <w:rPr>
                <w:sz w:val="22"/>
                <w:szCs w:val="22"/>
                <w:lang w:val="sr-Latn-RS"/>
              </w:rPr>
              <w:t>ij</w:t>
            </w:r>
            <w:r w:rsidRPr="009A2DB8">
              <w:rPr>
                <w:sz w:val="22"/>
                <w:szCs w:val="22"/>
                <w:lang w:val="sr-Latn-RS"/>
              </w:rPr>
              <w:t>eka</w:t>
            </w:r>
          </w:p>
        </w:tc>
        <w:tc>
          <w:tcPr>
            <w:tcW w:w="3100" w:type="dxa"/>
            <w:vAlign w:val="center"/>
          </w:tcPr>
          <w:p w14:paraId="602E7C17" w14:textId="77777777" w:rsidR="00DC024B" w:rsidRPr="009A2DB8" w:rsidRDefault="00DC024B" w:rsidP="00AB6BBD">
            <w:pPr>
              <w:pStyle w:val="Header"/>
              <w:jc w:val="left"/>
              <w:rPr>
                <w:sz w:val="22"/>
                <w:szCs w:val="24"/>
                <w:lang w:val="sr-Latn-RS"/>
              </w:rPr>
            </w:pPr>
            <w:r w:rsidRPr="009A2DB8">
              <w:rPr>
                <w:sz w:val="22"/>
                <w:szCs w:val="22"/>
                <w:lang w:val="sr-Latn-RS"/>
              </w:rPr>
              <w:t>Učestalost doziranja u toku 24 h</w:t>
            </w:r>
          </w:p>
        </w:tc>
      </w:tr>
      <w:tr w:rsidR="00DC024B" w:rsidRPr="009A2DB8" w14:paraId="602E7C1C" w14:textId="77777777" w:rsidTr="00AB6BBD">
        <w:tc>
          <w:tcPr>
            <w:tcW w:w="3211" w:type="dxa"/>
            <w:vAlign w:val="center"/>
          </w:tcPr>
          <w:p w14:paraId="602E7C19" w14:textId="428B9864" w:rsidR="00DC024B" w:rsidRPr="009A2DB8" w:rsidRDefault="00DC024B" w:rsidP="00AB6BBD">
            <w:pPr>
              <w:pStyle w:val="Header"/>
              <w:jc w:val="left"/>
              <w:rPr>
                <w:sz w:val="22"/>
                <w:szCs w:val="24"/>
                <w:lang w:val="sr-Latn-RS"/>
              </w:rPr>
            </w:pPr>
            <w:r w:rsidRPr="009A2DB8">
              <w:rPr>
                <w:sz w:val="22"/>
                <w:szCs w:val="22"/>
                <w:lang w:val="sr-Latn-RS"/>
              </w:rPr>
              <w:t xml:space="preserve">3 </w:t>
            </w:r>
            <w:r w:rsidR="00735844">
              <w:rPr>
                <w:sz w:val="22"/>
                <w:szCs w:val="22"/>
                <w:lang w:val="sr-Latn-RS"/>
              </w:rPr>
              <w:t>–</w:t>
            </w:r>
            <w:r w:rsidRPr="009A2DB8">
              <w:rPr>
                <w:sz w:val="22"/>
                <w:szCs w:val="22"/>
                <w:lang w:val="sr-Latn-RS"/>
              </w:rPr>
              <w:t xml:space="preserve"> 6 m</w:t>
            </w:r>
            <w:r w:rsidR="00464A4C">
              <w:rPr>
                <w:sz w:val="22"/>
                <w:szCs w:val="22"/>
                <w:lang w:val="sr-Latn-RS"/>
              </w:rPr>
              <w:t>j</w:t>
            </w:r>
            <w:r w:rsidRPr="009A2DB8">
              <w:rPr>
                <w:sz w:val="22"/>
                <w:szCs w:val="22"/>
                <w:lang w:val="sr-Latn-RS"/>
              </w:rPr>
              <w:t>eseci</w:t>
            </w:r>
          </w:p>
        </w:tc>
        <w:tc>
          <w:tcPr>
            <w:tcW w:w="3319" w:type="dxa"/>
            <w:vAlign w:val="center"/>
          </w:tcPr>
          <w:p w14:paraId="602E7C1A" w14:textId="0E200497" w:rsidR="00DC024B" w:rsidRPr="009A2DB8" w:rsidRDefault="00DC024B" w:rsidP="00AB6BBD">
            <w:pPr>
              <w:pStyle w:val="Header"/>
              <w:jc w:val="left"/>
              <w:rPr>
                <w:sz w:val="22"/>
                <w:szCs w:val="24"/>
                <w:lang w:val="sr-Latn-RS"/>
              </w:rPr>
            </w:pPr>
            <w:r w:rsidRPr="009A2DB8">
              <w:rPr>
                <w:sz w:val="22"/>
                <w:szCs w:val="22"/>
                <w:lang w:val="sr-Latn-RS"/>
              </w:rPr>
              <w:t>2,5 m</w:t>
            </w:r>
            <w:r w:rsidR="00464A4C">
              <w:rPr>
                <w:sz w:val="22"/>
                <w:szCs w:val="22"/>
                <w:lang w:val="sr-Latn-RS"/>
              </w:rPr>
              <w:t>l</w:t>
            </w:r>
          </w:p>
        </w:tc>
        <w:tc>
          <w:tcPr>
            <w:tcW w:w="3100" w:type="dxa"/>
            <w:vAlign w:val="center"/>
          </w:tcPr>
          <w:p w14:paraId="602E7C1B" w14:textId="77777777" w:rsidR="00DC024B" w:rsidRPr="009A2DB8" w:rsidRDefault="00DC024B" w:rsidP="00AB6BBD">
            <w:pPr>
              <w:pStyle w:val="Header"/>
              <w:jc w:val="left"/>
              <w:rPr>
                <w:sz w:val="22"/>
                <w:szCs w:val="24"/>
                <w:lang w:val="sr-Latn-RS"/>
              </w:rPr>
            </w:pPr>
            <w:r w:rsidRPr="009A2DB8">
              <w:rPr>
                <w:sz w:val="22"/>
                <w:szCs w:val="22"/>
                <w:lang w:val="sr-Latn-RS"/>
              </w:rPr>
              <w:t xml:space="preserve">4 puta </w:t>
            </w:r>
          </w:p>
        </w:tc>
      </w:tr>
      <w:tr w:rsidR="00DC024B" w:rsidRPr="009A2DB8" w14:paraId="602E7C20" w14:textId="77777777" w:rsidTr="00AB6BBD">
        <w:tc>
          <w:tcPr>
            <w:tcW w:w="3211" w:type="dxa"/>
            <w:vAlign w:val="center"/>
          </w:tcPr>
          <w:p w14:paraId="602E7C1D" w14:textId="4C2280AA" w:rsidR="00DC024B" w:rsidRPr="009A2DB8" w:rsidRDefault="00DC024B" w:rsidP="00AB6BBD">
            <w:pPr>
              <w:pStyle w:val="Header"/>
              <w:jc w:val="left"/>
              <w:rPr>
                <w:sz w:val="22"/>
                <w:szCs w:val="24"/>
                <w:lang w:val="sr-Latn-RS"/>
              </w:rPr>
            </w:pPr>
            <w:r w:rsidRPr="009A2DB8">
              <w:rPr>
                <w:sz w:val="22"/>
                <w:szCs w:val="22"/>
                <w:lang w:val="sr-Latn-RS"/>
              </w:rPr>
              <w:t xml:space="preserve">6 </w:t>
            </w:r>
            <w:r w:rsidR="00735844">
              <w:rPr>
                <w:sz w:val="22"/>
                <w:szCs w:val="22"/>
                <w:lang w:val="sr-Latn-RS"/>
              </w:rPr>
              <w:t>–</w:t>
            </w:r>
            <w:r w:rsidRPr="009A2DB8">
              <w:rPr>
                <w:sz w:val="22"/>
                <w:szCs w:val="22"/>
                <w:lang w:val="sr-Latn-RS"/>
              </w:rPr>
              <w:t xml:space="preserve"> 24 m</w:t>
            </w:r>
            <w:r w:rsidR="00464A4C">
              <w:rPr>
                <w:sz w:val="22"/>
                <w:szCs w:val="22"/>
                <w:lang w:val="sr-Latn-RS"/>
              </w:rPr>
              <w:t>j</w:t>
            </w:r>
            <w:r w:rsidRPr="009A2DB8">
              <w:rPr>
                <w:sz w:val="22"/>
                <w:szCs w:val="22"/>
                <w:lang w:val="sr-Latn-RS"/>
              </w:rPr>
              <w:t>eseca</w:t>
            </w:r>
          </w:p>
        </w:tc>
        <w:tc>
          <w:tcPr>
            <w:tcW w:w="3319" w:type="dxa"/>
            <w:vAlign w:val="center"/>
          </w:tcPr>
          <w:p w14:paraId="602E7C1E" w14:textId="6A119C32" w:rsidR="00DC024B" w:rsidRPr="009A2DB8" w:rsidRDefault="00DC024B" w:rsidP="00AB6BBD">
            <w:pPr>
              <w:pStyle w:val="Header"/>
              <w:jc w:val="left"/>
              <w:rPr>
                <w:sz w:val="22"/>
                <w:szCs w:val="24"/>
                <w:lang w:val="sr-Latn-RS"/>
              </w:rPr>
            </w:pPr>
            <w:r w:rsidRPr="009A2DB8">
              <w:rPr>
                <w:sz w:val="22"/>
                <w:szCs w:val="22"/>
                <w:lang w:val="sr-Latn-RS"/>
              </w:rPr>
              <w:t>5 m</w:t>
            </w:r>
            <w:r w:rsidR="00464A4C">
              <w:rPr>
                <w:sz w:val="22"/>
                <w:szCs w:val="22"/>
                <w:lang w:val="sr-Latn-RS"/>
              </w:rPr>
              <w:t>l</w:t>
            </w:r>
          </w:p>
        </w:tc>
        <w:tc>
          <w:tcPr>
            <w:tcW w:w="3100" w:type="dxa"/>
            <w:vAlign w:val="center"/>
          </w:tcPr>
          <w:p w14:paraId="602E7C1F" w14:textId="77777777" w:rsidR="00DC024B" w:rsidRPr="009A2DB8" w:rsidRDefault="00DC024B" w:rsidP="00AB6BBD">
            <w:pPr>
              <w:pStyle w:val="Header"/>
              <w:jc w:val="left"/>
              <w:rPr>
                <w:sz w:val="22"/>
                <w:szCs w:val="24"/>
                <w:lang w:val="sr-Latn-RS"/>
              </w:rPr>
            </w:pPr>
            <w:r w:rsidRPr="009A2DB8">
              <w:rPr>
                <w:sz w:val="22"/>
                <w:szCs w:val="22"/>
                <w:lang w:val="sr-Latn-RS"/>
              </w:rPr>
              <w:t xml:space="preserve">4 puta </w:t>
            </w:r>
          </w:p>
        </w:tc>
      </w:tr>
      <w:tr w:rsidR="00DC024B" w:rsidRPr="009A2DB8" w14:paraId="602E7C24" w14:textId="77777777" w:rsidTr="00AB6BBD">
        <w:tc>
          <w:tcPr>
            <w:tcW w:w="3211" w:type="dxa"/>
            <w:vAlign w:val="center"/>
          </w:tcPr>
          <w:p w14:paraId="602E7C21" w14:textId="62AED7DE" w:rsidR="00DC024B" w:rsidRPr="009A2DB8" w:rsidRDefault="00DC024B" w:rsidP="00AB6BBD">
            <w:pPr>
              <w:pStyle w:val="Header"/>
              <w:jc w:val="left"/>
              <w:rPr>
                <w:sz w:val="22"/>
                <w:szCs w:val="24"/>
                <w:lang w:val="sr-Latn-RS"/>
              </w:rPr>
            </w:pPr>
            <w:r w:rsidRPr="009A2DB8">
              <w:rPr>
                <w:sz w:val="22"/>
                <w:szCs w:val="22"/>
                <w:lang w:val="sr-Latn-RS"/>
              </w:rPr>
              <w:t xml:space="preserve"> 2 </w:t>
            </w:r>
            <w:r w:rsidR="00735844">
              <w:rPr>
                <w:sz w:val="22"/>
                <w:szCs w:val="22"/>
                <w:lang w:val="sr-Latn-RS"/>
              </w:rPr>
              <w:t>–</w:t>
            </w:r>
            <w:r w:rsidRPr="009A2DB8">
              <w:rPr>
                <w:sz w:val="22"/>
                <w:szCs w:val="22"/>
                <w:lang w:val="sr-Latn-RS"/>
              </w:rPr>
              <w:t xml:space="preserve"> 4 godine</w:t>
            </w:r>
          </w:p>
        </w:tc>
        <w:tc>
          <w:tcPr>
            <w:tcW w:w="3319" w:type="dxa"/>
            <w:vAlign w:val="center"/>
          </w:tcPr>
          <w:p w14:paraId="602E7C22" w14:textId="286B47E2" w:rsidR="00DC024B" w:rsidRPr="009A2DB8" w:rsidRDefault="00DC024B" w:rsidP="00AB6BBD">
            <w:pPr>
              <w:pStyle w:val="Header"/>
              <w:jc w:val="left"/>
              <w:rPr>
                <w:sz w:val="22"/>
                <w:szCs w:val="24"/>
                <w:lang w:val="sr-Latn-RS"/>
              </w:rPr>
            </w:pPr>
            <w:r w:rsidRPr="009A2DB8">
              <w:rPr>
                <w:sz w:val="22"/>
                <w:szCs w:val="22"/>
                <w:lang w:val="sr-Latn-RS"/>
              </w:rPr>
              <w:t>7,5 m</w:t>
            </w:r>
            <w:r w:rsidR="00464A4C">
              <w:rPr>
                <w:sz w:val="22"/>
                <w:szCs w:val="22"/>
                <w:lang w:val="sr-Latn-RS"/>
              </w:rPr>
              <w:t>l</w:t>
            </w:r>
          </w:p>
        </w:tc>
        <w:tc>
          <w:tcPr>
            <w:tcW w:w="3100" w:type="dxa"/>
            <w:vAlign w:val="center"/>
          </w:tcPr>
          <w:p w14:paraId="602E7C23" w14:textId="77777777" w:rsidR="00DC024B" w:rsidRPr="009A2DB8" w:rsidRDefault="00DC024B" w:rsidP="00AB6BBD">
            <w:pPr>
              <w:pStyle w:val="Header"/>
              <w:jc w:val="left"/>
              <w:rPr>
                <w:sz w:val="22"/>
                <w:szCs w:val="24"/>
                <w:lang w:val="sr-Latn-RS"/>
              </w:rPr>
            </w:pPr>
            <w:r w:rsidRPr="009A2DB8">
              <w:rPr>
                <w:sz w:val="22"/>
                <w:szCs w:val="22"/>
                <w:lang w:val="sr-Latn-RS"/>
              </w:rPr>
              <w:t xml:space="preserve">4 puta </w:t>
            </w:r>
          </w:p>
        </w:tc>
      </w:tr>
      <w:tr w:rsidR="00DC024B" w:rsidRPr="009A2DB8" w14:paraId="602E7C28" w14:textId="77777777" w:rsidTr="00AB6BBD">
        <w:tc>
          <w:tcPr>
            <w:tcW w:w="3211" w:type="dxa"/>
            <w:vAlign w:val="center"/>
          </w:tcPr>
          <w:p w14:paraId="602E7C25" w14:textId="689C4D44" w:rsidR="00DC024B" w:rsidRPr="009A2DB8" w:rsidRDefault="00DC024B" w:rsidP="00AB6BBD">
            <w:pPr>
              <w:pStyle w:val="Header"/>
              <w:jc w:val="left"/>
              <w:rPr>
                <w:sz w:val="22"/>
                <w:szCs w:val="24"/>
                <w:lang w:val="sr-Latn-RS"/>
              </w:rPr>
            </w:pPr>
            <w:r w:rsidRPr="009A2DB8">
              <w:rPr>
                <w:sz w:val="22"/>
                <w:szCs w:val="22"/>
                <w:lang w:val="sr-Latn-RS"/>
              </w:rPr>
              <w:lastRenderedPageBreak/>
              <w:t xml:space="preserve"> 4 </w:t>
            </w:r>
            <w:r w:rsidR="00735844">
              <w:rPr>
                <w:sz w:val="22"/>
                <w:szCs w:val="22"/>
                <w:lang w:val="sr-Latn-RS"/>
              </w:rPr>
              <w:t>–</w:t>
            </w:r>
            <w:r w:rsidRPr="009A2DB8">
              <w:rPr>
                <w:sz w:val="22"/>
                <w:szCs w:val="22"/>
                <w:lang w:val="sr-Latn-RS"/>
              </w:rPr>
              <w:t xml:space="preserve"> 8 godina</w:t>
            </w:r>
          </w:p>
        </w:tc>
        <w:tc>
          <w:tcPr>
            <w:tcW w:w="3319" w:type="dxa"/>
            <w:vAlign w:val="center"/>
          </w:tcPr>
          <w:p w14:paraId="602E7C26" w14:textId="4F64327A" w:rsidR="00DC024B" w:rsidRPr="009A2DB8" w:rsidRDefault="00DC024B" w:rsidP="00AB6BBD">
            <w:pPr>
              <w:pStyle w:val="Header"/>
              <w:jc w:val="left"/>
              <w:rPr>
                <w:sz w:val="22"/>
                <w:szCs w:val="24"/>
                <w:lang w:val="sr-Latn-RS"/>
              </w:rPr>
            </w:pPr>
            <w:r w:rsidRPr="009A2DB8">
              <w:rPr>
                <w:sz w:val="22"/>
                <w:szCs w:val="22"/>
                <w:lang w:val="sr-Latn-RS"/>
              </w:rPr>
              <w:t>10 m</w:t>
            </w:r>
            <w:r w:rsidR="00464A4C">
              <w:rPr>
                <w:sz w:val="22"/>
                <w:szCs w:val="22"/>
                <w:lang w:val="sr-Latn-RS"/>
              </w:rPr>
              <w:t>l</w:t>
            </w:r>
          </w:p>
        </w:tc>
        <w:tc>
          <w:tcPr>
            <w:tcW w:w="3100" w:type="dxa"/>
            <w:vAlign w:val="center"/>
          </w:tcPr>
          <w:p w14:paraId="602E7C27" w14:textId="77777777" w:rsidR="00DC024B" w:rsidRPr="009A2DB8" w:rsidRDefault="00DC024B" w:rsidP="00AB6BBD">
            <w:pPr>
              <w:pStyle w:val="Header"/>
              <w:jc w:val="left"/>
              <w:rPr>
                <w:sz w:val="22"/>
                <w:szCs w:val="24"/>
                <w:lang w:val="sr-Latn-RS"/>
              </w:rPr>
            </w:pPr>
            <w:r w:rsidRPr="009A2DB8">
              <w:rPr>
                <w:sz w:val="22"/>
                <w:szCs w:val="22"/>
                <w:lang w:val="sr-Latn-RS"/>
              </w:rPr>
              <w:t xml:space="preserve">4 puta </w:t>
            </w:r>
          </w:p>
        </w:tc>
      </w:tr>
      <w:tr w:rsidR="00DC024B" w:rsidRPr="009A2DB8" w14:paraId="602E7C2C" w14:textId="77777777" w:rsidTr="00AB6BBD">
        <w:tc>
          <w:tcPr>
            <w:tcW w:w="3211" w:type="dxa"/>
            <w:vAlign w:val="center"/>
          </w:tcPr>
          <w:p w14:paraId="602E7C29" w14:textId="4F4D1FF0" w:rsidR="00DC024B" w:rsidRPr="009A2DB8" w:rsidRDefault="00DC024B" w:rsidP="00AB6BBD">
            <w:pPr>
              <w:pStyle w:val="Header"/>
              <w:jc w:val="left"/>
              <w:rPr>
                <w:sz w:val="22"/>
                <w:szCs w:val="24"/>
                <w:lang w:val="sr-Latn-RS"/>
              </w:rPr>
            </w:pPr>
            <w:r w:rsidRPr="009A2DB8">
              <w:rPr>
                <w:sz w:val="22"/>
                <w:szCs w:val="22"/>
                <w:lang w:val="sr-Latn-RS"/>
              </w:rPr>
              <w:t xml:space="preserve"> 8 </w:t>
            </w:r>
            <w:r w:rsidR="00735844">
              <w:rPr>
                <w:sz w:val="22"/>
                <w:szCs w:val="22"/>
                <w:lang w:val="sr-Latn-RS"/>
              </w:rPr>
              <w:t>–</w:t>
            </w:r>
            <w:r w:rsidRPr="009A2DB8">
              <w:rPr>
                <w:sz w:val="22"/>
                <w:szCs w:val="22"/>
                <w:lang w:val="sr-Latn-RS"/>
              </w:rPr>
              <w:t xml:space="preserve"> 10 godina </w:t>
            </w:r>
          </w:p>
        </w:tc>
        <w:tc>
          <w:tcPr>
            <w:tcW w:w="3319" w:type="dxa"/>
            <w:vAlign w:val="center"/>
          </w:tcPr>
          <w:p w14:paraId="602E7C2A" w14:textId="327C21A0" w:rsidR="00DC024B" w:rsidRPr="009A2DB8" w:rsidRDefault="00DC024B" w:rsidP="00AB6BBD">
            <w:pPr>
              <w:pStyle w:val="Header"/>
              <w:jc w:val="left"/>
              <w:rPr>
                <w:sz w:val="22"/>
                <w:szCs w:val="24"/>
                <w:lang w:val="sr-Latn-RS"/>
              </w:rPr>
            </w:pPr>
            <w:r w:rsidRPr="009A2DB8">
              <w:rPr>
                <w:sz w:val="22"/>
                <w:szCs w:val="22"/>
                <w:lang w:val="sr-Latn-RS"/>
              </w:rPr>
              <w:t>15 m</w:t>
            </w:r>
            <w:r w:rsidR="00464A4C">
              <w:rPr>
                <w:sz w:val="22"/>
                <w:szCs w:val="22"/>
                <w:lang w:val="sr-Latn-RS"/>
              </w:rPr>
              <w:t>l</w:t>
            </w:r>
          </w:p>
        </w:tc>
        <w:tc>
          <w:tcPr>
            <w:tcW w:w="3100" w:type="dxa"/>
            <w:vAlign w:val="center"/>
          </w:tcPr>
          <w:p w14:paraId="602E7C2B" w14:textId="77777777" w:rsidR="00DC024B" w:rsidRPr="009A2DB8" w:rsidRDefault="00DC024B" w:rsidP="00AB6BBD">
            <w:pPr>
              <w:pStyle w:val="Header"/>
              <w:jc w:val="left"/>
              <w:rPr>
                <w:sz w:val="22"/>
                <w:szCs w:val="24"/>
                <w:lang w:val="sr-Latn-RS"/>
              </w:rPr>
            </w:pPr>
            <w:r w:rsidRPr="009A2DB8">
              <w:rPr>
                <w:sz w:val="22"/>
                <w:szCs w:val="22"/>
                <w:lang w:val="sr-Latn-RS"/>
              </w:rPr>
              <w:t xml:space="preserve">4 puta </w:t>
            </w:r>
          </w:p>
        </w:tc>
      </w:tr>
      <w:tr w:rsidR="00DC024B" w:rsidRPr="009A2DB8" w14:paraId="602E7C30" w14:textId="77777777" w:rsidTr="00AB6BBD">
        <w:trPr>
          <w:trHeight w:val="282"/>
        </w:trPr>
        <w:tc>
          <w:tcPr>
            <w:tcW w:w="3211" w:type="dxa"/>
            <w:vAlign w:val="center"/>
          </w:tcPr>
          <w:p w14:paraId="602E7C2D" w14:textId="5CCF2C27" w:rsidR="00DC024B" w:rsidRPr="009A2DB8" w:rsidRDefault="00DC024B" w:rsidP="00AB6BBD">
            <w:pPr>
              <w:pStyle w:val="Header"/>
              <w:jc w:val="left"/>
              <w:rPr>
                <w:sz w:val="22"/>
                <w:szCs w:val="24"/>
                <w:lang w:val="sr-Latn-RS"/>
              </w:rPr>
            </w:pPr>
            <w:r w:rsidRPr="009A2DB8">
              <w:rPr>
                <w:sz w:val="22"/>
                <w:szCs w:val="22"/>
                <w:lang w:val="sr-Latn-RS"/>
              </w:rPr>
              <w:t xml:space="preserve">10 </w:t>
            </w:r>
            <w:r w:rsidR="00735844">
              <w:rPr>
                <w:sz w:val="22"/>
                <w:szCs w:val="22"/>
                <w:lang w:val="sr-Latn-RS"/>
              </w:rPr>
              <w:t>–</w:t>
            </w:r>
            <w:r w:rsidRPr="009A2DB8">
              <w:rPr>
                <w:sz w:val="22"/>
                <w:szCs w:val="22"/>
                <w:lang w:val="sr-Latn-RS"/>
              </w:rPr>
              <w:t xml:space="preserve"> 12 godina</w:t>
            </w:r>
          </w:p>
        </w:tc>
        <w:tc>
          <w:tcPr>
            <w:tcW w:w="3319" w:type="dxa"/>
            <w:vAlign w:val="center"/>
          </w:tcPr>
          <w:p w14:paraId="602E7C2E" w14:textId="553BCAF6" w:rsidR="00DC024B" w:rsidRPr="009A2DB8" w:rsidRDefault="00DC024B" w:rsidP="00AB6BBD">
            <w:pPr>
              <w:pStyle w:val="Header"/>
              <w:jc w:val="left"/>
              <w:rPr>
                <w:sz w:val="22"/>
                <w:szCs w:val="24"/>
                <w:lang w:val="sr-Latn-RS"/>
              </w:rPr>
            </w:pPr>
            <w:r w:rsidRPr="009A2DB8">
              <w:rPr>
                <w:sz w:val="22"/>
                <w:szCs w:val="22"/>
                <w:lang w:val="sr-Latn-RS"/>
              </w:rPr>
              <w:t>20 m</w:t>
            </w:r>
            <w:r w:rsidR="00464A4C">
              <w:rPr>
                <w:sz w:val="22"/>
                <w:szCs w:val="22"/>
                <w:lang w:val="sr-Latn-RS"/>
              </w:rPr>
              <w:t>l</w:t>
            </w:r>
          </w:p>
        </w:tc>
        <w:tc>
          <w:tcPr>
            <w:tcW w:w="3100" w:type="dxa"/>
            <w:vAlign w:val="center"/>
          </w:tcPr>
          <w:p w14:paraId="602E7C2F" w14:textId="77777777" w:rsidR="00DC024B" w:rsidRPr="009A2DB8" w:rsidRDefault="00DC024B" w:rsidP="00AB6BBD">
            <w:pPr>
              <w:pStyle w:val="Header"/>
              <w:jc w:val="left"/>
              <w:rPr>
                <w:sz w:val="22"/>
                <w:szCs w:val="24"/>
                <w:lang w:val="sr-Latn-RS"/>
              </w:rPr>
            </w:pPr>
            <w:r w:rsidRPr="009A2DB8">
              <w:rPr>
                <w:sz w:val="22"/>
                <w:szCs w:val="22"/>
                <w:lang w:val="sr-Latn-RS"/>
              </w:rPr>
              <w:t xml:space="preserve">4 puta </w:t>
            </w:r>
          </w:p>
        </w:tc>
      </w:tr>
      <w:tr w:rsidR="00DC024B" w:rsidRPr="009A2DB8" w14:paraId="602E7C35" w14:textId="77777777" w:rsidTr="0056626C">
        <w:trPr>
          <w:trHeight w:val="1056"/>
        </w:trPr>
        <w:tc>
          <w:tcPr>
            <w:tcW w:w="9630" w:type="dxa"/>
            <w:gridSpan w:val="3"/>
          </w:tcPr>
          <w:p w14:paraId="602E7C31" w14:textId="79CDC1C2" w:rsidR="00DC024B" w:rsidRPr="00F32A11" w:rsidRDefault="00DC024B" w:rsidP="006E7CFE">
            <w:pPr>
              <w:pStyle w:val="Header"/>
              <w:numPr>
                <w:ilvl w:val="0"/>
                <w:numId w:val="25"/>
              </w:numPr>
              <w:ind w:left="306" w:hanging="284"/>
              <w:rPr>
                <w:sz w:val="22"/>
                <w:szCs w:val="22"/>
                <w:lang w:val="sr-Latn-RS"/>
              </w:rPr>
            </w:pPr>
            <w:r w:rsidRPr="009A2DB8">
              <w:rPr>
                <w:sz w:val="22"/>
                <w:szCs w:val="22"/>
                <w:lang w:val="sr-Latn-RS"/>
              </w:rPr>
              <w:t>Ne prim</w:t>
            </w:r>
            <w:r w:rsidR="00464A4C">
              <w:rPr>
                <w:sz w:val="22"/>
                <w:szCs w:val="22"/>
                <w:lang w:val="sr-Latn-RS"/>
              </w:rPr>
              <w:t>j</w:t>
            </w:r>
            <w:r w:rsidRPr="009A2DB8">
              <w:rPr>
                <w:sz w:val="22"/>
                <w:szCs w:val="22"/>
                <w:lang w:val="sr-Latn-RS"/>
              </w:rPr>
              <w:t>enjivati više od 4 doze l</w:t>
            </w:r>
            <w:r w:rsidR="00464A4C">
              <w:rPr>
                <w:sz w:val="22"/>
                <w:szCs w:val="22"/>
                <w:lang w:val="sr-Latn-RS"/>
              </w:rPr>
              <w:t>ij</w:t>
            </w:r>
            <w:r w:rsidRPr="009A2DB8">
              <w:rPr>
                <w:sz w:val="22"/>
                <w:szCs w:val="22"/>
                <w:lang w:val="sr-Latn-RS"/>
              </w:rPr>
              <w:t>eka u toku 24 sata.</w:t>
            </w:r>
          </w:p>
          <w:p w14:paraId="602E7C32" w14:textId="658306A5" w:rsidR="00DC024B" w:rsidRPr="00F32A11" w:rsidRDefault="00DC024B" w:rsidP="006E7CFE">
            <w:pPr>
              <w:pStyle w:val="Header"/>
              <w:numPr>
                <w:ilvl w:val="0"/>
                <w:numId w:val="25"/>
              </w:numPr>
              <w:ind w:left="306" w:hanging="284"/>
              <w:rPr>
                <w:sz w:val="22"/>
                <w:szCs w:val="22"/>
                <w:lang w:val="sr-Latn-RS"/>
              </w:rPr>
            </w:pPr>
            <w:r w:rsidRPr="009A2DB8">
              <w:rPr>
                <w:sz w:val="22"/>
                <w:szCs w:val="22"/>
                <w:lang w:val="sr-Latn-RS"/>
              </w:rPr>
              <w:t>Neophodno je da prođe najmanje 4 sata između doza.</w:t>
            </w:r>
          </w:p>
          <w:p w14:paraId="602E7C33" w14:textId="36514F93" w:rsidR="00DC024B" w:rsidRPr="00F32A11" w:rsidRDefault="00DC024B" w:rsidP="006E7CFE">
            <w:pPr>
              <w:pStyle w:val="Header"/>
              <w:numPr>
                <w:ilvl w:val="0"/>
                <w:numId w:val="25"/>
              </w:numPr>
              <w:ind w:left="306" w:hanging="284"/>
              <w:rPr>
                <w:sz w:val="22"/>
                <w:szCs w:val="22"/>
                <w:lang w:val="sr-Latn-RS"/>
              </w:rPr>
            </w:pPr>
            <w:r w:rsidRPr="009A2DB8">
              <w:rPr>
                <w:sz w:val="22"/>
                <w:szCs w:val="22"/>
                <w:lang w:val="sr-Latn-RS"/>
              </w:rPr>
              <w:t>Treba prim</w:t>
            </w:r>
            <w:r w:rsidR="00464A4C">
              <w:rPr>
                <w:sz w:val="22"/>
                <w:szCs w:val="22"/>
                <w:lang w:val="sr-Latn-RS"/>
              </w:rPr>
              <w:t>ij</w:t>
            </w:r>
            <w:r w:rsidRPr="009A2DB8">
              <w:rPr>
                <w:sz w:val="22"/>
                <w:szCs w:val="22"/>
                <w:lang w:val="sr-Latn-RS"/>
              </w:rPr>
              <w:t>eniti najnižu dozu neophodnu za postizanje efekta.</w:t>
            </w:r>
          </w:p>
          <w:p w14:paraId="602E7C34" w14:textId="699FF907" w:rsidR="00DC024B" w:rsidRPr="00F32A11" w:rsidRDefault="00DC024B" w:rsidP="006E7CFE">
            <w:pPr>
              <w:pStyle w:val="Header"/>
              <w:numPr>
                <w:ilvl w:val="0"/>
                <w:numId w:val="25"/>
              </w:numPr>
              <w:ind w:left="306" w:hanging="284"/>
              <w:rPr>
                <w:sz w:val="22"/>
                <w:szCs w:val="22"/>
                <w:lang w:val="sr-Latn-RS"/>
              </w:rPr>
            </w:pPr>
            <w:r w:rsidRPr="009A2DB8">
              <w:rPr>
                <w:sz w:val="22"/>
                <w:szCs w:val="22"/>
                <w:lang w:val="sr-Latn-RS"/>
              </w:rPr>
              <w:t>L</w:t>
            </w:r>
            <w:r w:rsidR="00464A4C">
              <w:rPr>
                <w:sz w:val="22"/>
                <w:szCs w:val="22"/>
                <w:lang w:val="sr-Latn-RS"/>
              </w:rPr>
              <w:t>ij</w:t>
            </w:r>
            <w:r w:rsidRPr="009A2DB8">
              <w:rPr>
                <w:sz w:val="22"/>
                <w:szCs w:val="22"/>
                <w:lang w:val="sr-Latn-RS"/>
              </w:rPr>
              <w:t>ek se ne sm</w:t>
            </w:r>
            <w:r w:rsidR="00464A4C">
              <w:rPr>
                <w:sz w:val="22"/>
                <w:szCs w:val="22"/>
                <w:lang w:val="sr-Latn-RS"/>
              </w:rPr>
              <w:t>ij</w:t>
            </w:r>
            <w:r w:rsidRPr="009A2DB8">
              <w:rPr>
                <w:sz w:val="22"/>
                <w:szCs w:val="22"/>
                <w:lang w:val="sr-Latn-RS"/>
              </w:rPr>
              <w:t>e prim</w:t>
            </w:r>
            <w:r w:rsidR="00464A4C">
              <w:rPr>
                <w:sz w:val="22"/>
                <w:szCs w:val="22"/>
                <w:lang w:val="sr-Latn-RS"/>
              </w:rPr>
              <w:t>je</w:t>
            </w:r>
            <w:r w:rsidRPr="009A2DB8">
              <w:rPr>
                <w:sz w:val="22"/>
                <w:szCs w:val="22"/>
                <w:lang w:val="sr-Latn-RS"/>
              </w:rPr>
              <w:t>njivati kod d</w:t>
            </w:r>
            <w:r w:rsidR="00464A4C">
              <w:rPr>
                <w:sz w:val="22"/>
                <w:szCs w:val="22"/>
                <w:lang w:val="sr-Latn-RS"/>
              </w:rPr>
              <w:t>j</w:t>
            </w:r>
            <w:r w:rsidRPr="009A2DB8">
              <w:rPr>
                <w:sz w:val="22"/>
                <w:szCs w:val="22"/>
                <w:lang w:val="sr-Latn-RS"/>
              </w:rPr>
              <w:t xml:space="preserve">ece duže od 3 dana bez </w:t>
            </w:r>
            <w:r w:rsidR="00735844">
              <w:rPr>
                <w:sz w:val="22"/>
                <w:szCs w:val="22"/>
                <w:lang w:val="sr-Latn-RS"/>
              </w:rPr>
              <w:t>konsultovanja sa ljekarom ili farmaceutom</w:t>
            </w:r>
            <w:r w:rsidRPr="009A2DB8">
              <w:rPr>
                <w:sz w:val="22"/>
                <w:szCs w:val="22"/>
                <w:lang w:val="sr-Latn-RS"/>
              </w:rPr>
              <w:t>.</w:t>
            </w:r>
          </w:p>
        </w:tc>
      </w:tr>
    </w:tbl>
    <w:p w14:paraId="602E7C36" w14:textId="77777777" w:rsidR="00DC024B" w:rsidRPr="009A2DB8" w:rsidRDefault="00DC024B" w:rsidP="00527F5D">
      <w:pPr>
        <w:rPr>
          <w:szCs w:val="22"/>
          <w:lang w:val="sr-Latn-RS"/>
        </w:rPr>
      </w:pPr>
    </w:p>
    <w:p w14:paraId="602E7C37" w14:textId="38321F63" w:rsidR="00DC024B" w:rsidRPr="009A2DB8" w:rsidRDefault="00DC024B" w:rsidP="008C0CDF">
      <w:pPr>
        <w:pStyle w:val="Header"/>
        <w:rPr>
          <w:sz w:val="22"/>
          <w:szCs w:val="22"/>
          <w:lang w:val="sr-Latn-RS"/>
        </w:rPr>
      </w:pPr>
      <w:r w:rsidRPr="009A2DB8">
        <w:rPr>
          <w:sz w:val="22"/>
          <w:szCs w:val="22"/>
          <w:lang w:val="sr-Latn-RS"/>
        </w:rPr>
        <w:t xml:space="preserve">Važno je </w:t>
      </w:r>
      <w:r w:rsidRPr="009A2DB8">
        <w:rPr>
          <w:b/>
          <w:sz w:val="22"/>
          <w:szCs w:val="22"/>
          <w:lang w:val="sr-Latn-RS"/>
        </w:rPr>
        <w:t>promućkati bočicu</w:t>
      </w:r>
      <w:r w:rsidRPr="009A2DB8">
        <w:rPr>
          <w:sz w:val="22"/>
          <w:szCs w:val="22"/>
          <w:lang w:val="sr-Latn-RS"/>
        </w:rPr>
        <w:t xml:space="preserve"> u trajanju od najmanje 10 sekundi pr</w:t>
      </w:r>
      <w:r w:rsidR="00464A4C">
        <w:rPr>
          <w:sz w:val="22"/>
          <w:szCs w:val="22"/>
          <w:lang w:val="sr-Latn-RS"/>
        </w:rPr>
        <w:t>ij</w:t>
      </w:r>
      <w:r w:rsidRPr="009A2DB8">
        <w:rPr>
          <w:sz w:val="22"/>
          <w:szCs w:val="22"/>
          <w:lang w:val="sr-Latn-RS"/>
        </w:rPr>
        <w:t>e prim</w:t>
      </w:r>
      <w:r w:rsidR="00464A4C">
        <w:rPr>
          <w:sz w:val="22"/>
          <w:szCs w:val="22"/>
          <w:lang w:val="sr-Latn-RS"/>
        </w:rPr>
        <w:t>j</w:t>
      </w:r>
      <w:r w:rsidRPr="009A2DB8">
        <w:rPr>
          <w:sz w:val="22"/>
          <w:szCs w:val="22"/>
          <w:lang w:val="sr-Latn-RS"/>
        </w:rPr>
        <w:t>ene l</w:t>
      </w:r>
      <w:r w:rsidR="00464A4C">
        <w:rPr>
          <w:sz w:val="22"/>
          <w:szCs w:val="22"/>
          <w:lang w:val="sr-Latn-RS"/>
        </w:rPr>
        <w:t>ij</w:t>
      </w:r>
      <w:r w:rsidRPr="009A2DB8">
        <w:rPr>
          <w:sz w:val="22"/>
          <w:szCs w:val="22"/>
          <w:lang w:val="sr-Latn-RS"/>
        </w:rPr>
        <w:t>eka.</w:t>
      </w:r>
    </w:p>
    <w:p w14:paraId="602E7C38" w14:textId="77777777" w:rsidR="00DC024B" w:rsidRPr="009A2DB8" w:rsidRDefault="00DC024B" w:rsidP="008C0CDF">
      <w:pPr>
        <w:pStyle w:val="Header"/>
        <w:rPr>
          <w:sz w:val="22"/>
          <w:szCs w:val="22"/>
          <w:lang w:val="sr-Latn-RS"/>
        </w:rPr>
      </w:pPr>
    </w:p>
    <w:p w14:paraId="602E7C39" w14:textId="5028CB5C" w:rsidR="00DC024B" w:rsidRPr="009A2DB8" w:rsidRDefault="006F6D56" w:rsidP="008C0CDF">
      <w:pPr>
        <w:pStyle w:val="Header"/>
        <w:rPr>
          <w:sz w:val="22"/>
          <w:szCs w:val="22"/>
          <w:lang w:val="sr-Latn-RS"/>
        </w:rPr>
      </w:pPr>
      <w:r w:rsidRPr="009A2DB8">
        <w:rPr>
          <w:sz w:val="22"/>
          <w:szCs w:val="22"/>
          <w:lang w:val="sr-Latn-RS"/>
        </w:rPr>
        <w:t>Ukoliko je Vaše d</w:t>
      </w:r>
      <w:r w:rsidR="00464A4C">
        <w:rPr>
          <w:sz w:val="22"/>
          <w:szCs w:val="22"/>
          <w:lang w:val="sr-Latn-RS"/>
        </w:rPr>
        <w:t>ij</w:t>
      </w:r>
      <w:r w:rsidRPr="009A2DB8">
        <w:rPr>
          <w:sz w:val="22"/>
          <w:szCs w:val="22"/>
          <w:lang w:val="sr-Latn-RS"/>
        </w:rPr>
        <w:t xml:space="preserve">ete </w:t>
      </w:r>
      <w:r w:rsidR="00DC024B" w:rsidRPr="009A2DB8">
        <w:rPr>
          <w:sz w:val="22"/>
          <w:szCs w:val="22"/>
          <w:lang w:val="sr-Latn-RS"/>
        </w:rPr>
        <w:t>pr</w:t>
      </w:r>
      <w:r w:rsidR="00464A4C">
        <w:rPr>
          <w:sz w:val="22"/>
          <w:szCs w:val="22"/>
          <w:lang w:val="sr-Latn-RS"/>
        </w:rPr>
        <w:t>ij</w:t>
      </w:r>
      <w:r w:rsidR="00DC024B" w:rsidRPr="009A2DB8">
        <w:rPr>
          <w:sz w:val="22"/>
          <w:szCs w:val="22"/>
          <w:lang w:val="sr-Latn-RS"/>
        </w:rPr>
        <w:t xml:space="preserve">evremeno rođeno </w:t>
      </w:r>
      <w:r w:rsidRPr="009A2DB8">
        <w:rPr>
          <w:sz w:val="22"/>
          <w:szCs w:val="22"/>
          <w:lang w:val="sr-Latn-RS"/>
        </w:rPr>
        <w:t>i</w:t>
      </w:r>
      <w:r w:rsidR="00DC024B" w:rsidRPr="009A2DB8">
        <w:rPr>
          <w:sz w:val="22"/>
          <w:szCs w:val="22"/>
          <w:lang w:val="sr-Latn-RS"/>
        </w:rPr>
        <w:t xml:space="preserve"> </w:t>
      </w:r>
      <w:r w:rsidRPr="009A2DB8">
        <w:rPr>
          <w:sz w:val="22"/>
          <w:szCs w:val="22"/>
          <w:lang w:val="sr-Latn-RS"/>
        </w:rPr>
        <w:t>mlađe od</w:t>
      </w:r>
      <w:r w:rsidR="00DC024B" w:rsidRPr="009A2DB8">
        <w:rPr>
          <w:sz w:val="22"/>
          <w:szCs w:val="22"/>
          <w:lang w:val="sr-Latn-RS"/>
        </w:rPr>
        <w:t xml:space="preserve"> 3 m</w:t>
      </w:r>
      <w:r w:rsidR="00464A4C">
        <w:rPr>
          <w:sz w:val="22"/>
          <w:szCs w:val="22"/>
          <w:lang w:val="sr-Latn-RS"/>
        </w:rPr>
        <w:t>j</w:t>
      </w:r>
      <w:r w:rsidR="00DC024B" w:rsidRPr="009A2DB8">
        <w:rPr>
          <w:sz w:val="22"/>
          <w:szCs w:val="22"/>
          <w:lang w:val="sr-Latn-RS"/>
        </w:rPr>
        <w:t xml:space="preserve">eseca, </w:t>
      </w:r>
      <w:r w:rsidR="00735844">
        <w:rPr>
          <w:sz w:val="22"/>
          <w:szCs w:val="22"/>
          <w:lang w:val="sr-Latn-RS"/>
        </w:rPr>
        <w:t>potrebno je</w:t>
      </w:r>
      <w:r w:rsidR="00735844" w:rsidRPr="009A2DB8">
        <w:rPr>
          <w:sz w:val="22"/>
          <w:szCs w:val="22"/>
          <w:lang w:val="sr-Latn-RS"/>
        </w:rPr>
        <w:t xml:space="preserve"> </w:t>
      </w:r>
      <w:r w:rsidR="00DC024B" w:rsidRPr="009A2DB8">
        <w:rPr>
          <w:sz w:val="22"/>
          <w:szCs w:val="22"/>
          <w:lang w:val="sr-Latn-RS"/>
        </w:rPr>
        <w:t xml:space="preserve">konsultovati </w:t>
      </w:r>
      <w:r w:rsidR="00735844">
        <w:rPr>
          <w:sz w:val="22"/>
          <w:szCs w:val="22"/>
          <w:lang w:val="sr-Latn-RS"/>
        </w:rPr>
        <w:t xml:space="preserve">se sa </w:t>
      </w:r>
      <w:r w:rsidR="00DC024B" w:rsidRPr="009A2DB8">
        <w:rPr>
          <w:sz w:val="22"/>
          <w:szCs w:val="22"/>
          <w:lang w:val="sr-Latn-RS"/>
        </w:rPr>
        <w:t>l</w:t>
      </w:r>
      <w:r w:rsidR="00464A4C">
        <w:rPr>
          <w:sz w:val="22"/>
          <w:szCs w:val="22"/>
          <w:lang w:val="sr-Latn-RS"/>
        </w:rPr>
        <w:t>j</w:t>
      </w:r>
      <w:r w:rsidR="00DC024B" w:rsidRPr="009A2DB8">
        <w:rPr>
          <w:sz w:val="22"/>
          <w:szCs w:val="22"/>
          <w:lang w:val="sr-Latn-RS"/>
        </w:rPr>
        <w:t>ekar</w:t>
      </w:r>
      <w:r w:rsidR="00735844">
        <w:rPr>
          <w:sz w:val="22"/>
          <w:szCs w:val="22"/>
          <w:lang w:val="sr-Latn-RS"/>
        </w:rPr>
        <w:t>om</w:t>
      </w:r>
      <w:r w:rsidR="00DC024B" w:rsidRPr="009A2DB8">
        <w:rPr>
          <w:sz w:val="22"/>
          <w:szCs w:val="22"/>
          <w:lang w:val="sr-Latn-RS"/>
        </w:rPr>
        <w:t xml:space="preserve"> pr</w:t>
      </w:r>
      <w:r w:rsidR="00464A4C">
        <w:rPr>
          <w:sz w:val="22"/>
          <w:szCs w:val="22"/>
          <w:lang w:val="sr-Latn-RS"/>
        </w:rPr>
        <w:t>ij</w:t>
      </w:r>
      <w:r w:rsidR="00DC024B" w:rsidRPr="009A2DB8">
        <w:rPr>
          <w:sz w:val="22"/>
          <w:szCs w:val="22"/>
          <w:lang w:val="sr-Latn-RS"/>
        </w:rPr>
        <w:t>e prim</w:t>
      </w:r>
      <w:r w:rsidR="00464A4C">
        <w:rPr>
          <w:sz w:val="22"/>
          <w:szCs w:val="22"/>
          <w:lang w:val="sr-Latn-RS"/>
        </w:rPr>
        <w:t>j</w:t>
      </w:r>
      <w:r w:rsidR="00DC024B" w:rsidRPr="009A2DB8">
        <w:rPr>
          <w:sz w:val="22"/>
          <w:szCs w:val="22"/>
          <w:lang w:val="sr-Latn-RS"/>
        </w:rPr>
        <w:t>ene l</w:t>
      </w:r>
      <w:r w:rsidR="00464A4C">
        <w:rPr>
          <w:sz w:val="22"/>
          <w:szCs w:val="22"/>
          <w:lang w:val="sr-Latn-RS"/>
        </w:rPr>
        <w:t>ij</w:t>
      </w:r>
      <w:r w:rsidR="00DC024B" w:rsidRPr="009A2DB8">
        <w:rPr>
          <w:sz w:val="22"/>
          <w:szCs w:val="22"/>
          <w:lang w:val="sr-Latn-RS"/>
        </w:rPr>
        <w:t>eka.</w:t>
      </w:r>
    </w:p>
    <w:p w14:paraId="602E7C3A" w14:textId="77777777" w:rsidR="00DC024B" w:rsidRPr="009A2DB8" w:rsidRDefault="00DC024B" w:rsidP="00527F5D">
      <w:pPr>
        <w:rPr>
          <w:b/>
          <w:bCs/>
          <w:szCs w:val="22"/>
          <w:lang w:val="sr-Latn-RS"/>
        </w:rPr>
      </w:pPr>
    </w:p>
    <w:p w14:paraId="602E7C3B" w14:textId="04235F81" w:rsidR="00DC024B" w:rsidRDefault="00DC024B" w:rsidP="00527F5D">
      <w:pPr>
        <w:rPr>
          <w:szCs w:val="22"/>
          <w:u w:val="single"/>
          <w:lang w:val="sr-Latn-RS"/>
        </w:rPr>
      </w:pPr>
      <w:r w:rsidRPr="009A2DB8">
        <w:rPr>
          <w:bCs/>
          <w:szCs w:val="22"/>
          <w:u w:val="single"/>
          <w:lang w:val="sr-Latn-RS"/>
        </w:rPr>
        <w:t>Na</w:t>
      </w:r>
      <w:r w:rsidRPr="009A2DB8">
        <w:rPr>
          <w:szCs w:val="22"/>
          <w:u w:val="single"/>
          <w:lang w:val="sr-Latn-RS"/>
        </w:rPr>
        <w:t>čin prim</w:t>
      </w:r>
      <w:r w:rsidR="00464A4C">
        <w:rPr>
          <w:szCs w:val="22"/>
          <w:u w:val="single"/>
          <w:lang w:val="sr-Latn-RS"/>
        </w:rPr>
        <w:t>j</w:t>
      </w:r>
      <w:r w:rsidRPr="009A2DB8">
        <w:rPr>
          <w:szCs w:val="22"/>
          <w:u w:val="single"/>
          <w:lang w:val="sr-Latn-RS"/>
        </w:rPr>
        <w:t>ene</w:t>
      </w:r>
    </w:p>
    <w:p w14:paraId="5C137875" w14:textId="77777777" w:rsidR="002E4E87" w:rsidRPr="009A2DB8" w:rsidRDefault="002E4E87" w:rsidP="00527F5D">
      <w:pPr>
        <w:rPr>
          <w:szCs w:val="22"/>
          <w:u w:val="single"/>
          <w:lang w:val="sr-Latn-RS"/>
        </w:rPr>
      </w:pPr>
    </w:p>
    <w:p w14:paraId="602E7C3C" w14:textId="6A35A137" w:rsidR="00DC024B" w:rsidRPr="009A2DB8" w:rsidRDefault="00DC024B" w:rsidP="00527F5D">
      <w:pPr>
        <w:rPr>
          <w:b/>
          <w:bCs/>
          <w:szCs w:val="22"/>
          <w:lang w:val="sr-Latn-RS"/>
        </w:rPr>
      </w:pPr>
      <w:r w:rsidRPr="009A2DB8">
        <w:rPr>
          <w:szCs w:val="22"/>
          <w:lang w:val="sr-Latn-RS"/>
        </w:rPr>
        <w:t>L</w:t>
      </w:r>
      <w:r w:rsidR="00464A4C">
        <w:rPr>
          <w:szCs w:val="22"/>
          <w:lang w:val="sr-Latn-RS"/>
        </w:rPr>
        <w:t>ij</w:t>
      </w:r>
      <w:r w:rsidRPr="009A2DB8">
        <w:rPr>
          <w:szCs w:val="22"/>
          <w:lang w:val="sr-Latn-RS"/>
        </w:rPr>
        <w:t>ek Paracetamol</w:t>
      </w:r>
      <w:r w:rsidR="006F6D56" w:rsidRPr="009A2DB8">
        <w:rPr>
          <w:szCs w:val="22"/>
          <w:lang w:val="sr-Latn-RS"/>
        </w:rPr>
        <w:t xml:space="preserve"> Galenika</w:t>
      </w:r>
      <w:r w:rsidRPr="009A2DB8">
        <w:rPr>
          <w:szCs w:val="22"/>
          <w:lang w:val="sr-Latn-RS"/>
        </w:rPr>
        <w:t xml:space="preserve"> je nam</w:t>
      </w:r>
      <w:r w:rsidR="00464A4C">
        <w:rPr>
          <w:szCs w:val="22"/>
          <w:lang w:val="sr-Latn-RS"/>
        </w:rPr>
        <w:t>ij</w:t>
      </w:r>
      <w:r w:rsidRPr="009A2DB8">
        <w:rPr>
          <w:szCs w:val="22"/>
          <w:lang w:val="sr-Latn-RS"/>
        </w:rPr>
        <w:t>enjen isključivo za oralnu prim</w:t>
      </w:r>
      <w:r w:rsidR="00464A4C">
        <w:rPr>
          <w:szCs w:val="22"/>
          <w:lang w:val="sr-Latn-RS"/>
        </w:rPr>
        <w:t>j</w:t>
      </w:r>
      <w:r w:rsidRPr="009A2DB8">
        <w:rPr>
          <w:szCs w:val="22"/>
          <w:lang w:val="sr-Latn-RS"/>
        </w:rPr>
        <w:t>enu.</w:t>
      </w:r>
    </w:p>
    <w:p w14:paraId="602E7C3D" w14:textId="77777777" w:rsidR="00DC024B" w:rsidRPr="009A2DB8" w:rsidRDefault="00DC024B" w:rsidP="00527F5D">
      <w:pPr>
        <w:rPr>
          <w:b/>
          <w:bCs/>
          <w:szCs w:val="22"/>
          <w:lang w:val="sr-Latn-RS"/>
        </w:rPr>
      </w:pPr>
    </w:p>
    <w:p w14:paraId="602E7C3E" w14:textId="77777777" w:rsidR="00DC024B" w:rsidRPr="009A2DB8" w:rsidRDefault="00DC024B" w:rsidP="00527F5D">
      <w:pPr>
        <w:rPr>
          <w:b/>
          <w:bCs/>
          <w:szCs w:val="22"/>
          <w:lang w:val="sr-Latn-RS"/>
        </w:rPr>
      </w:pPr>
      <w:r w:rsidRPr="009A2DB8">
        <w:rPr>
          <w:b/>
          <w:bCs/>
          <w:szCs w:val="22"/>
          <w:lang w:val="sr-Latn-RS"/>
        </w:rPr>
        <w:t>4.3. Kontraindikacije</w:t>
      </w:r>
    </w:p>
    <w:p w14:paraId="602E7C3F" w14:textId="77777777" w:rsidR="00DC024B" w:rsidRPr="009A2DB8" w:rsidRDefault="00DC024B" w:rsidP="00527F5D">
      <w:pPr>
        <w:rPr>
          <w:b/>
          <w:bCs/>
          <w:szCs w:val="22"/>
          <w:lang w:val="sr-Latn-RS"/>
        </w:rPr>
      </w:pPr>
    </w:p>
    <w:p w14:paraId="602E7C40" w14:textId="67134361" w:rsidR="00DC024B" w:rsidRPr="009A2DB8" w:rsidRDefault="00DC024B" w:rsidP="00F73F1D">
      <w:pPr>
        <w:pStyle w:val="Header"/>
        <w:rPr>
          <w:sz w:val="22"/>
          <w:szCs w:val="22"/>
          <w:lang w:val="sr-Latn-RS"/>
        </w:rPr>
      </w:pPr>
      <w:r w:rsidRPr="009A2DB8">
        <w:rPr>
          <w:sz w:val="22"/>
          <w:szCs w:val="22"/>
          <w:lang w:val="sr-Latn-RS"/>
        </w:rPr>
        <w:t>Preos</w:t>
      </w:r>
      <w:r w:rsidR="00464A4C">
        <w:rPr>
          <w:sz w:val="22"/>
          <w:szCs w:val="22"/>
          <w:lang w:val="sr-Latn-RS"/>
        </w:rPr>
        <w:t>j</w:t>
      </w:r>
      <w:r w:rsidRPr="009A2DB8">
        <w:rPr>
          <w:sz w:val="22"/>
          <w:szCs w:val="22"/>
          <w:lang w:val="sr-Latn-RS"/>
        </w:rPr>
        <w:t xml:space="preserve">etljivost na paracetamol ili neku od pomoćnih supstanci navedenih u </w:t>
      </w:r>
      <w:r w:rsidR="00464A4C">
        <w:rPr>
          <w:sz w:val="22"/>
          <w:szCs w:val="22"/>
          <w:lang w:val="sr-Latn-RS"/>
        </w:rPr>
        <w:t>dijelu</w:t>
      </w:r>
      <w:r w:rsidRPr="009A2DB8">
        <w:rPr>
          <w:sz w:val="22"/>
          <w:szCs w:val="22"/>
          <w:lang w:val="sr-Latn-RS"/>
        </w:rPr>
        <w:t xml:space="preserve"> 6.1.</w:t>
      </w:r>
    </w:p>
    <w:p w14:paraId="602E7C41" w14:textId="77777777" w:rsidR="00DC024B" w:rsidRPr="009A2DB8" w:rsidRDefault="00DC024B" w:rsidP="00527F5D">
      <w:pPr>
        <w:rPr>
          <w:b/>
          <w:bCs/>
          <w:szCs w:val="22"/>
          <w:lang w:val="sr-Latn-RS"/>
        </w:rPr>
      </w:pPr>
    </w:p>
    <w:p w14:paraId="602E7C42" w14:textId="081739A0" w:rsidR="00DC024B" w:rsidRPr="009A2DB8" w:rsidRDefault="00DC024B" w:rsidP="00527F5D">
      <w:pPr>
        <w:rPr>
          <w:b/>
          <w:bCs/>
          <w:szCs w:val="22"/>
          <w:lang w:val="sr-Latn-RS"/>
        </w:rPr>
      </w:pPr>
      <w:r w:rsidRPr="009A2DB8">
        <w:rPr>
          <w:b/>
          <w:bCs/>
          <w:szCs w:val="22"/>
          <w:lang w:val="sr-Latn-RS"/>
        </w:rPr>
        <w:t>4.4. Posebna upozorenja i m</w:t>
      </w:r>
      <w:r w:rsidR="00464A4C">
        <w:rPr>
          <w:b/>
          <w:bCs/>
          <w:szCs w:val="22"/>
          <w:lang w:val="sr-Latn-RS"/>
        </w:rPr>
        <w:t>j</w:t>
      </w:r>
      <w:r w:rsidRPr="009A2DB8">
        <w:rPr>
          <w:b/>
          <w:bCs/>
          <w:szCs w:val="22"/>
          <w:lang w:val="sr-Latn-RS"/>
        </w:rPr>
        <w:t>ere opreza pri upotrebi l</w:t>
      </w:r>
      <w:r w:rsidR="00464A4C">
        <w:rPr>
          <w:b/>
          <w:bCs/>
          <w:szCs w:val="22"/>
          <w:lang w:val="sr-Latn-RS"/>
        </w:rPr>
        <w:t>ij</w:t>
      </w:r>
      <w:r w:rsidRPr="009A2DB8">
        <w:rPr>
          <w:b/>
          <w:bCs/>
          <w:szCs w:val="22"/>
          <w:lang w:val="sr-Latn-RS"/>
        </w:rPr>
        <w:t>eka</w:t>
      </w:r>
    </w:p>
    <w:p w14:paraId="602E7C43" w14:textId="77777777" w:rsidR="00DC024B" w:rsidRPr="009A2DB8" w:rsidRDefault="00DC024B" w:rsidP="00F73F1D">
      <w:pPr>
        <w:tabs>
          <w:tab w:val="clear" w:pos="284"/>
        </w:tabs>
        <w:autoSpaceDE w:val="0"/>
        <w:autoSpaceDN w:val="0"/>
        <w:adjustRightInd w:val="0"/>
        <w:jc w:val="left"/>
        <w:rPr>
          <w:szCs w:val="22"/>
          <w:lang w:val="sr-Latn-RS"/>
        </w:rPr>
      </w:pPr>
    </w:p>
    <w:p w14:paraId="602E7C44" w14:textId="77777777" w:rsidR="00DC024B" w:rsidRPr="009A2DB8" w:rsidRDefault="00DC024B" w:rsidP="006E7CFE">
      <w:pPr>
        <w:tabs>
          <w:tab w:val="clear" w:pos="284"/>
        </w:tabs>
        <w:autoSpaceDE w:val="0"/>
        <w:autoSpaceDN w:val="0"/>
        <w:adjustRightInd w:val="0"/>
        <w:rPr>
          <w:szCs w:val="22"/>
          <w:lang w:val="sr-Latn-RS"/>
        </w:rPr>
      </w:pPr>
      <w:r w:rsidRPr="009A2DB8">
        <w:rPr>
          <w:szCs w:val="22"/>
          <w:lang w:val="sr-Latn-RS"/>
        </w:rPr>
        <w:t>Sadrži paracetamol.</w:t>
      </w:r>
    </w:p>
    <w:p w14:paraId="602E7C45" w14:textId="6E541209" w:rsidR="00DC024B" w:rsidRPr="009A2DB8" w:rsidRDefault="00DC024B" w:rsidP="009809E3">
      <w:pPr>
        <w:tabs>
          <w:tab w:val="clear" w:pos="284"/>
        </w:tabs>
        <w:autoSpaceDE w:val="0"/>
        <w:autoSpaceDN w:val="0"/>
        <w:adjustRightInd w:val="0"/>
        <w:spacing w:before="60"/>
        <w:rPr>
          <w:szCs w:val="22"/>
          <w:lang w:val="sr-Latn-RS"/>
        </w:rPr>
      </w:pPr>
      <w:r w:rsidRPr="009A2DB8">
        <w:rPr>
          <w:szCs w:val="22"/>
          <w:lang w:val="sr-Latn-RS"/>
        </w:rPr>
        <w:t>Ovaj l</w:t>
      </w:r>
      <w:r w:rsidR="00464A4C">
        <w:rPr>
          <w:szCs w:val="22"/>
          <w:lang w:val="sr-Latn-RS"/>
        </w:rPr>
        <w:t>ij</w:t>
      </w:r>
      <w:r w:rsidRPr="009A2DB8">
        <w:rPr>
          <w:szCs w:val="22"/>
          <w:lang w:val="sr-Latn-RS"/>
        </w:rPr>
        <w:t xml:space="preserve">ek ne </w:t>
      </w:r>
      <w:r w:rsidR="00735844">
        <w:rPr>
          <w:szCs w:val="22"/>
          <w:lang w:val="sr-Latn-RS"/>
        </w:rPr>
        <w:t xml:space="preserve">treba </w:t>
      </w:r>
      <w:r w:rsidRPr="009A2DB8">
        <w:rPr>
          <w:szCs w:val="22"/>
          <w:lang w:val="sr-Latn-RS"/>
        </w:rPr>
        <w:t>prim</w:t>
      </w:r>
      <w:r w:rsidR="00464A4C">
        <w:rPr>
          <w:szCs w:val="22"/>
          <w:lang w:val="sr-Latn-RS"/>
        </w:rPr>
        <w:t>j</w:t>
      </w:r>
      <w:r w:rsidRPr="009A2DB8">
        <w:rPr>
          <w:szCs w:val="22"/>
          <w:lang w:val="sr-Latn-RS"/>
        </w:rPr>
        <w:t>enjivati sa drugim l</w:t>
      </w:r>
      <w:r w:rsidR="00464A4C">
        <w:rPr>
          <w:szCs w:val="22"/>
          <w:lang w:val="sr-Latn-RS"/>
        </w:rPr>
        <w:t>j</w:t>
      </w:r>
      <w:r w:rsidRPr="009A2DB8">
        <w:rPr>
          <w:szCs w:val="22"/>
          <w:lang w:val="sr-Latn-RS"/>
        </w:rPr>
        <w:t>ekovima koji sadrže paracetamol. Istovremena prim</w:t>
      </w:r>
      <w:r w:rsidR="00464A4C">
        <w:rPr>
          <w:szCs w:val="22"/>
          <w:lang w:val="sr-Latn-RS"/>
        </w:rPr>
        <w:t>j</w:t>
      </w:r>
      <w:r w:rsidRPr="009A2DB8">
        <w:rPr>
          <w:szCs w:val="22"/>
          <w:lang w:val="sr-Latn-RS"/>
        </w:rPr>
        <w:t xml:space="preserve">ena sa drugim proizvodima koji sadrže paracetamol može dovesti do predoziranja. </w:t>
      </w:r>
    </w:p>
    <w:p w14:paraId="602E7C46" w14:textId="6B46E77B" w:rsidR="00DC024B" w:rsidRDefault="00DC024B" w:rsidP="009809E3">
      <w:pPr>
        <w:tabs>
          <w:tab w:val="clear" w:pos="284"/>
        </w:tabs>
        <w:autoSpaceDE w:val="0"/>
        <w:autoSpaceDN w:val="0"/>
        <w:adjustRightInd w:val="0"/>
        <w:spacing w:before="60"/>
        <w:rPr>
          <w:szCs w:val="22"/>
          <w:lang w:val="sr-Latn-RS"/>
        </w:rPr>
      </w:pPr>
      <w:r w:rsidRPr="009A2DB8">
        <w:rPr>
          <w:szCs w:val="22"/>
          <w:lang w:val="sr-Latn-RS"/>
        </w:rPr>
        <w:t xml:space="preserve">Predoziranje paracetamolom može prouzrokovati insuficijenciju jetre koja za </w:t>
      </w:r>
      <w:r w:rsidR="00735844">
        <w:rPr>
          <w:szCs w:val="22"/>
          <w:lang w:val="sr-Latn-RS"/>
        </w:rPr>
        <w:t>ishod</w:t>
      </w:r>
      <w:r w:rsidR="00735844" w:rsidRPr="009A2DB8">
        <w:rPr>
          <w:szCs w:val="22"/>
          <w:lang w:val="sr-Latn-RS"/>
        </w:rPr>
        <w:t xml:space="preserve"> </w:t>
      </w:r>
      <w:r w:rsidRPr="009A2DB8">
        <w:rPr>
          <w:szCs w:val="22"/>
          <w:lang w:val="sr-Latn-RS"/>
        </w:rPr>
        <w:t>može imati transplantaciju jetre ili smrt.</w:t>
      </w:r>
      <w:r w:rsidR="00C55BDD" w:rsidRPr="009A2DB8">
        <w:rPr>
          <w:szCs w:val="22"/>
          <w:lang w:val="sr-Latn-RS"/>
        </w:rPr>
        <w:t xml:space="preserve"> </w:t>
      </w:r>
      <w:r w:rsidRPr="009A2DB8">
        <w:rPr>
          <w:szCs w:val="22"/>
          <w:lang w:val="sr-Latn-RS"/>
        </w:rPr>
        <w:t>Slučajevi disfunkcije/insuficijencije jetre su prijavljeni kod pacijenata sa sm</w:t>
      </w:r>
      <w:r w:rsidR="0091772F" w:rsidRPr="009A2DB8">
        <w:rPr>
          <w:szCs w:val="22"/>
          <w:lang w:val="sr-Latn-RS"/>
        </w:rPr>
        <w:t>anjenim vr</w:t>
      </w:r>
      <w:r w:rsidR="004542CD">
        <w:rPr>
          <w:szCs w:val="22"/>
          <w:lang w:val="sr-Latn-RS"/>
        </w:rPr>
        <w:t>ij</w:t>
      </w:r>
      <w:r w:rsidR="0091772F" w:rsidRPr="009A2DB8">
        <w:rPr>
          <w:szCs w:val="22"/>
          <w:lang w:val="sr-Latn-RS"/>
        </w:rPr>
        <w:t>ednostima</w:t>
      </w:r>
      <w:r w:rsidRPr="009A2DB8">
        <w:rPr>
          <w:szCs w:val="22"/>
          <w:lang w:val="sr-Latn-RS"/>
        </w:rPr>
        <w:t xml:space="preserve"> glutationa, kao </w:t>
      </w:r>
      <w:r w:rsidR="00550F51">
        <w:rPr>
          <w:szCs w:val="22"/>
          <w:lang w:val="sr-Latn-RS"/>
        </w:rPr>
        <w:t>što su osobe</w:t>
      </w:r>
      <w:r w:rsidRPr="009A2DB8">
        <w:rPr>
          <w:szCs w:val="22"/>
          <w:lang w:val="sr-Latn-RS"/>
        </w:rPr>
        <w:t xml:space="preserve"> koj</w:t>
      </w:r>
      <w:r w:rsidR="00550F51">
        <w:rPr>
          <w:szCs w:val="22"/>
          <w:lang w:val="sr-Latn-RS"/>
        </w:rPr>
        <w:t>e</w:t>
      </w:r>
      <w:r w:rsidRPr="009A2DB8">
        <w:rPr>
          <w:szCs w:val="22"/>
          <w:lang w:val="sr-Latn-RS"/>
        </w:rPr>
        <w:t xml:space="preserve"> su teško pothranjen</w:t>
      </w:r>
      <w:r w:rsidR="00550F51">
        <w:rPr>
          <w:szCs w:val="22"/>
          <w:lang w:val="sr-Latn-RS"/>
        </w:rPr>
        <w:t>e</w:t>
      </w:r>
      <w:r w:rsidRPr="009A2DB8">
        <w:rPr>
          <w:szCs w:val="22"/>
          <w:lang w:val="sr-Latn-RS"/>
        </w:rPr>
        <w:t>, anoreksičn</w:t>
      </w:r>
      <w:r w:rsidR="00550F51">
        <w:rPr>
          <w:szCs w:val="22"/>
          <w:lang w:val="sr-Latn-RS"/>
        </w:rPr>
        <w:t>e</w:t>
      </w:r>
      <w:r w:rsidRPr="009A2DB8">
        <w:rPr>
          <w:szCs w:val="22"/>
          <w:lang w:val="sr-Latn-RS"/>
        </w:rPr>
        <w:t xml:space="preserve">, imaju mali </w:t>
      </w:r>
      <w:r w:rsidR="00550F51">
        <w:rPr>
          <w:szCs w:val="22"/>
          <w:lang w:val="sr-Latn-RS"/>
        </w:rPr>
        <w:t xml:space="preserve">indeks tjelesne mase </w:t>
      </w:r>
      <w:r w:rsidRPr="009A2DB8">
        <w:rPr>
          <w:szCs w:val="22"/>
          <w:lang w:val="sr-Latn-RS"/>
        </w:rPr>
        <w:t>(</w:t>
      </w:r>
      <w:r w:rsidRPr="009A2DB8">
        <w:rPr>
          <w:i/>
          <w:szCs w:val="22"/>
          <w:lang w:val="sr-Latn-RS"/>
        </w:rPr>
        <w:t>body mass index</w:t>
      </w:r>
      <w:r w:rsidR="00550F51">
        <w:rPr>
          <w:szCs w:val="22"/>
          <w:lang w:val="sr-Latn-RS"/>
        </w:rPr>
        <w:t>,</w:t>
      </w:r>
      <w:r w:rsidR="00550F51" w:rsidRPr="00550F51">
        <w:rPr>
          <w:szCs w:val="22"/>
          <w:lang w:val="sr-Latn-RS"/>
        </w:rPr>
        <w:t xml:space="preserve"> </w:t>
      </w:r>
      <w:r w:rsidR="00550F51" w:rsidRPr="009A2DB8">
        <w:rPr>
          <w:szCs w:val="22"/>
          <w:lang w:val="sr-Latn-RS"/>
        </w:rPr>
        <w:t>BMI</w:t>
      </w:r>
      <w:r w:rsidRPr="009A2DB8">
        <w:rPr>
          <w:szCs w:val="22"/>
          <w:lang w:val="sr-Latn-RS"/>
        </w:rPr>
        <w:t>) ili su hronični teški alkoholičari.</w:t>
      </w:r>
    </w:p>
    <w:p w14:paraId="696C8BA5" w14:textId="547A0744" w:rsidR="00846FDC" w:rsidRPr="009A2DB8" w:rsidRDefault="00846FDC" w:rsidP="009809E3">
      <w:pPr>
        <w:tabs>
          <w:tab w:val="clear" w:pos="284"/>
        </w:tabs>
        <w:autoSpaceDE w:val="0"/>
        <w:autoSpaceDN w:val="0"/>
        <w:adjustRightInd w:val="0"/>
        <w:spacing w:before="60"/>
        <w:rPr>
          <w:szCs w:val="22"/>
          <w:lang w:val="sr-Latn-RS"/>
        </w:rPr>
      </w:pPr>
      <w:r w:rsidRPr="00846FDC">
        <w:rPr>
          <w:szCs w:val="22"/>
          <w:lang w:val="sr-Latn-RS"/>
        </w:rPr>
        <w:t xml:space="preserve">Savjetuje se oprez ako se paracetamol primjenjuje istovremeno sa flukloksacilinom zbog povećanog rizika od metaboličke acidoze sa visokim anjonskim procjepom (engl. </w:t>
      </w:r>
      <w:r w:rsidRPr="006E7CFE">
        <w:rPr>
          <w:i/>
          <w:szCs w:val="22"/>
          <w:lang w:val="sr-Latn-RS"/>
        </w:rPr>
        <w:t>high anion gap metabolic acidosis</w:t>
      </w:r>
      <w:r w:rsidRPr="00846FDC">
        <w:rPr>
          <w:szCs w:val="22"/>
          <w:lang w:val="sr-Latn-RS"/>
        </w:rPr>
        <w:t>, HAGMA), posebno kod pacijenata sa teškim oštećenjem bubrega, sepsom, malnutricijom i drugim stanjima gdje je prisutan nedostatak glutationa (npr. hronični alkoholizam), kao i kod onih pacijenata koji primjenjuju maksimalne dnevne doze paracetamola. Preporučuje se pažljivo praćenje, uključujući mjerenje 5-oksoprolina u urinu.</w:t>
      </w:r>
    </w:p>
    <w:p w14:paraId="602E7C47" w14:textId="1A2B5278" w:rsidR="00DC024B" w:rsidRPr="009A2DB8" w:rsidRDefault="00DC024B" w:rsidP="009809E3">
      <w:pPr>
        <w:tabs>
          <w:tab w:val="clear" w:pos="284"/>
        </w:tabs>
        <w:autoSpaceDE w:val="0"/>
        <w:autoSpaceDN w:val="0"/>
        <w:adjustRightInd w:val="0"/>
        <w:spacing w:before="60"/>
        <w:rPr>
          <w:szCs w:val="22"/>
          <w:lang w:val="sr-Latn-RS"/>
        </w:rPr>
      </w:pPr>
      <w:r w:rsidRPr="009A2DB8">
        <w:rPr>
          <w:szCs w:val="22"/>
          <w:lang w:val="sr-Latn-RS"/>
        </w:rPr>
        <w:t>Neophodan je oprez kod pacijenata sa oštećenjem funkcije jetre ili bubrega. Opasnost od predoziranja je veća kod pacijenata koji imaju alkoholnu bolest jetre bez prisustva ciroze.</w:t>
      </w:r>
    </w:p>
    <w:p w14:paraId="602E7C48" w14:textId="254C05FE" w:rsidR="00DC024B" w:rsidRPr="009A2DB8" w:rsidRDefault="00DC024B" w:rsidP="009809E3">
      <w:pPr>
        <w:tabs>
          <w:tab w:val="clear" w:pos="284"/>
        </w:tabs>
        <w:autoSpaceDE w:val="0"/>
        <w:autoSpaceDN w:val="0"/>
        <w:adjustRightInd w:val="0"/>
        <w:spacing w:before="60"/>
        <w:rPr>
          <w:szCs w:val="22"/>
          <w:lang w:val="sr-Latn-RS"/>
        </w:rPr>
      </w:pPr>
      <w:r w:rsidRPr="009A2DB8">
        <w:rPr>
          <w:szCs w:val="22"/>
          <w:lang w:val="sr-Latn-RS"/>
        </w:rPr>
        <w:t>Oprez je potreban kod pacijenata u stanjima praćenim sm</w:t>
      </w:r>
      <w:r w:rsidR="0091772F" w:rsidRPr="009A2DB8">
        <w:rPr>
          <w:szCs w:val="22"/>
          <w:lang w:val="sr-Latn-RS"/>
        </w:rPr>
        <w:t>anjenim vr</w:t>
      </w:r>
      <w:r w:rsidR="004542CD">
        <w:rPr>
          <w:szCs w:val="22"/>
          <w:lang w:val="sr-Latn-RS"/>
        </w:rPr>
        <w:t>ij</w:t>
      </w:r>
      <w:r w:rsidR="0091772F" w:rsidRPr="009A2DB8">
        <w:rPr>
          <w:szCs w:val="22"/>
          <w:lang w:val="sr-Latn-RS"/>
        </w:rPr>
        <w:t>ednostima</w:t>
      </w:r>
      <w:r w:rsidRPr="009A2DB8">
        <w:rPr>
          <w:szCs w:val="22"/>
          <w:lang w:val="sr-Latn-RS"/>
        </w:rPr>
        <w:t xml:space="preserve"> glutationa</w:t>
      </w:r>
      <w:r w:rsidR="001D4F58">
        <w:rPr>
          <w:szCs w:val="22"/>
          <w:lang w:val="sr-Latn-RS"/>
        </w:rPr>
        <w:t>,</w:t>
      </w:r>
      <w:r w:rsidRPr="009A2DB8">
        <w:rPr>
          <w:szCs w:val="22"/>
          <w:lang w:val="sr-Latn-RS"/>
        </w:rPr>
        <w:t xml:space="preserve"> kao što je sepsa; prim</w:t>
      </w:r>
      <w:r w:rsidR="004542CD">
        <w:rPr>
          <w:szCs w:val="22"/>
          <w:lang w:val="sr-Latn-RS"/>
        </w:rPr>
        <w:t>j</w:t>
      </w:r>
      <w:r w:rsidRPr="009A2DB8">
        <w:rPr>
          <w:szCs w:val="22"/>
          <w:lang w:val="sr-Latn-RS"/>
        </w:rPr>
        <w:t>ena paracetamola može povećati rizik od metaboličke acidoze.</w:t>
      </w:r>
    </w:p>
    <w:p w14:paraId="602E7C49" w14:textId="0D21A846" w:rsidR="00DC024B" w:rsidRPr="009A2DB8" w:rsidRDefault="00DC024B" w:rsidP="009809E3">
      <w:pPr>
        <w:tabs>
          <w:tab w:val="clear" w:pos="284"/>
        </w:tabs>
        <w:autoSpaceDE w:val="0"/>
        <w:autoSpaceDN w:val="0"/>
        <w:adjustRightInd w:val="0"/>
        <w:spacing w:before="60"/>
        <w:rPr>
          <w:szCs w:val="22"/>
          <w:lang w:val="sr-Latn-RS"/>
        </w:rPr>
      </w:pPr>
      <w:r w:rsidRPr="009A2DB8">
        <w:rPr>
          <w:szCs w:val="22"/>
          <w:lang w:val="sr-Latn-RS"/>
        </w:rPr>
        <w:t>Nikada ne prim</w:t>
      </w:r>
      <w:r w:rsidR="004542CD">
        <w:rPr>
          <w:szCs w:val="22"/>
          <w:lang w:val="sr-Latn-RS"/>
        </w:rPr>
        <w:t>j</w:t>
      </w:r>
      <w:r w:rsidRPr="009A2DB8">
        <w:rPr>
          <w:szCs w:val="22"/>
          <w:lang w:val="sr-Latn-RS"/>
        </w:rPr>
        <w:t>enjivati više l</w:t>
      </w:r>
      <w:r w:rsidR="004542CD">
        <w:rPr>
          <w:szCs w:val="22"/>
          <w:lang w:val="sr-Latn-RS"/>
        </w:rPr>
        <w:t>ij</w:t>
      </w:r>
      <w:r w:rsidRPr="009A2DB8">
        <w:rPr>
          <w:szCs w:val="22"/>
          <w:lang w:val="sr-Latn-RS"/>
        </w:rPr>
        <w:t>eka nego što je preporučeno u tabeli.</w:t>
      </w:r>
    </w:p>
    <w:p w14:paraId="602E7C4A" w14:textId="77777777" w:rsidR="00DC024B" w:rsidRPr="009A2DB8" w:rsidRDefault="00DC024B" w:rsidP="009809E3">
      <w:pPr>
        <w:tabs>
          <w:tab w:val="clear" w:pos="284"/>
        </w:tabs>
        <w:autoSpaceDE w:val="0"/>
        <w:autoSpaceDN w:val="0"/>
        <w:adjustRightInd w:val="0"/>
        <w:spacing w:before="60"/>
        <w:rPr>
          <w:szCs w:val="22"/>
          <w:lang w:val="sr-Latn-RS"/>
        </w:rPr>
      </w:pPr>
      <w:r w:rsidRPr="009A2DB8">
        <w:rPr>
          <w:szCs w:val="22"/>
          <w:lang w:val="sr-Latn-RS"/>
        </w:rPr>
        <w:t>Ne prepunjavati kašiku za doziranje.</w:t>
      </w:r>
    </w:p>
    <w:p w14:paraId="602E7C4B" w14:textId="639B74AD" w:rsidR="00DC024B" w:rsidRPr="009A2DB8" w:rsidRDefault="00DC024B" w:rsidP="009809E3">
      <w:pPr>
        <w:tabs>
          <w:tab w:val="clear" w:pos="284"/>
        </w:tabs>
        <w:autoSpaceDE w:val="0"/>
        <w:autoSpaceDN w:val="0"/>
        <w:adjustRightInd w:val="0"/>
        <w:spacing w:before="60"/>
        <w:rPr>
          <w:szCs w:val="22"/>
          <w:lang w:val="sr-Latn-RS"/>
        </w:rPr>
      </w:pPr>
      <w:r w:rsidRPr="009A2DB8">
        <w:rPr>
          <w:szCs w:val="22"/>
          <w:lang w:val="sr-Latn-RS"/>
        </w:rPr>
        <w:t>Uv</w:t>
      </w:r>
      <w:r w:rsidR="004542CD">
        <w:rPr>
          <w:szCs w:val="22"/>
          <w:lang w:val="sr-Latn-RS"/>
        </w:rPr>
        <w:t>ij</w:t>
      </w:r>
      <w:r w:rsidRPr="009A2DB8">
        <w:rPr>
          <w:szCs w:val="22"/>
          <w:lang w:val="sr-Latn-RS"/>
        </w:rPr>
        <w:t>ek upotrebljavati kašiku za doziranje priloženu u pakovanju.</w:t>
      </w:r>
    </w:p>
    <w:p w14:paraId="602E7C4C" w14:textId="53726CA6" w:rsidR="00DC024B" w:rsidRPr="009A2DB8" w:rsidRDefault="00DC024B" w:rsidP="009809E3">
      <w:pPr>
        <w:tabs>
          <w:tab w:val="clear" w:pos="284"/>
        </w:tabs>
        <w:autoSpaceDE w:val="0"/>
        <w:autoSpaceDN w:val="0"/>
        <w:adjustRightInd w:val="0"/>
        <w:spacing w:before="60"/>
        <w:rPr>
          <w:szCs w:val="22"/>
          <w:lang w:val="sr-Latn-RS"/>
        </w:rPr>
      </w:pPr>
      <w:r w:rsidRPr="009A2DB8">
        <w:rPr>
          <w:szCs w:val="22"/>
          <w:lang w:val="sr-Latn-RS"/>
        </w:rPr>
        <w:t>Ne prim</w:t>
      </w:r>
      <w:r w:rsidR="004542CD">
        <w:rPr>
          <w:szCs w:val="22"/>
          <w:lang w:val="sr-Latn-RS"/>
        </w:rPr>
        <w:t>j</w:t>
      </w:r>
      <w:r w:rsidRPr="009A2DB8">
        <w:rPr>
          <w:szCs w:val="22"/>
          <w:lang w:val="sr-Latn-RS"/>
        </w:rPr>
        <w:t>enjivati l</w:t>
      </w:r>
      <w:r w:rsidR="004542CD">
        <w:rPr>
          <w:szCs w:val="22"/>
          <w:lang w:val="sr-Latn-RS"/>
        </w:rPr>
        <w:t>ij</w:t>
      </w:r>
      <w:r w:rsidRPr="009A2DB8">
        <w:rPr>
          <w:szCs w:val="22"/>
          <w:lang w:val="sr-Latn-RS"/>
        </w:rPr>
        <w:t>ek kod beba uzrasta ispod 2 m</w:t>
      </w:r>
      <w:r w:rsidR="004542CD">
        <w:rPr>
          <w:szCs w:val="22"/>
          <w:lang w:val="sr-Latn-RS"/>
        </w:rPr>
        <w:t>j</w:t>
      </w:r>
      <w:r w:rsidRPr="009A2DB8">
        <w:rPr>
          <w:szCs w:val="22"/>
          <w:lang w:val="sr-Latn-RS"/>
        </w:rPr>
        <w:t xml:space="preserve">eseca. </w:t>
      </w:r>
    </w:p>
    <w:p w14:paraId="602E7C4D" w14:textId="6A13553C" w:rsidR="00DC024B" w:rsidRPr="009A2DB8" w:rsidRDefault="00DC024B" w:rsidP="009809E3">
      <w:pPr>
        <w:pStyle w:val="Header"/>
        <w:spacing w:before="60"/>
        <w:rPr>
          <w:sz w:val="22"/>
          <w:szCs w:val="22"/>
          <w:lang w:val="sr-Latn-RS"/>
        </w:rPr>
      </w:pPr>
      <w:r w:rsidRPr="009A2DB8">
        <w:rPr>
          <w:sz w:val="22"/>
          <w:szCs w:val="22"/>
          <w:lang w:val="sr-Latn-RS"/>
        </w:rPr>
        <w:t>Ne prim</w:t>
      </w:r>
      <w:r w:rsidR="004542CD">
        <w:rPr>
          <w:sz w:val="22"/>
          <w:szCs w:val="22"/>
          <w:lang w:val="sr-Latn-RS"/>
        </w:rPr>
        <w:t>j</w:t>
      </w:r>
      <w:r w:rsidRPr="009A2DB8">
        <w:rPr>
          <w:sz w:val="22"/>
          <w:szCs w:val="22"/>
          <w:lang w:val="sr-Latn-RS"/>
        </w:rPr>
        <w:t>enjivati više od 2 doze l</w:t>
      </w:r>
      <w:r w:rsidR="004542CD">
        <w:rPr>
          <w:sz w:val="22"/>
          <w:szCs w:val="22"/>
          <w:lang w:val="sr-Latn-RS"/>
        </w:rPr>
        <w:t>ij</w:t>
      </w:r>
      <w:r w:rsidRPr="009A2DB8">
        <w:rPr>
          <w:sz w:val="22"/>
          <w:szCs w:val="22"/>
          <w:lang w:val="sr-Latn-RS"/>
        </w:rPr>
        <w:t>eka kod odojčadi uzrasta od 2 do 3 m</w:t>
      </w:r>
      <w:r w:rsidR="004542CD">
        <w:rPr>
          <w:sz w:val="22"/>
          <w:szCs w:val="22"/>
          <w:lang w:val="sr-Latn-RS"/>
        </w:rPr>
        <w:t>j</w:t>
      </w:r>
      <w:r w:rsidRPr="009A2DB8">
        <w:rPr>
          <w:sz w:val="22"/>
          <w:szCs w:val="22"/>
          <w:lang w:val="sr-Latn-RS"/>
        </w:rPr>
        <w:t>eseca.</w:t>
      </w:r>
    </w:p>
    <w:p w14:paraId="602E7C4E" w14:textId="7B6FD4D4" w:rsidR="00DC024B" w:rsidRPr="009A2DB8" w:rsidRDefault="00DC024B" w:rsidP="009809E3">
      <w:pPr>
        <w:pStyle w:val="Header"/>
        <w:spacing w:before="60"/>
        <w:rPr>
          <w:sz w:val="22"/>
          <w:szCs w:val="22"/>
          <w:lang w:val="sr-Latn-RS"/>
        </w:rPr>
      </w:pPr>
      <w:r w:rsidRPr="009A2DB8">
        <w:rPr>
          <w:sz w:val="22"/>
          <w:szCs w:val="22"/>
          <w:lang w:val="sr-Latn-RS"/>
        </w:rPr>
        <w:t>Ne prim</w:t>
      </w:r>
      <w:r w:rsidR="004542CD">
        <w:rPr>
          <w:sz w:val="22"/>
          <w:szCs w:val="22"/>
          <w:lang w:val="sr-Latn-RS"/>
        </w:rPr>
        <w:t>j</w:t>
      </w:r>
      <w:r w:rsidRPr="009A2DB8">
        <w:rPr>
          <w:sz w:val="22"/>
          <w:szCs w:val="22"/>
          <w:lang w:val="sr-Latn-RS"/>
        </w:rPr>
        <w:t>enjivati više od 4 doze l</w:t>
      </w:r>
      <w:r w:rsidR="004542CD">
        <w:rPr>
          <w:sz w:val="22"/>
          <w:szCs w:val="22"/>
          <w:lang w:val="sr-Latn-RS"/>
        </w:rPr>
        <w:t>ij</w:t>
      </w:r>
      <w:r w:rsidRPr="009A2DB8">
        <w:rPr>
          <w:sz w:val="22"/>
          <w:szCs w:val="22"/>
          <w:lang w:val="sr-Latn-RS"/>
        </w:rPr>
        <w:t>eka u toku 24 sata.</w:t>
      </w:r>
    </w:p>
    <w:p w14:paraId="602E7C4F" w14:textId="77777777" w:rsidR="00DC024B" w:rsidRPr="009A2DB8" w:rsidRDefault="00DC024B" w:rsidP="009809E3">
      <w:pPr>
        <w:pStyle w:val="Header"/>
        <w:spacing w:before="60"/>
        <w:rPr>
          <w:sz w:val="22"/>
          <w:szCs w:val="22"/>
          <w:lang w:val="sr-Latn-RS"/>
        </w:rPr>
      </w:pPr>
      <w:r w:rsidRPr="009A2DB8">
        <w:rPr>
          <w:sz w:val="22"/>
          <w:szCs w:val="22"/>
          <w:lang w:val="sr-Latn-RS"/>
        </w:rPr>
        <w:t>Neophodno je da prođe najmanje 4 sata između doza.</w:t>
      </w:r>
    </w:p>
    <w:p w14:paraId="602E7C50" w14:textId="4A7CBEE2" w:rsidR="00DC024B" w:rsidRPr="009A2DB8" w:rsidRDefault="00DC024B" w:rsidP="009809E3">
      <w:pPr>
        <w:tabs>
          <w:tab w:val="clear" w:pos="284"/>
        </w:tabs>
        <w:autoSpaceDE w:val="0"/>
        <w:autoSpaceDN w:val="0"/>
        <w:adjustRightInd w:val="0"/>
        <w:spacing w:before="60"/>
        <w:rPr>
          <w:szCs w:val="22"/>
          <w:lang w:val="sr-Latn-RS"/>
        </w:rPr>
      </w:pPr>
      <w:r w:rsidRPr="009A2DB8">
        <w:rPr>
          <w:szCs w:val="22"/>
          <w:lang w:val="sr-Latn-RS"/>
        </w:rPr>
        <w:t>L</w:t>
      </w:r>
      <w:r w:rsidR="004542CD">
        <w:rPr>
          <w:szCs w:val="22"/>
          <w:lang w:val="sr-Latn-RS"/>
        </w:rPr>
        <w:t>ij</w:t>
      </w:r>
      <w:r w:rsidRPr="009A2DB8">
        <w:rPr>
          <w:szCs w:val="22"/>
          <w:lang w:val="sr-Latn-RS"/>
        </w:rPr>
        <w:t>ek ne prim</w:t>
      </w:r>
      <w:r w:rsidR="004542CD">
        <w:rPr>
          <w:szCs w:val="22"/>
          <w:lang w:val="sr-Latn-RS"/>
        </w:rPr>
        <w:t>j</w:t>
      </w:r>
      <w:r w:rsidRPr="009A2DB8">
        <w:rPr>
          <w:szCs w:val="22"/>
          <w:lang w:val="sr-Latn-RS"/>
        </w:rPr>
        <w:t>enjivati kod d</w:t>
      </w:r>
      <w:r w:rsidR="004542CD">
        <w:rPr>
          <w:szCs w:val="22"/>
          <w:lang w:val="sr-Latn-RS"/>
        </w:rPr>
        <w:t>j</w:t>
      </w:r>
      <w:r w:rsidRPr="009A2DB8">
        <w:rPr>
          <w:szCs w:val="22"/>
          <w:lang w:val="sr-Latn-RS"/>
        </w:rPr>
        <w:t>ece duže od 3 dana bez prethodne konsultacije sa l</w:t>
      </w:r>
      <w:r w:rsidR="004542CD">
        <w:rPr>
          <w:szCs w:val="22"/>
          <w:lang w:val="sr-Latn-RS"/>
        </w:rPr>
        <w:t>j</w:t>
      </w:r>
      <w:r w:rsidRPr="009A2DB8">
        <w:rPr>
          <w:szCs w:val="22"/>
          <w:lang w:val="sr-Latn-RS"/>
        </w:rPr>
        <w:t>ekarom ili farmaceutom.</w:t>
      </w:r>
    </w:p>
    <w:p w14:paraId="602E7C51" w14:textId="23AFD322" w:rsidR="00DC024B" w:rsidRPr="009A2DB8" w:rsidRDefault="00DC024B" w:rsidP="009809E3">
      <w:pPr>
        <w:tabs>
          <w:tab w:val="clear" w:pos="284"/>
        </w:tabs>
        <w:autoSpaceDE w:val="0"/>
        <w:autoSpaceDN w:val="0"/>
        <w:adjustRightInd w:val="0"/>
        <w:spacing w:before="60"/>
        <w:rPr>
          <w:szCs w:val="22"/>
          <w:lang w:val="sr-Latn-RS"/>
        </w:rPr>
      </w:pPr>
      <w:r w:rsidRPr="009A2DB8">
        <w:rPr>
          <w:szCs w:val="22"/>
          <w:lang w:val="sr-Latn-RS"/>
        </w:rPr>
        <w:t>Ukoliko d</w:t>
      </w:r>
      <w:r w:rsidR="004542CD">
        <w:rPr>
          <w:szCs w:val="22"/>
          <w:lang w:val="sr-Latn-RS"/>
        </w:rPr>
        <w:t>ij</w:t>
      </w:r>
      <w:r w:rsidRPr="009A2DB8">
        <w:rPr>
          <w:szCs w:val="22"/>
          <w:lang w:val="sr-Latn-RS"/>
        </w:rPr>
        <w:t>ete trenutno uzima neki drugi l</w:t>
      </w:r>
      <w:r w:rsidR="004542CD">
        <w:rPr>
          <w:szCs w:val="22"/>
          <w:lang w:val="sr-Latn-RS"/>
        </w:rPr>
        <w:t>ij</w:t>
      </w:r>
      <w:r w:rsidRPr="009A2DB8">
        <w:rPr>
          <w:szCs w:val="22"/>
          <w:lang w:val="sr-Latn-RS"/>
        </w:rPr>
        <w:t>ek, neophodna je konsultacija sa l</w:t>
      </w:r>
      <w:r w:rsidR="004542CD">
        <w:rPr>
          <w:szCs w:val="22"/>
          <w:lang w:val="sr-Latn-RS"/>
        </w:rPr>
        <w:t>j</w:t>
      </w:r>
      <w:r w:rsidRPr="009A2DB8">
        <w:rPr>
          <w:szCs w:val="22"/>
          <w:lang w:val="sr-Latn-RS"/>
        </w:rPr>
        <w:t>ekarom ili farmaceutom pr</w:t>
      </w:r>
      <w:r w:rsidR="004542CD">
        <w:rPr>
          <w:szCs w:val="22"/>
          <w:lang w:val="sr-Latn-RS"/>
        </w:rPr>
        <w:t>ij</w:t>
      </w:r>
      <w:r w:rsidRPr="009A2DB8">
        <w:rPr>
          <w:szCs w:val="22"/>
          <w:lang w:val="sr-Latn-RS"/>
        </w:rPr>
        <w:t>e prim</w:t>
      </w:r>
      <w:r w:rsidR="004542CD">
        <w:rPr>
          <w:szCs w:val="22"/>
          <w:lang w:val="sr-Latn-RS"/>
        </w:rPr>
        <w:t>j</w:t>
      </w:r>
      <w:r w:rsidRPr="009A2DB8">
        <w:rPr>
          <w:szCs w:val="22"/>
          <w:lang w:val="sr-Latn-RS"/>
        </w:rPr>
        <w:t>ene l</w:t>
      </w:r>
      <w:r w:rsidR="004542CD">
        <w:rPr>
          <w:szCs w:val="22"/>
          <w:lang w:val="sr-Latn-RS"/>
        </w:rPr>
        <w:t>ij</w:t>
      </w:r>
      <w:r w:rsidRPr="009A2DB8">
        <w:rPr>
          <w:szCs w:val="22"/>
          <w:lang w:val="sr-Latn-RS"/>
        </w:rPr>
        <w:t>eka Paracetamol</w:t>
      </w:r>
      <w:r w:rsidR="00944FE5">
        <w:rPr>
          <w:szCs w:val="22"/>
          <w:lang w:val="sr-Latn-RS"/>
        </w:rPr>
        <w:t>,</w:t>
      </w:r>
      <w:r w:rsidRPr="009A2DB8">
        <w:rPr>
          <w:szCs w:val="22"/>
          <w:lang w:val="sr-Latn-RS"/>
        </w:rPr>
        <w:t xml:space="preserve"> sirup, kao i u slučaju prim</w:t>
      </w:r>
      <w:r w:rsidR="004542CD">
        <w:rPr>
          <w:szCs w:val="22"/>
          <w:lang w:val="sr-Latn-RS"/>
        </w:rPr>
        <w:t>j</w:t>
      </w:r>
      <w:r w:rsidRPr="009A2DB8">
        <w:rPr>
          <w:szCs w:val="22"/>
          <w:lang w:val="sr-Latn-RS"/>
        </w:rPr>
        <w:t>ene bilo kog drugog l</w:t>
      </w:r>
      <w:r w:rsidR="004542CD">
        <w:rPr>
          <w:szCs w:val="22"/>
          <w:lang w:val="sr-Latn-RS"/>
        </w:rPr>
        <w:t>ij</w:t>
      </w:r>
      <w:r w:rsidRPr="009A2DB8">
        <w:rPr>
          <w:szCs w:val="22"/>
          <w:lang w:val="sr-Latn-RS"/>
        </w:rPr>
        <w:t>eka.</w:t>
      </w:r>
    </w:p>
    <w:p w14:paraId="602E7C52" w14:textId="4EA7E69E" w:rsidR="00DC024B" w:rsidRPr="009A2DB8" w:rsidRDefault="00DC024B" w:rsidP="009809E3">
      <w:pPr>
        <w:tabs>
          <w:tab w:val="clear" w:pos="284"/>
        </w:tabs>
        <w:autoSpaceDE w:val="0"/>
        <w:autoSpaceDN w:val="0"/>
        <w:adjustRightInd w:val="0"/>
        <w:spacing w:before="60"/>
        <w:rPr>
          <w:szCs w:val="22"/>
          <w:lang w:val="sr-Latn-RS"/>
        </w:rPr>
      </w:pPr>
      <w:r w:rsidRPr="009A2DB8">
        <w:rPr>
          <w:szCs w:val="22"/>
          <w:lang w:val="sr-Latn-RS"/>
        </w:rPr>
        <w:t>Čuvati l</w:t>
      </w:r>
      <w:r w:rsidR="004542CD">
        <w:rPr>
          <w:szCs w:val="22"/>
          <w:lang w:val="sr-Latn-RS"/>
        </w:rPr>
        <w:t>ij</w:t>
      </w:r>
      <w:r w:rsidRPr="009A2DB8">
        <w:rPr>
          <w:szCs w:val="22"/>
          <w:lang w:val="sr-Latn-RS"/>
        </w:rPr>
        <w:t xml:space="preserve">ek van domašaja </w:t>
      </w:r>
      <w:r w:rsidR="001D4F58">
        <w:rPr>
          <w:szCs w:val="22"/>
          <w:lang w:val="sr-Latn-RS"/>
        </w:rPr>
        <w:t xml:space="preserve">i vidokruga </w:t>
      </w:r>
      <w:r w:rsidRPr="009A2DB8">
        <w:rPr>
          <w:szCs w:val="22"/>
          <w:lang w:val="sr-Latn-RS"/>
        </w:rPr>
        <w:t>d</w:t>
      </w:r>
      <w:r w:rsidR="004542CD">
        <w:rPr>
          <w:szCs w:val="22"/>
          <w:lang w:val="sr-Latn-RS"/>
        </w:rPr>
        <w:t>j</w:t>
      </w:r>
      <w:r w:rsidRPr="009A2DB8">
        <w:rPr>
          <w:szCs w:val="22"/>
          <w:lang w:val="sr-Latn-RS"/>
        </w:rPr>
        <w:t>ece.</w:t>
      </w:r>
    </w:p>
    <w:p w14:paraId="602E7C53" w14:textId="04C90D43" w:rsidR="00DC024B" w:rsidRPr="009A2DB8" w:rsidRDefault="00DC024B" w:rsidP="006E7CFE">
      <w:pPr>
        <w:widowControl w:val="0"/>
        <w:tabs>
          <w:tab w:val="clear" w:pos="284"/>
        </w:tabs>
        <w:autoSpaceDE w:val="0"/>
        <w:autoSpaceDN w:val="0"/>
        <w:adjustRightInd w:val="0"/>
        <w:spacing w:before="60"/>
        <w:rPr>
          <w:szCs w:val="22"/>
          <w:lang w:val="sr-Latn-RS"/>
        </w:rPr>
      </w:pPr>
      <w:r w:rsidRPr="009A2DB8">
        <w:rPr>
          <w:szCs w:val="22"/>
          <w:lang w:val="sr-Latn-RS"/>
        </w:rPr>
        <w:lastRenderedPageBreak/>
        <w:t>Ukoliko se simptomi i posl</w:t>
      </w:r>
      <w:r w:rsidR="004542CD">
        <w:rPr>
          <w:szCs w:val="22"/>
          <w:lang w:val="sr-Latn-RS"/>
        </w:rPr>
        <w:t>ij</w:t>
      </w:r>
      <w:r w:rsidRPr="009A2DB8">
        <w:rPr>
          <w:szCs w:val="22"/>
          <w:lang w:val="sr-Latn-RS"/>
        </w:rPr>
        <w:t>e prim</w:t>
      </w:r>
      <w:r w:rsidR="004542CD">
        <w:rPr>
          <w:szCs w:val="22"/>
          <w:lang w:val="sr-Latn-RS"/>
        </w:rPr>
        <w:t>j</w:t>
      </w:r>
      <w:r w:rsidRPr="009A2DB8">
        <w:rPr>
          <w:szCs w:val="22"/>
          <w:lang w:val="sr-Latn-RS"/>
        </w:rPr>
        <w:t>ene l</w:t>
      </w:r>
      <w:r w:rsidR="004542CD">
        <w:rPr>
          <w:szCs w:val="22"/>
          <w:lang w:val="sr-Latn-RS"/>
        </w:rPr>
        <w:t>ij</w:t>
      </w:r>
      <w:r w:rsidRPr="009A2DB8">
        <w:rPr>
          <w:szCs w:val="22"/>
          <w:lang w:val="sr-Latn-RS"/>
        </w:rPr>
        <w:t>eka ne povlače, javiti se l</w:t>
      </w:r>
      <w:r w:rsidR="004542CD">
        <w:rPr>
          <w:szCs w:val="22"/>
          <w:lang w:val="sr-Latn-RS"/>
        </w:rPr>
        <w:t>j</w:t>
      </w:r>
      <w:r w:rsidRPr="009A2DB8">
        <w:rPr>
          <w:szCs w:val="22"/>
          <w:lang w:val="sr-Latn-RS"/>
        </w:rPr>
        <w:t>ekaru.</w:t>
      </w:r>
    </w:p>
    <w:p w14:paraId="602E7C54" w14:textId="4526D612" w:rsidR="00DC024B" w:rsidRPr="009A2DB8" w:rsidRDefault="00DC024B" w:rsidP="006E7CFE">
      <w:pPr>
        <w:widowControl w:val="0"/>
        <w:tabs>
          <w:tab w:val="clear" w:pos="284"/>
        </w:tabs>
        <w:autoSpaceDE w:val="0"/>
        <w:autoSpaceDN w:val="0"/>
        <w:adjustRightInd w:val="0"/>
        <w:spacing w:before="60"/>
        <w:rPr>
          <w:szCs w:val="22"/>
          <w:lang w:val="sr-Latn-RS"/>
        </w:rPr>
      </w:pPr>
      <w:r w:rsidRPr="009A2DB8">
        <w:rPr>
          <w:szCs w:val="22"/>
          <w:lang w:val="sr-Latn-RS"/>
        </w:rPr>
        <w:t>Dugotrajna upotreba l</w:t>
      </w:r>
      <w:r w:rsidR="004542CD">
        <w:rPr>
          <w:szCs w:val="22"/>
          <w:lang w:val="sr-Latn-RS"/>
        </w:rPr>
        <w:t>ij</w:t>
      </w:r>
      <w:r w:rsidRPr="009A2DB8">
        <w:rPr>
          <w:szCs w:val="22"/>
          <w:lang w:val="sr-Latn-RS"/>
        </w:rPr>
        <w:t>eka, osim ukoliko je pod l</w:t>
      </w:r>
      <w:r w:rsidR="004542CD">
        <w:rPr>
          <w:szCs w:val="22"/>
          <w:lang w:val="sr-Latn-RS"/>
        </w:rPr>
        <w:t>j</w:t>
      </w:r>
      <w:r w:rsidRPr="009A2DB8">
        <w:rPr>
          <w:szCs w:val="22"/>
          <w:lang w:val="sr-Latn-RS"/>
        </w:rPr>
        <w:t xml:space="preserve">ekarskim nadzorom, može biti štetna. </w:t>
      </w:r>
    </w:p>
    <w:p w14:paraId="602E7C55" w14:textId="3D5CC3EE" w:rsidR="00DC024B" w:rsidRPr="009A2DB8" w:rsidRDefault="00DC024B" w:rsidP="006E7CFE">
      <w:pPr>
        <w:widowControl w:val="0"/>
        <w:tabs>
          <w:tab w:val="clear" w:pos="284"/>
        </w:tabs>
        <w:autoSpaceDE w:val="0"/>
        <w:autoSpaceDN w:val="0"/>
        <w:adjustRightInd w:val="0"/>
        <w:spacing w:before="60"/>
        <w:rPr>
          <w:szCs w:val="22"/>
          <w:lang w:val="sr-Latn-RS"/>
        </w:rPr>
      </w:pPr>
      <w:r w:rsidRPr="009A2DB8">
        <w:rPr>
          <w:szCs w:val="22"/>
          <w:lang w:val="sr-Latn-RS"/>
        </w:rPr>
        <w:t>U slučaju pr</w:t>
      </w:r>
      <w:r w:rsidR="004542CD">
        <w:rPr>
          <w:szCs w:val="22"/>
          <w:lang w:val="sr-Latn-RS"/>
        </w:rPr>
        <w:t>ij</w:t>
      </w:r>
      <w:r w:rsidRPr="009A2DB8">
        <w:rPr>
          <w:szCs w:val="22"/>
          <w:lang w:val="sr-Latn-RS"/>
        </w:rPr>
        <w:t>evremeno rođene d</w:t>
      </w:r>
      <w:r w:rsidR="004542CD">
        <w:rPr>
          <w:szCs w:val="22"/>
          <w:lang w:val="sr-Latn-RS"/>
        </w:rPr>
        <w:t>j</w:t>
      </w:r>
      <w:r w:rsidRPr="009A2DB8">
        <w:rPr>
          <w:szCs w:val="22"/>
          <w:lang w:val="sr-Latn-RS"/>
        </w:rPr>
        <w:t>ece uzrasta ispod 3 m</w:t>
      </w:r>
      <w:r w:rsidR="004542CD">
        <w:rPr>
          <w:szCs w:val="22"/>
          <w:lang w:val="sr-Latn-RS"/>
        </w:rPr>
        <w:t>j</w:t>
      </w:r>
      <w:r w:rsidRPr="009A2DB8">
        <w:rPr>
          <w:szCs w:val="22"/>
          <w:lang w:val="sr-Latn-RS"/>
        </w:rPr>
        <w:t>eseca, potrebno je konsultovati</w:t>
      </w:r>
      <w:r w:rsidR="001D4F58">
        <w:rPr>
          <w:szCs w:val="22"/>
          <w:lang w:val="sr-Latn-RS"/>
        </w:rPr>
        <w:t xml:space="preserve"> se sa</w:t>
      </w:r>
      <w:r w:rsidRPr="009A2DB8">
        <w:rPr>
          <w:szCs w:val="22"/>
          <w:lang w:val="sr-Latn-RS"/>
        </w:rPr>
        <w:t xml:space="preserve"> l</w:t>
      </w:r>
      <w:r w:rsidR="004542CD">
        <w:rPr>
          <w:szCs w:val="22"/>
          <w:lang w:val="sr-Latn-RS"/>
        </w:rPr>
        <w:t>j</w:t>
      </w:r>
      <w:r w:rsidRPr="009A2DB8">
        <w:rPr>
          <w:szCs w:val="22"/>
          <w:lang w:val="sr-Latn-RS"/>
        </w:rPr>
        <w:t>ekar</w:t>
      </w:r>
      <w:r w:rsidR="001D4F58">
        <w:rPr>
          <w:szCs w:val="22"/>
          <w:lang w:val="sr-Latn-RS"/>
        </w:rPr>
        <w:t>om</w:t>
      </w:r>
      <w:r w:rsidR="006E4425" w:rsidRPr="009A2DB8">
        <w:rPr>
          <w:szCs w:val="22"/>
          <w:lang w:val="sr-Latn-RS"/>
        </w:rPr>
        <w:t xml:space="preserve"> </w:t>
      </w:r>
      <w:r w:rsidRPr="009A2DB8">
        <w:rPr>
          <w:szCs w:val="22"/>
          <w:lang w:val="sr-Latn-RS"/>
        </w:rPr>
        <w:t>pr</w:t>
      </w:r>
      <w:r w:rsidR="004542CD">
        <w:rPr>
          <w:szCs w:val="22"/>
          <w:lang w:val="sr-Latn-RS"/>
        </w:rPr>
        <w:t>ij</w:t>
      </w:r>
      <w:r w:rsidRPr="009A2DB8">
        <w:rPr>
          <w:szCs w:val="22"/>
          <w:lang w:val="sr-Latn-RS"/>
        </w:rPr>
        <w:t>e upotrebe l</w:t>
      </w:r>
      <w:r w:rsidR="004542CD">
        <w:rPr>
          <w:szCs w:val="22"/>
          <w:lang w:val="sr-Latn-RS"/>
        </w:rPr>
        <w:t>ij</w:t>
      </w:r>
      <w:r w:rsidRPr="009A2DB8">
        <w:rPr>
          <w:szCs w:val="22"/>
          <w:lang w:val="sr-Latn-RS"/>
        </w:rPr>
        <w:t>eka.</w:t>
      </w:r>
    </w:p>
    <w:p w14:paraId="602E7C56" w14:textId="293F006C" w:rsidR="00DC024B" w:rsidRPr="009A2DB8" w:rsidRDefault="00DC024B" w:rsidP="006E7CFE">
      <w:pPr>
        <w:widowControl w:val="0"/>
        <w:tabs>
          <w:tab w:val="clear" w:pos="284"/>
        </w:tabs>
        <w:autoSpaceDE w:val="0"/>
        <w:autoSpaceDN w:val="0"/>
        <w:adjustRightInd w:val="0"/>
        <w:spacing w:before="60"/>
        <w:rPr>
          <w:szCs w:val="22"/>
          <w:lang w:val="sr-Latn-RS"/>
        </w:rPr>
      </w:pPr>
      <w:r w:rsidRPr="009A2DB8">
        <w:rPr>
          <w:szCs w:val="22"/>
          <w:lang w:val="sr-Latn-RS"/>
        </w:rPr>
        <w:t>Ukoliko d</w:t>
      </w:r>
      <w:r w:rsidR="004542CD">
        <w:rPr>
          <w:szCs w:val="22"/>
          <w:lang w:val="sr-Latn-RS"/>
        </w:rPr>
        <w:t>ij</w:t>
      </w:r>
      <w:r w:rsidRPr="009A2DB8">
        <w:rPr>
          <w:szCs w:val="22"/>
          <w:lang w:val="sr-Latn-RS"/>
        </w:rPr>
        <w:t xml:space="preserve">ete ima intoleranciju na pojedine </w:t>
      </w:r>
      <w:r w:rsidRPr="009A2DB8">
        <w:rPr>
          <w:bCs/>
          <w:szCs w:val="22"/>
          <w:lang w:val="sr-Latn-RS"/>
        </w:rPr>
        <w:t xml:space="preserve">šećere, </w:t>
      </w:r>
      <w:r w:rsidR="00D57532">
        <w:rPr>
          <w:bCs/>
          <w:szCs w:val="22"/>
          <w:lang w:val="sr-Latn-RS"/>
        </w:rPr>
        <w:t>po</w:t>
      </w:r>
      <w:r w:rsidRPr="009A2DB8">
        <w:rPr>
          <w:bCs/>
          <w:szCs w:val="22"/>
          <w:lang w:val="sr-Latn-RS"/>
        </w:rPr>
        <w:t>treb</w:t>
      </w:r>
      <w:r w:rsidR="00D57532">
        <w:rPr>
          <w:bCs/>
          <w:szCs w:val="22"/>
          <w:lang w:val="sr-Latn-RS"/>
        </w:rPr>
        <w:t>no je</w:t>
      </w:r>
      <w:r w:rsidRPr="009A2DB8">
        <w:rPr>
          <w:bCs/>
          <w:szCs w:val="22"/>
          <w:lang w:val="sr-Latn-RS"/>
        </w:rPr>
        <w:t xml:space="preserve"> </w:t>
      </w:r>
      <w:r w:rsidR="00D57532">
        <w:rPr>
          <w:bCs/>
          <w:szCs w:val="22"/>
          <w:lang w:val="sr-Latn-RS"/>
        </w:rPr>
        <w:t>obratiti se</w:t>
      </w:r>
      <w:r w:rsidR="00D57532" w:rsidRPr="009A2DB8">
        <w:rPr>
          <w:bCs/>
          <w:szCs w:val="22"/>
          <w:lang w:val="sr-Latn-RS"/>
        </w:rPr>
        <w:t xml:space="preserve"> </w:t>
      </w:r>
      <w:r w:rsidRPr="009A2DB8">
        <w:rPr>
          <w:bCs/>
          <w:szCs w:val="22"/>
          <w:lang w:val="sr-Latn-RS"/>
        </w:rPr>
        <w:t>l</w:t>
      </w:r>
      <w:r w:rsidR="004542CD">
        <w:rPr>
          <w:bCs/>
          <w:szCs w:val="22"/>
          <w:lang w:val="sr-Latn-RS"/>
        </w:rPr>
        <w:t>j</w:t>
      </w:r>
      <w:r w:rsidRPr="009A2DB8">
        <w:rPr>
          <w:bCs/>
          <w:szCs w:val="22"/>
          <w:lang w:val="sr-Latn-RS"/>
        </w:rPr>
        <w:t>ekar</w:t>
      </w:r>
      <w:r w:rsidR="00D57532">
        <w:rPr>
          <w:bCs/>
          <w:szCs w:val="22"/>
          <w:lang w:val="sr-Latn-RS"/>
        </w:rPr>
        <w:t>u</w:t>
      </w:r>
      <w:r w:rsidRPr="009A2DB8">
        <w:rPr>
          <w:bCs/>
          <w:szCs w:val="22"/>
          <w:lang w:val="sr-Latn-RS"/>
        </w:rPr>
        <w:t xml:space="preserve"> </w:t>
      </w:r>
      <w:r w:rsidRPr="009A2DB8">
        <w:rPr>
          <w:szCs w:val="22"/>
          <w:lang w:val="sr-Latn-RS"/>
        </w:rPr>
        <w:t>pr</w:t>
      </w:r>
      <w:r w:rsidR="004542CD">
        <w:rPr>
          <w:szCs w:val="22"/>
          <w:lang w:val="sr-Latn-RS"/>
        </w:rPr>
        <w:t>ij</w:t>
      </w:r>
      <w:r w:rsidRPr="009A2DB8">
        <w:rPr>
          <w:szCs w:val="22"/>
          <w:lang w:val="sr-Latn-RS"/>
        </w:rPr>
        <w:t>e upotrebe l</w:t>
      </w:r>
      <w:r w:rsidR="004542CD">
        <w:rPr>
          <w:szCs w:val="22"/>
          <w:lang w:val="sr-Latn-RS"/>
        </w:rPr>
        <w:t>ij</w:t>
      </w:r>
      <w:r w:rsidRPr="009A2DB8">
        <w:rPr>
          <w:szCs w:val="22"/>
          <w:lang w:val="sr-Latn-RS"/>
        </w:rPr>
        <w:t xml:space="preserve">eka jer sadrži saharozu i </w:t>
      </w:r>
      <w:r w:rsidRPr="009A2DB8">
        <w:rPr>
          <w:bCs/>
          <w:szCs w:val="22"/>
          <w:lang w:val="sr-Latn-RS"/>
        </w:rPr>
        <w:t>sorbitol.</w:t>
      </w:r>
    </w:p>
    <w:p w14:paraId="602E7C57" w14:textId="32F4B264" w:rsidR="00DC024B" w:rsidRPr="009A2DB8" w:rsidRDefault="00DC024B" w:rsidP="006E7CFE">
      <w:pPr>
        <w:widowControl w:val="0"/>
        <w:tabs>
          <w:tab w:val="clear" w:pos="284"/>
        </w:tabs>
        <w:autoSpaceDE w:val="0"/>
        <w:autoSpaceDN w:val="0"/>
        <w:adjustRightInd w:val="0"/>
        <w:spacing w:before="60"/>
        <w:rPr>
          <w:szCs w:val="22"/>
          <w:lang w:val="sr-Latn-RS"/>
        </w:rPr>
      </w:pPr>
      <w:r w:rsidRPr="009A2DB8">
        <w:rPr>
          <w:szCs w:val="22"/>
          <w:lang w:val="sr-Latn-RS"/>
        </w:rPr>
        <w:t>Odmah potražiti medicinsku pomoć u slučaju predoziranja, čak i ako se d</w:t>
      </w:r>
      <w:r w:rsidR="004542CD">
        <w:rPr>
          <w:szCs w:val="22"/>
          <w:lang w:val="sr-Latn-RS"/>
        </w:rPr>
        <w:t>ij</w:t>
      </w:r>
      <w:r w:rsidRPr="009A2DB8">
        <w:rPr>
          <w:szCs w:val="22"/>
          <w:lang w:val="sr-Latn-RS"/>
        </w:rPr>
        <w:t>ete os</w:t>
      </w:r>
      <w:r w:rsidR="004542CD">
        <w:rPr>
          <w:szCs w:val="22"/>
          <w:lang w:val="sr-Latn-RS"/>
        </w:rPr>
        <w:t>j</w:t>
      </w:r>
      <w:r w:rsidRPr="009A2DB8">
        <w:rPr>
          <w:szCs w:val="22"/>
          <w:lang w:val="sr-Latn-RS"/>
        </w:rPr>
        <w:t xml:space="preserve">eća dobro, zbog rizika od ireverzibilnog oštećenja </w:t>
      </w:r>
      <w:r w:rsidR="0091772F" w:rsidRPr="009A2DB8">
        <w:rPr>
          <w:szCs w:val="22"/>
          <w:lang w:val="sr-Latn-RS"/>
        </w:rPr>
        <w:t xml:space="preserve">funkcije </w:t>
      </w:r>
      <w:r w:rsidRPr="009A2DB8">
        <w:rPr>
          <w:szCs w:val="22"/>
          <w:lang w:val="sr-Latn-RS"/>
        </w:rPr>
        <w:t>jetre.</w:t>
      </w:r>
    </w:p>
    <w:p w14:paraId="602E7C58" w14:textId="77777777" w:rsidR="00DC024B" w:rsidRPr="009A2DB8" w:rsidRDefault="00DC024B" w:rsidP="006E7CFE">
      <w:pPr>
        <w:tabs>
          <w:tab w:val="clear" w:pos="284"/>
        </w:tabs>
        <w:autoSpaceDE w:val="0"/>
        <w:autoSpaceDN w:val="0"/>
        <w:adjustRightInd w:val="0"/>
        <w:rPr>
          <w:szCs w:val="22"/>
          <w:lang w:val="sr-Latn-RS"/>
        </w:rPr>
      </w:pPr>
    </w:p>
    <w:p w14:paraId="602E7C59" w14:textId="09CEEDB7" w:rsidR="00DC024B" w:rsidRPr="009A2DB8" w:rsidRDefault="00DC024B">
      <w:pPr>
        <w:tabs>
          <w:tab w:val="clear" w:pos="284"/>
        </w:tabs>
        <w:autoSpaceDE w:val="0"/>
        <w:autoSpaceDN w:val="0"/>
        <w:adjustRightInd w:val="0"/>
        <w:rPr>
          <w:szCs w:val="22"/>
          <w:u w:val="single"/>
          <w:lang w:val="sr-Latn-RS"/>
        </w:rPr>
      </w:pPr>
      <w:r w:rsidRPr="00625C29">
        <w:rPr>
          <w:szCs w:val="22"/>
          <w:u w:val="single"/>
          <w:lang w:val="sr-Latn-RS"/>
        </w:rPr>
        <w:t>Posebna upozorenja koja se odnose na pomoćne supstance l</w:t>
      </w:r>
      <w:r w:rsidR="004542CD" w:rsidRPr="00625C29">
        <w:rPr>
          <w:szCs w:val="22"/>
          <w:u w:val="single"/>
          <w:lang w:val="sr-Latn-RS"/>
        </w:rPr>
        <w:t>ij</w:t>
      </w:r>
      <w:r w:rsidRPr="00625C29">
        <w:rPr>
          <w:szCs w:val="22"/>
          <w:u w:val="single"/>
          <w:lang w:val="sr-Latn-RS"/>
        </w:rPr>
        <w:t>eka:</w:t>
      </w:r>
    </w:p>
    <w:p w14:paraId="602E7C5A" w14:textId="77777777" w:rsidR="00DC024B" w:rsidRPr="009A2DB8" w:rsidRDefault="00DC024B">
      <w:pPr>
        <w:tabs>
          <w:tab w:val="clear" w:pos="284"/>
        </w:tabs>
        <w:autoSpaceDE w:val="0"/>
        <w:autoSpaceDN w:val="0"/>
        <w:adjustRightInd w:val="0"/>
        <w:rPr>
          <w:szCs w:val="22"/>
          <w:lang w:val="sr-Latn-RS"/>
        </w:rPr>
      </w:pPr>
    </w:p>
    <w:p w14:paraId="602E7C5B" w14:textId="7FF73AB0" w:rsidR="00DC024B" w:rsidRPr="009A2DB8" w:rsidRDefault="00DC024B">
      <w:pPr>
        <w:rPr>
          <w:bCs/>
          <w:szCs w:val="22"/>
          <w:lang w:val="sr-Latn-RS"/>
        </w:rPr>
      </w:pPr>
      <w:r w:rsidRPr="009A2DB8">
        <w:rPr>
          <w:szCs w:val="22"/>
          <w:lang w:val="sr-Latn-RS"/>
        </w:rPr>
        <w:t>L</w:t>
      </w:r>
      <w:r w:rsidR="004542CD">
        <w:rPr>
          <w:szCs w:val="22"/>
          <w:lang w:val="sr-Latn-RS"/>
        </w:rPr>
        <w:t>ij</w:t>
      </w:r>
      <w:r w:rsidRPr="009A2DB8">
        <w:rPr>
          <w:szCs w:val="22"/>
          <w:lang w:val="sr-Latn-RS"/>
        </w:rPr>
        <w:t xml:space="preserve">ek Paracetamol </w:t>
      </w:r>
      <w:r w:rsidR="0091772F" w:rsidRPr="00AE5980">
        <w:rPr>
          <w:bCs/>
          <w:szCs w:val="22"/>
          <w:lang w:val="sr-Latn-RS"/>
        </w:rPr>
        <w:t>Galenika</w:t>
      </w:r>
      <w:r w:rsidR="00D57532">
        <w:rPr>
          <w:bCs/>
          <w:szCs w:val="22"/>
          <w:lang w:val="sr-Latn-RS"/>
        </w:rPr>
        <w:t>,</w:t>
      </w:r>
      <w:r w:rsidR="0091772F" w:rsidRPr="009A2DB8">
        <w:rPr>
          <w:szCs w:val="22"/>
          <w:lang w:val="sr-Latn-RS"/>
        </w:rPr>
        <w:t xml:space="preserve"> </w:t>
      </w:r>
      <w:r w:rsidRPr="009A2DB8">
        <w:rPr>
          <w:szCs w:val="22"/>
          <w:lang w:val="sr-Latn-RS"/>
        </w:rPr>
        <w:t xml:space="preserve">sirup sadrži saharozu i </w:t>
      </w:r>
      <w:r w:rsidRPr="009A2DB8">
        <w:rPr>
          <w:bCs/>
          <w:szCs w:val="22"/>
          <w:lang w:val="sr-Latn-RS"/>
        </w:rPr>
        <w:t>sorbitol tečni, nekristališući.</w:t>
      </w:r>
    </w:p>
    <w:p w14:paraId="602E7C5C" w14:textId="70FFF01F" w:rsidR="00DC024B" w:rsidRPr="009A2DB8" w:rsidRDefault="00DC024B">
      <w:pPr>
        <w:rPr>
          <w:szCs w:val="22"/>
          <w:lang w:val="sr-Latn-RS"/>
        </w:rPr>
      </w:pPr>
      <w:r w:rsidRPr="009A2DB8">
        <w:rPr>
          <w:szCs w:val="22"/>
          <w:lang w:val="sr-Latn-RS"/>
        </w:rPr>
        <w:t>Pacijenti sa r</w:t>
      </w:r>
      <w:r w:rsidR="004542CD">
        <w:rPr>
          <w:szCs w:val="22"/>
          <w:lang w:val="sr-Latn-RS"/>
        </w:rPr>
        <w:t>ij</w:t>
      </w:r>
      <w:r w:rsidRPr="009A2DB8">
        <w:rPr>
          <w:szCs w:val="22"/>
          <w:lang w:val="sr-Latn-RS"/>
        </w:rPr>
        <w:t>etkim nasl</w:t>
      </w:r>
      <w:r w:rsidR="004542CD">
        <w:rPr>
          <w:szCs w:val="22"/>
          <w:lang w:val="sr-Latn-RS"/>
        </w:rPr>
        <w:t>j</w:t>
      </w:r>
      <w:r w:rsidRPr="009A2DB8">
        <w:rPr>
          <w:szCs w:val="22"/>
          <w:lang w:val="sr-Latn-RS"/>
        </w:rPr>
        <w:t>ednim oboljenjem intolerancije na fruktozu, glukozno-galaktoznom malapsorpcijom ili nedostatkom saharoza-izomaltaze ne sm</w:t>
      </w:r>
      <w:r w:rsidR="004542CD">
        <w:rPr>
          <w:szCs w:val="22"/>
          <w:lang w:val="sr-Latn-RS"/>
        </w:rPr>
        <w:t>i</w:t>
      </w:r>
      <w:r w:rsidRPr="009A2DB8">
        <w:rPr>
          <w:szCs w:val="22"/>
          <w:lang w:val="sr-Latn-RS"/>
        </w:rPr>
        <w:t>ju koristiti ovaj l</w:t>
      </w:r>
      <w:r w:rsidR="004542CD">
        <w:rPr>
          <w:szCs w:val="22"/>
          <w:lang w:val="sr-Latn-RS"/>
        </w:rPr>
        <w:t>ij</w:t>
      </w:r>
      <w:r w:rsidRPr="009A2DB8">
        <w:rPr>
          <w:szCs w:val="22"/>
          <w:lang w:val="sr-Latn-RS"/>
        </w:rPr>
        <w:t>ek.</w:t>
      </w:r>
    </w:p>
    <w:p w14:paraId="602E7C5D" w14:textId="77777777" w:rsidR="00DC024B" w:rsidRPr="009A2DB8" w:rsidRDefault="00DC024B" w:rsidP="00F9614F">
      <w:pPr>
        <w:tabs>
          <w:tab w:val="clear" w:pos="284"/>
        </w:tabs>
        <w:autoSpaceDE w:val="0"/>
        <w:autoSpaceDN w:val="0"/>
        <w:adjustRightInd w:val="0"/>
        <w:rPr>
          <w:szCs w:val="22"/>
          <w:lang w:val="sr-Latn-RS"/>
        </w:rPr>
      </w:pPr>
    </w:p>
    <w:p w14:paraId="602E7C5E" w14:textId="180E3576" w:rsidR="00DC024B" w:rsidRPr="009A2DB8" w:rsidRDefault="00DC024B" w:rsidP="00F9614F">
      <w:pPr>
        <w:tabs>
          <w:tab w:val="clear" w:pos="284"/>
        </w:tabs>
        <w:autoSpaceDE w:val="0"/>
        <w:autoSpaceDN w:val="0"/>
        <w:adjustRightInd w:val="0"/>
        <w:rPr>
          <w:szCs w:val="22"/>
          <w:lang w:val="sr-Latn-RS"/>
        </w:rPr>
      </w:pPr>
      <w:r w:rsidRPr="009A2DB8">
        <w:rPr>
          <w:szCs w:val="22"/>
          <w:lang w:val="sr-Latn-RS"/>
        </w:rPr>
        <w:t>L</w:t>
      </w:r>
      <w:r w:rsidR="004542CD">
        <w:rPr>
          <w:szCs w:val="22"/>
          <w:lang w:val="sr-Latn-RS"/>
        </w:rPr>
        <w:t>ij</w:t>
      </w:r>
      <w:r w:rsidRPr="009A2DB8">
        <w:rPr>
          <w:szCs w:val="22"/>
          <w:lang w:val="sr-Latn-RS"/>
        </w:rPr>
        <w:t>ek Par</w:t>
      </w:r>
      <w:r w:rsidR="003266E4" w:rsidRPr="009A2DB8">
        <w:rPr>
          <w:szCs w:val="22"/>
          <w:lang w:val="sr-Latn-RS"/>
        </w:rPr>
        <w:t>a</w:t>
      </w:r>
      <w:r w:rsidRPr="009A2DB8">
        <w:rPr>
          <w:szCs w:val="22"/>
          <w:lang w:val="sr-Latn-RS"/>
        </w:rPr>
        <w:t xml:space="preserve">cetamol </w:t>
      </w:r>
      <w:r w:rsidR="0091772F" w:rsidRPr="00AE5980">
        <w:rPr>
          <w:bCs/>
          <w:szCs w:val="22"/>
          <w:lang w:val="sr-Latn-RS"/>
        </w:rPr>
        <w:t>Galenika</w:t>
      </w:r>
      <w:r w:rsidR="0091772F" w:rsidRPr="009A2DB8">
        <w:rPr>
          <w:szCs w:val="22"/>
          <w:lang w:val="sr-Latn-RS"/>
        </w:rPr>
        <w:t xml:space="preserve"> </w:t>
      </w:r>
      <w:r w:rsidRPr="009A2DB8">
        <w:rPr>
          <w:szCs w:val="22"/>
          <w:lang w:val="sr-Latn-RS"/>
        </w:rPr>
        <w:t>sadrži metilparahidroksibenzoat (E218).</w:t>
      </w:r>
    </w:p>
    <w:p w14:paraId="602E7C5F" w14:textId="590F9B04" w:rsidR="00DC024B" w:rsidRDefault="00DC024B" w:rsidP="00F9614F">
      <w:pPr>
        <w:tabs>
          <w:tab w:val="clear" w:pos="284"/>
        </w:tabs>
        <w:autoSpaceDE w:val="0"/>
        <w:autoSpaceDN w:val="0"/>
        <w:adjustRightInd w:val="0"/>
        <w:rPr>
          <w:szCs w:val="22"/>
          <w:lang w:val="sr-Latn-RS"/>
        </w:rPr>
      </w:pPr>
      <w:r w:rsidRPr="009A2DB8">
        <w:rPr>
          <w:szCs w:val="22"/>
          <w:lang w:val="sr-Latn-RS"/>
        </w:rPr>
        <w:t>Može izazvati alergijske reakcije, čak i odložene.</w:t>
      </w:r>
    </w:p>
    <w:p w14:paraId="46BACDFB" w14:textId="77777777" w:rsidR="00625C29" w:rsidRPr="009A2DB8" w:rsidRDefault="00625C29" w:rsidP="00F9614F">
      <w:pPr>
        <w:tabs>
          <w:tab w:val="clear" w:pos="284"/>
        </w:tabs>
        <w:autoSpaceDE w:val="0"/>
        <w:autoSpaceDN w:val="0"/>
        <w:adjustRightInd w:val="0"/>
        <w:rPr>
          <w:szCs w:val="22"/>
          <w:lang w:val="sr-Latn-RS"/>
        </w:rPr>
      </w:pPr>
    </w:p>
    <w:p w14:paraId="0AF1B802" w14:textId="620F631D" w:rsidR="007C4722" w:rsidRDefault="00DC024B" w:rsidP="00F9614F">
      <w:pPr>
        <w:tabs>
          <w:tab w:val="clear" w:pos="284"/>
        </w:tabs>
        <w:autoSpaceDE w:val="0"/>
        <w:autoSpaceDN w:val="0"/>
        <w:adjustRightInd w:val="0"/>
        <w:rPr>
          <w:szCs w:val="22"/>
          <w:lang w:val="sr-Latn-RS"/>
        </w:rPr>
      </w:pPr>
      <w:r w:rsidRPr="009A2DB8">
        <w:rPr>
          <w:szCs w:val="22"/>
          <w:lang w:val="sr-Latn-RS"/>
        </w:rPr>
        <w:t>L</w:t>
      </w:r>
      <w:r w:rsidR="004542CD">
        <w:rPr>
          <w:szCs w:val="22"/>
          <w:lang w:val="sr-Latn-RS"/>
        </w:rPr>
        <w:t>ij</w:t>
      </w:r>
      <w:r w:rsidRPr="009A2DB8">
        <w:rPr>
          <w:szCs w:val="22"/>
          <w:lang w:val="sr-Latn-RS"/>
        </w:rPr>
        <w:t>ek Par</w:t>
      </w:r>
      <w:r w:rsidR="003266E4" w:rsidRPr="009A2DB8">
        <w:rPr>
          <w:szCs w:val="22"/>
          <w:lang w:val="sr-Latn-RS"/>
        </w:rPr>
        <w:t>a</w:t>
      </w:r>
      <w:r w:rsidRPr="009A2DB8">
        <w:rPr>
          <w:szCs w:val="22"/>
          <w:lang w:val="sr-Latn-RS"/>
        </w:rPr>
        <w:t xml:space="preserve">cetamol </w:t>
      </w:r>
      <w:r w:rsidR="0091772F" w:rsidRPr="00AE5980">
        <w:rPr>
          <w:bCs/>
          <w:szCs w:val="22"/>
          <w:lang w:val="sr-Latn-RS"/>
        </w:rPr>
        <w:t>Galenika</w:t>
      </w:r>
      <w:r w:rsidR="0091772F" w:rsidRPr="009A2DB8">
        <w:rPr>
          <w:szCs w:val="22"/>
          <w:lang w:val="sr-Latn-RS"/>
        </w:rPr>
        <w:t xml:space="preserve"> </w:t>
      </w:r>
      <w:r w:rsidRPr="009A2DB8">
        <w:rPr>
          <w:szCs w:val="22"/>
          <w:lang w:val="sr-Latn-RS"/>
        </w:rPr>
        <w:t>sadrži boju</w:t>
      </w:r>
      <w:r w:rsidR="007C4722" w:rsidRPr="009A2DB8">
        <w:rPr>
          <w:szCs w:val="22"/>
          <w:lang w:val="sr-Latn-RS"/>
        </w:rPr>
        <w:t xml:space="preserve"> Allura Red</w:t>
      </w:r>
      <w:r w:rsidR="00A54587">
        <w:rPr>
          <w:szCs w:val="22"/>
          <w:lang w:val="sr-Latn-RS"/>
        </w:rPr>
        <w:t xml:space="preserve"> AC </w:t>
      </w:r>
      <w:r w:rsidRPr="009A2DB8">
        <w:rPr>
          <w:szCs w:val="22"/>
          <w:lang w:val="sr-Latn-RS"/>
        </w:rPr>
        <w:t xml:space="preserve">(E129). </w:t>
      </w:r>
    </w:p>
    <w:p w14:paraId="602E7C60" w14:textId="6AB099FC" w:rsidR="00DC024B" w:rsidRDefault="00DC024B" w:rsidP="00F9614F">
      <w:pPr>
        <w:tabs>
          <w:tab w:val="clear" w:pos="284"/>
        </w:tabs>
        <w:autoSpaceDE w:val="0"/>
        <w:autoSpaceDN w:val="0"/>
        <w:adjustRightInd w:val="0"/>
        <w:rPr>
          <w:szCs w:val="22"/>
          <w:lang w:val="sr-Latn-RS"/>
        </w:rPr>
      </w:pPr>
      <w:r w:rsidRPr="009A2DB8">
        <w:rPr>
          <w:szCs w:val="22"/>
          <w:lang w:val="sr-Latn-RS"/>
        </w:rPr>
        <w:t>Može izazvati alergijske reakcije.</w:t>
      </w:r>
    </w:p>
    <w:p w14:paraId="14103802" w14:textId="77777777" w:rsidR="00625C29" w:rsidRPr="009A2DB8" w:rsidRDefault="00625C29" w:rsidP="00F9614F">
      <w:pPr>
        <w:tabs>
          <w:tab w:val="clear" w:pos="284"/>
        </w:tabs>
        <w:autoSpaceDE w:val="0"/>
        <w:autoSpaceDN w:val="0"/>
        <w:adjustRightInd w:val="0"/>
        <w:rPr>
          <w:szCs w:val="22"/>
          <w:lang w:val="sr-Latn-RS"/>
        </w:rPr>
      </w:pPr>
    </w:p>
    <w:p w14:paraId="7374EDD1" w14:textId="38EBABC4" w:rsidR="000A0730" w:rsidRPr="009A2DB8" w:rsidRDefault="000A0730" w:rsidP="000A0730">
      <w:pPr>
        <w:rPr>
          <w:iCs/>
          <w:szCs w:val="22"/>
          <w:lang w:val="sr-Latn-RS"/>
        </w:rPr>
      </w:pPr>
      <w:r w:rsidRPr="009A2DB8">
        <w:rPr>
          <w:iCs/>
          <w:lang w:val="sr-Latn-RS"/>
        </w:rPr>
        <w:t>Ovaj l</w:t>
      </w:r>
      <w:r w:rsidR="004542CD">
        <w:rPr>
          <w:iCs/>
          <w:lang w:val="sr-Latn-RS"/>
        </w:rPr>
        <w:t>ij</w:t>
      </w:r>
      <w:r w:rsidRPr="009A2DB8">
        <w:rPr>
          <w:iCs/>
          <w:lang w:val="sr-Latn-RS"/>
        </w:rPr>
        <w:t>ek sadrži manje količine etanola (alkohola) iz arome višnje, manje od 100 mg po dozi.</w:t>
      </w:r>
    </w:p>
    <w:p w14:paraId="7F033F90" w14:textId="77777777" w:rsidR="00625C29" w:rsidRDefault="00625C29" w:rsidP="00F9614F">
      <w:pPr>
        <w:tabs>
          <w:tab w:val="clear" w:pos="284"/>
        </w:tabs>
        <w:autoSpaceDE w:val="0"/>
        <w:autoSpaceDN w:val="0"/>
        <w:adjustRightInd w:val="0"/>
        <w:rPr>
          <w:lang w:val="sr-Latn-RS"/>
        </w:rPr>
      </w:pPr>
    </w:p>
    <w:p w14:paraId="548256CC" w14:textId="6FC8A232" w:rsidR="000A0730" w:rsidRPr="009A2DB8" w:rsidRDefault="00122AD0" w:rsidP="00F9614F">
      <w:pPr>
        <w:tabs>
          <w:tab w:val="clear" w:pos="284"/>
        </w:tabs>
        <w:autoSpaceDE w:val="0"/>
        <w:autoSpaceDN w:val="0"/>
        <w:adjustRightInd w:val="0"/>
        <w:rPr>
          <w:szCs w:val="22"/>
          <w:lang w:val="sr-Latn-RS"/>
        </w:rPr>
      </w:pPr>
      <w:r w:rsidRPr="009A2DB8">
        <w:rPr>
          <w:lang w:val="sr-Latn-RS"/>
        </w:rPr>
        <w:t>Ovaj l</w:t>
      </w:r>
      <w:r w:rsidR="004542CD">
        <w:rPr>
          <w:lang w:val="sr-Latn-RS"/>
        </w:rPr>
        <w:t>ij</w:t>
      </w:r>
      <w:r w:rsidR="00C939B5" w:rsidRPr="009A2DB8">
        <w:rPr>
          <w:lang w:val="sr-Latn-RS"/>
        </w:rPr>
        <w:t xml:space="preserve">ek sadrži 20 mg </w:t>
      </w:r>
      <w:r w:rsidR="00C939B5" w:rsidRPr="00625C29">
        <w:rPr>
          <w:lang w:val="sr-Latn-RS"/>
        </w:rPr>
        <w:t>propilenglikola (E1520)</w:t>
      </w:r>
      <w:r w:rsidR="00C939B5" w:rsidRPr="009A2DB8">
        <w:rPr>
          <w:lang w:val="sr-Latn-RS"/>
        </w:rPr>
        <w:t xml:space="preserve"> u 100 m</w:t>
      </w:r>
      <w:r w:rsidR="004542CD">
        <w:rPr>
          <w:lang w:val="sr-Latn-RS"/>
        </w:rPr>
        <w:t>l</w:t>
      </w:r>
      <w:r w:rsidR="00C939B5" w:rsidRPr="009A2DB8">
        <w:rPr>
          <w:lang w:val="sr-Latn-RS"/>
        </w:rPr>
        <w:t xml:space="preserve"> sirupa</w:t>
      </w:r>
      <w:r w:rsidR="00D04DA8">
        <w:rPr>
          <w:lang w:val="sr-Latn-RS"/>
        </w:rPr>
        <w:t>.</w:t>
      </w:r>
      <w:r w:rsidRPr="009A2DB8">
        <w:rPr>
          <w:lang w:val="sr-Latn-RS"/>
        </w:rPr>
        <w:t xml:space="preserve"> </w:t>
      </w:r>
    </w:p>
    <w:p w14:paraId="602E7C61" w14:textId="77777777" w:rsidR="00DC024B" w:rsidRPr="009A2DB8" w:rsidRDefault="00DC024B" w:rsidP="00527F5D">
      <w:pPr>
        <w:rPr>
          <w:b/>
          <w:bCs/>
          <w:szCs w:val="22"/>
          <w:lang w:val="sr-Latn-RS"/>
        </w:rPr>
      </w:pPr>
    </w:p>
    <w:p w14:paraId="602E7C62" w14:textId="72D0D4CC" w:rsidR="00DC024B" w:rsidRPr="009A2DB8" w:rsidRDefault="00DC024B" w:rsidP="00527F5D">
      <w:pPr>
        <w:rPr>
          <w:b/>
          <w:bCs/>
          <w:szCs w:val="22"/>
          <w:lang w:val="sr-Latn-RS"/>
        </w:rPr>
      </w:pPr>
      <w:r w:rsidRPr="009A2DB8">
        <w:rPr>
          <w:b/>
          <w:bCs/>
          <w:szCs w:val="22"/>
          <w:lang w:val="sr-Latn-RS"/>
        </w:rPr>
        <w:t>4.5. Interakcije sa drugim l</w:t>
      </w:r>
      <w:r w:rsidR="004542CD">
        <w:rPr>
          <w:b/>
          <w:bCs/>
          <w:szCs w:val="22"/>
          <w:lang w:val="sr-Latn-RS"/>
        </w:rPr>
        <w:t>j</w:t>
      </w:r>
      <w:r w:rsidRPr="009A2DB8">
        <w:rPr>
          <w:b/>
          <w:bCs/>
          <w:szCs w:val="22"/>
          <w:lang w:val="sr-Latn-RS"/>
        </w:rPr>
        <w:t>ekovima i druge vrste interakcija</w:t>
      </w:r>
    </w:p>
    <w:p w14:paraId="602E7C63" w14:textId="77777777" w:rsidR="00DC024B" w:rsidRPr="009A2DB8" w:rsidRDefault="00DC024B" w:rsidP="00F73F1D">
      <w:pPr>
        <w:jc w:val="left"/>
        <w:rPr>
          <w:szCs w:val="22"/>
          <w:lang w:val="sr-Latn-RS"/>
        </w:rPr>
      </w:pPr>
    </w:p>
    <w:p w14:paraId="602E7C64" w14:textId="6EB77C88" w:rsidR="00DC024B" w:rsidRPr="009A2DB8" w:rsidRDefault="00DC024B" w:rsidP="00F73F1D">
      <w:pPr>
        <w:rPr>
          <w:szCs w:val="22"/>
          <w:lang w:val="sr-Latn-RS"/>
        </w:rPr>
      </w:pPr>
      <w:r w:rsidRPr="009A2DB8">
        <w:rPr>
          <w:szCs w:val="22"/>
          <w:lang w:val="sr-Latn-RS"/>
        </w:rPr>
        <w:t>Metoklopramid ili domperidon mogu ubrzati resorpciju paracetamola, dok holestiramin može usporiti resorpciju ovog l</w:t>
      </w:r>
      <w:r w:rsidR="004542CD">
        <w:rPr>
          <w:szCs w:val="22"/>
          <w:lang w:val="sr-Latn-RS"/>
        </w:rPr>
        <w:t>ij</w:t>
      </w:r>
      <w:r w:rsidRPr="009A2DB8">
        <w:rPr>
          <w:szCs w:val="22"/>
          <w:lang w:val="sr-Latn-RS"/>
        </w:rPr>
        <w:t>eka.</w:t>
      </w:r>
    </w:p>
    <w:p w14:paraId="602E7C65" w14:textId="77777777" w:rsidR="00DC024B" w:rsidRPr="009A2DB8" w:rsidRDefault="00DC024B" w:rsidP="00F73F1D">
      <w:pPr>
        <w:rPr>
          <w:szCs w:val="22"/>
          <w:lang w:val="sr-Latn-RS"/>
        </w:rPr>
      </w:pPr>
    </w:p>
    <w:p w14:paraId="602E7C66" w14:textId="6C61CA82" w:rsidR="00DC024B" w:rsidRPr="009A2DB8" w:rsidRDefault="00DC024B" w:rsidP="005045FB">
      <w:pPr>
        <w:tabs>
          <w:tab w:val="clear" w:pos="284"/>
        </w:tabs>
        <w:rPr>
          <w:szCs w:val="22"/>
          <w:lang w:val="sr-Latn-RS"/>
        </w:rPr>
      </w:pPr>
      <w:r w:rsidRPr="009A2DB8">
        <w:rPr>
          <w:szCs w:val="22"/>
          <w:lang w:val="sr-Latn-RS"/>
        </w:rPr>
        <w:t>Antikoagulantno dejstvo varfarina i drugih kumarinskh derivata može biti pojačano dugotrajnom, svakodnevnom prim</w:t>
      </w:r>
      <w:r w:rsidR="004542CD">
        <w:rPr>
          <w:szCs w:val="22"/>
          <w:lang w:val="sr-Latn-RS"/>
        </w:rPr>
        <w:t>j</w:t>
      </w:r>
      <w:r w:rsidRPr="009A2DB8">
        <w:rPr>
          <w:szCs w:val="22"/>
          <w:lang w:val="sr-Latn-RS"/>
        </w:rPr>
        <w:t>enom paracetamola, što je praćeno povećanim rizikom od krvarenja. Povremena upotreba l</w:t>
      </w:r>
      <w:r w:rsidR="004542CD">
        <w:rPr>
          <w:szCs w:val="22"/>
          <w:lang w:val="sr-Latn-RS"/>
        </w:rPr>
        <w:t>ij</w:t>
      </w:r>
      <w:r w:rsidRPr="009A2DB8">
        <w:rPr>
          <w:szCs w:val="22"/>
          <w:lang w:val="sr-Latn-RS"/>
        </w:rPr>
        <w:t>eka nema značajnog efekta.</w:t>
      </w:r>
    </w:p>
    <w:p w14:paraId="6CF4962E" w14:textId="7E325BDE" w:rsidR="00715B4C" w:rsidRPr="009A2DB8" w:rsidRDefault="00715B4C" w:rsidP="005045FB">
      <w:pPr>
        <w:tabs>
          <w:tab w:val="clear" w:pos="284"/>
        </w:tabs>
        <w:rPr>
          <w:szCs w:val="22"/>
          <w:lang w:val="sr-Latn-RS"/>
        </w:rPr>
      </w:pPr>
    </w:p>
    <w:p w14:paraId="6CFB48E9" w14:textId="26ABCD53" w:rsidR="00715B4C" w:rsidRPr="009A2DB8" w:rsidRDefault="00715B4C" w:rsidP="00715B4C">
      <w:pPr>
        <w:tabs>
          <w:tab w:val="clear" w:pos="284"/>
        </w:tabs>
        <w:rPr>
          <w:szCs w:val="22"/>
          <w:lang w:val="sr-Latn-RS"/>
        </w:rPr>
      </w:pPr>
      <w:r w:rsidRPr="009A2DB8">
        <w:rPr>
          <w:szCs w:val="22"/>
          <w:lang w:val="sr-Latn-RS"/>
        </w:rPr>
        <w:t>Treba biti oprezan kada se paracetamol koristi istovremeno sa flukloksacilinom</w:t>
      </w:r>
      <w:r w:rsidR="00C94BB4" w:rsidRPr="009A2DB8">
        <w:rPr>
          <w:szCs w:val="22"/>
          <w:lang w:val="sr-Latn-RS"/>
        </w:rPr>
        <w:t>, jer je i</w:t>
      </w:r>
      <w:r w:rsidRPr="009A2DB8">
        <w:rPr>
          <w:szCs w:val="22"/>
          <w:lang w:val="sr-Latn-RS"/>
        </w:rPr>
        <w:t>stovremeni</w:t>
      </w:r>
      <w:r w:rsidR="00C94BB4" w:rsidRPr="009A2DB8">
        <w:rPr>
          <w:szCs w:val="22"/>
          <w:lang w:val="sr-Latn-RS"/>
        </w:rPr>
        <w:t xml:space="preserve"> </w:t>
      </w:r>
      <w:r w:rsidRPr="009A2DB8">
        <w:rPr>
          <w:szCs w:val="22"/>
          <w:lang w:val="sr-Latn-RS"/>
        </w:rPr>
        <w:t xml:space="preserve">unos povezan sa metaboličkom acidozom </w:t>
      </w:r>
      <w:r w:rsidR="00535ED7">
        <w:rPr>
          <w:szCs w:val="22"/>
          <w:lang w:val="sr-Latn-RS"/>
        </w:rPr>
        <w:t xml:space="preserve">sa </w:t>
      </w:r>
      <w:r w:rsidRPr="009A2DB8">
        <w:rPr>
          <w:szCs w:val="22"/>
          <w:lang w:val="sr-Latn-RS"/>
        </w:rPr>
        <w:t>visok</w:t>
      </w:r>
      <w:r w:rsidR="00535ED7">
        <w:rPr>
          <w:szCs w:val="22"/>
          <w:lang w:val="sr-Latn-RS"/>
        </w:rPr>
        <w:t>im</w:t>
      </w:r>
      <w:r w:rsidRPr="009A2DB8">
        <w:rPr>
          <w:szCs w:val="22"/>
          <w:lang w:val="sr-Latn-RS"/>
        </w:rPr>
        <w:t xml:space="preserve"> anjonsk</w:t>
      </w:r>
      <w:r w:rsidR="00535ED7">
        <w:rPr>
          <w:szCs w:val="22"/>
          <w:lang w:val="sr-Latn-RS"/>
        </w:rPr>
        <w:t>im</w:t>
      </w:r>
      <w:r w:rsidRPr="009A2DB8">
        <w:rPr>
          <w:szCs w:val="22"/>
          <w:lang w:val="sr-Latn-RS"/>
        </w:rPr>
        <w:t xml:space="preserve"> </w:t>
      </w:r>
      <w:r w:rsidR="00846FDC">
        <w:rPr>
          <w:szCs w:val="22"/>
          <w:lang w:val="sr-Latn-RS"/>
        </w:rPr>
        <w:t>procjep</w:t>
      </w:r>
      <w:r w:rsidR="00535ED7">
        <w:rPr>
          <w:szCs w:val="22"/>
          <w:lang w:val="sr-Latn-RS"/>
        </w:rPr>
        <w:t>om</w:t>
      </w:r>
      <w:r w:rsidRPr="009A2DB8">
        <w:rPr>
          <w:szCs w:val="22"/>
          <w:lang w:val="sr-Latn-RS"/>
        </w:rPr>
        <w:t>, posebno kod pacijenata sa</w:t>
      </w:r>
      <w:r w:rsidR="00C94BB4" w:rsidRPr="009A2DB8">
        <w:rPr>
          <w:szCs w:val="22"/>
          <w:lang w:val="sr-Latn-RS"/>
        </w:rPr>
        <w:t xml:space="preserve"> </w:t>
      </w:r>
      <w:r w:rsidRPr="009A2DB8">
        <w:rPr>
          <w:szCs w:val="22"/>
          <w:lang w:val="sr-Latn-RS"/>
        </w:rPr>
        <w:t>faktorima rizika (vid</w:t>
      </w:r>
      <w:r w:rsidR="004542CD">
        <w:rPr>
          <w:szCs w:val="22"/>
          <w:lang w:val="sr-Latn-RS"/>
        </w:rPr>
        <w:t>j</w:t>
      </w:r>
      <w:r w:rsidRPr="009A2DB8">
        <w:rPr>
          <w:szCs w:val="22"/>
          <w:lang w:val="sr-Latn-RS"/>
        </w:rPr>
        <w:t xml:space="preserve">eti </w:t>
      </w:r>
      <w:r w:rsidR="004542CD">
        <w:rPr>
          <w:szCs w:val="22"/>
          <w:lang w:val="sr-Latn-RS"/>
        </w:rPr>
        <w:t>dio</w:t>
      </w:r>
      <w:r w:rsidRPr="009A2DB8">
        <w:rPr>
          <w:szCs w:val="22"/>
          <w:lang w:val="sr-Latn-RS"/>
        </w:rPr>
        <w:t xml:space="preserve"> 4.4).</w:t>
      </w:r>
    </w:p>
    <w:p w14:paraId="602E7C67" w14:textId="77777777" w:rsidR="00DC024B" w:rsidRPr="009A2DB8" w:rsidRDefault="00DC024B" w:rsidP="00F73F1D">
      <w:pPr>
        <w:tabs>
          <w:tab w:val="clear" w:pos="284"/>
        </w:tabs>
        <w:rPr>
          <w:iCs/>
          <w:color w:val="000000"/>
          <w:szCs w:val="22"/>
          <w:lang w:val="sr-Latn-RS"/>
        </w:rPr>
      </w:pPr>
    </w:p>
    <w:p w14:paraId="602E7C68" w14:textId="77777777" w:rsidR="00DC024B" w:rsidRPr="009A2DB8" w:rsidRDefault="00DC024B" w:rsidP="00527F5D">
      <w:pPr>
        <w:rPr>
          <w:b/>
          <w:bCs/>
          <w:szCs w:val="22"/>
          <w:lang w:val="sr-Latn-RS"/>
        </w:rPr>
      </w:pPr>
      <w:r w:rsidRPr="009A2DB8">
        <w:rPr>
          <w:b/>
          <w:bCs/>
          <w:szCs w:val="22"/>
          <w:lang w:val="sr-Latn-RS"/>
        </w:rPr>
        <w:t>4.6. Plodnost, trudnoća i dojenje</w:t>
      </w:r>
    </w:p>
    <w:p w14:paraId="602E7C69" w14:textId="77777777" w:rsidR="00DC024B" w:rsidRPr="009A2DB8" w:rsidRDefault="00DC024B" w:rsidP="00F73F1D">
      <w:pPr>
        <w:rPr>
          <w:szCs w:val="22"/>
          <w:lang w:val="sr-Latn-RS"/>
        </w:rPr>
      </w:pPr>
    </w:p>
    <w:p w14:paraId="1B3FFDE0" w14:textId="4DE02AE2" w:rsidR="00715B4C" w:rsidRPr="009A2DB8" w:rsidRDefault="00715B4C">
      <w:pPr>
        <w:rPr>
          <w:szCs w:val="22"/>
          <w:lang w:val="sr-Latn-RS"/>
        </w:rPr>
      </w:pPr>
      <w:r w:rsidRPr="009A2DB8">
        <w:rPr>
          <w:szCs w:val="22"/>
          <w:lang w:val="sr-Latn-RS"/>
        </w:rPr>
        <w:t xml:space="preserve">Ovaj </w:t>
      </w:r>
      <w:r w:rsidR="009102DB" w:rsidRPr="009A2DB8">
        <w:rPr>
          <w:szCs w:val="22"/>
          <w:lang w:val="sr-Latn-RS"/>
        </w:rPr>
        <w:t>l</w:t>
      </w:r>
      <w:r w:rsidR="004542CD">
        <w:rPr>
          <w:szCs w:val="22"/>
          <w:lang w:val="sr-Latn-RS"/>
        </w:rPr>
        <w:t>ij</w:t>
      </w:r>
      <w:r w:rsidR="009102DB" w:rsidRPr="009A2DB8">
        <w:rPr>
          <w:szCs w:val="22"/>
          <w:lang w:val="sr-Latn-RS"/>
        </w:rPr>
        <w:t>ek</w:t>
      </w:r>
      <w:r w:rsidRPr="009A2DB8">
        <w:rPr>
          <w:szCs w:val="22"/>
          <w:lang w:val="sr-Latn-RS"/>
        </w:rPr>
        <w:t xml:space="preserve"> je nam</w:t>
      </w:r>
      <w:r w:rsidR="004542CD">
        <w:rPr>
          <w:szCs w:val="22"/>
          <w:lang w:val="sr-Latn-RS"/>
        </w:rPr>
        <w:t>ij</w:t>
      </w:r>
      <w:r w:rsidRPr="009A2DB8">
        <w:rPr>
          <w:szCs w:val="22"/>
          <w:lang w:val="sr-Latn-RS"/>
        </w:rPr>
        <w:t xml:space="preserve">enjen </w:t>
      </w:r>
      <w:r w:rsidR="00262C5D" w:rsidRPr="009A2DB8">
        <w:rPr>
          <w:szCs w:val="22"/>
          <w:lang w:val="sr-Latn-RS"/>
        </w:rPr>
        <w:t>z</w:t>
      </w:r>
      <w:r w:rsidRPr="009A2DB8">
        <w:rPr>
          <w:szCs w:val="22"/>
          <w:lang w:val="sr-Latn-RS"/>
        </w:rPr>
        <w:t>a upotrebu kod d</w:t>
      </w:r>
      <w:r w:rsidR="004542CD">
        <w:rPr>
          <w:szCs w:val="22"/>
          <w:lang w:val="sr-Latn-RS"/>
        </w:rPr>
        <w:t>j</w:t>
      </w:r>
      <w:r w:rsidRPr="009A2DB8">
        <w:rPr>
          <w:szCs w:val="22"/>
          <w:lang w:val="sr-Latn-RS"/>
        </w:rPr>
        <w:t>ece.</w:t>
      </w:r>
    </w:p>
    <w:p w14:paraId="2AE3262B" w14:textId="673BFABD" w:rsidR="00715B4C" w:rsidRPr="009A2DB8" w:rsidRDefault="00715B4C">
      <w:pPr>
        <w:rPr>
          <w:szCs w:val="22"/>
          <w:lang w:val="sr-Latn-RS"/>
        </w:rPr>
      </w:pPr>
    </w:p>
    <w:p w14:paraId="030F0A91" w14:textId="05F0F2BB" w:rsidR="00715B4C" w:rsidRDefault="00715B4C">
      <w:pPr>
        <w:rPr>
          <w:szCs w:val="22"/>
          <w:u w:val="single"/>
          <w:lang w:val="sr-Latn-RS"/>
        </w:rPr>
      </w:pPr>
      <w:r w:rsidRPr="009A2DB8">
        <w:rPr>
          <w:szCs w:val="22"/>
          <w:u w:val="single"/>
          <w:lang w:val="sr-Latn-RS"/>
        </w:rPr>
        <w:t>Trudno</w:t>
      </w:r>
      <w:r w:rsidR="00262C5D" w:rsidRPr="009A2DB8">
        <w:rPr>
          <w:szCs w:val="22"/>
          <w:u w:val="single"/>
          <w:lang w:val="sr-Latn-RS"/>
        </w:rPr>
        <w:t>ća</w:t>
      </w:r>
    </w:p>
    <w:p w14:paraId="079CA776" w14:textId="77777777" w:rsidR="002E4E87" w:rsidRPr="009A2DB8" w:rsidRDefault="002E4E87">
      <w:pPr>
        <w:rPr>
          <w:szCs w:val="22"/>
          <w:u w:val="single"/>
          <w:lang w:val="sr-Latn-RS"/>
        </w:rPr>
      </w:pPr>
    </w:p>
    <w:p w14:paraId="0B619676" w14:textId="73BDBD90" w:rsidR="00262C5D" w:rsidRPr="009A2DB8" w:rsidRDefault="00262C5D" w:rsidP="00262C5D">
      <w:pPr>
        <w:rPr>
          <w:szCs w:val="22"/>
          <w:lang w:val="sr-Latn-RS"/>
        </w:rPr>
      </w:pPr>
      <w:r w:rsidRPr="009A2DB8">
        <w:rPr>
          <w:szCs w:val="22"/>
          <w:lang w:val="sr-Latn-RS"/>
        </w:rPr>
        <w:t xml:space="preserve">Veliki broj podataka </w:t>
      </w:r>
      <w:r w:rsidR="00535ED7">
        <w:rPr>
          <w:szCs w:val="22"/>
          <w:lang w:val="sr-Latn-RS"/>
        </w:rPr>
        <w:t>koji se odnose na primjenu</w:t>
      </w:r>
      <w:r w:rsidRPr="009A2DB8">
        <w:rPr>
          <w:szCs w:val="22"/>
          <w:lang w:val="sr-Latn-RS"/>
        </w:rPr>
        <w:t xml:space="preserve"> kod trudnica ukazuj</w:t>
      </w:r>
      <w:r w:rsidR="00535ED7">
        <w:rPr>
          <w:szCs w:val="22"/>
          <w:lang w:val="sr-Latn-RS"/>
        </w:rPr>
        <w:t>e</w:t>
      </w:r>
      <w:r w:rsidRPr="009A2DB8">
        <w:rPr>
          <w:szCs w:val="22"/>
          <w:lang w:val="sr-Latn-RS"/>
        </w:rPr>
        <w:t xml:space="preserve"> da paracetamol ne</w:t>
      </w:r>
      <w:r w:rsidR="00535ED7">
        <w:rPr>
          <w:szCs w:val="22"/>
          <w:lang w:val="sr-Latn-RS"/>
        </w:rPr>
        <w:t xml:space="preserve"> uzrokuje</w:t>
      </w:r>
      <w:r w:rsidRPr="009A2DB8">
        <w:rPr>
          <w:szCs w:val="22"/>
          <w:lang w:val="sr-Latn-RS"/>
        </w:rPr>
        <w:t xml:space="preserve"> malforma</w:t>
      </w:r>
      <w:r w:rsidR="00535ED7">
        <w:rPr>
          <w:szCs w:val="22"/>
          <w:lang w:val="sr-Latn-RS"/>
        </w:rPr>
        <w:t>cije</w:t>
      </w:r>
      <w:r w:rsidRPr="009A2DB8">
        <w:rPr>
          <w:szCs w:val="22"/>
          <w:lang w:val="sr-Latn-RS"/>
        </w:rPr>
        <w:t xml:space="preserve"> </w:t>
      </w:r>
      <w:r w:rsidR="00535ED7">
        <w:rPr>
          <w:szCs w:val="22"/>
          <w:lang w:val="sr-Latn-RS"/>
        </w:rPr>
        <w:t>niti</w:t>
      </w:r>
      <w:r w:rsidR="00535ED7" w:rsidRPr="009A2DB8">
        <w:rPr>
          <w:szCs w:val="22"/>
          <w:lang w:val="sr-Latn-RS"/>
        </w:rPr>
        <w:t xml:space="preserve"> </w:t>
      </w:r>
      <w:r w:rsidRPr="009A2DB8">
        <w:rPr>
          <w:szCs w:val="22"/>
          <w:lang w:val="sr-Latn-RS"/>
        </w:rPr>
        <w:t>feto</w:t>
      </w:r>
      <w:r w:rsidR="00535ED7">
        <w:rPr>
          <w:szCs w:val="22"/>
          <w:lang w:val="sr-Latn-RS"/>
        </w:rPr>
        <w:t>toksičnost</w:t>
      </w:r>
      <w:r w:rsidRPr="009A2DB8">
        <w:rPr>
          <w:szCs w:val="22"/>
          <w:lang w:val="sr-Latn-RS"/>
        </w:rPr>
        <w:t>/neonatalnu toksičnost.</w:t>
      </w:r>
    </w:p>
    <w:p w14:paraId="41B40BAA" w14:textId="3FC22800" w:rsidR="001F1741" w:rsidRPr="009A2DB8" w:rsidRDefault="001F1741" w:rsidP="001F1741">
      <w:pPr>
        <w:rPr>
          <w:szCs w:val="22"/>
          <w:lang w:val="sr-Latn-RS"/>
        </w:rPr>
      </w:pPr>
      <w:r w:rsidRPr="009A2DB8">
        <w:rPr>
          <w:szCs w:val="22"/>
          <w:lang w:val="sr-Latn-RS"/>
        </w:rPr>
        <w:t>Epidemi</w:t>
      </w:r>
      <w:r w:rsidR="0060250A">
        <w:rPr>
          <w:szCs w:val="22"/>
          <w:lang w:val="sr-Latn-RS"/>
        </w:rPr>
        <w:t>o</w:t>
      </w:r>
      <w:r w:rsidRPr="009A2DB8">
        <w:rPr>
          <w:szCs w:val="22"/>
          <w:lang w:val="sr-Latn-RS"/>
        </w:rPr>
        <w:t>loške studije o neurološkom razvoju d</w:t>
      </w:r>
      <w:r w:rsidR="004542CD">
        <w:rPr>
          <w:szCs w:val="22"/>
          <w:lang w:val="sr-Latn-RS"/>
        </w:rPr>
        <w:t>j</w:t>
      </w:r>
      <w:r w:rsidRPr="009A2DB8">
        <w:rPr>
          <w:szCs w:val="22"/>
          <w:lang w:val="sr-Latn-RS"/>
        </w:rPr>
        <w:t xml:space="preserve">ece koja su </w:t>
      </w:r>
      <w:r w:rsidR="00535ED7">
        <w:rPr>
          <w:szCs w:val="22"/>
          <w:lang w:val="sr-Latn-RS"/>
        </w:rPr>
        <w:t xml:space="preserve">bila </w:t>
      </w:r>
      <w:r w:rsidRPr="009A2DB8">
        <w:rPr>
          <w:szCs w:val="22"/>
          <w:lang w:val="sr-Latn-RS"/>
        </w:rPr>
        <w:t xml:space="preserve">izložena paracetamolu </w:t>
      </w:r>
      <w:r w:rsidR="00535ED7" w:rsidRPr="009A2DB8">
        <w:rPr>
          <w:szCs w:val="22"/>
          <w:lang w:val="sr-Latn-RS"/>
        </w:rPr>
        <w:t xml:space="preserve">u uterusu </w:t>
      </w:r>
      <w:r w:rsidR="00535ED7" w:rsidRPr="00535ED7">
        <w:rPr>
          <w:szCs w:val="22"/>
          <w:lang w:val="sr-Latn-RS"/>
        </w:rPr>
        <w:t>nijesu dale rezultate na osnovu kojih se može donijeti konačan zaključak</w:t>
      </w:r>
      <w:r w:rsidRPr="009A2DB8">
        <w:rPr>
          <w:szCs w:val="22"/>
          <w:lang w:val="sr-Latn-RS"/>
        </w:rPr>
        <w:t>. Ukoliko je klinički neophodno, paracetamol se može koristiti tokom trudnoće, ali ga</w:t>
      </w:r>
      <w:r w:rsidR="009809E3" w:rsidRPr="009A2DB8">
        <w:rPr>
          <w:szCs w:val="22"/>
          <w:lang w:val="sr-Latn-RS"/>
        </w:rPr>
        <w:t xml:space="preserve"> </w:t>
      </w:r>
      <w:r w:rsidRPr="009A2DB8">
        <w:rPr>
          <w:szCs w:val="22"/>
          <w:lang w:val="sr-Latn-RS"/>
        </w:rPr>
        <w:t>treba koristiti u najman</w:t>
      </w:r>
      <w:r w:rsidR="00535ED7">
        <w:rPr>
          <w:szCs w:val="22"/>
          <w:lang w:val="sr-Latn-RS"/>
        </w:rPr>
        <w:t>j</w:t>
      </w:r>
      <w:r w:rsidRPr="009A2DB8">
        <w:rPr>
          <w:szCs w:val="22"/>
          <w:lang w:val="sr-Latn-RS"/>
        </w:rPr>
        <w:t>oj dozi koja pokazuje efikasnost, u najkraćem mogućem vremenskom periodu i sa</w:t>
      </w:r>
      <w:r w:rsidR="009809E3" w:rsidRPr="009A2DB8">
        <w:rPr>
          <w:szCs w:val="22"/>
          <w:lang w:val="sr-Latn-RS"/>
        </w:rPr>
        <w:t xml:space="preserve"> </w:t>
      </w:r>
      <w:r w:rsidRPr="009A2DB8">
        <w:rPr>
          <w:szCs w:val="22"/>
          <w:lang w:val="sr-Latn-RS"/>
        </w:rPr>
        <w:t>najmanjom mogućom učestalošću prim</w:t>
      </w:r>
      <w:r w:rsidR="00535ED7">
        <w:rPr>
          <w:szCs w:val="22"/>
          <w:lang w:val="sr-Latn-RS"/>
        </w:rPr>
        <w:t>j</w:t>
      </w:r>
      <w:r w:rsidRPr="009A2DB8">
        <w:rPr>
          <w:szCs w:val="22"/>
          <w:lang w:val="sr-Latn-RS"/>
        </w:rPr>
        <w:t>ene.</w:t>
      </w:r>
    </w:p>
    <w:p w14:paraId="2D41E0BE" w14:textId="77777777" w:rsidR="001F1741" w:rsidRPr="009A2DB8" w:rsidRDefault="001F1741">
      <w:pPr>
        <w:rPr>
          <w:szCs w:val="22"/>
          <w:lang w:val="sr-Latn-RS"/>
        </w:rPr>
      </w:pPr>
    </w:p>
    <w:p w14:paraId="3AB00AF7" w14:textId="00DBD4EE" w:rsidR="000B0672" w:rsidRDefault="001F1741">
      <w:pPr>
        <w:rPr>
          <w:szCs w:val="22"/>
          <w:u w:val="single"/>
          <w:lang w:val="sr-Latn-RS"/>
        </w:rPr>
      </w:pPr>
      <w:r w:rsidRPr="009A2DB8">
        <w:rPr>
          <w:szCs w:val="22"/>
          <w:u w:val="single"/>
          <w:lang w:val="sr-Latn-RS"/>
        </w:rPr>
        <w:t>Dojenje</w:t>
      </w:r>
    </w:p>
    <w:p w14:paraId="0C8460BE" w14:textId="77777777" w:rsidR="002E4E87" w:rsidRPr="009A2DB8" w:rsidRDefault="002E4E87">
      <w:pPr>
        <w:rPr>
          <w:szCs w:val="22"/>
          <w:u w:val="single"/>
          <w:lang w:val="sr-Latn-RS"/>
        </w:rPr>
      </w:pPr>
    </w:p>
    <w:p w14:paraId="602E7C6A" w14:textId="27D8B937" w:rsidR="00DC024B" w:rsidRPr="009A2DB8" w:rsidRDefault="00DC024B">
      <w:pPr>
        <w:rPr>
          <w:szCs w:val="22"/>
          <w:lang w:val="sr-Latn-RS"/>
        </w:rPr>
      </w:pPr>
      <w:r w:rsidRPr="009A2DB8">
        <w:rPr>
          <w:szCs w:val="22"/>
          <w:lang w:val="sr-Latn-RS"/>
        </w:rPr>
        <w:t>Paracetamol se izlučuje u ml</w:t>
      </w:r>
      <w:r w:rsidR="004542CD">
        <w:rPr>
          <w:szCs w:val="22"/>
          <w:lang w:val="sr-Latn-RS"/>
        </w:rPr>
        <w:t>ij</w:t>
      </w:r>
      <w:r w:rsidRPr="009A2DB8">
        <w:rPr>
          <w:szCs w:val="22"/>
          <w:lang w:val="sr-Latn-RS"/>
        </w:rPr>
        <w:t>eko dojilja, ali u količini koja se ne smatra štetnom.</w:t>
      </w:r>
    </w:p>
    <w:p w14:paraId="602E7C6B" w14:textId="40463C09" w:rsidR="00DC024B" w:rsidRPr="009A2DB8" w:rsidRDefault="000B0672" w:rsidP="00527F5D">
      <w:pPr>
        <w:pStyle w:val="NoSpacing"/>
        <w:jc w:val="both"/>
        <w:rPr>
          <w:rFonts w:ascii="Times New Roman" w:hAnsi="Times New Roman"/>
          <w:lang w:val="sr-Latn-RS"/>
        </w:rPr>
      </w:pPr>
      <w:r w:rsidRPr="009A2DB8">
        <w:rPr>
          <w:rFonts w:ascii="Times New Roman" w:hAnsi="Times New Roman"/>
          <w:lang w:val="sr-Latn-RS"/>
        </w:rPr>
        <w:t>Prema dostupnim objavljenim podacima, prim</w:t>
      </w:r>
      <w:r w:rsidR="004542CD">
        <w:rPr>
          <w:rFonts w:ascii="Times New Roman" w:hAnsi="Times New Roman"/>
          <w:lang w:val="sr-Latn-RS"/>
        </w:rPr>
        <w:t>j</w:t>
      </w:r>
      <w:r w:rsidRPr="009A2DB8">
        <w:rPr>
          <w:rFonts w:ascii="Times New Roman" w:hAnsi="Times New Roman"/>
          <w:lang w:val="sr-Latn-RS"/>
        </w:rPr>
        <w:t>ena paracetamola nije kontraindikovana kod dojilja.</w:t>
      </w:r>
    </w:p>
    <w:p w14:paraId="602E7C6C" w14:textId="04AE099B" w:rsidR="00DC024B" w:rsidRPr="006E7CFE" w:rsidRDefault="00DC024B" w:rsidP="00527F5D">
      <w:pPr>
        <w:rPr>
          <w:b/>
          <w:bCs/>
          <w:szCs w:val="22"/>
          <w:lang w:val="sr-Latn-RS"/>
        </w:rPr>
      </w:pPr>
      <w:r w:rsidRPr="009A2DB8">
        <w:rPr>
          <w:b/>
          <w:bCs/>
          <w:spacing w:val="-8"/>
          <w:szCs w:val="22"/>
          <w:lang w:val="sr-Latn-RS"/>
        </w:rPr>
        <w:lastRenderedPageBreak/>
        <w:t xml:space="preserve">4.7. </w:t>
      </w:r>
      <w:r w:rsidRPr="006E7CFE">
        <w:rPr>
          <w:b/>
          <w:bCs/>
          <w:szCs w:val="22"/>
          <w:lang w:val="sr-Latn-RS"/>
        </w:rPr>
        <w:t>Uticaj l</w:t>
      </w:r>
      <w:r w:rsidR="004542CD" w:rsidRPr="006E7CFE">
        <w:rPr>
          <w:b/>
          <w:bCs/>
          <w:szCs w:val="22"/>
          <w:lang w:val="sr-Latn-RS"/>
        </w:rPr>
        <w:t>ij</w:t>
      </w:r>
      <w:r w:rsidRPr="006E7CFE">
        <w:rPr>
          <w:b/>
          <w:bCs/>
          <w:szCs w:val="22"/>
          <w:lang w:val="sr-Latn-RS"/>
        </w:rPr>
        <w:t>eka na sposobnost upravljanja vozilima i rukovanja mašinama</w:t>
      </w:r>
    </w:p>
    <w:p w14:paraId="602E7C6D" w14:textId="77777777" w:rsidR="00DC024B" w:rsidRPr="009A2DB8" w:rsidRDefault="00DC024B" w:rsidP="00F73F1D">
      <w:pPr>
        <w:tabs>
          <w:tab w:val="clear" w:pos="284"/>
        </w:tabs>
        <w:autoSpaceDE w:val="0"/>
        <w:autoSpaceDN w:val="0"/>
        <w:adjustRightInd w:val="0"/>
        <w:rPr>
          <w:szCs w:val="22"/>
          <w:lang w:val="sr-Latn-RS"/>
        </w:rPr>
      </w:pPr>
    </w:p>
    <w:p w14:paraId="602E7C6E" w14:textId="484328BA" w:rsidR="00DC024B" w:rsidRDefault="00DC024B" w:rsidP="00F73F1D">
      <w:pPr>
        <w:tabs>
          <w:tab w:val="clear" w:pos="284"/>
        </w:tabs>
        <w:autoSpaceDE w:val="0"/>
        <w:autoSpaceDN w:val="0"/>
        <w:adjustRightInd w:val="0"/>
        <w:rPr>
          <w:szCs w:val="22"/>
          <w:lang w:val="sr-Latn-RS"/>
        </w:rPr>
      </w:pPr>
      <w:r w:rsidRPr="009A2DB8">
        <w:rPr>
          <w:szCs w:val="22"/>
          <w:lang w:val="sr-Latn-RS"/>
        </w:rPr>
        <w:t>L</w:t>
      </w:r>
      <w:r w:rsidR="00B62A0C">
        <w:rPr>
          <w:szCs w:val="22"/>
          <w:lang w:val="sr-Latn-RS"/>
        </w:rPr>
        <w:t>ij</w:t>
      </w:r>
      <w:r w:rsidRPr="009A2DB8">
        <w:rPr>
          <w:szCs w:val="22"/>
          <w:lang w:val="sr-Latn-RS"/>
        </w:rPr>
        <w:t>ek ne utiče na psihofizičke sposobnosti prilikom upravljanja motornim vozilom i rukovanja mašinama.</w:t>
      </w:r>
    </w:p>
    <w:p w14:paraId="537E4A7A" w14:textId="77777777" w:rsidR="00776BC3" w:rsidRPr="009A2DB8" w:rsidRDefault="00776BC3" w:rsidP="00F73F1D">
      <w:pPr>
        <w:tabs>
          <w:tab w:val="clear" w:pos="284"/>
        </w:tabs>
        <w:autoSpaceDE w:val="0"/>
        <w:autoSpaceDN w:val="0"/>
        <w:adjustRightInd w:val="0"/>
        <w:rPr>
          <w:szCs w:val="22"/>
          <w:lang w:val="sr-Latn-RS"/>
        </w:rPr>
      </w:pPr>
    </w:p>
    <w:p w14:paraId="602E7C70" w14:textId="77777777" w:rsidR="00DC024B" w:rsidRPr="009A2DB8" w:rsidRDefault="00DC024B" w:rsidP="00F73F1D">
      <w:pPr>
        <w:rPr>
          <w:b/>
          <w:bCs/>
          <w:szCs w:val="22"/>
          <w:lang w:val="sr-Latn-RS"/>
        </w:rPr>
      </w:pPr>
      <w:r w:rsidRPr="009A2DB8">
        <w:rPr>
          <w:b/>
          <w:bCs/>
          <w:szCs w:val="22"/>
          <w:lang w:val="sr-Latn-RS"/>
        </w:rPr>
        <w:t>4.8. Neželjena dejstva</w:t>
      </w:r>
    </w:p>
    <w:p w14:paraId="602E7C71" w14:textId="77777777" w:rsidR="00DC024B" w:rsidRPr="009A2DB8" w:rsidRDefault="00DC024B" w:rsidP="00F73F1D">
      <w:pPr>
        <w:rPr>
          <w:szCs w:val="22"/>
          <w:lang w:val="sr-Latn-RS"/>
        </w:rPr>
      </w:pPr>
    </w:p>
    <w:p w14:paraId="602E7C72" w14:textId="48C168D0" w:rsidR="00DC024B" w:rsidRPr="009A2DB8" w:rsidRDefault="00DC024B" w:rsidP="00F73F1D">
      <w:pPr>
        <w:rPr>
          <w:szCs w:val="22"/>
          <w:lang w:val="sr-Latn-RS"/>
        </w:rPr>
      </w:pPr>
      <w:r w:rsidRPr="009A2DB8">
        <w:rPr>
          <w:szCs w:val="22"/>
          <w:lang w:val="sr-Latn-RS"/>
        </w:rPr>
        <w:t>R</w:t>
      </w:r>
      <w:r w:rsidR="00B62A0C">
        <w:rPr>
          <w:szCs w:val="22"/>
          <w:lang w:val="sr-Latn-RS"/>
        </w:rPr>
        <w:t>ij</w:t>
      </w:r>
      <w:r w:rsidRPr="009A2DB8">
        <w:rPr>
          <w:szCs w:val="22"/>
          <w:lang w:val="sr-Latn-RS"/>
        </w:rPr>
        <w:t>etko su prijavljeni slučajevi krvnih diskrazija, uključujući trombocitopeniju i agranulocitozu, ali nije dokazana uzročna povezanost sa paracetamolom.</w:t>
      </w:r>
    </w:p>
    <w:p w14:paraId="602E7C73" w14:textId="77777777" w:rsidR="00DC024B" w:rsidRPr="009A2DB8" w:rsidRDefault="00DC024B" w:rsidP="00F73F1D">
      <w:pPr>
        <w:rPr>
          <w:szCs w:val="22"/>
          <w:lang w:val="sr-Latn-RS"/>
        </w:rPr>
      </w:pPr>
    </w:p>
    <w:p w14:paraId="602E7C74" w14:textId="77777777" w:rsidR="00DC024B" w:rsidRPr="009A2DB8" w:rsidRDefault="00DC024B" w:rsidP="00F73F1D">
      <w:pPr>
        <w:rPr>
          <w:szCs w:val="22"/>
          <w:u w:val="single"/>
          <w:lang w:val="sr-Latn-RS"/>
        </w:rPr>
      </w:pPr>
      <w:r w:rsidRPr="009A2DB8">
        <w:rPr>
          <w:szCs w:val="22"/>
          <w:u w:val="single"/>
          <w:lang w:val="sr-Latn-RS"/>
        </w:rPr>
        <w:t>Tabelarni prikaz neželjenih reakcija</w:t>
      </w:r>
    </w:p>
    <w:p w14:paraId="602E7C75" w14:textId="4E207AF7" w:rsidR="00DC024B" w:rsidRPr="009A2DB8" w:rsidRDefault="00535ED7" w:rsidP="00F73F1D">
      <w:pPr>
        <w:rPr>
          <w:szCs w:val="22"/>
          <w:lang w:val="sr-Latn-RS"/>
        </w:rPr>
      </w:pPr>
      <w:r>
        <w:rPr>
          <w:szCs w:val="22"/>
          <w:lang w:val="sr-Latn-RS"/>
        </w:rPr>
        <w:t>N</w:t>
      </w:r>
      <w:r w:rsidR="00DC024B" w:rsidRPr="009A2DB8">
        <w:rPr>
          <w:szCs w:val="22"/>
          <w:lang w:val="sr-Latn-RS"/>
        </w:rPr>
        <w:t>eželjen</w:t>
      </w:r>
      <w:r>
        <w:rPr>
          <w:szCs w:val="22"/>
          <w:lang w:val="sr-Latn-RS"/>
        </w:rPr>
        <w:t>e</w:t>
      </w:r>
      <w:r w:rsidR="00DC024B" w:rsidRPr="009A2DB8">
        <w:rPr>
          <w:szCs w:val="22"/>
          <w:lang w:val="sr-Latn-RS"/>
        </w:rPr>
        <w:t xml:space="preserve"> reakcij</w:t>
      </w:r>
      <w:r>
        <w:rPr>
          <w:szCs w:val="22"/>
          <w:lang w:val="sr-Latn-RS"/>
        </w:rPr>
        <w:t xml:space="preserve">e povezane </w:t>
      </w:r>
      <w:r w:rsidRPr="009A2DB8">
        <w:rPr>
          <w:szCs w:val="22"/>
          <w:lang w:val="sr-Latn-RS"/>
        </w:rPr>
        <w:t>sa prim</w:t>
      </w:r>
      <w:r>
        <w:rPr>
          <w:szCs w:val="22"/>
          <w:lang w:val="sr-Latn-RS"/>
        </w:rPr>
        <w:t>j</w:t>
      </w:r>
      <w:r w:rsidRPr="009A2DB8">
        <w:rPr>
          <w:szCs w:val="22"/>
          <w:lang w:val="sr-Latn-RS"/>
        </w:rPr>
        <w:t xml:space="preserve">enom paracetamola </w:t>
      </w:r>
      <w:r w:rsidR="00DC024B" w:rsidRPr="009A2DB8">
        <w:rPr>
          <w:szCs w:val="22"/>
          <w:lang w:val="sr-Latn-RS"/>
        </w:rPr>
        <w:t>prikazan</w:t>
      </w:r>
      <w:r>
        <w:rPr>
          <w:szCs w:val="22"/>
          <w:lang w:val="sr-Latn-RS"/>
        </w:rPr>
        <w:t>e</w:t>
      </w:r>
      <w:r w:rsidR="00DC024B" w:rsidRPr="009A2DB8">
        <w:rPr>
          <w:szCs w:val="22"/>
          <w:lang w:val="sr-Latn-RS"/>
        </w:rPr>
        <w:t xml:space="preserve"> </w:t>
      </w:r>
      <w:r>
        <w:rPr>
          <w:szCs w:val="22"/>
          <w:lang w:val="sr-Latn-RS"/>
        </w:rPr>
        <w:t>su</w:t>
      </w:r>
      <w:r w:rsidRPr="009A2DB8">
        <w:rPr>
          <w:szCs w:val="22"/>
          <w:lang w:val="sr-Latn-RS"/>
        </w:rPr>
        <w:t xml:space="preserve"> </w:t>
      </w:r>
      <w:r w:rsidR="00DC024B" w:rsidRPr="009A2DB8">
        <w:rPr>
          <w:szCs w:val="22"/>
          <w:lang w:val="sr-Latn-RS"/>
        </w:rPr>
        <w:t>u tabeli prema klasi sistema organa (MedDRA), kao i prema učestalosti.</w:t>
      </w:r>
    </w:p>
    <w:p w14:paraId="602E7C76" w14:textId="77777777" w:rsidR="00DC024B" w:rsidRPr="009A2DB8" w:rsidRDefault="00DC024B" w:rsidP="00F73F1D">
      <w:pPr>
        <w:rPr>
          <w:szCs w:val="22"/>
          <w:lang w:val="sr-Latn-RS"/>
        </w:rPr>
      </w:pPr>
    </w:p>
    <w:p w14:paraId="602E7C77" w14:textId="3EDEC203" w:rsidR="00DC024B" w:rsidRPr="009A2DB8" w:rsidRDefault="00DC024B" w:rsidP="00F73F1D">
      <w:pPr>
        <w:rPr>
          <w:szCs w:val="22"/>
          <w:lang w:val="sr-Latn-RS"/>
        </w:rPr>
      </w:pPr>
      <w:r w:rsidRPr="009A2DB8">
        <w:rPr>
          <w:szCs w:val="22"/>
          <w:lang w:val="sr-Latn-RS"/>
        </w:rPr>
        <w:t>Učestalost je definisana na sl</w:t>
      </w:r>
      <w:r w:rsidR="00B62A0C">
        <w:rPr>
          <w:szCs w:val="22"/>
          <w:lang w:val="sr-Latn-RS"/>
        </w:rPr>
        <w:t>j</w:t>
      </w:r>
      <w:r w:rsidRPr="009A2DB8">
        <w:rPr>
          <w:szCs w:val="22"/>
          <w:lang w:val="sr-Latn-RS"/>
        </w:rPr>
        <w:t>edeći način:</w:t>
      </w:r>
    </w:p>
    <w:p w14:paraId="602E7C78" w14:textId="77777777" w:rsidR="00DC024B" w:rsidRPr="009A2DB8" w:rsidRDefault="00DC024B" w:rsidP="00F73F1D">
      <w:pPr>
        <w:rPr>
          <w:szCs w:val="22"/>
          <w:lang w:val="sr-Latn-RS"/>
        </w:rPr>
      </w:pPr>
    </w:p>
    <w:p w14:paraId="602E7C79" w14:textId="77777777" w:rsidR="00DC024B" w:rsidRPr="009A2DB8" w:rsidRDefault="00DC024B" w:rsidP="00F73F1D">
      <w:pPr>
        <w:rPr>
          <w:szCs w:val="22"/>
          <w:lang w:val="sr-Latn-RS"/>
        </w:rPr>
      </w:pPr>
      <w:r w:rsidRPr="009A2DB8">
        <w:rPr>
          <w:szCs w:val="22"/>
          <w:lang w:val="sr-Latn-RS"/>
        </w:rPr>
        <w:t>Veoma često: ≥ 1/10</w:t>
      </w:r>
    </w:p>
    <w:p w14:paraId="602E7C7A" w14:textId="77777777" w:rsidR="00DC024B" w:rsidRPr="009A2DB8" w:rsidRDefault="00DC024B" w:rsidP="00F73F1D">
      <w:pPr>
        <w:rPr>
          <w:szCs w:val="22"/>
          <w:lang w:val="sr-Latn-RS"/>
        </w:rPr>
      </w:pPr>
      <w:r w:rsidRPr="009A2DB8">
        <w:rPr>
          <w:szCs w:val="22"/>
          <w:lang w:val="sr-Latn-RS"/>
        </w:rPr>
        <w:t>Često: ≥ 1/100 do &lt; 1/10</w:t>
      </w:r>
    </w:p>
    <w:p w14:paraId="602E7C7B" w14:textId="77777777" w:rsidR="00DC024B" w:rsidRPr="009A2DB8" w:rsidRDefault="00DC024B" w:rsidP="00F73F1D">
      <w:pPr>
        <w:rPr>
          <w:szCs w:val="22"/>
          <w:lang w:val="sr-Latn-RS"/>
        </w:rPr>
      </w:pPr>
      <w:r w:rsidRPr="009A2DB8">
        <w:rPr>
          <w:szCs w:val="22"/>
          <w:lang w:val="sr-Latn-RS"/>
        </w:rPr>
        <w:t>Povremeno: ≥ 1/1000 do &lt; 1/100</w:t>
      </w:r>
    </w:p>
    <w:p w14:paraId="602E7C7C" w14:textId="7972FE5C" w:rsidR="00DC024B" w:rsidRPr="009A2DB8" w:rsidRDefault="00DC024B" w:rsidP="00744046">
      <w:pPr>
        <w:rPr>
          <w:szCs w:val="22"/>
          <w:lang w:val="sr-Latn-RS"/>
        </w:rPr>
      </w:pPr>
      <w:r w:rsidRPr="009A2DB8">
        <w:rPr>
          <w:szCs w:val="22"/>
          <w:lang w:val="sr-Latn-RS"/>
        </w:rPr>
        <w:t>R</w:t>
      </w:r>
      <w:r w:rsidR="00B62A0C">
        <w:rPr>
          <w:szCs w:val="22"/>
          <w:lang w:val="sr-Latn-RS"/>
        </w:rPr>
        <w:t>ij</w:t>
      </w:r>
      <w:r w:rsidRPr="009A2DB8">
        <w:rPr>
          <w:szCs w:val="22"/>
          <w:lang w:val="sr-Latn-RS"/>
        </w:rPr>
        <w:t>etko: ≥ 1/10000 do &lt; 1/1000</w:t>
      </w:r>
    </w:p>
    <w:p w14:paraId="602E7C7D" w14:textId="31BEA7C8" w:rsidR="00DC024B" w:rsidRPr="009A2DB8" w:rsidRDefault="00DC024B" w:rsidP="00744046">
      <w:pPr>
        <w:rPr>
          <w:szCs w:val="22"/>
          <w:lang w:val="sr-Latn-RS"/>
        </w:rPr>
      </w:pPr>
      <w:r w:rsidRPr="009A2DB8">
        <w:rPr>
          <w:szCs w:val="22"/>
          <w:lang w:val="sr-Latn-RS"/>
        </w:rPr>
        <w:t>Veoma r</w:t>
      </w:r>
      <w:r w:rsidR="00B62A0C">
        <w:rPr>
          <w:szCs w:val="22"/>
          <w:lang w:val="sr-Latn-RS"/>
        </w:rPr>
        <w:t>ij</w:t>
      </w:r>
      <w:r w:rsidRPr="009A2DB8">
        <w:rPr>
          <w:szCs w:val="22"/>
          <w:lang w:val="sr-Latn-RS"/>
        </w:rPr>
        <w:t>etko: &lt; 1/10000</w:t>
      </w:r>
    </w:p>
    <w:p w14:paraId="602E7C7E" w14:textId="4F1A3DA8" w:rsidR="00DC024B" w:rsidRPr="009A2DB8" w:rsidRDefault="00DC024B" w:rsidP="00F73F1D">
      <w:pPr>
        <w:rPr>
          <w:szCs w:val="22"/>
          <w:lang w:val="sr-Latn-RS"/>
        </w:rPr>
      </w:pPr>
      <w:r w:rsidRPr="009A2DB8">
        <w:rPr>
          <w:szCs w:val="22"/>
          <w:lang w:val="sr-Latn-RS"/>
        </w:rPr>
        <w:t>Nepoznato (ne može se proc</w:t>
      </w:r>
      <w:r w:rsidR="00B62A0C">
        <w:rPr>
          <w:szCs w:val="22"/>
          <w:lang w:val="sr-Latn-RS"/>
        </w:rPr>
        <w:t>ij</w:t>
      </w:r>
      <w:r w:rsidRPr="009A2DB8">
        <w:rPr>
          <w:szCs w:val="22"/>
          <w:lang w:val="sr-Latn-RS"/>
        </w:rPr>
        <w:t>eniti na osnovu dostupnih podataka)</w:t>
      </w:r>
    </w:p>
    <w:p w14:paraId="602E7C80" w14:textId="77777777" w:rsidR="00DC024B" w:rsidRPr="009A2DB8" w:rsidRDefault="00DC024B" w:rsidP="00527F5D">
      <w:pPr>
        <w:rPr>
          <w:noProof/>
          <w:szCs w:val="22"/>
          <w:u w:val="single"/>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3327"/>
        <w:gridCol w:w="3163"/>
      </w:tblGrid>
      <w:tr w:rsidR="00DC024B" w:rsidRPr="009A2DB8" w14:paraId="602E7C84" w14:textId="77777777" w:rsidTr="00F81698">
        <w:trPr>
          <w:trHeight w:val="399"/>
        </w:trPr>
        <w:tc>
          <w:tcPr>
            <w:tcW w:w="3146" w:type="dxa"/>
            <w:vAlign w:val="center"/>
          </w:tcPr>
          <w:p w14:paraId="602E7C81" w14:textId="6A049BDE" w:rsidR="00DC024B" w:rsidRPr="009A2DB8" w:rsidRDefault="005A0945" w:rsidP="00234966">
            <w:pPr>
              <w:autoSpaceDE w:val="0"/>
              <w:autoSpaceDN w:val="0"/>
              <w:adjustRightInd w:val="0"/>
              <w:jc w:val="left"/>
              <w:rPr>
                <w:b/>
                <w:lang w:val="sr-Latn-RS"/>
              </w:rPr>
            </w:pPr>
            <w:r w:rsidRPr="009A2DB8">
              <w:rPr>
                <w:b/>
                <w:szCs w:val="22"/>
                <w:lang w:val="sr-Latn-RS"/>
              </w:rPr>
              <w:t>Klasa s</w:t>
            </w:r>
            <w:r w:rsidR="00DC024B" w:rsidRPr="009A2DB8">
              <w:rPr>
                <w:b/>
                <w:szCs w:val="22"/>
                <w:lang w:val="sr-Latn-RS"/>
              </w:rPr>
              <w:t>istem</w:t>
            </w:r>
            <w:r w:rsidRPr="009A2DB8">
              <w:rPr>
                <w:b/>
                <w:szCs w:val="22"/>
                <w:lang w:val="sr-Latn-RS"/>
              </w:rPr>
              <w:t>a</w:t>
            </w:r>
            <w:r w:rsidR="00DC024B" w:rsidRPr="009A2DB8">
              <w:rPr>
                <w:b/>
                <w:szCs w:val="22"/>
                <w:lang w:val="sr-Latn-RS"/>
              </w:rPr>
              <w:t xml:space="preserve"> organa </w:t>
            </w:r>
          </w:p>
        </w:tc>
        <w:tc>
          <w:tcPr>
            <w:tcW w:w="3334" w:type="dxa"/>
            <w:vAlign w:val="center"/>
          </w:tcPr>
          <w:p w14:paraId="602E7C82" w14:textId="77777777" w:rsidR="00DC024B" w:rsidRPr="009A2DB8" w:rsidRDefault="00DC024B" w:rsidP="00234966">
            <w:pPr>
              <w:autoSpaceDE w:val="0"/>
              <w:autoSpaceDN w:val="0"/>
              <w:adjustRightInd w:val="0"/>
              <w:jc w:val="left"/>
              <w:rPr>
                <w:b/>
                <w:lang w:val="sr-Latn-RS"/>
              </w:rPr>
            </w:pPr>
            <w:r w:rsidRPr="009A2DB8">
              <w:rPr>
                <w:b/>
                <w:szCs w:val="22"/>
                <w:lang w:val="sr-Latn-RS"/>
              </w:rPr>
              <w:t>Neželjeno dejstvo</w:t>
            </w:r>
          </w:p>
        </w:tc>
        <w:tc>
          <w:tcPr>
            <w:tcW w:w="3172" w:type="dxa"/>
            <w:vAlign w:val="center"/>
          </w:tcPr>
          <w:p w14:paraId="602E7C83" w14:textId="77777777" w:rsidR="00DC024B" w:rsidRPr="009A2DB8" w:rsidRDefault="00DC024B" w:rsidP="00234966">
            <w:pPr>
              <w:autoSpaceDE w:val="0"/>
              <w:autoSpaceDN w:val="0"/>
              <w:adjustRightInd w:val="0"/>
              <w:jc w:val="left"/>
              <w:rPr>
                <w:b/>
                <w:lang w:val="sr-Latn-RS"/>
              </w:rPr>
            </w:pPr>
            <w:r w:rsidRPr="009A2DB8">
              <w:rPr>
                <w:b/>
                <w:szCs w:val="22"/>
                <w:lang w:val="sr-Latn-RS"/>
              </w:rPr>
              <w:t>Učestalost</w:t>
            </w:r>
          </w:p>
        </w:tc>
      </w:tr>
      <w:tr w:rsidR="00DC024B" w:rsidRPr="009A2DB8" w14:paraId="602E7C86" w14:textId="77777777" w:rsidTr="007D6A34">
        <w:trPr>
          <w:trHeight w:val="399"/>
        </w:trPr>
        <w:tc>
          <w:tcPr>
            <w:tcW w:w="9652" w:type="dxa"/>
            <w:gridSpan w:val="3"/>
            <w:vAlign w:val="center"/>
          </w:tcPr>
          <w:p w14:paraId="602E7C85" w14:textId="77777777" w:rsidR="00DC024B" w:rsidRPr="009A2DB8" w:rsidRDefault="00DC024B" w:rsidP="00234966">
            <w:pPr>
              <w:autoSpaceDE w:val="0"/>
              <w:autoSpaceDN w:val="0"/>
              <w:adjustRightInd w:val="0"/>
              <w:jc w:val="left"/>
              <w:rPr>
                <w:b/>
                <w:lang w:val="sr-Latn-RS"/>
              </w:rPr>
            </w:pPr>
            <w:r w:rsidRPr="009A2DB8">
              <w:rPr>
                <w:b/>
                <w:szCs w:val="22"/>
                <w:lang w:val="sr-Latn-RS"/>
              </w:rPr>
              <w:t>Paracetamol</w:t>
            </w:r>
          </w:p>
        </w:tc>
      </w:tr>
      <w:tr w:rsidR="00DC024B" w:rsidRPr="009A2DB8" w14:paraId="602E7C8A" w14:textId="77777777" w:rsidTr="006E7CFE">
        <w:trPr>
          <w:trHeight w:val="660"/>
        </w:trPr>
        <w:tc>
          <w:tcPr>
            <w:tcW w:w="3146" w:type="dxa"/>
          </w:tcPr>
          <w:p w14:paraId="602E7C87" w14:textId="77777777" w:rsidR="00DC024B" w:rsidRPr="009A2DB8" w:rsidRDefault="00DC024B" w:rsidP="00234966">
            <w:pPr>
              <w:autoSpaceDE w:val="0"/>
              <w:autoSpaceDN w:val="0"/>
              <w:adjustRightInd w:val="0"/>
              <w:jc w:val="left"/>
              <w:rPr>
                <w:lang w:val="sr-Latn-RS"/>
              </w:rPr>
            </w:pPr>
            <w:r w:rsidRPr="009A2DB8">
              <w:rPr>
                <w:szCs w:val="22"/>
                <w:lang w:val="sr-Latn-RS"/>
              </w:rPr>
              <w:t>Poremećaji krvi i limfnog sistema</w:t>
            </w:r>
          </w:p>
        </w:tc>
        <w:tc>
          <w:tcPr>
            <w:tcW w:w="3334" w:type="dxa"/>
          </w:tcPr>
          <w:p w14:paraId="602E7C88" w14:textId="77777777" w:rsidR="00DC024B" w:rsidRPr="009A2DB8" w:rsidRDefault="00DC024B" w:rsidP="00234966">
            <w:pPr>
              <w:autoSpaceDE w:val="0"/>
              <w:autoSpaceDN w:val="0"/>
              <w:adjustRightInd w:val="0"/>
              <w:jc w:val="left"/>
              <w:rPr>
                <w:lang w:val="sr-Latn-RS"/>
              </w:rPr>
            </w:pPr>
            <w:r w:rsidRPr="009A2DB8">
              <w:rPr>
                <w:szCs w:val="22"/>
                <w:lang w:val="sr-Latn-RS"/>
              </w:rPr>
              <w:t>Trombocitopenija</w:t>
            </w:r>
          </w:p>
        </w:tc>
        <w:tc>
          <w:tcPr>
            <w:tcW w:w="3172" w:type="dxa"/>
          </w:tcPr>
          <w:p w14:paraId="602E7C89" w14:textId="0AECF5EE" w:rsidR="00DC024B" w:rsidRPr="009A2DB8" w:rsidRDefault="00DC024B" w:rsidP="00234966">
            <w:pPr>
              <w:autoSpaceDE w:val="0"/>
              <w:autoSpaceDN w:val="0"/>
              <w:adjustRightInd w:val="0"/>
              <w:jc w:val="left"/>
              <w:rPr>
                <w:i/>
                <w:lang w:val="sr-Latn-RS"/>
              </w:rPr>
            </w:pPr>
            <w:r w:rsidRPr="009A2DB8">
              <w:rPr>
                <w:i/>
                <w:szCs w:val="22"/>
                <w:lang w:val="sr-Latn-RS"/>
              </w:rPr>
              <w:t>Veoma r</w:t>
            </w:r>
            <w:r w:rsidR="00B62A0C">
              <w:rPr>
                <w:i/>
                <w:szCs w:val="22"/>
                <w:lang w:val="sr-Latn-RS"/>
              </w:rPr>
              <w:t>ij</w:t>
            </w:r>
            <w:r w:rsidRPr="009A2DB8">
              <w:rPr>
                <w:i/>
                <w:szCs w:val="22"/>
                <w:lang w:val="sr-Latn-RS"/>
              </w:rPr>
              <w:t>etko</w:t>
            </w:r>
          </w:p>
        </w:tc>
      </w:tr>
      <w:tr w:rsidR="00DC024B" w:rsidRPr="009A2DB8" w14:paraId="602E7C90" w14:textId="77777777" w:rsidTr="006E7CFE">
        <w:trPr>
          <w:trHeight w:val="1668"/>
        </w:trPr>
        <w:tc>
          <w:tcPr>
            <w:tcW w:w="3146" w:type="dxa"/>
          </w:tcPr>
          <w:p w14:paraId="602E7C8B" w14:textId="77777777" w:rsidR="00DC024B" w:rsidRPr="009A2DB8" w:rsidRDefault="00DC024B" w:rsidP="00234966">
            <w:pPr>
              <w:autoSpaceDE w:val="0"/>
              <w:autoSpaceDN w:val="0"/>
              <w:adjustRightInd w:val="0"/>
              <w:jc w:val="left"/>
              <w:rPr>
                <w:lang w:val="sr-Latn-RS"/>
              </w:rPr>
            </w:pPr>
            <w:r w:rsidRPr="009A2DB8">
              <w:rPr>
                <w:szCs w:val="22"/>
                <w:lang w:val="sr-Latn-RS"/>
              </w:rPr>
              <w:t>Poremećaji imunskog sistema</w:t>
            </w:r>
          </w:p>
        </w:tc>
        <w:tc>
          <w:tcPr>
            <w:tcW w:w="3334" w:type="dxa"/>
          </w:tcPr>
          <w:p w14:paraId="602E7C8C" w14:textId="1E1F6A8B" w:rsidR="00DC024B" w:rsidRPr="009A2DB8" w:rsidRDefault="00DC024B" w:rsidP="00234966">
            <w:pPr>
              <w:autoSpaceDE w:val="0"/>
              <w:autoSpaceDN w:val="0"/>
              <w:adjustRightInd w:val="0"/>
              <w:jc w:val="left"/>
              <w:rPr>
                <w:lang w:val="sr-Latn-RS"/>
              </w:rPr>
            </w:pPr>
            <w:r w:rsidRPr="009A2DB8">
              <w:rPr>
                <w:szCs w:val="22"/>
                <w:lang w:val="sr-Latn-RS"/>
              </w:rPr>
              <w:t>Anafilaksa, hipersenzitivne reakcije na koži, uključujući</w:t>
            </w:r>
            <w:r w:rsidR="00295CA4">
              <w:rPr>
                <w:szCs w:val="22"/>
                <w:lang w:val="sr-Latn-RS"/>
              </w:rPr>
              <w:t>,</w:t>
            </w:r>
            <w:r w:rsidRPr="009A2DB8">
              <w:rPr>
                <w:szCs w:val="22"/>
                <w:lang w:val="sr-Latn-RS"/>
              </w:rPr>
              <w:t xml:space="preserve"> između ostalog</w:t>
            </w:r>
            <w:r w:rsidR="00295CA4">
              <w:rPr>
                <w:szCs w:val="22"/>
                <w:lang w:val="sr-Latn-RS"/>
              </w:rPr>
              <w:t>,</w:t>
            </w:r>
            <w:r w:rsidRPr="009A2DB8">
              <w:rPr>
                <w:szCs w:val="22"/>
                <w:lang w:val="sr-Latn-RS"/>
              </w:rPr>
              <w:t xml:space="preserve"> osipe po koži,</w:t>
            </w:r>
            <w:r w:rsidR="000B0672" w:rsidRPr="009A2DB8">
              <w:rPr>
                <w:szCs w:val="22"/>
                <w:lang w:val="sr-Latn-RS"/>
              </w:rPr>
              <w:t xml:space="preserve"> </w:t>
            </w:r>
            <w:r w:rsidRPr="009A2DB8">
              <w:rPr>
                <w:szCs w:val="22"/>
                <w:lang w:val="sr-Latn-RS"/>
              </w:rPr>
              <w:t xml:space="preserve">angioedem, </w:t>
            </w:r>
            <w:r w:rsidRPr="009A2DB8">
              <w:rPr>
                <w:i/>
                <w:szCs w:val="22"/>
                <w:lang w:val="sr-Latn-RS"/>
              </w:rPr>
              <w:t>Stevens Johnson</w:t>
            </w:r>
            <w:r w:rsidRPr="009A2DB8">
              <w:rPr>
                <w:szCs w:val="22"/>
                <w:lang w:val="sr-Latn-RS"/>
              </w:rPr>
              <w:t>-ov sindrom i toksičnu epidermalnu nekrolizu</w:t>
            </w:r>
          </w:p>
          <w:p w14:paraId="602E7C8D" w14:textId="77777777" w:rsidR="00DC024B" w:rsidRPr="009A2DB8" w:rsidRDefault="00DC024B" w:rsidP="00234966">
            <w:pPr>
              <w:autoSpaceDE w:val="0"/>
              <w:autoSpaceDN w:val="0"/>
              <w:adjustRightInd w:val="0"/>
              <w:jc w:val="left"/>
              <w:rPr>
                <w:lang w:val="sr-Latn-RS"/>
              </w:rPr>
            </w:pPr>
          </w:p>
          <w:p w14:paraId="602E7C8E" w14:textId="47A297F3" w:rsidR="00DC024B" w:rsidRPr="009A2DB8" w:rsidRDefault="00DC024B" w:rsidP="00234966">
            <w:pPr>
              <w:autoSpaceDE w:val="0"/>
              <w:autoSpaceDN w:val="0"/>
              <w:adjustRightInd w:val="0"/>
              <w:jc w:val="left"/>
              <w:rPr>
                <w:lang w:val="sr-Latn-RS"/>
              </w:rPr>
            </w:pPr>
            <w:r w:rsidRPr="009A2DB8">
              <w:rPr>
                <w:szCs w:val="22"/>
                <w:lang w:val="sr-Latn-RS"/>
              </w:rPr>
              <w:t>Prijavljeni su veoma r</w:t>
            </w:r>
            <w:r w:rsidR="00B62A0C">
              <w:rPr>
                <w:szCs w:val="22"/>
                <w:lang w:val="sr-Latn-RS"/>
              </w:rPr>
              <w:t>ij</w:t>
            </w:r>
            <w:r w:rsidRPr="009A2DB8">
              <w:rPr>
                <w:szCs w:val="22"/>
                <w:lang w:val="sr-Latn-RS"/>
              </w:rPr>
              <w:t>etki slučajevi ozbiljnih kožnih reakcija</w:t>
            </w:r>
          </w:p>
        </w:tc>
        <w:tc>
          <w:tcPr>
            <w:tcW w:w="3172" w:type="dxa"/>
          </w:tcPr>
          <w:p w14:paraId="602E7C8F" w14:textId="77CEC241" w:rsidR="00DC024B" w:rsidRPr="009A2DB8" w:rsidRDefault="00DC024B" w:rsidP="00234966">
            <w:pPr>
              <w:autoSpaceDE w:val="0"/>
              <w:autoSpaceDN w:val="0"/>
              <w:adjustRightInd w:val="0"/>
              <w:jc w:val="left"/>
              <w:rPr>
                <w:i/>
                <w:lang w:val="sr-Latn-RS"/>
              </w:rPr>
            </w:pPr>
            <w:r w:rsidRPr="009A2DB8">
              <w:rPr>
                <w:i/>
                <w:szCs w:val="22"/>
                <w:lang w:val="sr-Latn-RS"/>
              </w:rPr>
              <w:t>Veoma r</w:t>
            </w:r>
            <w:r w:rsidR="00B62A0C">
              <w:rPr>
                <w:i/>
                <w:szCs w:val="22"/>
                <w:lang w:val="sr-Latn-RS"/>
              </w:rPr>
              <w:t>ij</w:t>
            </w:r>
            <w:r w:rsidRPr="009A2DB8">
              <w:rPr>
                <w:i/>
                <w:szCs w:val="22"/>
                <w:lang w:val="sr-Latn-RS"/>
              </w:rPr>
              <w:t>etko</w:t>
            </w:r>
          </w:p>
        </w:tc>
      </w:tr>
      <w:tr w:rsidR="00DC024B" w:rsidRPr="009A2DB8" w14:paraId="602E7C94" w14:textId="77777777" w:rsidTr="006E7CFE">
        <w:trPr>
          <w:trHeight w:val="975"/>
        </w:trPr>
        <w:tc>
          <w:tcPr>
            <w:tcW w:w="3146" w:type="dxa"/>
          </w:tcPr>
          <w:p w14:paraId="602E7C91" w14:textId="36471FED" w:rsidR="00DC024B" w:rsidRPr="009A2DB8" w:rsidRDefault="000B0672" w:rsidP="00234966">
            <w:pPr>
              <w:autoSpaceDE w:val="0"/>
              <w:autoSpaceDN w:val="0"/>
              <w:adjustRightInd w:val="0"/>
              <w:jc w:val="left"/>
              <w:rPr>
                <w:lang w:val="sr-Latn-RS"/>
              </w:rPr>
            </w:pPr>
            <w:r w:rsidRPr="009A2DB8">
              <w:rPr>
                <w:szCs w:val="22"/>
                <w:lang w:val="sr-Latn-RS"/>
              </w:rPr>
              <w:t>R</w:t>
            </w:r>
            <w:r w:rsidR="00DC024B" w:rsidRPr="009A2DB8">
              <w:rPr>
                <w:szCs w:val="22"/>
                <w:lang w:val="sr-Latn-RS"/>
              </w:rPr>
              <w:t>espiratorn</w:t>
            </w:r>
            <w:r w:rsidRPr="009A2DB8">
              <w:rPr>
                <w:szCs w:val="22"/>
                <w:lang w:val="sr-Latn-RS"/>
              </w:rPr>
              <w:t xml:space="preserve">i, </w:t>
            </w:r>
            <w:r w:rsidR="00DC024B" w:rsidRPr="009A2DB8">
              <w:rPr>
                <w:szCs w:val="22"/>
                <w:lang w:val="sr-Latn-RS"/>
              </w:rPr>
              <w:t>torakaln</w:t>
            </w:r>
            <w:r w:rsidRPr="009A2DB8">
              <w:rPr>
                <w:szCs w:val="22"/>
                <w:lang w:val="sr-Latn-RS"/>
              </w:rPr>
              <w:t>i</w:t>
            </w:r>
            <w:r w:rsidR="00DC024B" w:rsidRPr="009A2DB8">
              <w:rPr>
                <w:szCs w:val="22"/>
                <w:lang w:val="sr-Latn-RS"/>
              </w:rPr>
              <w:t xml:space="preserve"> i medijastin</w:t>
            </w:r>
            <w:r w:rsidRPr="009A2DB8">
              <w:rPr>
                <w:szCs w:val="22"/>
                <w:lang w:val="sr-Latn-RS"/>
              </w:rPr>
              <w:t>alni poremećaji</w:t>
            </w:r>
          </w:p>
        </w:tc>
        <w:tc>
          <w:tcPr>
            <w:tcW w:w="3334" w:type="dxa"/>
          </w:tcPr>
          <w:p w14:paraId="602E7C92" w14:textId="247EEAE0" w:rsidR="00DC024B" w:rsidRPr="009A2DB8" w:rsidRDefault="00DC024B" w:rsidP="00234966">
            <w:pPr>
              <w:autoSpaceDE w:val="0"/>
              <w:autoSpaceDN w:val="0"/>
              <w:adjustRightInd w:val="0"/>
              <w:jc w:val="left"/>
              <w:rPr>
                <w:lang w:val="sr-Latn-RS"/>
              </w:rPr>
            </w:pPr>
            <w:r w:rsidRPr="009A2DB8">
              <w:rPr>
                <w:szCs w:val="22"/>
                <w:lang w:val="sr-Latn-RS"/>
              </w:rPr>
              <w:t>Bronhospazam kod pacijenata os</w:t>
            </w:r>
            <w:r w:rsidR="00B62A0C">
              <w:rPr>
                <w:szCs w:val="22"/>
                <w:lang w:val="sr-Latn-RS"/>
              </w:rPr>
              <w:t>j</w:t>
            </w:r>
            <w:r w:rsidRPr="009A2DB8">
              <w:rPr>
                <w:szCs w:val="22"/>
                <w:lang w:val="sr-Latn-RS"/>
              </w:rPr>
              <w:t xml:space="preserve">etljivih na aspirin ili druge </w:t>
            </w:r>
            <w:r w:rsidR="00295CA4">
              <w:rPr>
                <w:szCs w:val="22"/>
                <w:lang w:val="sr-Latn-ME"/>
              </w:rPr>
              <w:t>nesteroidne antiinflamatorne ljekove</w:t>
            </w:r>
            <w:r w:rsidR="00295CA4" w:rsidRPr="009A2DB8">
              <w:rPr>
                <w:szCs w:val="22"/>
                <w:lang w:val="sr-Latn-RS"/>
              </w:rPr>
              <w:t xml:space="preserve"> </w:t>
            </w:r>
            <w:r w:rsidR="00295CA4">
              <w:rPr>
                <w:szCs w:val="22"/>
                <w:lang w:val="sr-Latn-RS"/>
              </w:rPr>
              <w:t>(</w:t>
            </w:r>
            <w:r w:rsidRPr="009A2DB8">
              <w:rPr>
                <w:szCs w:val="22"/>
                <w:lang w:val="sr-Latn-RS"/>
              </w:rPr>
              <w:t>NSAIL</w:t>
            </w:r>
            <w:r w:rsidR="00295CA4">
              <w:rPr>
                <w:szCs w:val="22"/>
                <w:lang w:val="sr-Latn-RS"/>
              </w:rPr>
              <w:t>)</w:t>
            </w:r>
          </w:p>
        </w:tc>
        <w:tc>
          <w:tcPr>
            <w:tcW w:w="3172" w:type="dxa"/>
          </w:tcPr>
          <w:p w14:paraId="602E7C93" w14:textId="17BE06B8" w:rsidR="00DC024B" w:rsidRPr="009A2DB8" w:rsidRDefault="00DC024B" w:rsidP="00234966">
            <w:pPr>
              <w:autoSpaceDE w:val="0"/>
              <w:autoSpaceDN w:val="0"/>
              <w:adjustRightInd w:val="0"/>
              <w:jc w:val="left"/>
              <w:rPr>
                <w:i/>
                <w:lang w:val="sr-Latn-RS"/>
              </w:rPr>
            </w:pPr>
            <w:r w:rsidRPr="009A2DB8">
              <w:rPr>
                <w:i/>
                <w:szCs w:val="22"/>
                <w:lang w:val="sr-Latn-RS"/>
              </w:rPr>
              <w:t>Veoma r</w:t>
            </w:r>
            <w:r w:rsidR="00B62A0C">
              <w:rPr>
                <w:i/>
                <w:szCs w:val="22"/>
                <w:lang w:val="sr-Latn-RS"/>
              </w:rPr>
              <w:t>ij</w:t>
            </w:r>
            <w:r w:rsidRPr="009A2DB8">
              <w:rPr>
                <w:i/>
                <w:szCs w:val="22"/>
                <w:lang w:val="sr-Latn-RS"/>
              </w:rPr>
              <w:t>etko</w:t>
            </w:r>
          </w:p>
        </w:tc>
      </w:tr>
      <w:tr w:rsidR="00DC024B" w:rsidRPr="009A2DB8" w14:paraId="602E7C98" w14:textId="77777777" w:rsidTr="006E7CFE">
        <w:trPr>
          <w:trHeight w:val="426"/>
        </w:trPr>
        <w:tc>
          <w:tcPr>
            <w:tcW w:w="3146" w:type="dxa"/>
          </w:tcPr>
          <w:p w14:paraId="602E7C95" w14:textId="1EDDF095" w:rsidR="00DC024B" w:rsidRPr="009A2DB8" w:rsidRDefault="00DC024B" w:rsidP="00234966">
            <w:pPr>
              <w:autoSpaceDE w:val="0"/>
              <w:autoSpaceDN w:val="0"/>
              <w:adjustRightInd w:val="0"/>
              <w:jc w:val="left"/>
              <w:rPr>
                <w:lang w:val="sr-Latn-RS"/>
              </w:rPr>
            </w:pPr>
            <w:r w:rsidRPr="009A2DB8">
              <w:rPr>
                <w:szCs w:val="22"/>
                <w:lang w:val="sr-Latn-RS"/>
              </w:rPr>
              <w:t>Hepatobilijarni poremećaji</w:t>
            </w:r>
          </w:p>
        </w:tc>
        <w:tc>
          <w:tcPr>
            <w:tcW w:w="3334" w:type="dxa"/>
          </w:tcPr>
          <w:p w14:paraId="602E7C96" w14:textId="43635487" w:rsidR="00DC024B" w:rsidRPr="009A2DB8" w:rsidRDefault="00DC024B" w:rsidP="00234966">
            <w:pPr>
              <w:autoSpaceDE w:val="0"/>
              <w:autoSpaceDN w:val="0"/>
              <w:adjustRightInd w:val="0"/>
              <w:jc w:val="left"/>
              <w:rPr>
                <w:lang w:val="sr-Latn-RS"/>
              </w:rPr>
            </w:pPr>
            <w:r w:rsidRPr="009A2DB8">
              <w:rPr>
                <w:szCs w:val="22"/>
                <w:lang w:val="sr-Latn-RS"/>
              </w:rPr>
              <w:t>Poremećaj funkcije</w:t>
            </w:r>
            <w:r w:rsidR="00B029E9" w:rsidRPr="009A2DB8">
              <w:rPr>
                <w:szCs w:val="22"/>
                <w:lang w:val="sr-Latn-RS"/>
              </w:rPr>
              <w:t xml:space="preserve"> jetre</w:t>
            </w:r>
          </w:p>
        </w:tc>
        <w:tc>
          <w:tcPr>
            <w:tcW w:w="3172" w:type="dxa"/>
          </w:tcPr>
          <w:p w14:paraId="602E7C97" w14:textId="5F4B9698" w:rsidR="00DC024B" w:rsidRPr="009A2DB8" w:rsidRDefault="00DC024B" w:rsidP="00234966">
            <w:pPr>
              <w:autoSpaceDE w:val="0"/>
              <w:autoSpaceDN w:val="0"/>
              <w:adjustRightInd w:val="0"/>
              <w:jc w:val="left"/>
              <w:rPr>
                <w:i/>
                <w:lang w:val="sr-Latn-RS"/>
              </w:rPr>
            </w:pPr>
            <w:r w:rsidRPr="009A2DB8">
              <w:rPr>
                <w:i/>
                <w:szCs w:val="22"/>
                <w:lang w:val="sr-Latn-RS"/>
              </w:rPr>
              <w:t>Veoma r</w:t>
            </w:r>
            <w:r w:rsidR="00B62A0C">
              <w:rPr>
                <w:i/>
                <w:szCs w:val="22"/>
                <w:lang w:val="sr-Latn-RS"/>
              </w:rPr>
              <w:t>ij</w:t>
            </w:r>
            <w:r w:rsidRPr="009A2DB8">
              <w:rPr>
                <w:i/>
                <w:szCs w:val="22"/>
                <w:lang w:val="sr-Latn-RS"/>
              </w:rPr>
              <w:t>etko</w:t>
            </w:r>
          </w:p>
        </w:tc>
      </w:tr>
    </w:tbl>
    <w:p w14:paraId="602E7C99" w14:textId="77777777" w:rsidR="00DC024B" w:rsidRPr="009A2DB8" w:rsidRDefault="00DC024B" w:rsidP="00527F5D">
      <w:pPr>
        <w:autoSpaceDE w:val="0"/>
        <w:autoSpaceDN w:val="0"/>
        <w:adjustRightInd w:val="0"/>
        <w:rPr>
          <w:szCs w:val="22"/>
          <w:lang w:val="sr-Latn-RS"/>
        </w:rPr>
      </w:pPr>
    </w:p>
    <w:p w14:paraId="6F4917D7" w14:textId="77777777" w:rsidR="00AA0965" w:rsidRPr="00AA0965" w:rsidRDefault="00AA0965" w:rsidP="00AA0965">
      <w:pPr>
        <w:tabs>
          <w:tab w:val="clear" w:pos="284"/>
        </w:tabs>
        <w:spacing w:after="200" w:line="276" w:lineRule="auto"/>
        <w:jc w:val="left"/>
        <w:rPr>
          <w:rFonts w:eastAsia="Calibri"/>
          <w:szCs w:val="22"/>
          <w:u w:val="single"/>
          <w:lang w:val="sr-Latn-RS"/>
        </w:rPr>
      </w:pPr>
      <w:r w:rsidRPr="00AA0965">
        <w:rPr>
          <w:rFonts w:eastAsia="Calibri"/>
          <w:szCs w:val="22"/>
          <w:u w:val="single"/>
          <w:lang w:val="sr-Latn-RS"/>
        </w:rPr>
        <w:t>Prijavljivanje sumnji na neželjena dejstva</w:t>
      </w:r>
    </w:p>
    <w:p w14:paraId="622476E8" w14:textId="77777777" w:rsidR="00AA0965" w:rsidRPr="00AA0965" w:rsidRDefault="00AA0965" w:rsidP="00AA0965">
      <w:pPr>
        <w:tabs>
          <w:tab w:val="clear" w:pos="284"/>
        </w:tabs>
        <w:spacing w:after="200"/>
        <w:rPr>
          <w:rFonts w:eastAsia="Calibri"/>
          <w:szCs w:val="22"/>
          <w:lang w:val="sr-Latn-RS"/>
        </w:rPr>
      </w:pPr>
      <w:r w:rsidRPr="00AA0965">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BF2A063" w14:textId="77777777" w:rsidR="00AA0965" w:rsidRPr="00AA0965" w:rsidRDefault="00AA0965" w:rsidP="00AA0965">
      <w:pPr>
        <w:tabs>
          <w:tab w:val="clear" w:pos="284"/>
        </w:tabs>
        <w:rPr>
          <w:rFonts w:eastAsia="Calibri"/>
          <w:szCs w:val="22"/>
          <w:lang w:val="sr-Latn-RS"/>
        </w:rPr>
      </w:pPr>
      <w:r w:rsidRPr="00AA0965">
        <w:rPr>
          <w:rFonts w:eastAsia="Calibri"/>
          <w:szCs w:val="22"/>
          <w:lang w:val="sr-Latn-RS"/>
        </w:rPr>
        <w:t xml:space="preserve">Institut za ljekove i medicinska sredstva </w:t>
      </w:r>
    </w:p>
    <w:p w14:paraId="15FFC458" w14:textId="77777777" w:rsidR="00AA0965" w:rsidRPr="00AA0965" w:rsidRDefault="00AA0965" w:rsidP="00AA0965">
      <w:pPr>
        <w:tabs>
          <w:tab w:val="clear" w:pos="284"/>
        </w:tabs>
        <w:rPr>
          <w:rFonts w:eastAsia="Calibri"/>
          <w:szCs w:val="22"/>
          <w:lang w:val="sr-Latn-RS"/>
        </w:rPr>
      </w:pPr>
      <w:r w:rsidRPr="00AA0965">
        <w:rPr>
          <w:rFonts w:eastAsia="Calibri"/>
          <w:szCs w:val="22"/>
          <w:lang w:val="sr-Latn-RS"/>
        </w:rPr>
        <w:t>Odjeljenje za farmakovigilancu</w:t>
      </w:r>
    </w:p>
    <w:p w14:paraId="101C174C" w14:textId="77777777" w:rsidR="00AA0965" w:rsidRPr="00AA0965" w:rsidRDefault="00AA0965" w:rsidP="00AA0965">
      <w:pPr>
        <w:tabs>
          <w:tab w:val="clear" w:pos="284"/>
        </w:tabs>
        <w:rPr>
          <w:rFonts w:eastAsia="Calibri"/>
          <w:szCs w:val="22"/>
          <w:lang w:val="sr-Latn-RS"/>
        </w:rPr>
      </w:pPr>
      <w:r w:rsidRPr="00AA0965">
        <w:rPr>
          <w:rFonts w:eastAsia="Calibri"/>
          <w:szCs w:val="22"/>
          <w:lang w:val="sr-Latn-RS"/>
        </w:rPr>
        <w:t>Bulevar Ivana Crnojevića 64a, 81000 Podgorica</w:t>
      </w:r>
    </w:p>
    <w:p w14:paraId="20B68259" w14:textId="77777777" w:rsidR="00AA0965" w:rsidRPr="00AA0965" w:rsidRDefault="00AA0965" w:rsidP="00AA0965">
      <w:pPr>
        <w:tabs>
          <w:tab w:val="clear" w:pos="284"/>
        </w:tabs>
        <w:jc w:val="left"/>
        <w:rPr>
          <w:rFonts w:eastAsia="Calibri"/>
          <w:szCs w:val="22"/>
          <w:lang w:val="sr-Latn-RS"/>
        </w:rPr>
      </w:pPr>
    </w:p>
    <w:p w14:paraId="14B34B9A" w14:textId="77777777" w:rsidR="00AA0965" w:rsidRPr="00AA0965" w:rsidRDefault="00AA0965" w:rsidP="00AA0965">
      <w:pPr>
        <w:tabs>
          <w:tab w:val="clear" w:pos="284"/>
        </w:tabs>
        <w:rPr>
          <w:rFonts w:eastAsia="Calibri"/>
          <w:szCs w:val="22"/>
          <w:lang w:val="sr-Latn-RS"/>
        </w:rPr>
      </w:pPr>
      <w:r w:rsidRPr="00AA0965">
        <w:rPr>
          <w:rFonts w:eastAsia="Calibri"/>
          <w:szCs w:val="22"/>
          <w:lang w:val="sr-Latn-RS"/>
        </w:rPr>
        <w:t>tel: +382 (0) 20 310 280</w:t>
      </w:r>
    </w:p>
    <w:p w14:paraId="3D68206C" w14:textId="77777777" w:rsidR="00AA0965" w:rsidRPr="00AA0965" w:rsidRDefault="00AA0965" w:rsidP="00AA0965">
      <w:pPr>
        <w:tabs>
          <w:tab w:val="clear" w:pos="284"/>
          <w:tab w:val="left" w:pos="6720"/>
        </w:tabs>
        <w:rPr>
          <w:rFonts w:eastAsia="Calibri"/>
          <w:szCs w:val="22"/>
          <w:lang w:val="sr-Latn-RS"/>
        </w:rPr>
      </w:pPr>
      <w:r w:rsidRPr="00AA0965">
        <w:rPr>
          <w:rFonts w:eastAsia="Calibri"/>
          <w:szCs w:val="22"/>
          <w:lang w:val="sr-Latn-RS"/>
        </w:rPr>
        <w:t>fax: +382 (0) 20 310 581</w:t>
      </w:r>
      <w:r w:rsidRPr="00AA0965">
        <w:rPr>
          <w:rFonts w:eastAsia="Calibri"/>
          <w:szCs w:val="22"/>
          <w:lang w:val="sr-Latn-RS"/>
        </w:rPr>
        <w:tab/>
      </w:r>
    </w:p>
    <w:p w14:paraId="5EB0A207" w14:textId="77777777" w:rsidR="00AA0965" w:rsidRPr="00AA0965" w:rsidRDefault="003616C0" w:rsidP="00AA0965">
      <w:pPr>
        <w:tabs>
          <w:tab w:val="clear" w:pos="284"/>
        </w:tabs>
        <w:rPr>
          <w:rFonts w:eastAsia="Calibri"/>
          <w:szCs w:val="22"/>
          <w:lang w:val="sr-Latn-RS"/>
        </w:rPr>
      </w:pPr>
      <w:hyperlink r:id="rId12" w:history="1">
        <w:r w:rsidR="00AA0965" w:rsidRPr="00AA0965">
          <w:rPr>
            <w:rFonts w:eastAsia="Calibri"/>
            <w:color w:val="0563C1"/>
            <w:szCs w:val="22"/>
            <w:u w:val="single"/>
            <w:lang w:val="sr-Latn-RS"/>
          </w:rPr>
          <w:t>www.cinmed.me</w:t>
        </w:r>
      </w:hyperlink>
    </w:p>
    <w:p w14:paraId="3944DBBB" w14:textId="77777777" w:rsidR="00AA0965" w:rsidRPr="00AA0965" w:rsidRDefault="003616C0" w:rsidP="00AA0965">
      <w:pPr>
        <w:tabs>
          <w:tab w:val="clear" w:pos="284"/>
        </w:tabs>
        <w:rPr>
          <w:rFonts w:eastAsia="Calibri"/>
          <w:color w:val="0000FF"/>
          <w:szCs w:val="22"/>
          <w:u w:val="single"/>
          <w:lang w:val="sr-Latn-RS"/>
        </w:rPr>
      </w:pPr>
      <w:hyperlink r:id="rId13" w:history="1">
        <w:r w:rsidR="00AA0965" w:rsidRPr="00AA0965">
          <w:rPr>
            <w:rFonts w:eastAsia="Calibri"/>
            <w:color w:val="0563C1"/>
            <w:szCs w:val="22"/>
            <w:u w:val="single"/>
            <w:lang w:val="sr-Latn-RS"/>
          </w:rPr>
          <w:t>nezeljenadejstva@cinmed.me</w:t>
        </w:r>
      </w:hyperlink>
    </w:p>
    <w:p w14:paraId="21AE7212" w14:textId="77777777" w:rsidR="00AA0965" w:rsidRPr="00AA0965" w:rsidRDefault="00AA0965" w:rsidP="00AA0965">
      <w:pPr>
        <w:tabs>
          <w:tab w:val="clear" w:pos="284"/>
        </w:tabs>
        <w:rPr>
          <w:rFonts w:eastAsia="Calibri"/>
          <w:szCs w:val="22"/>
          <w:lang w:val="sr-Latn-RS"/>
        </w:rPr>
      </w:pPr>
      <w:r w:rsidRPr="00AA0965">
        <w:rPr>
          <w:rFonts w:eastAsia="Calibri"/>
          <w:szCs w:val="22"/>
          <w:lang w:val="sr-Latn-RS"/>
        </w:rPr>
        <w:t>putem IS zdravstvene zaštite</w:t>
      </w:r>
    </w:p>
    <w:p w14:paraId="3C5AEDE9" w14:textId="0385D1A0" w:rsidR="00AA0965" w:rsidRDefault="00AA0965" w:rsidP="00AA0965">
      <w:pPr>
        <w:tabs>
          <w:tab w:val="clear" w:pos="284"/>
        </w:tabs>
        <w:rPr>
          <w:rFonts w:eastAsia="Calibri"/>
          <w:szCs w:val="22"/>
          <w:lang w:val="sr-Latn-RS"/>
        </w:rPr>
      </w:pPr>
      <w:r w:rsidRPr="00AA0965">
        <w:rPr>
          <w:rFonts w:eastAsia="Calibri"/>
          <w:szCs w:val="22"/>
          <w:lang w:val="sr-Latn-RS"/>
        </w:rPr>
        <w:t>QR kod za online prijavu sumnje na neželjeno dejstvo lijeka:</w:t>
      </w:r>
    </w:p>
    <w:p w14:paraId="3FC79881" w14:textId="77777777" w:rsidR="00F86B47" w:rsidRPr="00AA0965" w:rsidRDefault="00F86B47" w:rsidP="00AA0965">
      <w:pPr>
        <w:tabs>
          <w:tab w:val="clear" w:pos="284"/>
        </w:tabs>
        <w:rPr>
          <w:rFonts w:eastAsia="Calibri"/>
          <w:szCs w:val="22"/>
          <w:lang w:val="sr-Latn-RS"/>
        </w:rPr>
      </w:pPr>
    </w:p>
    <w:p w14:paraId="6B6FDE63" w14:textId="77777777" w:rsidR="00AA0965" w:rsidRPr="00AA0965" w:rsidRDefault="00AA0965" w:rsidP="00AA0965">
      <w:pPr>
        <w:tabs>
          <w:tab w:val="clear" w:pos="284"/>
          <w:tab w:val="left" w:pos="540"/>
          <w:tab w:val="left" w:pos="569"/>
        </w:tabs>
        <w:jc w:val="left"/>
        <w:rPr>
          <w:b/>
          <w:bCs/>
          <w:szCs w:val="22"/>
        </w:rPr>
      </w:pPr>
      <w:r w:rsidRPr="00AA0965">
        <w:rPr>
          <w:b/>
          <w:bCs/>
          <w:noProof/>
          <w:szCs w:val="22"/>
        </w:rPr>
        <w:drawing>
          <wp:inline distT="0" distB="0" distL="0" distR="0" wp14:anchorId="3DB36C95" wp14:editId="225043F9">
            <wp:extent cx="980796" cy="972000"/>
            <wp:effectExtent l="0" t="0" r="0" b="0"/>
            <wp:docPr id="10"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02E7CA6" w14:textId="77777777" w:rsidR="00DC024B" w:rsidRPr="009A2DB8" w:rsidRDefault="00DC024B" w:rsidP="00F73F1D">
      <w:pPr>
        <w:rPr>
          <w:szCs w:val="22"/>
          <w:lang w:val="sr-Latn-RS"/>
        </w:rPr>
      </w:pPr>
    </w:p>
    <w:p w14:paraId="602E7CA7" w14:textId="77777777" w:rsidR="00DC024B" w:rsidRPr="009A2DB8" w:rsidRDefault="00DC024B" w:rsidP="00F73F1D">
      <w:pPr>
        <w:rPr>
          <w:b/>
          <w:bCs/>
          <w:szCs w:val="22"/>
          <w:lang w:val="sr-Latn-RS"/>
        </w:rPr>
      </w:pPr>
      <w:r w:rsidRPr="009A2DB8">
        <w:rPr>
          <w:b/>
          <w:bCs/>
          <w:szCs w:val="22"/>
          <w:lang w:val="sr-Latn-RS"/>
        </w:rPr>
        <w:t>4.9. Predoziranje</w:t>
      </w:r>
    </w:p>
    <w:p w14:paraId="602E7CA8" w14:textId="77777777" w:rsidR="00DC024B" w:rsidRPr="009A2DB8" w:rsidRDefault="00DC024B" w:rsidP="00F73F1D">
      <w:pPr>
        <w:tabs>
          <w:tab w:val="clear" w:pos="284"/>
        </w:tabs>
        <w:autoSpaceDE w:val="0"/>
        <w:autoSpaceDN w:val="0"/>
        <w:adjustRightInd w:val="0"/>
        <w:rPr>
          <w:szCs w:val="22"/>
          <w:lang w:val="sr-Latn-RS"/>
        </w:rPr>
      </w:pPr>
    </w:p>
    <w:p w14:paraId="602E7CA9" w14:textId="0FEDC0E1" w:rsidR="00DC024B" w:rsidRPr="009A2DB8" w:rsidRDefault="00DC024B" w:rsidP="006E7CFE">
      <w:pPr>
        <w:tabs>
          <w:tab w:val="clear" w:pos="284"/>
        </w:tabs>
        <w:autoSpaceDE w:val="0"/>
        <w:autoSpaceDN w:val="0"/>
        <w:adjustRightInd w:val="0"/>
        <w:spacing w:after="60"/>
        <w:rPr>
          <w:szCs w:val="22"/>
          <w:lang w:val="sr-Latn-RS"/>
        </w:rPr>
      </w:pPr>
      <w:r w:rsidRPr="009A2DB8">
        <w:rPr>
          <w:szCs w:val="22"/>
          <w:lang w:val="sr-Latn-RS"/>
        </w:rPr>
        <w:t xml:space="preserve">Predoziranje paracetamolom može prouzrokovati insuficijenciju jetre koja za </w:t>
      </w:r>
      <w:r w:rsidR="00295CA4">
        <w:rPr>
          <w:szCs w:val="22"/>
          <w:lang w:val="sr-Latn-RS"/>
        </w:rPr>
        <w:t>ishod</w:t>
      </w:r>
      <w:r w:rsidR="00295CA4" w:rsidRPr="009A2DB8">
        <w:rPr>
          <w:szCs w:val="22"/>
          <w:lang w:val="sr-Latn-RS"/>
        </w:rPr>
        <w:t xml:space="preserve"> </w:t>
      </w:r>
      <w:r w:rsidRPr="009A2DB8">
        <w:rPr>
          <w:szCs w:val="22"/>
          <w:lang w:val="sr-Latn-RS"/>
        </w:rPr>
        <w:t>može imati transplantaciju jetre ili smrt. Zapažena je pojava akutnog pankreatitisa, obično zajedno sa disfunkcijom i toksičnošću jetre.</w:t>
      </w:r>
    </w:p>
    <w:p w14:paraId="602E7CAA" w14:textId="2F0D211A" w:rsidR="00DC024B" w:rsidRPr="009A2DB8" w:rsidRDefault="00DC024B" w:rsidP="006E7CFE">
      <w:pPr>
        <w:tabs>
          <w:tab w:val="clear" w:pos="284"/>
        </w:tabs>
        <w:autoSpaceDE w:val="0"/>
        <w:autoSpaceDN w:val="0"/>
        <w:adjustRightInd w:val="0"/>
        <w:spacing w:after="60"/>
        <w:rPr>
          <w:szCs w:val="22"/>
          <w:lang w:val="sr-Latn-RS"/>
        </w:rPr>
      </w:pPr>
      <w:r w:rsidRPr="009A2DB8">
        <w:rPr>
          <w:szCs w:val="22"/>
          <w:lang w:val="sr-Latn-RS"/>
        </w:rPr>
        <w:t>Postoji rizik od trovanja paracetamolom naročito kod starijih osoba, male d</w:t>
      </w:r>
      <w:r w:rsidR="00B62A0C">
        <w:rPr>
          <w:szCs w:val="22"/>
          <w:lang w:val="sr-Latn-RS"/>
        </w:rPr>
        <w:t>j</w:t>
      </w:r>
      <w:r w:rsidRPr="009A2DB8">
        <w:rPr>
          <w:szCs w:val="22"/>
          <w:lang w:val="sr-Latn-RS"/>
        </w:rPr>
        <w:t>ece, pacijenata sa bolestima jetre, kod slučajeva hroničnog alkoholizma i kod pacijenata sa hroničnom malnutricijom. Predoziranje u ovim slučajevima može imati smrtni ishod.</w:t>
      </w:r>
    </w:p>
    <w:p w14:paraId="602E7CAB" w14:textId="4A2AF02D" w:rsidR="00DC024B" w:rsidRPr="009A2DB8" w:rsidRDefault="00DC024B" w:rsidP="006E7CFE">
      <w:pPr>
        <w:tabs>
          <w:tab w:val="clear" w:pos="284"/>
        </w:tabs>
        <w:autoSpaceDE w:val="0"/>
        <w:autoSpaceDN w:val="0"/>
        <w:adjustRightInd w:val="0"/>
        <w:spacing w:after="60"/>
        <w:rPr>
          <w:szCs w:val="22"/>
          <w:lang w:val="sr-Latn-RS"/>
        </w:rPr>
      </w:pPr>
      <w:r w:rsidRPr="009A2DB8">
        <w:rPr>
          <w:szCs w:val="22"/>
          <w:lang w:val="sr-Latn-RS"/>
        </w:rPr>
        <w:t>Simptomi se obično javljaju u prva 24 sata i mogu uključivati: mučninu, povraćanje, anoreksiju,</w:t>
      </w:r>
      <w:r w:rsidR="009809E3" w:rsidRPr="009A2DB8">
        <w:rPr>
          <w:szCs w:val="22"/>
          <w:lang w:val="sr-Latn-RS"/>
        </w:rPr>
        <w:t xml:space="preserve"> </w:t>
      </w:r>
      <w:r w:rsidRPr="009A2DB8">
        <w:rPr>
          <w:szCs w:val="22"/>
          <w:lang w:val="sr-Latn-RS"/>
        </w:rPr>
        <w:t>bl</w:t>
      </w:r>
      <w:r w:rsidR="00B62A0C">
        <w:rPr>
          <w:szCs w:val="22"/>
          <w:lang w:val="sr-Latn-RS"/>
        </w:rPr>
        <w:t>j</w:t>
      </w:r>
      <w:r w:rsidRPr="009A2DB8">
        <w:rPr>
          <w:szCs w:val="22"/>
          <w:lang w:val="sr-Latn-RS"/>
        </w:rPr>
        <w:t xml:space="preserve">edilo i abdominalni bol, ili pacijenti mogu biti bez simptoma. </w:t>
      </w:r>
    </w:p>
    <w:p w14:paraId="602E7CAC" w14:textId="25BBA01D" w:rsidR="00DC024B" w:rsidRPr="009A2DB8" w:rsidRDefault="00DC024B" w:rsidP="006E7CFE">
      <w:pPr>
        <w:tabs>
          <w:tab w:val="clear" w:pos="284"/>
        </w:tabs>
        <w:autoSpaceDE w:val="0"/>
        <w:autoSpaceDN w:val="0"/>
        <w:adjustRightInd w:val="0"/>
        <w:spacing w:after="60"/>
        <w:rPr>
          <w:szCs w:val="22"/>
          <w:lang w:val="sr-Latn-RS"/>
        </w:rPr>
      </w:pPr>
      <w:r w:rsidRPr="009A2DB8">
        <w:rPr>
          <w:szCs w:val="22"/>
          <w:lang w:val="sr-Latn-RS"/>
        </w:rPr>
        <w:t>Predoziranje paracetamolom nakon pojedinačne prim</w:t>
      </w:r>
      <w:r w:rsidR="00B62A0C">
        <w:rPr>
          <w:szCs w:val="22"/>
          <w:lang w:val="sr-Latn-RS"/>
        </w:rPr>
        <w:t>j</w:t>
      </w:r>
      <w:r w:rsidRPr="009A2DB8">
        <w:rPr>
          <w:szCs w:val="22"/>
          <w:lang w:val="sr-Latn-RS"/>
        </w:rPr>
        <w:t>ene kod odraslih i d</w:t>
      </w:r>
      <w:r w:rsidR="00B62A0C">
        <w:rPr>
          <w:szCs w:val="22"/>
          <w:lang w:val="sr-Latn-RS"/>
        </w:rPr>
        <w:t>j</w:t>
      </w:r>
      <w:r w:rsidRPr="009A2DB8">
        <w:rPr>
          <w:szCs w:val="22"/>
          <w:lang w:val="sr-Latn-RS"/>
        </w:rPr>
        <w:t>ece može prouzrokovati nekrozu hepatocita, indukujući na taj način kompletnu i ireverzibilnu nekrozu, što za posl</w:t>
      </w:r>
      <w:r w:rsidR="00B62A0C">
        <w:rPr>
          <w:szCs w:val="22"/>
          <w:lang w:val="sr-Latn-RS"/>
        </w:rPr>
        <w:t>j</w:t>
      </w:r>
      <w:r w:rsidRPr="009A2DB8">
        <w:rPr>
          <w:szCs w:val="22"/>
          <w:lang w:val="sr-Latn-RS"/>
        </w:rPr>
        <w:t>edicu ima hepatocelularnu insuficijenciju, metaboličku acidozu i encefalopatiju</w:t>
      </w:r>
      <w:r w:rsidR="00295CA4">
        <w:rPr>
          <w:szCs w:val="22"/>
          <w:lang w:val="sr-Latn-RS"/>
        </w:rPr>
        <w:t>,</w:t>
      </w:r>
      <w:r w:rsidRPr="009A2DB8">
        <w:rPr>
          <w:szCs w:val="22"/>
          <w:lang w:val="sr-Latn-RS"/>
        </w:rPr>
        <w:t xml:space="preserve"> </w:t>
      </w:r>
      <w:r w:rsidR="00295CA4">
        <w:rPr>
          <w:szCs w:val="22"/>
          <w:lang w:val="sr-Latn-RS"/>
        </w:rPr>
        <w:t>što</w:t>
      </w:r>
      <w:r w:rsidRPr="009A2DB8">
        <w:rPr>
          <w:szCs w:val="22"/>
          <w:lang w:val="sr-Latn-RS"/>
        </w:rPr>
        <w:t xml:space="preserve"> može dovesti do kome i smrti. Istovremeno, zapaženo je povećanje </w:t>
      </w:r>
      <w:r w:rsidR="009D77A4" w:rsidRPr="009A2DB8">
        <w:rPr>
          <w:szCs w:val="22"/>
          <w:lang w:val="sr-Latn-RS"/>
        </w:rPr>
        <w:t>vr</w:t>
      </w:r>
      <w:r w:rsidR="00B62A0C">
        <w:rPr>
          <w:szCs w:val="22"/>
          <w:lang w:val="sr-Latn-RS"/>
        </w:rPr>
        <w:t>ij</w:t>
      </w:r>
      <w:r w:rsidR="009D77A4" w:rsidRPr="009A2DB8">
        <w:rPr>
          <w:szCs w:val="22"/>
          <w:lang w:val="sr-Latn-RS"/>
        </w:rPr>
        <w:t>ednosti</w:t>
      </w:r>
      <w:r w:rsidRPr="009A2DB8">
        <w:rPr>
          <w:szCs w:val="22"/>
          <w:lang w:val="sr-Latn-RS"/>
        </w:rPr>
        <w:t xml:space="preserve"> hepatičnih transaminaza (AST, ALT), laktat dehidrogenaze i bilirubina, zajedno sa povećanjem </w:t>
      </w:r>
      <w:r w:rsidR="009D77A4" w:rsidRPr="009A2DB8">
        <w:rPr>
          <w:szCs w:val="22"/>
          <w:lang w:val="sr-Latn-RS"/>
        </w:rPr>
        <w:t>vr</w:t>
      </w:r>
      <w:r w:rsidR="00B62A0C">
        <w:rPr>
          <w:szCs w:val="22"/>
          <w:lang w:val="sr-Latn-RS"/>
        </w:rPr>
        <w:t>ij</w:t>
      </w:r>
      <w:r w:rsidR="009D77A4" w:rsidRPr="009A2DB8">
        <w:rPr>
          <w:szCs w:val="22"/>
          <w:lang w:val="sr-Latn-RS"/>
        </w:rPr>
        <w:t>ednosti</w:t>
      </w:r>
      <w:r w:rsidRPr="009A2DB8">
        <w:rPr>
          <w:szCs w:val="22"/>
          <w:lang w:val="sr-Latn-RS"/>
        </w:rPr>
        <w:t xml:space="preserve"> protrombina, koje se može javiti 12 do 48 sati nakon prim</w:t>
      </w:r>
      <w:r w:rsidR="00B62A0C">
        <w:rPr>
          <w:szCs w:val="22"/>
          <w:lang w:val="sr-Latn-RS"/>
        </w:rPr>
        <w:t>j</w:t>
      </w:r>
      <w:r w:rsidRPr="009A2DB8">
        <w:rPr>
          <w:szCs w:val="22"/>
          <w:lang w:val="sr-Latn-RS"/>
        </w:rPr>
        <w:t>ene l</w:t>
      </w:r>
      <w:r w:rsidR="00B62A0C">
        <w:rPr>
          <w:szCs w:val="22"/>
          <w:lang w:val="sr-Latn-RS"/>
        </w:rPr>
        <w:t>ij</w:t>
      </w:r>
      <w:r w:rsidRPr="009A2DB8">
        <w:rPr>
          <w:szCs w:val="22"/>
          <w:lang w:val="sr-Latn-RS"/>
        </w:rPr>
        <w:t xml:space="preserve">eka. </w:t>
      </w:r>
    </w:p>
    <w:p w14:paraId="602E7CAD" w14:textId="0048C04E" w:rsidR="00DC024B" w:rsidRPr="009A2DB8" w:rsidRDefault="00DC024B" w:rsidP="00F73F1D">
      <w:pPr>
        <w:tabs>
          <w:tab w:val="clear" w:pos="284"/>
        </w:tabs>
        <w:autoSpaceDE w:val="0"/>
        <w:autoSpaceDN w:val="0"/>
        <w:adjustRightInd w:val="0"/>
        <w:rPr>
          <w:szCs w:val="22"/>
          <w:lang w:val="sr-Latn-RS"/>
        </w:rPr>
      </w:pPr>
      <w:r w:rsidRPr="009A2DB8">
        <w:rPr>
          <w:szCs w:val="22"/>
          <w:lang w:val="sr-Latn-RS"/>
        </w:rPr>
        <w:t xml:space="preserve">Oštećenje jetre </w:t>
      </w:r>
      <w:r w:rsidR="00295CA4">
        <w:rPr>
          <w:szCs w:val="22"/>
          <w:lang w:val="sr-Latn-RS"/>
        </w:rPr>
        <w:t>će vjerovatno nastati</w:t>
      </w:r>
      <w:r w:rsidRPr="009A2DB8">
        <w:rPr>
          <w:szCs w:val="22"/>
          <w:lang w:val="sr-Latn-RS"/>
        </w:rPr>
        <w:t xml:space="preserve"> kod odraslih pacijenata koji su uzeli više od preporučene doze paracetamola. Smatra se da se velike količine toksičnih metabolita (koj</w:t>
      </w:r>
      <w:r w:rsidR="00295CA4">
        <w:rPr>
          <w:szCs w:val="22"/>
          <w:lang w:val="sr-Latn-RS"/>
        </w:rPr>
        <w:t>i</w:t>
      </w:r>
      <w:r w:rsidRPr="009A2DB8">
        <w:rPr>
          <w:szCs w:val="22"/>
          <w:lang w:val="sr-Latn-RS"/>
        </w:rPr>
        <w:t xml:space="preserve"> se obično </w:t>
      </w:r>
      <w:r w:rsidR="00295CA4">
        <w:rPr>
          <w:szCs w:val="22"/>
          <w:lang w:val="sr-Latn-RS"/>
        </w:rPr>
        <w:t xml:space="preserve">adekvatno </w:t>
      </w:r>
      <w:r w:rsidRPr="009A2DB8">
        <w:rPr>
          <w:szCs w:val="22"/>
          <w:lang w:val="sr-Latn-RS"/>
        </w:rPr>
        <w:t xml:space="preserve">detoksikuju glutationom u slučaju ingestije uobičajenih doza paracetamola) ireverzibilno vezuju za tkivo jetre. </w:t>
      </w:r>
    </w:p>
    <w:p w14:paraId="602E7CAE" w14:textId="77777777" w:rsidR="00DC024B" w:rsidRPr="009A2DB8" w:rsidRDefault="00DC024B" w:rsidP="00F73F1D">
      <w:pPr>
        <w:tabs>
          <w:tab w:val="clear" w:pos="284"/>
        </w:tabs>
        <w:autoSpaceDE w:val="0"/>
        <w:autoSpaceDN w:val="0"/>
        <w:adjustRightInd w:val="0"/>
        <w:rPr>
          <w:szCs w:val="22"/>
          <w:lang w:val="sr-Latn-RS"/>
        </w:rPr>
      </w:pPr>
    </w:p>
    <w:p w14:paraId="602E7CAF" w14:textId="3C4AAA8E" w:rsidR="00DC024B" w:rsidRPr="009A2DB8" w:rsidRDefault="00DC024B" w:rsidP="00F73F1D">
      <w:pPr>
        <w:tabs>
          <w:tab w:val="clear" w:pos="284"/>
        </w:tabs>
        <w:autoSpaceDE w:val="0"/>
        <w:autoSpaceDN w:val="0"/>
        <w:adjustRightInd w:val="0"/>
        <w:rPr>
          <w:szCs w:val="22"/>
          <w:lang w:val="sr-Latn-RS"/>
        </w:rPr>
      </w:pPr>
      <w:r w:rsidRPr="009A2DB8">
        <w:rPr>
          <w:szCs w:val="22"/>
          <w:lang w:val="sr-Latn-RS"/>
        </w:rPr>
        <w:t xml:space="preserve">Neki pacijenti mogu biti u povećanom riziku od oštećenja </w:t>
      </w:r>
      <w:r w:rsidR="009D77A4" w:rsidRPr="009A2DB8">
        <w:rPr>
          <w:szCs w:val="22"/>
          <w:lang w:val="sr-Latn-RS"/>
        </w:rPr>
        <w:t xml:space="preserve">funkcije </w:t>
      </w:r>
      <w:r w:rsidRPr="009A2DB8">
        <w:rPr>
          <w:szCs w:val="22"/>
          <w:lang w:val="sr-Latn-RS"/>
        </w:rPr>
        <w:t>jetre zbog toksičnosti paracetamola. Faktori rizika uključuju:</w:t>
      </w:r>
    </w:p>
    <w:p w14:paraId="602E7CB0" w14:textId="150C24C0" w:rsidR="00DC024B" w:rsidRPr="009A2DB8" w:rsidRDefault="00DC024B" w:rsidP="00F73F1D">
      <w:pPr>
        <w:numPr>
          <w:ilvl w:val="0"/>
          <w:numId w:val="21"/>
        </w:numPr>
        <w:tabs>
          <w:tab w:val="clear" w:pos="284"/>
        </w:tabs>
        <w:rPr>
          <w:szCs w:val="22"/>
          <w:lang w:val="sr-Latn-RS"/>
        </w:rPr>
      </w:pPr>
      <w:r w:rsidRPr="009A2DB8">
        <w:rPr>
          <w:szCs w:val="22"/>
          <w:lang w:val="sr-Latn-RS"/>
        </w:rPr>
        <w:t>pacijente na dugotrajnoj terapiji karbamazepinom, fenobarbitonom, fenitoinom, primidonom, rifampicinom, kantarionom ili drugim l</w:t>
      </w:r>
      <w:r w:rsidR="00B62A0C">
        <w:rPr>
          <w:szCs w:val="22"/>
          <w:lang w:val="sr-Latn-RS"/>
        </w:rPr>
        <w:t>j</w:t>
      </w:r>
      <w:r w:rsidRPr="009A2DB8">
        <w:rPr>
          <w:szCs w:val="22"/>
          <w:lang w:val="sr-Latn-RS"/>
        </w:rPr>
        <w:t>ekovima koji indukuju enzime jetre;</w:t>
      </w:r>
    </w:p>
    <w:p w14:paraId="602E7CB1" w14:textId="36C70916" w:rsidR="00DC024B" w:rsidRPr="009A2DB8" w:rsidRDefault="00295CA4" w:rsidP="00F73F1D">
      <w:pPr>
        <w:numPr>
          <w:ilvl w:val="0"/>
          <w:numId w:val="21"/>
        </w:numPr>
        <w:tabs>
          <w:tab w:val="clear" w:pos="284"/>
        </w:tabs>
        <w:rPr>
          <w:szCs w:val="22"/>
          <w:lang w:val="sr-Latn-RS"/>
        </w:rPr>
      </w:pPr>
      <w:r>
        <w:rPr>
          <w:szCs w:val="22"/>
          <w:lang w:val="sr-Latn-RS"/>
        </w:rPr>
        <w:t>pacijente</w:t>
      </w:r>
      <w:r w:rsidRPr="009A2DB8">
        <w:rPr>
          <w:szCs w:val="22"/>
          <w:lang w:val="sr-Latn-RS"/>
        </w:rPr>
        <w:t xml:space="preserve"> </w:t>
      </w:r>
      <w:r w:rsidR="0052518C">
        <w:rPr>
          <w:szCs w:val="22"/>
          <w:lang w:val="sr-Latn-RS"/>
        </w:rPr>
        <w:t>koji</w:t>
      </w:r>
      <w:r w:rsidR="00DC024B" w:rsidRPr="009A2DB8">
        <w:rPr>
          <w:szCs w:val="22"/>
          <w:lang w:val="sr-Latn-RS"/>
        </w:rPr>
        <w:t xml:space="preserve"> redovno konzumiraju alkohol u većim količinama;</w:t>
      </w:r>
    </w:p>
    <w:p w14:paraId="602E7CB2" w14:textId="6496039B" w:rsidR="00DC024B" w:rsidRPr="009A2DB8" w:rsidRDefault="00DC024B" w:rsidP="00F73F1D">
      <w:pPr>
        <w:numPr>
          <w:ilvl w:val="0"/>
          <w:numId w:val="21"/>
        </w:numPr>
        <w:tabs>
          <w:tab w:val="clear" w:pos="284"/>
        </w:tabs>
        <w:rPr>
          <w:szCs w:val="22"/>
          <w:lang w:val="sr-Latn-RS"/>
        </w:rPr>
      </w:pPr>
      <w:r w:rsidRPr="009A2DB8">
        <w:rPr>
          <w:szCs w:val="22"/>
          <w:lang w:val="sr-Latn-RS"/>
        </w:rPr>
        <w:t>pacijente koji imaju manjak glutationa (npr. u slučaju poremećaja ishrane, cistične fibroze, HIV infekcije, izgladn</w:t>
      </w:r>
      <w:r w:rsidR="001B3FBD">
        <w:rPr>
          <w:szCs w:val="22"/>
          <w:lang w:val="sr-Latn-RS"/>
        </w:rPr>
        <w:t>j</w:t>
      </w:r>
      <w:r w:rsidRPr="009A2DB8">
        <w:rPr>
          <w:szCs w:val="22"/>
          <w:lang w:val="sr-Latn-RS"/>
        </w:rPr>
        <w:t>elosti, kaheksije).</w:t>
      </w:r>
    </w:p>
    <w:p w14:paraId="602E7CB3" w14:textId="77777777" w:rsidR="00DC024B" w:rsidRPr="009A2DB8" w:rsidRDefault="00DC024B" w:rsidP="00F73F1D">
      <w:pPr>
        <w:tabs>
          <w:tab w:val="clear" w:pos="284"/>
        </w:tabs>
        <w:autoSpaceDE w:val="0"/>
        <w:autoSpaceDN w:val="0"/>
        <w:adjustRightInd w:val="0"/>
        <w:rPr>
          <w:szCs w:val="22"/>
          <w:lang w:val="sr-Latn-RS"/>
        </w:rPr>
      </w:pPr>
    </w:p>
    <w:p w14:paraId="602E7CB4" w14:textId="0E8C8E1D" w:rsidR="00DC024B" w:rsidRPr="009A2DB8" w:rsidRDefault="00DC024B" w:rsidP="00F73F1D">
      <w:pPr>
        <w:tabs>
          <w:tab w:val="clear" w:pos="284"/>
        </w:tabs>
        <w:autoSpaceDE w:val="0"/>
        <w:autoSpaceDN w:val="0"/>
        <w:adjustRightInd w:val="0"/>
        <w:rPr>
          <w:i/>
          <w:szCs w:val="22"/>
          <w:lang w:val="sr-Latn-RS"/>
        </w:rPr>
      </w:pPr>
      <w:r w:rsidRPr="009A2DB8">
        <w:rPr>
          <w:i/>
          <w:szCs w:val="22"/>
          <w:u w:val="single"/>
          <w:lang w:val="sr-Latn-RS"/>
        </w:rPr>
        <w:t>Hitna procedura obuhvata</w:t>
      </w:r>
      <w:r w:rsidR="001B3FBD">
        <w:rPr>
          <w:i/>
          <w:szCs w:val="22"/>
          <w:u w:val="single"/>
          <w:lang w:val="sr-Latn-RS"/>
        </w:rPr>
        <w:t xml:space="preserve"> sljedeće</w:t>
      </w:r>
      <w:r w:rsidRPr="009A2DB8">
        <w:rPr>
          <w:i/>
          <w:szCs w:val="22"/>
          <w:lang w:val="sr-Latn-RS"/>
        </w:rPr>
        <w:t>:</w:t>
      </w:r>
    </w:p>
    <w:p w14:paraId="602E7CB5" w14:textId="77777777" w:rsidR="00DC024B" w:rsidRPr="009A2DB8" w:rsidRDefault="00DC024B" w:rsidP="00496C0C">
      <w:pPr>
        <w:tabs>
          <w:tab w:val="clear" w:pos="284"/>
        </w:tabs>
        <w:autoSpaceDE w:val="0"/>
        <w:autoSpaceDN w:val="0"/>
        <w:adjustRightInd w:val="0"/>
        <w:rPr>
          <w:szCs w:val="22"/>
          <w:lang w:val="sr-Latn-RS"/>
        </w:rPr>
      </w:pPr>
      <w:r w:rsidRPr="009A2DB8">
        <w:rPr>
          <w:szCs w:val="22"/>
          <w:lang w:val="sr-Latn-RS"/>
        </w:rPr>
        <w:t xml:space="preserve">Pacijente treba odmah transportovati u bolnicu. </w:t>
      </w:r>
    </w:p>
    <w:p w14:paraId="602E7CB6" w14:textId="4CBA9DB2" w:rsidR="00DC024B" w:rsidRPr="009A2DB8" w:rsidRDefault="00DC024B" w:rsidP="00D76276">
      <w:pPr>
        <w:tabs>
          <w:tab w:val="clear" w:pos="284"/>
        </w:tabs>
        <w:autoSpaceDE w:val="0"/>
        <w:autoSpaceDN w:val="0"/>
        <w:adjustRightInd w:val="0"/>
        <w:rPr>
          <w:szCs w:val="22"/>
          <w:lang w:val="sr-Latn-RS"/>
        </w:rPr>
      </w:pPr>
      <w:r w:rsidRPr="009A2DB8">
        <w:rPr>
          <w:szCs w:val="22"/>
          <w:lang w:val="sr-Latn-RS"/>
        </w:rPr>
        <w:t>Uzeti uzorak krvi da bi se odredila inicijalna koncentracija paracetamola.</w:t>
      </w:r>
      <w:r w:rsidR="001B3FBD">
        <w:rPr>
          <w:szCs w:val="22"/>
          <w:lang w:val="sr-Latn-RS"/>
        </w:rPr>
        <w:t xml:space="preserve"> </w:t>
      </w:r>
      <w:r w:rsidRPr="009A2DB8">
        <w:rPr>
          <w:szCs w:val="22"/>
          <w:lang w:val="sr-Latn-RS"/>
        </w:rPr>
        <w:t>U slučaju jednokratnog akutnog predoziranja, koncentraciju paracetamola treba m</w:t>
      </w:r>
      <w:r w:rsidR="00B62A0C">
        <w:rPr>
          <w:szCs w:val="22"/>
          <w:lang w:val="sr-Latn-RS"/>
        </w:rPr>
        <w:t>j</w:t>
      </w:r>
      <w:r w:rsidRPr="009A2DB8">
        <w:rPr>
          <w:szCs w:val="22"/>
          <w:lang w:val="sr-Latn-RS"/>
        </w:rPr>
        <w:t>eriti 4 sata nakon ingestije.</w:t>
      </w:r>
    </w:p>
    <w:p w14:paraId="602E7CB7" w14:textId="417F9C15" w:rsidR="00DC024B" w:rsidRPr="009A2DB8" w:rsidRDefault="00DC024B" w:rsidP="00FA6AD6">
      <w:pPr>
        <w:tabs>
          <w:tab w:val="clear" w:pos="284"/>
        </w:tabs>
        <w:autoSpaceDE w:val="0"/>
        <w:autoSpaceDN w:val="0"/>
        <w:adjustRightInd w:val="0"/>
        <w:rPr>
          <w:szCs w:val="22"/>
          <w:lang w:val="sr-Latn-RS"/>
        </w:rPr>
      </w:pPr>
      <w:r w:rsidRPr="009A2DB8">
        <w:rPr>
          <w:szCs w:val="22"/>
          <w:lang w:val="sr-Latn-RS"/>
        </w:rPr>
        <w:t>L</w:t>
      </w:r>
      <w:r w:rsidR="00B62A0C">
        <w:rPr>
          <w:szCs w:val="22"/>
          <w:lang w:val="sr-Latn-RS"/>
        </w:rPr>
        <w:t>ij</w:t>
      </w:r>
      <w:r w:rsidRPr="009A2DB8">
        <w:rPr>
          <w:szCs w:val="22"/>
          <w:lang w:val="sr-Latn-RS"/>
        </w:rPr>
        <w:t>ečenje aktivnim ugljem treba razmotriti ukoliko je više od 150 mg/kg paracetamola uzeto unutar jednog sata.</w:t>
      </w:r>
    </w:p>
    <w:p w14:paraId="602E7CB8" w14:textId="2288D578" w:rsidR="00DC024B" w:rsidRPr="009A2DB8" w:rsidRDefault="00DC024B">
      <w:pPr>
        <w:tabs>
          <w:tab w:val="clear" w:pos="284"/>
        </w:tabs>
        <w:autoSpaceDE w:val="0"/>
        <w:autoSpaceDN w:val="0"/>
        <w:adjustRightInd w:val="0"/>
        <w:rPr>
          <w:szCs w:val="22"/>
          <w:lang w:val="sr-Latn-RS"/>
        </w:rPr>
      </w:pPr>
      <w:r w:rsidRPr="009A2DB8">
        <w:rPr>
          <w:szCs w:val="22"/>
          <w:lang w:val="sr-Latn-RS"/>
        </w:rPr>
        <w:t>Antidot N-acetilcistein treba prim</w:t>
      </w:r>
      <w:r w:rsidR="00B62A0C">
        <w:rPr>
          <w:szCs w:val="22"/>
          <w:lang w:val="sr-Latn-RS"/>
        </w:rPr>
        <w:t>ij</w:t>
      </w:r>
      <w:r w:rsidRPr="009A2DB8">
        <w:rPr>
          <w:szCs w:val="22"/>
          <w:lang w:val="sr-Latn-RS"/>
        </w:rPr>
        <w:t>eniti što je pr</w:t>
      </w:r>
      <w:r w:rsidR="00B62A0C">
        <w:rPr>
          <w:szCs w:val="22"/>
          <w:lang w:val="sr-Latn-RS"/>
        </w:rPr>
        <w:t>ij</w:t>
      </w:r>
      <w:r w:rsidRPr="009A2DB8">
        <w:rPr>
          <w:szCs w:val="22"/>
          <w:lang w:val="sr-Latn-RS"/>
        </w:rPr>
        <w:t>e moguće, a u skladu sa važećim terapijskim sm</w:t>
      </w:r>
      <w:r w:rsidR="00B62A0C">
        <w:rPr>
          <w:szCs w:val="22"/>
          <w:lang w:val="sr-Latn-RS"/>
        </w:rPr>
        <w:t>j</w:t>
      </w:r>
      <w:r w:rsidRPr="009A2DB8">
        <w:rPr>
          <w:szCs w:val="22"/>
          <w:lang w:val="sr-Latn-RS"/>
        </w:rPr>
        <w:t>ernicama.</w:t>
      </w:r>
    </w:p>
    <w:p w14:paraId="602E7CB9" w14:textId="4549E50A" w:rsidR="00DC024B" w:rsidRDefault="00DC024B">
      <w:pPr>
        <w:tabs>
          <w:tab w:val="clear" w:pos="284"/>
        </w:tabs>
        <w:autoSpaceDE w:val="0"/>
        <w:autoSpaceDN w:val="0"/>
        <w:adjustRightInd w:val="0"/>
        <w:rPr>
          <w:szCs w:val="22"/>
          <w:lang w:val="sr-Latn-RS"/>
        </w:rPr>
      </w:pPr>
      <w:r w:rsidRPr="009A2DB8">
        <w:rPr>
          <w:szCs w:val="22"/>
          <w:lang w:val="sr-Latn-RS"/>
        </w:rPr>
        <w:t>Prim</w:t>
      </w:r>
      <w:r w:rsidR="00B62A0C">
        <w:rPr>
          <w:szCs w:val="22"/>
          <w:lang w:val="sr-Latn-RS"/>
        </w:rPr>
        <w:t>ij</w:t>
      </w:r>
      <w:r w:rsidRPr="009A2DB8">
        <w:rPr>
          <w:szCs w:val="22"/>
          <w:lang w:val="sr-Latn-RS"/>
        </w:rPr>
        <w:t>eniti simptomatsku terapiju.</w:t>
      </w:r>
    </w:p>
    <w:p w14:paraId="3EE49C4E" w14:textId="2C4DE1F4" w:rsidR="002B4C21" w:rsidRDefault="002B4C21">
      <w:pPr>
        <w:tabs>
          <w:tab w:val="clear" w:pos="284"/>
        </w:tabs>
        <w:autoSpaceDE w:val="0"/>
        <w:autoSpaceDN w:val="0"/>
        <w:adjustRightInd w:val="0"/>
        <w:rPr>
          <w:szCs w:val="22"/>
          <w:lang w:val="sr-Latn-RS"/>
        </w:rPr>
      </w:pPr>
    </w:p>
    <w:p w14:paraId="42E21F8A" w14:textId="77777777" w:rsidR="001B3FBD" w:rsidRPr="009A2DB8" w:rsidRDefault="001B3FBD">
      <w:pPr>
        <w:tabs>
          <w:tab w:val="clear" w:pos="284"/>
        </w:tabs>
        <w:autoSpaceDE w:val="0"/>
        <w:autoSpaceDN w:val="0"/>
        <w:adjustRightInd w:val="0"/>
        <w:rPr>
          <w:szCs w:val="22"/>
          <w:lang w:val="sr-Latn-RS"/>
        </w:rPr>
      </w:pPr>
    </w:p>
    <w:p w14:paraId="602E7CBA" w14:textId="4F9E812D" w:rsidR="00DC024B" w:rsidRDefault="00DC024B" w:rsidP="006E7CFE">
      <w:pPr>
        <w:pStyle w:val="NASLOV123"/>
        <w:spacing w:before="0" w:after="0"/>
        <w:jc w:val="both"/>
        <w:rPr>
          <w:lang w:val="sr-Latn-RS"/>
        </w:rPr>
      </w:pPr>
      <w:r w:rsidRPr="009A2DB8">
        <w:rPr>
          <w:lang w:val="sr-Latn-RS"/>
        </w:rPr>
        <w:t>5. FARMAKOLOŠKI PODACI</w:t>
      </w:r>
    </w:p>
    <w:p w14:paraId="0ECE73B1" w14:textId="77777777" w:rsidR="001B3FBD" w:rsidRPr="009A2DB8" w:rsidRDefault="001B3FBD" w:rsidP="006E7CFE">
      <w:pPr>
        <w:pStyle w:val="NASLOV123"/>
        <w:spacing w:before="0" w:after="0"/>
        <w:jc w:val="both"/>
        <w:rPr>
          <w:lang w:val="sr-Latn-RS"/>
        </w:rPr>
      </w:pPr>
    </w:p>
    <w:p w14:paraId="602E7CBB" w14:textId="77777777" w:rsidR="00DC024B" w:rsidRPr="009A2DB8" w:rsidRDefault="00DC024B" w:rsidP="00527F5D">
      <w:pPr>
        <w:rPr>
          <w:b/>
          <w:bCs/>
          <w:szCs w:val="22"/>
          <w:lang w:val="sr-Latn-RS"/>
        </w:rPr>
      </w:pPr>
      <w:r w:rsidRPr="009A2DB8">
        <w:rPr>
          <w:b/>
          <w:bCs/>
          <w:szCs w:val="22"/>
          <w:lang w:val="sr-Latn-RS"/>
        </w:rPr>
        <w:t>5.1. Farmakodinamski podaci</w:t>
      </w:r>
    </w:p>
    <w:p w14:paraId="602E7CBC" w14:textId="77777777" w:rsidR="00DC024B" w:rsidRPr="009A2DB8" w:rsidRDefault="00DC024B" w:rsidP="00527F5D">
      <w:pPr>
        <w:ind w:left="2880" w:hanging="2880"/>
        <w:rPr>
          <w:b/>
          <w:bCs/>
          <w:szCs w:val="22"/>
          <w:lang w:val="sr-Latn-RS"/>
        </w:rPr>
      </w:pPr>
    </w:p>
    <w:p w14:paraId="602E7CBE" w14:textId="4765E3A7" w:rsidR="00DC024B" w:rsidRPr="00B62A0C" w:rsidRDefault="00DC024B" w:rsidP="00F73F1D">
      <w:pPr>
        <w:ind w:left="2880" w:hanging="2880"/>
        <w:rPr>
          <w:szCs w:val="22"/>
          <w:lang w:val="sr-Latn-RS"/>
        </w:rPr>
      </w:pPr>
      <w:r w:rsidRPr="00B62A0C">
        <w:rPr>
          <w:szCs w:val="22"/>
          <w:lang w:val="sr-Latn-RS"/>
        </w:rPr>
        <w:t>Farmakoterapijska grupa:</w:t>
      </w:r>
      <w:r w:rsidR="001946E5" w:rsidRPr="00B62A0C">
        <w:rPr>
          <w:szCs w:val="22"/>
          <w:lang w:val="sr-Latn-RS"/>
        </w:rPr>
        <w:t xml:space="preserve"> </w:t>
      </w:r>
      <w:r w:rsidRPr="00B62A0C">
        <w:rPr>
          <w:szCs w:val="22"/>
          <w:lang w:val="sr-Latn-RS"/>
        </w:rPr>
        <w:t>Analgetici;</w:t>
      </w:r>
      <w:r w:rsidR="003A6023" w:rsidRPr="00B62A0C">
        <w:rPr>
          <w:szCs w:val="22"/>
          <w:lang w:val="sr-Latn-RS"/>
        </w:rPr>
        <w:t xml:space="preserve"> </w:t>
      </w:r>
      <w:r w:rsidRPr="00B62A0C">
        <w:rPr>
          <w:szCs w:val="22"/>
          <w:lang w:val="sr-Latn-RS"/>
        </w:rPr>
        <w:t>anilidi</w:t>
      </w:r>
    </w:p>
    <w:p w14:paraId="602E7CBF" w14:textId="77777777" w:rsidR="00DC024B" w:rsidRPr="00B62A0C" w:rsidRDefault="00DC024B" w:rsidP="00527F5D">
      <w:pPr>
        <w:rPr>
          <w:szCs w:val="22"/>
          <w:lang w:val="sr-Latn-RS"/>
        </w:rPr>
      </w:pPr>
    </w:p>
    <w:p w14:paraId="602E7CC0" w14:textId="32302D74" w:rsidR="00DC024B" w:rsidRPr="00B62A0C" w:rsidRDefault="00DC024B" w:rsidP="00527F5D">
      <w:pPr>
        <w:rPr>
          <w:szCs w:val="22"/>
          <w:lang w:val="sr-Latn-RS"/>
        </w:rPr>
      </w:pPr>
      <w:r w:rsidRPr="00B62A0C">
        <w:rPr>
          <w:szCs w:val="22"/>
          <w:lang w:val="sr-Latn-RS"/>
        </w:rPr>
        <w:t xml:space="preserve">ATC </w:t>
      </w:r>
      <w:r w:rsidR="00B62A0C">
        <w:rPr>
          <w:szCs w:val="22"/>
          <w:lang w:val="sr-Latn-RS"/>
        </w:rPr>
        <w:t>kod</w:t>
      </w:r>
      <w:r w:rsidRPr="00B62A0C">
        <w:rPr>
          <w:szCs w:val="22"/>
          <w:lang w:val="sr-Latn-RS"/>
        </w:rPr>
        <w:t>: N02BE01</w:t>
      </w:r>
    </w:p>
    <w:p w14:paraId="602E7CC2" w14:textId="77777777" w:rsidR="00DC024B" w:rsidRPr="009A2DB8" w:rsidRDefault="00DC024B" w:rsidP="00F73F1D">
      <w:pPr>
        <w:tabs>
          <w:tab w:val="clear" w:pos="284"/>
        </w:tabs>
        <w:autoSpaceDE w:val="0"/>
        <w:autoSpaceDN w:val="0"/>
        <w:adjustRightInd w:val="0"/>
        <w:rPr>
          <w:szCs w:val="22"/>
          <w:lang w:val="sr-Latn-RS"/>
        </w:rPr>
      </w:pPr>
      <w:r w:rsidRPr="009A2DB8">
        <w:rPr>
          <w:szCs w:val="22"/>
          <w:lang w:val="sr-Latn-RS"/>
        </w:rPr>
        <w:lastRenderedPageBreak/>
        <w:t>Paracetamol ima analgetičko i antipiretičko dejstvo.</w:t>
      </w:r>
    </w:p>
    <w:p w14:paraId="602E7CC3" w14:textId="77777777" w:rsidR="00DC024B" w:rsidRPr="009A2DB8" w:rsidRDefault="00DC024B" w:rsidP="00F73F1D">
      <w:pPr>
        <w:rPr>
          <w:b/>
          <w:bCs/>
          <w:szCs w:val="22"/>
          <w:lang w:val="sr-Latn-RS"/>
        </w:rPr>
      </w:pPr>
    </w:p>
    <w:p w14:paraId="602E7CC4" w14:textId="77777777" w:rsidR="00DC024B" w:rsidRPr="009A2DB8" w:rsidRDefault="00DC024B" w:rsidP="00F73F1D">
      <w:pPr>
        <w:rPr>
          <w:b/>
          <w:bCs/>
          <w:szCs w:val="22"/>
          <w:lang w:val="sr-Latn-RS"/>
        </w:rPr>
      </w:pPr>
      <w:r w:rsidRPr="009A2DB8">
        <w:rPr>
          <w:b/>
          <w:bCs/>
          <w:szCs w:val="22"/>
          <w:lang w:val="sr-Latn-RS"/>
        </w:rPr>
        <w:t>5.2. Farmakokinetički podaci</w:t>
      </w:r>
    </w:p>
    <w:p w14:paraId="602E7CC5" w14:textId="77777777" w:rsidR="00DC024B" w:rsidRPr="009A2DB8" w:rsidRDefault="00DC024B" w:rsidP="00F73F1D">
      <w:pPr>
        <w:rPr>
          <w:b/>
          <w:bCs/>
          <w:szCs w:val="22"/>
          <w:lang w:val="sr-Latn-RS"/>
        </w:rPr>
      </w:pPr>
    </w:p>
    <w:p w14:paraId="602E7CC6" w14:textId="1B7E3CD5" w:rsidR="00DC024B" w:rsidRPr="009A2DB8" w:rsidRDefault="00DC024B" w:rsidP="006E7CFE">
      <w:pPr>
        <w:widowControl w:val="0"/>
        <w:tabs>
          <w:tab w:val="clear" w:pos="284"/>
        </w:tabs>
        <w:autoSpaceDE w:val="0"/>
        <w:autoSpaceDN w:val="0"/>
        <w:adjustRightInd w:val="0"/>
        <w:rPr>
          <w:szCs w:val="22"/>
          <w:lang w:val="sr-Latn-RS"/>
        </w:rPr>
      </w:pPr>
      <w:r w:rsidRPr="009A2DB8">
        <w:rPr>
          <w:szCs w:val="22"/>
          <w:lang w:val="sr-Latn-RS"/>
        </w:rPr>
        <w:t>Paracetamol se brzo i skoro potpuno resorbuje iz gastrointestinalnog trakta. Koncentracije u plazmi dostižu maksimalne vr</w:t>
      </w:r>
      <w:r w:rsidR="00B62A0C">
        <w:rPr>
          <w:szCs w:val="22"/>
          <w:lang w:val="sr-Latn-RS"/>
        </w:rPr>
        <w:t>ij</w:t>
      </w:r>
      <w:r w:rsidRPr="009A2DB8">
        <w:rPr>
          <w:szCs w:val="22"/>
          <w:lang w:val="sr-Latn-RS"/>
        </w:rPr>
        <w:t xml:space="preserve">ednosti za 30 </w:t>
      </w:r>
      <w:r w:rsidR="001B3FBD">
        <w:rPr>
          <w:szCs w:val="22"/>
          <w:lang w:val="sr-Latn-RS"/>
        </w:rPr>
        <w:t>–</w:t>
      </w:r>
      <w:r w:rsidRPr="009A2DB8">
        <w:rPr>
          <w:szCs w:val="22"/>
          <w:lang w:val="sr-Latn-RS"/>
        </w:rPr>
        <w:t xml:space="preserve"> 60 minuta. Poluvr</w:t>
      </w:r>
      <w:r w:rsidR="00B62A0C">
        <w:rPr>
          <w:szCs w:val="22"/>
          <w:lang w:val="sr-Latn-RS"/>
        </w:rPr>
        <w:t>ij</w:t>
      </w:r>
      <w:r w:rsidRPr="009A2DB8">
        <w:rPr>
          <w:szCs w:val="22"/>
          <w:lang w:val="sr-Latn-RS"/>
        </w:rPr>
        <w:t xml:space="preserve">eme eliminacije iz plazme je 1 </w:t>
      </w:r>
      <w:r w:rsidR="001B3FBD">
        <w:rPr>
          <w:szCs w:val="22"/>
          <w:lang w:val="sr-Latn-RS"/>
        </w:rPr>
        <w:t>–</w:t>
      </w:r>
      <w:r w:rsidRPr="009A2DB8">
        <w:rPr>
          <w:szCs w:val="22"/>
          <w:lang w:val="sr-Latn-RS"/>
        </w:rPr>
        <w:t xml:space="preserve"> 4 sata. Paracetamol se metaboliše u jetri</w:t>
      </w:r>
      <w:r w:rsidR="001B3FBD">
        <w:rPr>
          <w:szCs w:val="22"/>
          <w:lang w:val="sr-Latn-RS"/>
        </w:rPr>
        <w:t>,</w:t>
      </w:r>
      <w:r w:rsidRPr="009A2DB8">
        <w:rPr>
          <w:szCs w:val="22"/>
          <w:lang w:val="sr-Latn-RS"/>
        </w:rPr>
        <w:t xml:space="preserve"> a izlučuje urinom, uglavnom u obliku glukuronida i </w:t>
      </w:r>
      <w:r w:rsidR="001B3FBD">
        <w:rPr>
          <w:szCs w:val="22"/>
          <w:lang w:val="sr-Latn-RS"/>
        </w:rPr>
        <w:t>sulfatnih</w:t>
      </w:r>
      <w:r w:rsidR="001B3FBD" w:rsidRPr="009A2DB8">
        <w:rPr>
          <w:szCs w:val="22"/>
          <w:lang w:val="sr-Latn-RS"/>
        </w:rPr>
        <w:t xml:space="preserve"> </w:t>
      </w:r>
      <w:r w:rsidRPr="009A2DB8">
        <w:rPr>
          <w:szCs w:val="22"/>
          <w:lang w:val="sr-Latn-RS"/>
        </w:rPr>
        <w:t>konjug</w:t>
      </w:r>
      <w:r w:rsidR="001B3FBD">
        <w:rPr>
          <w:szCs w:val="22"/>
          <w:lang w:val="sr-Latn-RS"/>
        </w:rPr>
        <w:t>ata</w:t>
      </w:r>
      <w:r w:rsidRPr="009A2DB8">
        <w:rPr>
          <w:szCs w:val="22"/>
          <w:lang w:val="sr-Latn-RS"/>
        </w:rPr>
        <w:t>.</w:t>
      </w:r>
      <w:r w:rsidR="00DD7EE3" w:rsidRPr="009A2DB8">
        <w:rPr>
          <w:szCs w:val="22"/>
          <w:lang w:val="sr-Latn-RS"/>
        </w:rPr>
        <w:t xml:space="preserve"> Manje od 5% se eliminiše neprom</w:t>
      </w:r>
      <w:r w:rsidR="00B62A0C">
        <w:rPr>
          <w:szCs w:val="22"/>
          <w:lang w:val="sr-Latn-RS"/>
        </w:rPr>
        <w:t>ij</w:t>
      </w:r>
      <w:r w:rsidR="00DD7EE3" w:rsidRPr="009A2DB8">
        <w:rPr>
          <w:szCs w:val="22"/>
          <w:lang w:val="sr-Latn-RS"/>
        </w:rPr>
        <w:t>enjeno.</w:t>
      </w:r>
    </w:p>
    <w:p w14:paraId="602E7CC7" w14:textId="77777777" w:rsidR="00DC024B" w:rsidRPr="009A2DB8" w:rsidRDefault="00DC024B" w:rsidP="00527F5D">
      <w:pPr>
        <w:rPr>
          <w:b/>
          <w:bCs/>
          <w:szCs w:val="22"/>
          <w:lang w:val="sr-Latn-RS"/>
        </w:rPr>
      </w:pPr>
    </w:p>
    <w:p w14:paraId="602E7CC8" w14:textId="50025525" w:rsidR="00DC024B" w:rsidRPr="009A2DB8" w:rsidRDefault="00DC024B" w:rsidP="00527F5D">
      <w:pPr>
        <w:rPr>
          <w:szCs w:val="22"/>
          <w:lang w:val="sr-Latn-RS"/>
        </w:rPr>
      </w:pPr>
      <w:r w:rsidRPr="009A2DB8">
        <w:rPr>
          <w:b/>
          <w:bCs/>
          <w:szCs w:val="22"/>
          <w:lang w:val="sr-Latn-RS"/>
        </w:rPr>
        <w:t>5.3. Pretklinički podaci o bezb</w:t>
      </w:r>
      <w:r w:rsidR="002E4E87">
        <w:rPr>
          <w:b/>
          <w:bCs/>
          <w:szCs w:val="22"/>
          <w:lang w:val="sr-Latn-RS"/>
        </w:rPr>
        <w:t>j</w:t>
      </w:r>
      <w:r w:rsidRPr="009A2DB8">
        <w:rPr>
          <w:b/>
          <w:bCs/>
          <w:szCs w:val="22"/>
          <w:lang w:val="sr-Latn-RS"/>
        </w:rPr>
        <w:t xml:space="preserve">ednosti </w:t>
      </w:r>
    </w:p>
    <w:p w14:paraId="602E7CC9" w14:textId="77777777" w:rsidR="00DC024B" w:rsidRPr="009A2DB8" w:rsidRDefault="00DC024B" w:rsidP="00527F5D">
      <w:pPr>
        <w:tabs>
          <w:tab w:val="clear" w:pos="284"/>
        </w:tabs>
        <w:rPr>
          <w:szCs w:val="22"/>
          <w:lang w:val="sr-Latn-RS"/>
        </w:rPr>
      </w:pPr>
    </w:p>
    <w:p w14:paraId="20DDF6F3" w14:textId="18C692EA" w:rsidR="009D77A4" w:rsidRDefault="001B3FBD" w:rsidP="009D77A4">
      <w:pPr>
        <w:tabs>
          <w:tab w:val="clear" w:pos="284"/>
        </w:tabs>
        <w:autoSpaceDE w:val="0"/>
        <w:autoSpaceDN w:val="0"/>
        <w:adjustRightInd w:val="0"/>
        <w:rPr>
          <w:lang w:val="sr-Latn-RS"/>
        </w:rPr>
      </w:pPr>
      <w:r w:rsidRPr="001B3FBD">
        <w:rPr>
          <w:lang w:val="sr-Latn-RS"/>
        </w:rPr>
        <w:t>Konvencionalne studije za evaluaciju reproduktivne i razvojne toksičnosti, u skladu sa trenutno prihvaćenim standardima, nijesu dostupne.</w:t>
      </w:r>
    </w:p>
    <w:p w14:paraId="2EBE07BF" w14:textId="62D3D059" w:rsidR="002B4C21" w:rsidRDefault="002B4C21" w:rsidP="009D77A4">
      <w:pPr>
        <w:tabs>
          <w:tab w:val="clear" w:pos="284"/>
        </w:tabs>
        <w:autoSpaceDE w:val="0"/>
        <w:autoSpaceDN w:val="0"/>
        <w:adjustRightInd w:val="0"/>
        <w:rPr>
          <w:szCs w:val="22"/>
          <w:lang w:val="sr-Latn-RS"/>
        </w:rPr>
      </w:pPr>
    </w:p>
    <w:p w14:paraId="72ECDE84" w14:textId="77777777" w:rsidR="001B3FBD" w:rsidRPr="009A2DB8" w:rsidRDefault="001B3FBD" w:rsidP="009D77A4">
      <w:pPr>
        <w:tabs>
          <w:tab w:val="clear" w:pos="284"/>
        </w:tabs>
        <w:autoSpaceDE w:val="0"/>
        <w:autoSpaceDN w:val="0"/>
        <w:adjustRightInd w:val="0"/>
        <w:rPr>
          <w:szCs w:val="22"/>
          <w:lang w:val="sr-Latn-RS"/>
        </w:rPr>
      </w:pPr>
    </w:p>
    <w:p w14:paraId="602E7CCB" w14:textId="37B27B6E" w:rsidR="00DC024B" w:rsidRDefault="00DC024B" w:rsidP="006E7CFE">
      <w:pPr>
        <w:pStyle w:val="NASLOV123"/>
        <w:spacing w:before="0" w:after="0"/>
        <w:jc w:val="both"/>
        <w:rPr>
          <w:lang w:val="sr-Latn-RS"/>
        </w:rPr>
      </w:pPr>
      <w:r w:rsidRPr="009A2DB8">
        <w:rPr>
          <w:lang w:val="sr-Latn-RS"/>
        </w:rPr>
        <w:t>6. FARMACEUTSKI PODACI</w:t>
      </w:r>
    </w:p>
    <w:p w14:paraId="5535F032" w14:textId="77777777" w:rsidR="001B3FBD" w:rsidRPr="009A2DB8" w:rsidRDefault="001B3FBD" w:rsidP="006E7CFE">
      <w:pPr>
        <w:pStyle w:val="NASLOV123"/>
        <w:spacing w:before="0" w:after="0"/>
        <w:jc w:val="both"/>
        <w:rPr>
          <w:lang w:val="sr-Latn-RS"/>
        </w:rPr>
      </w:pPr>
    </w:p>
    <w:p w14:paraId="602E7CCC" w14:textId="63EDC6EB" w:rsidR="00DC024B" w:rsidRPr="009A2DB8" w:rsidRDefault="00DC024B">
      <w:pPr>
        <w:rPr>
          <w:b/>
          <w:bCs/>
          <w:szCs w:val="22"/>
          <w:lang w:val="sr-Latn-RS"/>
        </w:rPr>
      </w:pPr>
      <w:r w:rsidRPr="009A2DB8">
        <w:rPr>
          <w:b/>
          <w:bCs/>
          <w:szCs w:val="22"/>
          <w:lang w:val="sr-Latn-RS"/>
        </w:rPr>
        <w:t>6.1. Lista pomoćnih supstanci</w:t>
      </w:r>
      <w:r w:rsidR="00AA0965">
        <w:rPr>
          <w:b/>
          <w:bCs/>
          <w:szCs w:val="22"/>
          <w:lang w:val="sr-Latn-RS"/>
        </w:rPr>
        <w:t xml:space="preserve"> (ekscipijenasa)</w:t>
      </w:r>
    </w:p>
    <w:p w14:paraId="602E7CCD" w14:textId="77777777" w:rsidR="00DC024B" w:rsidRPr="009A2DB8" w:rsidRDefault="00DC024B" w:rsidP="006E7CFE">
      <w:pPr>
        <w:pStyle w:val="Header"/>
        <w:tabs>
          <w:tab w:val="clear" w:pos="4536"/>
          <w:tab w:val="clear" w:pos="9072"/>
          <w:tab w:val="left" w:pos="284"/>
        </w:tabs>
        <w:rPr>
          <w:sz w:val="22"/>
          <w:szCs w:val="22"/>
          <w:highlight w:val="cyan"/>
          <w:lang w:val="sr-Latn-RS"/>
        </w:rPr>
      </w:pPr>
    </w:p>
    <w:p w14:paraId="602E7CCE" w14:textId="14FED4C8" w:rsidR="00DC024B" w:rsidRPr="009A2DB8" w:rsidRDefault="00DC024B" w:rsidP="006E7CFE">
      <w:pPr>
        <w:pStyle w:val="Header"/>
        <w:tabs>
          <w:tab w:val="clear" w:pos="4536"/>
          <w:tab w:val="clear" w:pos="9072"/>
          <w:tab w:val="left" w:pos="284"/>
        </w:tabs>
        <w:rPr>
          <w:sz w:val="22"/>
          <w:szCs w:val="22"/>
          <w:lang w:val="sr-Latn-RS"/>
        </w:rPr>
      </w:pPr>
      <w:r w:rsidRPr="009A2DB8">
        <w:rPr>
          <w:sz w:val="22"/>
          <w:szCs w:val="22"/>
          <w:lang w:val="sr-Latn-RS"/>
        </w:rPr>
        <w:t>-</w:t>
      </w:r>
      <w:r w:rsidR="002B4C21">
        <w:rPr>
          <w:sz w:val="22"/>
          <w:szCs w:val="22"/>
          <w:lang w:val="sr-Latn-RS"/>
        </w:rPr>
        <w:t xml:space="preserve"> M</w:t>
      </w:r>
      <w:r w:rsidRPr="009A2DB8">
        <w:rPr>
          <w:sz w:val="22"/>
          <w:szCs w:val="22"/>
          <w:lang w:val="sr-Latn-RS"/>
        </w:rPr>
        <w:t>etilparahidroksibenzoat (E218);</w:t>
      </w:r>
    </w:p>
    <w:p w14:paraId="602E7CCF" w14:textId="609E2C05" w:rsidR="00DC024B" w:rsidRPr="009A2DB8" w:rsidRDefault="00DC024B" w:rsidP="006E7CFE">
      <w:pPr>
        <w:pStyle w:val="Header"/>
        <w:tabs>
          <w:tab w:val="clear" w:pos="4536"/>
          <w:tab w:val="clear" w:pos="9072"/>
          <w:tab w:val="left" w:pos="284"/>
        </w:tabs>
        <w:rPr>
          <w:sz w:val="22"/>
          <w:szCs w:val="22"/>
          <w:lang w:val="sr-Latn-RS"/>
        </w:rPr>
      </w:pPr>
      <w:r w:rsidRPr="009A2DB8">
        <w:rPr>
          <w:sz w:val="22"/>
          <w:szCs w:val="22"/>
          <w:lang w:val="sr-Latn-RS"/>
        </w:rPr>
        <w:t>-</w:t>
      </w:r>
      <w:r w:rsidR="002B4C21">
        <w:rPr>
          <w:sz w:val="22"/>
          <w:szCs w:val="22"/>
          <w:lang w:val="sr-Latn-RS"/>
        </w:rPr>
        <w:t xml:space="preserve"> </w:t>
      </w:r>
      <w:r w:rsidRPr="009A2DB8">
        <w:rPr>
          <w:sz w:val="22"/>
          <w:szCs w:val="22"/>
          <w:lang w:val="sr-Latn-RS"/>
        </w:rPr>
        <w:t>propilenglikol;</w:t>
      </w:r>
    </w:p>
    <w:p w14:paraId="602E7CD0" w14:textId="517E8D7C" w:rsidR="00DC024B" w:rsidRPr="009A2DB8" w:rsidRDefault="00DC024B" w:rsidP="006E7CFE">
      <w:pPr>
        <w:pStyle w:val="Header"/>
        <w:tabs>
          <w:tab w:val="clear" w:pos="4536"/>
          <w:tab w:val="clear" w:pos="9072"/>
          <w:tab w:val="left" w:pos="284"/>
        </w:tabs>
        <w:rPr>
          <w:sz w:val="22"/>
          <w:szCs w:val="22"/>
          <w:lang w:val="sr-Latn-RS"/>
        </w:rPr>
      </w:pPr>
      <w:r w:rsidRPr="009A2DB8">
        <w:rPr>
          <w:sz w:val="22"/>
          <w:szCs w:val="22"/>
          <w:lang w:val="sr-Latn-RS"/>
        </w:rPr>
        <w:t>-</w:t>
      </w:r>
      <w:r w:rsidR="002B4C21">
        <w:rPr>
          <w:sz w:val="22"/>
          <w:szCs w:val="22"/>
          <w:lang w:val="sr-Latn-RS"/>
        </w:rPr>
        <w:t xml:space="preserve"> </w:t>
      </w:r>
      <w:r w:rsidRPr="009A2DB8">
        <w:rPr>
          <w:sz w:val="22"/>
          <w:szCs w:val="22"/>
          <w:lang w:val="sr-Latn-RS"/>
        </w:rPr>
        <w:t>celuloza, disperzibilna;</w:t>
      </w:r>
    </w:p>
    <w:p w14:paraId="602E7CD1" w14:textId="7CB3BB79" w:rsidR="00DC024B" w:rsidRPr="009A2DB8" w:rsidRDefault="00DC024B" w:rsidP="006E7CFE">
      <w:pPr>
        <w:pStyle w:val="Header"/>
        <w:tabs>
          <w:tab w:val="clear" w:pos="4536"/>
          <w:tab w:val="clear" w:pos="9072"/>
          <w:tab w:val="left" w:pos="284"/>
        </w:tabs>
        <w:rPr>
          <w:sz w:val="22"/>
          <w:szCs w:val="22"/>
          <w:lang w:val="sr-Latn-RS"/>
        </w:rPr>
      </w:pPr>
      <w:r w:rsidRPr="009A2DB8">
        <w:rPr>
          <w:sz w:val="22"/>
          <w:szCs w:val="22"/>
          <w:lang w:val="sr-Latn-RS"/>
        </w:rPr>
        <w:t>-</w:t>
      </w:r>
      <w:r w:rsidR="002B4C21">
        <w:rPr>
          <w:sz w:val="22"/>
          <w:szCs w:val="22"/>
          <w:lang w:val="sr-Latn-RS"/>
        </w:rPr>
        <w:t xml:space="preserve"> </w:t>
      </w:r>
      <w:r w:rsidRPr="009A2DB8">
        <w:rPr>
          <w:sz w:val="22"/>
          <w:szCs w:val="22"/>
          <w:lang w:val="sr-Latn-RS"/>
        </w:rPr>
        <w:t>ksantan guma;</w:t>
      </w:r>
    </w:p>
    <w:p w14:paraId="602E7CD2" w14:textId="198B18A3" w:rsidR="00DC024B" w:rsidRPr="009A2DB8" w:rsidRDefault="00DC024B" w:rsidP="006E7CFE">
      <w:pPr>
        <w:pStyle w:val="Header"/>
        <w:tabs>
          <w:tab w:val="clear" w:pos="4536"/>
          <w:tab w:val="clear" w:pos="9072"/>
          <w:tab w:val="left" w:pos="284"/>
        </w:tabs>
        <w:rPr>
          <w:sz w:val="22"/>
          <w:szCs w:val="22"/>
          <w:lang w:val="sr-Latn-RS"/>
        </w:rPr>
      </w:pPr>
      <w:r w:rsidRPr="009A2DB8">
        <w:rPr>
          <w:sz w:val="22"/>
          <w:szCs w:val="22"/>
          <w:lang w:val="sr-Latn-RS"/>
        </w:rPr>
        <w:t>-</w:t>
      </w:r>
      <w:r w:rsidR="002B4C21">
        <w:rPr>
          <w:sz w:val="22"/>
          <w:szCs w:val="22"/>
          <w:lang w:val="sr-Latn-RS"/>
        </w:rPr>
        <w:t xml:space="preserve"> </w:t>
      </w:r>
      <w:r w:rsidRPr="009A2DB8">
        <w:rPr>
          <w:sz w:val="22"/>
          <w:szCs w:val="22"/>
          <w:lang w:val="sr-Latn-RS"/>
        </w:rPr>
        <w:t xml:space="preserve">saharoza; </w:t>
      </w:r>
    </w:p>
    <w:p w14:paraId="602E7CD3" w14:textId="38B9D237" w:rsidR="00DC024B" w:rsidRPr="009A2DB8" w:rsidRDefault="00DC024B" w:rsidP="006E7CFE">
      <w:pPr>
        <w:pStyle w:val="Header"/>
        <w:tabs>
          <w:tab w:val="clear" w:pos="4536"/>
          <w:tab w:val="clear" w:pos="9072"/>
          <w:tab w:val="left" w:pos="284"/>
        </w:tabs>
        <w:rPr>
          <w:sz w:val="22"/>
          <w:szCs w:val="22"/>
          <w:lang w:val="sr-Latn-RS"/>
        </w:rPr>
      </w:pPr>
      <w:r w:rsidRPr="009A2DB8">
        <w:rPr>
          <w:sz w:val="22"/>
          <w:szCs w:val="22"/>
          <w:lang w:val="sr-Latn-RS"/>
        </w:rPr>
        <w:t>-</w:t>
      </w:r>
      <w:r w:rsidR="002B4C21">
        <w:rPr>
          <w:sz w:val="22"/>
          <w:szCs w:val="22"/>
          <w:lang w:val="sr-Latn-RS"/>
        </w:rPr>
        <w:t xml:space="preserve"> </w:t>
      </w:r>
      <w:r w:rsidRPr="009A2DB8">
        <w:rPr>
          <w:sz w:val="22"/>
          <w:szCs w:val="22"/>
          <w:lang w:val="sr-Latn-RS"/>
        </w:rPr>
        <w:t>sorbitol tečni, nekristališući (E420);</w:t>
      </w:r>
    </w:p>
    <w:p w14:paraId="602E7CD4" w14:textId="5CD7A2EA" w:rsidR="00DC024B" w:rsidRPr="009A2DB8" w:rsidRDefault="00DC024B" w:rsidP="006E7CFE">
      <w:pPr>
        <w:pStyle w:val="Header"/>
        <w:tabs>
          <w:tab w:val="clear" w:pos="4536"/>
          <w:tab w:val="clear" w:pos="9072"/>
          <w:tab w:val="left" w:pos="284"/>
        </w:tabs>
        <w:rPr>
          <w:sz w:val="22"/>
          <w:szCs w:val="22"/>
          <w:lang w:val="sr-Latn-RS"/>
        </w:rPr>
      </w:pPr>
      <w:r w:rsidRPr="009A2DB8">
        <w:rPr>
          <w:sz w:val="22"/>
          <w:szCs w:val="22"/>
          <w:lang w:val="sr-Latn-RS"/>
        </w:rPr>
        <w:t>-</w:t>
      </w:r>
      <w:r w:rsidR="002B4C21">
        <w:rPr>
          <w:sz w:val="22"/>
          <w:szCs w:val="22"/>
          <w:lang w:val="sr-Latn-RS"/>
        </w:rPr>
        <w:t xml:space="preserve"> </w:t>
      </w:r>
      <w:r w:rsidRPr="009A2DB8">
        <w:rPr>
          <w:sz w:val="22"/>
          <w:szCs w:val="22"/>
          <w:lang w:val="sr-Latn-RS"/>
        </w:rPr>
        <w:t xml:space="preserve">glicerol; </w:t>
      </w:r>
    </w:p>
    <w:p w14:paraId="602E7CD5" w14:textId="66D152C3" w:rsidR="00DC024B" w:rsidRPr="009A2DB8" w:rsidRDefault="00DC024B" w:rsidP="006E7CFE">
      <w:pPr>
        <w:pStyle w:val="Header"/>
        <w:tabs>
          <w:tab w:val="clear" w:pos="4536"/>
          <w:tab w:val="clear" w:pos="9072"/>
          <w:tab w:val="left" w:pos="284"/>
        </w:tabs>
        <w:rPr>
          <w:sz w:val="22"/>
          <w:szCs w:val="22"/>
          <w:lang w:val="sr-Latn-RS"/>
        </w:rPr>
      </w:pPr>
      <w:r w:rsidRPr="009A2DB8">
        <w:rPr>
          <w:sz w:val="22"/>
          <w:szCs w:val="22"/>
          <w:lang w:val="sr-Latn-RS"/>
        </w:rPr>
        <w:t>-</w:t>
      </w:r>
      <w:bookmarkStart w:id="0" w:name="_Hlk181562807"/>
      <w:bookmarkStart w:id="1" w:name="_Hlk181601746"/>
      <w:r w:rsidR="002B4C21">
        <w:rPr>
          <w:sz w:val="22"/>
          <w:szCs w:val="22"/>
          <w:lang w:val="sr-Latn-RS"/>
        </w:rPr>
        <w:t xml:space="preserve"> </w:t>
      </w:r>
      <w:r w:rsidRPr="009A2DB8">
        <w:rPr>
          <w:sz w:val="22"/>
          <w:szCs w:val="22"/>
          <w:lang w:val="sr-Latn-RS"/>
        </w:rPr>
        <w:t xml:space="preserve">boja Allura Red AC C.I. 16035 </w:t>
      </w:r>
      <w:bookmarkEnd w:id="0"/>
      <w:r w:rsidRPr="009A2DB8">
        <w:rPr>
          <w:sz w:val="22"/>
          <w:szCs w:val="22"/>
          <w:lang w:val="sr-Latn-RS"/>
        </w:rPr>
        <w:t>(E129</w:t>
      </w:r>
      <w:bookmarkEnd w:id="1"/>
      <w:r w:rsidRPr="009A2DB8">
        <w:rPr>
          <w:sz w:val="22"/>
          <w:szCs w:val="22"/>
          <w:lang w:val="sr-Latn-RS"/>
        </w:rPr>
        <w:t xml:space="preserve">); </w:t>
      </w:r>
    </w:p>
    <w:p w14:paraId="602E7CD6" w14:textId="21F10DB5" w:rsidR="00DC024B" w:rsidRPr="009A2DB8" w:rsidRDefault="00DC024B">
      <w:pPr>
        <w:pStyle w:val="Header"/>
        <w:tabs>
          <w:tab w:val="clear" w:pos="4536"/>
          <w:tab w:val="clear" w:pos="9072"/>
          <w:tab w:val="left" w:pos="284"/>
        </w:tabs>
        <w:rPr>
          <w:sz w:val="22"/>
          <w:szCs w:val="22"/>
          <w:lang w:val="sr-Latn-RS"/>
        </w:rPr>
      </w:pPr>
      <w:r w:rsidRPr="009A2DB8">
        <w:rPr>
          <w:sz w:val="22"/>
          <w:szCs w:val="22"/>
          <w:lang w:val="sr-Latn-RS"/>
        </w:rPr>
        <w:t>-</w:t>
      </w:r>
      <w:r w:rsidR="002B4C21">
        <w:rPr>
          <w:sz w:val="22"/>
          <w:szCs w:val="22"/>
          <w:lang w:val="sr-Latn-RS"/>
        </w:rPr>
        <w:t xml:space="preserve"> </w:t>
      </w:r>
      <w:r w:rsidRPr="009A2DB8">
        <w:rPr>
          <w:sz w:val="22"/>
          <w:szCs w:val="22"/>
          <w:lang w:val="sr-Latn-RS"/>
        </w:rPr>
        <w:t xml:space="preserve">aroma višnje </w:t>
      </w:r>
      <w:r w:rsidR="00B254B9">
        <w:rPr>
          <w:sz w:val="22"/>
          <w:szCs w:val="22"/>
          <w:lang w:val="sr-Latn-RS"/>
        </w:rPr>
        <w:t>PHL-432930</w:t>
      </w:r>
      <w:r w:rsidR="00507261" w:rsidRPr="009A2DB8">
        <w:rPr>
          <w:sz w:val="22"/>
          <w:szCs w:val="22"/>
          <w:lang w:val="sr-Latn-RS"/>
        </w:rPr>
        <w:t xml:space="preserve"> (</w:t>
      </w:r>
      <w:r w:rsidR="000F0D84" w:rsidRPr="009A2DB8">
        <w:rPr>
          <w:sz w:val="22"/>
          <w:szCs w:val="22"/>
          <w:lang w:val="sr-Latn-RS"/>
        </w:rPr>
        <w:t>sadrži propilenglikol</w:t>
      </w:r>
      <w:r w:rsidR="000F0D84" w:rsidRPr="007C4722">
        <w:rPr>
          <w:sz w:val="22"/>
          <w:szCs w:val="22"/>
          <w:lang w:val="sr-Latn-RS"/>
        </w:rPr>
        <w:t xml:space="preserve"> </w:t>
      </w:r>
      <w:r w:rsidR="000F0D84" w:rsidRPr="009A2DB8">
        <w:rPr>
          <w:sz w:val="22"/>
          <w:szCs w:val="22"/>
          <w:lang w:val="sr-Latn-RS"/>
        </w:rPr>
        <w:t>i etanol)</w:t>
      </w:r>
      <w:r w:rsidR="007F1FB9" w:rsidRPr="009A2DB8">
        <w:rPr>
          <w:sz w:val="22"/>
          <w:szCs w:val="22"/>
          <w:lang w:val="sr-Latn-RS"/>
        </w:rPr>
        <w:t>;</w:t>
      </w:r>
      <w:r w:rsidRPr="009A2DB8">
        <w:rPr>
          <w:sz w:val="22"/>
          <w:szCs w:val="22"/>
          <w:lang w:val="sr-Latn-RS"/>
        </w:rPr>
        <w:t xml:space="preserve"> </w:t>
      </w:r>
    </w:p>
    <w:p w14:paraId="602E7CD8" w14:textId="0F35B1DC" w:rsidR="00DC024B" w:rsidRPr="009A2DB8" w:rsidRDefault="00DC024B" w:rsidP="006E7CFE">
      <w:pPr>
        <w:pStyle w:val="Header"/>
        <w:tabs>
          <w:tab w:val="clear" w:pos="4536"/>
          <w:tab w:val="clear" w:pos="9072"/>
          <w:tab w:val="left" w:pos="284"/>
        </w:tabs>
        <w:rPr>
          <w:lang w:val="sr-Latn-RS"/>
        </w:rPr>
      </w:pPr>
      <w:r w:rsidRPr="009A2DB8">
        <w:rPr>
          <w:sz w:val="22"/>
          <w:szCs w:val="22"/>
          <w:lang w:val="sr-Latn-RS"/>
        </w:rPr>
        <w:t>-</w:t>
      </w:r>
      <w:r w:rsidR="002B4C21">
        <w:rPr>
          <w:sz w:val="22"/>
          <w:szCs w:val="22"/>
          <w:lang w:val="sr-Latn-RS"/>
        </w:rPr>
        <w:t xml:space="preserve"> </w:t>
      </w:r>
      <w:r w:rsidRPr="009A2DB8">
        <w:rPr>
          <w:sz w:val="22"/>
          <w:szCs w:val="22"/>
          <w:lang w:val="sr-Latn-RS"/>
        </w:rPr>
        <w:t>voda, prečišćena.</w:t>
      </w:r>
    </w:p>
    <w:p w14:paraId="602E7CD9" w14:textId="77777777" w:rsidR="00DC024B" w:rsidRPr="009A2DB8" w:rsidRDefault="00DC024B">
      <w:pPr>
        <w:rPr>
          <w:szCs w:val="22"/>
          <w:lang w:val="sr-Latn-RS"/>
        </w:rPr>
      </w:pPr>
    </w:p>
    <w:p w14:paraId="602E7CDA" w14:textId="33F511F1" w:rsidR="00DC024B" w:rsidRPr="009A2DB8" w:rsidRDefault="00DC024B">
      <w:pPr>
        <w:rPr>
          <w:b/>
          <w:bCs/>
          <w:szCs w:val="22"/>
          <w:lang w:val="sr-Latn-RS"/>
        </w:rPr>
      </w:pPr>
      <w:r w:rsidRPr="009A2DB8">
        <w:rPr>
          <w:b/>
          <w:bCs/>
          <w:szCs w:val="22"/>
          <w:lang w:val="sr-Latn-RS"/>
        </w:rPr>
        <w:t>6.2. Inkompatibilnost</w:t>
      </w:r>
      <w:r w:rsidR="00AA0965">
        <w:rPr>
          <w:b/>
          <w:bCs/>
          <w:szCs w:val="22"/>
          <w:lang w:val="sr-Latn-RS"/>
        </w:rPr>
        <w:t>i</w:t>
      </w:r>
    </w:p>
    <w:p w14:paraId="602E7CDB" w14:textId="77777777" w:rsidR="00DC024B" w:rsidRPr="009A2DB8" w:rsidRDefault="00DC024B">
      <w:pPr>
        <w:rPr>
          <w:szCs w:val="22"/>
          <w:lang w:val="sr-Latn-RS"/>
        </w:rPr>
      </w:pPr>
    </w:p>
    <w:p w14:paraId="602E7CDC" w14:textId="77777777" w:rsidR="00DC024B" w:rsidRPr="009A2DB8" w:rsidRDefault="00DC024B">
      <w:pPr>
        <w:rPr>
          <w:szCs w:val="22"/>
          <w:lang w:val="sr-Latn-RS"/>
        </w:rPr>
      </w:pPr>
      <w:r w:rsidRPr="009A2DB8">
        <w:rPr>
          <w:lang w:val="sr-Latn-RS"/>
        </w:rPr>
        <w:t>Nije poznato.</w:t>
      </w:r>
    </w:p>
    <w:p w14:paraId="602E7CDD" w14:textId="77777777" w:rsidR="00DC024B" w:rsidRPr="009A2DB8" w:rsidRDefault="00DC024B">
      <w:pPr>
        <w:rPr>
          <w:b/>
          <w:bCs/>
          <w:szCs w:val="22"/>
          <w:lang w:val="sr-Latn-RS"/>
        </w:rPr>
      </w:pPr>
    </w:p>
    <w:p w14:paraId="602E7CDE" w14:textId="77777777" w:rsidR="00DC024B" w:rsidRPr="009A2DB8" w:rsidRDefault="00DC024B">
      <w:pPr>
        <w:rPr>
          <w:b/>
          <w:bCs/>
          <w:szCs w:val="22"/>
          <w:lang w:val="sr-Latn-RS"/>
        </w:rPr>
      </w:pPr>
      <w:r w:rsidRPr="009A2DB8">
        <w:rPr>
          <w:b/>
          <w:bCs/>
          <w:szCs w:val="22"/>
          <w:lang w:val="sr-Latn-RS"/>
        </w:rPr>
        <w:t>6.3. Rok upotrebe</w:t>
      </w:r>
    </w:p>
    <w:p w14:paraId="3D980EE6" w14:textId="77777777" w:rsidR="00FF5445" w:rsidRPr="009A2DB8" w:rsidRDefault="00FF5445" w:rsidP="006E7CFE">
      <w:pPr>
        <w:rPr>
          <w:lang w:val="sr-Latn-RS"/>
        </w:rPr>
      </w:pPr>
    </w:p>
    <w:p w14:paraId="602E7CDF" w14:textId="5E1A9A23" w:rsidR="00DC024B" w:rsidRPr="009A2DB8" w:rsidRDefault="00DC024B" w:rsidP="006E7CFE">
      <w:pPr>
        <w:rPr>
          <w:lang w:val="sr-Latn-RS"/>
        </w:rPr>
      </w:pPr>
      <w:r w:rsidRPr="009A2DB8">
        <w:rPr>
          <w:lang w:val="sr-Latn-RS"/>
        </w:rPr>
        <w:t>3 godine.</w:t>
      </w:r>
    </w:p>
    <w:p w14:paraId="602E7CE0" w14:textId="77777777" w:rsidR="00DC024B" w:rsidRPr="009A2DB8" w:rsidRDefault="00DC024B" w:rsidP="006E7CFE">
      <w:pPr>
        <w:rPr>
          <w:lang w:val="sr-Latn-RS"/>
        </w:rPr>
      </w:pPr>
    </w:p>
    <w:p w14:paraId="602E7CE1" w14:textId="29A934F1" w:rsidR="00DC024B" w:rsidRPr="009A2DB8" w:rsidRDefault="00DC024B" w:rsidP="006E7CFE">
      <w:pPr>
        <w:pStyle w:val="Header"/>
        <w:tabs>
          <w:tab w:val="clear" w:pos="4536"/>
          <w:tab w:val="clear" w:pos="9072"/>
          <w:tab w:val="left" w:pos="284"/>
        </w:tabs>
        <w:rPr>
          <w:sz w:val="22"/>
          <w:szCs w:val="22"/>
          <w:lang w:val="sr-Latn-RS"/>
        </w:rPr>
      </w:pPr>
      <w:r w:rsidRPr="006E7CFE">
        <w:rPr>
          <w:sz w:val="22"/>
          <w:szCs w:val="22"/>
          <w:u w:val="single"/>
          <w:lang w:val="sr-Latn-RS"/>
        </w:rPr>
        <w:t>Rok upotrebe nakon prvog otvaranja</w:t>
      </w:r>
      <w:r w:rsidRPr="002B4C21">
        <w:rPr>
          <w:sz w:val="22"/>
          <w:szCs w:val="22"/>
          <w:lang w:val="sr-Latn-RS"/>
        </w:rPr>
        <w:t>:</w:t>
      </w:r>
      <w:r w:rsidR="002726CF" w:rsidRPr="009A2DB8">
        <w:rPr>
          <w:sz w:val="22"/>
          <w:szCs w:val="22"/>
          <w:lang w:val="sr-Latn-RS"/>
        </w:rPr>
        <w:t xml:space="preserve"> </w:t>
      </w:r>
      <w:r w:rsidR="009637E1" w:rsidRPr="009A2DB8">
        <w:rPr>
          <w:sz w:val="22"/>
          <w:szCs w:val="22"/>
          <w:lang w:val="sr-Latn-RS"/>
        </w:rPr>
        <w:t>6 m</w:t>
      </w:r>
      <w:r w:rsidR="00AA0965">
        <w:rPr>
          <w:sz w:val="22"/>
          <w:szCs w:val="22"/>
          <w:lang w:val="sr-Latn-RS"/>
        </w:rPr>
        <w:t>j</w:t>
      </w:r>
      <w:r w:rsidR="009637E1" w:rsidRPr="009A2DB8">
        <w:rPr>
          <w:sz w:val="22"/>
          <w:szCs w:val="22"/>
          <w:lang w:val="sr-Latn-RS"/>
        </w:rPr>
        <w:t>eseci</w:t>
      </w:r>
      <w:r w:rsidRPr="009A2DB8">
        <w:rPr>
          <w:sz w:val="22"/>
          <w:szCs w:val="22"/>
          <w:lang w:val="sr-Latn-RS"/>
        </w:rPr>
        <w:t xml:space="preserve">, čuvati na temperaturi do </w:t>
      </w:r>
      <w:r w:rsidRPr="009A2DB8">
        <w:rPr>
          <w:sz w:val="22"/>
          <w:lang w:val="sr-Latn-RS"/>
        </w:rPr>
        <w:t>25°C</w:t>
      </w:r>
      <w:r w:rsidRPr="009A2DB8">
        <w:rPr>
          <w:sz w:val="22"/>
          <w:szCs w:val="22"/>
          <w:lang w:val="sr-Latn-RS"/>
        </w:rPr>
        <w:t>,</w:t>
      </w:r>
      <w:r w:rsidR="008A1C51" w:rsidRPr="009A2DB8">
        <w:rPr>
          <w:sz w:val="22"/>
          <w:szCs w:val="22"/>
          <w:lang w:val="sr-Latn-RS"/>
        </w:rPr>
        <w:t xml:space="preserve"> </w:t>
      </w:r>
      <w:r w:rsidRPr="009A2DB8">
        <w:rPr>
          <w:sz w:val="22"/>
          <w:szCs w:val="22"/>
          <w:lang w:val="sr-Latn-RS"/>
        </w:rPr>
        <w:t>u originalnom pakovanju, radi zaštite od sv</w:t>
      </w:r>
      <w:r w:rsidR="00AA0965">
        <w:rPr>
          <w:sz w:val="22"/>
          <w:szCs w:val="22"/>
          <w:lang w:val="sr-Latn-RS"/>
        </w:rPr>
        <w:t>j</w:t>
      </w:r>
      <w:r w:rsidRPr="009A2DB8">
        <w:rPr>
          <w:sz w:val="22"/>
          <w:szCs w:val="22"/>
          <w:lang w:val="sr-Latn-RS"/>
        </w:rPr>
        <w:t>etlosti.</w:t>
      </w:r>
    </w:p>
    <w:p w14:paraId="602E7CE2" w14:textId="77777777" w:rsidR="00DC024B" w:rsidRPr="009A2DB8" w:rsidRDefault="00DC024B">
      <w:pPr>
        <w:rPr>
          <w:szCs w:val="22"/>
          <w:lang w:val="sr-Latn-RS"/>
        </w:rPr>
      </w:pPr>
    </w:p>
    <w:p w14:paraId="602E7CE4" w14:textId="24952586" w:rsidR="00DC024B" w:rsidRPr="009A2DB8" w:rsidRDefault="00DC024B">
      <w:pPr>
        <w:rPr>
          <w:b/>
          <w:bCs/>
          <w:szCs w:val="22"/>
          <w:lang w:val="sr-Latn-RS"/>
        </w:rPr>
      </w:pPr>
      <w:r w:rsidRPr="009A2DB8">
        <w:rPr>
          <w:b/>
          <w:bCs/>
          <w:szCs w:val="22"/>
          <w:lang w:val="sr-Latn-RS"/>
        </w:rPr>
        <w:t>6.4. Posebne m</w:t>
      </w:r>
      <w:r w:rsidR="00AA0965">
        <w:rPr>
          <w:b/>
          <w:bCs/>
          <w:szCs w:val="22"/>
          <w:lang w:val="sr-Latn-RS"/>
        </w:rPr>
        <w:t>j</w:t>
      </w:r>
      <w:r w:rsidRPr="009A2DB8">
        <w:rPr>
          <w:b/>
          <w:bCs/>
          <w:szCs w:val="22"/>
          <w:lang w:val="sr-Latn-RS"/>
        </w:rPr>
        <w:t>ere opreza pri čuvanju</w:t>
      </w:r>
      <w:r w:rsidR="00AA0965">
        <w:rPr>
          <w:b/>
          <w:bCs/>
          <w:szCs w:val="22"/>
          <w:lang w:val="sr-Latn-RS"/>
        </w:rPr>
        <w:t xml:space="preserve"> lijeka</w:t>
      </w:r>
    </w:p>
    <w:p w14:paraId="602E7CE5" w14:textId="77777777" w:rsidR="00DC024B" w:rsidRPr="009A2DB8" w:rsidRDefault="00DC024B">
      <w:pPr>
        <w:rPr>
          <w:szCs w:val="22"/>
          <w:lang w:val="sr-Latn-RS"/>
        </w:rPr>
      </w:pPr>
    </w:p>
    <w:p w14:paraId="602E7CE6" w14:textId="08CD418D" w:rsidR="00DC024B" w:rsidRPr="009A2DB8" w:rsidRDefault="00DC024B">
      <w:pPr>
        <w:pStyle w:val="Header"/>
        <w:tabs>
          <w:tab w:val="clear" w:pos="4536"/>
          <w:tab w:val="clear" w:pos="9072"/>
          <w:tab w:val="left" w:pos="284"/>
        </w:tabs>
        <w:rPr>
          <w:sz w:val="22"/>
          <w:szCs w:val="22"/>
          <w:lang w:val="sr-Latn-RS"/>
        </w:rPr>
      </w:pPr>
      <w:r w:rsidRPr="009A2DB8">
        <w:rPr>
          <w:sz w:val="22"/>
          <w:lang w:val="sr-Latn-RS"/>
        </w:rPr>
        <w:t>Čuvati u originalnom pakovanju</w:t>
      </w:r>
      <w:r w:rsidRPr="009A2DB8">
        <w:rPr>
          <w:sz w:val="22"/>
          <w:szCs w:val="22"/>
          <w:lang w:val="sr-Latn-RS"/>
        </w:rPr>
        <w:t>, radi zaštite od sv</w:t>
      </w:r>
      <w:r w:rsidR="00AA0965">
        <w:rPr>
          <w:sz w:val="22"/>
          <w:szCs w:val="22"/>
          <w:lang w:val="sr-Latn-RS"/>
        </w:rPr>
        <w:t>j</w:t>
      </w:r>
      <w:r w:rsidRPr="009A2DB8">
        <w:rPr>
          <w:sz w:val="22"/>
          <w:szCs w:val="22"/>
          <w:lang w:val="sr-Latn-RS"/>
        </w:rPr>
        <w:t>etlosti.</w:t>
      </w:r>
    </w:p>
    <w:p w14:paraId="602E7CE7" w14:textId="77777777" w:rsidR="00DC024B" w:rsidRPr="009A2DB8" w:rsidRDefault="00DC024B" w:rsidP="006E7CFE">
      <w:pPr>
        <w:pStyle w:val="Header"/>
        <w:tabs>
          <w:tab w:val="clear" w:pos="4536"/>
          <w:tab w:val="clear" w:pos="9072"/>
          <w:tab w:val="left" w:pos="284"/>
        </w:tabs>
        <w:rPr>
          <w:sz w:val="22"/>
          <w:lang w:val="sr-Latn-RS"/>
        </w:rPr>
      </w:pPr>
    </w:p>
    <w:p w14:paraId="602E7CE8" w14:textId="7F928EE2" w:rsidR="00DC024B" w:rsidRPr="009A2DB8" w:rsidRDefault="00DC024B" w:rsidP="006E7CFE">
      <w:pPr>
        <w:pStyle w:val="Header"/>
        <w:tabs>
          <w:tab w:val="clear" w:pos="4536"/>
          <w:tab w:val="clear" w:pos="9072"/>
          <w:tab w:val="left" w:pos="284"/>
        </w:tabs>
        <w:rPr>
          <w:sz w:val="22"/>
          <w:lang w:val="sr-Latn-RS"/>
        </w:rPr>
      </w:pPr>
      <w:r w:rsidRPr="009A2DB8">
        <w:rPr>
          <w:sz w:val="22"/>
          <w:lang w:val="sr-Latn-RS"/>
        </w:rPr>
        <w:t>Za uslove čuvanja posl</w:t>
      </w:r>
      <w:r w:rsidR="00AA0965">
        <w:rPr>
          <w:sz w:val="22"/>
          <w:lang w:val="sr-Latn-RS"/>
        </w:rPr>
        <w:t>ij</w:t>
      </w:r>
      <w:r w:rsidRPr="009A2DB8">
        <w:rPr>
          <w:sz w:val="22"/>
          <w:lang w:val="sr-Latn-RS"/>
        </w:rPr>
        <w:t>e prvog otvaranja vid</w:t>
      </w:r>
      <w:r w:rsidR="00AA0965">
        <w:rPr>
          <w:sz w:val="22"/>
          <w:lang w:val="sr-Latn-RS"/>
        </w:rPr>
        <w:t>j</w:t>
      </w:r>
      <w:r w:rsidRPr="009A2DB8">
        <w:rPr>
          <w:sz w:val="22"/>
          <w:lang w:val="sr-Latn-RS"/>
        </w:rPr>
        <w:t xml:space="preserve">eti </w:t>
      </w:r>
      <w:r w:rsidR="00AA0965">
        <w:rPr>
          <w:sz w:val="22"/>
          <w:lang w:val="sr-Latn-RS"/>
        </w:rPr>
        <w:t>dio</w:t>
      </w:r>
      <w:r w:rsidRPr="009A2DB8">
        <w:rPr>
          <w:sz w:val="22"/>
          <w:lang w:val="sr-Latn-RS"/>
        </w:rPr>
        <w:t xml:space="preserve"> 6.3.</w:t>
      </w:r>
    </w:p>
    <w:p w14:paraId="602E7CE9" w14:textId="77777777" w:rsidR="00DC024B" w:rsidRPr="009A2DB8" w:rsidRDefault="00DC024B">
      <w:pPr>
        <w:rPr>
          <w:szCs w:val="22"/>
          <w:lang w:val="sr-Latn-RS"/>
        </w:rPr>
      </w:pPr>
    </w:p>
    <w:p w14:paraId="602E7CEA" w14:textId="29C2AF24" w:rsidR="00DC024B" w:rsidRPr="009A2DB8" w:rsidRDefault="00DC024B">
      <w:pPr>
        <w:rPr>
          <w:b/>
          <w:bCs/>
          <w:szCs w:val="22"/>
          <w:lang w:val="sr-Latn-RS"/>
        </w:rPr>
      </w:pPr>
      <w:r w:rsidRPr="009A2DB8">
        <w:rPr>
          <w:b/>
          <w:bCs/>
          <w:szCs w:val="22"/>
          <w:lang w:val="sr-Latn-RS"/>
        </w:rPr>
        <w:t xml:space="preserve">6.5. </w:t>
      </w:r>
      <w:r w:rsidR="00AA0965">
        <w:rPr>
          <w:b/>
          <w:bCs/>
          <w:szCs w:val="22"/>
          <w:lang w:val="sr-Latn-RS"/>
        </w:rPr>
        <w:t>Vrsta</w:t>
      </w:r>
      <w:r w:rsidRPr="009A2DB8">
        <w:rPr>
          <w:b/>
          <w:bCs/>
          <w:szCs w:val="22"/>
          <w:lang w:val="sr-Latn-RS"/>
        </w:rPr>
        <w:t xml:space="preserve"> i sadržaj pakovanja</w:t>
      </w:r>
      <w:r w:rsidR="0084418B" w:rsidRPr="009A2DB8">
        <w:rPr>
          <w:b/>
          <w:bCs/>
          <w:szCs w:val="22"/>
          <w:lang w:val="sr-Latn-RS"/>
        </w:rPr>
        <w:t xml:space="preserve"> </w:t>
      </w:r>
    </w:p>
    <w:p w14:paraId="6D33E06F" w14:textId="77777777" w:rsidR="00FF5445" w:rsidRPr="009A2DB8" w:rsidRDefault="00FF5445">
      <w:pPr>
        <w:pStyle w:val="Header"/>
        <w:tabs>
          <w:tab w:val="clear" w:pos="4536"/>
          <w:tab w:val="clear" w:pos="9072"/>
          <w:tab w:val="left" w:pos="284"/>
        </w:tabs>
        <w:rPr>
          <w:sz w:val="22"/>
          <w:szCs w:val="22"/>
          <w:lang w:val="sr-Latn-RS"/>
        </w:rPr>
      </w:pPr>
    </w:p>
    <w:p w14:paraId="602E7CEB" w14:textId="3B553E94" w:rsidR="00DC024B" w:rsidRPr="009A2DB8" w:rsidRDefault="00DC024B">
      <w:pPr>
        <w:pStyle w:val="Header"/>
        <w:tabs>
          <w:tab w:val="clear" w:pos="4536"/>
          <w:tab w:val="clear" w:pos="9072"/>
          <w:tab w:val="left" w:pos="284"/>
        </w:tabs>
        <w:rPr>
          <w:sz w:val="22"/>
          <w:szCs w:val="22"/>
          <w:lang w:val="sr-Latn-RS"/>
        </w:rPr>
      </w:pPr>
      <w:r w:rsidRPr="009A2DB8">
        <w:rPr>
          <w:sz w:val="22"/>
          <w:szCs w:val="22"/>
          <w:lang w:val="sr-Latn-RS"/>
        </w:rPr>
        <w:t>Unutrašnje pakovanje je staklena boca (staklo hidrolitičke otpornosti III) smeđe boje sa 100 m</w:t>
      </w:r>
      <w:r w:rsidR="00AA0965">
        <w:rPr>
          <w:sz w:val="22"/>
          <w:szCs w:val="22"/>
          <w:lang w:val="sr-Latn-RS"/>
        </w:rPr>
        <w:t>l</w:t>
      </w:r>
      <w:r w:rsidRPr="009A2DB8">
        <w:rPr>
          <w:sz w:val="22"/>
          <w:szCs w:val="22"/>
          <w:lang w:val="sr-Latn-RS"/>
        </w:rPr>
        <w:t xml:space="preserve"> sirupa  zatvorena </w:t>
      </w:r>
      <w:r w:rsidR="008977A7" w:rsidRPr="009A2DB8">
        <w:rPr>
          <w:sz w:val="22"/>
          <w:szCs w:val="22"/>
          <w:lang w:val="sr-Latn-RS"/>
        </w:rPr>
        <w:t>polipro</w:t>
      </w:r>
      <w:r w:rsidR="00E56703" w:rsidRPr="009A2DB8">
        <w:rPr>
          <w:sz w:val="22"/>
          <w:szCs w:val="22"/>
          <w:lang w:val="sr-Latn-RS"/>
        </w:rPr>
        <w:t xml:space="preserve">pilenskim </w:t>
      </w:r>
      <w:r w:rsidRPr="009A2DB8">
        <w:rPr>
          <w:sz w:val="22"/>
          <w:szCs w:val="22"/>
          <w:lang w:val="sr-Latn-RS"/>
        </w:rPr>
        <w:t>zatvaračem sa sigurnosnim prstenom i transparentnim uloškom.</w:t>
      </w:r>
    </w:p>
    <w:p w14:paraId="602E7CED" w14:textId="0FA87C6B" w:rsidR="00DC024B" w:rsidRPr="009A2DB8" w:rsidRDefault="00DC024B">
      <w:pPr>
        <w:pStyle w:val="Header"/>
        <w:tabs>
          <w:tab w:val="clear" w:pos="4536"/>
          <w:tab w:val="clear" w:pos="9072"/>
          <w:tab w:val="left" w:pos="284"/>
        </w:tabs>
        <w:rPr>
          <w:sz w:val="22"/>
          <w:szCs w:val="22"/>
          <w:lang w:val="sr-Latn-RS"/>
        </w:rPr>
      </w:pPr>
      <w:r w:rsidRPr="009A2DB8">
        <w:rPr>
          <w:sz w:val="22"/>
          <w:szCs w:val="22"/>
          <w:lang w:val="sr-Latn-RS"/>
        </w:rPr>
        <w:t>Kašika je od polietilena b</w:t>
      </w:r>
      <w:r w:rsidR="00AA0965">
        <w:rPr>
          <w:sz w:val="22"/>
          <w:szCs w:val="22"/>
          <w:lang w:val="sr-Latn-RS"/>
        </w:rPr>
        <w:t>ij</w:t>
      </w:r>
      <w:r w:rsidRPr="009A2DB8">
        <w:rPr>
          <w:sz w:val="22"/>
          <w:szCs w:val="22"/>
          <w:lang w:val="sr-Latn-RS"/>
        </w:rPr>
        <w:t>ele boje, zapremine 5 m</w:t>
      </w:r>
      <w:r w:rsidR="00AA0965">
        <w:rPr>
          <w:sz w:val="22"/>
          <w:szCs w:val="22"/>
          <w:lang w:val="sr-Latn-RS"/>
        </w:rPr>
        <w:t>l</w:t>
      </w:r>
      <w:r w:rsidRPr="009A2DB8">
        <w:rPr>
          <w:sz w:val="22"/>
          <w:szCs w:val="22"/>
          <w:lang w:val="sr-Latn-RS"/>
        </w:rPr>
        <w:t xml:space="preserve"> (sa graduisanim oznakama od 1,25 m</w:t>
      </w:r>
      <w:r w:rsidR="00AA0965">
        <w:rPr>
          <w:sz w:val="22"/>
          <w:szCs w:val="22"/>
          <w:lang w:val="sr-Latn-RS"/>
        </w:rPr>
        <w:t>l</w:t>
      </w:r>
      <w:r w:rsidRPr="009A2DB8">
        <w:rPr>
          <w:sz w:val="22"/>
          <w:szCs w:val="22"/>
          <w:lang w:val="sr-Latn-RS"/>
        </w:rPr>
        <w:t xml:space="preserve"> i 2,5 m</w:t>
      </w:r>
      <w:r w:rsidR="00AA0965">
        <w:rPr>
          <w:sz w:val="22"/>
          <w:szCs w:val="22"/>
          <w:lang w:val="sr-Latn-RS"/>
        </w:rPr>
        <w:t>l</w:t>
      </w:r>
      <w:r w:rsidRPr="009A2DB8">
        <w:rPr>
          <w:sz w:val="22"/>
          <w:szCs w:val="22"/>
          <w:lang w:val="sr-Latn-RS"/>
        </w:rPr>
        <w:t>).</w:t>
      </w:r>
    </w:p>
    <w:p w14:paraId="305E1A9E" w14:textId="77777777" w:rsidR="00E4667D" w:rsidRPr="009A2DB8" w:rsidRDefault="00E4667D">
      <w:pPr>
        <w:pStyle w:val="Header"/>
        <w:tabs>
          <w:tab w:val="clear" w:pos="4536"/>
          <w:tab w:val="clear" w:pos="9072"/>
          <w:tab w:val="left" w:pos="284"/>
        </w:tabs>
        <w:rPr>
          <w:sz w:val="22"/>
          <w:szCs w:val="22"/>
          <w:lang w:val="sr-Latn-RS"/>
        </w:rPr>
      </w:pPr>
    </w:p>
    <w:p w14:paraId="602E7CEE" w14:textId="19F4F70D" w:rsidR="00DC024B" w:rsidRPr="009A2DB8" w:rsidRDefault="00DC024B">
      <w:pPr>
        <w:pStyle w:val="Header"/>
        <w:tabs>
          <w:tab w:val="clear" w:pos="4536"/>
          <w:tab w:val="clear" w:pos="9072"/>
          <w:tab w:val="left" w:pos="284"/>
        </w:tabs>
        <w:rPr>
          <w:sz w:val="22"/>
          <w:szCs w:val="22"/>
          <w:lang w:val="sr-Latn-RS"/>
        </w:rPr>
      </w:pPr>
      <w:r w:rsidRPr="009A2DB8">
        <w:rPr>
          <w:sz w:val="22"/>
          <w:szCs w:val="22"/>
          <w:lang w:val="sr-Latn-RS"/>
        </w:rPr>
        <w:t>Spolj</w:t>
      </w:r>
      <w:r w:rsidR="00E04525">
        <w:rPr>
          <w:sz w:val="22"/>
          <w:szCs w:val="22"/>
          <w:lang w:val="sr-Latn-RS"/>
        </w:rPr>
        <w:t>ašnj</w:t>
      </w:r>
      <w:r w:rsidRPr="009A2DB8">
        <w:rPr>
          <w:sz w:val="22"/>
          <w:szCs w:val="22"/>
          <w:lang w:val="sr-Latn-RS"/>
        </w:rPr>
        <w:t>e pakovanj</w:t>
      </w:r>
      <w:r w:rsidR="00754F4B" w:rsidRPr="009A2DB8">
        <w:rPr>
          <w:sz w:val="22"/>
          <w:szCs w:val="22"/>
          <w:lang w:val="sr-Latn-RS"/>
        </w:rPr>
        <w:t>e</w:t>
      </w:r>
      <w:r w:rsidRPr="009A2DB8">
        <w:rPr>
          <w:sz w:val="22"/>
          <w:szCs w:val="22"/>
          <w:lang w:val="sr-Latn-RS"/>
        </w:rPr>
        <w:t xml:space="preserve"> je složiva kartonska kutija u kojoj se nalazi 1 staklena boca smeđe boje sa 100 m</w:t>
      </w:r>
      <w:r w:rsidR="00AA0965">
        <w:rPr>
          <w:sz w:val="22"/>
          <w:szCs w:val="22"/>
          <w:lang w:val="sr-Latn-RS"/>
        </w:rPr>
        <w:t>l</w:t>
      </w:r>
      <w:r w:rsidRPr="009A2DB8">
        <w:rPr>
          <w:sz w:val="22"/>
          <w:szCs w:val="22"/>
          <w:lang w:val="sr-Latn-RS"/>
        </w:rPr>
        <w:t xml:space="preserve"> sirupa</w:t>
      </w:r>
    </w:p>
    <w:p w14:paraId="602E7CEF" w14:textId="65B6750D" w:rsidR="00DC024B" w:rsidRPr="009A2DB8" w:rsidRDefault="00DC024B">
      <w:pPr>
        <w:pStyle w:val="Header"/>
        <w:tabs>
          <w:tab w:val="clear" w:pos="4536"/>
          <w:tab w:val="clear" w:pos="9072"/>
          <w:tab w:val="left" w:pos="284"/>
        </w:tabs>
        <w:rPr>
          <w:sz w:val="22"/>
          <w:szCs w:val="22"/>
          <w:lang w:val="sr-Latn-RS"/>
        </w:rPr>
      </w:pPr>
      <w:r w:rsidRPr="009A2DB8">
        <w:rPr>
          <w:sz w:val="22"/>
          <w:szCs w:val="22"/>
          <w:lang w:val="sr-Latn-RS"/>
        </w:rPr>
        <w:t xml:space="preserve">zatvorena </w:t>
      </w:r>
      <w:r w:rsidR="00122B1B" w:rsidRPr="009A2DB8">
        <w:rPr>
          <w:sz w:val="22"/>
          <w:szCs w:val="22"/>
          <w:lang w:val="sr-Latn-RS"/>
        </w:rPr>
        <w:t xml:space="preserve">polipropilenskim </w:t>
      </w:r>
      <w:r w:rsidRPr="009A2DB8">
        <w:rPr>
          <w:sz w:val="22"/>
          <w:szCs w:val="22"/>
          <w:lang w:val="sr-Latn-RS"/>
        </w:rPr>
        <w:t>zatvaračem sa sigurnosnim prstenom, polietilenskom kašikom za doziranje i Uput</w:t>
      </w:r>
      <w:r w:rsidR="00461B10" w:rsidRPr="009A2DB8">
        <w:rPr>
          <w:sz w:val="22"/>
          <w:szCs w:val="22"/>
          <w:lang w:val="sr-Latn-RS"/>
        </w:rPr>
        <w:t>st</w:t>
      </w:r>
      <w:r w:rsidRPr="009A2DB8">
        <w:rPr>
          <w:sz w:val="22"/>
          <w:szCs w:val="22"/>
          <w:lang w:val="sr-Latn-RS"/>
        </w:rPr>
        <w:t>vo za l</w:t>
      </w:r>
      <w:r w:rsidR="00AA0965">
        <w:rPr>
          <w:sz w:val="22"/>
          <w:szCs w:val="22"/>
          <w:lang w:val="sr-Latn-RS"/>
        </w:rPr>
        <w:t>ij</w:t>
      </w:r>
      <w:r w:rsidRPr="009A2DB8">
        <w:rPr>
          <w:sz w:val="22"/>
          <w:szCs w:val="22"/>
          <w:lang w:val="sr-Latn-RS"/>
        </w:rPr>
        <w:t>ek.</w:t>
      </w:r>
    </w:p>
    <w:p w14:paraId="602E7CF0" w14:textId="77777777" w:rsidR="00DC024B" w:rsidRPr="009A2DB8" w:rsidRDefault="00DC024B">
      <w:pPr>
        <w:rPr>
          <w:szCs w:val="22"/>
          <w:lang w:val="sr-Latn-RS"/>
        </w:rPr>
      </w:pPr>
    </w:p>
    <w:p w14:paraId="602E7CF1" w14:textId="46A0FE15" w:rsidR="00DC024B" w:rsidRPr="009A2DB8" w:rsidRDefault="00DC024B">
      <w:pPr>
        <w:rPr>
          <w:b/>
          <w:bCs/>
          <w:szCs w:val="22"/>
          <w:lang w:val="sr-Latn-RS"/>
        </w:rPr>
      </w:pPr>
      <w:r w:rsidRPr="009A2DB8">
        <w:rPr>
          <w:b/>
          <w:bCs/>
          <w:szCs w:val="22"/>
          <w:lang w:val="sr-Latn-RS"/>
        </w:rPr>
        <w:t>6.6. Posebne m</w:t>
      </w:r>
      <w:r w:rsidR="00AA0965">
        <w:rPr>
          <w:b/>
          <w:bCs/>
          <w:szCs w:val="22"/>
          <w:lang w:val="sr-Latn-RS"/>
        </w:rPr>
        <w:t>j</w:t>
      </w:r>
      <w:r w:rsidRPr="009A2DB8">
        <w:rPr>
          <w:b/>
          <w:bCs/>
          <w:szCs w:val="22"/>
          <w:lang w:val="sr-Latn-RS"/>
        </w:rPr>
        <w:t>ere opreza pri odlaganju materijala koji treba odbaciti nakon prim</w:t>
      </w:r>
      <w:r w:rsidR="00AA0965">
        <w:rPr>
          <w:b/>
          <w:bCs/>
          <w:szCs w:val="22"/>
          <w:lang w:val="sr-Latn-RS"/>
        </w:rPr>
        <w:t>j</w:t>
      </w:r>
      <w:r w:rsidRPr="009A2DB8">
        <w:rPr>
          <w:b/>
          <w:bCs/>
          <w:szCs w:val="22"/>
          <w:lang w:val="sr-Latn-RS"/>
        </w:rPr>
        <w:t>ene l</w:t>
      </w:r>
      <w:r w:rsidR="00AA0965">
        <w:rPr>
          <w:b/>
          <w:bCs/>
          <w:szCs w:val="22"/>
          <w:lang w:val="sr-Latn-RS"/>
        </w:rPr>
        <w:t>ij</w:t>
      </w:r>
      <w:r w:rsidRPr="009A2DB8">
        <w:rPr>
          <w:b/>
          <w:bCs/>
          <w:szCs w:val="22"/>
          <w:lang w:val="sr-Latn-RS"/>
        </w:rPr>
        <w:t xml:space="preserve">eka </w:t>
      </w:r>
    </w:p>
    <w:p w14:paraId="42CD2EC8" w14:textId="724457E4" w:rsidR="002B4C21" w:rsidRDefault="00DC024B" w:rsidP="006E7CFE">
      <w:pPr>
        <w:pStyle w:val="NASLOV123"/>
        <w:spacing w:after="0"/>
        <w:jc w:val="both"/>
        <w:rPr>
          <w:lang w:val="sr-Latn-RS"/>
        </w:rPr>
      </w:pPr>
      <w:r w:rsidRPr="009A2DB8">
        <w:rPr>
          <w:b w:val="0"/>
          <w:lang w:val="sr-Latn-RS"/>
        </w:rPr>
        <w:t>Svu neiskorišćenu količinu l</w:t>
      </w:r>
      <w:r w:rsidR="00AA0965">
        <w:rPr>
          <w:b w:val="0"/>
          <w:lang w:val="sr-Latn-RS"/>
        </w:rPr>
        <w:t>ij</w:t>
      </w:r>
      <w:r w:rsidRPr="009A2DB8">
        <w:rPr>
          <w:b w:val="0"/>
          <w:lang w:val="sr-Latn-RS"/>
        </w:rPr>
        <w:t>eka ili otpadnog materijala nakon njegove upotrebe treba ukloniti, u skladu sa važećim propisima</w:t>
      </w:r>
      <w:r w:rsidRPr="009A2DB8">
        <w:rPr>
          <w:lang w:val="sr-Latn-RS"/>
        </w:rPr>
        <w:t>.</w:t>
      </w:r>
    </w:p>
    <w:p w14:paraId="42ECC1D6" w14:textId="12E26A25" w:rsidR="002B4C21" w:rsidRDefault="002B4C21" w:rsidP="006E7CFE">
      <w:pPr>
        <w:pStyle w:val="NASLOV123"/>
        <w:spacing w:before="0" w:after="0"/>
        <w:jc w:val="both"/>
        <w:rPr>
          <w:lang w:val="sr-Latn-RS"/>
        </w:rPr>
      </w:pPr>
    </w:p>
    <w:p w14:paraId="130ED48D" w14:textId="77777777" w:rsidR="001B3FBD" w:rsidRPr="009A2DB8" w:rsidRDefault="001B3FBD" w:rsidP="006E7CFE">
      <w:pPr>
        <w:pStyle w:val="NASLOV123"/>
        <w:spacing w:before="0" w:after="0"/>
        <w:jc w:val="both"/>
        <w:rPr>
          <w:lang w:val="sr-Latn-RS"/>
        </w:rPr>
      </w:pPr>
    </w:p>
    <w:p w14:paraId="602E7CF4" w14:textId="4B088A3F" w:rsidR="00DC024B" w:rsidRDefault="00DC024B" w:rsidP="006E7CFE">
      <w:pPr>
        <w:pStyle w:val="NASLOV123"/>
        <w:spacing w:before="0" w:after="0"/>
        <w:jc w:val="both"/>
        <w:rPr>
          <w:lang w:val="sr-Latn-RS"/>
        </w:rPr>
      </w:pPr>
      <w:r w:rsidRPr="009A2DB8">
        <w:rPr>
          <w:lang w:val="sr-Latn-RS"/>
        </w:rPr>
        <w:t xml:space="preserve">7. NOSILAC DOZVOLE </w:t>
      </w:r>
    </w:p>
    <w:p w14:paraId="21AC72A6" w14:textId="77777777" w:rsidR="002B4C21" w:rsidRPr="009A2DB8" w:rsidRDefault="002B4C21" w:rsidP="006E7CFE">
      <w:pPr>
        <w:pStyle w:val="NASLOV123"/>
        <w:spacing w:before="0" w:after="0"/>
        <w:jc w:val="both"/>
        <w:rPr>
          <w:lang w:val="sr-Latn-RS"/>
        </w:rPr>
      </w:pPr>
    </w:p>
    <w:p w14:paraId="602E7CF8" w14:textId="7C8FEFD3" w:rsidR="00DC024B" w:rsidRDefault="00DC024B">
      <w:pPr>
        <w:rPr>
          <w:szCs w:val="22"/>
          <w:lang w:val="sr-Latn-RS"/>
        </w:rPr>
      </w:pPr>
      <w:r w:rsidRPr="009A2DB8">
        <w:rPr>
          <w:szCs w:val="22"/>
          <w:lang w:val="sr-Latn-RS"/>
        </w:rPr>
        <w:t>G</w:t>
      </w:r>
      <w:r w:rsidR="00AA0965">
        <w:rPr>
          <w:szCs w:val="22"/>
          <w:lang w:val="sr-Latn-RS"/>
        </w:rPr>
        <w:t>LK pharma d.o.o. Podgorica, Svetozara Markovića, br. 46, 81000 Podgorica, Crna Gora</w:t>
      </w:r>
    </w:p>
    <w:p w14:paraId="38F05981" w14:textId="77777777" w:rsidR="002B4C21" w:rsidRDefault="002B4C21">
      <w:pPr>
        <w:rPr>
          <w:szCs w:val="22"/>
          <w:lang w:val="sr-Latn-RS"/>
        </w:rPr>
      </w:pPr>
    </w:p>
    <w:p w14:paraId="5414D231" w14:textId="77777777" w:rsidR="002B4C21" w:rsidRPr="009A2DB8" w:rsidRDefault="002B4C21">
      <w:pPr>
        <w:rPr>
          <w:szCs w:val="22"/>
          <w:lang w:val="sr-Latn-RS"/>
        </w:rPr>
      </w:pPr>
    </w:p>
    <w:p w14:paraId="602E7CF9" w14:textId="1D80E579" w:rsidR="00DC024B" w:rsidRDefault="00DC024B" w:rsidP="006E7CFE">
      <w:pPr>
        <w:pStyle w:val="NASLOV123"/>
        <w:spacing w:before="0" w:after="0"/>
        <w:jc w:val="both"/>
        <w:rPr>
          <w:lang w:val="sr-Latn-RS"/>
        </w:rPr>
      </w:pPr>
      <w:r w:rsidRPr="009A2DB8">
        <w:rPr>
          <w:lang w:val="sr-Latn-RS"/>
        </w:rPr>
        <w:t>8. BROJ  DOZVOLE  ZA STAVLJANJE L</w:t>
      </w:r>
      <w:r w:rsidR="00AA0965">
        <w:rPr>
          <w:lang w:val="sr-Latn-RS"/>
        </w:rPr>
        <w:t>IJ</w:t>
      </w:r>
      <w:r w:rsidRPr="009A2DB8">
        <w:rPr>
          <w:lang w:val="sr-Latn-RS"/>
        </w:rPr>
        <w:t>EKA U PROMET</w:t>
      </w:r>
    </w:p>
    <w:p w14:paraId="74F01C02" w14:textId="77777777" w:rsidR="002B4C21" w:rsidRPr="009A2DB8" w:rsidRDefault="002B4C21" w:rsidP="006E7CFE">
      <w:pPr>
        <w:pStyle w:val="NASLOV123"/>
        <w:spacing w:before="0" w:after="0"/>
        <w:jc w:val="both"/>
        <w:rPr>
          <w:lang w:val="sr-Latn-RS"/>
        </w:rPr>
      </w:pPr>
    </w:p>
    <w:p w14:paraId="471B8750" w14:textId="5E56185C" w:rsidR="00AA0965" w:rsidRDefault="002B4C21" w:rsidP="006E7CFE">
      <w:pPr>
        <w:pStyle w:val="NASLOV123"/>
        <w:spacing w:before="0" w:after="0"/>
        <w:jc w:val="both"/>
        <w:rPr>
          <w:rFonts w:eastAsia="TimesNewRoman,Bold"/>
          <w:b w:val="0"/>
          <w:bCs/>
          <w:lang w:val="sr-Latn-RS"/>
        </w:rPr>
      </w:pPr>
      <w:r w:rsidRPr="002B4C21">
        <w:rPr>
          <w:rFonts w:eastAsia="TimesNewRoman,Bold"/>
          <w:b w:val="0"/>
          <w:bCs/>
          <w:lang w:val="sr-Latn-RS"/>
        </w:rPr>
        <w:t>2030/17/278 - 6323</w:t>
      </w:r>
    </w:p>
    <w:p w14:paraId="27F16EE5" w14:textId="77777777" w:rsidR="002B4C21" w:rsidRDefault="002B4C21" w:rsidP="006E7CFE">
      <w:pPr>
        <w:pStyle w:val="NASLOV123"/>
        <w:spacing w:before="0" w:after="0"/>
        <w:jc w:val="both"/>
        <w:rPr>
          <w:rFonts w:eastAsia="TimesNewRoman,Bold"/>
          <w:b w:val="0"/>
          <w:bCs/>
          <w:lang w:val="sr-Latn-RS"/>
        </w:rPr>
      </w:pPr>
    </w:p>
    <w:p w14:paraId="5F594CE9" w14:textId="77777777" w:rsidR="002B4C21" w:rsidRDefault="002B4C21" w:rsidP="006E7CFE">
      <w:pPr>
        <w:pStyle w:val="NASLOV123"/>
        <w:spacing w:before="0" w:after="0"/>
        <w:jc w:val="both"/>
        <w:rPr>
          <w:rFonts w:eastAsia="TimesNewRoman,Bold"/>
          <w:b w:val="0"/>
          <w:bCs/>
          <w:lang w:val="sr-Latn-RS"/>
        </w:rPr>
      </w:pPr>
    </w:p>
    <w:p w14:paraId="602E7CFB" w14:textId="19883561" w:rsidR="00DC024B" w:rsidRPr="009A2DB8" w:rsidRDefault="00DC024B" w:rsidP="006E7CFE">
      <w:pPr>
        <w:pStyle w:val="NASLOV123"/>
        <w:spacing w:before="0" w:after="0"/>
        <w:jc w:val="both"/>
        <w:rPr>
          <w:lang w:val="sr-Latn-RS"/>
        </w:rPr>
      </w:pPr>
      <w:r w:rsidRPr="009A2DB8">
        <w:rPr>
          <w:lang w:val="sr-Latn-RS"/>
        </w:rPr>
        <w:t>9. DATUM PRVE DOZVOLE</w:t>
      </w:r>
      <w:r w:rsidR="00AA0965">
        <w:rPr>
          <w:lang w:val="sr-Latn-RS"/>
        </w:rPr>
        <w:t>/</w:t>
      </w:r>
      <w:r w:rsidRPr="009A2DB8">
        <w:rPr>
          <w:lang w:val="sr-Latn-RS"/>
        </w:rPr>
        <w:t>OBNOVE DOZVOLE</w:t>
      </w:r>
      <w:r w:rsidR="00AA0965">
        <w:rPr>
          <w:lang w:val="sr-Latn-RS"/>
        </w:rPr>
        <w:t xml:space="preserve"> </w:t>
      </w:r>
      <w:r w:rsidRPr="009A2DB8">
        <w:rPr>
          <w:lang w:val="sr-Latn-RS"/>
        </w:rPr>
        <w:t>ZA STAVLJANJE L</w:t>
      </w:r>
      <w:r w:rsidR="00AA0965">
        <w:rPr>
          <w:lang w:val="sr-Latn-RS"/>
        </w:rPr>
        <w:t>IJ</w:t>
      </w:r>
      <w:r w:rsidRPr="009A2DB8">
        <w:rPr>
          <w:lang w:val="sr-Latn-RS"/>
        </w:rPr>
        <w:t>EKA U PROMET</w:t>
      </w:r>
    </w:p>
    <w:p w14:paraId="2737F05A" w14:textId="77777777" w:rsidR="002B4C21" w:rsidRDefault="002B4C21" w:rsidP="006E7CFE">
      <w:pPr>
        <w:pStyle w:val="NASLOV123"/>
        <w:spacing w:before="0" w:after="0"/>
        <w:jc w:val="both"/>
        <w:rPr>
          <w:b w:val="0"/>
          <w:lang w:val="sr-Latn-RS"/>
        </w:rPr>
      </w:pPr>
    </w:p>
    <w:p w14:paraId="3A36D4BF" w14:textId="4B12B1B3" w:rsidR="00AA0965" w:rsidRDefault="002B4C21" w:rsidP="006E7CFE">
      <w:pPr>
        <w:pStyle w:val="NASLOV123"/>
        <w:spacing w:before="0" w:after="0"/>
        <w:jc w:val="both"/>
        <w:rPr>
          <w:b w:val="0"/>
          <w:lang w:val="sr-Latn-RS"/>
        </w:rPr>
      </w:pPr>
      <w:r w:rsidRPr="006E7CFE">
        <w:rPr>
          <w:b w:val="0"/>
          <w:lang w:val="sr-Latn-RS"/>
        </w:rPr>
        <w:t>10.07.2017. godine</w:t>
      </w:r>
    </w:p>
    <w:p w14:paraId="6F5D5B23" w14:textId="549EE4F4" w:rsidR="002B4C21" w:rsidRDefault="002B4C21" w:rsidP="006E7CFE">
      <w:pPr>
        <w:pStyle w:val="NASLOV123"/>
        <w:spacing w:before="0" w:after="0"/>
        <w:jc w:val="both"/>
        <w:rPr>
          <w:b w:val="0"/>
          <w:lang w:val="sr-Latn-RS"/>
        </w:rPr>
      </w:pPr>
    </w:p>
    <w:p w14:paraId="6EC2424C" w14:textId="77777777" w:rsidR="002B4C21" w:rsidRPr="006E7CFE" w:rsidRDefault="002B4C21" w:rsidP="006E7CFE">
      <w:pPr>
        <w:pStyle w:val="NASLOV123"/>
        <w:spacing w:before="0" w:after="0"/>
        <w:jc w:val="both"/>
        <w:rPr>
          <w:b w:val="0"/>
          <w:lang w:val="sr-Latn-RS"/>
        </w:rPr>
      </w:pPr>
    </w:p>
    <w:p w14:paraId="602E7D02" w14:textId="44D52B79" w:rsidR="00DC024B" w:rsidRDefault="00DC024B" w:rsidP="006E7CFE">
      <w:pPr>
        <w:pStyle w:val="NASLOV123"/>
        <w:spacing w:before="0" w:after="0"/>
        <w:jc w:val="both"/>
        <w:rPr>
          <w:lang w:val="sr-Latn-RS"/>
        </w:rPr>
      </w:pPr>
      <w:r w:rsidRPr="009A2DB8">
        <w:rPr>
          <w:lang w:val="sr-Latn-RS"/>
        </w:rPr>
        <w:t>10. DATUM REVIZIJE TEKSTA</w:t>
      </w:r>
    </w:p>
    <w:p w14:paraId="40F1A97B" w14:textId="77777777" w:rsidR="002B4C21" w:rsidRDefault="002B4C21" w:rsidP="006E7CFE">
      <w:pPr>
        <w:pStyle w:val="NASLOV123"/>
        <w:spacing w:before="0" w:after="0"/>
        <w:jc w:val="both"/>
        <w:rPr>
          <w:lang w:val="sr-Latn-RS"/>
        </w:rPr>
      </w:pPr>
    </w:p>
    <w:p w14:paraId="1F845656" w14:textId="1C9C8A80" w:rsidR="002B4C21" w:rsidRPr="006E7CFE" w:rsidRDefault="003D501F" w:rsidP="006E7CFE">
      <w:pPr>
        <w:pStyle w:val="NASLOV123"/>
        <w:spacing w:before="0" w:after="0"/>
        <w:jc w:val="both"/>
        <w:rPr>
          <w:b w:val="0"/>
          <w:lang w:val="sr-Latn-RS"/>
        </w:rPr>
      </w:pPr>
      <w:r>
        <w:rPr>
          <w:b w:val="0"/>
          <w:lang w:val="sr-Latn-RS"/>
        </w:rPr>
        <w:t>Ju</w:t>
      </w:r>
      <w:r w:rsidR="00C95D47">
        <w:rPr>
          <w:b w:val="0"/>
          <w:lang w:val="sr-Latn-RS"/>
        </w:rPr>
        <w:t>l</w:t>
      </w:r>
      <w:bookmarkStart w:id="2" w:name="_GoBack"/>
      <w:bookmarkEnd w:id="2"/>
      <w:r w:rsidR="002B4C21" w:rsidRPr="006E7CFE">
        <w:rPr>
          <w:b w:val="0"/>
          <w:lang w:val="sr-Latn-RS"/>
        </w:rPr>
        <w:t>, 2025. godine</w:t>
      </w:r>
    </w:p>
    <w:sectPr w:rsidR="002B4C21" w:rsidRPr="006E7CFE" w:rsidSect="00A26A5A">
      <w:headerReference w:type="even" r:id="rId16"/>
      <w:headerReference w:type="default" r:id="rId17"/>
      <w:footerReference w:type="even" r:id="rId18"/>
      <w:footerReference w:type="default" r:id="rId19"/>
      <w:headerReference w:type="first" r:id="rId20"/>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A6B20" w14:textId="77777777" w:rsidR="003616C0" w:rsidRDefault="003616C0">
      <w:r>
        <w:separator/>
      </w:r>
    </w:p>
  </w:endnote>
  <w:endnote w:type="continuationSeparator" w:id="0">
    <w:p w14:paraId="00561E6A" w14:textId="77777777" w:rsidR="003616C0" w:rsidRDefault="0036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Lucida Sans Unicode"/>
    <w:charset w:val="00"/>
    <w:family w:val="swiss"/>
    <w:pitch w:val="variable"/>
    <w:sig w:usb0="00000001" w:usb1="00000000" w:usb2="00000000" w:usb3="00000000" w:csb0="0000001B"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7D07" w14:textId="77777777" w:rsidR="00DC024B" w:rsidRDefault="00DC024B"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2E7D08" w14:textId="77777777" w:rsidR="00DC024B" w:rsidRDefault="00DC02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7D09" w14:textId="6F3C8EC6" w:rsidR="00DC024B" w:rsidRPr="00B95E37" w:rsidRDefault="00DC024B" w:rsidP="00CE09F3">
    <w:pPr>
      <w:pStyle w:val="Footer"/>
      <w:tabs>
        <w:tab w:val="left" w:pos="5448"/>
      </w:tabs>
      <w:spacing w:before="360"/>
      <w:jc w:val="center"/>
      <w:rPr>
        <w:rFonts w:ascii="Times New Roman" w:hAnsi="Times New Roman"/>
      </w:rPr>
    </w:pPr>
    <w:r w:rsidRPr="00B95E37">
      <w:rPr>
        <w:rFonts w:ascii="Times New Roman" w:hAnsi="Times New Roman"/>
        <w:sz w:val="18"/>
        <w:szCs w:val="18"/>
      </w:rPr>
      <w:fldChar w:fldCharType="begin"/>
    </w:r>
    <w:r w:rsidRPr="00B95E37">
      <w:rPr>
        <w:rFonts w:ascii="Times New Roman" w:hAnsi="Times New Roman"/>
        <w:sz w:val="18"/>
        <w:szCs w:val="18"/>
      </w:rPr>
      <w:instrText xml:space="preserve"> PAGE </w:instrText>
    </w:r>
    <w:r w:rsidRPr="00B95E37">
      <w:rPr>
        <w:rFonts w:ascii="Times New Roman" w:hAnsi="Times New Roman"/>
        <w:sz w:val="18"/>
        <w:szCs w:val="18"/>
      </w:rPr>
      <w:fldChar w:fldCharType="separate"/>
    </w:r>
    <w:r w:rsidR="00C95D47">
      <w:rPr>
        <w:rFonts w:ascii="Times New Roman" w:hAnsi="Times New Roman"/>
        <w:noProof/>
        <w:sz w:val="18"/>
        <w:szCs w:val="18"/>
      </w:rPr>
      <w:t>6</w:t>
    </w:r>
    <w:r w:rsidRPr="00B95E37">
      <w:rPr>
        <w:rFonts w:ascii="Times New Roman" w:hAnsi="Times New Roman"/>
        <w:sz w:val="18"/>
        <w:szCs w:val="18"/>
      </w:rPr>
      <w:fldChar w:fldCharType="end"/>
    </w:r>
    <w:r w:rsidRPr="00B95E37">
      <w:rPr>
        <w:rFonts w:ascii="Times New Roman" w:hAnsi="Times New Roman"/>
        <w:sz w:val="18"/>
        <w:szCs w:val="18"/>
      </w:rPr>
      <w:t xml:space="preserve"> od </w:t>
    </w:r>
    <w:r w:rsidRPr="00B95E37">
      <w:rPr>
        <w:rFonts w:ascii="Times New Roman" w:hAnsi="Times New Roman"/>
        <w:sz w:val="18"/>
        <w:szCs w:val="18"/>
      </w:rPr>
      <w:fldChar w:fldCharType="begin"/>
    </w:r>
    <w:r w:rsidRPr="00B95E37">
      <w:rPr>
        <w:rFonts w:ascii="Times New Roman" w:hAnsi="Times New Roman"/>
        <w:sz w:val="18"/>
        <w:szCs w:val="18"/>
      </w:rPr>
      <w:instrText xml:space="preserve"> NUMPAGES  </w:instrText>
    </w:r>
    <w:r w:rsidRPr="00B95E37">
      <w:rPr>
        <w:rFonts w:ascii="Times New Roman" w:hAnsi="Times New Roman"/>
        <w:sz w:val="18"/>
        <w:szCs w:val="18"/>
      </w:rPr>
      <w:fldChar w:fldCharType="separate"/>
    </w:r>
    <w:r w:rsidR="00C95D47">
      <w:rPr>
        <w:rFonts w:ascii="Times New Roman" w:hAnsi="Times New Roman"/>
        <w:noProof/>
        <w:sz w:val="18"/>
        <w:szCs w:val="18"/>
      </w:rPr>
      <w:t>7</w:t>
    </w:r>
    <w:r w:rsidRPr="00B95E37">
      <w:rPr>
        <w:rFonts w:ascii="Times New Roman" w:hAnsi="Times New Roman"/>
        <w:sz w:val="18"/>
        <w:szCs w:val="18"/>
      </w:rPr>
      <w:fldChar w:fldCharType="end"/>
    </w:r>
  </w:p>
  <w:p w14:paraId="602E7D0A" w14:textId="77777777" w:rsidR="00DC024B" w:rsidRPr="00C536C2" w:rsidRDefault="00DC024B"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95826" w14:textId="77777777" w:rsidR="003616C0" w:rsidRDefault="003616C0">
      <w:r>
        <w:separator/>
      </w:r>
    </w:p>
  </w:footnote>
  <w:footnote w:type="continuationSeparator" w:id="0">
    <w:p w14:paraId="3E50FA19" w14:textId="77777777" w:rsidR="003616C0" w:rsidRDefault="0036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4DBD2" w14:textId="608F3A3C" w:rsidR="008950BA" w:rsidRDefault="008950BA">
    <w:pPr>
      <w:pStyle w:val="Header"/>
    </w:pPr>
    <w:r>
      <w:rPr>
        <w:noProof/>
      </w:rPr>
      <mc:AlternateContent>
        <mc:Choice Requires="wps">
          <w:drawing>
            <wp:anchor distT="0" distB="0" distL="0" distR="0" simplePos="0" relativeHeight="251659264" behindDoc="0" locked="0" layoutInCell="1" allowOverlap="1" wp14:anchorId="71B9FDDD" wp14:editId="58FFFA55">
              <wp:simplePos x="635" y="635"/>
              <wp:positionH relativeFrom="page">
                <wp:align>right</wp:align>
              </wp:positionH>
              <wp:positionV relativeFrom="page">
                <wp:align>top</wp:align>
              </wp:positionV>
              <wp:extent cx="443865" cy="443865"/>
              <wp:effectExtent l="0" t="0" r="0" b="635"/>
              <wp:wrapNone/>
              <wp:docPr id="1928935753"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2BBA87" w14:textId="119FC767" w:rsidR="008950BA" w:rsidRPr="008950BA" w:rsidRDefault="008950BA" w:rsidP="008950BA">
                          <w:pPr>
                            <w:rPr>
                              <w:rFonts w:ascii="Calibri" w:eastAsia="Calibri" w:hAnsi="Calibri" w:cs="Calibri"/>
                              <w:noProof/>
                              <w:color w:val="008000"/>
                              <w:szCs w:val="22"/>
                            </w:rPr>
                          </w:pPr>
                          <w:r w:rsidRPr="008950BA">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B9FDDD"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D2BBA87" w14:textId="119FC767" w:rsidR="008950BA" w:rsidRPr="008950BA" w:rsidRDefault="008950BA" w:rsidP="008950BA">
                    <w:pPr>
                      <w:rPr>
                        <w:rFonts w:ascii="Calibri" w:eastAsia="Calibri" w:hAnsi="Calibri" w:cs="Calibri"/>
                        <w:noProof/>
                        <w:color w:val="008000"/>
                        <w:szCs w:val="22"/>
                      </w:rPr>
                    </w:pPr>
                    <w:r w:rsidRPr="008950BA">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1E970" w14:textId="21A72204" w:rsidR="008950BA" w:rsidRDefault="008950BA">
    <w:pPr>
      <w:pStyle w:val="Header"/>
    </w:pPr>
    <w:r>
      <w:rPr>
        <w:noProof/>
      </w:rPr>
      <mc:AlternateContent>
        <mc:Choice Requires="wps">
          <w:drawing>
            <wp:anchor distT="0" distB="0" distL="0" distR="0" simplePos="0" relativeHeight="251660288" behindDoc="0" locked="0" layoutInCell="1" allowOverlap="1" wp14:anchorId="23D0C49A" wp14:editId="7E695AE2">
              <wp:simplePos x="635" y="635"/>
              <wp:positionH relativeFrom="page">
                <wp:align>right</wp:align>
              </wp:positionH>
              <wp:positionV relativeFrom="page">
                <wp:align>top</wp:align>
              </wp:positionV>
              <wp:extent cx="443865" cy="443865"/>
              <wp:effectExtent l="0" t="0" r="0" b="635"/>
              <wp:wrapNone/>
              <wp:docPr id="691361199" name="Text Box 3"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E07E8B" w14:textId="35F1A07F" w:rsidR="008950BA" w:rsidRPr="008950BA" w:rsidRDefault="008950BA" w:rsidP="008950BA">
                          <w:pPr>
                            <w:rPr>
                              <w:rFonts w:ascii="Calibri" w:eastAsia="Calibri" w:hAnsi="Calibri" w:cs="Calibri"/>
                              <w:noProof/>
                              <w:color w:val="008000"/>
                              <w:szCs w:val="22"/>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D0C49A" id="_x0000_t202" coordsize="21600,21600" o:spt="202" path="m,l,21600r21600,l21600,xe">
              <v:stroke joinstyle="miter"/>
              <v:path gradientshapeok="t" o:connecttype="rect"/>
            </v:shapetype>
            <v:shape id="Text Box 3" o:spid="_x0000_s1027" type="#_x0000_t202" alt="Interno_Internal"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3E07E8B" w14:textId="35F1A07F" w:rsidR="008950BA" w:rsidRPr="008950BA" w:rsidRDefault="008950BA" w:rsidP="008950BA">
                    <w:pPr>
                      <w:rPr>
                        <w:rFonts w:ascii="Calibri" w:eastAsia="Calibri" w:hAnsi="Calibri" w:cs="Calibri"/>
                        <w:noProof/>
                        <w:color w:val="008000"/>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15E66" w14:textId="2F189C34" w:rsidR="008950BA" w:rsidRDefault="008950BA">
    <w:pPr>
      <w:pStyle w:val="Header"/>
    </w:pPr>
    <w:r>
      <w:rPr>
        <w:noProof/>
      </w:rPr>
      <mc:AlternateContent>
        <mc:Choice Requires="wps">
          <w:drawing>
            <wp:anchor distT="0" distB="0" distL="0" distR="0" simplePos="0" relativeHeight="251658240" behindDoc="0" locked="0" layoutInCell="1" allowOverlap="1" wp14:anchorId="5E2D359B" wp14:editId="2E470C50">
              <wp:simplePos x="635" y="635"/>
              <wp:positionH relativeFrom="page">
                <wp:align>right</wp:align>
              </wp:positionH>
              <wp:positionV relativeFrom="page">
                <wp:align>top</wp:align>
              </wp:positionV>
              <wp:extent cx="443865" cy="443865"/>
              <wp:effectExtent l="0" t="0" r="0" b="635"/>
              <wp:wrapNone/>
              <wp:docPr id="472979586"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597DDA" w14:textId="5C3DE8CA" w:rsidR="008950BA" w:rsidRPr="008950BA" w:rsidRDefault="008950BA" w:rsidP="008950BA">
                          <w:pPr>
                            <w:rPr>
                              <w:rFonts w:ascii="Calibri" w:eastAsia="Calibri" w:hAnsi="Calibri" w:cs="Calibri"/>
                              <w:noProof/>
                              <w:color w:val="008000"/>
                              <w:szCs w:val="22"/>
                            </w:rPr>
                          </w:pPr>
                          <w:r w:rsidRPr="008950BA">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2D359B" id="_x0000_t202" coordsize="21600,21600" o:spt="202" path="m,l,21600r21600,l21600,xe">
              <v:stroke joinstyle="miter"/>
              <v:path gradientshapeok="t" o:connecttype="rect"/>
            </v:shapetype>
            <v:shape id="Text Box 1" o:spid="_x0000_s1028"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38597DDA" w14:textId="5C3DE8CA" w:rsidR="008950BA" w:rsidRPr="008950BA" w:rsidRDefault="008950BA" w:rsidP="008950BA">
                    <w:pPr>
                      <w:rPr>
                        <w:rFonts w:ascii="Calibri" w:eastAsia="Calibri" w:hAnsi="Calibri" w:cs="Calibri"/>
                        <w:noProof/>
                        <w:color w:val="008000"/>
                        <w:szCs w:val="22"/>
                      </w:rPr>
                    </w:pPr>
                    <w:r w:rsidRPr="008950BA">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4C0"/>
    <w:multiLevelType w:val="hybridMultilevel"/>
    <w:tmpl w:val="37F64FAE"/>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58623D5"/>
    <w:multiLevelType w:val="hybridMultilevel"/>
    <w:tmpl w:val="6ADE21CE"/>
    <w:lvl w:ilvl="0" w:tplc="1F2AF7B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B562E"/>
    <w:multiLevelType w:val="hybridMultilevel"/>
    <w:tmpl w:val="69E6082C"/>
    <w:lvl w:ilvl="0" w:tplc="0409000F">
      <w:start w:val="1"/>
      <w:numFmt w:val="decimal"/>
      <w:lvlText w:val="%1."/>
      <w:lvlJc w:val="left"/>
      <w:pPr>
        <w:ind w:left="720" w:hanging="360"/>
      </w:pPr>
      <w:rPr>
        <w:rFonts w:cs="Times New Roman" w:hint="default"/>
      </w:rPr>
    </w:lvl>
    <w:lvl w:ilvl="1" w:tplc="BF00E376">
      <w:start w:val="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4" w15:restartNumberingAfterBreak="0">
    <w:nsid w:val="0CB35C6D"/>
    <w:multiLevelType w:val="hybridMultilevel"/>
    <w:tmpl w:val="0B868618"/>
    <w:lvl w:ilvl="0" w:tplc="B822745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8296DF7"/>
    <w:multiLevelType w:val="hybridMultilevel"/>
    <w:tmpl w:val="E89A2400"/>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B07788B"/>
    <w:multiLevelType w:val="hybridMultilevel"/>
    <w:tmpl w:val="65E8ED30"/>
    <w:lvl w:ilvl="0" w:tplc="405EA51A">
      <w:start w:val="1"/>
      <w:numFmt w:val="bullet"/>
      <w:lvlText w:val=""/>
      <w:lvlJc w:val="left"/>
      <w:pPr>
        <w:tabs>
          <w:tab w:val="num" w:pos="2497"/>
        </w:tabs>
        <w:ind w:left="2497" w:hanging="360"/>
      </w:pPr>
      <w:rPr>
        <w:rFonts w:ascii="Symbol" w:hAnsi="Symbol" w:hint="default"/>
        <w:sz w:val="18"/>
      </w:rPr>
    </w:lvl>
    <w:lvl w:ilvl="1" w:tplc="04090003" w:tentative="1">
      <w:start w:val="1"/>
      <w:numFmt w:val="bullet"/>
      <w:lvlText w:val="o"/>
      <w:lvlJc w:val="left"/>
      <w:pPr>
        <w:tabs>
          <w:tab w:val="num" w:pos="2137"/>
        </w:tabs>
        <w:ind w:left="2137" w:hanging="360"/>
      </w:pPr>
      <w:rPr>
        <w:rFonts w:ascii="Courier New" w:hAnsi="Courier New" w:hint="default"/>
      </w:rPr>
    </w:lvl>
    <w:lvl w:ilvl="2" w:tplc="04090005" w:tentative="1">
      <w:start w:val="1"/>
      <w:numFmt w:val="bullet"/>
      <w:lvlText w:val=""/>
      <w:lvlJc w:val="left"/>
      <w:pPr>
        <w:tabs>
          <w:tab w:val="num" w:pos="2857"/>
        </w:tabs>
        <w:ind w:left="2857" w:hanging="360"/>
      </w:pPr>
      <w:rPr>
        <w:rFonts w:ascii="Wingdings" w:hAnsi="Wingdings" w:hint="default"/>
      </w:rPr>
    </w:lvl>
    <w:lvl w:ilvl="3" w:tplc="04090001" w:tentative="1">
      <w:start w:val="1"/>
      <w:numFmt w:val="bullet"/>
      <w:lvlText w:val=""/>
      <w:lvlJc w:val="left"/>
      <w:pPr>
        <w:tabs>
          <w:tab w:val="num" w:pos="3577"/>
        </w:tabs>
        <w:ind w:left="3577" w:hanging="360"/>
      </w:pPr>
      <w:rPr>
        <w:rFonts w:ascii="Symbol" w:hAnsi="Symbol" w:hint="default"/>
      </w:rPr>
    </w:lvl>
    <w:lvl w:ilvl="4" w:tplc="04090003" w:tentative="1">
      <w:start w:val="1"/>
      <w:numFmt w:val="bullet"/>
      <w:lvlText w:val="o"/>
      <w:lvlJc w:val="left"/>
      <w:pPr>
        <w:tabs>
          <w:tab w:val="num" w:pos="4297"/>
        </w:tabs>
        <w:ind w:left="4297" w:hanging="360"/>
      </w:pPr>
      <w:rPr>
        <w:rFonts w:ascii="Courier New" w:hAnsi="Courier New" w:hint="default"/>
      </w:rPr>
    </w:lvl>
    <w:lvl w:ilvl="5" w:tplc="04090005" w:tentative="1">
      <w:start w:val="1"/>
      <w:numFmt w:val="bullet"/>
      <w:lvlText w:val=""/>
      <w:lvlJc w:val="left"/>
      <w:pPr>
        <w:tabs>
          <w:tab w:val="num" w:pos="5017"/>
        </w:tabs>
        <w:ind w:left="5017" w:hanging="360"/>
      </w:pPr>
      <w:rPr>
        <w:rFonts w:ascii="Wingdings" w:hAnsi="Wingdings" w:hint="default"/>
      </w:rPr>
    </w:lvl>
    <w:lvl w:ilvl="6" w:tplc="04090001" w:tentative="1">
      <w:start w:val="1"/>
      <w:numFmt w:val="bullet"/>
      <w:lvlText w:val=""/>
      <w:lvlJc w:val="left"/>
      <w:pPr>
        <w:tabs>
          <w:tab w:val="num" w:pos="5737"/>
        </w:tabs>
        <w:ind w:left="5737" w:hanging="360"/>
      </w:pPr>
      <w:rPr>
        <w:rFonts w:ascii="Symbol" w:hAnsi="Symbol" w:hint="default"/>
      </w:rPr>
    </w:lvl>
    <w:lvl w:ilvl="7" w:tplc="04090003" w:tentative="1">
      <w:start w:val="1"/>
      <w:numFmt w:val="bullet"/>
      <w:lvlText w:val="o"/>
      <w:lvlJc w:val="left"/>
      <w:pPr>
        <w:tabs>
          <w:tab w:val="num" w:pos="6457"/>
        </w:tabs>
        <w:ind w:left="6457" w:hanging="360"/>
      </w:pPr>
      <w:rPr>
        <w:rFonts w:ascii="Courier New" w:hAnsi="Courier New" w:hint="default"/>
      </w:rPr>
    </w:lvl>
    <w:lvl w:ilvl="8" w:tplc="04090005" w:tentative="1">
      <w:start w:val="1"/>
      <w:numFmt w:val="bullet"/>
      <w:lvlText w:val=""/>
      <w:lvlJc w:val="left"/>
      <w:pPr>
        <w:tabs>
          <w:tab w:val="num" w:pos="7177"/>
        </w:tabs>
        <w:ind w:left="7177" w:hanging="360"/>
      </w:pPr>
      <w:rPr>
        <w:rFonts w:ascii="Wingdings" w:hAnsi="Wingdings" w:hint="default"/>
      </w:rPr>
    </w:lvl>
  </w:abstractNum>
  <w:abstractNum w:abstractNumId="8" w15:restartNumberingAfterBreak="0">
    <w:nsid w:val="2E9557A0"/>
    <w:multiLevelType w:val="hybridMultilevel"/>
    <w:tmpl w:val="9F3E827E"/>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056799"/>
    <w:multiLevelType w:val="hybridMultilevel"/>
    <w:tmpl w:val="E76A4D96"/>
    <w:lvl w:ilvl="0" w:tplc="CC86E3A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7F026D"/>
    <w:multiLevelType w:val="hybridMultilevel"/>
    <w:tmpl w:val="7D56E4B6"/>
    <w:lvl w:ilvl="0" w:tplc="46140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F0FB4"/>
    <w:multiLevelType w:val="hybridMultilevel"/>
    <w:tmpl w:val="BDA4D7E8"/>
    <w:lvl w:ilvl="0" w:tplc="8B968E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3844B8"/>
    <w:multiLevelType w:val="hybridMultilevel"/>
    <w:tmpl w:val="088E8B60"/>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1A754EA"/>
    <w:multiLevelType w:val="hybridMultilevel"/>
    <w:tmpl w:val="D3B4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E90866"/>
    <w:multiLevelType w:val="hybridMultilevel"/>
    <w:tmpl w:val="D784A1A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0371F58"/>
    <w:multiLevelType w:val="hybridMultilevel"/>
    <w:tmpl w:val="4272763A"/>
    <w:lvl w:ilvl="0" w:tplc="1F2AF7B6">
      <w:start w:val="1"/>
      <w:numFmt w:val="bullet"/>
      <w:lvlText w:val=""/>
      <w:lvlJc w:val="left"/>
      <w:pPr>
        <w:tabs>
          <w:tab w:val="num" w:pos="1352"/>
        </w:tabs>
        <w:ind w:left="1352" w:hanging="360"/>
      </w:pPr>
      <w:rPr>
        <w:rFonts w:ascii="Symbol" w:hAnsi="Symbol" w:hint="default"/>
        <w:sz w:val="18"/>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6" w15:restartNumberingAfterBreak="0">
    <w:nsid w:val="561B041F"/>
    <w:multiLevelType w:val="hybridMultilevel"/>
    <w:tmpl w:val="934411F0"/>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B5290"/>
    <w:multiLevelType w:val="hybridMultilevel"/>
    <w:tmpl w:val="436864DC"/>
    <w:lvl w:ilvl="0" w:tplc="405EA51A">
      <w:start w:val="1"/>
      <w:numFmt w:val="bullet"/>
      <w:lvlText w:val=""/>
      <w:lvlJc w:val="left"/>
      <w:pPr>
        <w:tabs>
          <w:tab w:val="num" w:pos="2160"/>
        </w:tabs>
        <w:ind w:left="2160" w:hanging="360"/>
      </w:pPr>
      <w:rPr>
        <w:rFonts w:ascii="Symbol" w:hAnsi="Symbol" w:hint="default"/>
        <w:sz w:val="18"/>
      </w:rPr>
    </w:lvl>
    <w:lvl w:ilvl="1" w:tplc="424E0416">
      <w:start w:val="4"/>
      <w:numFmt w:val="bullet"/>
      <w:lvlText w:val="-"/>
      <w:lvlJc w:val="left"/>
      <w:pPr>
        <w:tabs>
          <w:tab w:val="num" w:pos="1800"/>
        </w:tabs>
        <w:ind w:left="1800" w:hanging="360"/>
      </w:pPr>
      <w:rPr>
        <w:rFonts w:ascii="Arial" w:eastAsia="Times New Roman" w:hAnsi="Arial" w:hint="default"/>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50E19C6"/>
    <w:multiLevelType w:val="hybridMultilevel"/>
    <w:tmpl w:val="DE0AA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68245A"/>
    <w:multiLevelType w:val="hybridMultilevel"/>
    <w:tmpl w:val="A032457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8E108B"/>
    <w:multiLevelType w:val="hybridMultilevel"/>
    <w:tmpl w:val="97DC390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D3D7D2E"/>
    <w:multiLevelType w:val="hybridMultilevel"/>
    <w:tmpl w:val="46A8E6E6"/>
    <w:lvl w:ilvl="0" w:tplc="B57CCA64">
      <w:numFmt w:val="bullet"/>
      <w:lvlText w:val="-"/>
      <w:lvlJc w:val="left"/>
      <w:pPr>
        <w:ind w:left="978" w:hanging="360"/>
      </w:pPr>
      <w:rPr>
        <w:rFonts w:ascii="Times New Roman" w:eastAsia="Times New Roman" w:hAnsi="Times New Roman" w:cs="Times New Roman" w:hint="default"/>
        <w:b/>
      </w:rPr>
    </w:lvl>
    <w:lvl w:ilvl="1" w:tplc="04090003">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22" w15:restartNumberingAfterBreak="0">
    <w:nsid w:val="6DB623FF"/>
    <w:multiLevelType w:val="hybridMultilevel"/>
    <w:tmpl w:val="6A3CF1DA"/>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4F0A43"/>
    <w:multiLevelType w:val="hybridMultilevel"/>
    <w:tmpl w:val="040C8628"/>
    <w:lvl w:ilvl="0" w:tplc="345C26A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5"/>
  </w:num>
  <w:num w:numId="2">
    <w:abstractNumId w:val="3"/>
    <w:lvlOverride w:ilvl="0">
      <w:startOverride w:val="7"/>
    </w:lvlOverride>
  </w:num>
  <w:num w:numId="3">
    <w:abstractNumId w:val="24"/>
  </w:num>
  <w:num w:numId="4">
    <w:abstractNumId w:val="11"/>
  </w:num>
  <w:num w:numId="5">
    <w:abstractNumId w:val="9"/>
  </w:num>
  <w:num w:numId="6">
    <w:abstractNumId w:val="1"/>
  </w:num>
  <w:num w:numId="7">
    <w:abstractNumId w:val="15"/>
  </w:num>
  <w:num w:numId="8">
    <w:abstractNumId w:val="0"/>
  </w:num>
  <w:num w:numId="9">
    <w:abstractNumId w:val="7"/>
  </w:num>
  <w:num w:numId="10">
    <w:abstractNumId w:val="20"/>
  </w:num>
  <w:num w:numId="11">
    <w:abstractNumId w:val="19"/>
  </w:num>
  <w:num w:numId="12">
    <w:abstractNumId w:val="22"/>
  </w:num>
  <w:num w:numId="13">
    <w:abstractNumId w:val="6"/>
  </w:num>
  <w:num w:numId="14">
    <w:abstractNumId w:val="12"/>
  </w:num>
  <w:num w:numId="15">
    <w:abstractNumId w:val="14"/>
  </w:num>
  <w:num w:numId="16">
    <w:abstractNumId w:val="16"/>
  </w:num>
  <w:num w:numId="17">
    <w:abstractNumId w:val="17"/>
  </w:num>
  <w:num w:numId="18">
    <w:abstractNumId w:val="23"/>
  </w:num>
  <w:num w:numId="19">
    <w:abstractNumId w:val="18"/>
  </w:num>
  <w:num w:numId="20">
    <w:abstractNumId w:val="8"/>
  </w:num>
  <w:num w:numId="21">
    <w:abstractNumId w:val="4"/>
  </w:num>
  <w:num w:numId="22">
    <w:abstractNumId w:val="2"/>
  </w:num>
  <w:num w:numId="23">
    <w:abstractNumId w:val="10"/>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387"/>
    <w:rsid w:val="00001E42"/>
    <w:rsid w:val="00007E3E"/>
    <w:rsid w:val="00007EF9"/>
    <w:rsid w:val="000118F1"/>
    <w:rsid w:val="0001323A"/>
    <w:rsid w:val="00013795"/>
    <w:rsid w:val="000137D7"/>
    <w:rsid w:val="00017801"/>
    <w:rsid w:val="00020D2F"/>
    <w:rsid w:val="0002772E"/>
    <w:rsid w:val="00033D06"/>
    <w:rsid w:val="000368D2"/>
    <w:rsid w:val="000436D9"/>
    <w:rsid w:val="00046CDE"/>
    <w:rsid w:val="00053362"/>
    <w:rsid w:val="0005798D"/>
    <w:rsid w:val="000614FE"/>
    <w:rsid w:val="00064273"/>
    <w:rsid w:val="00064ABA"/>
    <w:rsid w:val="00083BE0"/>
    <w:rsid w:val="00085E6E"/>
    <w:rsid w:val="00087561"/>
    <w:rsid w:val="00093A6D"/>
    <w:rsid w:val="00094066"/>
    <w:rsid w:val="00095FB6"/>
    <w:rsid w:val="000963D1"/>
    <w:rsid w:val="0009758B"/>
    <w:rsid w:val="000A0730"/>
    <w:rsid w:val="000A0F4A"/>
    <w:rsid w:val="000A1451"/>
    <w:rsid w:val="000A3DEB"/>
    <w:rsid w:val="000B0672"/>
    <w:rsid w:val="000B7652"/>
    <w:rsid w:val="000D0F63"/>
    <w:rsid w:val="000D5631"/>
    <w:rsid w:val="000E06BF"/>
    <w:rsid w:val="000E3917"/>
    <w:rsid w:val="000E457F"/>
    <w:rsid w:val="000E75C0"/>
    <w:rsid w:val="000F0D84"/>
    <w:rsid w:val="000F2BC4"/>
    <w:rsid w:val="000F707E"/>
    <w:rsid w:val="001069D9"/>
    <w:rsid w:val="00111186"/>
    <w:rsid w:val="00112E93"/>
    <w:rsid w:val="00113B2B"/>
    <w:rsid w:val="00115319"/>
    <w:rsid w:val="00122AD0"/>
    <w:rsid w:val="00122B1B"/>
    <w:rsid w:val="00123985"/>
    <w:rsid w:val="00130EDD"/>
    <w:rsid w:val="00134B89"/>
    <w:rsid w:val="001356EC"/>
    <w:rsid w:val="00141639"/>
    <w:rsid w:val="0014180A"/>
    <w:rsid w:val="00143B54"/>
    <w:rsid w:val="0014410A"/>
    <w:rsid w:val="0015527C"/>
    <w:rsid w:val="0015548A"/>
    <w:rsid w:val="00157089"/>
    <w:rsid w:val="00160038"/>
    <w:rsid w:val="00160E7F"/>
    <w:rsid w:val="00163649"/>
    <w:rsid w:val="00166563"/>
    <w:rsid w:val="00173D18"/>
    <w:rsid w:val="00175772"/>
    <w:rsid w:val="00175A7E"/>
    <w:rsid w:val="0018601D"/>
    <w:rsid w:val="00191EA4"/>
    <w:rsid w:val="001930ED"/>
    <w:rsid w:val="001946E5"/>
    <w:rsid w:val="001A09F2"/>
    <w:rsid w:val="001A0A18"/>
    <w:rsid w:val="001A5466"/>
    <w:rsid w:val="001B2FEB"/>
    <w:rsid w:val="001B3DF8"/>
    <w:rsid w:val="001B3FBD"/>
    <w:rsid w:val="001B706A"/>
    <w:rsid w:val="001C2B52"/>
    <w:rsid w:val="001C4D30"/>
    <w:rsid w:val="001C4FD2"/>
    <w:rsid w:val="001C5EFE"/>
    <w:rsid w:val="001C7930"/>
    <w:rsid w:val="001D10C9"/>
    <w:rsid w:val="001D4F58"/>
    <w:rsid w:val="001D7707"/>
    <w:rsid w:val="001E07DB"/>
    <w:rsid w:val="001E0A07"/>
    <w:rsid w:val="001E6145"/>
    <w:rsid w:val="001F1741"/>
    <w:rsid w:val="001F2D4E"/>
    <w:rsid w:val="001F39B6"/>
    <w:rsid w:val="00200006"/>
    <w:rsid w:val="00205937"/>
    <w:rsid w:val="00216597"/>
    <w:rsid w:val="0022218E"/>
    <w:rsid w:val="0022223A"/>
    <w:rsid w:val="00227D03"/>
    <w:rsid w:val="00231548"/>
    <w:rsid w:val="00234966"/>
    <w:rsid w:val="0024101E"/>
    <w:rsid w:val="0024132F"/>
    <w:rsid w:val="00242DCD"/>
    <w:rsid w:val="00246ECC"/>
    <w:rsid w:val="00247C5C"/>
    <w:rsid w:val="00255591"/>
    <w:rsid w:val="00257100"/>
    <w:rsid w:val="00262C5D"/>
    <w:rsid w:val="002658A1"/>
    <w:rsid w:val="00270121"/>
    <w:rsid w:val="00270C27"/>
    <w:rsid w:val="002726CF"/>
    <w:rsid w:val="00273BE0"/>
    <w:rsid w:val="00280A1D"/>
    <w:rsid w:val="00283C59"/>
    <w:rsid w:val="0028683C"/>
    <w:rsid w:val="00295CA4"/>
    <w:rsid w:val="002B2053"/>
    <w:rsid w:val="002B4C21"/>
    <w:rsid w:val="002B6F6A"/>
    <w:rsid w:val="002C0FBF"/>
    <w:rsid w:val="002C3973"/>
    <w:rsid w:val="002C5071"/>
    <w:rsid w:val="002D2AC0"/>
    <w:rsid w:val="002E4E87"/>
    <w:rsid w:val="002F5E2F"/>
    <w:rsid w:val="002F69B5"/>
    <w:rsid w:val="0030473E"/>
    <w:rsid w:val="00312377"/>
    <w:rsid w:val="003125F8"/>
    <w:rsid w:val="003130AF"/>
    <w:rsid w:val="00316FC0"/>
    <w:rsid w:val="00322CB6"/>
    <w:rsid w:val="003236EB"/>
    <w:rsid w:val="003266E4"/>
    <w:rsid w:val="0032706A"/>
    <w:rsid w:val="00336F77"/>
    <w:rsid w:val="003421B4"/>
    <w:rsid w:val="003447AE"/>
    <w:rsid w:val="003452C0"/>
    <w:rsid w:val="003473D3"/>
    <w:rsid w:val="003514B4"/>
    <w:rsid w:val="00357589"/>
    <w:rsid w:val="00357CE6"/>
    <w:rsid w:val="003616C0"/>
    <w:rsid w:val="00383195"/>
    <w:rsid w:val="003943D8"/>
    <w:rsid w:val="003A06D1"/>
    <w:rsid w:val="003A2DF8"/>
    <w:rsid w:val="003A6023"/>
    <w:rsid w:val="003A75C9"/>
    <w:rsid w:val="003B2082"/>
    <w:rsid w:val="003C18A4"/>
    <w:rsid w:val="003D109E"/>
    <w:rsid w:val="003D501F"/>
    <w:rsid w:val="003E3EC7"/>
    <w:rsid w:val="003F0774"/>
    <w:rsid w:val="003F4B4F"/>
    <w:rsid w:val="004036E4"/>
    <w:rsid w:val="00403F1F"/>
    <w:rsid w:val="0040652F"/>
    <w:rsid w:val="004123CD"/>
    <w:rsid w:val="00416597"/>
    <w:rsid w:val="00422361"/>
    <w:rsid w:val="004234ED"/>
    <w:rsid w:val="00427D41"/>
    <w:rsid w:val="00427DAE"/>
    <w:rsid w:val="00431EC1"/>
    <w:rsid w:val="004328E4"/>
    <w:rsid w:val="00434D94"/>
    <w:rsid w:val="004542CD"/>
    <w:rsid w:val="004556F1"/>
    <w:rsid w:val="00457222"/>
    <w:rsid w:val="00457504"/>
    <w:rsid w:val="00461B10"/>
    <w:rsid w:val="00462C33"/>
    <w:rsid w:val="00464A4C"/>
    <w:rsid w:val="004678D0"/>
    <w:rsid w:val="00471050"/>
    <w:rsid w:val="00473187"/>
    <w:rsid w:val="004847E4"/>
    <w:rsid w:val="00485D2E"/>
    <w:rsid w:val="0049074E"/>
    <w:rsid w:val="00491640"/>
    <w:rsid w:val="00492248"/>
    <w:rsid w:val="00496C0C"/>
    <w:rsid w:val="004970D3"/>
    <w:rsid w:val="00497648"/>
    <w:rsid w:val="00497F63"/>
    <w:rsid w:val="004B22A5"/>
    <w:rsid w:val="004B5A11"/>
    <w:rsid w:val="004B6E40"/>
    <w:rsid w:val="004B7A50"/>
    <w:rsid w:val="004C74C2"/>
    <w:rsid w:val="004D230F"/>
    <w:rsid w:val="004D4AE7"/>
    <w:rsid w:val="004D6190"/>
    <w:rsid w:val="004D68F5"/>
    <w:rsid w:val="004E7E6F"/>
    <w:rsid w:val="004F3CF2"/>
    <w:rsid w:val="004F6691"/>
    <w:rsid w:val="00501AA9"/>
    <w:rsid w:val="00503974"/>
    <w:rsid w:val="005045FB"/>
    <w:rsid w:val="00504BF1"/>
    <w:rsid w:val="00507261"/>
    <w:rsid w:val="00511600"/>
    <w:rsid w:val="0051577E"/>
    <w:rsid w:val="0052230B"/>
    <w:rsid w:val="00522B7C"/>
    <w:rsid w:val="00523B7F"/>
    <w:rsid w:val="0052518C"/>
    <w:rsid w:val="00525A8A"/>
    <w:rsid w:val="005276F0"/>
    <w:rsid w:val="00527F5D"/>
    <w:rsid w:val="00530909"/>
    <w:rsid w:val="00530983"/>
    <w:rsid w:val="0053148B"/>
    <w:rsid w:val="00533EA3"/>
    <w:rsid w:val="00535ED7"/>
    <w:rsid w:val="00541BE5"/>
    <w:rsid w:val="00546F75"/>
    <w:rsid w:val="00550F51"/>
    <w:rsid w:val="0056626C"/>
    <w:rsid w:val="00575936"/>
    <w:rsid w:val="005765AB"/>
    <w:rsid w:val="005A0945"/>
    <w:rsid w:val="005A4234"/>
    <w:rsid w:val="005B0EE7"/>
    <w:rsid w:val="005B3388"/>
    <w:rsid w:val="005B4B26"/>
    <w:rsid w:val="005C17B9"/>
    <w:rsid w:val="005C3F73"/>
    <w:rsid w:val="005C4BFE"/>
    <w:rsid w:val="005C77D5"/>
    <w:rsid w:val="005C7891"/>
    <w:rsid w:val="005D190F"/>
    <w:rsid w:val="005D257B"/>
    <w:rsid w:val="005D3DF2"/>
    <w:rsid w:val="005F071D"/>
    <w:rsid w:val="005F5DF6"/>
    <w:rsid w:val="00601BF7"/>
    <w:rsid w:val="0060250A"/>
    <w:rsid w:val="00603302"/>
    <w:rsid w:val="00604E4F"/>
    <w:rsid w:val="006054EE"/>
    <w:rsid w:val="0061113A"/>
    <w:rsid w:val="006118B6"/>
    <w:rsid w:val="00623412"/>
    <w:rsid w:val="00623AB6"/>
    <w:rsid w:val="00625C29"/>
    <w:rsid w:val="006270C0"/>
    <w:rsid w:val="00630195"/>
    <w:rsid w:val="00631980"/>
    <w:rsid w:val="006327DC"/>
    <w:rsid w:val="00632C61"/>
    <w:rsid w:val="0063557D"/>
    <w:rsid w:val="00641BB2"/>
    <w:rsid w:val="00647720"/>
    <w:rsid w:val="00651640"/>
    <w:rsid w:val="006559AF"/>
    <w:rsid w:val="00660ED5"/>
    <w:rsid w:val="0066789B"/>
    <w:rsid w:val="00670410"/>
    <w:rsid w:val="00677D14"/>
    <w:rsid w:val="006917F0"/>
    <w:rsid w:val="00693874"/>
    <w:rsid w:val="00693F46"/>
    <w:rsid w:val="006A4A04"/>
    <w:rsid w:val="006A53CD"/>
    <w:rsid w:val="006B2DC1"/>
    <w:rsid w:val="006B3F87"/>
    <w:rsid w:val="006B46EE"/>
    <w:rsid w:val="006D5736"/>
    <w:rsid w:val="006E26E1"/>
    <w:rsid w:val="006E4425"/>
    <w:rsid w:val="006E55E2"/>
    <w:rsid w:val="006E7CFE"/>
    <w:rsid w:val="006F158F"/>
    <w:rsid w:val="006F5A3E"/>
    <w:rsid w:val="006F6D56"/>
    <w:rsid w:val="006F77FB"/>
    <w:rsid w:val="00715B4C"/>
    <w:rsid w:val="00720F3D"/>
    <w:rsid w:val="00722394"/>
    <w:rsid w:val="00722442"/>
    <w:rsid w:val="00735844"/>
    <w:rsid w:val="00735BDE"/>
    <w:rsid w:val="0073776E"/>
    <w:rsid w:val="00740CEB"/>
    <w:rsid w:val="007435A3"/>
    <w:rsid w:val="00744046"/>
    <w:rsid w:val="007479EB"/>
    <w:rsid w:val="00752E4B"/>
    <w:rsid w:val="00754F4B"/>
    <w:rsid w:val="00764648"/>
    <w:rsid w:val="00766735"/>
    <w:rsid w:val="007672F3"/>
    <w:rsid w:val="007724C4"/>
    <w:rsid w:val="00776BC3"/>
    <w:rsid w:val="0079342D"/>
    <w:rsid w:val="00795014"/>
    <w:rsid w:val="007A02B5"/>
    <w:rsid w:val="007A1003"/>
    <w:rsid w:val="007A657C"/>
    <w:rsid w:val="007B16C4"/>
    <w:rsid w:val="007B1A88"/>
    <w:rsid w:val="007B4776"/>
    <w:rsid w:val="007B608C"/>
    <w:rsid w:val="007C2D7E"/>
    <w:rsid w:val="007C44FF"/>
    <w:rsid w:val="007C4722"/>
    <w:rsid w:val="007C5132"/>
    <w:rsid w:val="007D174E"/>
    <w:rsid w:val="007D17FD"/>
    <w:rsid w:val="007D353C"/>
    <w:rsid w:val="007D48C5"/>
    <w:rsid w:val="007D6A34"/>
    <w:rsid w:val="007E065B"/>
    <w:rsid w:val="007E06F0"/>
    <w:rsid w:val="007E1B4E"/>
    <w:rsid w:val="007E5D90"/>
    <w:rsid w:val="007E6D84"/>
    <w:rsid w:val="007F05C9"/>
    <w:rsid w:val="007F0758"/>
    <w:rsid w:val="007F1FB9"/>
    <w:rsid w:val="007F3946"/>
    <w:rsid w:val="00802DFC"/>
    <w:rsid w:val="008052F0"/>
    <w:rsid w:val="00807824"/>
    <w:rsid w:val="00807D73"/>
    <w:rsid w:val="00811AAE"/>
    <w:rsid w:val="00814781"/>
    <w:rsid w:val="00831A59"/>
    <w:rsid w:val="008329D5"/>
    <w:rsid w:val="00833FA1"/>
    <w:rsid w:val="00834588"/>
    <w:rsid w:val="00834DBB"/>
    <w:rsid w:val="00836B2D"/>
    <w:rsid w:val="00836E60"/>
    <w:rsid w:val="00841079"/>
    <w:rsid w:val="00842FFB"/>
    <w:rsid w:val="00843366"/>
    <w:rsid w:val="0084418B"/>
    <w:rsid w:val="00846FDC"/>
    <w:rsid w:val="008563A7"/>
    <w:rsid w:val="0086351A"/>
    <w:rsid w:val="008655B2"/>
    <w:rsid w:val="0087079A"/>
    <w:rsid w:val="00874B61"/>
    <w:rsid w:val="0087556B"/>
    <w:rsid w:val="00885A56"/>
    <w:rsid w:val="00886514"/>
    <w:rsid w:val="008950BA"/>
    <w:rsid w:val="008977A7"/>
    <w:rsid w:val="008A1C51"/>
    <w:rsid w:val="008A1E0B"/>
    <w:rsid w:val="008A48B7"/>
    <w:rsid w:val="008B3EB5"/>
    <w:rsid w:val="008B65CF"/>
    <w:rsid w:val="008C0CDF"/>
    <w:rsid w:val="008C2222"/>
    <w:rsid w:val="008C31D9"/>
    <w:rsid w:val="008C5809"/>
    <w:rsid w:val="008D061F"/>
    <w:rsid w:val="008D2E33"/>
    <w:rsid w:val="008D78C9"/>
    <w:rsid w:val="008E0FC9"/>
    <w:rsid w:val="008E579D"/>
    <w:rsid w:val="008E6559"/>
    <w:rsid w:val="008F1837"/>
    <w:rsid w:val="008F19A4"/>
    <w:rsid w:val="008F3A2B"/>
    <w:rsid w:val="008F589C"/>
    <w:rsid w:val="0090043D"/>
    <w:rsid w:val="009029F5"/>
    <w:rsid w:val="009102DB"/>
    <w:rsid w:val="00913684"/>
    <w:rsid w:val="0091772F"/>
    <w:rsid w:val="0092363B"/>
    <w:rsid w:val="00923865"/>
    <w:rsid w:val="0093016E"/>
    <w:rsid w:val="00934B4D"/>
    <w:rsid w:val="009352D9"/>
    <w:rsid w:val="00942945"/>
    <w:rsid w:val="00944FE5"/>
    <w:rsid w:val="0095393C"/>
    <w:rsid w:val="00953A54"/>
    <w:rsid w:val="00955C75"/>
    <w:rsid w:val="009604A0"/>
    <w:rsid w:val="009637E1"/>
    <w:rsid w:val="00964615"/>
    <w:rsid w:val="009649B6"/>
    <w:rsid w:val="009677DF"/>
    <w:rsid w:val="00977EAB"/>
    <w:rsid w:val="009809E3"/>
    <w:rsid w:val="00987455"/>
    <w:rsid w:val="00990B61"/>
    <w:rsid w:val="009946F8"/>
    <w:rsid w:val="00994AFF"/>
    <w:rsid w:val="00996E6B"/>
    <w:rsid w:val="009A1D64"/>
    <w:rsid w:val="009A2DB8"/>
    <w:rsid w:val="009B1292"/>
    <w:rsid w:val="009B2430"/>
    <w:rsid w:val="009B338B"/>
    <w:rsid w:val="009B58AD"/>
    <w:rsid w:val="009B7602"/>
    <w:rsid w:val="009B7935"/>
    <w:rsid w:val="009C7BA2"/>
    <w:rsid w:val="009D1161"/>
    <w:rsid w:val="009D1821"/>
    <w:rsid w:val="009D3773"/>
    <w:rsid w:val="009D47D8"/>
    <w:rsid w:val="009D5B57"/>
    <w:rsid w:val="009D667B"/>
    <w:rsid w:val="009D77A4"/>
    <w:rsid w:val="009D7F44"/>
    <w:rsid w:val="009F4449"/>
    <w:rsid w:val="009F46CD"/>
    <w:rsid w:val="009F4FE8"/>
    <w:rsid w:val="00A00548"/>
    <w:rsid w:val="00A0075C"/>
    <w:rsid w:val="00A02252"/>
    <w:rsid w:val="00A04707"/>
    <w:rsid w:val="00A10B94"/>
    <w:rsid w:val="00A127F1"/>
    <w:rsid w:val="00A17CF6"/>
    <w:rsid w:val="00A22D95"/>
    <w:rsid w:val="00A26A5A"/>
    <w:rsid w:val="00A27130"/>
    <w:rsid w:val="00A30E2C"/>
    <w:rsid w:val="00A32198"/>
    <w:rsid w:val="00A364FF"/>
    <w:rsid w:val="00A54587"/>
    <w:rsid w:val="00A548D4"/>
    <w:rsid w:val="00A558DA"/>
    <w:rsid w:val="00A60B8E"/>
    <w:rsid w:val="00A645D1"/>
    <w:rsid w:val="00A70D47"/>
    <w:rsid w:val="00A7147C"/>
    <w:rsid w:val="00A7312B"/>
    <w:rsid w:val="00A752DE"/>
    <w:rsid w:val="00A7660B"/>
    <w:rsid w:val="00A81B47"/>
    <w:rsid w:val="00A842E9"/>
    <w:rsid w:val="00A86897"/>
    <w:rsid w:val="00A86D80"/>
    <w:rsid w:val="00A95733"/>
    <w:rsid w:val="00A9639F"/>
    <w:rsid w:val="00AA0965"/>
    <w:rsid w:val="00AB045F"/>
    <w:rsid w:val="00AB1F56"/>
    <w:rsid w:val="00AB245F"/>
    <w:rsid w:val="00AB5465"/>
    <w:rsid w:val="00AB6829"/>
    <w:rsid w:val="00AB6BBD"/>
    <w:rsid w:val="00AC5267"/>
    <w:rsid w:val="00AC7DB5"/>
    <w:rsid w:val="00AD04BE"/>
    <w:rsid w:val="00AE5980"/>
    <w:rsid w:val="00AE6338"/>
    <w:rsid w:val="00AE7C20"/>
    <w:rsid w:val="00AF427A"/>
    <w:rsid w:val="00B0195A"/>
    <w:rsid w:val="00B029E9"/>
    <w:rsid w:val="00B04F5B"/>
    <w:rsid w:val="00B05AD7"/>
    <w:rsid w:val="00B10F48"/>
    <w:rsid w:val="00B14857"/>
    <w:rsid w:val="00B16CC1"/>
    <w:rsid w:val="00B23893"/>
    <w:rsid w:val="00B254B9"/>
    <w:rsid w:val="00B26FAC"/>
    <w:rsid w:val="00B3073E"/>
    <w:rsid w:val="00B317E7"/>
    <w:rsid w:val="00B31AA2"/>
    <w:rsid w:val="00B3242C"/>
    <w:rsid w:val="00B5322F"/>
    <w:rsid w:val="00B569C9"/>
    <w:rsid w:val="00B62A0C"/>
    <w:rsid w:val="00B65121"/>
    <w:rsid w:val="00B74C0B"/>
    <w:rsid w:val="00B81F47"/>
    <w:rsid w:val="00B82021"/>
    <w:rsid w:val="00B8400D"/>
    <w:rsid w:val="00B86224"/>
    <w:rsid w:val="00B9370E"/>
    <w:rsid w:val="00B93A37"/>
    <w:rsid w:val="00B94E95"/>
    <w:rsid w:val="00B95E37"/>
    <w:rsid w:val="00B95FC7"/>
    <w:rsid w:val="00B96FF9"/>
    <w:rsid w:val="00BA1819"/>
    <w:rsid w:val="00BA5777"/>
    <w:rsid w:val="00BA5A22"/>
    <w:rsid w:val="00BB2DCF"/>
    <w:rsid w:val="00BB54F0"/>
    <w:rsid w:val="00BB55E5"/>
    <w:rsid w:val="00BB64FD"/>
    <w:rsid w:val="00BC305B"/>
    <w:rsid w:val="00BD725A"/>
    <w:rsid w:val="00BF3006"/>
    <w:rsid w:val="00BF3750"/>
    <w:rsid w:val="00C06244"/>
    <w:rsid w:val="00C125EA"/>
    <w:rsid w:val="00C209B5"/>
    <w:rsid w:val="00C23988"/>
    <w:rsid w:val="00C31B1A"/>
    <w:rsid w:val="00C42109"/>
    <w:rsid w:val="00C43B60"/>
    <w:rsid w:val="00C4673A"/>
    <w:rsid w:val="00C4737C"/>
    <w:rsid w:val="00C50F15"/>
    <w:rsid w:val="00C536C2"/>
    <w:rsid w:val="00C53A56"/>
    <w:rsid w:val="00C54431"/>
    <w:rsid w:val="00C54447"/>
    <w:rsid w:val="00C55BDD"/>
    <w:rsid w:val="00C55F47"/>
    <w:rsid w:val="00C56E2E"/>
    <w:rsid w:val="00C61DD8"/>
    <w:rsid w:val="00C64450"/>
    <w:rsid w:val="00C64A31"/>
    <w:rsid w:val="00C708F1"/>
    <w:rsid w:val="00C70F14"/>
    <w:rsid w:val="00C72FEC"/>
    <w:rsid w:val="00C806C1"/>
    <w:rsid w:val="00C813FE"/>
    <w:rsid w:val="00C82E8B"/>
    <w:rsid w:val="00C91CC7"/>
    <w:rsid w:val="00C92AC4"/>
    <w:rsid w:val="00C939B5"/>
    <w:rsid w:val="00C94BB4"/>
    <w:rsid w:val="00C94DBF"/>
    <w:rsid w:val="00C95D47"/>
    <w:rsid w:val="00C95E6C"/>
    <w:rsid w:val="00CA2D73"/>
    <w:rsid w:val="00CC18DF"/>
    <w:rsid w:val="00CC4C88"/>
    <w:rsid w:val="00CD0B1F"/>
    <w:rsid w:val="00CD3F96"/>
    <w:rsid w:val="00CE09F3"/>
    <w:rsid w:val="00CE22D9"/>
    <w:rsid w:val="00CE76DA"/>
    <w:rsid w:val="00CF7395"/>
    <w:rsid w:val="00D0249A"/>
    <w:rsid w:val="00D03D9F"/>
    <w:rsid w:val="00D04DA8"/>
    <w:rsid w:val="00D11E94"/>
    <w:rsid w:val="00D12DA3"/>
    <w:rsid w:val="00D17B36"/>
    <w:rsid w:val="00D30389"/>
    <w:rsid w:val="00D321B5"/>
    <w:rsid w:val="00D337F6"/>
    <w:rsid w:val="00D40489"/>
    <w:rsid w:val="00D45644"/>
    <w:rsid w:val="00D52CDB"/>
    <w:rsid w:val="00D5489D"/>
    <w:rsid w:val="00D54F5B"/>
    <w:rsid w:val="00D55FC4"/>
    <w:rsid w:val="00D56858"/>
    <w:rsid w:val="00D57532"/>
    <w:rsid w:val="00D60CCB"/>
    <w:rsid w:val="00D61710"/>
    <w:rsid w:val="00D625B2"/>
    <w:rsid w:val="00D6611E"/>
    <w:rsid w:val="00D76276"/>
    <w:rsid w:val="00D77502"/>
    <w:rsid w:val="00D803B7"/>
    <w:rsid w:val="00D80A2D"/>
    <w:rsid w:val="00D81853"/>
    <w:rsid w:val="00D83ED4"/>
    <w:rsid w:val="00D85C74"/>
    <w:rsid w:val="00D85CC3"/>
    <w:rsid w:val="00D85F37"/>
    <w:rsid w:val="00D90DA0"/>
    <w:rsid w:val="00DA7C09"/>
    <w:rsid w:val="00DB3DD1"/>
    <w:rsid w:val="00DB4534"/>
    <w:rsid w:val="00DC024B"/>
    <w:rsid w:val="00DC2CE4"/>
    <w:rsid w:val="00DC5D45"/>
    <w:rsid w:val="00DC73B6"/>
    <w:rsid w:val="00DC7D96"/>
    <w:rsid w:val="00DD2A82"/>
    <w:rsid w:val="00DD2DFB"/>
    <w:rsid w:val="00DD7EE3"/>
    <w:rsid w:val="00DE5663"/>
    <w:rsid w:val="00DF111F"/>
    <w:rsid w:val="00DF46E4"/>
    <w:rsid w:val="00DF5124"/>
    <w:rsid w:val="00E0432A"/>
    <w:rsid w:val="00E04525"/>
    <w:rsid w:val="00E04856"/>
    <w:rsid w:val="00E05A18"/>
    <w:rsid w:val="00E13B53"/>
    <w:rsid w:val="00E14DC9"/>
    <w:rsid w:val="00E21378"/>
    <w:rsid w:val="00E3084F"/>
    <w:rsid w:val="00E36263"/>
    <w:rsid w:val="00E45485"/>
    <w:rsid w:val="00E4667D"/>
    <w:rsid w:val="00E50CD3"/>
    <w:rsid w:val="00E53845"/>
    <w:rsid w:val="00E56089"/>
    <w:rsid w:val="00E56703"/>
    <w:rsid w:val="00E674F7"/>
    <w:rsid w:val="00E72DE6"/>
    <w:rsid w:val="00E84FEA"/>
    <w:rsid w:val="00E87BE1"/>
    <w:rsid w:val="00EA020F"/>
    <w:rsid w:val="00EA1F85"/>
    <w:rsid w:val="00EA7DD6"/>
    <w:rsid w:val="00EB1D5F"/>
    <w:rsid w:val="00EB3031"/>
    <w:rsid w:val="00EB5363"/>
    <w:rsid w:val="00EB55CD"/>
    <w:rsid w:val="00EC5BEB"/>
    <w:rsid w:val="00ED0C25"/>
    <w:rsid w:val="00ED21EB"/>
    <w:rsid w:val="00ED3260"/>
    <w:rsid w:val="00ED4585"/>
    <w:rsid w:val="00ED529C"/>
    <w:rsid w:val="00ED5C53"/>
    <w:rsid w:val="00ED63BF"/>
    <w:rsid w:val="00ED735F"/>
    <w:rsid w:val="00EF023A"/>
    <w:rsid w:val="00F02336"/>
    <w:rsid w:val="00F0347F"/>
    <w:rsid w:val="00F10AF5"/>
    <w:rsid w:val="00F12770"/>
    <w:rsid w:val="00F12A5D"/>
    <w:rsid w:val="00F238BA"/>
    <w:rsid w:val="00F32A11"/>
    <w:rsid w:val="00F342FD"/>
    <w:rsid w:val="00F41647"/>
    <w:rsid w:val="00F42610"/>
    <w:rsid w:val="00F44973"/>
    <w:rsid w:val="00F503DE"/>
    <w:rsid w:val="00F51FCF"/>
    <w:rsid w:val="00F53674"/>
    <w:rsid w:val="00F56B36"/>
    <w:rsid w:val="00F5775F"/>
    <w:rsid w:val="00F62D10"/>
    <w:rsid w:val="00F63F24"/>
    <w:rsid w:val="00F71E05"/>
    <w:rsid w:val="00F7371C"/>
    <w:rsid w:val="00F73F1D"/>
    <w:rsid w:val="00F81698"/>
    <w:rsid w:val="00F86B47"/>
    <w:rsid w:val="00F9131E"/>
    <w:rsid w:val="00F919DF"/>
    <w:rsid w:val="00F9614F"/>
    <w:rsid w:val="00FA3DCD"/>
    <w:rsid w:val="00FA6AD6"/>
    <w:rsid w:val="00FB0A5E"/>
    <w:rsid w:val="00FC3B36"/>
    <w:rsid w:val="00FC3EEC"/>
    <w:rsid w:val="00FC7BA3"/>
    <w:rsid w:val="00FD0DA4"/>
    <w:rsid w:val="00FD21F5"/>
    <w:rsid w:val="00FE1E12"/>
    <w:rsid w:val="00FE234F"/>
    <w:rsid w:val="00FE73CF"/>
    <w:rsid w:val="00FF0D13"/>
    <w:rsid w:val="00FF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2E7BE7"/>
  <w15:docId w15:val="{4DAF538D-ABE7-4CF2-8247-1DE5699C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6E4"/>
    <w:pPr>
      <w:tabs>
        <w:tab w:val="left" w:pos="284"/>
      </w:tabs>
      <w:jc w:val="both"/>
    </w:pPr>
    <w:rPr>
      <w:szCs w:val="24"/>
    </w:rPr>
  </w:style>
  <w:style w:type="paragraph" w:styleId="Heading1">
    <w:name w:val="heading 1"/>
    <w:basedOn w:val="Normal"/>
    <w:next w:val="Normal"/>
    <w:link w:val="Heading1Char"/>
    <w:uiPriority w:val="99"/>
    <w:qFormat/>
    <w:rsid w:val="00175A7E"/>
    <w:pPr>
      <w:keepNext/>
      <w:jc w:val="center"/>
      <w:outlineLvl w:val="0"/>
    </w:pPr>
    <w:rPr>
      <w:rFonts w:ascii="Cambria" w:hAnsi="Cambria"/>
      <w:b/>
      <w:kern w:val="32"/>
      <w:sz w:val="32"/>
      <w:szCs w:val="20"/>
    </w:rPr>
  </w:style>
  <w:style w:type="paragraph" w:styleId="Heading2">
    <w:name w:val="heading 2"/>
    <w:basedOn w:val="Normal"/>
    <w:next w:val="Normal"/>
    <w:link w:val="Heading2Char"/>
    <w:uiPriority w:val="99"/>
    <w:qFormat/>
    <w:rsid w:val="00175A7E"/>
    <w:pPr>
      <w:keepNext/>
      <w:jc w:val="center"/>
      <w:outlineLvl w:val="1"/>
    </w:pPr>
    <w:rPr>
      <w:rFonts w:ascii="Cambria" w:hAnsi="Cambria"/>
      <w:b/>
      <w:i/>
      <w:sz w:val="28"/>
      <w:szCs w:val="20"/>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Cambria" w:hAnsi="Cambria"/>
      <w:b/>
      <w:sz w:val="26"/>
      <w:szCs w:val="20"/>
    </w:rPr>
  </w:style>
  <w:style w:type="paragraph" w:styleId="Heading4">
    <w:name w:val="heading 4"/>
    <w:basedOn w:val="Normal"/>
    <w:next w:val="Normal"/>
    <w:link w:val="Heading4Char"/>
    <w:uiPriority w:val="99"/>
    <w:qFormat/>
    <w:rsid w:val="00175A7E"/>
    <w:pPr>
      <w:keepNext/>
      <w:ind w:right="265"/>
      <w:jc w:val="right"/>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47AE"/>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447AE"/>
    <w:rPr>
      <w:rFonts w:ascii="Cambria" w:hAnsi="Cambria" w:cs="Times New Roman"/>
      <w:b/>
      <w:i/>
      <w:sz w:val="28"/>
    </w:rPr>
  </w:style>
  <w:style w:type="character" w:customStyle="1" w:styleId="Heading3Char">
    <w:name w:val="Heading 3 Char"/>
    <w:basedOn w:val="DefaultParagraphFont"/>
    <w:link w:val="Heading3"/>
    <w:uiPriority w:val="99"/>
    <w:semiHidden/>
    <w:locked/>
    <w:rsid w:val="003447AE"/>
    <w:rPr>
      <w:rFonts w:ascii="Cambria" w:hAnsi="Cambria" w:cs="Times New Roman"/>
      <w:b/>
      <w:sz w:val="26"/>
    </w:rPr>
  </w:style>
  <w:style w:type="character" w:customStyle="1" w:styleId="Heading4Char">
    <w:name w:val="Heading 4 Char"/>
    <w:basedOn w:val="DefaultParagraphFont"/>
    <w:link w:val="Heading4"/>
    <w:uiPriority w:val="99"/>
    <w:semiHidden/>
    <w:locked/>
    <w:rsid w:val="003447AE"/>
    <w:rPr>
      <w:rFonts w:ascii="Calibri" w:hAnsi="Calibri" w:cs="Times New Roman"/>
      <w:b/>
      <w:sz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284"/>
        <w:tab w:val="center" w:pos="4536"/>
        <w:tab w:val="right" w:pos="9072"/>
      </w:tabs>
    </w:pPr>
    <w:rPr>
      <w:sz w:val="24"/>
      <w:szCs w:val="20"/>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uiPriority w:val="99"/>
    <w:locked/>
    <w:rsid w:val="003447AE"/>
    <w:rPr>
      <w:rFonts w:cs="Times New Roman"/>
      <w:sz w:val="24"/>
    </w:rPr>
  </w:style>
  <w:style w:type="paragraph" w:styleId="Footer">
    <w:name w:val="footer"/>
    <w:basedOn w:val="Normal"/>
    <w:link w:val="FooterChar"/>
    <w:uiPriority w:val="99"/>
    <w:rsid w:val="00175A7E"/>
    <w:pPr>
      <w:tabs>
        <w:tab w:val="clear" w:pos="284"/>
        <w:tab w:val="center" w:pos="4536"/>
        <w:tab w:val="right" w:pos="9072"/>
      </w:tabs>
    </w:pPr>
    <w:rPr>
      <w:rFonts w:ascii="Humanist777" w:hAnsi="Humanist777"/>
      <w:sz w:val="24"/>
      <w:szCs w:val="20"/>
    </w:rPr>
  </w:style>
  <w:style w:type="character" w:customStyle="1" w:styleId="FooterChar">
    <w:name w:val="Footer Char"/>
    <w:basedOn w:val="DefaultParagraphFont"/>
    <w:link w:val="Footer"/>
    <w:uiPriority w:val="99"/>
    <w:locked/>
    <w:rsid w:val="00C536C2"/>
    <w:rPr>
      <w:rFonts w:ascii="Humanist777" w:hAnsi="Humanist777" w:cs="Times New Roman"/>
      <w:sz w:val="24"/>
    </w:rPr>
  </w:style>
  <w:style w:type="character" w:styleId="PageNumber">
    <w:name w:val="page number"/>
    <w:basedOn w:val="DefaultParagraphFont"/>
    <w:uiPriority w:val="99"/>
    <w:rsid w:val="00175A7E"/>
    <w:rPr>
      <w:rFonts w:cs="Times New Roman"/>
    </w:rPr>
  </w:style>
  <w:style w:type="character" w:styleId="CommentReference">
    <w:name w:val="annotation reference"/>
    <w:basedOn w:val="DefaultParagraphFont"/>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basedOn w:val="DefaultParagraphFont"/>
    <w:link w:val="CommentText"/>
    <w:uiPriority w:val="99"/>
    <w:semiHidden/>
    <w:locked/>
    <w:rsid w:val="003447AE"/>
    <w:rPr>
      <w:rFonts w:cs="Times New Roman"/>
      <w:sz w:val="20"/>
    </w:rPr>
  </w:style>
  <w:style w:type="paragraph" w:styleId="CommentSubject">
    <w:name w:val="annotation subject"/>
    <w:basedOn w:val="CommentText"/>
    <w:next w:val="CommentText"/>
    <w:link w:val="CommentSubjectChar"/>
    <w:uiPriority w:val="99"/>
    <w:semiHidden/>
    <w:rsid w:val="003B2082"/>
    <w:rPr>
      <w:b/>
    </w:rPr>
  </w:style>
  <w:style w:type="character" w:customStyle="1" w:styleId="CommentSubjectChar">
    <w:name w:val="Comment Subject Char"/>
    <w:basedOn w:val="CommentTextChar"/>
    <w:link w:val="CommentSubject"/>
    <w:uiPriority w:val="99"/>
    <w:semiHidden/>
    <w:locked/>
    <w:rsid w:val="003447AE"/>
    <w:rPr>
      <w:rFonts w:cs="Times New Roman"/>
      <w:b/>
      <w:sz w:val="20"/>
    </w:rPr>
  </w:style>
  <w:style w:type="paragraph" w:styleId="BalloonText">
    <w:name w:val="Balloon Text"/>
    <w:basedOn w:val="Normal"/>
    <w:link w:val="BalloonTextChar"/>
    <w:uiPriority w:val="99"/>
    <w:semiHidden/>
    <w:rsid w:val="003266E4"/>
    <w:rPr>
      <w:szCs w:val="20"/>
    </w:rPr>
  </w:style>
  <w:style w:type="character" w:customStyle="1" w:styleId="BalloonTextChar">
    <w:name w:val="Balloon Text Char"/>
    <w:basedOn w:val="DefaultParagraphFont"/>
    <w:link w:val="BalloonText"/>
    <w:uiPriority w:val="99"/>
    <w:semiHidden/>
    <w:locked/>
    <w:rsid w:val="003266E4"/>
    <w:rPr>
      <w:szCs w:val="20"/>
    </w:rPr>
  </w:style>
  <w:style w:type="paragraph" w:customStyle="1" w:styleId="NASLOV123">
    <w:name w:val="NASLOV 123"/>
    <w:basedOn w:val="Normal"/>
    <w:uiPriority w:val="99"/>
    <w:rsid w:val="00923865"/>
    <w:pPr>
      <w:spacing w:before="200" w:after="200"/>
      <w:jc w:val="left"/>
    </w:pPr>
    <w:rPr>
      <w:b/>
      <w:szCs w:val="22"/>
    </w:rPr>
  </w:style>
  <w:style w:type="paragraph" w:styleId="NormalWeb">
    <w:name w:val="Normal (Web)"/>
    <w:basedOn w:val="Normal"/>
    <w:uiPriority w:val="99"/>
    <w:rsid w:val="00F53674"/>
    <w:pPr>
      <w:tabs>
        <w:tab w:val="clear" w:pos="284"/>
      </w:tabs>
      <w:spacing w:before="100" w:beforeAutospacing="1" w:after="75"/>
      <w:jc w:val="left"/>
    </w:pPr>
    <w:rPr>
      <w:color w:val="000000"/>
      <w:sz w:val="24"/>
    </w:rPr>
  </w:style>
  <w:style w:type="paragraph" w:customStyle="1" w:styleId="paragraph1">
    <w:name w:val="paragraph1"/>
    <w:basedOn w:val="Normal"/>
    <w:uiPriority w:val="99"/>
    <w:rsid w:val="00416597"/>
    <w:pPr>
      <w:tabs>
        <w:tab w:val="clear" w:pos="284"/>
      </w:tabs>
      <w:jc w:val="left"/>
    </w:pPr>
    <w:rPr>
      <w:color w:val="000000"/>
      <w:sz w:val="24"/>
    </w:rPr>
  </w:style>
  <w:style w:type="table" w:styleId="TableGrid">
    <w:name w:val="Table Grid"/>
    <w:basedOn w:val="TableNormal"/>
    <w:uiPriority w:val="99"/>
    <w:locked/>
    <w:rsid w:val="001C4FD2"/>
    <w:pPr>
      <w:tabs>
        <w:tab w:val="left" w:pos="284"/>
      </w:tabs>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locked/>
    <w:rsid w:val="001C4FD2"/>
    <w:rPr>
      <w:rFonts w:ascii="Humanist777" w:hAnsi="Humanist777"/>
      <w:sz w:val="24"/>
      <w:lang w:val="en-US" w:eastAsia="en-US"/>
    </w:rPr>
  </w:style>
  <w:style w:type="paragraph" w:styleId="NoSpacing">
    <w:name w:val="No Spacing"/>
    <w:uiPriority w:val="99"/>
    <w:qFormat/>
    <w:rsid w:val="00A645D1"/>
    <w:rPr>
      <w:rFonts w:ascii="Calibri" w:hAnsi="Calibri"/>
    </w:rPr>
  </w:style>
  <w:style w:type="paragraph" w:customStyle="1" w:styleId="Default">
    <w:name w:val="Default"/>
    <w:uiPriority w:val="99"/>
    <w:rsid w:val="0092363B"/>
    <w:pPr>
      <w:autoSpaceDE w:val="0"/>
      <w:autoSpaceDN w:val="0"/>
      <w:adjustRightInd w:val="0"/>
    </w:pPr>
    <w:rPr>
      <w:color w:val="000000"/>
      <w:sz w:val="24"/>
      <w:szCs w:val="24"/>
    </w:rPr>
  </w:style>
  <w:style w:type="character" w:customStyle="1" w:styleId="CharChar3">
    <w:name w:val="Char Char3"/>
    <w:uiPriority w:val="99"/>
    <w:rsid w:val="001A09F2"/>
    <w:rPr>
      <w:rFonts w:ascii="Humanist777" w:hAnsi="Humanist777"/>
      <w:sz w:val="24"/>
    </w:rPr>
  </w:style>
  <w:style w:type="character" w:customStyle="1" w:styleId="CharChar2">
    <w:name w:val="Char Char2"/>
    <w:uiPriority w:val="99"/>
    <w:rsid w:val="00163649"/>
    <w:rPr>
      <w:rFonts w:ascii="Humanist777" w:hAnsi="Humanist777"/>
      <w:sz w:val="24"/>
      <w:lang w:val="en-US" w:eastAsia="en-US"/>
    </w:rPr>
  </w:style>
  <w:style w:type="paragraph" w:styleId="Revision">
    <w:name w:val="Revision"/>
    <w:hidden/>
    <w:uiPriority w:val="99"/>
    <w:semiHidden/>
    <w:rsid w:val="00D17B3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832413">
      <w:marLeft w:val="0"/>
      <w:marRight w:val="0"/>
      <w:marTop w:val="0"/>
      <w:marBottom w:val="0"/>
      <w:divBdr>
        <w:top w:val="none" w:sz="0" w:space="0" w:color="auto"/>
        <w:left w:val="none" w:sz="0" w:space="0" w:color="auto"/>
        <w:bottom w:val="none" w:sz="0" w:space="0" w:color="auto"/>
        <w:right w:val="none" w:sz="0" w:space="0" w:color="auto"/>
      </w:divBdr>
    </w:div>
    <w:div w:id="1026832414">
      <w:marLeft w:val="0"/>
      <w:marRight w:val="0"/>
      <w:marTop w:val="0"/>
      <w:marBottom w:val="0"/>
      <w:divBdr>
        <w:top w:val="none" w:sz="0" w:space="0" w:color="auto"/>
        <w:left w:val="none" w:sz="0" w:space="0" w:color="auto"/>
        <w:bottom w:val="none" w:sz="0" w:space="0" w:color="auto"/>
        <w:right w:val="none" w:sz="0" w:space="0" w:color="auto"/>
      </w:divBdr>
    </w:div>
    <w:div w:id="1026832415">
      <w:marLeft w:val="0"/>
      <w:marRight w:val="0"/>
      <w:marTop w:val="0"/>
      <w:marBottom w:val="0"/>
      <w:divBdr>
        <w:top w:val="none" w:sz="0" w:space="0" w:color="auto"/>
        <w:left w:val="none" w:sz="0" w:space="0" w:color="auto"/>
        <w:bottom w:val="none" w:sz="0" w:space="0" w:color="auto"/>
        <w:right w:val="none" w:sz="0" w:space="0" w:color="auto"/>
      </w:divBdr>
      <w:divsChild>
        <w:div w:id="1026832417">
          <w:marLeft w:val="0"/>
          <w:marRight w:val="0"/>
          <w:marTop w:val="0"/>
          <w:marBottom w:val="0"/>
          <w:divBdr>
            <w:top w:val="none" w:sz="0" w:space="0" w:color="auto"/>
            <w:left w:val="none" w:sz="0" w:space="0" w:color="auto"/>
            <w:bottom w:val="none" w:sz="0" w:space="0" w:color="auto"/>
            <w:right w:val="none" w:sz="0" w:space="0" w:color="auto"/>
          </w:divBdr>
          <w:divsChild>
            <w:div w:id="1026832411">
              <w:marLeft w:val="0"/>
              <w:marRight w:val="0"/>
              <w:marTop w:val="0"/>
              <w:marBottom w:val="0"/>
              <w:divBdr>
                <w:top w:val="none" w:sz="0" w:space="0" w:color="auto"/>
                <w:left w:val="none" w:sz="0" w:space="0" w:color="auto"/>
                <w:bottom w:val="none" w:sz="0" w:space="0" w:color="auto"/>
                <w:right w:val="none" w:sz="0" w:space="0" w:color="auto"/>
              </w:divBdr>
              <w:divsChild>
                <w:div w:id="1026832408">
                  <w:marLeft w:val="0"/>
                  <w:marRight w:val="0"/>
                  <w:marTop w:val="0"/>
                  <w:marBottom w:val="0"/>
                  <w:divBdr>
                    <w:top w:val="none" w:sz="0" w:space="0" w:color="auto"/>
                    <w:left w:val="none" w:sz="0" w:space="0" w:color="auto"/>
                    <w:bottom w:val="none" w:sz="0" w:space="0" w:color="auto"/>
                    <w:right w:val="none" w:sz="0" w:space="0" w:color="auto"/>
                  </w:divBdr>
                  <w:divsChild>
                    <w:div w:id="1026832410">
                      <w:marLeft w:val="0"/>
                      <w:marRight w:val="0"/>
                      <w:marTop w:val="0"/>
                      <w:marBottom w:val="0"/>
                      <w:divBdr>
                        <w:top w:val="none" w:sz="0" w:space="0" w:color="auto"/>
                        <w:left w:val="none" w:sz="0" w:space="0" w:color="auto"/>
                        <w:bottom w:val="none" w:sz="0" w:space="0" w:color="auto"/>
                        <w:right w:val="none" w:sz="0" w:space="0" w:color="auto"/>
                      </w:divBdr>
                      <w:divsChild>
                        <w:div w:id="1026832416">
                          <w:marLeft w:val="0"/>
                          <w:marRight w:val="0"/>
                          <w:marTop w:val="0"/>
                          <w:marBottom w:val="0"/>
                          <w:divBdr>
                            <w:top w:val="none" w:sz="0" w:space="0" w:color="auto"/>
                            <w:left w:val="none" w:sz="0" w:space="0" w:color="auto"/>
                            <w:bottom w:val="none" w:sz="0" w:space="0" w:color="auto"/>
                            <w:right w:val="none" w:sz="0" w:space="0" w:color="auto"/>
                          </w:divBdr>
                          <w:divsChild>
                            <w:div w:id="1026832412">
                              <w:marLeft w:val="0"/>
                              <w:marRight w:val="0"/>
                              <w:marTop w:val="0"/>
                              <w:marBottom w:val="0"/>
                              <w:divBdr>
                                <w:top w:val="none" w:sz="0" w:space="0" w:color="auto"/>
                                <w:left w:val="none" w:sz="0" w:space="0" w:color="auto"/>
                                <w:bottom w:val="none" w:sz="0" w:space="0" w:color="auto"/>
                                <w:right w:val="none" w:sz="0" w:space="0" w:color="auto"/>
                              </w:divBdr>
                              <w:divsChild>
                                <w:div w:id="10268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7" ma:contentTypeDescription="Create a new document." ma:contentTypeScope="" ma:versionID="7ec6d1dcfd78af7c5867f973431a93f8">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9499d3803f79a4177162cca7092b1611"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Size"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format="Dropdown" ma:internalName="Size" ma:percentage="FALSE">
      <xsd:simpleType>
        <xsd:restriction base="dms:Number"/>
      </xsd:simpleType>
    </xsd:element>
    <xsd:element name="MediaServiceLocation" ma:index="26" nillable="true" ma:displayName="Location" ma:description="" ma:indexed="true" ma:internalName="MediaServiceLocation" ma:readOnly="true">
      <xsd:simpleType>
        <xsd:restriction base="dms:Text"/>
      </xsd:simple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ze xmlns="16b5af92-3337-4aab-aaa2-18764cb258e9" xsi:nil="true"/>
    <_Flow_SignoffStatus xmlns="16b5af92-3337-4aab-aaa2-18764cb258e9" xsi:nil="true"/>
    <lcf76f155ced4ddcb4097134ff3c332f xmlns="16b5af92-3337-4aab-aaa2-18764cb258e9">
      <Terms xmlns="http://schemas.microsoft.com/office/infopath/2007/PartnerControls"/>
    </lcf76f155ced4ddcb4097134ff3c332f>
    <TaxCatchAll xmlns="12a5d3b2-884a-452c-a3ce-6c7caf240f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4935-D992-4D32-93D4-62030EB6B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B55AD-6977-49D2-BBE0-8FDDD5186886}">
  <ds:schemaRefs>
    <ds:schemaRef ds:uri="http://schemas.microsoft.com/office/2006/metadata/properties"/>
    <ds:schemaRef ds:uri="http://schemas.microsoft.com/office/infopath/2007/PartnerControls"/>
    <ds:schemaRef ds:uri="16b5af92-3337-4aab-aaa2-18764cb258e9"/>
    <ds:schemaRef ds:uri="12a5d3b2-884a-452c-a3ce-6c7caf240f58"/>
  </ds:schemaRefs>
</ds:datastoreItem>
</file>

<file path=customXml/itemProps3.xml><?xml version="1.0" encoding="utf-8"?>
<ds:datastoreItem xmlns:ds="http://schemas.openxmlformats.org/officeDocument/2006/customXml" ds:itemID="{316C86D9-ECAA-4B7A-A19E-7CE3C01B339E}">
  <ds:schemaRefs>
    <ds:schemaRef ds:uri="http://schemas.microsoft.com/sharepoint/v3/contenttype/forms"/>
  </ds:schemaRefs>
</ds:datastoreItem>
</file>

<file path=customXml/itemProps4.xml><?xml version="1.0" encoding="utf-8"?>
<ds:datastoreItem xmlns:ds="http://schemas.openxmlformats.org/officeDocument/2006/customXml" ds:itemID="{AC3F55A1-056E-428F-9233-D1778BB6F645}">
  <ds:schemaRefs>
    <ds:schemaRef ds:uri="http://schemas.microsoft.com/sharepoint/events"/>
  </ds:schemaRefs>
</ds:datastoreItem>
</file>

<file path=customXml/itemProps5.xml><?xml version="1.0" encoding="utf-8"?>
<ds:datastoreItem xmlns:ds="http://schemas.openxmlformats.org/officeDocument/2006/customXml" ds:itemID="{AD621090-3BE5-4222-99E3-A8124A75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7</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Minić</cp:lastModifiedBy>
  <cp:revision>37</cp:revision>
  <cp:lastPrinted>2023-05-09T09:10:00Z</cp:lastPrinted>
  <dcterms:created xsi:type="dcterms:W3CDTF">2024-03-27T09:14:00Z</dcterms:created>
  <dcterms:modified xsi:type="dcterms:W3CDTF">2025-07-01T11:35:00Z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1c311882,72f93949,293555af</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2024-03-05T09:13:08Z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e86c82ce-2b31-4981-b720-cd3e9e0cc952</vt:lpwstr>
  </property>
  <property fmtid="{D5CDD505-2E9C-101B-9397-08002B2CF9AE}" pid="11" name="MSIP_Label_80e91ba7-203e-4ac0-a045-4c37ad0b383b_ContentBits">
    <vt:lpwstr>1</vt:lpwstr>
  </property>
  <property fmtid="{D5CDD505-2E9C-101B-9397-08002B2CF9AE}" pid="12" name="ContentTypeId">
    <vt:lpwstr>0x010100CCBE9FD1C53E35438C7A9669A8044429</vt:lpwstr>
  </property>
</Properties>
</file>