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F5DED" w14:textId="77777777" w:rsidR="00057794" w:rsidRPr="008B3B89" w:rsidRDefault="00057794" w:rsidP="00107322">
      <w:pPr>
        <w:rPr>
          <w:lang w:val="sr-Latn-ME"/>
        </w:rPr>
      </w:pPr>
    </w:p>
    <w:p w14:paraId="74AF5DEE" w14:textId="1C2626DC" w:rsidR="00057794" w:rsidRPr="008B3B89" w:rsidRDefault="00057794" w:rsidP="00107322">
      <w:pPr>
        <w:jc w:val="center"/>
        <w:rPr>
          <w:b/>
          <w:bCs/>
          <w:iCs/>
          <w:szCs w:val="22"/>
          <w:u w:val="single"/>
          <w:lang w:val="sr-Latn-ME"/>
        </w:rPr>
      </w:pPr>
      <w:r w:rsidRPr="008B3B89">
        <w:rPr>
          <w:b/>
          <w:bCs/>
          <w:iCs/>
          <w:szCs w:val="22"/>
          <w:u w:val="single"/>
          <w:lang w:val="sr-Latn-ME"/>
        </w:rPr>
        <w:t>SAŽETAK KARAKTERISTIKA L</w:t>
      </w:r>
      <w:r w:rsidR="00452A15" w:rsidRPr="008B3B89">
        <w:rPr>
          <w:b/>
          <w:bCs/>
          <w:iCs/>
          <w:szCs w:val="22"/>
          <w:u w:val="single"/>
          <w:lang w:val="sr-Latn-ME"/>
        </w:rPr>
        <w:t>IJ</w:t>
      </w:r>
      <w:r w:rsidRPr="008B3B89">
        <w:rPr>
          <w:b/>
          <w:bCs/>
          <w:iCs/>
          <w:szCs w:val="22"/>
          <w:u w:val="single"/>
          <w:lang w:val="sr-Latn-ME"/>
        </w:rPr>
        <w:t>EKA</w:t>
      </w:r>
    </w:p>
    <w:p w14:paraId="74AF5DEF" w14:textId="392D289A" w:rsidR="00057794" w:rsidRPr="008B3B89" w:rsidRDefault="00057794" w:rsidP="00107322">
      <w:pPr>
        <w:rPr>
          <w:szCs w:val="22"/>
          <w:lang w:val="sr-Latn-ME"/>
        </w:rPr>
      </w:pPr>
      <w:r w:rsidRPr="008B3B89">
        <w:rPr>
          <w:szCs w:val="22"/>
          <w:lang w:val="sr-Latn-ME"/>
        </w:rPr>
        <w:t xml:space="preserve"> </w:t>
      </w:r>
    </w:p>
    <w:p w14:paraId="147B71D1" w14:textId="77777777" w:rsidR="00AA5C78" w:rsidRPr="008B3B89" w:rsidRDefault="00AA5C78" w:rsidP="00107322">
      <w:pPr>
        <w:rPr>
          <w:szCs w:val="22"/>
          <w:lang w:val="sr-Latn-ME"/>
        </w:rPr>
      </w:pPr>
    </w:p>
    <w:p w14:paraId="74AF5DF3" w14:textId="7F4E8583" w:rsidR="00057794" w:rsidRPr="008B3B89" w:rsidRDefault="00057794" w:rsidP="00107322">
      <w:pPr>
        <w:pStyle w:val="NASLOV123"/>
        <w:spacing w:before="0" w:after="0"/>
        <w:jc w:val="both"/>
        <w:rPr>
          <w:lang w:val="sr-Latn-ME"/>
        </w:rPr>
      </w:pPr>
      <w:r w:rsidRPr="008B3B89">
        <w:rPr>
          <w:lang w:val="sr-Latn-ME"/>
        </w:rPr>
        <w:t>1.</w:t>
      </w:r>
      <w:r w:rsidR="008A2ADA" w:rsidRPr="008B3B89">
        <w:rPr>
          <w:lang w:val="sr-Latn-ME"/>
        </w:rPr>
        <w:tab/>
      </w:r>
      <w:r w:rsidR="00452A15" w:rsidRPr="008B3B89">
        <w:rPr>
          <w:lang w:val="sr-Latn-ME"/>
        </w:rPr>
        <w:t>NAZIV</w:t>
      </w:r>
      <w:r w:rsidRPr="008B3B89">
        <w:rPr>
          <w:lang w:val="sr-Latn-ME"/>
        </w:rPr>
        <w:t xml:space="preserve"> L</w:t>
      </w:r>
      <w:r w:rsidR="00452A15" w:rsidRPr="008B3B89">
        <w:rPr>
          <w:lang w:val="sr-Latn-ME"/>
        </w:rPr>
        <w:t>IJ</w:t>
      </w:r>
      <w:r w:rsidRPr="008B3B89">
        <w:rPr>
          <w:lang w:val="sr-Latn-ME"/>
        </w:rPr>
        <w:t>EKA</w:t>
      </w:r>
    </w:p>
    <w:p w14:paraId="108D51A8" w14:textId="77777777" w:rsidR="00627B84" w:rsidRPr="008B3B89" w:rsidRDefault="00627B84" w:rsidP="00107322">
      <w:pPr>
        <w:rPr>
          <w:rFonts w:cs="Arial"/>
          <w:bCs/>
          <w:lang w:val="sr-Latn-ME"/>
        </w:rPr>
      </w:pPr>
    </w:p>
    <w:p w14:paraId="74AF5DF4" w14:textId="776248BC" w:rsidR="00057794" w:rsidRPr="008B3B89" w:rsidRDefault="00921CDF" w:rsidP="00107322">
      <w:pPr>
        <w:rPr>
          <w:bCs/>
          <w:szCs w:val="22"/>
          <w:lang w:val="sr-Latn-ME"/>
        </w:rPr>
      </w:pPr>
      <w:r w:rsidRPr="008B3B89">
        <w:rPr>
          <w:rFonts w:cs="Arial"/>
          <w:bCs/>
          <w:lang w:val="sr-Latn-ME"/>
        </w:rPr>
        <w:t>Soltrik, 100 mg/5 m</w:t>
      </w:r>
      <w:r w:rsidR="00452A15" w:rsidRPr="008B3B89">
        <w:rPr>
          <w:rFonts w:cs="Arial"/>
          <w:bCs/>
          <w:lang w:val="sr-Latn-ME"/>
        </w:rPr>
        <w:t>l</w:t>
      </w:r>
      <w:r w:rsidR="00191998" w:rsidRPr="008B3B89">
        <w:rPr>
          <w:rFonts w:cs="Arial"/>
          <w:bCs/>
          <w:lang w:val="sr-Latn-ME"/>
        </w:rPr>
        <w:t>, oralna suspenzija</w:t>
      </w:r>
    </w:p>
    <w:p w14:paraId="74AF5DF6" w14:textId="103C0687" w:rsidR="00057794" w:rsidRPr="008B3B89" w:rsidRDefault="00057794" w:rsidP="00107322">
      <w:pPr>
        <w:rPr>
          <w:szCs w:val="22"/>
          <w:lang w:val="sr-Latn-ME"/>
        </w:rPr>
      </w:pPr>
      <w:r w:rsidRPr="008B3B89">
        <w:rPr>
          <w:szCs w:val="22"/>
          <w:lang w:val="sr-Latn-ME"/>
        </w:rPr>
        <w:t>INN:</w:t>
      </w:r>
      <w:r w:rsidR="00191998" w:rsidRPr="008B3B89">
        <w:rPr>
          <w:szCs w:val="22"/>
          <w:lang w:val="sr-Latn-ME"/>
        </w:rPr>
        <w:t xml:space="preserve"> mebendazol</w:t>
      </w:r>
    </w:p>
    <w:p w14:paraId="4B4784EB" w14:textId="2F7FDFC9" w:rsidR="00627B84" w:rsidRPr="008B3B89" w:rsidRDefault="00627B84" w:rsidP="00107322">
      <w:pPr>
        <w:rPr>
          <w:lang w:val="sr-Latn-ME"/>
        </w:rPr>
      </w:pPr>
    </w:p>
    <w:p w14:paraId="57B8FDA8" w14:textId="77777777" w:rsidR="00627B84" w:rsidRPr="008B3B89" w:rsidRDefault="00627B84" w:rsidP="00107322">
      <w:pPr>
        <w:rPr>
          <w:lang w:val="sr-Latn-ME"/>
        </w:rPr>
      </w:pPr>
    </w:p>
    <w:p w14:paraId="74AF5DF8" w14:textId="606CB70E" w:rsidR="00057794" w:rsidRPr="008B3B89" w:rsidRDefault="00057794" w:rsidP="00107322">
      <w:pPr>
        <w:pStyle w:val="NASLOV123"/>
        <w:spacing w:before="0" w:after="0"/>
        <w:jc w:val="both"/>
        <w:rPr>
          <w:lang w:val="sr-Latn-ME"/>
        </w:rPr>
      </w:pPr>
      <w:r w:rsidRPr="008B3B89">
        <w:rPr>
          <w:lang w:val="sr-Latn-ME"/>
        </w:rPr>
        <w:t xml:space="preserve">2. </w:t>
      </w:r>
      <w:r w:rsidR="008A2ADA" w:rsidRPr="008B3B89">
        <w:rPr>
          <w:lang w:val="sr-Latn-ME"/>
        </w:rPr>
        <w:tab/>
      </w:r>
      <w:r w:rsidRPr="008B3B89">
        <w:rPr>
          <w:lang w:val="sr-Latn-ME"/>
        </w:rPr>
        <w:t>KVALITATIVNI I KVANTITATIVNI SASTAV</w:t>
      </w:r>
    </w:p>
    <w:p w14:paraId="52AAD6D5" w14:textId="77777777" w:rsidR="00627B84" w:rsidRPr="008B3B89" w:rsidRDefault="00627B84" w:rsidP="00107322">
      <w:pPr>
        <w:rPr>
          <w:szCs w:val="22"/>
          <w:lang w:val="sr-Latn-ME"/>
        </w:rPr>
      </w:pPr>
    </w:p>
    <w:p w14:paraId="74AF5DF9" w14:textId="634B167E" w:rsidR="00057794" w:rsidRPr="008B3B89" w:rsidRDefault="007E7B8C" w:rsidP="00107322">
      <w:pPr>
        <w:rPr>
          <w:szCs w:val="22"/>
          <w:lang w:val="sr-Latn-ME"/>
        </w:rPr>
      </w:pPr>
      <w:r w:rsidRPr="008B3B89">
        <w:rPr>
          <w:szCs w:val="22"/>
          <w:lang w:val="sr-Latn-ME"/>
        </w:rPr>
        <w:t>5 m</w:t>
      </w:r>
      <w:r w:rsidR="00452A15" w:rsidRPr="008B3B89">
        <w:rPr>
          <w:szCs w:val="22"/>
          <w:lang w:val="sr-Latn-ME"/>
        </w:rPr>
        <w:t>l</w:t>
      </w:r>
      <w:r w:rsidRPr="008B3B89">
        <w:rPr>
          <w:szCs w:val="22"/>
          <w:lang w:val="sr-Latn-ME"/>
        </w:rPr>
        <w:t xml:space="preserve"> oralne suspenzije sadrži 100 mg mebendazola.</w:t>
      </w:r>
    </w:p>
    <w:p w14:paraId="74AF5DFB" w14:textId="4E0183CB" w:rsidR="007E7B8C" w:rsidRPr="008B3B89" w:rsidRDefault="007E7B8C" w:rsidP="00107322">
      <w:pPr>
        <w:rPr>
          <w:szCs w:val="22"/>
          <w:lang w:val="sr-Latn-ME"/>
        </w:rPr>
      </w:pPr>
      <w:r w:rsidRPr="008B3B89">
        <w:rPr>
          <w:szCs w:val="22"/>
          <w:lang w:val="sr-Latn-ME"/>
        </w:rPr>
        <w:t>Pomoćne supstance sa potvrđenim dejstvom:</w:t>
      </w:r>
      <w:r w:rsidR="004A2E5C" w:rsidRPr="008B3B89">
        <w:rPr>
          <w:szCs w:val="22"/>
          <w:lang w:val="sr-Latn-ME"/>
        </w:rPr>
        <w:t xml:space="preserve"> </w:t>
      </w:r>
      <w:r w:rsidRPr="008B3B89">
        <w:rPr>
          <w:szCs w:val="22"/>
          <w:lang w:val="sr-Latn-ME"/>
        </w:rPr>
        <w:t>metil</w:t>
      </w:r>
      <w:r w:rsidR="008A2ADA" w:rsidRPr="008B3B89">
        <w:rPr>
          <w:szCs w:val="22"/>
          <w:lang w:val="sr-Latn-ME"/>
        </w:rPr>
        <w:t xml:space="preserve"> </w:t>
      </w:r>
      <w:r w:rsidRPr="008B3B89">
        <w:rPr>
          <w:szCs w:val="22"/>
          <w:lang w:val="sr-Latn-ME"/>
        </w:rPr>
        <w:t>parahidroksibenzoat</w:t>
      </w:r>
      <w:r w:rsidR="00EC3B12" w:rsidRPr="008B3B89">
        <w:rPr>
          <w:szCs w:val="22"/>
          <w:lang w:val="sr-Latn-ME"/>
        </w:rPr>
        <w:t xml:space="preserve"> </w:t>
      </w:r>
      <w:r w:rsidRPr="008B3B89">
        <w:rPr>
          <w:szCs w:val="22"/>
          <w:lang w:val="sr-Latn-ME"/>
        </w:rPr>
        <w:t>(E218)</w:t>
      </w:r>
      <w:r w:rsidR="00662410" w:rsidRPr="008B3B89">
        <w:rPr>
          <w:szCs w:val="22"/>
          <w:lang w:val="sr-Latn-ME"/>
        </w:rPr>
        <w:t>; propil</w:t>
      </w:r>
      <w:r w:rsidR="008A2ADA" w:rsidRPr="008B3B89">
        <w:rPr>
          <w:szCs w:val="22"/>
          <w:lang w:val="sr-Latn-ME"/>
        </w:rPr>
        <w:t xml:space="preserve"> </w:t>
      </w:r>
      <w:r w:rsidR="00662410" w:rsidRPr="008B3B89">
        <w:rPr>
          <w:szCs w:val="22"/>
          <w:lang w:val="sr-Latn-ME"/>
        </w:rPr>
        <w:t>parahidroksibenzoat (E2</w:t>
      </w:r>
      <w:r w:rsidRPr="008B3B89">
        <w:rPr>
          <w:szCs w:val="22"/>
          <w:lang w:val="sr-Latn-ME"/>
        </w:rPr>
        <w:t>16); saharoza; glukoza</w:t>
      </w:r>
      <w:r w:rsidR="00446384" w:rsidRPr="008B3B89">
        <w:rPr>
          <w:szCs w:val="22"/>
          <w:lang w:val="sr-Latn-ME"/>
        </w:rPr>
        <w:t>, tečna</w:t>
      </w:r>
      <w:r w:rsidR="001452EB" w:rsidRPr="008B3B89">
        <w:rPr>
          <w:szCs w:val="22"/>
          <w:lang w:val="sr-Latn-ME"/>
        </w:rPr>
        <w:t>;</w:t>
      </w:r>
      <w:r w:rsidR="008A08E5" w:rsidRPr="008B3B89">
        <w:rPr>
          <w:szCs w:val="22"/>
          <w:lang w:val="sr-Latn-ME"/>
        </w:rPr>
        <w:t xml:space="preserve"> propilen</w:t>
      </w:r>
      <w:r w:rsidR="00723925" w:rsidRPr="008B3B89">
        <w:rPr>
          <w:szCs w:val="22"/>
          <w:lang w:val="sr-Latn-ME"/>
        </w:rPr>
        <w:t xml:space="preserve"> </w:t>
      </w:r>
      <w:r w:rsidR="008A08E5" w:rsidRPr="008B3B89">
        <w:rPr>
          <w:szCs w:val="22"/>
          <w:lang w:val="sr-Latn-ME"/>
        </w:rPr>
        <w:t>glikol;</w:t>
      </w:r>
      <w:r w:rsidR="001452EB" w:rsidRPr="008B3B89">
        <w:rPr>
          <w:szCs w:val="22"/>
          <w:lang w:val="sr-Latn-ME"/>
        </w:rPr>
        <w:t xml:space="preserve"> boja Allura R</w:t>
      </w:r>
      <w:r w:rsidRPr="008B3B89">
        <w:rPr>
          <w:szCs w:val="22"/>
          <w:lang w:val="sr-Latn-ME"/>
        </w:rPr>
        <w:t xml:space="preserve">ed AC </w:t>
      </w:r>
      <w:r w:rsidR="001452EB" w:rsidRPr="008B3B89">
        <w:rPr>
          <w:szCs w:val="22"/>
          <w:lang w:val="sr-Latn-ME"/>
        </w:rPr>
        <w:t>(</w:t>
      </w:r>
      <w:r w:rsidRPr="008B3B89">
        <w:rPr>
          <w:szCs w:val="22"/>
          <w:lang w:val="sr-Latn-ME"/>
        </w:rPr>
        <w:t>C</w:t>
      </w:r>
      <w:r w:rsidR="001452EB" w:rsidRPr="008B3B89">
        <w:rPr>
          <w:szCs w:val="22"/>
          <w:lang w:val="sr-Latn-ME"/>
        </w:rPr>
        <w:t>.</w:t>
      </w:r>
      <w:r w:rsidRPr="008B3B89">
        <w:rPr>
          <w:szCs w:val="22"/>
          <w:lang w:val="sr-Latn-ME"/>
        </w:rPr>
        <w:t>I</w:t>
      </w:r>
      <w:r w:rsidR="001452EB" w:rsidRPr="008B3B89">
        <w:rPr>
          <w:szCs w:val="22"/>
          <w:lang w:val="sr-Latn-ME"/>
        </w:rPr>
        <w:t>.</w:t>
      </w:r>
      <w:r w:rsidRPr="008B3B89">
        <w:rPr>
          <w:szCs w:val="22"/>
          <w:lang w:val="sr-Latn-ME"/>
        </w:rPr>
        <w:t xml:space="preserve"> 16035</w:t>
      </w:r>
      <w:r w:rsidR="001452EB" w:rsidRPr="008B3B89">
        <w:rPr>
          <w:szCs w:val="22"/>
          <w:lang w:val="sr-Latn-ME"/>
        </w:rPr>
        <w:t>,</w:t>
      </w:r>
      <w:r w:rsidRPr="008B3B89">
        <w:rPr>
          <w:szCs w:val="22"/>
          <w:lang w:val="sr-Latn-ME"/>
        </w:rPr>
        <w:t xml:space="preserve"> E129).</w:t>
      </w:r>
    </w:p>
    <w:p w14:paraId="6B31C8B7" w14:textId="77777777" w:rsidR="008A2ADA" w:rsidRPr="008B3B89" w:rsidRDefault="008A2ADA" w:rsidP="004A2E5C">
      <w:pPr>
        <w:tabs>
          <w:tab w:val="clear" w:pos="284"/>
        </w:tabs>
        <w:jc w:val="left"/>
        <w:rPr>
          <w:szCs w:val="22"/>
          <w:lang w:val="sr-Latn-ME"/>
        </w:rPr>
      </w:pPr>
    </w:p>
    <w:p w14:paraId="08CC1E41" w14:textId="42D4724D" w:rsidR="00EA370D" w:rsidRPr="008B3B89" w:rsidRDefault="00EA370D" w:rsidP="004A2E5C">
      <w:pPr>
        <w:tabs>
          <w:tab w:val="clear" w:pos="284"/>
        </w:tabs>
        <w:jc w:val="left"/>
        <w:rPr>
          <w:szCs w:val="22"/>
          <w:lang w:val="sr-Latn-ME"/>
        </w:rPr>
      </w:pPr>
      <w:r w:rsidRPr="008B3B89">
        <w:rPr>
          <w:szCs w:val="22"/>
          <w:lang w:val="sr-Latn-ME"/>
        </w:rPr>
        <w:t>Za spisak svih ekscipijenasa, pogledati dio 6.1.</w:t>
      </w:r>
    </w:p>
    <w:p w14:paraId="1E28E022" w14:textId="523BB869" w:rsidR="00627B84" w:rsidRPr="008B3B89" w:rsidRDefault="00627B84" w:rsidP="00E03362">
      <w:pPr>
        <w:tabs>
          <w:tab w:val="clear" w:pos="284"/>
        </w:tabs>
        <w:jc w:val="left"/>
        <w:rPr>
          <w:szCs w:val="22"/>
          <w:lang w:val="sr-Latn-ME"/>
        </w:rPr>
      </w:pPr>
    </w:p>
    <w:p w14:paraId="581E7D91" w14:textId="77777777" w:rsidR="00627B84" w:rsidRPr="008B3B89" w:rsidRDefault="00627B84" w:rsidP="004A2E5C">
      <w:pPr>
        <w:tabs>
          <w:tab w:val="clear" w:pos="284"/>
        </w:tabs>
        <w:jc w:val="left"/>
        <w:rPr>
          <w:szCs w:val="22"/>
          <w:lang w:val="sr-Latn-ME"/>
        </w:rPr>
      </w:pPr>
    </w:p>
    <w:p w14:paraId="74AF5DFF" w14:textId="0264DDAB" w:rsidR="00057794" w:rsidRPr="008B3B89" w:rsidRDefault="00057794" w:rsidP="00107322">
      <w:pPr>
        <w:pStyle w:val="NASLOV123"/>
        <w:spacing w:before="0" w:after="0"/>
        <w:jc w:val="both"/>
        <w:rPr>
          <w:lang w:val="sr-Latn-ME"/>
        </w:rPr>
      </w:pPr>
      <w:r w:rsidRPr="008B3B89">
        <w:rPr>
          <w:lang w:val="sr-Latn-ME"/>
        </w:rPr>
        <w:t>3.</w:t>
      </w:r>
      <w:r w:rsidR="008A2ADA" w:rsidRPr="008B3B89">
        <w:rPr>
          <w:lang w:val="sr-Latn-ME"/>
        </w:rPr>
        <w:tab/>
      </w:r>
      <w:r w:rsidRPr="008B3B89">
        <w:rPr>
          <w:lang w:val="sr-Latn-ME"/>
        </w:rPr>
        <w:t>FARMACEUTSKI OBLIK</w:t>
      </w:r>
    </w:p>
    <w:p w14:paraId="6E963E18" w14:textId="77777777" w:rsidR="00627B84" w:rsidRPr="008B3B89" w:rsidRDefault="00627B84" w:rsidP="00107322">
      <w:pPr>
        <w:rPr>
          <w:szCs w:val="22"/>
          <w:lang w:val="sr-Latn-ME"/>
        </w:rPr>
      </w:pPr>
    </w:p>
    <w:p w14:paraId="74AF5E00" w14:textId="5F9B9454" w:rsidR="007B34B6" w:rsidRPr="008B3B89" w:rsidRDefault="007B34B6" w:rsidP="00107322">
      <w:pPr>
        <w:rPr>
          <w:szCs w:val="22"/>
          <w:lang w:val="sr-Latn-ME"/>
        </w:rPr>
      </w:pPr>
      <w:r w:rsidRPr="008B3B89">
        <w:rPr>
          <w:szCs w:val="22"/>
          <w:lang w:val="sr-Latn-ME"/>
        </w:rPr>
        <w:t>Oralna suspenzija.</w:t>
      </w:r>
    </w:p>
    <w:p w14:paraId="74AF5E01" w14:textId="5D4C63C0" w:rsidR="00057794" w:rsidRPr="008B3B89" w:rsidRDefault="007B34B6" w:rsidP="00107322">
      <w:pPr>
        <w:rPr>
          <w:szCs w:val="22"/>
          <w:lang w:val="sr-Latn-ME"/>
        </w:rPr>
      </w:pPr>
      <w:r w:rsidRPr="008B3B89">
        <w:rPr>
          <w:szCs w:val="22"/>
          <w:lang w:val="sr-Latn-ME"/>
        </w:rPr>
        <w:t>Suspenzija je sv</w:t>
      </w:r>
      <w:r w:rsidR="00452A15" w:rsidRPr="008B3B89">
        <w:rPr>
          <w:szCs w:val="22"/>
          <w:lang w:val="sr-Latn-ME"/>
        </w:rPr>
        <w:t>ij</w:t>
      </w:r>
      <w:r w:rsidRPr="008B3B89">
        <w:rPr>
          <w:szCs w:val="22"/>
          <w:lang w:val="sr-Latn-ME"/>
        </w:rPr>
        <w:t>etloružičaste boje</w:t>
      </w:r>
      <w:r w:rsidR="00543C8A" w:rsidRPr="008B3B89">
        <w:rPr>
          <w:szCs w:val="22"/>
          <w:lang w:val="sr-Latn-ME"/>
        </w:rPr>
        <w:t>, mirisa na jagodu</w:t>
      </w:r>
      <w:r w:rsidR="00C9509E" w:rsidRPr="008B3B89">
        <w:rPr>
          <w:szCs w:val="22"/>
          <w:lang w:val="sr-Latn-ME"/>
        </w:rPr>
        <w:t>.</w:t>
      </w:r>
    </w:p>
    <w:p w14:paraId="50D88FD2" w14:textId="77777777" w:rsidR="00627B84" w:rsidRPr="008B3B89" w:rsidRDefault="00627B84" w:rsidP="00107322">
      <w:pPr>
        <w:pStyle w:val="NASLOV123"/>
        <w:spacing w:before="0" w:after="0"/>
        <w:jc w:val="both"/>
        <w:rPr>
          <w:lang w:val="sr-Latn-ME"/>
        </w:rPr>
      </w:pPr>
    </w:p>
    <w:p w14:paraId="361C9CE9" w14:textId="77777777" w:rsidR="00627B84" w:rsidRPr="008B3B89" w:rsidRDefault="00627B84" w:rsidP="00107322">
      <w:pPr>
        <w:pStyle w:val="NASLOV123"/>
        <w:spacing w:before="0" w:after="0"/>
        <w:jc w:val="both"/>
        <w:rPr>
          <w:lang w:val="sr-Latn-ME"/>
        </w:rPr>
      </w:pPr>
    </w:p>
    <w:p w14:paraId="74AF5E03" w14:textId="7F637D38" w:rsidR="00057794" w:rsidRPr="008B3B89" w:rsidRDefault="00057794" w:rsidP="00107322">
      <w:pPr>
        <w:pStyle w:val="NASLOV123"/>
        <w:spacing w:before="0" w:after="0"/>
        <w:jc w:val="both"/>
        <w:rPr>
          <w:lang w:val="sr-Latn-ME"/>
        </w:rPr>
      </w:pPr>
      <w:r w:rsidRPr="008B3B89">
        <w:rPr>
          <w:lang w:val="sr-Latn-ME"/>
        </w:rPr>
        <w:t xml:space="preserve">4. </w:t>
      </w:r>
      <w:r w:rsidR="008A2ADA" w:rsidRPr="008B3B89">
        <w:rPr>
          <w:lang w:val="sr-Latn-ME"/>
        </w:rPr>
        <w:tab/>
      </w:r>
      <w:r w:rsidRPr="008B3B89">
        <w:rPr>
          <w:lang w:val="sr-Latn-ME"/>
        </w:rPr>
        <w:t>KLINIČKI PODACI</w:t>
      </w:r>
    </w:p>
    <w:p w14:paraId="616C7C3C" w14:textId="77777777" w:rsidR="00627B84" w:rsidRPr="008B3B89" w:rsidRDefault="00627B84" w:rsidP="00107322">
      <w:pPr>
        <w:rPr>
          <w:b/>
          <w:bCs/>
          <w:szCs w:val="22"/>
          <w:lang w:val="sr-Latn-ME"/>
        </w:rPr>
      </w:pPr>
    </w:p>
    <w:p w14:paraId="74AF5E04" w14:textId="7602B87D" w:rsidR="00057794" w:rsidRPr="008B3B89" w:rsidRDefault="00057794" w:rsidP="00107322">
      <w:pPr>
        <w:rPr>
          <w:b/>
          <w:bCs/>
          <w:szCs w:val="22"/>
          <w:lang w:val="sr-Latn-ME"/>
        </w:rPr>
      </w:pPr>
      <w:r w:rsidRPr="008B3B89">
        <w:rPr>
          <w:b/>
          <w:bCs/>
          <w:szCs w:val="22"/>
          <w:lang w:val="sr-Latn-ME"/>
        </w:rPr>
        <w:t>4.1. Terapijske indikacije</w:t>
      </w:r>
    </w:p>
    <w:p w14:paraId="2EB6B75D" w14:textId="77777777" w:rsidR="00627B84" w:rsidRPr="008B3B89" w:rsidRDefault="00627B84" w:rsidP="00107322">
      <w:pPr>
        <w:tabs>
          <w:tab w:val="clear" w:pos="284"/>
        </w:tabs>
        <w:contextualSpacing/>
        <w:rPr>
          <w:szCs w:val="22"/>
          <w:lang w:val="sr-Latn-ME"/>
        </w:rPr>
      </w:pPr>
    </w:p>
    <w:p w14:paraId="74AF5E06" w14:textId="32CE4841" w:rsidR="00143842" w:rsidRPr="008B3B89" w:rsidRDefault="00143842" w:rsidP="00107322">
      <w:pPr>
        <w:tabs>
          <w:tab w:val="clear" w:pos="284"/>
        </w:tabs>
        <w:contextualSpacing/>
        <w:rPr>
          <w:szCs w:val="22"/>
          <w:lang w:val="sr-Latn-ME"/>
        </w:rPr>
      </w:pPr>
      <w:r w:rsidRPr="008B3B89">
        <w:rPr>
          <w:szCs w:val="22"/>
          <w:lang w:val="sr-Latn-ME"/>
        </w:rPr>
        <w:t>Mebendazol je ant</w:t>
      </w:r>
      <w:r w:rsidR="00817774" w:rsidRPr="008B3B89">
        <w:rPr>
          <w:szCs w:val="22"/>
          <w:lang w:val="sr-Latn-ME"/>
        </w:rPr>
        <w:t>i</w:t>
      </w:r>
      <w:r w:rsidRPr="008B3B89">
        <w:rPr>
          <w:szCs w:val="22"/>
          <w:lang w:val="sr-Latn-ME"/>
        </w:rPr>
        <w:t xml:space="preserve">helmintik širokog spektra dejstva koji je indikovan u terapiji </w:t>
      </w:r>
      <w:r w:rsidR="00C4553E" w:rsidRPr="008B3B89">
        <w:rPr>
          <w:szCs w:val="22"/>
          <w:lang w:val="sr-Latn-ME"/>
        </w:rPr>
        <w:t xml:space="preserve">gastrointestinalnih </w:t>
      </w:r>
      <w:r w:rsidRPr="008B3B89">
        <w:rPr>
          <w:szCs w:val="22"/>
          <w:lang w:val="sr-Latn-ME"/>
        </w:rPr>
        <w:t>helmintijaza izazvanih sl</w:t>
      </w:r>
      <w:r w:rsidR="00452A15" w:rsidRPr="008B3B89">
        <w:rPr>
          <w:szCs w:val="22"/>
          <w:lang w:val="sr-Latn-ME"/>
        </w:rPr>
        <w:t>j</w:t>
      </w:r>
      <w:r w:rsidRPr="008B3B89">
        <w:rPr>
          <w:szCs w:val="22"/>
          <w:lang w:val="sr-Latn-ME"/>
        </w:rPr>
        <w:t xml:space="preserve">edećim nematodama (valjkasti crvi): </w:t>
      </w:r>
    </w:p>
    <w:p w14:paraId="74AF5E07" w14:textId="53B44B0A" w:rsidR="00143842" w:rsidRPr="008B3B89" w:rsidRDefault="00143842" w:rsidP="00107322">
      <w:pPr>
        <w:numPr>
          <w:ilvl w:val="0"/>
          <w:numId w:val="4"/>
        </w:numPr>
        <w:tabs>
          <w:tab w:val="clear" w:pos="284"/>
        </w:tabs>
        <w:ind w:left="714" w:hanging="357"/>
        <w:contextualSpacing/>
        <w:rPr>
          <w:szCs w:val="22"/>
          <w:lang w:val="sr-Latn-ME"/>
        </w:rPr>
      </w:pPr>
      <w:r w:rsidRPr="008B3B89">
        <w:rPr>
          <w:i/>
          <w:iCs/>
          <w:szCs w:val="22"/>
          <w:lang w:val="sr-Latn-ME"/>
        </w:rPr>
        <w:t>Enterobius vermicularis</w:t>
      </w:r>
      <w:r w:rsidR="00B856A4" w:rsidRPr="008B3B89">
        <w:rPr>
          <w:i/>
          <w:iCs/>
          <w:szCs w:val="22"/>
          <w:lang w:val="sr-Latn-ME"/>
        </w:rPr>
        <w:t xml:space="preserve"> </w:t>
      </w:r>
      <w:r w:rsidR="00B856A4" w:rsidRPr="008B3B89">
        <w:rPr>
          <w:szCs w:val="22"/>
          <w:lang w:val="sr-Latn-ME"/>
        </w:rPr>
        <w:t>(</w:t>
      </w:r>
      <w:r w:rsidR="00C4553E" w:rsidRPr="008B3B89">
        <w:rPr>
          <w:szCs w:val="22"/>
          <w:lang w:val="sr-Latn-ME"/>
        </w:rPr>
        <w:t xml:space="preserve">raniji naziv </w:t>
      </w:r>
      <w:r w:rsidR="00C4553E" w:rsidRPr="008B3B89">
        <w:rPr>
          <w:i/>
          <w:iCs/>
          <w:szCs w:val="22"/>
          <w:lang w:val="sr-Latn-ME"/>
        </w:rPr>
        <w:t>Oxyuris vermicularis</w:t>
      </w:r>
      <w:r w:rsidR="00C4553E" w:rsidRPr="008B3B89">
        <w:rPr>
          <w:szCs w:val="22"/>
          <w:lang w:val="sr-Latn-ME"/>
        </w:rPr>
        <w:t>)</w:t>
      </w:r>
      <w:r w:rsidR="00452B00" w:rsidRPr="008B3B89">
        <w:rPr>
          <w:szCs w:val="22"/>
          <w:lang w:val="sr-Latn-ME"/>
        </w:rPr>
        <w:t>,</w:t>
      </w:r>
    </w:p>
    <w:p w14:paraId="74AF5E08" w14:textId="2D5B4266" w:rsidR="00143842" w:rsidRPr="008B3B89" w:rsidRDefault="00143842" w:rsidP="00107322">
      <w:pPr>
        <w:numPr>
          <w:ilvl w:val="0"/>
          <w:numId w:val="4"/>
        </w:numPr>
        <w:tabs>
          <w:tab w:val="clear" w:pos="284"/>
        </w:tabs>
        <w:ind w:left="714" w:hanging="357"/>
        <w:contextualSpacing/>
        <w:rPr>
          <w:szCs w:val="22"/>
          <w:lang w:val="sr-Latn-ME"/>
        </w:rPr>
      </w:pPr>
      <w:r w:rsidRPr="008B3B89">
        <w:rPr>
          <w:i/>
          <w:iCs/>
          <w:szCs w:val="22"/>
          <w:lang w:val="sr-Latn-ME"/>
        </w:rPr>
        <w:t>Trichuris trichuria</w:t>
      </w:r>
      <w:r w:rsidR="00CA2C24" w:rsidRPr="008B3B89">
        <w:rPr>
          <w:i/>
          <w:iCs/>
          <w:szCs w:val="22"/>
          <w:lang w:val="sr-Latn-ME"/>
        </w:rPr>
        <w:t>,</w:t>
      </w:r>
      <w:r w:rsidRPr="008B3B89">
        <w:rPr>
          <w:i/>
          <w:iCs/>
          <w:szCs w:val="22"/>
          <w:lang w:val="sr-Latn-ME"/>
        </w:rPr>
        <w:t xml:space="preserve"> </w:t>
      </w:r>
      <w:r w:rsidRPr="008B3B89">
        <w:rPr>
          <w:szCs w:val="22"/>
          <w:lang w:val="sr-Latn-ME"/>
        </w:rPr>
        <w:t xml:space="preserve"> </w:t>
      </w:r>
    </w:p>
    <w:p w14:paraId="74AF5E09" w14:textId="1A2A322E" w:rsidR="00143842" w:rsidRPr="008B3B89" w:rsidRDefault="00143842" w:rsidP="00107322">
      <w:pPr>
        <w:numPr>
          <w:ilvl w:val="0"/>
          <w:numId w:val="4"/>
        </w:numPr>
        <w:tabs>
          <w:tab w:val="clear" w:pos="284"/>
        </w:tabs>
        <w:ind w:left="714" w:hanging="357"/>
        <w:contextualSpacing/>
        <w:rPr>
          <w:szCs w:val="22"/>
          <w:lang w:val="sr-Latn-ME"/>
        </w:rPr>
      </w:pPr>
      <w:r w:rsidRPr="008B3B89">
        <w:rPr>
          <w:i/>
          <w:iCs/>
          <w:szCs w:val="22"/>
          <w:lang w:val="sr-Latn-ME"/>
        </w:rPr>
        <w:t>Ascaris lumbricoides</w:t>
      </w:r>
      <w:r w:rsidR="00CA2C24" w:rsidRPr="008B3B89">
        <w:rPr>
          <w:i/>
          <w:iCs/>
          <w:szCs w:val="22"/>
          <w:lang w:val="sr-Latn-ME"/>
        </w:rPr>
        <w:t>,</w:t>
      </w:r>
      <w:r w:rsidRPr="008B3B89">
        <w:rPr>
          <w:i/>
          <w:iCs/>
          <w:szCs w:val="22"/>
          <w:lang w:val="sr-Latn-ME"/>
        </w:rPr>
        <w:t xml:space="preserve"> </w:t>
      </w:r>
    </w:p>
    <w:p w14:paraId="74AF5E0A" w14:textId="2AAE00AF" w:rsidR="00143842" w:rsidRPr="008B3B89" w:rsidRDefault="00143842" w:rsidP="00107322">
      <w:pPr>
        <w:numPr>
          <w:ilvl w:val="0"/>
          <w:numId w:val="4"/>
        </w:numPr>
        <w:tabs>
          <w:tab w:val="clear" w:pos="284"/>
        </w:tabs>
        <w:ind w:left="714" w:hanging="357"/>
        <w:contextualSpacing/>
        <w:rPr>
          <w:szCs w:val="22"/>
          <w:lang w:val="sr-Latn-ME"/>
        </w:rPr>
      </w:pPr>
      <w:r w:rsidRPr="008B3B89">
        <w:rPr>
          <w:i/>
          <w:iCs/>
          <w:szCs w:val="22"/>
          <w:lang w:val="sr-Latn-ME"/>
        </w:rPr>
        <w:t>Ancylostoma duodenale</w:t>
      </w:r>
      <w:r w:rsidR="00CA2C24" w:rsidRPr="008B3B89">
        <w:rPr>
          <w:i/>
          <w:iCs/>
          <w:szCs w:val="22"/>
          <w:lang w:val="sr-Latn-ME"/>
        </w:rPr>
        <w:t>,</w:t>
      </w:r>
      <w:r w:rsidRPr="008B3B89">
        <w:rPr>
          <w:i/>
          <w:iCs/>
          <w:szCs w:val="22"/>
          <w:lang w:val="sr-Latn-ME"/>
        </w:rPr>
        <w:t xml:space="preserve"> </w:t>
      </w:r>
    </w:p>
    <w:p w14:paraId="74AF5E0B" w14:textId="7835B0D5" w:rsidR="00143842" w:rsidRPr="008B3B89" w:rsidRDefault="00143842" w:rsidP="00107322">
      <w:pPr>
        <w:numPr>
          <w:ilvl w:val="0"/>
          <w:numId w:val="4"/>
        </w:numPr>
        <w:tabs>
          <w:tab w:val="clear" w:pos="284"/>
        </w:tabs>
        <w:rPr>
          <w:szCs w:val="22"/>
          <w:lang w:val="sr-Latn-ME"/>
        </w:rPr>
      </w:pPr>
      <w:r w:rsidRPr="008B3B89">
        <w:rPr>
          <w:i/>
          <w:iCs/>
          <w:szCs w:val="22"/>
          <w:lang w:val="sr-Latn-ME"/>
        </w:rPr>
        <w:t>Necator americanus</w:t>
      </w:r>
      <w:r w:rsidR="00CA2C24" w:rsidRPr="008B3B89">
        <w:rPr>
          <w:i/>
          <w:iCs/>
          <w:szCs w:val="22"/>
          <w:lang w:val="sr-Latn-ME"/>
        </w:rPr>
        <w:t>.</w:t>
      </w:r>
    </w:p>
    <w:p w14:paraId="74AF5E0D" w14:textId="77777777" w:rsidR="00057794" w:rsidRPr="008B3B89" w:rsidRDefault="00143842" w:rsidP="00107322">
      <w:pPr>
        <w:rPr>
          <w:szCs w:val="22"/>
          <w:lang w:val="sr-Latn-ME"/>
        </w:rPr>
      </w:pPr>
      <w:r w:rsidRPr="008B3B89">
        <w:rPr>
          <w:szCs w:val="22"/>
          <w:lang w:val="sr-Latn-ME"/>
        </w:rPr>
        <w:t xml:space="preserve">Nema dokaza da je </w:t>
      </w:r>
      <w:r w:rsidR="00CE2EDC" w:rsidRPr="008B3B89">
        <w:rPr>
          <w:szCs w:val="22"/>
          <w:lang w:val="sr-Latn-ME"/>
        </w:rPr>
        <w:t>mebendazol</w:t>
      </w:r>
      <w:r w:rsidRPr="008B3B89">
        <w:rPr>
          <w:szCs w:val="22"/>
          <w:lang w:val="sr-Latn-ME"/>
        </w:rPr>
        <w:t xml:space="preserve"> </w:t>
      </w:r>
      <w:r w:rsidR="00CE2EDC" w:rsidRPr="008B3B89">
        <w:rPr>
          <w:szCs w:val="22"/>
          <w:lang w:val="sr-Latn-ME"/>
        </w:rPr>
        <w:t>efektivan</w:t>
      </w:r>
      <w:r w:rsidRPr="008B3B89">
        <w:rPr>
          <w:szCs w:val="22"/>
          <w:lang w:val="sr-Latn-ME"/>
        </w:rPr>
        <w:t xml:space="preserve"> u terapiji cisticerkoze.</w:t>
      </w:r>
    </w:p>
    <w:p w14:paraId="388BDF6A" w14:textId="77777777" w:rsidR="00627B84" w:rsidRPr="008B3B89" w:rsidRDefault="00627B84" w:rsidP="00107322">
      <w:pPr>
        <w:rPr>
          <w:b/>
          <w:bCs/>
          <w:szCs w:val="22"/>
          <w:lang w:val="sr-Latn-ME"/>
        </w:rPr>
      </w:pPr>
    </w:p>
    <w:p w14:paraId="74AF5E0F" w14:textId="0D98C360" w:rsidR="00057794" w:rsidRPr="008B3B89" w:rsidRDefault="00057794" w:rsidP="00107322">
      <w:pPr>
        <w:rPr>
          <w:b/>
          <w:bCs/>
          <w:szCs w:val="22"/>
          <w:lang w:val="sr-Latn-ME"/>
        </w:rPr>
      </w:pPr>
      <w:r w:rsidRPr="008B3B89">
        <w:rPr>
          <w:b/>
          <w:bCs/>
          <w:szCs w:val="22"/>
          <w:lang w:val="sr-Latn-ME"/>
        </w:rPr>
        <w:t>4.2. Doziranje i način prim</w:t>
      </w:r>
      <w:r w:rsidR="00452A15" w:rsidRPr="008B3B89">
        <w:rPr>
          <w:b/>
          <w:bCs/>
          <w:szCs w:val="22"/>
          <w:lang w:val="sr-Latn-ME"/>
        </w:rPr>
        <w:t>j</w:t>
      </w:r>
      <w:r w:rsidRPr="008B3B89">
        <w:rPr>
          <w:b/>
          <w:bCs/>
          <w:szCs w:val="22"/>
          <w:lang w:val="sr-Latn-ME"/>
        </w:rPr>
        <w:t>ene</w:t>
      </w:r>
    </w:p>
    <w:p w14:paraId="69042644" w14:textId="77777777" w:rsidR="00627B84" w:rsidRPr="008B3B89" w:rsidRDefault="00627B84" w:rsidP="00107322">
      <w:pPr>
        <w:pStyle w:val="Header"/>
        <w:tabs>
          <w:tab w:val="clear" w:pos="4536"/>
          <w:tab w:val="clear" w:pos="9072"/>
          <w:tab w:val="left" w:pos="284"/>
        </w:tabs>
        <w:rPr>
          <w:rFonts w:cs="Arial"/>
          <w:b/>
          <w:bCs/>
          <w:szCs w:val="22"/>
          <w:lang w:val="sr-Latn-ME"/>
        </w:rPr>
      </w:pPr>
    </w:p>
    <w:p w14:paraId="74AF5E11" w14:textId="5C5446F1" w:rsidR="00143842" w:rsidRPr="008B3B89" w:rsidRDefault="00CA2C24" w:rsidP="00107322">
      <w:pPr>
        <w:pStyle w:val="Header"/>
        <w:tabs>
          <w:tab w:val="clear" w:pos="4536"/>
          <w:tab w:val="clear" w:pos="9072"/>
          <w:tab w:val="left" w:pos="284"/>
        </w:tabs>
        <w:rPr>
          <w:rFonts w:cs="Arial"/>
          <w:b/>
          <w:bCs/>
          <w:szCs w:val="22"/>
          <w:lang w:val="sr-Latn-ME"/>
        </w:rPr>
      </w:pPr>
      <w:r w:rsidRPr="008B3B89">
        <w:rPr>
          <w:rFonts w:cs="Arial"/>
          <w:b/>
          <w:bCs/>
          <w:szCs w:val="22"/>
          <w:lang w:val="sr-Latn-ME"/>
        </w:rPr>
        <w:t>Doziranje</w:t>
      </w:r>
    </w:p>
    <w:p w14:paraId="28328636" w14:textId="77777777" w:rsidR="004A2E5C" w:rsidRPr="008B3B89" w:rsidRDefault="004A2E5C" w:rsidP="00107322">
      <w:pPr>
        <w:pStyle w:val="Header"/>
        <w:tabs>
          <w:tab w:val="clear" w:pos="4536"/>
          <w:tab w:val="clear" w:pos="9072"/>
          <w:tab w:val="left" w:pos="284"/>
        </w:tabs>
        <w:rPr>
          <w:rFonts w:cs="Arial"/>
          <w:b/>
          <w:bCs/>
          <w:szCs w:val="22"/>
          <w:lang w:val="sr-Latn-ME"/>
        </w:rPr>
      </w:pPr>
    </w:p>
    <w:p w14:paraId="74AF5E13" w14:textId="295372FF" w:rsidR="00143842" w:rsidRPr="008B3B89" w:rsidRDefault="00143842" w:rsidP="00107322">
      <w:pPr>
        <w:pStyle w:val="Header"/>
        <w:tabs>
          <w:tab w:val="clear" w:pos="4536"/>
          <w:tab w:val="clear" w:pos="9072"/>
          <w:tab w:val="left" w:pos="284"/>
        </w:tabs>
        <w:rPr>
          <w:i/>
          <w:szCs w:val="22"/>
          <w:lang w:val="sr-Latn-ME"/>
        </w:rPr>
      </w:pPr>
      <w:r w:rsidRPr="008B3B89">
        <w:rPr>
          <w:i/>
          <w:szCs w:val="22"/>
          <w:u w:val="single"/>
          <w:lang w:val="sr-Latn-ME"/>
        </w:rPr>
        <w:t>Odrasli i d</w:t>
      </w:r>
      <w:r w:rsidR="00452A15" w:rsidRPr="008B3B89">
        <w:rPr>
          <w:i/>
          <w:szCs w:val="22"/>
          <w:u w:val="single"/>
          <w:lang w:val="sr-Latn-ME"/>
        </w:rPr>
        <w:t>j</w:t>
      </w:r>
      <w:r w:rsidRPr="008B3B89">
        <w:rPr>
          <w:i/>
          <w:szCs w:val="22"/>
          <w:u w:val="single"/>
          <w:lang w:val="sr-Latn-ME"/>
        </w:rPr>
        <w:t>eca starija od 2 godine</w:t>
      </w:r>
    </w:p>
    <w:p w14:paraId="23B74EA3" w14:textId="3A71E483" w:rsidR="00CA2C24" w:rsidRPr="008B3B89" w:rsidRDefault="00143842" w:rsidP="00107322">
      <w:pPr>
        <w:tabs>
          <w:tab w:val="clear" w:pos="284"/>
        </w:tabs>
        <w:rPr>
          <w:szCs w:val="22"/>
          <w:lang w:val="sr-Latn-ME"/>
        </w:rPr>
      </w:pPr>
      <w:r w:rsidRPr="008B3B89">
        <w:rPr>
          <w:i/>
          <w:iCs/>
          <w:szCs w:val="22"/>
          <w:lang w:val="sr-Latn-ME"/>
        </w:rPr>
        <w:t>Enterobijaza</w:t>
      </w:r>
    </w:p>
    <w:p w14:paraId="74AF5E15" w14:textId="279E86D6" w:rsidR="00143842" w:rsidRPr="008B3B89" w:rsidRDefault="00143842" w:rsidP="00107322">
      <w:pPr>
        <w:tabs>
          <w:tab w:val="clear" w:pos="284"/>
        </w:tabs>
        <w:rPr>
          <w:szCs w:val="22"/>
          <w:lang w:val="sr-Latn-ME"/>
        </w:rPr>
      </w:pPr>
      <w:r w:rsidRPr="008B3B89">
        <w:rPr>
          <w:szCs w:val="22"/>
          <w:lang w:val="sr-Latn-ME"/>
        </w:rPr>
        <w:t>1 x 5 m</w:t>
      </w:r>
      <w:r w:rsidR="00452A15" w:rsidRPr="008B3B89">
        <w:rPr>
          <w:szCs w:val="22"/>
          <w:lang w:val="sr-Latn-ME"/>
        </w:rPr>
        <w:t>l</w:t>
      </w:r>
      <w:r w:rsidRPr="008B3B89">
        <w:rPr>
          <w:szCs w:val="22"/>
          <w:lang w:val="sr-Latn-ME"/>
        </w:rPr>
        <w:t xml:space="preserve"> (1 kašičica</w:t>
      </w:r>
      <w:r w:rsidR="00C821CD" w:rsidRPr="008B3B89">
        <w:rPr>
          <w:szCs w:val="22"/>
          <w:lang w:val="sr-Latn-ME"/>
        </w:rPr>
        <w:t xml:space="preserve"> za doziranje</w:t>
      </w:r>
      <w:r w:rsidRPr="008B3B89">
        <w:rPr>
          <w:szCs w:val="22"/>
          <w:lang w:val="sr-Latn-ME"/>
        </w:rPr>
        <w:t>)</w:t>
      </w:r>
      <w:r w:rsidR="00220F6E" w:rsidRPr="008B3B89">
        <w:rPr>
          <w:szCs w:val="22"/>
          <w:lang w:val="sr-Latn-ME"/>
        </w:rPr>
        <w:t>.</w:t>
      </w:r>
      <w:r w:rsidRPr="008B3B89">
        <w:rPr>
          <w:szCs w:val="22"/>
          <w:lang w:val="sr-Latn-ME"/>
        </w:rPr>
        <w:t xml:space="preserve"> </w:t>
      </w:r>
    </w:p>
    <w:p w14:paraId="59233CA8" w14:textId="38DA7C5F" w:rsidR="009C1610" w:rsidRPr="008B3B89" w:rsidRDefault="00143842" w:rsidP="00107322">
      <w:pPr>
        <w:tabs>
          <w:tab w:val="clear" w:pos="284"/>
        </w:tabs>
        <w:rPr>
          <w:szCs w:val="22"/>
          <w:lang w:val="sr-Latn-ME"/>
        </w:rPr>
      </w:pPr>
      <w:r w:rsidRPr="008B3B89">
        <w:rPr>
          <w:szCs w:val="22"/>
          <w:lang w:val="sr-Latn-ME"/>
        </w:rPr>
        <w:t>Ukoliko se sumnja na reinfekciju, preporuka je da se uzme još jedna doza l</w:t>
      </w:r>
      <w:r w:rsidR="00452A15" w:rsidRPr="008B3B89">
        <w:rPr>
          <w:szCs w:val="22"/>
          <w:lang w:val="sr-Latn-ME"/>
        </w:rPr>
        <w:t>ij</w:t>
      </w:r>
      <w:r w:rsidRPr="008B3B89">
        <w:rPr>
          <w:szCs w:val="22"/>
          <w:lang w:val="sr-Latn-ME"/>
        </w:rPr>
        <w:t>eka nakon 2 ned</w:t>
      </w:r>
      <w:r w:rsidR="00452A15" w:rsidRPr="008B3B89">
        <w:rPr>
          <w:szCs w:val="22"/>
          <w:lang w:val="sr-Latn-ME"/>
        </w:rPr>
        <w:t>j</w:t>
      </w:r>
      <w:r w:rsidRPr="008B3B89">
        <w:rPr>
          <w:szCs w:val="22"/>
          <w:lang w:val="sr-Latn-ME"/>
        </w:rPr>
        <w:t>elje.</w:t>
      </w:r>
    </w:p>
    <w:p w14:paraId="74AF5E18" w14:textId="4D1207B2" w:rsidR="00143842" w:rsidRPr="008B3B89" w:rsidRDefault="00143842" w:rsidP="00107322">
      <w:pPr>
        <w:tabs>
          <w:tab w:val="clear" w:pos="284"/>
        </w:tabs>
        <w:rPr>
          <w:szCs w:val="22"/>
          <w:lang w:val="sr-Latn-ME"/>
        </w:rPr>
      </w:pPr>
      <w:r w:rsidRPr="008B3B89">
        <w:rPr>
          <w:i/>
          <w:iCs/>
          <w:szCs w:val="22"/>
          <w:lang w:val="sr-Latn-ME"/>
        </w:rPr>
        <w:t>Askarijaza, trihurijaza, ankilostomijaza, nekatorijaza i m</w:t>
      </w:r>
      <w:r w:rsidR="009C1610" w:rsidRPr="008B3B89">
        <w:rPr>
          <w:i/>
          <w:iCs/>
          <w:szCs w:val="22"/>
          <w:lang w:val="sr-Latn-ME"/>
        </w:rPr>
        <w:t>j</w:t>
      </w:r>
      <w:r w:rsidRPr="008B3B89">
        <w:rPr>
          <w:i/>
          <w:iCs/>
          <w:szCs w:val="22"/>
          <w:lang w:val="sr-Latn-ME"/>
        </w:rPr>
        <w:t>ešovite infekcije</w:t>
      </w:r>
    </w:p>
    <w:p w14:paraId="74AF5E19" w14:textId="4595FFD1" w:rsidR="00143842" w:rsidRPr="008B3B89" w:rsidRDefault="00143842" w:rsidP="00107322">
      <w:pPr>
        <w:rPr>
          <w:szCs w:val="22"/>
          <w:lang w:val="sr-Latn-ME"/>
        </w:rPr>
      </w:pPr>
      <w:r w:rsidRPr="008B3B89">
        <w:rPr>
          <w:szCs w:val="22"/>
          <w:lang w:val="sr-Latn-ME"/>
        </w:rPr>
        <w:t>1 x 5 m</w:t>
      </w:r>
      <w:r w:rsidR="00452A15" w:rsidRPr="008B3B89">
        <w:rPr>
          <w:szCs w:val="22"/>
          <w:lang w:val="sr-Latn-ME"/>
        </w:rPr>
        <w:t>l</w:t>
      </w:r>
      <w:r w:rsidRPr="008B3B89">
        <w:rPr>
          <w:szCs w:val="22"/>
          <w:lang w:val="sr-Latn-ME"/>
        </w:rPr>
        <w:t xml:space="preserve"> (1 kašičica</w:t>
      </w:r>
      <w:r w:rsidR="00C821CD" w:rsidRPr="008B3B89">
        <w:rPr>
          <w:szCs w:val="22"/>
          <w:lang w:val="sr-Latn-ME"/>
        </w:rPr>
        <w:t xml:space="preserve"> za doziranje</w:t>
      </w:r>
      <w:r w:rsidRPr="008B3B89">
        <w:rPr>
          <w:szCs w:val="22"/>
          <w:lang w:val="sr-Latn-ME"/>
        </w:rPr>
        <w:t>) dva puta dnevno, tokom 3 uzastopna dana.</w:t>
      </w:r>
    </w:p>
    <w:p w14:paraId="2683E026" w14:textId="77777777" w:rsidR="009C1610" w:rsidRPr="008B3B89" w:rsidRDefault="009C1610" w:rsidP="00107322">
      <w:pPr>
        <w:rPr>
          <w:szCs w:val="22"/>
          <w:lang w:val="sr-Latn-ME"/>
        </w:rPr>
      </w:pPr>
    </w:p>
    <w:p w14:paraId="36649ED8" w14:textId="7F527598" w:rsidR="00CA2C24" w:rsidRPr="008B3B89" w:rsidRDefault="00CA2C24" w:rsidP="00107322">
      <w:pPr>
        <w:rPr>
          <w:i/>
          <w:iCs/>
          <w:szCs w:val="22"/>
          <w:u w:val="single"/>
          <w:lang w:val="sr-Latn-ME"/>
        </w:rPr>
      </w:pPr>
      <w:r w:rsidRPr="008B3B89">
        <w:rPr>
          <w:i/>
          <w:iCs/>
          <w:szCs w:val="22"/>
          <w:u w:val="single"/>
          <w:lang w:val="sr-Latn-ME"/>
        </w:rPr>
        <w:t>D</w:t>
      </w:r>
      <w:r w:rsidR="00452A15" w:rsidRPr="008B3B89">
        <w:rPr>
          <w:i/>
          <w:iCs/>
          <w:szCs w:val="22"/>
          <w:u w:val="single"/>
          <w:lang w:val="sr-Latn-ME"/>
        </w:rPr>
        <w:t>j</w:t>
      </w:r>
      <w:r w:rsidRPr="008B3B89">
        <w:rPr>
          <w:i/>
          <w:iCs/>
          <w:szCs w:val="22"/>
          <w:u w:val="single"/>
          <w:lang w:val="sr-Latn-ME"/>
        </w:rPr>
        <w:t xml:space="preserve">eca </w:t>
      </w:r>
      <w:r w:rsidR="0083165D" w:rsidRPr="008B3B89">
        <w:rPr>
          <w:i/>
          <w:iCs/>
          <w:szCs w:val="22"/>
          <w:u w:val="single"/>
          <w:lang w:val="sr-Latn-ME"/>
        </w:rPr>
        <w:t>uzrasta ispod</w:t>
      </w:r>
      <w:r w:rsidRPr="008B3B89">
        <w:rPr>
          <w:i/>
          <w:iCs/>
          <w:szCs w:val="22"/>
          <w:u w:val="single"/>
          <w:lang w:val="sr-Latn-ME"/>
        </w:rPr>
        <w:t xml:space="preserve"> 2 godine</w:t>
      </w:r>
    </w:p>
    <w:p w14:paraId="3A3AC08E" w14:textId="72988BF6" w:rsidR="008A2ADA" w:rsidRPr="008B3B89" w:rsidRDefault="00CA2C24" w:rsidP="00107322">
      <w:pPr>
        <w:rPr>
          <w:szCs w:val="22"/>
          <w:lang w:val="sr-Latn-ME"/>
        </w:rPr>
      </w:pPr>
      <w:r w:rsidRPr="008B3B89">
        <w:rPr>
          <w:szCs w:val="22"/>
          <w:lang w:val="sr-Latn-ME"/>
        </w:rPr>
        <w:t>Ni</w:t>
      </w:r>
      <w:r w:rsidR="00452A15" w:rsidRPr="008B3B89">
        <w:rPr>
          <w:szCs w:val="22"/>
          <w:lang w:val="sr-Latn-ME"/>
        </w:rPr>
        <w:t>je</w:t>
      </w:r>
      <w:r w:rsidRPr="008B3B89">
        <w:rPr>
          <w:szCs w:val="22"/>
          <w:lang w:val="sr-Latn-ME"/>
        </w:rPr>
        <w:t>su ispitani efekti prim</w:t>
      </w:r>
      <w:r w:rsidR="00452A15" w:rsidRPr="008B3B89">
        <w:rPr>
          <w:szCs w:val="22"/>
          <w:lang w:val="sr-Latn-ME"/>
        </w:rPr>
        <w:t>j</w:t>
      </w:r>
      <w:r w:rsidRPr="008B3B89">
        <w:rPr>
          <w:szCs w:val="22"/>
          <w:lang w:val="sr-Latn-ME"/>
        </w:rPr>
        <w:t>ene mebendazola kod d</w:t>
      </w:r>
      <w:r w:rsidR="00452A15" w:rsidRPr="008B3B89">
        <w:rPr>
          <w:szCs w:val="22"/>
          <w:lang w:val="sr-Latn-ME"/>
        </w:rPr>
        <w:t>j</w:t>
      </w:r>
      <w:r w:rsidRPr="008B3B89">
        <w:rPr>
          <w:szCs w:val="22"/>
          <w:lang w:val="sr-Latn-ME"/>
        </w:rPr>
        <w:t xml:space="preserve">ece </w:t>
      </w:r>
      <w:r w:rsidR="00701D57" w:rsidRPr="008B3B89">
        <w:rPr>
          <w:szCs w:val="22"/>
          <w:lang w:val="sr-Latn-ME"/>
        </w:rPr>
        <w:t xml:space="preserve">uzrasta ispod </w:t>
      </w:r>
      <w:r w:rsidRPr="008B3B89">
        <w:rPr>
          <w:szCs w:val="22"/>
          <w:lang w:val="sr-Latn-ME"/>
        </w:rPr>
        <w:t xml:space="preserve">2 godine. Trenutno dostupni podaci su navedeni u </w:t>
      </w:r>
      <w:r w:rsidR="00452A15" w:rsidRPr="008B3B89">
        <w:rPr>
          <w:szCs w:val="22"/>
          <w:lang w:val="sr-Latn-ME"/>
        </w:rPr>
        <w:t>djelovima</w:t>
      </w:r>
      <w:r w:rsidRPr="008B3B89">
        <w:rPr>
          <w:szCs w:val="22"/>
          <w:lang w:val="sr-Latn-ME"/>
        </w:rPr>
        <w:t xml:space="preserve"> 4.4, 4.8 i 5.2, ali se ne mogu dati preporuke o doziranju. </w:t>
      </w:r>
    </w:p>
    <w:p w14:paraId="15B2BABA" w14:textId="33DE96D0" w:rsidR="00627B84" w:rsidRPr="008B3B89" w:rsidRDefault="00CA2C24" w:rsidP="00107322">
      <w:pPr>
        <w:rPr>
          <w:szCs w:val="22"/>
          <w:lang w:val="sr-Latn-ME"/>
        </w:rPr>
      </w:pPr>
      <w:r w:rsidRPr="008B3B89">
        <w:rPr>
          <w:szCs w:val="22"/>
          <w:lang w:val="sr-Latn-ME"/>
        </w:rPr>
        <w:t>Usl</w:t>
      </w:r>
      <w:r w:rsidR="00452A15" w:rsidRPr="008B3B89">
        <w:rPr>
          <w:szCs w:val="22"/>
          <w:lang w:val="sr-Latn-ME"/>
        </w:rPr>
        <w:t>j</w:t>
      </w:r>
      <w:r w:rsidRPr="008B3B89">
        <w:rPr>
          <w:szCs w:val="22"/>
          <w:lang w:val="sr-Latn-ME"/>
        </w:rPr>
        <w:t>ed nedostatka adekvatnih podataka o bezb</w:t>
      </w:r>
      <w:r w:rsidR="00452A15" w:rsidRPr="008B3B89">
        <w:rPr>
          <w:szCs w:val="22"/>
          <w:lang w:val="sr-Latn-ME"/>
        </w:rPr>
        <w:t>j</w:t>
      </w:r>
      <w:r w:rsidRPr="008B3B89">
        <w:rPr>
          <w:szCs w:val="22"/>
          <w:lang w:val="sr-Latn-ME"/>
        </w:rPr>
        <w:t>ednosti prim</w:t>
      </w:r>
      <w:r w:rsidR="00452A15" w:rsidRPr="008B3B89">
        <w:rPr>
          <w:szCs w:val="22"/>
          <w:lang w:val="sr-Latn-ME"/>
        </w:rPr>
        <w:t>j</w:t>
      </w:r>
      <w:r w:rsidRPr="008B3B89">
        <w:rPr>
          <w:szCs w:val="22"/>
          <w:lang w:val="sr-Latn-ME"/>
        </w:rPr>
        <w:t>ene l</w:t>
      </w:r>
      <w:r w:rsidR="00452A15" w:rsidRPr="008B3B89">
        <w:rPr>
          <w:szCs w:val="22"/>
          <w:lang w:val="sr-Latn-ME"/>
        </w:rPr>
        <w:t>ij</w:t>
      </w:r>
      <w:r w:rsidRPr="008B3B89">
        <w:rPr>
          <w:szCs w:val="22"/>
          <w:lang w:val="sr-Latn-ME"/>
        </w:rPr>
        <w:t xml:space="preserve">eka, </w:t>
      </w:r>
      <w:r w:rsidR="00967612" w:rsidRPr="008B3B89">
        <w:rPr>
          <w:szCs w:val="22"/>
          <w:lang w:val="sr-Latn-ME"/>
        </w:rPr>
        <w:t>mebendazol ne treba koristiti kod d</w:t>
      </w:r>
      <w:r w:rsidR="00452A15" w:rsidRPr="008B3B89">
        <w:rPr>
          <w:szCs w:val="22"/>
          <w:lang w:val="sr-Latn-ME"/>
        </w:rPr>
        <w:t>j</w:t>
      </w:r>
      <w:r w:rsidR="00967612" w:rsidRPr="008B3B89">
        <w:rPr>
          <w:szCs w:val="22"/>
          <w:lang w:val="sr-Latn-ME"/>
        </w:rPr>
        <w:t xml:space="preserve">ece </w:t>
      </w:r>
      <w:r w:rsidR="003055C4" w:rsidRPr="008B3B89">
        <w:rPr>
          <w:szCs w:val="22"/>
          <w:lang w:val="sr-Latn-ME"/>
        </w:rPr>
        <w:t>uzrasta ispod</w:t>
      </w:r>
      <w:r w:rsidR="00967612" w:rsidRPr="008B3B89">
        <w:rPr>
          <w:szCs w:val="22"/>
          <w:lang w:val="sr-Latn-ME"/>
        </w:rPr>
        <w:t xml:space="preserve"> godinu dana (vid</w:t>
      </w:r>
      <w:r w:rsidR="00452A15" w:rsidRPr="008B3B89">
        <w:rPr>
          <w:szCs w:val="22"/>
          <w:lang w:val="sr-Latn-ME"/>
        </w:rPr>
        <w:t>j</w:t>
      </w:r>
      <w:r w:rsidR="00967612" w:rsidRPr="008B3B89">
        <w:rPr>
          <w:szCs w:val="22"/>
          <w:lang w:val="sr-Latn-ME"/>
        </w:rPr>
        <w:t xml:space="preserve">eti </w:t>
      </w:r>
      <w:r w:rsidR="009C1610" w:rsidRPr="008B3B89">
        <w:rPr>
          <w:szCs w:val="22"/>
          <w:lang w:val="sr-Latn-ME"/>
        </w:rPr>
        <w:t>d</w:t>
      </w:r>
      <w:r w:rsidR="00452A15" w:rsidRPr="008B3B89">
        <w:rPr>
          <w:szCs w:val="22"/>
          <w:lang w:val="sr-Latn-ME"/>
        </w:rPr>
        <w:t>jelove</w:t>
      </w:r>
      <w:r w:rsidR="00967612" w:rsidRPr="008B3B89">
        <w:rPr>
          <w:szCs w:val="22"/>
          <w:lang w:val="sr-Latn-ME"/>
        </w:rPr>
        <w:t xml:space="preserve"> 4.4, 4.8 i 5.2).</w:t>
      </w:r>
    </w:p>
    <w:p w14:paraId="0B604261" w14:textId="6CA1C941" w:rsidR="00967612" w:rsidRPr="008B3B89" w:rsidRDefault="00967612" w:rsidP="00107322">
      <w:pPr>
        <w:rPr>
          <w:b/>
          <w:bCs/>
          <w:szCs w:val="22"/>
          <w:lang w:val="sr-Latn-ME"/>
        </w:rPr>
      </w:pPr>
      <w:r w:rsidRPr="008B3B89">
        <w:rPr>
          <w:b/>
          <w:bCs/>
          <w:szCs w:val="22"/>
          <w:lang w:val="sr-Latn-ME"/>
        </w:rPr>
        <w:lastRenderedPageBreak/>
        <w:t>Način prim</w:t>
      </w:r>
      <w:r w:rsidR="00452A15" w:rsidRPr="008B3B89">
        <w:rPr>
          <w:b/>
          <w:bCs/>
          <w:szCs w:val="22"/>
          <w:lang w:val="sr-Latn-ME"/>
        </w:rPr>
        <w:t>j</w:t>
      </w:r>
      <w:r w:rsidRPr="008B3B89">
        <w:rPr>
          <w:b/>
          <w:bCs/>
          <w:szCs w:val="22"/>
          <w:lang w:val="sr-Latn-ME"/>
        </w:rPr>
        <w:t>ene</w:t>
      </w:r>
    </w:p>
    <w:p w14:paraId="2FEAC261" w14:textId="24D57C6F" w:rsidR="00967612" w:rsidRPr="008B3B89" w:rsidRDefault="00967612" w:rsidP="00107322">
      <w:pPr>
        <w:rPr>
          <w:szCs w:val="22"/>
          <w:lang w:val="sr-Latn-ME"/>
        </w:rPr>
      </w:pPr>
      <w:r w:rsidRPr="008B3B89">
        <w:rPr>
          <w:szCs w:val="22"/>
          <w:lang w:val="sr-Latn-ME"/>
        </w:rPr>
        <w:t>Oralna upotreba.</w:t>
      </w:r>
    </w:p>
    <w:p w14:paraId="6972592E" w14:textId="77777777" w:rsidR="00AC2434" w:rsidRPr="008B3B89" w:rsidRDefault="00AC2434" w:rsidP="00107322">
      <w:pPr>
        <w:rPr>
          <w:szCs w:val="22"/>
          <w:lang w:val="sr-Latn-ME"/>
        </w:rPr>
      </w:pPr>
    </w:p>
    <w:p w14:paraId="74AF5E1B" w14:textId="47FFBC23" w:rsidR="00057794" w:rsidRPr="008B3B89" w:rsidRDefault="00057794" w:rsidP="00107322">
      <w:pPr>
        <w:rPr>
          <w:b/>
          <w:bCs/>
          <w:szCs w:val="22"/>
          <w:lang w:val="sr-Latn-ME"/>
        </w:rPr>
      </w:pPr>
      <w:r w:rsidRPr="008B3B89">
        <w:rPr>
          <w:b/>
          <w:bCs/>
          <w:szCs w:val="22"/>
          <w:lang w:val="sr-Latn-ME"/>
        </w:rPr>
        <w:t>4.3. Kontraindikacije</w:t>
      </w:r>
    </w:p>
    <w:p w14:paraId="38E15E1C" w14:textId="77777777" w:rsidR="00627B84" w:rsidRPr="008B3B89" w:rsidRDefault="00627B84" w:rsidP="00107322">
      <w:pPr>
        <w:rPr>
          <w:b/>
          <w:bCs/>
          <w:szCs w:val="22"/>
          <w:lang w:val="sr-Latn-ME"/>
        </w:rPr>
      </w:pPr>
    </w:p>
    <w:p w14:paraId="74AF5E1D" w14:textId="6F2336B7" w:rsidR="00143842" w:rsidRPr="008B3B89" w:rsidRDefault="00143842" w:rsidP="00107322">
      <w:pPr>
        <w:pStyle w:val="Header"/>
        <w:numPr>
          <w:ilvl w:val="0"/>
          <w:numId w:val="5"/>
        </w:numPr>
        <w:tabs>
          <w:tab w:val="clear" w:pos="4536"/>
          <w:tab w:val="clear" w:pos="9072"/>
          <w:tab w:val="left" w:pos="284"/>
        </w:tabs>
        <w:ind w:left="714" w:hanging="357"/>
        <w:rPr>
          <w:rFonts w:cs="Arial"/>
          <w:lang w:val="sr-Latn-ME"/>
        </w:rPr>
      </w:pPr>
      <w:r w:rsidRPr="008B3B89">
        <w:rPr>
          <w:rFonts w:cs="Arial"/>
          <w:lang w:val="sr-Latn-ME"/>
        </w:rPr>
        <w:t>Preos</w:t>
      </w:r>
      <w:r w:rsidR="00452A15" w:rsidRPr="008B3B89">
        <w:rPr>
          <w:rFonts w:cs="Arial"/>
          <w:lang w:val="sr-Latn-ME"/>
        </w:rPr>
        <w:t>j</w:t>
      </w:r>
      <w:r w:rsidRPr="008B3B89">
        <w:rPr>
          <w:rFonts w:cs="Arial"/>
          <w:lang w:val="sr-Latn-ME"/>
        </w:rPr>
        <w:t xml:space="preserve">etljivost na </w:t>
      </w:r>
      <w:r w:rsidR="001E14BD" w:rsidRPr="008B3B89">
        <w:rPr>
          <w:rFonts w:cs="Arial"/>
          <w:lang w:val="sr-Latn-ME"/>
        </w:rPr>
        <w:t>aktivnu supstancu</w:t>
      </w:r>
      <w:r w:rsidRPr="008B3B89">
        <w:rPr>
          <w:rFonts w:cs="Arial"/>
          <w:lang w:val="sr-Latn-ME"/>
        </w:rPr>
        <w:t xml:space="preserve"> ili </w:t>
      </w:r>
      <w:r w:rsidR="001E14BD" w:rsidRPr="008B3B89">
        <w:rPr>
          <w:rFonts w:cs="Arial"/>
          <w:lang w:val="sr-Latn-ME"/>
        </w:rPr>
        <w:t xml:space="preserve">na </w:t>
      </w:r>
      <w:r w:rsidRPr="008B3B89">
        <w:rPr>
          <w:rFonts w:cs="Arial"/>
          <w:lang w:val="sr-Latn-ME"/>
        </w:rPr>
        <w:t xml:space="preserve">bilo koju </w:t>
      </w:r>
      <w:r w:rsidR="001E14BD" w:rsidRPr="008B3B89">
        <w:rPr>
          <w:rFonts w:cs="Arial"/>
          <w:lang w:val="sr-Latn-ME"/>
        </w:rPr>
        <w:t xml:space="preserve">od pomoćnih supstanci navedenih u </w:t>
      </w:r>
      <w:r w:rsidR="00452A15" w:rsidRPr="008B3B89">
        <w:rPr>
          <w:rFonts w:cs="Arial"/>
          <w:lang w:val="sr-Latn-ME"/>
        </w:rPr>
        <w:t>dijelu</w:t>
      </w:r>
      <w:r w:rsidR="001E14BD" w:rsidRPr="008B3B89">
        <w:rPr>
          <w:rFonts w:cs="Arial"/>
          <w:lang w:val="sr-Latn-ME"/>
        </w:rPr>
        <w:t xml:space="preserve"> </w:t>
      </w:r>
      <w:r w:rsidRPr="008B3B89">
        <w:rPr>
          <w:szCs w:val="19"/>
          <w:lang w:val="sr-Latn-ME"/>
        </w:rPr>
        <w:t>6.1</w:t>
      </w:r>
      <w:r w:rsidR="001E14BD" w:rsidRPr="008B3B89">
        <w:rPr>
          <w:szCs w:val="19"/>
          <w:lang w:val="sr-Latn-ME"/>
        </w:rPr>
        <w:t>.</w:t>
      </w:r>
    </w:p>
    <w:p w14:paraId="74AF5E1E" w14:textId="584C52CA" w:rsidR="00057794" w:rsidRPr="008B3B89" w:rsidRDefault="00143842" w:rsidP="00107322">
      <w:pPr>
        <w:numPr>
          <w:ilvl w:val="0"/>
          <w:numId w:val="5"/>
        </w:numPr>
        <w:ind w:left="714" w:hanging="357"/>
        <w:rPr>
          <w:szCs w:val="22"/>
          <w:lang w:val="sr-Latn-ME"/>
        </w:rPr>
      </w:pPr>
      <w:r w:rsidRPr="008B3B89">
        <w:rPr>
          <w:szCs w:val="22"/>
          <w:lang w:val="sr-Latn-ME"/>
        </w:rPr>
        <w:t>Trudnoća</w:t>
      </w:r>
      <w:r w:rsidR="00424EF3" w:rsidRPr="008B3B89">
        <w:rPr>
          <w:szCs w:val="22"/>
          <w:lang w:val="sr-Latn-ME"/>
        </w:rPr>
        <w:t>.</w:t>
      </w:r>
    </w:p>
    <w:p w14:paraId="6DFFDBC6" w14:textId="77777777" w:rsidR="00627B84" w:rsidRPr="008B3B89" w:rsidRDefault="00627B84" w:rsidP="00107322">
      <w:pPr>
        <w:rPr>
          <w:b/>
          <w:bCs/>
          <w:szCs w:val="22"/>
          <w:lang w:val="sr-Latn-ME"/>
        </w:rPr>
      </w:pPr>
    </w:p>
    <w:p w14:paraId="74AF5E21" w14:textId="31E309E8" w:rsidR="00057794" w:rsidRPr="008B3B89" w:rsidRDefault="00057794" w:rsidP="00107322">
      <w:pPr>
        <w:rPr>
          <w:b/>
          <w:bCs/>
          <w:szCs w:val="22"/>
          <w:lang w:val="sr-Latn-ME"/>
        </w:rPr>
      </w:pPr>
      <w:r w:rsidRPr="008B3B89">
        <w:rPr>
          <w:b/>
          <w:bCs/>
          <w:szCs w:val="22"/>
          <w:lang w:val="sr-Latn-ME"/>
        </w:rPr>
        <w:t>4.4. Posebna upozorenja i m</w:t>
      </w:r>
      <w:r w:rsidR="00452A15" w:rsidRPr="008B3B89">
        <w:rPr>
          <w:b/>
          <w:bCs/>
          <w:szCs w:val="22"/>
          <w:lang w:val="sr-Latn-ME"/>
        </w:rPr>
        <w:t>j</w:t>
      </w:r>
      <w:r w:rsidRPr="008B3B89">
        <w:rPr>
          <w:b/>
          <w:bCs/>
          <w:szCs w:val="22"/>
          <w:lang w:val="sr-Latn-ME"/>
        </w:rPr>
        <w:t>ere opreza pri upotrebi l</w:t>
      </w:r>
      <w:r w:rsidR="00452A15" w:rsidRPr="008B3B89">
        <w:rPr>
          <w:b/>
          <w:bCs/>
          <w:szCs w:val="22"/>
          <w:lang w:val="sr-Latn-ME"/>
        </w:rPr>
        <w:t>ij</w:t>
      </w:r>
      <w:r w:rsidRPr="008B3B89">
        <w:rPr>
          <w:b/>
          <w:bCs/>
          <w:szCs w:val="22"/>
          <w:lang w:val="sr-Latn-ME"/>
        </w:rPr>
        <w:t>eka</w:t>
      </w:r>
    </w:p>
    <w:p w14:paraId="15645735" w14:textId="77777777" w:rsidR="00627B84" w:rsidRPr="008B3B89" w:rsidRDefault="00627B84" w:rsidP="00107322">
      <w:pPr>
        <w:pStyle w:val="Header"/>
        <w:tabs>
          <w:tab w:val="clear" w:pos="4536"/>
          <w:tab w:val="clear" w:pos="9072"/>
          <w:tab w:val="left" w:pos="284"/>
          <w:tab w:val="left" w:pos="9960"/>
        </w:tabs>
        <w:rPr>
          <w:rFonts w:cs="Arial"/>
          <w:lang w:val="sr-Latn-ME"/>
        </w:rPr>
      </w:pPr>
    </w:p>
    <w:p w14:paraId="74AF5E23" w14:textId="4F29E5DE" w:rsidR="00143842" w:rsidRPr="008B3B89" w:rsidRDefault="004514D8" w:rsidP="00107322">
      <w:pPr>
        <w:pStyle w:val="Header"/>
        <w:tabs>
          <w:tab w:val="clear" w:pos="4536"/>
          <w:tab w:val="clear" w:pos="9072"/>
          <w:tab w:val="left" w:pos="284"/>
          <w:tab w:val="left" w:pos="9960"/>
        </w:tabs>
        <w:rPr>
          <w:rFonts w:cs="Arial"/>
          <w:lang w:val="sr-Latn-ME"/>
        </w:rPr>
      </w:pPr>
      <w:r w:rsidRPr="008B3B89">
        <w:rPr>
          <w:rFonts w:cs="Arial"/>
          <w:lang w:val="sr-Latn-ME"/>
        </w:rPr>
        <w:t>Mebendazol</w:t>
      </w:r>
      <w:r w:rsidR="00143842" w:rsidRPr="008B3B89">
        <w:rPr>
          <w:rFonts w:cs="Arial"/>
          <w:lang w:val="sr-Latn-ME"/>
        </w:rPr>
        <w:t xml:space="preserve"> se ne preporučuje za </w:t>
      </w:r>
      <w:r w:rsidRPr="008B3B89">
        <w:rPr>
          <w:rFonts w:cs="Arial"/>
          <w:lang w:val="sr-Latn-ME"/>
        </w:rPr>
        <w:t>prim</w:t>
      </w:r>
      <w:r w:rsidR="00452A15" w:rsidRPr="008B3B89">
        <w:rPr>
          <w:rFonts w:cs="Arial"/>
          <w:lang w:val="sr-Latn-ME"/>
        </w:rPr>
        <w:t>j</w:t>
      </w:r>
      <w:r w:rsidRPr="008B3B89">
        <w:rPr>
          <w:rFonts w:cs="Arial"/>
          <w:lang w:val="sr-Latn-ME"/>
        </w:rPr>
        <w:t>enu</w:t>
      </w:r>
      <w:r w:rsidR="00143842" w:rsidRPr="008B3B89">
        <w:rPr>
          <w:rFonts w:cs="Arial"/>
          <w:lang w:val="sr-Latn-ME"/>
        </w:rPr>
        <w:t xml:space="preserve"> kod d</w:t>
      </w:r>
      <w:r w:rsidR="00452A15" w:rsidRPr="008B3B89">
        <w:rPr>
          <w:rFonts w:cs="Arial"/>
          <w:lang w:val="sr-Latn-ME"/>
        </w:rPr>
        <w:t>j</w:t>
      </w:r>
      <w:r w:rsidR="00143842" w:rsidRPr="008B3B89">
        <w:rPr>
          <w:rFonts w:cs="Arial"/>
          <w:lang w:val="sr-Latn-ME"/>
        </w:rPr>
        <w:t xml:space="preserve">ece </w:t>
      </w:r>
      <w:r w:rsidR="00522C28" w:rsidRPr="008B3B89">
        <w:rPr>
          <w:rFonts w:cs="Arial"/>
          <w:lang w:val="sr-Latn-ME"/>
        </w:rPr>
        <w:t>uzrasta ispod</w:t>
      </w:r>
      <w:r w:rsidR="00143842" w:rsidRPr="008B3B89">
        <w:rPr>
          <w:rFonts w:cs="Arial"/>
          <w:lang w:val="sr-Latn-ME"/>
        </w:rPr>
        <w:t xml:space="preserve"> 2 godine.</w:t>
      </w:r>
    </w:p>
    <w:p w14:paraId="79912AD0" w14:textId="4CA119CE" w:rsidR="00424EF3" w:rsidRPr="008B3B89" w:rsidRDefault="00424EF3" w:rsidP="00107322">
      <w:pPr>
        <w:pStyle w:val="Header"/>
        <w:tabs>
          <w:tab w:val="clear" w:pos="4536"/>
          <w:tab w:val="clear" w:pos="9072"/>
          <w:tab w:val="left" w:pos="284"/>
          <w:tab w:val="left" w:pos="9960"/>
        </w:tabs>
        <w:rPr>
          <w:rFonts w:cs="Arial"/>
          <w:lang w:val="sr-Latn-ME"/>
        </w:rPr>
      </w:pPr>
      <w:r w:rsidRPr="008B3B89">
        <w:rPr>
          <w:rFonts w:cs="Arial"/>
          <w:lang w:val="sr-Latn-ME"/>
        </w:rPr>
        <w:t>Prijavljeni su r</w:t>
      </w:r>
      <w:r w:rsidR="00452A15" w:rsidRPr="008B3B89">
        <w:rPr>
          <w:rFonts w:cs="Arial"/>
          <w:lang w:val="sr-Latn-ME"/>
        </w:rPr>
        <w:t>ij</w:t>
      </w:r>
      <w:r w:rsidRPr="008B3B89">
        <w:rPr>
          <w:rFonts w:cs="Arial"/>
          <w:lang w:val="sr-Latn-ME"/>
        </w:rPr>
        <w:t>etki slučajevi reverzibiln</w:t>
      </w:r>
      <w:r w:rsidR="005B3A6B" w:rsidRPr="008B3B89">
        <w:rPr>
          <w:rFonts w:cs="Arial"/>
          <w:lang w:val="sr-Latn-ME"/>
        </w:rPr>
        <w:t>ih</w:t>
      </w:r>
      <w:r w:rsidRPr="008B3B89">
        <w:rPr>
          <w:rFonts w:cs="Arial"/>
          <w:lang w:val="sr-Latn-ME"/>
        </w:rPr>
        <w:t xml:space="preserve"> pomerećaja funkcije jetre, hepatitisa i neutropenije kod pacijenata koji su l</w:t>
      </w:r>
      <w:r w:rsidR="00452A15" w:rsidRPr="008B3B89">
        <w:rPr>
          <w:rFonts w:cs="Arial"/>
          <w:lang w:val="sr-Latn-ME"/>
        </w:rPr>
        <w:t>ij</w:t>
      </w:r>
      <w:r w:rsidRPr="008B3B89">
        <w:rPr>
          <w:rFonts w:cs="Arial"/>
          <w:lang w:val="sr-Latn-ME"/>
        </w:rPr>
        <w:t xml:space="preserve">ečeni mebendazolom u preporučenim dozama </w:t>
      </w:r>
      <w:r w:rsidR="00014656" w:rsidRPr="008B3B89">
        <w:rPr>
          <w:rFonts w:cs="Arial"/>
          <w:lang w:val="sr-Latn-ME"/>
        </w:rPr>
        <w:t>za odobrene indikacije (vid</w:t>
      </w:r>
      <w:r w:rsidR="00452A15" w:rsidRPr="008B3B89">
        <w:rPr>
          <w:rFonts w:cs="Arial"/>
          <w:lang w:val="sr-Latn-ME"/>
        </w:rPr>
        <w:t>j</w:t>
      </w:r>
      <w:r w:rsidR="00014656" w:rsidRPr="008B3B89">
        <w:rPr>
          <w:rFonts w:cs="Arial"/>
          <w:lang w:val="sr-Latn-ME"/>
        </w:rPr>
        <w:t xml:space="preserve">eti </w:t>
      </w:r>
      <w:r w:rsidR="00452A15" w:rsidRPr="008B3B89">
        <w:rPr>
          <w:rFonts w:cs="Arial"/>
          <w:lang w:val="sr-Latn-ME"/>
        </w:rPr>
        <w:t>dio</w:t>
      </w:r>
      <w:r w:rsidR="00014656" w:rsidRPr="008B3B89">
        <w:rPr>
          <w:rFonts w:cs="Arial"/>
          <w:lang w:val="sr-Latn-ME"/>
        </w:rPr>
        <w:t xml:space="preserve"> 4.8). </w:t>
      </w:r>
      <w:r w:rsidR="00D248BE" w:rsidRPr="008B3B89">
        <w:rPr>
          <w:rFonts w:cs="Arial"/>
          <w:lang w:val="sr-Latn-ME"/>
        </w:rPr>
        <w:t>Takođe su prijavljeni agranulocitoza i glomerulonefritis kod pacijenata liječenih od Echinococcosis.</w:t>
      </w:r>
    </w:p>
    <w:p w14:paraId="74AF5E25" w14:textId="538F0695" w:rsidR="00143842" w:rsidRPr="008B3B89" w:rsidRDefault="00143842" w:rsidP="00107322">
      <w:pPr>
        <w:pStyle w:val="Header"/>
        <w:tabs>
          <w:tab w:val="clear" w:pos="4536"/>
          <w:tab w:val="clear" w:pos="9072"/>
          <w:tab w:val="left" w:pos="284"/>
          <w:tab w:val="left" w:pos="9960"/>
        </w:tabs>
        <w:rPr>
          <w:rFonts w:cs="Arial"/>
          <w:lang w:val="sr-Latn-ME"/>
        </w:rPr>
      </w:pPr>
      <w:r w:rsidRPr="008B3B89">
        <w:rPr>
          <w:rFonts w:cs="Arial"/>
          <w:lang w:val="sr-Latn-ME"/>
        </w:rPr>
        <w:t xml:space="preserve">Rezultati </w:t>
      </w:r>
      <w:r w:rsidR="00DC4394" w:rsidRPr="008B3B89">
        <w:rPr>
          <w:rFonts w:cs="Arial"/>
          <w:lang w:val="sr-Latn-ME"/>
        </w:rPr>
        <w:t xml:space="preserve">jedne </w:t>
      </w:r>
      <w:r w:rsidR="000F774C" w:rsidRPr="008B3B89">
        <w:rPr>
          <w:rFonts w:cs="Arial"/>
          <w:lang w:val="sr-Latn-ME"/>
        </w:rPr>
        <w:t>studije slučaj-kontrola</w:t>
      </w:r>
      <w:r w:rsidR="00DC4394" w:rsidRPr="008B3B89">
        <w:rPr>
          <w:rFonts w:cs="Arial"/>
          <w:lang w:val="sr-Latn-ME"/>
        </w:rPr>
        <w:t xml:space="preserve"> izbijanja</w:t>
      </w:r>
      <w:r w:rsidRPr="008B3B89">
        <w:rPr>
          <w:rFonts w:cs="Arial"/>
          <w:lang w:val="sr-Latn-ME"/>
        </w:rPr>
        <w:t xml:space="preserve"> </w:t>
      </w:r>
      <w:r w:rsidRPr="008B3B89">
        <w:rPr>
          <w:rFonts w:cs="Arial"/>
          <w:i/>
          <w:lang w:val="sr-Latn-ME"/>
        </w:rPr>
        <w:t>Stevens-Johnson-</w:t>
      </w:r>
      <w:r w:rsidRPr="008B3B89">
        <w:rPr>
          <w:rFonts w:cs="Arial"/>
          <w:lang w:val="sr-Latn-ME"/>
        </w:rPr>
        <w:t>ovog sindroma/toksične epidermalne nekrolize (SJS/TEN)</w:t>
      </w:r>
      <w:r w:rsidR="00DC4394" w:rsidRPr="008B3B89">
        <w:rPr>
          <w:rFonts w:cs="Arial"/>
          <w:lang w:val="sr-Latn-ME"/>
        </w:rPr>
        <w:t xml:space="preserve"> </w:t>
      </w:r>
      <w:r w:rsidR="00B21F2B" w:rsidRPr="008B3B89">
        <w:rPr>
          <w:rFonts w:cs="Arial"/>
          <w:lang w:val="sr-Latn-ME"/>
        </w:rPr>
        <w:t xml:space="preserve">ukazuju </w:t>
      </w:r>
      <w:r w:rsidR="001452EB" w:rsidRPr="008B3B89">
        <w:rPr>
          <w:rFonts w:cs="Arial"/>
          <w:lang w:val="sr-Latn-ME"/>
        </w:rPr>
        <w:t xml:space="preserve">na </w:t>
      </w:r>
      <w:r w:rsidR="00DC4394" w:rsidRPr="008B3B89">
        <w:rPr>
          <w:rFonts w:cs="Arial"/>
          <w:lang w:val="sr-Latn-ME"/>
        </w:rPr>
        <w:t>moguću vezu</w:t>
      </w:r>
      <w:r w:rsidRPr="008B3B89">
        <w:rPr>
          <w:rFonts w:cs="Arial"/>
          <w:lang w:val="sr-Latn-ME"/>
        </w:rPr>
        <w:t xml:space="preserve"> </w:t>
      </w:r>
      <w:r w:rsidR="00DC4394" w:rsidRPr="008B3B89">
        <w:rPr>
          <w:rFonts w:cs="Arial"/>
          <w:lang w:val="sr-Latn-ME"/>
        </w:rPr>
        <w:t xml:space="preserve">sa </w:t>
      </w:r>
      <w:r w:rsidRPr="008B3B89">
        <w:rPr>
          <w:rFonts w:cs="Arial"/>
          <w:lang w:val="sr-Latn-ME"/>
        </w:rPr>
        <w:t>istovremen</w:t>
      </w:r>
      <w:r w:rsidR="00DC4394" w:rsidRPr="008B3B89">
        <w:rPr>
          <w:rFonts w:cs="Arial"/>
          <w:lang w:val="sr-Latn-ME"/>
        </w:rPr>
        <w:t>om</w:t>
      </w:r>
      <w:r w:rsidRPr="008B3B89">
        <w:rPr>
          <w:rFonts w:cs="Arial"/>
          <w:lang w:val="sr-Latn-ME"/>
        </w:rPr>
        <w:t xml:space="preserve"> prim</w:t>
      </w:r>
      <w:r w:rsidR="00452A15" w:rsidRPr="008B3B89">
        <w:rPr>
          <w:rFonts w:cs="Arial"/>
          <w:lang w:val="sr-Latn-ME"/>
        </w:rPr>
        <w:t>j</w:t>
      </w:r>
      <w:r w:rsidRPr="008B3B89">
        <w:rPr>
          <w:rFonts w:cs="Arial"/>
          <w:lang w:val="sr-Latn-ME"/>
        </w:rPr>
        <w:t>en</w:t>
      </w:r>
      <w:r w:rsidR="00DC4394" w:rsidRPr="008B3B89">
        <w:rPr>
          <w:rFonts w:cs="Arial"/>
          <w:lang w:val="sr-Latn-ME"/>
        </w:rPr>
        <w:t>om</w:t>
      </w:r>
      <w:r w:rsidRPr="008B3B89">
        <w:rPr>
          <w:rFonts w:cs="Arial"/>
          <w:lang w:val="sr-Latn-ME"/>
        </w:rPr>
        <w:t xml:space="preserve"> metronidazola</w:t>
      </w:r>
      <w:r w:rsidR="00DC4394" w:rsidRPr="008B3B89">
        <w:rPr>
          <w:rFonts w:cs="Arial"/>
          <w:lang w:val="sr-Latn-ME"/>
        </w:rPr>
        <w:t xml:space="preserve"> </w:t>
      </w:r>
      <w:r w:rsidR="00B21F2B" w:rsidRPr="008B3B89">
        <w:rPr>
          <w:rFonts w:cs="Arial"/>
          <w:lang w:val="sr-Latn-ME"/>
        </w:rPr>
        <w:t xml:space="preserve">i </w:t>
      </w:r>
      <w:r w:rsidR="00DC4394" w:rsidRPr="008B3B89">
        <w:rPr>
          <w:rFonts w:cs="Arial"/>
          <w:lang w:val="sr-Latn-ME"/>
        </w:rPr>
        <w:t>mebendazol</w:t>
      </w:r>
      <w:r w:rsidR="00B21F2B" w:rsidRPr="008B3B89">
        <w:rPr>
          <w:rFonts w:cs="Arial"/>
          <w:lang w:val="sr-Latn-ME"/>
        </w:rPr>
        <w:t>a</w:t>
      </w:r>
      <w:r w:rsidRPr="008B3B89">
        <w:rPr>
          <w:rFonts w:cs="Arial"/>
          <w:lang w:val="sr-Latn-ME"/>
        </w:rPr>
        <w:t xml:space="preserve">. </w:t>
      </w:r>
      <w:r w:rsidR="00EB598A" w:rsidRPr="008B3B89">
        <w:rPr>
          <w:rFonts w:cs="Arial"/>
          <w:lang w:val="sr-Latn-ME"/>
        </w:rPr>
        <w:t>Mada ne postoje dodatni podaci o ovoj</w:t>
      </w:r>
      <w:r w:rsidR="00F71EBD" w:rsidRPr="008B3B89">
        <w:rPr>
          <w:rFonts w:cs="Arial"/>
          <w:lang w:val="sr-Latn-ME"/>
        </w:rPr>
        <w:t xml:space="preserve"> </w:t>
      </w:r>
      <w:r w:rsidR="00EB598A" w:rsidRPr="008B3B89">
        <w:rPr>
          <w:rFonts w:cs="Arial"/>
          <w:lang w:val="sr-Latn-ME"/>
        </w:rPr>
        <w:t>mogućoj interakciji</w:t>
      </w:r>
      <w:r w:rsidR="00DC4394" w:rsidRPr="008B3B89">
        <w:rPr>
          <w:rFonts w:cs="Arial"/>
          <w:lang w:val="sr-Latn-ME"/>
        </w:rPr>
        <w:t>,</w:t>
      </w:r>
      <w:r w:rsidRPr="008B3B89">
        <w:rPr>
          <w:rFonts w:cs="Arial"/>
          <w:lang w:val="sr-Latn-ME"/>
        </w:rPr>
        <w:t xml:space="preserve"> treba izb</w:t>
      </w:r>
      <w:r w:rsidR="00452A15" w:rsidRPr="008B3B89">
        <w:rPr>
          <w:rFonts w:cs="Arial"/>
          <w:lang w:val="sr-Latn-ME"/>
        </w:rPr>
        <w:t>j</w:t>
      </w:r>
      <w:r w:rsidRPr="008B3B89">
        <w:rPr>
          <w:rFonts w:cs="Arial"/>
          <w:lang w:val="sr-Latn-ME"/>
        </w:rPr>
        <w:t>egavati istovremenu prim</w:t>
      </w:r>
      <w:r w:rsidR="00452A15" w:rsidRPr="008B3B89">
        <w:rPr>
          <w:rFonts w:cs="Arial"/>
          <w:lang w:val="sr-Latn-ME"/>
        </w:rPr>
        <w:t>j</w:t>
      </w:r>
      <w:r w:rsidRPr="008B3B89">
        <w:rPr>
          <w:rFonts w:cs="Arial"/>
          <w:lang w:val="sr-Latn-ME"/>
        </w:rPr>
        <w:t>enu</w:t>
      </w:r>
      <w:r w:rsidR="00DC4394" w:rsidRPr="008B3B89">
        <w:rPr>
          <w:rFonts w:cs="Arial"/>
          <w:lang w:val="sr-Latn-ME"/>
        </w:rPr>
        <w:t xml:space="preserve"> mebendazola i metronidazola</w:t>
      </w:r>
      <w:r w:rsidRPr="008B3B89">
        <w:rPr>
          <w:rFonts w:cs="Arial"/>
          <w:lang w:val="sr-Latn-ME"/>
        </w:rPr>
        <w:t>.</w:t>
      </w:r>
    </w:p>
    <w:p w14:paraId="2EAB3670" w14:textId="36C61C67" w:rsidR="00B21F2B" w:rsidRPr="008B3B89" w:rsidRDefault="00B21F2B" w:rsidP="00107322">
      <w:pPr>
        <w:pStyle w:val="Header"/>
        <w:tabs>
          <w:tab w:val="clear" w:pos="4536"/>
          <w:tab w:val="clear" w:pos="9072"/>
          <w:tab w:val="left" w:pos="284"/>
          <w:tab w:val="left" w:pos="9960"/>
        </w:tabs>
        <w:rPr>
          <w:rFonts w:cs="Arial"/>
          <w:lang w:val="sr-Latn-ME"/>
        </w:rPr>
      </w:pPr>
      <w:r w:rsidRPr="008B3B89">
        <w:rPr>
          <w:rFonts w:cs="Arial"/>
          <w:lang w:val="sr-Latn-ME"/>
        </w:rPr>
        <w:t>Tokom postmarketinškog praćenja, veoma r</w:t>
      </w:r>
      <w:r w:rsidR="00452A15" w:rsidRPr="008B3B89">
        <w:rPr>
          <w:rFonts w:cs="Arial"/>
          <w:lang w:val="sr-Latn-ME"/>
        </w:rPr>
        <w:t>ij</w:t>
      </w:r>
      <w:r w:rsidRPr="008B3B89">
        <w:rPr>
          <w:rFonts w:cs="Arial"/>
          <w:lang w:val="sr-Latn-ME"/>
        </w:rPr>
        <w:t xml:space="preserve">etko su </w:t>
      </w:r>
      <w:r w:rsidR="003321FF" w:rsidRPr="008B3B89">
        <w:rPr>
          <w:rFonts w:cs="Arial"/>
          <w:lang w:val="sr-Latn-ME"/>
        </w:rPr>
        <w:t>prijavljene</w:t>
      </w:r>
      <w:r w:rsidR="004F1E6E" w:rsidRPr="008B3B89">
        <w:rPr>
          <w:rFonts w:cs="Arial"/>
          <w:lang w:val="sr-Latn-ME"/>
        </w:rPr>
        <w:t xml:space="preserve"> konvulzije</w:t>
      </w:r>
      <w:r w:rsidR="00AD7B5D" w:rsidRPr="008B3B89">
        <w:rPr>
          <w:rFonts w:cs="Arial"/>
          <w:lang w:val="sr-Latn-ME"/>
        </w:rPr>
        <w:t xml:space="preserve"> kod d</w:t>
      </w:r>
      <w:r w:rsidR="00452A15" w:rsidRPr="008B3B89">
        <w:rPr>
          <w:rFonts w:cs="Arial"/>
          <w:lang w:val="sr-Latn-ME"/>
        </w:rPr>
        <w:t>j</w:t>
      </w:r>
      <w:r w:rsidR="00AD7B5D" w:rsidRPr="008B3B89">
        <w:rPr>
          <w:rFonts w:cs="Arial"/>
          <w:lang w:val="sr-Latn-ME"/>
        </w:rPr>
        <w:t xml:space="preserve">ece, uključujući i odojčad </w:t>
      </w:r>
      <w:r w:rsidR="003321FF" w:rsidRPr="008B3B89">
        <w:rPr>
          <w:rFonts w:cs="Arial"/>
          <w:lang w:val="sr-Latn-ME"/>
        </w:rPr>
        <w:t>uzrasta ispod</w:t>
      </w:r>
      <w:r w:rsidR="00AD7B5D" w:rsidRPr="008B3B89">
        <w:rPr>
          <w:rFonts w:cs="Arial"/>
          <w:lang w:val="sr-Latn-ME"/>
        </w:rPr>
        <w:t xml:space="preserve"> godinu dana</w:t>
      </w:r>
      <w:r w:rsidR="004F1E6E" w:rsidRPr="008B3B89">
        <w:rPr>
          <w:rFonts w:cs="Arial"/>
          <w:lang w:val="sr-Latn-ME"/>
        </w:rPr>
        <w:t xml:space="preserve"> (vid</w:t>
      </w:r>
      <w:r w:rsidR="00452A15" w:rsidRPr="008B3B89">
        <w:rPr>
          <w:rFonts w:cs="Arial"/>
          <w:lang w:val="sr-Latn-ME"/>
        </w:rPr>
        <w:t>j</w:t>
      </w:r>
      <w:r w:rsidR="004F1E6E" w:rsidRPr="008B3B89">
        <w:rPr>
          <w:rFonts w:cs="Arial"/>
          <w:lang w:val="sr-Latn-ME"/>
        </w:rPr>
        <w:t xml:space="preserve">eti </w:t>
      </w:r>
      <w:r w:rsidR="00452A15" w:rsidRPr="008B3B89">
        <w:rPr>
          <w:rFonts w:cs="Arial"/>
          <w:lang w:val="sr-Latn-ME"/>
        </w:rPr>
        <w:t>dio</w:t>
      </w:r>
      <w:r w:rsidR="004F1E6E" w:rsidRPr="008B3B89">
        <w:rPr>
          <w:rFonts w:cs="Arial"/>
          <w:lang w:val="sr-Latn-ME"/>
        </w:rPr>
        <w:t xml:space="preserve"> 4.8). Mebendazol nije detaljno ispitan kod d</w:t>
      </w:r>
      <w:r w:rsidR="00452A15" w:rsidRPr="008B3B89">
        <w:rPr>
          <w:rFonts w:cs="Arial"/>
          <w:lang w:val="sr-Latn-ME"/>
        </w:rPr>
        <w:t>j</w:t>
      </w:r>
      <w:r w:rsidR="004F1E6E" w:rsidRPr="008B3B89">
        <w:rPr>
          <w:rFonts w:cs="Arial"/>
          <w:lang w:val="sr-Latn-ME"/>
        </w:rPr>
        <w:t xml:space="preserve">ece </w:t>
      </w:r>
      <w:r w:rsidR="003321FF" w:rsidRPr="008B3B89">
        <w:rPr>
          <w:rFonts w:cs="Arial"/>
          <w:lang w:val="sr-Latn-ME"/>
        </w:rPr>
        <w:t>uzrasta ispod</w:t>
      </w:r>
      <w:r w:rsidR="004F1E6E" w:rsidRPr="008B3B89">
        <w:rPr>
          <w:rFonts w:cs="Arial"/>
          <w:lang w:val="sr-Latn-ME"/>
        </w:rPr>
        <w:t xml:space="preserve"> 2 godine. Stoga, l</w:t>
      </w:r>
      <w:r w:rsidR="00452A15" w:rsidRPr="008B3B89">
        <w:rPr>
          <w:rFonts w:cs="Arial"/>
          <w:lang w:val="sr-Latn-ME"/>
        </w:rPr>
        <w:t>ij</w:t>
      </w:r>
      <w:r w:rsidR="004F1E6E" w:rsidRPr="008B3B89">
        <w:rPr>
          <w:rFonts w:cs="Arial"/>
          <w:lang w:val="sr-Latn-ME"/>
        </w:rPr>
        <w:t>ek Soltrik kod d</w:t>
      </w:r>
      <w:r w:rsidR="00452A15" w:rsidRPr="008B3B89">
        <w:rPr>
          <w:rFonts w:cs="Arial"/>
          <w:lang w:val="sr-Latn-ME"/>
        </w:rPr>
        <w:t>j</w:t>
      </w:r>
      <w:r w:rsidR="004F1E6E" w:rsidRPr="008B3B89">
        <w:rPr>
          <w:rFonts w:cs="Arial"/>
          <w:lang w:val="sr-Latn-ME"/>
        </w:rPr>
        <w:t>ece uzrasta 1-2 godine treba koristiti samo kada očekivana korist prevazilazi potencijalni rizik.</w:t>
      </w:r>
    </w:p>
    <w:p w14:paraId="1D0BE087" w14:textId="31F55E3E" w:rsidR="00AD7B5D" w:rsidRPr="008B3B89" w:rsidRDefault="00AD7B5D" w:rsidP="00107322">
      <w:pPr>
        <w:pStyle w:val="Header"/>
        <w:tabs>
          <w:tab w:val="clear" w:pos="4536"/>
          <w:tab w:val="clear" w:pos="9072"/>
          <w:tab w:val="left" w:pos="284"/>
          <w:tab w:val="left" w:pos="9960"/>
        </w:tabs>
        <w:rPr>
          <w:rFonts w:cs="Arial"/>
          <w:lang w:val="sr-Latn-ME"/>
        </w:rPr>
      </w:pPr>
      <w:r w:rsidRPr="008B3B89">
        <w:rPr>
          <w:rFonts w:cs="Arial"/>
          <w:lang w:val="sr-Latn-ME"/>
        </w:rPr>
        <w:t>Usl</w:t>
      </w:r>
      <w:r w:rsidR="00AC45D8" w:rsidRPr="008B3B89">
        <w:rPr>
          <w:rFonts w:cs="Arial"/>
          <w:lang w:val="sr-Latn-ME"/>
        </w:rPr>
        <w:t>j</w:t>
      </w:r>
      <w:r w:rsidRPr="008B3B89">
        <w:rPr>
          <w:rFonts w:cs="Arial"/>
          <w:lang w:val="sr-Latn-ME"/>
        </w:rPr>
        <w:t>ed nedostatka podataka o bezb</w:t>
      </w:r>
      <w:r w:rsidR="00AC45D8" w:rsidRPr="008B3B89">
        <w:rPr>
          <w:rFonts w:cs="Arial"/>
          <w:lang w:val="sr-Latn-ME"/>
        </w:rPr>
        <w:t>j</w:t>
      </w:r>
      <w:r w:rsidRPr="008B3B89">
        <w:rPr>
          <w:rFonts w:cs="Arial"/>
          <w:lang w:val="sr-Latn-ME"/>
        </w:rPr>
        <w:t>ednosti, l</w:t>
      </w:r>
      <w:r w:rsidR="00AC45D8" w:rsidRPr="008B3B89">
        <w:rPr>
          <w:rFonts w:cs="Arial"/>
          <w:lang w:val="sr-Latn-ME"/>
        </w:rPr>
        <w:t>ij</w:t>
      </w:r>
      <w:r w:rsidRPr="008B3B89">
        <w:rPr>
          <w:rFonts w:cs="Arial"/>
          <w:lang w:val="sr-Latn-ME"/>
        </w:rPr>
        <w:t>ek Soltrik ne treba koristiti kod d</w:t>
      </w:r>
      <w:r w:rsidR="00AC45D8" w:rsidRPr="008B3B89">
        <w:rPr>
          <w:rFonts w:cs="Arial"/>
          <w:lang w:val="sr-Latn-ME"/>
        </w:rPr>
        <w:t>j</w:t>
      </w:r>
      <w:r w:rsidRPr="008B3B89">
        <w:rPr>
          <w:rFonts w:cs="Arial"/>
          <w:lang w:val="sr-Latn-ME"/>
        </w:rPr>
        <w:t>ece mlađe od godinu dana.</w:t>
      </w:r>
    </w:p>
    <w:p w14:paraId="5ED997EA" w14:textId="44AE4210" w:rsidR="00AD7B5D" w:rsidRPr="008B3B89" w:rsidRDefault="00AD7B5D" w:rsidP="00107322">
      <w:pPr>
        <w:pStyle w:val="Header"/>
        <w:tabs>
          <w:tab w:val="clear" w:pos="4536"/>
          <w:tab w:val="clear" w:pos="9072"/>
          <w:tab w:val="left" w:pos="284"/>
          <w:tab w:val="left" w:pos="9960"/>
        </w:tabs>
        <w:rPr>
          <w:rFonts w:cs="Arial"/>
          <w:lang w:val="sr-Latn-ME"/>
        </w:rPr>
      </w:pPr>
      <w:r w:rsidRPr="008B3B89">
        <w:rPr>
          <w:rFonts w:cs="Arial"/>
          <w:lang w:val="sr-Latn-ME"/>
        </w:rPr>
        <w:t>L</w:t>
      </w:r>
      <w:r w:rsidR="00AC45D8" w:rsidRPr="008B3B89">
        <w:rPr>
          <w:rFonts w:cs="Arial"/>
          <w:lang w:val="sr-Latn-ME"/>
        </w:rPr>
        <w:t>ij</w:t>
      </w:r>
      <w:r w:rsidRPr="008B3B89">
        <w:rPr>
          <w:rFonts w:cs="Arial"/>
          <w:lang w:val="sr-Latn-ME"/>
        </w:rPr>
        <w:t xml:space="preserve">ek Soltrik </w:t>
      </w:r>
      <w:r w:rsidR="00A1158C" w:rsidRPr="008B3B89">
        <w:rPr>
          <w:rFonts w:cs="Arial"/>
          <w:lang w:val="sr-Latn-ME"/>
        </w:rPr>
        <w:t>veoma maloj d</w:t>
      </w:r>
      <w:r w:rsidR="00AC45D8" w:rsidRPr="008B3B89">
        <w:rPr>
          <w:rFonts w:cs="Arial"/>
          <w:lang w:val="sr-Latn-ME"/>
        </w:rPr>
        <w:t>j</w:t>
      </w:r>
      <w:r w:rsidR="00A1158C" w:rsidRPr="008B3B89">
        <w:rPr>
          <w:rFonts w:cs="Arial"/>
          <w:lang w:val="sr-Latn-ME"/>
        </w:rPr>
        <w:t xml:space="preserve">eci treba davati samo ukoliko </w:t>
      </w:r>
      <w:r w:rsidR="00DD071D" w:rsidRPr="008B3B89">
        <w:rPr>
          <w:rFonts w:cs="Arial"/>
          <w:lang w:val="sr-Latn-ME"/>
        </w:rPr>
        <w:t>infestacija</w:t>
      </w:r>
      <w:r w:rsidR="00A1158C" w:rsidRPr="008B3B89">
        <w:rPr>
          <w:rFonts w:cs="Arial"/>
          <w:lang w:val="sr-Latn-ME"/>
        </w:rPr>
        <w:t xml:space="preserve"> helmintima značajno narušava njihov nutritivni status i fizički razvoj.</w:t>
      </w:r>
    </w:p>
    <w:p w14:paraId="6C2944E3" w14:textId="77777777" w:rsidR="00FA0F8A" w:rsidRPr="008B3B89" w:rsidRDefault="00FA0F8A" w:rsidP="00107322">
      <w:pPr>
        <w:pStyle w:val="Header"/>
        <w:tabs>
          <w:tab w:val="clear" w:pos="4536"/>
          <w:tab w:val="clear" w:pos="9072"/>
          <w:tab w:val="left" w:pos="284"/>
          <w:tab w:val="left" w:pos="9960"/>
        </w:tabs>
        <w:rPr>
          <w:rFonts w:cs="Arial"/>
          <w:lang w:val="sr-Latn-ME"/>
        </w:rPr>
      </w:pPr>
    </w:p>
    <w:p w14:paraId="74AF5E27" w14:textId="77777777" w:rsidR="00BC5EEC" w:rsidRPr="008B3B89" w:rsidRDefault="00BC5EEC" w:rsidP="00107322">
      <w:pPr>
        <w:rPr>
          <w:u w:val="single"/>
          <w:lang w:val="sr-Latn-ME"/>
        </w:rPr>
      </w:pPr>
      <w:r w:rsidRPr="008B3B89">
        <w:rPr>
          <w:u w:val="single"/>
          <w:lang w:val="sr-Latn-ME"/>
        </w:rPr>
        <w:t>Pomoćne supstance</w:t>
      </w:r>
      <w:r w:rsidR="004514D8" w:rsidRPr="008B3B89">
        <w:rPr>
          <w:szCs w:val="22"/>
          <w:u w:val="single"/>
          <w:lang w:val="sr-Latn-ME"/>
        </w:rPr>
        <w:t xml:space="preserve"> sa potvrđenim dejstvom</w:t>
      </w:r>
    </w:p>
    <w:p w14:paraId="74AF5E28" w14:textId="68046A90" w:rsidR="00BC5EEC" w:rsidRPr="008B3B89" w:rsidRDefault="00BC5EEC" w:rsidP="00107322">
      <w:pPr>
        <w:rPr>
          <w:szCs w:val="22"/>
          <w:lang w:val="sr-Latn-ME"/>
        </w:rPr>
      </w:pPr>
      <w:r w:rsidRPr="008B3B89">
        <w:rPr>
          <w:szCs w:val="22"/>
          <w:lang w:val="sr-Latn-ME"/>
        </w:rPr>
        <w:t>L</w:t>
      </w:r>
      <w:r w:rsidR="00AC45D8" w:rsidRPr="008B3B89">
        <w:rPr>
          <w:szCs w:val="22"/>
          <w:lang w:val="sr-Latn-ME"/>
        </w:rPr>
        <w:t>ij</w:t>
      </w:r>
      <w:r w:rsidRPr="008B3B89">
        <w:rPr>
          <w:szCs w:val="22"/>
          <w:lang w:val="sr-Latn-ME"/>
        </w:rPr>
        <w:t xml:space="preserve">ek </w:t>
      </w:r>
      <w:r w:rsidR="002371D0" w:rsidRPr="008B3B89">
        <w:rPr>
          <w:szCs w:val="22"/>
          <w:lang w:val="sr-Latn-ME"/>
        </w:rPr>
        <w:t xml:space="preserve">Soltrik </w:t>
      </w:r>
      <w:r w:rsidRPr="008B3B89">
        <w:rPr>
          <w:szCs w:val="22"/>
          <w:lang w:val="sr-Latn-ME"/>
        </w:rPr>
        <w:t>sadrži saharozu i glukozu</w:t>
      </w:r>
      <w:r w:rsidR="002371D0" w:rsidRPr="008B3B89">
        <w:rPr>
          <w:szCs w:val="22"/>
          <w:lang w:val="sr-Latn-ME"/>
        </w:rPr>
        <w:t>, tečnu</w:t>
      </w:r>
      <w:r w:rsidRPr="008B3B89">
        <w:rPr>
          <w:szCs w:val="22"/>
          <w:lang w:val="sr-Latn-ME"/>
        </w:rPr>
        <w:t>. Pacijenti sa r</w:t>
      </w:r>
      <w:r w:rsidR="00AC45D8" w:rsidRPr="008B3B89">
        <w:rPr>
          <w:szCs w:val="22"/>
          <w:lang w:val="sr-Latn-ME"/>
        </w:rPr>
        <w:t>ij</w:t>
      </w:r>
      <w:r w:rsidRPr="008B3B89">
        <w:rPr>
          <w:szCs w:val="22"/>
          <w:lang w:val="sr-Latn-ME"/>
        </w:rPr>
        <w:t>etkim nasl</w:t>
      </w:r>
      <w:r w:rsidR="00AC45D8" w:rsidRPr="008B3B89">
        <w:rPr>
          <w:szCs w:val="22"/>
          <w:lang w:val="sr-Latn-ME"/>
        </w:rPr>
        <w:t>j</w:t>
      </w:r>
      <w:r w:rsidRPr="008B3B89">
        <w:rPr>
          <w:szCs w:val="22"/>
          <w:lang w:val="sr-Latn-ME"/>
        </w:rPr>
        <w:t xml:space="preserve">ednim oboljenjem intolerancije </w:t>
      </w:r>
      <w:r w:rsidR="002371D0" w:rsidRPr="008B3B89">
        <w:rPr>
          <w:szCs w:val="22"/>
          <w:lang w:val="sr-Latn-ME"/>
        </w:rPr>
        <w:t xml:space="preserve">na </w:t>
      </w:r>
      <w:r w:rsidRPr="008B3B89">
        <w:rPr>
          <w:szCs w:val="22"/>
          <w:lang w:val="sr-Latn-ME"/>
        </w:rPr>
        <w:t>fruktozu, glukozno-galaktoznom malapsorpcijom ili nedostatkom sahar</w:t>
      </w:r>
      <w:r w:rsidR="00B856A4" w:rsidRPr="008B3B89">
        <w:rPr>
          <w:szCs w:val="22"/>
          <w:lang w:val="sr-Latn-ME"/>
        </w:rPr>
        <w:t>a</w:t>
      </w:r>
      <w:r w:rsidRPr="008B3B89">
        <w:rPr>
          <w:szCs w:val="22"/>
          <w:lang w:val="sr-Latn-ME"/>
        </w:rPr>
        <w:t>za-izomaltaz</w:t>
      </w:r>
      <w:r w:rsidR="00B914AF" w:rsidRPr="008B3B89">
        <w:rPr>
          <w:szCs w:val="22"/>
          <w:lang w:val="sr-Latn-ME"/>
        </w:rPr>
        <w:t>e, ne sm</w:t>
      </w:r>
      <w:r w:rsidR="00AC45D8" w:rsidRPr="008B3B89">
        <w:rPr>
          <w:szCs w:val="22"/>
          <w:lang w:val="sr-Latn-ME"/>
        </w:rPr>
        <w:t>i</w:t>
      </w:r>
      <w:r w:rsidR="00B914AF" w:rsidRPr="008B3B89">
        <w:rPr>
          <w:szCs w:val="22"/>
          <w:lang w:val="sr-Latn-ME"/>
        </w:rPr>
        <w:t>ju koristiti ovaj l</w:t>
      </w:r>
      <w:r w:rsidR="00AC45D8" w:rsidRPr="008B3B89">
        <w:rPr>
          <w:szCs w:val="22"/>
          <w:lang w:val="sr-Latn-ME"/>
        </w:rPr>
        <w:t>ij</w:t>
      </w:r>
      <w:r w:rsidR="00B914AF" w:rsidRPr="008B3B89">
        <w:rPr>
          <w:szCs w:val="22"/>
          <w:lang w:val="sr-Latn-ME"/>
        </w:rPr>
        <w:t>ek.</w:t>
      </w:r>
    </w:p>
    <w:p w14:paraId="74AF5E29" w14:textId="17AA4DF2" w:rsidR="00BC5EEC" w:rsidRPr="008B3B89" w:rsidRDefault="00BC5EEC" w:rsidP="00107322">
      <w:pPr>
        <w:rPr>
          <w:szCs w:val="22"/>
          <w:lang w:val="sr-Latn-ME"/>
        </w:rPr>
      </w:pPr>
      <w:r w:rsidRPr="008B3B89">
        <w:rPr>
          <w:szCs w:val="22"/>
          <w:lang w:val="sr-Latn-ME"/>
        </w:rPr>
        <w:t>L</w:t>
      </w:r>
      <w:r w:rsidR="00AC45D8" w:rsidRPr="008B3B89">
        <w:rPr>
          <w:szCs w:val="22"/>
          <w:lang w:val="sr-Latn-ME"/>
        </w:rPr>
        <w:t>ij</w:t>
      </w:r>
      <w:r w:rsidRPr="008B3B89">
        <w:rPr>
          <w:szCs w:val="22"/>
          <w:lang w:val="sr-Latn-ME"/>
        </w:rPr>
        <w:t xml:space="preserve">ek </w:t>
      </w:r>
      <w:r w:rsidR="002371D0" w:rsidRPr="008B3B89">
        <w:rPr>
          <w:szCs w:val="22"/>
          <w:lang w:val="sr-Latn-ME"/>
        </w:rPr>
        <w:t xml:space="preserve">Soltrik sadrži </w:t>
      </w:r>
      <w:r w:rsidR="002371D0" w:rsidRPr="008B3B89">
        <w:rPr>
          <w:lang w:val="sr-Latn-ME"/>
        </w:rPr>
        <w:t xml:space="preserve">metilparahidroksibenzoat </w:t>
      </w:r>
      <w:r w:rsidR="002371D0" w:rsidRPr="008B3B89">
        <w:rPr>
          <w:szCs w:val="22"/>
          <w:lang w:val="sr-Latn-ME"/>
        </w:rPr>
        <w:t xml:space="preserve">(E218) </w:t>
      </w:r>
      <w:r w:rsidR="002371D0" w:rsidRPr="008B3B89">
        <w:rPr>
          <w:lang w:val="sr-Latn-ME"/>
        </w:rPr>
        <w:t>i propilparahidroksibenzoat</w:t>
      </w:r>
      <w:r w:rsidR="002371D0" w:rsidRPr="008B3B89">
        <w:rPr>
          <w:szCs w:val="22"/>
          <w:lang w:val="sr-Latn-ME"/>
        </w:rPr>
        <w:t xml:space="preserve"> (E216), </w:t>
      </w:r>
      <w:r w:rsidR="00BF1291" w:rsidRPr="008B3B89">
        <w:rPr>
          <w:szCs w:val="22"/>
          <w:lang w:val="sr-Latn-ME"/>
        </w:rPr>
        <w:t>koji</w:t>
      </w:r>
      <w:r w:rsidR="002371D0" w:rsidRPr="008B3B89">
        <w:rPr>
          <w:szCs w:val="22"/>
          <w:lang w:val="sr-Latn-ME"/>
        </w:rPr>
        <w:t xml:space="preserve"> </w:t>
      </w:r>
      <w:r w:rsidRPr="008B3B89">
        <w:rPr>
          <w:szCs w:val="22"/>
          <w:lang w:val="sr-Latn-ME"/>
        </w:rPr>
        <w:t>mo</w:t>
      </w:r>
      <w:r w:rsidR="00E4789A" w:rsidRPr="008B3B89">
        <w:rPr>
          <w:szCs w:val="22"/>
          <w:lang w:val="sr-Latn-ME"/>
        </w:rPr>
        <w:t>gu</w:t>
      </w:r>
      <w:r w:rsidRPr="008B3B89">
        <w:rPr>
          <w:szCs w:val="22"/>
          <w:lang w:val="sr-Latn-ME"/>
        </w:rPr>
        <w:t xml:space="preserve"> izazvati alergijske reakcije, čak i odložene.</w:t>
      </w:r>
    </w:p>
    <w:p w14:paraId="6438351A" w14:textId="7E1A0E87" w:rsidR="00E4789A" w:rsidRPr="008B3B89" w:rsidRDefault="00E4789A" w:rsidP="00107322">
      <w:pPr>
        <w:rPr>
          <w:szCs w:val="22"/>
          <w:lang w:val="sr-Latn-ME"/>
        </w:rPr>
      </w:pPr>
      <w:r w:rsidRPr="008B3B89">
        <w:rPr>
          <w:szCs w:val="22"/>
          <w:lang w:val="sr-Latn-ME"/>
        </w:rPr>
        <w:t>Ovaj l</w:t>
      </w:r>
      <w:r w:rsidR="00AC45D8" w:rsidRPr="008B3B89">
        <w:rPr>
          <w:szCs w:val="22"/>
          <w:lang w:val="sr-Latn-ME"/>
        </w:rPr>
        <w:t>ij</w:t>
      </w:r>
      <w:r w:rsidRPr="008B3B89">
        <w:rPr>
          <w:szCs w:val="22"/>
          <w:lang w:val="sr-Latn-ME"/>
        </w:rPr>
        <w:t>ek sadrži</w:t>
      </w:r>
      <w:r w:rsidR="00945EE4" w:rsidRPr="008B3B89">
        <w:rPr>
          <w:szCs w:val="22"/>
          <w:lang w:val="sr-Latn-ME"/>
        </w:rPr>
        <w:t xml:space="preserve"> </w:t>
      </w:r>
      <w:r w:rsidR="00AA4873" w:rsidRPr="008B3B89">
        <w:rPr>
          <w:szCs w:val="22"/>
          <w:lang w:val="sr-Latn-ME"/>
        </w:rPr>
        <w:t>100</w:t>
      </w:r>
      <w:r w:rsidR="00945EE4" w:rsidRPr="008B3B89">
        <w:rPr>
          <w:szCs w:val="22"/>
          <w:lang w:val="sr-Latn-ME"/>
        </w:rPr>
        <w:t xml:space="preserve"> mg</w:t>
      </w:r>
      <w:r w:rsidRPr="008B3B89">
        <w:rPr>
          <w:szCs w:val="22"/>
          <w:lang w:val="sr-Latn-ME"/>
        </w:rPr>
        <w:t xml:space="preserve"> propilenglikol</w:t>
      </w:r>
      <w:r w:rsidR="00AA4873" w:rsidRPr="008B3B89">
        <w:rPr>
          <w:szCs w:val="22"/>
          <w:lang w:val="sr-Latn-ME"/>
        </w:rPr>
        <w:t>a</w:t>
      </w:r>
      <w:r w:rsidR="00945EE4" w:rsidRPr="008B3B89">
        <w:rPr>
          <w:szCs w:val="22"/>
          <w:lang w:val="sr-Latn-ME"/>
        </w:rPr>
        <w:t xml:space="preserve"> u </w:t>
      </w:r>
      <w:r w:rsidR="00AA4873" w:rsidRPr="008B3B89">
        <w:rPr>
          <w:szCs w:val="22"/>
          <w:lang w:val="sr-Latn-ME"/>
        </w:rPr>
        <w:t>5 m</w:t>
      </w:r>
      <w:r w:rsidR="00AC45D8" w:rsidRPr="008B3B89">
        <w:rPr>
          <w:szCs w:val="22"/>
          <w:lang w:val="sr-Latn-ME"/>
        </w:rPr>
        <w:t>l</w:t>
      </w:r>
      <w:r w:rsidR="00945EE4" w:rsidRPr="008B3B89">
        <w:rPr>
          <w:szCs w:val="22"/>
          <w:lang w:val="sr-Latn-ME"/>
        </w:rPr>
        <w:t xml:space="preserve">, što odgovara </w:t>
      </w:r>
      <w:r w:rsidR="003F4B61" w:rsidRPr="008B3B89">
        <w:rPr>
          <w:szCs w:val="22"/>
          <w:lang w:val="sr-Latn-ME"/>
        </w:rPr>
        <w:t>20 mg/m</w:t>
      </w:r>
      <w:r w:rsidR="00AC45D8" w:rsidRPr="008B3B89">
        <w:rPr>
          <w:szCs w:val="22"/>
          <w:lang w:val="sr-Latn-ME"/>
        </w:rPr>
        <w:t>l</w:t>
      </w:r>
      <w:r w:rsidR="003F4B61" w:rsidRPr="008B3B89">
        <w:rPr>
          <w:szCs w:val="22"/>
          <w:lang w:val="sr-Latn-ME"/>
        </w:rPr>
        <w:t>.</w:t>
      </w:r>
    </w:p>
    <w:p w14:paraId="74AF5E2A" w14:textId="14AD3B89" w:rsidR="00BC5EEC" w:rsidRPr="008B3B89" w:rsidRDefault="00E4789A" w:rsidP="00107322">
      <w:pPr>
        <w:rPr>
          <w:szCs w:val="22"/>
          <w:lang w:val="sr-Latn-ME"/>
        </w:rPr>
      </w:pPr>
      <w:r w:rsidRPr="008B3B89">
        <w:rPr>
          <w:szCs w:val="22"/>
          <w:lang w:val="sr-Latn-ME"/>
        </w:rPr>
        <w:t>Ovaj l</w:t>
      </w:r>
      <w:r w:rsidR="00AC45D8" w:rsidRPr="008B3B89">
        <w:rPr>
          <w:szCs w:val="22"/>
          <w:lang w:val="sr-Latn-ME"/>
        </w:rPr>
        <w:t>ij</w:t>
      </w:r>
      <w:r w:rsidRPr="008B3B89">
        <w:rPr>
          <w:szCs w:val="22"/>
          <w:lang w:val="sr-Latn-ME"/>
        </w:rPr>
        <w:t>ek</w:t>
      </w:r>
      <w:r w:rsidR="002371D0" w:rsidRPr="008B3B89">
        <w:rPr>
          <w:szCs w:val="22"/>
          <w:lang w:val="sr-Latn-ME"/>
        </w:rPr>
        <w:t xml:space="preserve"> </w:t>
      </w:r>
      <w:r w:rsidR="00BC5EEC" w:rsidRPr="008B3B89">
        <w:rPr>
          <w:szCs w:val="22"/>
          <w:lang w:val="sr-Latn-ME"/>
        </w:rPr>
        <w:t xml:space="preserve">sadrži boju Allura </w:t>
      </w:r>
      <w:r w:rsidR="00206A96" w:rsidRPr="008B3B89">
        <w:rPr>
          <w:szCs w:val="22"/>
          <w:lang w:val="sr-Latn-ME"/>
        </w:rPr>
        <w:t>R</w:t>
      </w:r>
      <w:r w:rsidR="00BC5EEC" w:rsidRPr="008B3B89">
        <w:rPr>
          <w:szCs w:val="22"/>
          <w:lang w:val="sr-Latn-ME"/>
        </w:rPr>
        <w:t xml:space="preserve">ed AC </w:t>
      </w:r>
      <w:r w:rsidR="00206A96" w:rsidRPr="008B3B89">
        <w:rPr>
          <w:szCs w:val="22"/>
          <w:lang w:val="sr-Latn-ME"/>
        </w:rPr>
        <w:t>(</w:t>
      </w:r>
      <w:r w:rsidR="00BC5EEC" w:rsidRPr="008B3B89">
        <w:rPr>
          <w:szCs w:val="22"/>
          <w:lang w:val="sr-Latn-ME"/>
        </w:rPr>
        <w:t>C</w:t>
      </w:r>
      <w:r w:rsidR="00F32EF2" w:rsidRPr="008B3B89">
        <w:rPr>
          <w:szCs w:val="22"/>
          <w:lang w:val="sr-Latn-ME"/>
        </w:rPr>
        <w:t>.</w:t>
      </w:r>
      <w:r w:rsidR="00BC5EEC" w:rsidRPr="008B3B89">
        <w:rPr>
          <w:szCs w:val="22"/>
          <w:lang w:val="sr-Latn-ME"/>
        </w:rPr>
        <w:t>I</w:t>
      </w:r>
      <w:r w:rsidR="00F32EF2" w:rsidRPr="008B3B89">
        <w:rPr>
          <w:szCs w:val="22"/>
          <w:lang w:val="sr-Latn-ME"/>
        </w:rPr>
        <w:t>.</w:t>
      </w:r>
      <w:r w:rsidR="00BC5EEC" w:rsidRPr="008B3B89">
        <w:rPr>
          <w:szCs w:val="22"/>
          <w:lang w:val="sr-Latn-ME"/>
        </w:rPr>
        <w:t xml:space="preserve"> 16035</w:t>
      </w:r>
      <w:r w:rsidR="00206A96" w:rsidRPr="008B3B89">
        <w:rPr>
          <w:szCs w:val="22"/>
          <w:lang w:val="sr-Latn-ME"/>
        </w:rPr>
        <w:t>,</w:t>
      </w:r>
      <w:r w:rsidR="00F32EF2" w:rsidRPr="008B3B89">
        <w:rPr>
          <w:szCs w:val="22"/>
          <w:lang w:val="sr-Latn-ME"/>
        </w:rPr>
        <w:t xml:space="preserve"> E129)</w:t>
      </w:r>
      <w:r w:rsidR="00BC5EEC" w:rsidRPr="008B3B89">
        <w:rPr>
          <w:szCs w:val="22"/>
          <w:lang w:val="sr-Latn-ME"/>
        </w:rPr>
        <w:t xml:space="preserve"> koja može izazvati alergijske reakcije.</w:t>
      </w:r>
    </w:p>
    <w:p w14:paraId="286DAD58" w14:textId="693C7541" w:rsidR="00E4789A" w:rsidRPr="008B3B89" w:rsidRDefault="00E4789A" w:rsidP="00107322">
      <w:pPr>
        <w:rPr>
          <w:szCs w:val="22"/>
          <w:lang w:val="sr-Latn-ME"/>
        </w:rPr>
      </w:pPr>
      <w:r w:rsidRPr="008B3B89">
        <w:rPr>
          <w:szCs w:val="22"/>
          <w:lang w:val="sr-Latn-ME"/>
        </w:rPr>
        <w:t>Ovaj l</w:t>
      </w:r>
      <w:r w:rsidR="00AC45D8" w:rsidRPr="008B3B89">
        <w:rPr>
          <w:szCs w:val="22"/>
          <w:lang w:val="sr-Latn-ME"/>
        </w:rPr>
        <w:t>ij</w:t>
      </w:r>
      <w:r w:rsidRPr="008B3B89">
        <w:rPr>
          <w:szCs w:val="22"/>
          <w:lang w:val="sr-Latn-ME"/>
        </w:rPr>
        <w:t>ek sadrži</w:t>
      </w:r>
      <w:r w:rsidR="003F69A2" w:rsidRPr="008B3B89">
        <w:rPr>
          <w:szCs w:val="22"/>
          <w:lang w:val="sr-Latn-ME"/>
        </w:rPr>
        <w:t xml:space="preserve"> manje od 1 mmol </w:t>
      </w:r>
      <w:r w:rsidR="005C6E88" w:rsidRPr="008B3B89">
        <w:rPr>
          <w:szCs w:val="22"/>
          <w:lang w:val="sr-Latn-ME"/>
        </w:rPr>
        <w:t xml:space="preserve">(23 mg) </w:t>
      </w:r>
      <w:r w:rsidR="003F69A2" w:rsidRPr="008B3B89">
        <w:rPr>
          <w:szCs w:val="22"/>
          <w:lang w:val="sr-Latn-ME"/>
        </w:rPr>
        <w:t>natrijuma po m</w:t>
      </w:r>
      <w:r w:rsidR="00AC45D8" w:rsidRPr="008B3B89">
        <w:rPr>
          <w:szCs w:val="22"/>
          <w:lang w:val="sr-Latn-ME"/>
        </w:rPr>
        <w:t>l</w:t>
      </w:r>
      <w:r w:rsidR="003F69A2" w:rsidRPr="008B3B89">
        <w:rPr>
          <w:szCs w:val="22"/>
          <w:lang w:val="sr-Latn-ME"/>
        </w:rPr>
        <w:t xml:space="preserve">, odnosno suštinski je </w:t>
      </w:r>
      <w:r w:rsidR="005C6E88" w:rsidRPr="008B3B89">
        <w:rPr>
          <w:szCs w:val="22"/>
          <w:lang w:val="sr-Latn-ME"/>
        </w:rPr>
        <w:t>„</w:t>
      </w:r>
      <w:r w:rsidR="003F69A2" w:rsidRPr="008B3B89">
        <w:rPr>
          <w:szCs w:val="22"/>
          <w:lang w:val="sr-Latn-ME"/>
        </w:rPr>
        <w:t>bez natrijuma</w:t>
      </w:r>
      <w:r w:rsidR="005730C7" w:rsidRPr="008B3B89">
        <w:rPr>
          <w:szCs w:val="22"/>
          <w:lang w:val="sr-Latn-ME"/>
        </w:rPr>
        <w:t>”</w:t>
      </w:r>
      <w:r w:rsidR="003F69A2" w:rsidRPr="008B3B89">
        <w:rPr>
          <w:szCs w:val="22"/>
          <w:lang w:val="sr-Latn-ME"/>
        </w:rPr>
        <w:t xml:space="preserve">. </w:t>
      </w:r>
    </w:p>
    <w:p w14:paraId="1DAC5E4C" w14:textId="77777777" w:rsidR="00627B84" w:rsidRPr="008B3B89" w:rsidRDefault="00627B84" w:rsidP="00107322">
      <w:pPr>
        <w:rPr>
          <w:b/>
          <w:bCs/>
          <w:szCs w:val="22"/>
          <w:lang w:val="sr-Latn-ME"/>
        </w:rPr>
      </w:pPr>
    </w:p>
    <w:p w14:paraId="74AF5E2D" w14:textId="6D52D46D" w:rsidR="00057794" w:rsidRPr="008B3B89" w:rsidRDefault="00057794" w:rsidP="00107322">
      <w:pPr>
        <w:rPr>
          <w:b/>
          <w:bCs/>
          <w:szCs w:val="22"/>
          <w:lang w:val="sr-Latn-ME"/>
        </w:rPr>
      </w:pPr>
      <w:r w:rsidRPr="008B3B89">
        <w:rPr>
          <w:b/>
          <w:bCs/>
          <w:szCs w:val="22"/>
          <w:lang w:val="sr-Latn-ME"/>
        </w:rPr>
        <w:t>4.5. Interakcije sa drugim l</w:t>
      </w:r>
      <w:r w:rsidR="00AC45D8" w:rsidRPr="008B3B89">
        <w:rPr>
          <w:b/>
          <w:bCs/>
          <w:szCs w:val="22"/>
          <w:lang w:val="sr-Latn-ME"/>
        </w:rPr>
        <w:t>j</w:t>
      </w:r>
      <w:r w:rsidRPr="008B3B89">
        <w:rPr>
          <w:b/>
          <w:bCs/>
          <w:szCs w:val="22"/>
          <w:lang w:val="sr-Latn-ME"/>
        </w:rPr>
        <w:t>ekovima i druge vrste interakcija</w:t>
      </w:r>
    </w:p>
    <w:p w14:paraId="0F921F41" w14:textId="77777777" w:rsidR="00627B84" w:rsidRPr="008B3B89" w:rsidRDefault="00627B84" w:rsidP="00107322">
      <w:pPr>
        <w:pStyle w:val="Header"/>
        <w:tabs>
          <w:tab w:val="clear" w:pos="4536"/>
          <w:tab w:val="clear" w:pos="9072"/>
          <w:tab w:val="left" w:pos="284"/>
        </w:tabs>
        <w:rPr>
          <w:rFonts w:cs="Arial"/>
          <w:lang w:val="sr-Latn-ME"/>
        </w:rPr>
      </w:pPr>
    </w:p>
    <w:p w14:paraId="74AF5E2F" w14:textId="35F83EE8" w:rsidR="00BE12BC" w:rsidRPr="008B3B89" w:rsidRDefault="00BE12BC" w:rsidP="00107322">
      <w:pPr>
        <w:pStyle w:val="Header"/>
        <w:tabs>
          <w:tab w:val="clear" w:pos="4536"/>
          <w:tab w:val="clear" w:pos="9072"/>
          <w:tab w:val="left" w:pos="284"/>
        </w:tabs>
        <w:rPr>
          <w:rFonts w:cs="Arial"/>
          <w:lang w:val="sr-Latn-ME"/>
        </w:rPr>
      </w:pPr>
      <w:r w:rsidRPr="008B3B89">
        <w:rPr>
          <w:rFonts w:cs="Arial"/>
          <w:lang w:val="sr-Latn-ME"/>
        </w:rPr>
        <w:t xml:space="preserve">Istovremena </w:t>
      </w:r>
      <w:r w:rsidR="00F32EF2" w:rsidRPr="008B3B89">
        <w:rPr>
          <w:rFonts w:cs="Arial"/>
          <w:lang w:val="sr-Latn-ME"/>
        </w:rPr>
        <w:t>prim</w:t>
      </w:r>
      <w:r w:rsidR="00AC45D8" w:rsidRPr="008B3B89">
        <w:rPr>
          <w:rFonts w:cs="Arial"/>
          <w:lang w:val="sr-Latn-ME"/>
        </w:rPr>
        <w:t>j</w:t>
      </w:r>
      <w:r w:rsidR="00F32EF2" w:rsidRPr="008B3B89">
        <w:rPr>
          <w:rFonts w:cs="Arial"/>
          <w:lang w:val="sr-Latn-ME"/>
        </w:rPr>
        <w:t>ena</w:t>
      </w:r>
      <w:r w:rsidRPr="008B3B89">
        <w:rPr>
          <w:rFonts w:cs="Arial"/>
          <w:lang w:val="sr-Latn-ME"/>
        </w:rPr>
        <w:t xml:space="preserve"> mebendazola i cimetidina može dovesti do inhibicije metabolizma mebendazola u jetri, što rezultira povećanom koncentracijom </w:t>
      </w:r>
      <w:r w:rsidR="00F32EF2" w:rsidRPr="008B3B89">
        <w:rPr>
          <w:rFonts w:cs="Arial"/>
          <w:lang w:val="sr-Latn-ME"/>
        </w:rPr>
        <w:t>mebendazola</w:t>
      </w:r>
      <w:r w:rsidRPr="008B3B89">
        <w:rPr>
          <w:rFonts w:cs="Arial"/>
          <w:lang w:val="sr-Latn-ME"/>
        </w:rPr>
        <w:t xml:space="preserve"> u plazmi. </w:t>
      </w:r>
    </w:p>
    <w:p w14:paraId="74AF5E30" w14:textId="1B710A7D" w:rsidR="00057794" w:rsidRPr="008B3B89" w:rsidRDefault="00F32EF2" w:rsidP="00107322">
      <w:pPr>
        <w:rPr>
          <w:rFonts w:cs="Arial"/>
          <w:lang w:val="sr-Latn-ME"/>
        </w:rPr>
      </w:pPr>
      <w:r w:rsidRPr="008B3B89">
        <w:rPr>
          <w:rFonts w:cs="Arial"/>
          <w:lang w:val="sr-Latn-ME"/>
        </w:rPr>
        <w:t>Treba i</w:t>
      </w:r>
      <w:r w:rsidR="00BE12BC" w:rsidRPr="008B3B89">
        <w:rPr>
          <w:rFonts w:cs="Arial"/>
          <w:lang w:val="sr-Latn-ME"/>
        </w:rPr>
        <w:t>zb</w:t>
      </w:r>
      <w:r w:rsidR="00AC45D8" w:rsidRPr="008B3B89">
        <w:rPr>
          <w:rFonts w:cs="Arial"/>
          <w:lang w:val="sr-Latn-ME"/>
        </w:rPr>
        <w:t>j</w:t>
      </w:r>
      <w:r w:rsidR="00BE12BC" w:rsidRPr="008B3B89">
        <w:rPr>
          <w:rFonts w:cs="Arial"/>
          <w:lang w:val="sr-Latn-ME"/>
        </w:rPr>
        <w:t>egavati istovremenu prim</w:t>
      </w:r>
      <w:r w:rsidR="00AC45D8" w:rsidRPr="008B3B89">
        <w:rPr>
          <w:rFonts w:cs="Arial"/>
          <w:lang w:val="sr-Latn-ME"/>
        </w:rPr>
        <w:t>j</w:t>
      </w:r>
      <w:r w:rsidR="00BE12BC" w:rsidRPr="008B3B89">
        <w:rPr>
          <w:rFonts w:cs="Arial"/>
          <w:lang w:val="sr-Latn-ME"/>
        </w:rPr>
        <w:t>enu mebendazola i metronidazola (vid</w:t>
      </w:r>
      <w:r w:rsidR="00AC45D8" w:rsidRPr="008B3B89">
        <w:rPr>
          <w:rFonts w:cs="Arial"/>
          <w:lang w:val="sr-Latn-ME"/>
        </w:rPr>
        <w:t>j</w:t>
      </w:r>
      <w:r w:rsidR="00BE12BC" w:rsidRPr="008B3B89">
        <w:rPr>
          <w:rFonts w:cs="Arial"/>
          <w:lang w:val="sr-Latn-ME"/>
        </w:rPr>
        <w:t xml:space="preserve">eti </w:t>
      </w:r>
      <w:r w:rsidR="00AC45D8" w:rsidRPr="008B3B89">
        <w:rPr>
          <w:rFonts w:cs="Arial"/>
          <w:lang w:val="sr-Latn-ME"/>
        </w:rPr>
        <w:t>dio</w:t>
      </w:r>
      <w:r w:rsidR="00BE12BC" w:rsidRPr="008B3B89">
        <w:rPr>
          <w:rFonts w:cs="Arial"/>
          <w:lang w:val="sr-Latn-ME"/>
        </w:rPr>
        <w:t xml:space="preserve"> 4.4).</w:t>
      </w:r>
    </w:p>
    <w:p w14:paraId="5A67F67A" w14:textId="77777777" w:rsidR="00627B84" w:rsidRPr="008B3B89" w:rsidRDefault="00627B84" w:rsidP="00107322">
      <w:pPr>
        <w:rPr>
          <w:b/>
          <w:bCs/>
          <w:szCs w:val="22"/>
          <w:lang w:val="sr-Latn-ME"/>
        </w:rPr>
      </w:pPr>
    </w:p>
    <w:p w14:paraId="74AF5E33" w14:textId="3BD44BAD" w:rsidR="00057794" w:rsidRPr="008B3B89" w:rsidRDefault="00057794" w:rsidP="00107322">
      <w:pPr>
        <w:rPr>
          <w:b/>
          <w:bCs/>
          <w:szCs w:val="22"/>
          <w:lang w:val="sr-Latn-ME"/>
        </w:rPr>
      </w:pPr>
      <w:r w:rsidRPr="008B3B89">
        <w:rPr>
          <w:b/>
          <w:bCs/>
          <w:szCs w:val="22"/>
          <w:lang w:val="sr-Latn-ME"/>
        </w:rPr>
        <w:t>4.6. Plodnost, trudnoća i dojenje</w:t>
      </w:r>
    </w:p>
    <w:p w14:paraId="061FEF8D" w14:textId="77777777" w:rsidR="00627B84" w:rsidRPr="008B3B89" w:rsidRDefault="00627B84" w:rsidP="00107322">
      <w:pPr>
        <w:rPr>
          <w:szCs w:val="22"/>
          <w:u w:val="single"/>
          <w:lang w:val="sr-Latn-ME"/>
        </w:rPr>
      </w:pPr>
    </w:p>
    <w:p w14:paraId="5440832C" w14:textId="38CC0671" w:rsidR="00A1158C" w:rsidRPr="008B3B89" w:rsidRDefault="00A1158C" w:rsidP="00107322">
      <w:pPr>
        <w:rPr>
          <w:szCs w:val="22"/>
          <w:u w:val="single"/>
          <w:lang w:val="sr-Latn-ME"/>
        </w:rPr>
      </w:pPr>
      <w:r w:rsidRPr="008B3B89">
        <w:rPr>
          <w:szCs w:val="22"/>
          <w:u w:val="single"/>
          <w:lang w:val="sr-Latn-ME"/>
        </w:rPr>
        <w:t xml:space="preserve">Trudnoća </w:t>
      </w:r>
    </w:p>
    <w:p w14:paraId="74AF5E35" w14:textId="051730A3" w:rsidR="00BE12BC" w:rsidRPr="008B3B89" w:rsidRDefault="00870EE5" w:rsidP="00107322">
      <w:pPr>
        <w:pStyle w:val="Header"/>
        <w:tabs>
          <w:tab w:val="clear" w:pos="4536"/>
          <w:tab w:val="clear" w:pos="9072"/>
          <w:tab w:val="left" w:pos="284"/>
        </w:tabs>
        <w:rPr>
          <w:rFonts w:cs="Arial"/>
          <w:lang w:val="sr-Latn-ME"/>
        </w:rPr>
      </w:pPr>
      <w:r w:rsidRPr="008B3B89">
        <w:rPr>
          <w:rFonts w:cs="Arial"/>
          <w:lang w:val="sr-Latn-ME"/>
        </w:rPr>
        <w:t>Pošto je prim</w:t>
      </w:r>
      <w:r w:rsidR="00AC45D8" w:rsidRPr="008B3B89">
        <w:rPr>
          <w:rFonts w:cs="Arial"/>
          <w:lang w:val="sr-Latn-ME"/>
        </w:rPr>
        <w:t>j</w:t>
      </w:r>
      <w:r w:rsidRPr="008B3B89">
        <w:rPr>
          <w:rFonts w:cs="Arial"/>
          <w:lang w:val="sr-Latn-ME"/>
        </w:rPr>
        <w:t xml:space="preserve">ena </w:t>
      </w:r>
      <w:r w:rsidR="00254CBB" w:rsidRPr="008B3B89">
        <w:rPr>
          <w:rFonts w:cs="Arial"/>
          <w:lang w:val="sr-Latn-ME"/>
        </w:rPr>
        <w:t>mebendazola</w:t>
      </w:r>
      <w:r w:rsidR="00BE12BC" w:rsidRPr="008B3B89">
        <w:rPr>
          <w:rFonts w:cs="Arial"/>
          <w:lang w:val="sr-Latn-ME"/>
        </w:rPr>
        <w:t xml:space="preserve"> kontraindikovana u trudnoći</w:t>
      </w:r>
      <w:r w:rsidRPr="008B3B89">
        <w:rPr>
          <w:rFonts w:cs="Arial"/>
          <w:lang w:val="sr-Latn-ME"/>
        </w:rPr>
        <w:t>, pacijentkinje koje su trudne</w:t>
      </w:r>
      <w:r w:rsidR="00FE2894" w:rsidRPr="008B3B89">
        <w:rPr>
          <w:rFonts w:cs="Arial"/>
          <w:lang w:val="sr-Latn-ME"/>
        </w:rPr>
        <w:t>,</w:t>
      </w:r>
      <w:r w:rsidRPr="008B3B89">
        <w:rPr>
          <w:rFonts w:cs="Arial"/>
          <w:lang w:val="sr-Latn-ME"/>
        </w:rPr>
        <w:t xml:space="preserve"> </w:t>
      </w:r>
      <w:r w:rsidR="00254CBB" w:rsidRPr="008B3B89">
        <w:rPr>
          <w:rFonts w:cs="Arial"/>
          <w:lang w:val="sr-Latn-ME"/>
        </w:rPr>
        <w:t>misl</w:t>
      </w:r>
      <w:r w:rsidR="002F2ABE" w:rsidRPr="008B3B89">
        <w:rPr>
          <w:rFonts w:cs="Arial"/>
          <w:lang w:val="sr-Latn-ME"/>
        </w:rPr>
        <w:t>e da su</w:t>
      </w:r>
      <w:r w:rsidRPr="008B3B89">
        <w:rPr>
          <w:rFonts w:cs="Arial"/>
          <w:lang w:val="sr-Latn-ME"/>
        </w:rPr>
        <w:t xml:space="preserve"> trudne</w:t>
      </w:r>
      <w:r w:rsidR="00FE2894" w:rsidRPr="008B3B89">
        <w:rPr>
          <w:rFonts w:cs="Arial"/>
          <w:lang w:val="sr-Latn-ME"/>
        </w:rPr>
        <w:t xml:space="preserve"> ili planiraju trudnoću</w:t>
      </w:r>
      <w:r w:rsidR="00B872CA" w:rsidRPr="008B3B89">
        <w:rPr>
          <w:rFonts w:cs="Arial"/>
          <w:lang w:val="sr-Latn-ME"/>
        </w:rPr>
        <w:t>,</w:t>
      </w:r>
      <w:r w:rsidRPr="008B3B89">
        <w:rPr>
          <w:rFonts w:cs="Arial"/>
          <w:lang w:val="sr-Latn-ME"/>
        </w:rPr>
        <w:t xml:space="preserve"> ne </w:t>
      </w:r>
      <w:r w:rsidR="00254CBB" w:rsidRPr="008B3B89">
        <w:rPr>
          <w:rFonts w:cs="Arial"/>
          <w:lang w:val="sr-Latn-ME"/>
        </w:rPr>
        <w:t>sm</w:t>
      </w:r>
      <w:r w:rsidR="00AC45D8" w:rsidRPr="008B3B89">
        <w:rPr>
          <w:rFonts w:cs="Arial"/>
          <w:lang w:val="sr-Latn-ME"/>
        </w:rPr>
        <w:t>i</w:t>
      </w:r>
      <w:r w:rsidR="00254CBB" w:rsidRPr="008B3B89">
        <w:rPr>
          <w:rFonts w:cs="Arial"/>
          <w:lang w:val="sr-Latn-ME"/>
        </w:rPr>
        <w:t>ju</w:t>
      </w:r>
      <w:r w:rsidRPr="008B3B89">
        <w:rPr>
          <w:rFonts w:cs="Arial"/>
          <w:lang w:val="sr-Latn-ME"/>
        </w:rPr>
        <w:t xml:space="preserve"> da uzimaju ovaj l</w:t>
      </w:r>
      <w:r w:rsidR="00AC45D8" w:rsidRPr="008B3B89">
        <w:rPr>
          <w:rFonts w:cs="Arial"/>
          <w:lang w:val="sr-Latn-ME"/>
        </w:rPr>
        <w:t>ij</w:t>
      </w:r>
      <w:r w:rsidRPr="008B3B89">
        <w:rPr>
          <w:rFonts w:cs="Arial"/>
          <w:lang w:val="sr-Latn-ME"/>
        </w:rPr>
        <w:t>ek.</w:t>
      </w:r>
    </w:p>
    <w:p w14:paraId="65B1987B" w14:textId="77777777" w:rsidR="00FA0F8A" w:rsidRPr="008B3B89" w:rsidRDefault="00FA0F8A" w:rsidP="00107322">
      <w:pPr>
        <w:pStyle w:val="Header"/>
        <w:tabs>
          <w:tab w:val="clear" w:pos="4536"/>
          <w:tab w:val="clear" w:pos="9072"/>
          <w:tab w:val="left" w:pos="284"/>
        </w:tabs>
        <w:rPr>
          <w:rFonts w:cs="Arial"/>
          <w:lang w:val="sr-Latn-ME"/>
        </w:rPr>
      </w:pPr>
    </w:p>
    <w:p w14:paraId="58B99BB0" w14:textId="21AA480C" w:rsidR="00A1158C" w:rsidRPr="008B3B89" w:rsidRDefault="00A1158C" w:rsidP="00107322">
      <w:pPr>
        <w:pStyle w:val="Header"/>
        <w:tabs>
          <w:tab w:val="clear" w:pos="4536"/>
          <w:tab w:val="clear" w:pos="9072"/>
          <w:tab w:val="left" w:pos="284"/>
        </w:tabs>
        <w:rPr>
          <w:rFonts w:cs="Arial"/>
          <w:u w:val="single"/>
          <w:lang w:val="sr-Latn-ME"/>
        </w:rPr>
      </w:pPr>
      <w:r w:rsidRPr="008B3B89">
        <w:rPr>
          <w:rFonts w:cs="Arial"/>
          <w:u w:val="single"/>
          <w:lang w:val="sr-Latn-ME"/>
        </w:rPr>
        <w:t xml:space="preserve">Dojenje </w:t>
      </w:r>
    </w:p>
    <w:p w14:paraId="2E39D674" w14:textId="613E47F7" w:rsidR="00627B84" w:rsidRPr="008B3B89" w:rsidRDefault="00A1158C" w:rsidP="00107322">
      <w:pPr>
        <w:rPr>
          <w:b/>
          <w:bCs/>
          <w:spacing w:val="-8"/>
          <w:szCs w:val="22"/>
          <w:lang w:val="sr-Latn-ME"/>
        </w:rPr>
      </w:pPr>
      <w:r w:rsidRPr="008B3B89">
        <w:rPr>
          <w:rFonts w:cs="Arial"/>
          <w:lang w:val="sr-Latn-ME"/>
        </w:rPr>
        <w:t>Ograničeni podaci iz prikaza slučajeva ukazuju da se male količine mebendazola izlučuju u majčino ml</w:t>
      </w:r>
      <w:r w:rsidR="00AC45D8" w:rsidRPr="008B3B89">
        <w:rPr>
          <w:rFonts w:cs="Arial"/>
          <w:lang w:val="sr-Latn-ME"/>
        </w:rPr>
        <w:t>ij</w:t>
      </w:r>
      <w:r w:rsidRPr="008B3B89">
        <w:rPr>
          <w:rFonts w:cs="Arial"/>
          <w:lang w:val="sr-Latn-ME"/>
        </w:rPr>
        <w:t>eko nakon oralne prim</w:t>
      </w:r>
      <w:r w:rsidR="00AC45D8" w:rsidRPr="008B3B89">
        <w:rPr>
          <w:rFonts w:cs="Arial"/>
          <w:lang w:val="sr-Latn-ME"/>
        </w:rPr>
        <w:t>j</w:t>
      </w:r>
      <w:r w:rsidRPr="008B3B89">
        <w:rPr>
          <w:rFonts w:cs="Arial"/>
          <w:lang w:val="sr-Latn-ME"/>
        </w:rPr>
        <w:t>ene. Stoga je potreban oprez kada se l</w:t>
      </w:r>
      <w:r w:rsidR="00AC45D8" w:rsidRPr="008B3B89">
        <w:rPr>
          <w:rFonts w:cs="Arial"/>
          <w:lang w:val="sr-Latn-ME"/>
        </w:rPr>
        <w:t>ij</w:t>
      </w:r>
      <w:r w:rsidRPr="008B3B89">
        <w:rPr>
          <w:rFonts w:cs="Arial"/>
          <w:lang w:val="sr-Latn-ME"/>
        </w:rPr>
        <w:t>ek Soltrik prim</w:t>
      </w:r>
      <w:r w:rsidR="00AC45D8" w:rsidRPr="008B3B89">
        <w:rPr>
          <w:rFonts w:cs="Arial"/>
          <w:lang w:val="sr-Latn-ME"/>
        </w:rPr>
        <w:t>j</w:t>
      </w:r>
      <w:r w:rsidRPr="008B3B89">
        <w:rPr>
          <w:rFonts w:cs="Arial"/>
          <w:lang w:val="sr-Latn-ME"/>
        </w:rPr>
        <w:t xml:space="preserve">enjuje dojiljama. </w:t>
      </w:r>
    </w:p>
    <w:p w14:paraId="118D99E0" w14:textId="77777777" w:rsidR="00F261A3" w:rsidRDefault="00F261A3" w:rsidP="00107322">
      <w:pPr>
        <w:rPr>
          <w:b/>
          <w:bCs/>
          <w:spacing w:val="-8"/>
          <w:szCs w:val="22"/>
          <w:lang w:val="sr-Latn-ME"/>
        </w:rPr>
      </w:pPr>
    </w:p>
    <w:p w14:paraId="64CFFEA6" w14:textId="77777777" w:rsidR="00F261A3" w:rsidRDefault="00F261A3" w:rsidP="00107322">
      <w:pPr>
        <w:rPr>
          <w:b/>
          <w:bCs/>
          <w:spacing w:val="-8"/>
          <w:szCs w:val="22"/>
          <w:lang w:val="sr-Latn-ME"/>
        </w:rPr>
      </w:pPr>
    </w:p>
    <w:p w14:paraId="06BB9B3B" w14:textId="77777777" w:rsidR="00F261A3" w:rsidRDefault="00F261A3" w:rsidP="00107322">
      <w:pPr>
        <w:rPr>
          <w:b/>
          <w:bCs/>
          <w:spacing w:val="-8"/>
          <w:szCs w:val="22"/>
          <w:lang w:val="sr-Latn-ME"/>
        </w:rPr>
      </w:pPr>
    </w:p>
    <w:p w14:paraId="74AF5E3A" w14:textId="0A374E18" w:rsidR="00057794" w:rsidRPr="008B3B89" w:rsidRDefault="00057794" w:rsidP="00107322">
      <w:pPr>
        <w:rPr>
          <w:b/>
          <w:bCs/>
          <w:spacing w:val="-8"/>
          <w:szCs w:val="22"/>
          <w:lang w:val="sr-Latn-ME"/>
        </w:rPr>
      </w:pPr>
      <w:r w:rsidRPr="008B3B89">
        <w:rPr>
          <w:b/>
          <w:bCs/>
          <w:spacing w:val="-8"/>
          <w:szCs w:val="22"/>
          <w:lang w:val="sr-Latn-ME"/>
        </w:rPr>
        <w:lastRenderedPageBreak/>
        <w:t>4.7. Uti</w:t>
      </w:r>
      <w:bookmarkStart w:id="0" w:name="_GoBack"/>
      <w:bookmarkEnd w:id="0"/>
      <w:r w:rsidRPr="008B3B89">
        <w:rPr>
          <w:b/>
          <w:bCs/>
          <w:spacing w:val="-8"/>
          <w:szCs w:val="22"/>
          <w:lang w:val="sr-Latn-ME"/>
        </w:rPr>
        <w:t>caj l</w:t>
      </w:r>
      <w:r w:rsidR="00AC45D8" w:rsidRPr="008B3B89">
        <w:rPr>
          <w:b/>
          <w:bCs/>
          <w:spacing w:val="-8"/>
          <w:szCs w:val="22"/>
          <w:lang w:val="sr-Latn-ME"/>
        </w:rPr>
        <w:t>ij</w:t>
      </w:r>
      <w:r w:rsidRPr="008B3B89">
        <w:rPr>
          <w:b/>
          <w:bCs/>
          <w:spacing w:val="-8"/>
          <w:szCs w:val="22"/>
          <w:lang w:val="sr-Latn-ME"/>
        </w:rPr>
        <w:t>eka na sposobnost upravljanja vozilima i rukovanja mašinama</w:t>
      </w:r>
    </w:p>
    <w:p w14:paraId="1E6F9617" w14:textId="77777777" w:rsidR="00627B84" w:rsidRPr="008B3B89" w:rsidRDefault="00627B84" w:rsidP="00107322">
      <w:pPr>
        <w:rPr>
          <w:lang w:val="sr-Latn-ME"/>
        </w:rPr>
      </w:pPr>
    </w:p>
    <w:p w14:paraId="2C183A86" w14:textId="7B5EB2D5" w:rsidR="00DE0550" w:rsidRPr="008B3B89" w:rsidRDefault="00870EE5" w:rsidP="00107322">
      <w:pPr>
        <w:rPr>
          <w:lang w:val="sr-Latn-ME"/>
        </w:rPr>
      </w:pPr>
      <w:r w:rsidRPr="008B3B89">
        <w:rPr>
          <w:lang w:val="sr-Latn-ME"/>
        </w:rPr>
        <w:t xml:space="preserve">Mebendazol nema </w:t>
      </w:r>
      <w:r w:rsidR="00BE12BC" w:rsidRPr="008B3B89">
        <w:rPr>
          <w:lang w:val="sr-Latn-ME"/>
        </w:rPr>
        <w:t>uticaj na sposobnost</w:t>
      </w:r>
      <w:r w:rsidRPr="008B3B89">
        <w:rPr>
          <w:lang w:val="sr-Latn-ME"/>
        </w:rPr>
        <w:t xml:space="preserve"> </w:t>
      </w:r>
      <w:r w:rsidR="00BE12BC" w:rsidRPr="008B3B89">
        <w:rPr>
          <w:lang w:val="sr-Latn-ME"/>
        </w:rPr>
        <w:t>upravljanja vozil</w:t>
      </w:r>
      <w:r w:rsidR="00254CBB" w:rsidRPr="008B3B89">
        <w:rPr>
          <w:lang w:val="sr-Latn-ME"/>
        </w:rPr>
        <w:t>i</w:t>
      </w:r>
      <w:r w:rsidR="00BE12BC" w:rsidRPr="008B3B89">
        <w:rPr>
          <w:lang w:val="sr-Latn-ME"/>
        </w:rPr>
        <w:t>m</w:t>
      </w:r>
      <w:r w:rsidR="00254CBB" w:rsidRPr="008B3B89">
        <w:rPr>
          <w:lang w:val="sr-Latn-ME"/>
        </w:rPr>
        <w:t>a</w:t>
      </w:r>
      <w:r w:rsidR="00BE12BC" w:rsidRPr="008B3B89">
        <w:rPr>
          <w:lang w:val="sr-Latn-ME"/>
        </w:rPr>
        <w:t xml:space="preserve"> i rukovanja mašinama.</w:t>
      </w:r>
    </w:p>
    <w:p w14:paraId="74AF5E3F" w14:textId="0D7B7ACF" w:rsidR="00057794" w:rsidRPr="008B3B89" w:rsidRDefault="00057794" w:rsidP="00107322">
      <w:pPr>
        <w:tabs>
          <w:tab w:val="clear" w:pos="284"/>
        </w:tabs>
        <w:jc w:val="left"/>
        <w:rPr>
          <w:b/>
          <w:bCs/>
          <w:szCs w:val="22"/>
          <w:lang w:val="sr-Latn-ME"/>
        </w:rPr>
      </w:pPr>
      <w:r w:rsidRPr="008B3B89">
        <w:rPr>
          <w:b/>
          <w:bCs/>
          <w:szCs w:val="22"/>
          <w:lang w:val="sr-Latn-ME"/>
        </w:rPr>
        <w:t>4.8. Neželjena dejstva</w:t>
      </w:r>
    </w:p>
    <w:p w14:paraId="2A0AEFE3" w14:textId="77777777" w:rsidR="00627B84" w:rsidRPr="008B3B89" w:rsidRDefault="00627B84" w:rsidP="00107322">
      <w:pPr>
        <w:tabs>
          <w:tab w:val="clear" w:pos="284"/>
        </w:tabs>
        <w:rPr>
          <w:rStyle w:val="hps"/>
          <w:szCs w:val="22"/>
          <w:lang w:val="sr-Latn-ME"/>
        </w:rPr>
      </w:pPr>
    </w:p>
    <w:p w14:paraId="74AF5E41" w14:textId="67DBC326" w:rsidR="00BE12BC" w:rsidRPr="008B3B89" w:rsidRDefault="00A1158C" w:rsidP="00107322">
      <w:pPr>
        <w:tabs>
          <w:tab w:val="clear" w:pos="284"/>
        </w:tabs>
        <w:rPr>
          <w:szCs w:val="22"/>
          <w:lang w:val="sr-Latn-ME"/>
        </w:rPr>
      </w:pPr>
      <w:r w:rsidRPr="008B3B89">
        <w:rPr>
          <w:rStyle w:val="hps"/>
          <w:szCs w:val="22"/>
          <w:lang w:val="sr-Latn-ME"/>
        </w:rPr>
        <w:t xml:space="preserve">U ovom </w:t>
      </w:r>
      <w:r w:rsidR="00AC45D8" w:rsidRPr="008B3B89">
        <w:rPr>
          <w:rStyle w:val="hps"/>
          <w:szCs w:val="22"/>
          <w:lang w:val="sr-Latn-ME"/>
        </w:rPr>
        <w:t>dijelu</w:t>
      </w:r>
      <w:r w:rsidRPr="008B3B89">
        <w:rPr>
          <w:rStyle w:val="hps"/>
          <w:szCs w:val="22"/>
          <w:lang w:val="sr-Latn-ME"/>
        </w:rPr>
        <w:t xml:space="preserve"> su opisana neželjena dejstva. </w:t>
      </w:r>
      <w:r w:rsidR="00BE12BC" w:rsidRPr="008B3B89">
        <w:rPr>
          <w:rStyle w:val="hps"/>
          <w:szCs w:val="22"/>
          <w:lang w:val="sr-Latn-ME"/>
        </w:rPr>
        <w:t>Neželjene</w:t>
      </w:r>
      <w:r w:rsidR="00BE12BC" w:rsidRPr="008B3B89">
        <w:rPr>
          <w:szCs w:val="22"/>
          <w:lang w:val="sr-Latn-ME"/>
        </w:rPr>
        <w:t xml:space="preserve"> </w:t>
      </w:r>
      <w:r w:rsidR="00BE12BC" w:rsidRPr="008B3B89">
        <w:rPr>
          <w:rStyle w:val="hps"/>
          <w:szCs w:val="22"/>
          <w:lang w:val="sr-Latn-ME"/>
        </w:rPr>
        <w:t>reakcije su</w:t>
      </w:r>
      <w:r w:rsidR="00BE12BC" w:rsidRPr="008B3B89">
        <w:rPr>
          <w:szCs w:val="22"/>
          <w:lang w:val="sr-Latn-ME"/>
        </w:rPr>
        <w:t xml:space="preserve"> </w:t>
      </w:r>
      <w:r w:rsidR="00BE12BC" w:rsidRPr="008B3B89">
        <w:rPr>
          <w:rStyle w:val="hps"/>
          <w:szCs w:val="22"/>
          <w:lang w:val="sr-Latn-ME"/>
        </w:rPr>
        <w:t>neželjeni</w:t>
      </w:r>
      <w:r w:rsidR="00BE12BC" w:rsidRPr="008B3B89">
        <w:rPr>
          <w:szCs w:val="22"/>
          <w:lang w:val="sr-Latn-ME"/>
        </w:rPr>
        <w:t xml:space="preserve"> </w:t>
      </w:r>
      <w:r w:rsidR="00BE12BC" w:rsidRPr="008B3B89">
        <w:rPr>
          <w:rStyle w:val="hps"/>
          <w:szCs w:val="22"/>
          <w:lang w:val="sr-Latn-ME"/>
        </w:rPr>
        <w:t>događaji za koje se</w:t>
      </w:r>
      <w:r w:rsidR="00BE12BC" w:rsidRPr="008B3B89">
        <w:rPr>
          <w:szCs w:val="22"/>
          <w:lang w:val="sr-Latn-ME"/>
        </w:rPr>
        <w:t xml:space="preserve"> </w:t>
      </w:r>
      <w:r w:rsidR="00BE12BC" w:rsidRPr="008B3B89">
        <w:rPr>
          <w:rStyle w:val="hps"/>
          <w:szCs w:val="22"/>
          <w:lang w:val="sr-Latn-ME"/>
        </w:rPr>
        <w:t>smatra</w:t>
      </w:r>
      <w:r w:rsidR="00BE12BC" w:rsidRPr="008B3B89">
        <w:rPr>
          <w:szCs w:val="22"/>
          <w:lang w:val="sr-Latn-ME"/>
        </w:rPr>
        <w:t xml:space="preserve"> </w:t>
      </w:r>
      <w:r w:rsidR="00BE12BC" w:rsidRPr="008B3B89">
        <w:rPr>
          <w:rStyle w:val="hps"/>
          <w:szCs w:val="22"/>
          <w:lang w:val="sr-Latn-ME"/>
        </w:rPr>
        <w:t>da</w:t>
      </w:r>
      <w:r w:rsidR="00BE12BC" w:rsidRPr="008B3B89">
        <w:rPr>
          <w:szCs w:val="22"/>
          <w:lang w:val="sr-Latn-ME"/>
        </w:rPr>
        <w:t xml:space="preserve"> </w:t>
      </w:r>
      <w:r w:rsidR="00BE12BC" w:rsidRPr="008B3B89">
        <w:rPr>
          <w:rStyle w:val="hps"/>
          <w:szCs w:val="22"/>
          <w:lang w:val="sr-Latn-ME"/>
        </w:rPr>
        <w:t>su povezani</w:t>
      </w:r>
      <w:r w:rsidR="00BE12BC" w:rsidRPr="008B3B89">
        <w:rPr>
          <w:szCs w:val="22"/>
          <w:lang w:val="sr-Latn-ME"/>
        </w:rPr>
        <w:t xml:space="preserve"> </w:t>
      </w:r>
      <w:r w:rsidR="00BE12BC" w:rsidRPr="008B3B89">
        <w:rPr>
          <w:rStyle w:val="hps"/>
          <w:szCs w:val="22"/>
          <w:lang w:val="sr-Latn-ME"/>
        </w:rPr>
        <w:t xml:space="preserve">sa </w:t>
      </w:r>
      <w:r w:rsidR="0048420C" w:rsidRPr="008B3B89">
        <w:rPr>
          <w:rStyle w:val="hps"/>
          <w:szCs w:val="22"/>
          <w:lang w:val="sr-Latn-ME"/>
        </w:rPr>
        <w:t>prim</w:t>
      </w:r>
      <w:r w:rsidR="00AC45D8" w:rsidRPr="008B3B89">
        <w:rPr>
          <w:rStyle w:val="hps"/>
          <w:szCs w:val="22"/>
          <w:lang w:val="sr-Latn-ME"/>
        </w:rPr>
        <w:t>j</w:t>
      </w:r>
      <w:r w:rsidR="0048420C" w:rsidRPr="008B3B89">
        <w:rPr>
          <w:rStyle w:val="hps"/>
          <w:szCs w:val="22"/>
          <w:lang w:val="sr-Latn-ME"/>
        </w:rPr>
        <w:t>enom</w:t>
      </w:r>
      <w:r w:rsidR="00BE12BC" w:rsidRPr="008B3B89">
        <w:rPr>
          <w:szCs w:val="22"/>
          <w:lang w:val="sr-Latn-ME"/>
        </w:rPr>
        <w:t xml:space="preserve"> mebendazola, </w:t>
      </w:r>
      <w:r w:rsidR="00BE12BC" w:rsidRPr="008B3B89">
        <w:rPr>
          <w:rStyle w:val="hps"/>
          <w:szCs w:val="22"/>
          <w:lang w:val="sr-Latn-ME"/>
        </w:rPr>
        <w:t>na osnovu</w:t>
      </w:r>
      <w:r w:rsidR="00BE12BC" w:rsidRPr="008B3B89">
        <w:rPr>
          <w:szCs w:val="22"/>
          <w:lang w:val="sr-Latn-ME"/>
        </w:rPr>
        <w:t xml:space="preserve"> </w:t>
      </w:r>
      <w:r w:rsidR="00BE12BC" w:rsidRPr="008B3B89">
        <w:rPr>
          <w:rStyle w:val="hps"/>
          <w:szCs w:val="22"/>
          <w:lang w:val="sr-Latn-ME"/>
        </w:rPr>
        <w:t>sveobuhvatne</w:t>
      </w:r>
      <w:r w:rsidR="00BE12BC" w:rsidRPr="008B3B89">
        <w:rPr>
          <w:szCs w:val="22"/>
          <w:lang w:val="sr-Latn-ME"/>
        </w:rPr>
        <w:t xml:space="preserve"> </w:t>
      </w:r>
      <w:r w:rsidR="00BE12BC" w:rsidRPr="008B3B89">
        <w:rPr>
          <w:rStyle w:val="hps"/>
          <w:szCs w:val="22"/>
          <w:lang w:val="sr-Latn-ME"/>
        </w:rPr>
        <w:t>proc</w:t>
      </w:r>
      <w:r w:rsidR="00AC45D8" w:rsidRPr="008B3B89">
        <w:rPr>
          <w:rStyle w:val="hps"/>
          <w:szCs w:val="22"/>
          <w:lang w:val="sr-Latn-ME"/>
        </w:rPr>
        <w:t>j</w:t>
      </w:r>
      <w:r w:rsidR="00BE12BC" w:rsidRPr="008B3B89">
        <w:rPr>
          <w:rStyle w:val="hps"/>
          <w:szCs w:val="22"/>
          <w:lang w:val="sr-Latn-ME"/>
        </w:rPr>
        <w:t>ene</w:t>
      </w:r>
      <w:r w:rsidR="00BE12BC" w:rsidRPr="008B3B89">
        <w:rPr>
          <w:szCs w:val="22"/>
          <w:lang w:val="sr-Latn-ME"/>
        </w:rPr>
        <w:t xml:space="preserve"> </w:t>
      </w:r>
      <w:r w:rsidR="00BE12BC" w:rsidRPr="008B3B89">
        <w:rPr>
          <w:rStyle w:val="hps"/>
          <w:szCs w:val="22"/>
          <w:lang w:val="sr-Latn-ME"/>
        </w:rPr>
        <w:t>dostupnih</w:t>
      </w:r>
      <w:r w:rsidR="00BE12BC" w:rsidRPr="008B3B89">
        <w:rPr>
          <w:szCs w:val="22"/>
          <w:lang w:val="sr-Latn-ME"/>
        </w:rPr>
        <w:t xml:space="preserve"> </w:t>
      </w:r>
      <w:r w:rsidR="00BE12BC" w:rsidRPr="008B3B89">
        <w:rPr>
          <w:rStyle w:val="hps"/>
          <w:szCs w:val="22"/>
          <w:lang w:val="sr-Latn-ME"/>
        </w:rPr>
        <w:t>informacija</w:t>
      </w:r>
      <w:r w:rsidR="00BE12BC" w:rsidRPr="008B3B89">
        <w:rPr>
          <w:szCs w:val="22"/>
          <w:lang w:val="sr-Latn-ME"/>
        </w:rPr>
        <w:t xml:space="preserve"> o tim </w:t>
      </w:r>
      <w:r w:rsidR="00BE12BC" w:rsidRPr="008B3B89">
        <w:rPr>
          <w:rStyle w:val="hps"/>
          <w:szCs w:val="22"/>
          <w:lang w:val="sr-Latn-ME"/>
        </w:rPr>
        <w:t>neželjenim događajima</w:t>
      </w:r>
      <w:r w:rsidR="00BE12BC" w:rsidRPr="008B3B89">
        <w:rPr>
          <w:szCs w:val="22"/>
          <w:lang w:val="sr-Latn-ME"/>
        </w:rPr>
        <w:t xml:space="preserve">. Uzročna veza </w:t>
      </w:r>
      <w:r w:rsidR="00BE12BC" w:rsidRPr="008B3B89">
        <w:rPr>
          <w:rStyle w:val="hps"/>
          <w:szCs w:val="22"/>
          <w:lang w:val="sr-Latn-ME"/>
        </w:rPr>
        <w:t>sa</w:t>
      </w:r>
      <w:r w:rsidR="00BE12BC" w:rsidRPr="008B3B89">
        <w:rPr>
          <w:szCs w:val="22"/>
          <w:lang w:val="sr-Latn-ME"/>
        </w:rPr>
        <w:t xml:space="preserve"> </w:t>
      </w:r>
      <w:r w:rsidR="00D5525E" w:rsidRPr="008B3B89">
        <w:rPr>
          <w:szCs w:val="22"/>
          <w:lang w:val="sr-Latn-ME"/>
        </w:rPr>
        <w:t>prim</w:t>
      </w:r>
      <w:r w:rsidR="00AC45D8" w:rsidRPr="008B3B89">
        <w:rPr>
          <w:szCs w:val="22"/>
          <w:lang w:val="sr-Latn-ME"/>
        </w:rPr>
        <w:t>j</w:t>
      </w:r>
      <w:r w:rsidR="00D5525E" w:rsidRPr="008B3B89">
        <w:rPr>
          <w:szCs w:val="22"/>
          <w:lang w:val="sr-Latn-ME"/>
        </w:rPr>
        <w:t xml:space="preserve">enom </w:t>
      </w:r>
      <w:r w:rsidR="00BE12BC" w:rsidRPr="008B3B89">
        <w:rPr>
          <w:rStyle w:val="hps"/>
          <w:szCs w:val="22"/>
          <w:lang w:val="sr-Latn-ME"/>
        </w:rPr>
        <w:t>mebendazol</w:t>
      </w:r>
      <w:r w:rsidR="00D5525E" w:rsidRPr="008B3B89">
        <w:rPr>
          <w:rStyle w:val="hps"/>
          <w:szCs w:val="22"/>
          <w:lang w:val="sr-Latn-ME"/>
        </w:rPr>
        <w:t>a</w:t>
      </w:r>
      <w:r w:rsidR="00BE12BC" w:rsidRPr="008B3B89">
        <w:rPr>
          <w:rStyle w:val="hps"/>
          <w:szCs w:val="22"/>
          <w:lang w:val="sr-Latn-ME"/>
        </w:rPr>
        <w:t xml:space="preserve"> se ne može pouzdano utvrditi u</w:t>
      </w:r>
      <w:r w:rsidR="00BE12BC" w:rsidRPr="008B3B89">
        <w:rPr>
          <w:szCs w:val="22"/>
          <w:lang w:val="sr-Latn-ME"/>
        </w:rPr>
        <w:t xml:space="preserve"> </w:t>
      </w:r>
      <w:r w:rsidR="00BE12BC" w:rsidRPr="008B3B89">
        <w:rPr>
          <w:rStyle w:val="hps"/>
          <w:szCs w:val="22"/>
          <w:lang w:val="sr-Latn-ME"/>
        </w:rPr>
        <w:t>pojedinačnim slučajevima</w:t>
      </w:r>
      <w:r w:rsidR="00BE12BC" w:rsidRPr="008B3B89">
        <w:rPr>
          <w:szCs w:val="22"/>
          <w:lang w:val="sr-Latn-ME"/>
        </w:rPr>
        <w:t xml:space="preserve">. </w:t>
      </w:r>
      <w:r w:rsidR="00F704BB" w:rsidRPr="008B3B89">
        <w:rPr>
          <w:rStyle w:val="hps"/>
          <w:szCs w:val="22"/>
          <w:lang w:val="sr-Latn-ME"/>
        </w:rPr>
        <w:t>Dodatno</w:t>
      </w:r>
      <w:r w:rsidR="00BE12BC" w:rsidRPr="008B3B89">
        <w:rPr>
          <w:rStyle w:val="hps"/>
          <w:szCs w:val="22"/>
          <w:lang w:val="sr-Latn-ME"/>
        </w:rPr>
        <w:t>, pošto se</w:t>
      </w:r>
      <w:r w:rsidR="00BE12BC" w:rsidRPr="008B3B89">
        <w:rPr>
          <w:szCs w:val="22"/>
          <w:lang w:val="sr-Latn-ME"/>
        </w:rPr>
        <w:t xml:space="preserve"> </w:t>
      </w:r>
      <w:r w:rsidR="00BE12BC" w:rsidRPr="008B3B89">
        <w:rPr>
          <w:rStyle w:val="hps"/>
          <w:szCs w:val="22"/>
          <w:lang w:val="sr-Latn-ME"/>
        </w:rPr>
        <w:t>klinička ispitivanja</w:t>
      </w:r>
      <w:r w:rsidR="00BE12BC" w:rsidRPr="008B3B89">
        <w:rPr>
          <w:szCs w:val="22"/>
          <w:lang w:val="sr-Latn-ME"/>
        </w:rPr>
        <w:t xml:space="preserve"> </w:t>
      </w:r>
      <w:r w:rsidR="00BE12BC" w:rsidRPr="008B3B89">
        <w:rPr>
          <w:rStyle w:val="hps"/>
          <w:szCs w:val="22"/>
          <w:lang w:val="sr-Latn-ME"/>
        </w:rPr>
        <w:t>sprovode pod</w:t>
      </w:r>
      <w:r w:rsidR="00BE12BC" w:rsidRPr="008B3B89">
        <w:rPr>
          <w:szCs w:val="22"/>
          <w:lang w:val="sr-Latn-ME"/>
        </w:rPr>
        <w:t xml:space="preserve"> </w:t>
      </w:r>
      <w:r w:rsidR="00BE12BC" w:rsidRPr="008B3B89">
        <w:rPr>
          <w:rStyle w:val="hps"/>
          <w:szCs w:val="22"/>
          <w:lang w:val="sr-Latn-ME"/>
        </w:rPr>
        <w:t>veoma</w:t>
      </w:r>
      <w:r w:rsidR="00BE12BC" w:rsidRPr="008B3B89">
        <w:rPr>
          <w:szCs w:val="22"/>
          <w:lang w:val="sr-Latn-ME"/>
        </w:rPr>
        <w:t xml:space="preserve"> </w:t>
      </w:r>
      <w:r w:rsidR="00BE12BC" w:rsidRPr="008B3B89">
        <w:rPr>
          <w:rStyle w:val="hps"/>
          <w:szCs w:val="22"/>
          <w:lang w:val="sr-Latn-ME"/>
        </w:rPr>
        <w:t>različitim uslovima</w:t>
      </w:r>
      <w:r w:rsidR="00BE12BC" w:rsidRPr="008B3B89">
        <w:rPr>
          <w:szCs w:val="22"/>
          <w:lang w:val="sr-Latn-ME"/>
        </w:rPr>
        <w:t xml:space="preserve">, učestalost pojave </w:t>
      </w:r>
      <w:r w:rsidR="00BE12BC" w:rsidRPr="008B3B89">
        <w:rPr>
          <w:rStyle w:val="hps"/>
          <w:szCs w:val="22"/>
          <w:lang w:val="sr-Latn-ME"/>
        </w:rPr>
        <w:t>neželjenih reakcija</w:t>
      </w:r>
      <w:r w:rsidR="00BE12BC" w:rsidRPr="008B3B89">
        <w:rPr>
          <w:szCs w:val="22"/>
          <w:lang w:val="sr-Latn-ME"/>
        </w:rPr>
        <w:t xml:space="preserve"> </w:t>
      </w:r>
      <w:r w:rsidR="00BE12BC" w:rsidRPr="008B3B89">
        <w:rPr>
          <w:rStyle w:val="hps"/>
          <w:szCs w:val="22"/>
          <w:lang w:val="sr-Latn-ME"/>
        </w:rPr>
        <w:t>zab</w:t>
      </w:r>
      <w:r w:rsidR="00AC45D8" w:rsidRPr="008B3B89">
        <w:rPr>
          <w:rStyle w:val="hps"/>
          <w:szCs w:val="22"/>
          <w:lang w:val="sr-Latn-ME"/>
        </w:rPr>
        <w:t>i</w:t>
      </w:r>
      <w:r w:rsidR="00BE12BC" w:rsidRPr="008B3B89">
        <w:rPr>
          <w:rStyle w:val="hps"/>
          <w:szCs w:val="22"/>
          <w:lang w:val="sr-Latn-ME"/>
        </w:rPr>
        <w:t>l</w:t>
      </w:r>
      <w:r w:rsidR="00AC45D8" w:rsidRPr="008B3B89">
        <w:rPr>
          <w:rStyle w:val="hps"/>
          <w:szCs w:val="22"/>
          <w:lang w:val="sr-Latn-ME"/>
        </w:rPr>
        <w:t>j</w:t>
      </w:r>
      <w:r w:rsidR="00BE12BC" w:rsidRPr="008B3B89">
        <w:rPr>
          <w:rStyle w:val="hps"/>
          <w:szCs w:val="22"/>
          <w:lang w:val="sr-Latn-ME"/>
        </w:rPr>
        <w:t xml:space="preserve">eženih tokom </w:t>
      </w:r>
      <w:r w:rsidR="0048420C" w:rsidRPr="008B3B89">
        <w:rPr>
          <w:rStyle w:val="hps"/>
          <w:szCs w:val="22"/>
          <w:lang w:val="sr-Latn-ME"/>
        </w:rPr>
        <w:t xml:space="preserve">kliničkih </w:t>
      </w:r>
      <w:r w:rsidR="00BE12BC" w:rsidRPr="008B3B89">
        <w:rPr>
          <w:rStyle w:val="hps"/>
          <w:szCs w:val="22"/>
          <w:lang w:val="sr-Latn-ME"/>
        </w:rPr>
        <w:t>ispitivanja</w:t>
      </w:r>
      <w:r w:rsidR="00BE12BC" w:rsidRPr="008B3B89">
        <w:rPr>
          <w:szCs w:val="22"/>
          <w:lang w:val="sr-Latn-ME"/>
        </w:rPr>
        <w:t xml:space="preserve"> jednog </w:t>
      </w:r>
      <w:r w:rsidR="00BE12BC" w:rsidRPr="008B3B89">
        <w:rPr>
          <w:rStyle w:val="hps"/>
          <w:szCs w:val="22"/>
          <w:lang w:val="sr-Latn-ME"/>
        </w:rPr>
        <w:t>l</w:t>
      </w:r>
      <w:r w:rsidR="00AC45D8" w:rsidRPr="008B3B89">
        <w:rPr>
          <w:rStyle w:val="hps"/>
          <w:szCs w:val="22"/>
          <w:lang w:val="sr-Latn-ME"/>
        </w:rPr>
        <w:t>ij</w:t>
      </w:r>
      <w:r w:rsidR="00BE12BC" w:rsidRPr="008B3B89">
        <w:rPr>
          <w:rStyle w:val="hps"/>
          <w:szCs w:val="22"/>
          <w:lang w:val="sr-Latn-ME"/>
        </w:rPr>
        <w:t>eka</w:t>
      </w:r>
      <w:r w:rsidR="00BE12BC" w:rsidRPr="008B3B89">
        <w:rPr>
          <w:szCs w:val="22"/>
          <w:lang w:val="sr-Latn-ME"/>
        </w:rPr>
        <w:t xml:space="preserve"> se </w:t>
      </w:r>
      <w:r w:rsidR="00BE12BC" w:rsidRPr="008B3B89">
        <w:rPr>
          <w:rStyle w:val="hps"/>
          <w:szCs w:val="22"/>
          <w:lang w:val="sr-Latn-ME"/>
        </w:rPr>
        <w:t>ne može</w:t>
      </w:r>
      <w:r w:rsidR="00BE12BC" w:rsidRPr="008B3B89">
        <w:rPr>
          <w:szCs w:val="22"/>
          <w:lang w:val="sr-Latn-ME"/>
        </w:rPr>
        <w:t xml:space="preserve"> </w:t>
      </w:r>
      <w:r w:rsidR="00BE12BC" w:rsidRPr="008B3B89">
        <w:rPr>
          <w:rStyle w:val="hps"/>
          <w:szCs w:val="22"/>
          <w:lang w:val="sr-Latn-ME"/>
        </w:rPr>
        <w:t>direktno porediti sa pojavom neželjenih reakcija tokom kliničkog ispitivanja drugog l</w:t>
      </w:r>
      <w:r w:rsidR="00AC45D8" w:rsidRPr="008B3B89">
        <w:rPr>
          <w:rStyle w:val="hps"/>
          <w:szCs w:val="22"/>
          <w:lang w:val="sr-Latn-ME"/>
        </w:rPr>
        <w:t>ij</w:t>
      </w:r>
      <w:r w:rsidR="00BE12BC" w:rsidRPr="008B3B89">
        <w:rPr>
          <w:rStyle w:val="hps"/>
          <w:szCs w:val="22"/>
          <w:lang w:val="sr-Latn-ME"/>
        </w:rPr>
        <w:t>eka</w:t>
      </w:r>
      <w:r w:rsidR="00BE12BC" w:rsidRPr="008B3B89">
        <w:rPr>
          <w:szCs w:val="22"/>
          <w:lang w:val="sr-Latn-ME"/>
        </w:rPr>
        <w:t xml:space="preserve">, i ne </w:t>
      </w:r>
      <w:r w:rsidR="00E53564" w:rsidRPr="008B3B89">
        <w:rPr>
          <w:rStyle w:val="hps"/>
          <w:szCs w:val="22"/>
          <w:lang w:val="sr-Latn-ME"/>
        </w:rPr>
        <w:t xml:space="preserve">mora </w:t>
      </w:r>
      <w:r w:rsidR="00BE12BC" w:rsidRPr="008B3B89">
        <w:rPr>
          <w:rStyle w:val="hps"/>
          <w:szCs w:val="22"/>
          <w:lang w:val="sr-Latn-ME"/>
        </w:rPr>
        <w:t>odražavati</w:t>
      </w:r>
      <w:r w:rsidR="00BE12BC" w:rsidRPr="008B3B89">
        <w:rPr>
          <w:szCs w:val="22"/>
          <w:lang w:val="sr-Latn-ME"/>
        </w:rPr>
        <w:t xml:space="preserve"> </w:t>
      </w:r>
      <w:r w:rsidR="00BE12BC" w:rsidRPr="008B3B89">
        <w:rPr>
          <w:rStyle w:val="hps"/>
          <w:szCs w:val="22"/>
          <w:lang w:val="sr-Latn-ME"/>
        </w:rPr>
        <w:t>učestalost ovih reakcija uočenih</w:t>
      </w:r>
      <w:r w:rsidR="00BE12BC" w:rsidRPr="008B3B89">
        <w:rPr>
          <w:szCs w:val="22"/>
          <w:lang w:val="sr-Latn-ME"/>
        </w:rPr>
        <w:t xml:space="preserve"> </w:t>
      </w:r>
      <w:r w:rsidR="00BE12BC" w:rsidRPr="008B3B89">
        <w:rPr>
          <w:rStyle w:val="hps"/>
          <w:szCs w:val="22"/>
          <w:lang w:val="sr-Latn-ME"/>
        </w:rPr>
        <w:t>u kliničkoj</w:t>
      </w:r>
      <w:r w:rsidR="00BE12BC" w:rsidRPr="008B3B89">
        <w:rPr>
          <w:szCs w:val="22"/>
          <w:lang w:val="sr-Latn-ME"/>
        </w:rPr>
        <w:t xml:space="preserve"> </w:t>
      </w:r>
      <w:r w:rsidR="00BE12BC" w:rsidRPr="008B3B89">
        <w:rPr>
          <w:rStyle w:val="hps"/>
          <w:szCs w:val="22"/>
          <w:lang w:val="sr-Latn-ME"/>
        </w:rPr>
        <w:t>praksi</w:t>
      </w:r>
      <w:r w:rsidR="00BE12BC" w:rsidRPr="008B3B89">
        <w:rPr>
          <w:szCs w:val="22"/>
          <w:lang w:val="sr-Latn-ME"/>
        </w:rPr>
        <w:t xml:space="preserve">. </w:t>
      </w:r>
    </w:p>
    <w:p w14:paraId="02909996" w14:textId="24956E95" w:rsidR="00E53564" w:rsidRPr="008B3B89" w:rsidRDefault="00BE12BC" w:rsidP="00107322">
      <w:pPr>
        <w:tabs>
          <w:tab w:val="clear" w:pos="284"/>
        </w:tabs>
        <w:rPr>
          <w:szCs w:val="22"/>
          <w:lang w:val="sr-Latn-ME"/>
        </w:rPr>
      </w:pPr>
      <w:r w:rsidRPr="008B3B89">
        <w:rPr>
          <w:szCs w:val="22"/>
          <w:lang w:val="sr-Latn-ME"/>
        </w:rPr>
        <w:t>Bezb</w:t>
      </w:r>
      <w:r w:rsidR="00AC45D8" w:rsidRPr="008B3B89">
        <w:rPr>
          <w:szCs w:val="22"/>
          <w:lang w:val="sr-Latn-ME"/>
        </w:rPr>
        <w:t>j</w:t>
      </w:r>
      <w:r w:rsidRPr="008B3B89">
        <w:rPr>
          <w:szCs w:val="22"/>
          <w:lang w:val="sr-Latn-ME"/>
        </w:rPr>
        <w:t>ednost prim</w:t>
      </w:r>
      <w:r w:rsidR="00AC45D8" w:rsidRPr="008B3B89">
        <w:rPr>
          <w:szCs w:val="22"/>
          <w:lang w:val="sr-Latn-ME"/>
        </w:rPr>
        <w:t>j</w:t>
      </w:r>
      <w:r w:rsidRPr="008B3B89">
        <w:rPr>
          <w:szCs w:val="22"/>
          <w:lang w:val="sr-Latn-ME"/>
        </w:rPr>
        <w:t>ene mebendazola je proc</w:t>
      </w:r>
      <w:r w:rsidR="00AC45D8" w:rsidRPr="008B3B89">
        <w:rPr>
          <w:szCs w:val="22"/>
          <w:lang w:val="sr-Latn-ME"/>
        </w:rPr>
        <w:t>ij</w:t>
      </w:r>
      <w:r w:rsidRPr="008B3B89">
        <w:rPr>
          <w:szCs w:val="22"/>
          <w:lang w:val="sr-Latn-ME"/>
        </w:rPr>
        <w:t>enj</w:t>
      </w:r>
      <w:r w:rsidR="00E53564" w:rsidRPr="008B3B89">
        <w:rPr>
          <w:szCs w:val="22"/>
          <w:lang w:val="sr-Latn-ME"/>
        </w:rPr>
        <w:t>e</w:t>
      </w:r>
      <w:r w:rsidRPr="008B3B89">
        <w:rPr>
          <w:szCs w:val="22"/>
          <w:lang w:val="sr-Latn-ME"/>
        </w:rPr>
        <w:t xml:space="preserve">na kod 6276 </w:t>
      </w:r>
      <w:r w:rsidR="0048420C" w:rsidRPr="008B3B89">
        <w:rPr>
          <w:szCs w:val="22"/>
          <w:lang w:val="sr-Latn-ME"/>
        </w:rPr>
        <w:t>ispitanika</w:t>
      </w:r>
      <w:r w:rsidRPr="008B3B89">
        <w:rPr>
          <w:szCs w:val="22"/>
          <w:lang w:val="sr-Latn-ME"/>
        </w:rPr>
        <w:t xml:space="preserve"> koji su učestvovali u 39 kliničkih </w:t>
      </w:r>
      <w:r w:rsidR="00D87505" w:rsidRPr="008B3B89">
        <w:rPr>
          <w:szCs w:val="22"/>
          <w:lang w:val="sr-Latn-ME"/>
        </w:rPr>
        <w:t xml:space="preserve">ispitivanja </w:t>
      </w:r>
      <w:r w:rsidRPr="008B3B89">
        <w:rPr>
          <w:szCs w:val="22"/>
          <w:lang w:val="sr-Latn-ME"/>
        </w:rPr>
        <w:t>u kojima je ispit</w:t>
      </w:r>
      <w:r w:rsidR="000F31CA" w:rsidRPr="008B3B89">
        <w:rPr>
          <w:szCs w:val="22"/>
          <w:lang w:val="sr-Latn-ME"/>
        </w:rPr>
        <w:t>iva</w:t>
      </w:r>
      <w:r w:rsidRPr="008B3B89">
        <w:rPr>
          <w:szCs w:val="22"/>
          <w:lang w:val="sr-Latn-ME"/>
        </w:rPr>
        <w:t>na terapija pojedinačnih i</w:t>
      </w:r>
      <w:r w:rsidR="0048420C" w:rsidRPr="008B3B89">
        <w:rPr>
          <w:szCs w:val="22"/>
          <w:lang w:val="sr-Latn-ME"/>
        </w:rPr>
        <w:t>li</w:t>
      </w:r>
      <w:r w:rsidRPr="008B3B89">
        <w:rPr>
          <w:szCs w:val="22"/>
          <w:lang w:val="sr-Latn-ME"/>
        </w:rPr>
        <w:t xml:space="preserve"> m</w:t>
      </w:r>
      <w:r w:rsidR="00AC45D8" w:rsidRPr="008B3B89">
        <w:rPr>
          <w:szCs w:val="22"/>
          <w:lang w:val="sr-Latn-ME"/>
        </w:rPr>
        <w:t>j</w:t>
      </w:r>
      <w:r w:rsidRPr="008B3B89">
        <w:rPr>
          <w:szCs w:val="22"/>
          <w:lang w:val="sr-Latn-ME"/>
        </w:rPr>
        <w:t xml:space="preserve">ešovitih parazitarnih </w:t>
      </w:r>
      <w:r w:rsidR="003C55ED" w:rsidRPr="008B3B89">
        <w:rPr>
          <w:szCs w:val="22"/>
          <w:lang w:val="sr-Latn-ME"/>
        </w:rPr>
        <w:t>infe</w:t>
      </w:r>
      <w:r w:rsidR="000F31CA" w:rsidRPr="008B3B89">
        <w:rPr>
          <w:szCs w:val="22"/>
          <w:lang w:val="sr-Latn-ME"/>
        </w:rPr>
        <w:t>kcija</w:t>
      </w:r>
      <w:r w:rsidRPr="008B3B89">
        <w:rPr>
          <w:szCs w:val="22"/>
          <w:lang w:val="sr-Latn-ME"/>
        </w:rPr>
        <w:t xml:space="preserve"> gastrointestinalnog trakta. Tokom </w:t>
      </w:r>
      <w:r w:rsidR="0048420C" w:rsidRPr="008B3B89">
        <w:rPr>
          <w:szCs w:val="22"/>
          <w:lang w:val="sr-Latn-ME"/>
        </w:rPr>
        <w:t>o</w:t>
      </w:r>
      <w:r w:rsidRPr="008B3B89">
        <w:rPr>
          <w:szCs w:val="22"/>
          <w:lang w:val="sr-Latn-ME"/>
        </w:rPr>
        <w:t xml:space="preserve">vih 39 </w:t>
      </w:r>
      <w:r w:rsidR="0048420C" w:rsidRPr="008B3B89">
        <w:rPr>
          <w:szCs w:val="22"/>
          <w:lang w:val="sr-Latn-ME"/>
        </w:rPr>
        <w:t>kliničkih ispitivanja</w:t>
      </w:r>
      <w:r w:rsidRPr="008B3B89">
        <w:rPr>
          <w:szCs w:val="22"/>
          <w:lang w:val="sr-Latn-ME"/>
        </w:rPr>
        <w:t xml:space="preserve">, </w:t>
      </w:r>
      <w:r w:rsidR="000F31CA" w:rsidRPr="008B3B89">
        <w:rPr>
          <w:szCs w:val="22"/>
          <w:lang w:val="sr-Latn-ME"/>
        </w:rPr>
        <w:t>nijedna neželjena reakcija se nije javila sa učestalošću većom od</w:t>
      </w:r>
      <w:r w:rsidRPr="008B3B89">
        <w:rPr>
          <w:szCs w:val="22"/>
          <w:lang w:val="sr-Latn-ME"/>
        </w:rPr>
        <w:t xml:space="preserve"> ≥ 1% pacijenata koji su dobijali mebendazol. </w:t>
      </w:r>
    </w:p>
    <w:p w14:paraId="74AF5E43" w14:textId="4EB14AD5" w:rsidR="00BE12BC" w:rsidRPr="008B3B89" w:rsidRDefault="00BE12BC" w:rsidP="00107322">
      <w:pPr>
        <w:tabs>
          <w:tab w:val="clear" w:pos="284"/>
        </w:tabs>
        <w:rPr>
          <w:szCs w:val="22"/>
          <w:lang w:val="sr-Latn-ME"/>
        </w:rPr>
      </w:pPr>
      <w:r w:rsidRPr="008B3B89">
        <w:rPr>
          <w:szCs w:val="22"/>
          <w:lang w:val="sr-Latn-ME"/>
        </w:rPr>
        <w:t xml:space="preserve">Neželjene reakcije prijavljene tokom kliničkih ispitivanja i postmarketinškog praćenja mebendazola su prikazane u Tabeli 1. </w:t>
      </w:r>
    </w:p>
    <w:p w14:paraId="74AF5E45" w14:textId="1DFB218B" w:rsidR="00BE12BC" w:rsidRPr="008B3B89" w:rsidRDefault="00BE12BC" w:rsidP="00107322">
      <w:pPr>
        <w:tabs>
          <w:tab w:val="clear" w:pos="284"/>
        </w:tabs>
        <w:rPr>
          <w:szCs w:val="22"/>
          <w:lang w:val="sr-Latn-ME"/>
        </w:rPr>
      </w:pPr>
      <w:r w:rsidRPr="008B3B89">
        <w:rPr>
          <w:szCs w:val="22"/>
          <w:lang w:val="sr-Latn-ME"/>
        </w:rPr>
        <w:t xml:space="preserve">Neželjene reakcije su </w:t>
      </w:r>
      <w:r w:rsidR="0048420C" w:rsidRPr="008B3B89">
        <w:rPr>
          <w:szCs w:val="22"/>
          <w:lang w:val="sr-Latn-ME"/>
        </w:rPr>
        <w:t>razvrstane</w:t>
      </w:r>
      <w:r w:rsidRPr="008B3B89">
        <w:rPr>
          <w:szCs w:val="22"/>
          <w:lang w:val="sr-Latn-ME"/>
        </w:rPr>
        <w:t xml:space="preserve"> prema </w:t>
      </w:r>
      <w:r w:rsidR="0048420C" w:rsidRPr="008B3B89">
        <w:rPr>
          <w:szCs w:val="22"/>
          <w:lang w:val="sr-Latn-ME"/>
        </w:rPr>
        <w:t xml:space="preserve">klasama </w:t>
      </w:r>
      <w:r w:rsidRPr="008B3B89">
        <w:rPr>
          <w:szCs w:val="22"/>
          <w:lang w:val="sr-Latn-ME"/>
        </w:rPr>
        <w:t xml:space="preserve">sistema organa, a </w:t>
      </w:r>
      <w:r w:rsidR="0048420C" w:rsidRPr="008B3B89">
        <w:rPr>
          <w:szCs w:val="22"/>
          <w:lang w:val="sr-Latn-ME"/>
        </w:rPr>
        <w:t xml:space="preserve">kategorije </w:t>
      </w:r>
      <w:r w:rsidRPr="008B3B89">
        <w:rPr>
          <w:szCs w:val="22"/>
          <w:lang w:val="sr-Latn-ME"/>
        </w:rPr>
        <w:t>učestalost</w:t>
      </w:r>
      <w:r w:rsidR="0048420C" w:rsidRPr="008B3B89">
        <w:rPr>
          <w:szCs w:val="22"/>
          <w:lang w:val="sr-Latn-ME"/>
        </w:rPr>
        <w:t>i</w:t>
      </w:r>
      <w:r w:rsidRPr="008B3B89">
        <w:rPr>
          <w:szCs w:val="22"/>
          <w:lang w:val="sr-Latn-ME"/>
        </w:rPr>
        <w:t xml:space="preserve"> pojave neželjenih reakcija </w:t>
      </w:r>
      <w:r w:rsidR="0048420C" w:rsidRPr="008B3B89">
        <w:rPr>
          <w:szCs w:val="22"/>
          <w:lang w:val="sr-Latn-ME"/>
        </w:rPr>
        <w:t>su</w:t>
      </w:r>
      <w:r w:rsidRPr="008B3B89">
        <w:rPr>
          <w:szCs w:val="22"/>
          <w:lang w:val="sr-Latn-ME"/>
        </w:rPr>
        <w:t xml:space="preserve"> definisan</w:t>
      </w:r>
      <w:r w:rsidR="0048420C" w:rsidRPr="008B3B89">
        <w:rPr>
          <w:szCs w:val="22"/>
          <w:lang w:val="sr-Latn-ME"/>
        </w:rPr>
        <w:t>e</w:t>
      </w:r>
      <w:r w:rsidRPr="008B3B89">
        <w:rPr>
          <w:szCs w:val="22"/>
          <w:lang w:val="sr-Latn-ME"/>
        </w:rPr>
        <w:t xml:space="preserve"> na sl</w:t>
      </w:r>
      <w:r w:rsidR="00AC45D8" w:rsidRPr="008B3B89">
        <w:rPr>
          <w:szCs w:val="22"/>
          <w:lang w:val="sr-Latn-ME"/>
        </w:rPr>
        <w:t>j</w:t>
      </w:r>
      <w:r w:rsidRPr="008B3B89">
        <w:rPr>
          <w:szCs w:val="22"/>
          <w:lang w:val="sr-Latn-ME"/>
        </w:rPr>
        <w:t>edeći način: veoma često (</w:t>
      </w:r>
      <w:r w:rsidRPr="008B3B89">
        <w:rPr>
          <w:sz w:val="20"/>
          <w:szCs w:val="20"/>
          <w:lang w:val="sr-Latn-ME"/>
        </w:rPr>
        <w:sym w:font="Symbol" w:char="F0B3"/>
      </w:r>
      <w:r w:rsidRPr="008B3B89">
        <w:rPr>
          <w:szCs w:val="22"/>
          <w:lang w:val="sr-Latn-ME"/>
        </w:rPr>
        <w:t xml:space="preserve"> 1/10); često (</w:t>
      </w:r>
      <w:r w:rsidRPr="008B3B89">
        <w:rPr>
          <w:sz w:val="20"/>
          <w:szCs w:val="20"/>
          <w:lang w:val="sr-Latn-ME"/>
        </w:rPr>
        <w:sym w:font="Symbol" w:char="F0B3"/>
      </w:r>
      <w:r w:rsidRPr="008B3B89">
        <w:rPr>
          <w:szCs w:val="22"/>
          <w:lang w:val="sr-Latn-ME"/>
        </w:rPr>
        <w:t xml:space="preserve"> 1/100 do &lt; 1/10); povremeno (</w:t>
      </w:r>
      <w:r w:rsidRPr="008B3B89">
        <w:rPr>
          <w:sz w:val="20"/>
          <w:szCs w:val="20"/>
          <w:lang w:val="sr-Latn-ME"/>
        </w:rPr>
        <w:sym w:font="Symbol" w:char="F0B3"/>
      </w:r>
      <w:r w:rsidRPr="008B3B89">
        <w:rPr>
          <w:szCs w:val="22"/>
          <w:lang w:val="sr-Latn-ME"/>
        </w:rPr>
        <w:t xml:space="preserve"> 1/1000 do &lt; 1/100); r</w:t>
      </w:r>
      <w:r w:rsidR="00AC45D8" w:rsidRPr="008B3B89">
        <w:rPr>
          <w:szCs w:val="22"/>
          <w:lang w:val="sr-Latn-ME"/>
        </w:rPr>
        <w:t>ij</w:t>
      </w:r>
      <w:r w:rsidRPr="008B3B89">
        <w:rPr>
          <w:szCs w:val="22"/>
          <w:lang w:val="sr-Latn-ME"/>
        </w:rPr>
        <w:t>etko (</w:t>
      </w:r>
      <w:r w:rsidRPr="008B3B89">
        <w:rPr>
          <w:sz w:val="20"/>
          <w:szCs w:val="20"/>
          <w:lang w:val="sr-Latn-ME"/>
        </w:rPr>
        <w:sym w:font="Symbol" w:char="F0B3"/>
      </w:r>
      <w:r w:rsidRPr="008B3B89">
        <w:rPr>
          <w:szCs w:val="22"/>
          <w:lang w:val="sr-Latn-ME"/>
        </w:rPr>
        <w:t xml:space="preserve"> 1/10000 do &lt; 1/1000); veoma r</w:t>
      </w:r>
      <w:r w:rsidR="00AC45D8" w:rsidRPr="008B3B89">
        <w:rPr>
          <w:szCs w:val="22"/>
          <w:lang w:val="sr-Latn-ME"/>
        </w:rPr>
        <w:t>ij</w:t>
      </w:r>
      <w:r w:rsidRPr="008B3B89">
        <w:rPr>
          <w:szCs w:val="22"/>
          <w:lang w:val="sr-Latn-ME"/>
        </w:rPr>
        <w:t>etko (&lt; 1/10000); nepoznat</w:t>
      </w:r>
      <w:r w:rsidR="0020586A" w:rsidRPr="008B3B89">
        <w:rPr>
          <w:szCs w:val="22"/>
          <w:lang w:val="sr-Latn-ME"/>
        </w:rPr>
        <w:t>a učestalost</w:t>
      </w:r>
      <w:r w:rsidRPr="008B3B89">
        <w:rPr>
          <w:szCs w:val="22"/>
          <w:lang w:val="sr-Latn-ME"/>
        </w:rPr>
        <w:t xml:space="preserve"> (ne može se </w:t>
      </w:r>
      <w:r w:rsidR="0048420C" w:rsidRPr="008B3B89">
        <w:rPr>
          <w:szCs w:val="22"/>
          <w:lang w:val="sr-Latn-ME"/>
        </w:rPr>
        <w:t>proc</w:t>
      </w:r>
      <w:r w:rsidR="00AC45D8" w:rsidRPr="008B3B89">
        <w:rPr>
          <w:szCs w:val="22"/>
          <w:lang w:val="sr-Latn-ME"/>
        </w:rPr>
        <w:t>ij</w:t>
      </w:r>
      <w:r w:rsidR="0048420C" w:rsidRPr="008B3B89">
        <w:rPr>
          <w:szCs w:val="22"/>
          <w:lang w:val="sr-Latn-ME"/>
        </w:rPr>
        <w:t>eniti</w:t>
      </w:r>
      <w:r w:rsidRPr="008B3B89">
        <w:rPr>
          <w:szCs w:val="22"/>
          <w:lang w:val="sr-Latn-ME"/>
        </w:rPr>
        <w:t xml:space="preserve"> </w:t>
      </w:r>
      <w:r w:rsidR="0048420C" w:rsidRPr="008B3B89">
        <w:rPr>
          <w:szCs w:val="22"/>
          <w:lang w:val="sr-Latn-ME"/>
        </w:rPr>
        <w:t>na osnovu</w:t>
      </w:r>
      <w:r w:rsidRPr="008B3B89">
        <w:rPr>
          <w:szCs w:val="22"/>
          <w:lang w:val="sr-Latn-ME"/>
        </w:rPr>
        <w:t xml:space="preserve"> </w:t>
      </w:r>
      <w:r w:rsidR="0048420C" w:rsidRPr="008B3B89">
        <w:rPr>
          <w:szCs w:val="22"/>
          <w:lang w:val="sr-Latn-ME"/>
        </w:rPr>
        <w:t>dostupnih</w:t>
      </w:r>
      <w:r w:rsidRPr="008B3B89">
        <w:rPr>
          <w:szCs w:val="22"/>
          <w:lang w:val="sr-Latn-ME"/>
        </w:rPr>
        <w:t xml:space="preserve"> podataka). </w:t>
      </w:r>
    </w:p>
    <w:p w14:paraId="4642A557" w14:textId="77777777" w:rsidR="00A01D11" w:rsidRPr="008B3B89" w:rsidRDefault="00A01D11" w:rsidP="00107322">
      <w:pPr>
        <w:tabs>
          <w:tab w:val="clear" w:pos="284"/>
        </w:tabs>
        <w:rPr>
          <w:szCs w:val="22"/>
          <w:lang w:val="sr-Latn-ME"/>
        </w:rPr>
      </w:pPr>
    </w:p>
    <w:p w14:paraId="74AF5E47" w14:textId="77777777" w:rsidR="00BE12BC" w:rsidRPr="008B3B89" w:rsidRDefault="0048420C" w:rsidP="00107322">
      <w:pPr>
        <w:tabs>
          <w:tab w:val="clear" w:pos="284"/>
        </w:tabs>
        <w:rPr>
          <w:szCs w:val="22"/>
          <w:lang w:val="sr-Latn-ME"/>
        </w:rPr>
      </w:pPr>
      <w:r w:rsidRPr="008B3B89">
        <w:rPr>
          <w:szCs w:val="22"/>
          <w:lang w:val="sr-Latn-ME"/>
        </w:rPr>
        <w:t xml:space="preserve">Tabela 1: </w:t>
      </w:r>
      <w:r w:rsidR="00BE12BC" w:rsidRPr="008B3B89">
        <w:rPr>
          <w:lang w:val="sr-Latn-ME"/>
        </w:rPr>
        <w:t>Neželjene reakcije prijavljene tokom kliničkih ispitivanja i postmarketinškog praćenja mebendazola</w:t>
      </w:r>
    </w:p>
    <w:tbl>
      <w:tblPr>
        <w:tblW w:w="4962" w:type="pct"/>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2558"/>
        <w:gridCol w:w="1836"/>
        <w:gridCol w:w="2090"/>
        <w:gridCol w:w="3066"/>
      </w:tblGrid>
      <w:tr w:rsidR="00BE12BC" w:rsidRPr="008B3B89" w14:paraId="74AF5E4C" w14:textId="77777777" w:rsidTr="00271D6D">
        <w:trPr>
          <w:tblCellSpacing w:w="0" w:type="dxa"/>
        </w:trPr>
        <w:tc>
          <w:tcPr>
            <w:tcW w:w="1340" w:type="pct"/>
            <w:vMerge w:val="restart"/>
            <w:tcBorders>
              <w:top w:val="outset" w:sz="6" w:space="0" w:color="auto"/>
              <w:left w:val="outset" w:sz="6" w:space="0" w:color="auto"/>
              <w:bottom w:val="outset" w:sz="6" w:space="0" w:color="auto"/>
              <w:right w:val="outset" w:sz="6" w:space="0" w:color="auto"/>
            </w:tcBorders>
          </w:tcPr>
          <w:p w14:paraId="74AF5E48" w14:textId="77777777" w:rsidR="00BE12BC" w:rsidRPr="008B3B89" w:rsidRDefault="00BE12BC" w:rsidP="004A2E5C">
            <w:pPr>
              <w:tabs>
                <w:tab w:val="clear" w:pos="284"/>
              </w:tabs>
              <w:rPr>
                <w:b/>
                <w:bCs/>
                <w:szCs w:val="22"/>
                <w:lang w:val="sr-Latn-ME"/>
              </w:rPr>
            </w:pPr>
          </w:p>
          <w:p w14:paraId="74AF5E49" w14:textId="77777777" w:rsidR="00BE12BC" w:rsidRPr="008B3B89" w:rsidRDefault="00BE12BC" w:rsidP="00E03362">
            <w:pPr>
              <w:tabs>
                <w:tab w:val="clear" w:pos="284"/>
              </w:tabs>
              <w:rPr>
                <w:b/>
                <w:bCs/>
                <w:szCs w:val="22"/>
                <w:lang w:val="sr-Latn-ME"/>
              </w:rPr>
            </w:pPr>
          </w:p>
          <w:p w14:paraId="74AF5E4A" w14:textId="0266924A" w:rsidR="00BE12BC" w:rsidRPr="008B3B89" w:rsidRDefault="0048420C">
            <w:pPr>
              <w:tabs>
                <w:tab w:val="clear" w:pos="284"/>
              </w:tabs>
              <w:rPr>
                <w:szCs w:val="22"/>
                <w:lang w:val="sr-Latn-ME"/>
              </w:rPr>
            </w:pPr>
            <w:r w:rsidRPr="008B3B89">
              <w:rPr>
                <w:b/>
                <w:bCs/>
                <w:szCs w:val="22"/>
                <w:lang w:val="sr-Latn-ME"/>
              </w:rPr>
              <w:t>Klas</w:t>
            </w:r>
            <w:r w:rsidR="0020586A" w:rsidRPr="008B3B89">
              <w:rPr>
                <w:b/>
                <w:bCs/>
                <w:szCs w:val="22"/>
                <w:lang w:val="sr-Latn-ME"/>
              </w:rPr>
              <w:t>a</w:t>
            </w:r>
            <w:r w:rsidR="00BE12BC" w:rsidRPr="008B3B89">
              <w:rPr>
                <w:b/>
                <w:bCs/>
                <w:szCs w:val="22"/>
                <w:lang w:val="sr-Latn-ME"/>
              </w:rPr>
              <w:t xml:space="preserve"> sistema organa</w:t>
            </w:r>
          </w:p>
        </w:tc>
        <w:tc>
          <w:tcPr>
            <w:tcW w:w="3660" w:type="pct"/>
            <w:gridSpan w:val="3"/>
            <w:tcBorders>
              <w:top w:val="outset" w:sz="6" w:space="0" w:color="auto"/>
              <w:left w:val="outset" w:sz="6" w:space="0" w:color="auto"/>
              <w:bottom w:val="outset" w:sz="6" w:space="0" w:color="auto"/>
              <w:right w:val="outset" w:sz="6" w:space="0" w:color="auto"/>
            </w:tcBorders>
          </w:tcPr>
          <w:p w14:paraId="74AF5E4B" w14:textId="436D5E5C" w:rsidR="00D87505" w:rsidRPr="008B3B89" w:rsidRDefault="00BE12BC">
            <w:pPr>
              <w:tabs>
                <w:tab w:val="clear" w:pos="284"/>
              </w:tabs>
              <w:jc w:val="center"/>
              <w:rPr>
                <w:b/>
                <w:bCs/>
                <w:szCs w:val="22"/>
                <w:lang w:val="sr-Latn-ME"/>
              </w:rPr>
            </w:pPr>
            <w:r w:rsidRPr="008B3B89">
              <w:rPr>
                <w:b/>
                <w:bCs/>
                <w:szCs w:val="22"/>
                <w:lang w:val="sr-Latn-ME"/>
              </w:rPr>
              <w:t>Neželjena reakcija na l</w:t>
            </w:r>
            <w:r w:rsidR="00AC45D8" w:rsidRPr="008B3B89">
              <w:rPr>
                <w:b/>
                <w:bCs/>
                <w:szCs w:val="22"/>
                <w:lang w:val="sr-Latn-ME"/>
              </w:rPr>
              <w:t>i</w:t>
            </w:r>
            <w:r w:rsidR="00AC45D8" w:rsidRPr="008B3B89">
              <w:rPr>
                <w:b/>
                <w:bCs/>
                <w:lang w:val="sr-Latn-ME"/>
              </w:rPr>
              <w:t>j</w:t>
            </w:r>
            <w:r w:rsidRPr="008B3B89">
              <w:rPr>
                <w:b/>
                <w:bCs/>
                <w:szCs w:val="22"/>
                <w:lang w:val="sr-Latn-ME"/>
              </w:rPr>
              <w:t>ek</w:t>
            </w:r>
          </w:p>
        </w:tc>
      </w:tr>
      <w:tr w:rsidR="00BE12BC" w:rsidRPr="008B3B89" w14:paraId="74AF5E4F" w14:textId="77777777" w:rsidTr="00271D6D">
        <w:trPr>
          <w:trHeight w:val="50"/>
          <w:tblCellSpacing w:w="0" w:type="dxa"/>
        </w:trPr>
        <w:tc>
          <w:tcPr>
            <w:tcW w:w="1340" w:type="pct"/>
            <w:vMerge/>
            <w:tcBorders>
              <w:top w:val="outset" w:sz="6" w:space="0" w:color="auto"/>
              <w:left w:val="outset" w:sz="6" w:space="0" w:color="auto"/>
              <w:bottom w:val="outset" w:sz="6" w:space="0" w:color="auto"/>
              <w:right w:val="outset" w:sz="6" w:space="0" w:color="auto"/>
            </w:tcBorders>
            <w:vAlign w:val="center"/>
          </w:tcPr>
          <w:p w14:paraId="74AF5E4D" w14:textId="77777777" w:rsidR="00BE12BC" w:rsidRPr="008B3B89" w:rsidRDefault="00BE12BC">
            <w:pPr>
              <w:tabs>
                <w:tab w:val="clear" w:pos="284"/>
              </w:tabs>
              <w:rPr>
                <w:szCs w:val="22"/>
                <w:lang w:val="sr-Latn-ME"/>
              </w:rPr>
            </w:pPr>
          </w:p>
        </w:tc>
        <w:tc>
          <w:tcPr>
            <w:tcW w:w="3660" w:type="pct"/>
            <w:gridSpan w:val="3"/>
            <w:tcBorders>
              <w:top w:val="outset" w:sz="6" w:space="0" w:color="auto"/>
              <w:left w:val="outset" w:sz="6" w:space="0" w:color="auto"/>
              <w:bottom w:val="outset" w:sz="6" w:space="0" w:color="auto"/>
              <w:right w:val="outset" w:sz="6" w:space="0" w:color="auto"/>
            </w:tcBorders>
          </w:tcPr>
          <w:p w14:paraId="74AF5E4E" w14:textId="77777777" w:rsidR="00D87505" w:rsidRPr="008B3B89" w:rsidRDefault="00BE12BC">
            <w:pPr>
              <w:tabs>
                <w:tab w:val="clear" w:pos="284"/>
              </w:tabs>
              <w:jc w:val="center"/>
              <w:rPr>
                <w:b/>
                <w:bCs/>
                <w:szCs w:val="22"/>
                <w:lang w:val="sr-Latn-ME"/>
              </w:rPr>
            </w:pPr>
            <w:r w:rsidRPr="008B3B89">
              <w:rPr>
                <w:b/>
                <w:bCs/>
                <w:szCs w:val="22"/>
                <w:lang w:val="sr-Latn-ME"/>
              </w:rPr>
              <w:t>Kategorija učestalosti</w:t>
            </w:r>
          </w:p>
        </w:tc>
      </w:tr>
      <w:tr w:rsidR="00BE12BC" w:rsidRPr="008B3B89" w14:paraId="74AF5E54" w14:textId="77777777" w:rsidTr="005246DA">
        <w:trPr>
          <w:trHeight w:val="482"/>
          <w:tblCellSpacing w:w="0" w:type="dxa"/>
        </w:trPr>
        <w:tc>
          <w:tcPr>
            <w:tcW w:w="1340" w:type="pct"/>
            <w:vMerge/>
            <w:tcBorders>
              <w:top w:val="outset" w:sz="6" w:space="0" w:color="auto"/>
              <w:left w:val="outset" w:sz="6" w:space="0" w:color="auto"/>
              <w:bottom w:val="outset" w:sz="6" w:space="0" w:color="auto"/>
              <w:right w:val="outset" w:sz="6" w:space="0" w:color="auto"/>
            </w:tcBorders>
            <w:vAlign w:val="center"/>
          </w:tcPr>
          <w:p w14:paraId="74AF5E50" w14:textId="77777777" w:rsidR="00BE12BC" w:rsidRPr="008B3B89" w:rsidRDefault="00BE12BC">
            <w:pPr>
              <w:tabs>
                <w:tab w:val="clear" w:pos="284"/>
              </w:tabs>
              <w:rPr>
                <w:szCs w:val="22"/>
                <w:lang w:val="sr-Latn-ME"/>
              </w:rPr>
            </w:pPr>
          </w:p>
        </w:tc>
        <w:tc>
          <w:tcPr>
            <w:tcW w:w="961" w:type="pct"/>
            <w:tcBorders>
              <w:top w:val="outset" w:sz="6" w:space="0" w:color="auto"/>
              <w:left w:val="outset" w:sz="6" w:space="0" w:color="auto"/>
              <w:bottom w:val="outset" w:sz="6" w:space="0" w:color="auto"/>
              <w:right w:val="outset" w:sz="6" w:space="0" w:color="auto"/>
            </w:tcBorders>
          </w:tcPr>
          <w:p w14:paraId="04323230" w14:textId="77777777" w:rsidR="00271D6D" w:rsidRPr="008B3B89" w:rsidRDefault="00BE12BC">
            <w:pPr>
              <w:tabs>
                <w:tab w:val="clear" w:pos="284"/>
              </w:tabs>
              <w:jc w:val="center"/>
              <w:rPr>
                <w:b/>
                <w:bCs/>
                <w:szCs w:val="22"/>
                <w:lang w:val="sr-Latn-ME"/>
              </w:rPr>
            </w:pPr>
            <w:r w:rsidRPr="008B3B89">
              <w:rPr>
                <w:b/>
                <w:bCs/>
                <w:szCs w:val="22"/>
                <w:lang w:val="sr-Latn-ME"/>
              </w:rPr>
              <w:t>Često</w:t>
            </w:r>
          </w:p>
          <w:p w14:paraId="74AF5E51" w14:textId="7D10AFB8" w:rsidR="00F2701B" w:rsidRPr="008B3B89" w:rsidRDefault="00BE12BC">
            <w:pPr>
              <w:tabs>
                <w:tab w:val="clear" w:pos="284"/>
              </w:tabs>
              <w:jc w:val="center"/>
              <w:rPr>
                <w:szCs w:val="22"/>
                <w:lang w:val="sr-Latn-ME"/>
              </w:rPr>
            </w:pPr>
            <w:r w:rsidRPr="008B3B89">
              <w:rPr>
                <w:szCs w:val="22"/>
                <w:lang w:val="sr-Latn-ME"/>
              </w:rPr>
              <w:t>(</w:t>
            </w:r>
            <w:r w:rsidRPr="008B3B89">
              <w:rPr>
                <w:sz w:val="20"/>
                <w:szCs w:val="20"/>
                <w:lang w:val="sr-Latn-ME"/>
              </w:rPr>
              <w:sym w:font="Symbol" w:char="F0B3"/>
            </w:r>
            <w:r w:rsidRPr="008B3B89">
              <w:rPr>
                <w:color w:val="FF0000"/>
                <w:szCs w:val="22"/>
                <w:lang w:val="sr-Latn-ME"/>
              </w:rPr>
              <w:t xml:space="preserve"> </w:t>
            </w:r>
            <w:r w:rsidRPr="008B3B89">
              <w:rPr>
                <w:szCs w:val="22"/>
                <w:lang w:val="sr-Latn-ME"/>
              </w:rPr>
              <w:t>1/100 do &lt; 1/10)</w:t>
            </w:r>
          </w:p>
        </w:tc>
        <w:tc>
          <w:tcPr>
            <w:tcW w:w="1094" w:type="pct"/>
            <w:tcBorders>
              <w:top w:val="outset" w:sz="6" w:space="0" w:color="auto"/>
              <w:left w:val="outset" w:sz="6" w:space="0" w:color="auto"/>
              <w:bottom w:val="outset" w:sz="6" w:space="0" w:color="auto"/>
              <w:right w:val="outset" w:sz="6" w:space="0" w:color="auto"/>
            </w:tcBorders>
          </w:tcPr>
          <w:p w14:paraId="4CDCFF82" w14:textId="77777777" w:rsidR="00271D6D" w:rsidRPr="008B3B89" w:rsidRDefault="00BE12BC">
            <w:pPr>
              <w:tabs>
                <w:tab w:val="clear" w:pos="284"/>
              </w:tabs>
              <w:jc w:val="center"/>
              <w:rPr>
                <w:b/>
                <w:bCs/>
                <w:szCs w:val="22"/>
                <w:lang w:val="sr-Latn-ME"/>
              </w:rPr>
            </w:pPr>
            <w:r w:rsidRPr="008B3B89">
              <w:rPr>
                <w:b/>
                <w:bCs/>
                <w:szCs w:val="22"/>
                <w:lang w:val="sr-Latn-ME"/>
              </w:rPr>
              <w:t>Povremeno</w:t>
            </w:r>
          </w:p>
          <w:p w14:paraId="74AF5E52" w14:textId="59773299" w:rsidR="00BE12BC" w:rsidRPr="008B3B89" w:rsidRDefault="00BE12BC">
            <w:pPr>
              <w:tabs>
                <w:tab w:val="clear" w:pos="284"/>
              </w:tabs>
              <w:jc w:val="center"/>
              <w:rPr>
                <w:szCs w:val="22"/>
                <w:lang w:val="sr-Latn-ME"/>
              </w:rPr>
            </w:pPr>
            <w:r w:rsidRPr="008B3B89">
              <w:rPr>
                <w:szCs w:val="22"/>
                <w:lang w:val="sr-Latn-ME"/>
              </w:rPr>
              <w:t>(</w:t>
            </w:r>
            <w:r w:rsidRPr="008B3B89">
              <w:rPr>
                <w:sz w:val="20"/>
                <w:szCs w:val="20"/>
                <w:lang w:val="sr-Latn-ME"/>
              </w:rPr>
              <w:sym w:font="Symbol" w:char="F0B3"/>
            </w:r>
            <w:r w:rsidRPr="008B3B89">
              <w:rPr>
                <w:szCs w:val="22"/>
                <w:lang w:val="sr-Latn-ME"/>
              </w:rPr>
              <w:t xml:space="preserve"> </w:t>
            </w:r>
            <w:r w:rsidR="001452EB" w:rsidRPr="008B3B89">
              <w:rPr>
                <w:szCs w:val="22"/>
                <w:lang w:val="sr-Latn-ME"/>
              </w:rPr>
              <w:t>1/1000 do &lt;1</w:t>
            </w:r>
            <w:r w:rsidRPr="008B3B89">
              <w:rPr>
                <w:szCs w:val="22"/>
                <w:lang w:val="sr-Latn-ME"/>
              </w:rPr>
              <w:t>/100)</w:t>
            </w:r>
          </w:p>
        </w:tc>
        <w:tc>
          <w:tcPr>
            <w:tcW w:w="1605" w:type="pct"/>
            <w:tcBorders>
              <w:top w:val="outset" w:sz="6" w:space="0" w:color="auto"/>
              <w:left w:val="outset" w:sz="6" w:space="0" w:color="auto"/>
              <w:bottom w:val="outset" w:sz="6" w:space="0" w:color="auto"/>
              <w:right w:val="outset" w:sz="6" w:space="0" w:color="auto"/>
            </w:tcBorders>
          </w:tcPr>
          <w:p w14:paraId="14DAD805" w14:textId="3689000D" w:rsidR="00271D6D" w:rsidRPr="008B3B89" w:rsidRDefault="00BE12BC">
            <w:pPr>
              <w:tabs>
                <w:tab w:val="clear" w:pos="284"/>
              </w:tabs>
              <w:jc w:val="center"/>
              <w:rPr>
                <w:b/>
                <w:bCs/>
                <w:szCs w:val="22"/>
                <w:lang w:val="sr-Latn-ME"/>
              </w:rPr>
            </w:pPr>
            <w:r w:rsidRPr="008B3B89">
              <w:rPr>
                <w:b/>
                <w:bCs/>
                <w:szCs w:val="22"/>
                <w:lang w:val="sr-Latn-ME"/>
              </w:rPr>
              <w:t>R</w:t>
            </w:r>
            <w:r w:rsidR="00AC45D8" w:rsidRPr="008B3B89">
              <w:rPr>
                <w:b/>
                <w:bCs/>
                <w:szCs w:val="22"/>
                <w:lang w:val="sr-Latn-ME"/>
              </w:rPr>
              <w:t>i</w:t>
            </w:r>
            <w:r w:rsidR="00AC45D8" w:rsidRPr="008B3B89">
              <w:rPr>
                <w:b/>
                <w:bCs/>
                <w:lang w:val="sr-Latn-ME"/>
              </w:rPr>
              <w:t>j</w:t>
            </w:r>
            <w:r w:rsidRPr="008B3B89">
              <w:rPr>
                <w:b/>
                <w:bCs/>
                <w:szCs w:val="22"/>
                <w:lang w:val="sr-Latn-ME"/>
              </w:rPr>
              <w:t>etko</w:t>
            </w:r>
          </w:p>
          <w:p w14:paraId="74AF5E53" w14:textId="25324702" w:rsidR="00BE12BC" w:rsidRPr="008B3B89" w:rsidRDefault="00BE12BC">
            <w:pPr>
              <w:tabs>
                <w:tab w:val="clear" w:pos="284"/>
              </w:tabs>
              <w:jc w:val="center"/>
              <w:rPr>
                <w:szCs w:val="22"/>
                <w:lang w:val="sr-Latn-ME"/>
              </w:rPr>
            </w:pPr>
            <w:r w:rsidRPr="008B3B89">
              <w:rPr>
                <w:szCs w:val="22"/>
                <w:lang w:val="sr-Latn-ME"/>
              </w:rPr>
              <w:t>(</w:t>
            </w:r>
            <w:r w:rsidRPr="008B3B89">
              <w:rPr>
                <w:sz w:val="20"/>
                <w:szCs w:val="20"/>
                <w:lang w:val="sr-Latn-ME"/>
              </w:rPr>
              <w:sym w:font="Symbol" w:char="F0B3"/>
            </w:r>
            <w:r w:rsidRPr="008B3B89">
              <w:rPr>
                <w:szCs w:val="22"/>
                <w:lang w:val="sr-Latn-ME"/>
              </w:rPr>
              <w:t xml:space="preserve"> 1/10000 do &lt; 1/1000)</w:t>
            </w:r>
          </w:p>
        </w:tc>
      </w:tr>
      <w:tr w:rsidR="00BE12BC" w:rsidRPr="008B3B89" w14:paraId="74AF5E59" w14:textId="77777777" w:rsidTr="005246DA">
        <w:trPr>
          <w:trHeight w:val="479"/>
          <w:tblCellSpacing w:w="0" w:type="dxa"/>
        </w:trPr>
        <w:tc>
          <w:tcPr>
            <w:tcW w:w="1340" w:type="pct"/>
            <w:tcBorders>
              <w:top w:val="outset" w:sz="6" w:space="0" w:color="auto"/>
              <w:left w:val="outset" w:sz="6" w:space="0" w:color="auto"/>
              <w:bottom w:val="outset" w:sz="6" w:space="0" w:color="auto"/>
              <w:right w:val="outset" w:sz="6" w:space="0" w:color="auto"/>
            </w:tcBorders>
          </w:tcPr>
          <w:p w14:paraId="74AF5E55" w14:textId="77777777" w:rsidR="00BE12BC" w:rsidRPr="008B3B89" w:rsidRDefault="00BE12BC" w:rsidP="004A2E5C">
            <w:pPr>
              <w:autoSpaceDE w:val="0"/>
              <w:autoSpaceDN w:val="0"/>
              <w:adjustRightInd w:val="0"/>
              <w:jc w:val="left"/>
              <w:rPr>
                <w:b/>
                <w:bCs/>
                <w:szCs w:val="22"/>
                <w:lang w:val="sr-Latn-ME"/>
              </w:rPr>
            </w:pPr>
            <w:r w:rsidRPr="008B3B89">
              <w:rPr>
                <w:b/>
                <w:bCs/>
                <w:szCs w:val="22"/>
                <w:lang w:val="sr-Latn-ME"/>
              </w:rPr>
              <w:t>Poremećaji krvi i limfnog sistema</w:t>
            </w:r>
          </w:p>
        </w:tc>
        <w:tc>
          <w:tcPr>
            <w:tcW w:w="961" w:type="pct"/>
            <w:tcBorders>
              <w:top w:val="outset" w:sz="6" w:space="0" w:color="auto"/>
              <w:left w:val="outset" w:sz="6" w:space="0" w:color="auto"/>
              <w:bottom w:val="outset" w:sz="6" w:space="0" w:color="auto"/>
              <w:right w:val="outset" w:sz="6" w:space="0" w:color="auto"/>
            </w:tcBorders>
          </w:tcPr>
          <w:p w14:paraId="74AF5E56" w14:textId="66CC4000" w:rsidR="00BE12BC" w:rsidRPr="008B3B89" w:rsidRDefault="00BE12BC" w:rsidP="00E03362">
            <w:pPr>
              <w:tabs>
                <w:tab w:val="clear" w:pos="284"/>
              </w:tabs>
              <w:jc w:val="center"/>
              <w:rPr>
                <w:szCs w:val="22"/>
                <w:lang w:val="sr-Latn-ME"/>
              </w:rPr>
            </w:pPr>
          </w:p>
        </w:tc>
        <w:tc>
          <w:tcPr>
            <w:tcW w:w="1094" w:type="pct"/>
            <w:tcBorders>
              <w:top w:val="outset" w:sz="6" w:space="0" w:color="auto"/>
              <w:left w:val="outset" w:sz="6" w:space="0" w:color="auto"/>
              <w:bottom w:val="outset" w:sz="6" w:space="0" w:color="auto"/>
              <w:right w:val="outset" w:sz="6" w:space="0" w:color="auto"/>
            </w:tcBorders>
          </w:tcPr>
          <w:p w14:paraId="74AF5E57" w14:textId="44C02C59" w:rsidR="00BE12BC" w:rsidRPr="008B3B89" w:rsidRDefault="00BE12BC">
            <w:pPr>
              <w:tabs>
                <w:tab w:val="clear" w:pos="284"/>
              </w:tabs>
              <w:jc w:val="center"/>
              <w:rPr>
                <w:szCs w:val="22"/>
                <w:lang w:val="sr-Latn-ME"/>
              </w:rPr>
            </w:pPr>
          </w:p>
        </w:tc>
        <w:tc>
          <w:tcPr>
            <w:tcW w:w="1605" w:type="pct"/>
            <w:tcBorders>
              <w:top w:val="outset" w:sz="6" w:space="0" w:color="auto"/>
              <w:left w:val="outset" w:sz="6" w:space="0" w:color="auto"/>
              <w:bottom w:val="outset" w:sz="6" w:space="0" w:color="auto"/>
              <w:right w:val="outset" w:sz="6" w:space="0" w:color="auto"/>
            </w:tcBorders>
          </w:tcPr>
          <w:p w14:paraId="486BDB59" w14:textId="77777777" w:rsidR="00BE12BC" w:rsidRPr="008B3B89" w:rsidRDefault="00BE12BC">
            <w:pPr>
              <w:tabs>
                <w:tab w:val="clear" w:pos="284"/>
              </w:tabs>
              <w:jc w:val="center"/>
              <w:rPr>
                <w:szCs w:val="22"/>
                <w:vertAlign w:val="superscript"/>
                <w:lang w:val="sr-Latn-ME"/>
              </w:rPr>
            </w:pPr>
            <w:r w:rsidRPr="008B3B89">
              <w:rPr>
                <w:szCs w:val="22"/>
                <w:lang w:val="sr-Latn-ME"/>
              </w:rPr>
              <w:t>Neutropenija</w:t>
            </w:r>
            <w:r w:rsidRPr="008B3B89">
              <w:rPr>
                <w:szCs w:val="22"/>
                <w:vertAlign w:val="superscript"/>
                <w:lang w:val="sr-Latn-ME"/>
              </w:rPr>
              <w:t>b</w:t>
            </w:r>
          </w:p>
          <w:p w14:paraId="74AF5E58" w14:textId="1F26FE33" w:rsidR="00E53564" w:rsidRPr="008B3B89" w:rsidRDefault="00E53564">
            <w:pPr>
              <w:tabs>
                <w:tab w:val="clear" w:pos="284"/>
              </w:tabs>
              <w:jc w:val="center"/>
              <w:rPr>
                <w:szCs w:val="22"/>
                <w:vertAlign w:val="superscript"/>
                <w:lang w:val="sr-Latn-ME"/>
              </w:rPr>
            </w:pPr>
            <w:r w:rsidRPr="008B3B89">
              <w:rPr>
                <w:szCs w:val="22"/>
                <w:lang w:val="sr-Latn-ME"/>
              </w:rPr>
              <w:t>Agranulocitoza</w:t>
            </w:r>
            <w:r w:rsidRPr="008B3B89">
              <w:rPr>
                <w:szCs w:val="22"/>
                <w:vertAlign w:val="superscript"/>
                <w:lang w:val="sr-Latn-ME"/>
              </w:rPr>
              <w:t>b*</w:t>
            </w:r>
          </w:p>
        </w:tc>
      </w:tr>
      <w:tr w:rsidR="00BE12BC" w:rsidRPr="008B3B89" w14:paraId="74AF5E5F" w14:textId="77777777" w:rsidTr="005246DA">
        <w:trPr>
          <w:trHeight w:val="531"/>
          <w:tblCellSpacing w:w="0" w:type="dxa"/>
        </w:trPr>
        <w:tc>
          <w:tcPr>
            <w:tcW w:w="1340" w:type="pct"/>
            <w:tcBorders>
              <w:top w:val="outset" w:sz="6" w:space="0" w:color="auto"/>
              <w:left w:val="outset" w:sz="6" w:space="0" w:color="auto"/>
              <w:bottom w:val="outset" w:sz="6" w:space="0" w:color="auto"/>
              <w:right w:val="outset" w:sz="6" w:space="0" w:color="auto"/>
            </w:tcBorders>
          </w:tcPr>
          <w:p w14:paraId="74AF5E5A" w14:textId="77777777" w:rsidR="00BE12BC" w:rsidRPr="008B3B89" w:rsidRDefault="002C1741" w:rsidP="004A2E5C">
            <w:pPr>
              <w:autoSpaceDE w:val="0"/>
              <w:autoSpaceDN w:val="0"/>
              <w:adjustRightInd w:val="0"/>
              <w:jc w:val="left"/>
              <w:rPr>
                <w:b/>
                <w:bCs/>
                <w:szCs w:val="22"/>
                <w:lang w:val="sr-Latn-ME"/>
              </w:rPr>
            </w:pPr>
            <w:r w:rsidRPr="008B3B89">
              <w:rPr>
                <w:b/>
                <w:bCs/>
                <w:szCs w:val="22"/>
                <w:lang w:val="sr-Latn-ME"/>
              </w:rPr>
              <w:t>P</w:t>
            </w:r>
            <w:r w:rsidR="00BE12BC" w:rsidRPr="008B3B89">
              <w:rPr>
                <w:b/>
                <w:bCs/>
                <w:szCs w:val="22"/>
                <w:lang w:val="sr-Latn-ME"/>
              </w:rPr>
              <w:t>oremećaji</w:t>
            </w:r>
            <w:r w:rsidRPr="008B3B89">
              <w:rPr>
                <w:b/>
                <w:bCs/>
                <w:szCs w:val="22"/>
                <w:lang w:val="sr-Latn-ME"/>
              </w:rPr>
              <w:t xml:space="preserve"> </w:t>
            </w:r>
            <w:r w:rsidR="00A17E7C" w:rsidRPr="008B3B89">
              <w:rPr>
                <w:b/>
                <w:bCs/>
                <w:szCs w:val="22"/>
                <w:lang w:val="sr-Latn-ME"/>
              </w:rPr>
              <w:t>imunskog sistema</w:t>
            </w:r>
          </w:p>
          <w:p w14:paraId="74AF5E5B" w14:textId="77777777" w:rsidR="00BE12BC" w:rsidRPr="008B3B89" w:rsidRDefault="00BE12BC" w:rsidP="00E03362">
            <w:pPr>
              <w:tabs>
                <w:tab w:val="clear" w:pos="284"/>
              </w:tabs>
              <w:jc w:val="left"/>
              <w:rPr>
                <w:szCs w:val="22"/>
                <w:lang w:val="sr-Latn-ME"/>
              </w:rPr>
            </w:pPr>
          </w:p>
        </w:tc>
        <w:tc>
          <w:tcPr>
            <w:tcW w:w="961" w:type="pct"/>
            <w:tcBorders>
              <w:top w:val="outset" w:sz="6" w:space="0" w:color="auto"/>
              <w:left w:val="outset" w:sz="6" w:space="0" w:color="auto"/>
              <w:bottom w:val="outset" w:sz="6" w:space="0" w:color="auto"/>
              <w:right w:val="outset" w:sz="6" w:space="0" w:color="auto"/>
            </w:tcBorders>
          </w:tcPr>
          <w:p w14:paraId="74AF5E5C" w14:textId="1B721ED6" w:rsidR="00BE12BC" w:rsidRPr="008B3B89" w:rsidRDefault="00BE12BC">
            <w:pPr>
              <w:tabs>
                <w:tab w:val="clear" w:pos="284"/>
              </w:tabs>
              <w:jc w:val="center"/>
              <w:rPr>
                <w:szCs w:val="22"/>
                <w:lang w:val="sr-Latn-ME"/>
              </w:rPr>
            </w:pPr>
          </w:p>
        </w:tc>
        <w:tc>
          <w:tcPr>
            <w:tcW w:w="1094" w:type="pct"/>
            <w:tcBorders>
              <w:top w:val="outset" w:sz="6" w:space="0" w:color="auto"/>
              <w:left w:val="outset" w:sz="6" w:space="0" w:color="auto"/>
              <w:bottom w:val="outset" w:sz="6" w:space="0" w:color="auto"/>
              <w:right w:val="outset" w:sz="6" w:space="0" w:color="auto"/>
            </w:tcBorders>
          </w:tcPr>
          <w:p w14:paraId="74AF5E5D" w14:textId="0415BCAE" w:rsidR="00BE12BC" w:rsidRPr="008B3B89" w:rsidRDefault="00BE12BC">
            <w:pPr>
              <w:tabs>
                <w:tab w:val="clear" w:pos="284"/>
              </w:tabs>
              <w:jc w:val="center"/>
              <w:rPr>
                <w:szCs w:val="22"/>
                <w:lang w:val="sr-Latn-ME"/>
              </w:rPr>
            </w:pPr>
          </w:p>
        </w:tc>
        <w:tc>
          <w:tcPr>
            <w:tcW w:w="1605" w:type="pct"/>
            <w:tcBorders>
              <w:top w:val="outset" w:sz="6" w:space="0" w:color="auto"/>
              <w:left w:val="outset" w:sz="6" w:space="0" w:color="auto"/>
              <w:bottom w:val="outset" w:sz="6" w:space="0" w:color="auto"/>
              <w:right w:val="outset" w:sz="6" w:space="0" w:color="auto"/>
            </w:tcBorders>
          </w:tcPr>
          <w:p w14:paraId="74AF5E5E" w14:textId="40D3C3B8" w:rsidR="00BE12BC" w:rsidRPr="008B3B89" w:rsidRDefault="00A56ABB">
            <w:pPr>
              <w:tabs>
                <w:tab w:val="clear" w:pos="284"/>
              </w:tabs>
              <w:jc w:val="center"/>
              <w:rPr>
                <w:szCs w:val="22"/>
                <w:lang w:val="sr-Latn-ME"/>
              </w:rPr>
            </w:pPr>
            <w:r w:rsidRPr="008B3B89">
              <w:rPr>
                <w:szCs w:val="22"/>
                <w:lang w:val="sr-Latn-ME"/>
              </w:rPr>
              <w:t>Preos</w:t>
            </w:r>
            <w:r w:rsidR="00AC45D8" w:rsidRPr="008B3B89">
              <w:rPr>
                <w:szCs w:val="22"/>
                <w:lang w:val="sr-Latn-ME"/>
              </w:rPr>
              <w:t>j</w:t>
            </w:r>
            <w:r w:rsidRPr="008B3B89">
              <w:rPr>
                <w:szCs w:val="22"/>
                <w:lang w:val="sr-Latn-ME"/>
              </w:rPr>
              <w:t>etljivost</w:t>
            </w:r>
            <w:r w:rsidR="00E53564" w:rsidRPr="008B3B89">
              <w:rPr>
                <w:szCs w:val="22"/>
                <w:lang w:val="sr-Latn-ME"/>
              </w:rPr>
              <w:t>,</w:t>
            </w:r>
            <w:r w:rsidR="00BE12BC" w:rsidRPr="008B3B89">
              <w:rPr>
                <w:szCs w:val="22"/>
                <w:lang w:val="sr-Latn-ME"/>
              </w:rPr>
              <w:t xml:space="preserve"> uključujući anafilaktič</w:t>
            </w:r>
            <w:r w:rsidRPr="008B3B89">
              <w:rPr>
                <w:szCs w:val="22"/>
                <w:lang w:val="sr-Latn-ME"/>
              </w:rPr>
              <w:t>k</w:t>
            </w:r>
            <w:r w:rsidR="00BE12BC" w:rsidRPr="008B3B89">
              <w:rPr>
                <w:szCs w:val="22"/>
                <w:lang w:val="sr-Latn-ME"/>
              </w:rPr>
              <w:t>u i anafilaktoidnu reakciju</w:t>
            </w:r>
            <w:r w:rsidR="00BE12BC" w:rsidRPr="008B3B89">
              <w:rPr>
                <w:szCs w:val="22"/>
                <w:vertAlign w:val="superscript"/>
                <w:lang w:val="sr-Latn-ME"/>
              </w:rPr>
              <w:t>b</w:t>
            </w:r>
          </w:p>
        </w:tc>
      </w:tr>
      <w:tr w:rsidR="00BE12BC" w:rsidRPr="008B3B89" w14:paraId="74AF5E66" w14:textId="77777777" w:rsidTr="005246DA">
        <w:trPr>
          <w:trHeight w:val="473"/>
          <w:tblCellSpacing w:w="0" w:type="dxa"/>
        </w:trPr>
        <w:tc>
          <w:tcPr>
            <w:tcW w:w="1340" w:type="pct"/>
            <w:tcBorders>
              <w:top w:val="outset" w:sz="6" w:space="0" w:color="auto"/>
              <w:left w:val="outset" w:sz="6" w:space="0" w:color="auto"/>
              <w:bottom w:val="outset" w:sz="6" w:space="0" w:color="auto"/>
              <w:right w:val="outset" w:sz="6" w:space="0" w:color="auto"/>
            </w:tcBorders>
          </w:tcPr>
          <w:p w14:paraId="74AF5E60" w14:textId="77777777" w:rsidR="00BE12BC" w:rsidRPr="008B3B89" w:rsidRDefault="00BE12BC" w:rsidP="004A2E5C">
            <w:pPr>
              <w:autoSpaceDE w:val="0"/>
              <w:autoSpaceDN w:val="0"/>
              <w:adjustRightInd w:val="0"/>
              <w:jc w:val="left"/>
              <w:rPr>
                <w:b/>
                <w:bCs/>
                <w:szCs w:val="22"/>
                <w:lang w:val="sr-Latn-ME"/>
              </w:rPr>
            </w:pPr>
            <w:r w:rsidRPr="008B3B89">
              <w:rPr>
                <w:b/>
                <w:bCs/>
                <w:szCs w:val="22"/>
                <w:lang w:val="sr-Latn-ME"/>
              </w:rPr>
              <w:t>Poremećaji nervnog sistema</w:t>
            </w:r>
          </w:p>
        </w:tc>
        <w:tc>
          <w:tcPr>
            <w:tcW w:w="961" w:type="pct"/>
            <w:tcBorders>
              <w:top w:val="outset" w:sz="6" w:space="0" w:color="auto"/>
              <w:left w:val="outset" w:sz="6" w:space="0" w:color="auto"/>
              <w:bottom w:val="outset" w:sz="6" w:space="0" w:color="auto"/>
              <w:right w:val="outset" w:sz="6" w:space="0" w:color="auto"/>
            </w:tcBorders>
          </w:tcPr>
          <w:p w14:paraId="74AF5E61" w14:textId="50F416E2" w:rsidR="00BE12BC" w:rsidRPr="008B3B89" w:rsidRDefault="00BE12BC" w:rsidP="00E03362">
            <w:pPr>
              <w:tabs>
                <w:tab w:val="clear" w:pos="284"/>
              </w:tabs>
              <w:jc w:val="center"/>
              <w:rPr>
                <w:szCs w:val="22"/>
                <w:lang w:val="sr-Latn-ME"/>
              </w:rPr>
            </w:pPr>
          </w:p>
        </w:tc>
        <w:tc>
          <w:tcPr>
            <w:tcW w:w="1094" w:type="pct"/>
            <w:tcBorders>
              <w:top w:val="outset" w:sz="6" w:space="0" w:color="auto"/>
              <w:left w:val="outset" w:sz="6" w:space="0" w:color="auto"/>
              <w:bottom w:val="outset" w:sz="6" w:space="0" w:color="auto"/>
              <w:right w:val="outset" w:sz="6" w:space="0" w:color="auto"/>
            </w:tcBorders>
          </w:tcPr>
          <w:p w14:paraId="74AF5E62" w14:textId="3F1EB45E" w:rsidR="00BE12BC" w:rsidRPr="008B3B89" w:rsidRDefault="00BE12BC">
            <w:pPr>
              <w:tabs>
                <w:tab w:val="clear" w:pos="284"/>
              </w:tabs>
              <w:jc w:val="center"/>
              <w:rPr>
                <w:szCs w:val="22"/>
                <w:lang w:val="sr-Latn-ME"/>
              </w:rPr>
            </w:pPr>
          </w:p>
        </w:tc>
        <w:tc>
          <w:tcPr>
            <w:tcW w:w="1605" w:type="pct"/>
            <w:tcBorders>
              <w:top w:val="outset" w:sz="6" w:space="0" w:color="auto"/>
              <w:left w:val="outset" w:sz="6" w:space="0" w:color="auto"/>
              <w:bottom w:val="outset" w:sz="6" w:space="0" w:color="auto"/>
              <w:right w:val="outset" w:sz="6" w:space="0" w:color="auto"/>
            </w:tcBorders>
          </w:tcPr>
          <w:p w14:paraId="62386334" w14:textId="77777777" w:rsidR="0030761E" w:rsidRPr="008B3B89" w:rsidRDefault="00BE12BC">
            <w:pPr>
              <w:tabs>
                <w:tab w:val="clear" w:pos="284"/>
              </w:tabs>
              <w:jc w:val="center"/>
              <w:rPr>
                <w:szCs w:val="22"/>
                <w:vertAlign w:val="superscript"/>
                <w:lang w:val="sr-Latn-ME"/>
              </w:rPr>
            </w:pPr>
            <w:r w:rsidRPr="008B3B89">
              <w:rPr>
                <w:szCs w:val="22"/>
                <w:lang w:val="sr-Latn-ME"/>
              </w:rPr>
              <w:t>Konvulzije</w:t>
            </w:r>
            <w:r w:rsidRPr="008B3B89">
              <w:rPr>
                <w:szCs w:val="22"/>
                <w:vertAlign w:val="superscript"/>
                <w:lang w:val="sr-Latn-ME"/>
              </w:rPr>
              <w:t>b</w:t>
            </w:r>
          </w:p>
          <w:p w14:paraId="74AF5E65" w14:textId="50C85CFD" w:rsidR="00BE12BC" w:rsidRPr="008B3B89" w:rsidRDefault="0030761E">
            <w:pPr>
              <w:tabs>
                <w:tab w:val="clear" w:pos="284"/>
              </w:tabs>
              <w:jc w:val="center"/>
              <w:rPr>
                <w:szCs w:val="22"/>
                <w:lang w:val="sr-Latn-ME"/>
              </w:rPr>
            </w:pPr>
            <w:r w:rsidRPr="008B3B89">
              <w:rPr>
                <w:szCs w:val="22"/>
                <w:lang w:val="sr-Latn-ME"/>
              </w:rPr>
              <w:t>V</w:t>
            </w:r>
            <w:r w:rsidR="00634496" w:rsidRPr="008B3B89">
              <w:rPr>
                <w:szCs w:val="22"/>
                <w:lang w:val="sr-Latn-ME"/>
              </w:rPr>
              <w:t>rtoglavica</w:t>
            </w:r>
            <w:r w:rsidR="00BE12BC" w:rsidRPr="008B3B89">
              <w:rPr>
                <w:szCs w:val="22"/>
                <w:vertAlign w:val="superscript"/>
                <w:lang w:val="sr-Latn-ME"/>
              </w:rPr>
              <w:t>a</w:t>
            </w:r>
          </w:p>
        </w:tc>
      </w:tr>
      <w:tr w:rsidR="00BE12BC" w:rsidRPr="008B3B89" w14:paraId="74AF5E70" w14:textId="77777777" w:rsidTr="005246DA">
        <w:trPr>
          <w:tblCellSpacing w:w="0" w:type="dxa"/>
        </w:trPr>
        <w:tc>
          <w:tcPr>
            <w:tcW w:w="1340" w:type="pct"/>
            <w:tcBorders>
              <w:top w:val="outset" w:sz="6" w:space="0" w:color="auto"/>
              <w:left w:val="outset" w:sz="6" w:space="0" w:color="auto"/>
              <w:bottom w:val="outset" w:sz="6" w:space="0" w:color="auto"/>
              <w:right w:val="outset" w:sz="6" w:space="0" w:color="auto"/>
            </w:tcBorders>
          </w:tcPr>
          <w:p w14:paraId="74AF5E67" w14:textId="77777777" w:rsidR="00BE12BC" w:rsidRPr="008B3B89" w:rsidRDefault="00BE12BC" w:rsidP="004A2E5C">
            <w:pPr>
              <w:autoSpaceDE w:val="0"/>
              <w:autoSpaceDN w:val="0"/>
              <w:adjustRightInd w:val="0"/>
              <w:jc w:val="left"/>
              <w:rPr>
                <w:b/>
                <w:bCs/>
                <w:szCs w:val="22"/>
                <w:lang w:val="sr-Latn-ME"/>
              </w:rPr>
            </w:pPr>
            <w:r w:rsidRPr="008B3B89">
              <w:rPr>
                <w:b/>
                <w:bCs/>
                <w:szCs w:val="22"/>
                <w:lang w:val="sr-Latn-ME"/>
              </w:rPr>
              <w:t>Gastrointestinalni poremećaji</w:t>
            </w:r>
          </w:p>
          <w:p w14:paraId="74AF5E68" w14:textId="77777777" w:rsidR="00BE12BC" w:rsidRPr="008B3B89" w:rsidRDefault="00BE12BC" w:rsidP="00E03362">
            <w:pPr>
              <w:tabs>
                <w:tab w:val="clear" w:pos="284"/>
              </w:tabs>
              <w:jc w:val="left"/>
              <w:rPr>
                <w:szCs w:val="22"/>
                <w:lang w:val="sr-Latn-ME"/>
              </w:rPr>
            </w:pPr>
          </w:p>
        </w:tc>
        <w:tc>
          <w:tcPr>
            <w:tcW w:w="961" w:type="pct"/>
            <w:tcBorders>
              <w:top w:val="outset" w:sz="6" w:space="0" w:color="auto"/>
              <w:left w:val="outset" w:sz="6" w:space="0" w:color="auto"/>
              <w:bottom w:val="outset" w:sz="6" w:space="0" w:color="auto"/>
              <w:right w:val="outset" w:sz="6" w:space="0" w:color="auto"/>
            </w:tcBorders>
          </w:tcPr>
          <w:p w14:paraId="74AF5E69" w14:textId="77777777" w:rsidR="00BE12BC" w:rsidRPr="008B3B89" w:rsidRDefault="00634496">
            <w:pPr>
              <w:tabs>
                <w:tab w:val="clear" w:pos="284"/>
              </w:tabs>
              <w:jc w:val="center"/>
              <w:rPr>
                <w:szCs w:val="22"/>
                <w:lang w:val="sr-Latn-ME"/>
              </w:rPr>
            </w:pPr>
            <w:r w:rsidRPr="008B3B89">
              <w:rPr>
                <w:szCs w:val="22"/>
                <w:lang w:val="sr-Latn-ME"/>
              </w:rPr>
              <w:t>Bol u a</w:t>
            </w:r>
            <w:r w:rsidR="00BE12BC" w:rsidRPr="008B3B89">
              <w:rPr>
                <w:szCs w:val="22"/>
                <w:lang w:val="sr-Latn-ME"/>
              </w:rPr>
              <w:t>bdom</w:t>
            </w:r>
            <w:r w:rsidRPr="008B3B89">
              <w:rPr>
                <w:szCs w:val="22"/>
                <w:lang w:val="sr-Latn-ME"/>
              </w:rPr>
              <w:t>enu</w:t>
            </w:r>
            <w:r w:rsidR="00BE12BC" w:rsidRPr="008B3B89">
              <w:rPr>
                <w:szCs w:val="22"/>
                <w:vertAlign w:val="superscript"/>
                <w:lang w:val="sr-Latn-ME"/>
              </w:rPr>
              <w:t>a</w:t>
            </w:r>
          </w:p>
        </w:tc>
        <w:tc>
          <w:tcPr>
            <w:tcW w:w="1094" w:type="pct"/>
            <w:tcBorders>
              <w:top w:val="outset" w:sz="6" w:space="0" w:color="auto"/>
              <w:left w:val="outset" w:sz="6" w:space="0" w:color="auto"/>
              <w:bottom w:val="outset" w:sz="6" w:space="0" w:color="auto"/>
              <w:right w:val="outset" w:sz="6" w:space="0" w:color="auto"/>
            </w:tcBorders>
          </w:tcPr>
          <w:p w14:paraId="023BD0C3" w14:textId="4D54D06B" w:rsidR="0030761E" w:rsidRPr="008B3B89" w:rsidRDefault="00BE12BC">
            <w:pPr>
              <w:tabs>
                <w:tab w:val="clear" w:pos="284"/>
              </w:tabs>
              <w:jc w:val="center"/>
              <w:rPr>
                <w:szCs w:val="22"/>
                <w:lang w:val="sr-Latn-ME"/>
              </w:rPr>
            </w:pPr>
            <w:r w:rsidRPr="008B3B89">
              <w:rPr>
                <w:szCs w:val="22"/>
                <w:lang w:val="sr-Latn-ME"/>
              </w:rPr>
              <w:t xml:space="preserve">Nelagodnost u </w:t>
            </w:r>
            <w:r w:rsidR="00A56ABB" w:rsidRPr="008B3B89">
              <w:rPr>
                <w:szCs w:val="22"/>
                <w:lang w:val="sr-Latn-ME"/>
              </w:rPr>
              <w:t>abdomenu</w:t>
            </w:r>
            <w:r w:rsidRPr="008B3B89">
              <w:rPr>
                <w:szCs w:val="22"/>
                <w:vertAlign w:val="superscript"/>
                <w:lang w:val="sr-Latn-ME"/>
              </w:rPr>
              <w:t>a</w:t>
            </w:r>
          </w:p>
          <w:p w14:paraId="4DA86D2C" w14:textId="2E5CA712" w:rsidR="0030761E" w:rsidRPr="008B3B89" w:rsidRDefault="0030761E">
            <w:pPr>
              <w:tabs>
                <w:tab w:val="clear" w:pos="284"/>
              </w:tabs>
              <w:jc w:val="center"/>
              <w:rPr>
                <w:szCs w:val="22"/>
                <w:lang w:val="sr-Latn-ME"/>
              </w:rPr>
            </w:pPr>
            <w:r w:rsidRPr="008B3B89">
              <w:rPr>
                <w:szCs w:val="22"/>
                <w:lang w:val="sr-Latn-ME"/>
              </w:rPr>
              <w:t>D</w:t>
            </w:r>
            <w:r w:rsidR="00BE12BC" w:rsidRPr="008B3B89">
              <w:rPr>
                <w:szCs w:val="22"/>
                <w:lang w:val="sr-Latn-ME"/>
              </w:rPr>
              <w:t>ijareja</w:t>
            </w:r>
            <w:r w:rsidR="00BE12BC" w:rsidRPr="008B3B89">
              <w:rPr>
                <w:szCs w:val="22"/>
                <w:vertAlign w:val="superscript"/>
                <w:lang w:val="sr-Latn-ME"/>
              </w:rPr>
              <w:t>a</w:t>
            </w:r>
          </w:p>
          <w:p w14:paraId="7A73BE68" w14:textId="264E2D81" w:rsidR="0030761E" w:rsidRPr="008B3B89" w:rsidRDefault="0030761E">
            <w:pPr>
              <w:tabs>
                <w:tab w:val="clear" w:pos="284"/>
              </w:tabs>
              <w:jc w:val="center"/>
              <w:rPr>
                <w:szCs w:val="22"/>
                <w:lang w:val="sr-Latn-ME"/>
              </w:rPr>
            </w:pPr>
            <w:r w:rsidRPr="008B3B89">
              <w:rPr>
                <w:szCs w:val="22"/>
                <w:lang w:val="sr-Latn-ME"/>
              </w:rPr>
              <w:t>F</w:t>
            </w:r>
            <w:r w:rsidR="00BE12BC" w:rsidRPr="008B3B89">
              <w:rPr>
                <w:szCs w:val="22"/>
                <w:lang w:val="sr-Latn-ME"/>
              </w:rPr>
              <w:t>latulencija</w:t>
            </w:r>
            <w:r w:rsidR="00A80800" w:rsidRPr="008B3B89">
              <w:rPr>
                <w:szCs w:val="22"/>
                <w:vertAlign w:val="superscript"/>
                <w:lang w:val="sr-Latn-ME"/>
              </w:rPr>
              <w:t>a</w:t>
            </w:r>
          </w:p>
          <w:p w14:paraId="09A88907" w14:textId="1A4F75AD" w:rsidR="0030761E" w:rsidRPr="008B3B89" w:rsidRDefault="0030761E">
            <w:pPr>
              <w:tabs>
                <w:tab w:val="clear" w:pos="284"/>
              </w:tabs>
              <w:jc w:val="center"/>
              <w:rPr>
                <w:szCs w:val="22"/>
                <w:lang w:val="sr-Latn-ME"/>
              </w:rPr>
            </w:pPr>
            <w:r w:rsidRPr="008B3B89">
              <w:rPr>
                <w:szCs w:val="22"/>
                <w:lang w:val="sr-Latn-ME"/>
              </w:rPr>
              <w:t>M</w:t>
            </w:r>
            <w:r w:rsidR="00E53564" w:rsidRPr="008B3B89">
              <w:rPr>
                <w:szCs w:val="22"/>
                <w:lang w:val="sr-Latn-ME"/>
              </w:rPr>
              <w:t>učnina</w:t>
            </w:r>
            <w:r w:rsidR="00E53564" w:rsidRPr="008B3B89">
              <w:rPr>
                <w:szCs w:val="22"/>
                <w:vertAlign w:val="superscript"/>
                <w:lang w:val="sr-Latn-ME"/>
              </w:rPr>
              <w:t>a</w:t>
            </w:r>
          </w:p>
          <w:p w14:paraId="74AF5E6E" w14:textId="547972B9" w:rsidR="00E53564" w:rsidRPr="008B3B89" w:rsidRDefault="0030761E">
            <w:pPr>
              <w:tabs>
                <w:tab w:val="clear" w:pos="284"/>
              </w:tabs>
              <w:jc w:val="center"/>
              <w:rPr>
                <w:szCs w:val="22"/>
                <w:vertAlign w:val="superscript"/>
                <w:lang w:val="sr-Latn-ME"/>
              </w:rPr>
            </w:pPr>
            <w:r w:rsidRPr="008B3B89">
              <w:rPr>
                <w:szCs w:val="22"/>
                <w:lang w:val="sr-Latn-ME"/>
              </w:rPr>
              <w:t>P</w:t>
            </w:r>
            <w:r w:rsidR="00E53564" w:rsidRPr="008B3B89">
              <w:rPr>
                <w:szCs w:val="22"/>
                <w:lang w:val="sr-Latn-ME"/>
              </w:rPr>
              <w:t>ovraćanje</w:t>
            </w:r>
            <w:r w:rsidR="00E53564" w:rsidRPr="008B3B89">
              <w:rPr>
                <w:szCs w:val="22"/>
                <w:vertAlign w:val="superscript"/>
                <w:lang w:val="sr-Latn-ME"/>
              </w:rPr>
              <w:t>a</w:t>
            </w:r>
          </w:p>
        </w:tc>
        <w:tc>
          <w:tcPr>
            <w:tcW w:w="1605" w:type="pct"/>
            <w:tcBorders>
              <w:top w:val="outset" w:sz="6" w:space="0" w:color="auto"/>
              <w:left w:val="outset" w:sz="6" w:space="0" w:color="auto"/>
              <w:bottom w:val="outset" w:sz="6" w:space="0" w:color="auto"/>
              <w:right w:val="outset" w:sz="6" w:space="0" w:color="auto"/>
            </w:tcBorders>
          </w:tcPr>
          <w:p w14:paraId="74AF5E6F" w14:textId="794CA464" w:rsidR="00BE12BC" w:rsidRPr="008B3B89" w:rsidRDefault="00BE12BC">
            <w:pPr>
              <w:tabs>
                <w:tab w:val="clear" w:pos="284"/>
              </w:tabs>
              <w:jc w:val="center"/>
              <w:rPr>
                <w:szCs w:val="22"/>
                <w:lang w:val="sr-Latn-ME"/>
              </w:rPr>
            </w:pPr>
          </w:p>
        </w:tc>
      </w:tr>
      <w:tr w:rsidR="00BE12BC" w:rsidRPr="008B3B89" w14:paraId="74AF5E78" w14:textId="77777777" w:rsidTr="005246DA">
        <w:trPr>
          <w:tblCellSpacing w:w="0" w:type="dxa"/>
        </w:trPr>
        <w:tc>
          <w:tcPr>
            <w:tcW w:w="1340" w:type="pct"/>
            <w:tcBorders>
              <w:top w:val="outset" w:sz="6" w:space="0" w:color="auto"/>
              <w:left w:val="outset" w:sz="6" w:space="0" w:color="auto"/>
              <w:bottom w:val="outset" w:sz="6" w:space="0" w:color="auto"/>
              <w:right w:val="outset" w:sz="6" w:space="0" w:color="auto"/>
            </w:tcBorders>
          </w:tcPr>
          <w:p w14:paraId="74AF5E71" w14:textId="77777777" w:rsidR="00BE12BC" w:rsidRPr="008B3B89" w:rsidRDefault="00BE12BC" w:rsidP="004A2E5C">
            <w:pPr>
              <w:autoSpaceDE w:val="0"/>
              <w:autoSpaceDN w:val="0"/>
              <w:adjustRightInd w:val="0"/>
              <w:jc w:val="left"/>
              <w:rPr>
                <w:b/>
                <w:bCs/>
                <w:szCs w:val="22"/>
                <w:lang w:val="sr-Latn-ME"/>
              </w:rPr>
            </w:pPr>
            <w:r w:rsidRPr="008B3B89">
              <w:rPr>
                <w:b/>
                <w:bCs/>
                <w:szCs w:val="22"/>
                <w:lang w:val="sr-Latn-ME"/>
              </w:rPr>
              <w:t>Hepatobilijarni poremećaji</w:t>
            </w:r>
          </w:p>
          <w:p w14:paraId="74AF5E72" w14:textId="77777777" w:rsidR="00BE12BC" w:rsidRPr="008B3B89" w:rsidRDefault="00BE12BC" w:rsidP="00E03362">
            <w:pPr>
              <w:tabs>
                <w:tab w:val="clear" w:pos="284"/>
              </w:tabs>
              <w:jc w:val="left"/>
              <w:rPr>
                <w:szCs w:val="22"/>
                <w:lang w:val="sr-Latn-ME"/>
              </w:rPr>
            </w:pPr>
          </w:p>
        </w:tc>
        <w:tc>
          <w:tcPr>
            <w:tcW w:w="961" w:type="pct"/>
            <w:tcBorders>
              <w:top w:val="outset" w:sz="6" w:space="0" w:color="auto"/>
              <w:left w:val="outset" w:sz="6" w:space="0" w:color="auto"/>
              <w:bottom w:val="outset" w:sz="6" w:space="0" w:color="auto"/>
              <w:right w:val="outset" w:sz="6" w:space="0" w:color="auto"/>
            </w:tcBorders>
          </w:tcPr>
          <w:p w14:paraId="74AF5E73" w14:textId="0C4B7D0D" w:rsidR="00BE12BC" w:rsidRPr="008B3B89" w:rsidRDefault="00BE12BC">
            <w:pPr>
              <w:tabs>
                <w:tab w:val="clear" w:pos="284"/>
              </w:tabs>
              <w:jc w:val="center"/>
              <w:rPr>
                <w:szCs w:val="22"/>
                <w:lang w:val="sr-Latn-ME"/>
              </w:rPr>
            </w:pPr>
          </w:p>
        </w:tc>
        <w:tc>
          <w:tcPr>
            <w:tcW w:w="1094" w:type="pct"/>
            <w:tcBorders>
              <w:top w:val="outset" w:sz="6" w:space="0" w:color="auto"/>
              <w:left w:val="outset" w:sz="6" w:space="0" w:color="auto"/>
              <w:bottom w:val="outset" w:sz="6" w:space="0" w:color="auto"/>
              <w:right w:val="outset" w:sz="6" w:space="0" w:color="auto"/>
            </w:tcBorders>
          </w:tcPr>
          <w:p w14:paraId="74AF5E74" w14:textId="470924C7" w:rsidR="00BE12BC" w:rsidRPr="008B3B89" w:rsidRDefault="00BE12BC">
            <w:pPr>
              <w:tabs>
                <w:tab w:val="clear" w:pos="284"/>
              </w:tabs>
              <w:jc w:val="center"/>
              <w:rPr>
                <w:szCs w:val="22"/>
                <w:lang w:val="sr-Latn-ME"/>
              </w:rPr>
            </w:pPr>
          </w:p>
        </w:tc>
        <w:tc>
          <w:tcPr>
            <w:tcW w:w="1605" w:type="pct"/>
            <w:tcBorders>
              <w:top w:val="outset" w:sz="6" w:space="0" w:color="auto"/>
              <w:left w:val="outset" w:sz="6" w:space="0" w:color="auto"/>
              <w:bottom w:val="outset" w:sz="6" w:space="0" w:color="auto"/>
              <w:right w:val="outset" w:sz="6" w:space="0" w:color="auto"/>
            </w:tcBorders>
          </w:tcPr>
          <w:p w14:paraId="74AF5E75" w14:textId="77777777" w:rsidR="00BE12BC" w:rsidRPr="008B3B89" w:rsidRDefault="00BE12BC">
            <w:pPr>
              <w:tabs>
                <w:tab w:val="clear" w:pos="284"/>
              </w:tabs>
              <w:jc w:val="center"/>
              <w:rPr>
                <w:szCs w:val="22"/>
                <w:lang w:val="sr-Latn-ME"/>
              </w:rPr>
            </w:pPr>
            <w:r w:rsidRPr="008B3B89">
              <w:rPr>
                <w:szCs w:val="22"/>
                <w:lang w:val="sr-Latn-ME"/>
              </w:rPr>
              <w:t>Hepatitis</w:t>
            </w:r>
            <w:r w:rsidRPr="008B3B89">
              <w:rPr>
                <w:szCs w:val="22"/>
                <w:vertAlign w:val="superscript"/>
                <w:lang w:val="sr-Latn-ME"/>
              </w:rPr>
              <w:t>b</w:t>
            </w:r>
          </w:p>
          <w:p w14:paraId="74AF5E77" w14:textId="1068FAB9" w:rsidR="00BE12BC" w:rsidRPr="008B3B89" w:rsidRDefault="00BE12BC">
            <w:pPr>
              <w:tabs>
                <w:tab w:val="clear" w:pos="284"/>
              </w:tabs>
              <w:jc w:val="center"/>
              <w:rPr>
                <w:szCs w:val="22"/>
                <w:lang w:val="sr-Latn-ME"/>
              </w:rPr>
            </w:pPr>
            <w:r w:rsidRPr="008B3B89">
              <w:rPr>
                <w:szCs w:val="22"/>
                <w:lang w:val="sr-Latn-ME"/>
              </w:rPr>
              <w:t>Izm</w:t>
            </w:r>
            <w:r w:rsidR="00AC45D8" w:rsidRPr="008B3B89">
              <w:rPr>
                <w:szCs w:val="22"/>
                <w:lang w:val="sr-Latn-ME"/>
              </w:rPr>
              <w:t>i</w:t>
            </w:r>
            <w:r w:rsidR="00AC45D8" w:rsidRPr="008B3B89">
              <w:rPr>
                <w:lang w:val="sr-Latn-ME"/>
              </w:rPr>
              <w:t>j</w:t>
            </w:r>
            <w:r w:rsidRPr="008B3B89">
              <w:rPr>
                <w:szCs w:val="22"/>
                <w:lang w:val="sr-Latn-ME"/>
              </w:rPr>
              <w:t>enjene vr</w:t>
            </w:r>
            <w:r w:rsidR="00AC45D8" w:rsidRPr="008B3B89">
              <w:rPr>
                <w:szCs w:val="22"/>
                <w:lang w:val="sr-Latn-ME"/>
              </w:rPr>
              <w:t>i</w:t>
            </w:r>
            <w:r w:rsidR="00AC45D8" w:rsidRPr="008B3B89">
              <w:rPr>
                <w:lang w:val="sr-Latn-ME"/>
              </w:rPr>
              <w:t>j</w:t>
            </w:r>
            <w:r w:rsidRPr="008B3B89">
              <w:rPr>
                <w:szCs w:val="22"/>
                <w:lang w:val="sr-Latn-ME"/>
              </w:rPr>
              <w:t>ednosti testova funkcije jetre</w:t>
            </w:r>
            <w:r w:rsidRPr="008B3B89">
              <w:rPr>
                <w:szCs w:val="22"/>
                <w:vertAlign w:val="superscript"/>
                <w:lang w:val="sr-Latn-ME"/>
              </w:rPr>
              <w:t>b</w:t>
            </w:r>
          </w:p>
        </w:tc>
      </w:tr>
      <w:tr w:rsidR="00BE12BC" w:rsidRPr="008B3B89" w14:paraId="74AF5E8A" w14:textId="77777777" w:rsidTr="005246DA">
        <w:trPr>
          <w:tblCellSpacing w:w="0" w:type="dxa"/>
        </w:trPr>
        <w:tc>
          <w:tcPr>
            <w:tcW w:w="1340" w:type="pct"/>
            <w:tcBorders>
              <w:top w:val="outset" w:sz="6" w:space="0" w:color="auto"/>
              <w:left w:val="outset" w:sz="6" w:space="0" w:color="auto"/>
              <w:bottom w:val="outset" w:sz="6" w:space="0" w:color="auto"/>
              <w:right w:val="outset" w:sz="6" w:space="0" w:color="auto"/>
            </w:tcBorders>
          </w:tcPr>
          <w:p w14:paraId="74AF5E79" w14:textId="77777777" w:rsidR="00BE12BC" w:rsidRPr="008B3B89" w:rsidRDefault="00BE12BC" w:rsidP="004A2E5C">
            <w:pPr>
              <w:autoSpaceDE w:val="0"/>
              <w:autoSpaceDN w:val="0"/>
              <w:adjustRightInd w:val="0"/>
              <w:jc w:val="left"/>
              <w:rPr>
                <w:b/>
                <w:bCs/>
                <w:szCs w:val="22"/>
                <w:lang w:val="sr-Latn-ME"/>
              </w:rPr>
            </w:pPr>
            <w:r w:rsidRPr="008B3B89">
              <w:rPr>
                <w:b/>
                <w:bCs/>
                <w:szCs w:val="22"/>
                <w:lang w:val="sr-Latn-ME"/>
              </w:rPr>
              <w:t>Poremećaji kože i potkožnog tkiva</w:t>
            </w:r>
          </w:p>
          <w:p w14:paraId="74AF5E7A" w14:textId="77777777" w:rsidR="00BE12BC" w:rsidRPr="008B3B89" w:rsidRDefault="00BE12BC" w:rsidP="00E03362">
            <w:pPr>
              <w:tabs>
                <w:tab w:val="clear" w:pos="284"/>
              </w:tabs>
              <w:jc w:val="left"/>
              <w:rPr>
                <w:szCs w:val="22"/>
                <w:lang w:val="sr-Latn-ME"/>
              </w:rPr>
            </w:pPr>
          </w:p>
        </w:tc>
        <w:tc>
          <w:tcPr>
            <w:tcW w:w="961" w:type="pct"/>
            <w:tcBorders>
              <w:top w:val="outset" w:sz="6" w:space="0" w:color="auto"/>
              <w:left w:val="outset" w:sz="6" w:space="0" w:color="auto"/>
              <w:bottom w:val="outset" w:sz="6" w:space="0" w:color="auto"/>
              <w:right w:val="outset" w:sz="6" w:space="0" w:color="auto"/>
            </w:tcBorders>
          </w:tcPr>
          <w:p w14:paraId="74AF5E7B" w14:textId="44D4C3F4" w:rsidR="00BE12BC" w:rsidRPr="008B3B89" w:rsidRDefault="00BE12BC">
            <w:pPr>
              <w:tabs>
                <w:tab w:val="clear" w:pos="284"/>
              </w:tabs>
              <w:jc w:val="center"/>
              <w:rPr>
                <w:szCs w:val="22"/>
                <w:lang w:val="sr-Latn-ME"/>
              </w:rPr>
            </w:pPr>
          </w:p>
        </w:tc>
        <w:tc>
          <w:tcPr>
            <w:tcW w:w="1094" w:type="pct"/>
            <w:tcBorders>
              <w:top w:val="outset" w:sz="6" w:space="0" w:color="auto"/>
              <w:left w:val="outset" w:sz="6" w:space="0" w:color="auto"/>
              <w:bottom w:val="outset" w:sz="6" w:space="0" w:color="auto"/>
              <w:right w:val="outset" w:sz="6" w:space="0" w:color="auto"/>
            </w:tcBorders>
          </w:tcPr>
          <w:p w14:paraId="74AF5E7C" w14:textId="316E436E" w:rsidR="00BE12BC" w:rsidRPr="008B3B89" w:rsidRDefault="00BE12BC">
            <w:pPr>
              <w:tabs>
                <w:tab w:val="clear" w:pos="284"/>
              </w:tabs>
              <w:jc w:val="center"/>
              <w:rPr>
                <w:szCs w:val="22"/>
                <w:lang w:val="sr-Latn-ME"/>
              </w:rPr>
            </w:pPr>
          </w:p>
        </w:tc>
        <w:tc>
          <w:tcPr>
            <w:tcW w:w="1605" w:type="pct"/>
            <w:tcBorders>
              <w:top w:val="outset" w:sz="6" w:space="0" w:color="auto"/>
              <w:left w:val="outset" w:sz="6" w:space="0" w:color="auto"/>
              <w:bottom w:val="outset" w:sz="6" w:space="0" w:color="auto"/>
              <w:right w:val="outset" w:sz="6" w:space="0" w:color="auto"/>
            </w:tcBorders>
          </w:tcPr>
          <w:p w14:paraId="74AF5E7D" w14:textId="77777777" w:rsidR="00BE12BC" w:rsidRPr="008B3B89" w:rsidRDefault="008A3DF0">
            <w:pPr>
              <w:tabs>
                <w:tab w:val="clear" w:pos="284"/>
              </w:tabs>
              <w:jc w:val="center"/>
              <w:rPr>
                <w:szCs w:val="22"/>
                <w:lang w:val="sr-Latn-ME"/>
              </w:rPr>
            </w:pPr>
            <w:r w:rsidRPr="008B3B89">
              <w:rPr>
                <w:szCs w:val="22"/>
                <w:lang w:val="sr-Latn-ME"/>
              </w:rPr>
              <w:t>Osip</w:t>
            </w:r>
            <w:r w:rsidR="00BE12BC" w:rsidRPr="008B3B89">
              <w:rPr>
                <w:szCs w:val="22"/>
                <w:vertAlign w:val="superscript"/>
                <w:lang w:val="sr-Latn-ME"/>
              </w:rPr>
              <w:t>a</w:t>
            </w:r>
          </w:p>
          <w:p w14:paraId="74AF5E7F" w14:textId="77777777" w:rsidR="00BE12BC" w:rsidRPr="008B3B89" w:rsidRDefault="00BE12BC">
            <w:pPr>
              <w:tabs>
                <w:tab w:val="clear" w:pos="284"/>
              </w:tabs>
              <w:jc w:val="center"/>
              <w:rPr>
                <w:szCs w:val="22"/>
                <w:lang w:val="sr-Latn-ME"/>
              </w:rPr>
            </w:pPr>
            <w:r w:rsidRPr="008B3B89">
              <w:rPr>
                <w:szCs w:val="22"/>
                <w:lang w:val="sr-Latn-ME"/>
              </w:rPr>
              <w:t>Toksična epidermalna nekroliza</w:t>
            </w:r>
            <w:r w:rsidRPr="008B3B89">
              <w:rPr>
                <w:szCs w:val="22"/>
                <w:vertAlign w:val="superscript"/>
                <w:lang w:val="sr-Latn-ME"/>
              </w:rPr>
              <w:t>b</w:t>
            </w:r>
          </w:p>
          <w:p w14:paraId="74AF5E81" w14:textId="578F4608" w:rsidR="00BE12BC" w:rsidRPr="008B3B89" w:rsidRDefault="00BE12BC">
            <w:pPr>
              <w:tabs>
                <w:tab w:val="clear" w:pos="284"/>
              </w:tabs>
              <w:jc w:val="center"/>
              <w:rPr>
                <w:szCs w:val="22"/>
                <w:lang w:val="sr-Latn-ME"/>
              </w:rPr>
            </w:pPr>
            <w:r w:rsidRPr="008B3B89">
              <w:rPr>
                <w:i/>
                <w:szCs w:val="22"/>
                <w:lang w:val="sr-Latn-ME"/>
              </w:rPr>
              <w:t>Stevens-Johnson</w:t>
            </w:r>
            <w:r w:rsidR="001D73E6" w:rsidRPr="008B3B89">
              <w:rPr>
                <w:iCs/>
                <w:szCs w:val="22"/>
                <w:lang w:val="sr-Latn-ME"/>
              </w:rPr>
              <w:t>-ov</w:t>
            </w:r>
            <w:r w:rsidRPr="008B3B89">
              <w:rPr>
                <w:szCs w:val="22"/>
                <w:lang w:val="sr-Latn-ME"/>
              </w:rPr>
              <w:t xml:space="preserve"> sindrom</w:t>
            </w:r>
            <w:r w:rsidRPr="008B3B89">
              <w:rPr>
                <w:szCs w:val="22"/>
                <w:vertAlign w:val="superscript"/>
                <w:lang w:val="sr-Latn-ME"/>
              </w:rPr>
              <w:t>b</w:t>
            </w:r>
          </w:p>
          <w:p w14:paraId="74AF5E83" w14:textId="77777777" w:rsidR="00BE12BC" w:rsidRPr="008B3B89" w:rsidRDefault="00BE12BC">
            <w:pPr>
              <w:tabs>
                <w:tab w:val="clear" w:pos="284"/>
              </w:tabs>
              <w:jc w:val="center"/>
              <w:rPr>
                <w:szCs w:val="22"/>
                <w:lang w:val="sr-Latn-ME"/>
              </w:rPr>
            </w:pPr>
            <w:r w:rsidRPr="008B3B89">
              <w:rPr>
                <w:szCs w:val="22"/>
                <w:lang w:val="sr-Latn-ME"/>
              </w:rPr>
              <w:t>Egzantem</w:t>
            </w:r>
            <w:r w:rsidRPr="008B3B89">
              <w:rPr>
                <w:szCs w:val="22"/>
                <w:vertAlign w:val="superscript"/>
                <w:lang w:val="sr-Latn-ME"/>
              </w:rPr>
              <w:t>b</w:t>
            </w:r>
          </w:p>
          <w:p w14:paraId="74AF5E85" w14:textId="77777777" w:rsidR="00BE12BC" w:rsidRPr="008B3B89" w:rsidRDefault="00BE12BC">
            <w:pPr>
              <w:tabs>
                <w:tab w:val="clear" w:pos="284"/>
              </w:tabs>
              <w:jc w:val="center"/>
              <w:rPr>
                <w:szCs w:val="22"/>
                <w:lang w:val="sr-Latn-ME"/>
              </w:rPr>
            </w:pPr>
            <w:r w:rsidRPr="008B3B89">
              <w:rPr>
                <w:szCs w:val="22"/>
                <w:lang w:val="sr-Latn-ME"/>
              </w:rPr>
              <w:lastRenderedPageBreak/>
              <w:t>Angioedem</w:t>
            </w:r>
            <w:r w:rsidRPr="008B3B89">
              <w:rPr>
                <w:szCs w:val="22"/>
                <w:vertAlign w:val="superscript"/>
                <w:lang w:val="sr-Latn-ME"/>
              </w:rPr>
              <w:t>b</w:t>
            </w:r>
          </w:p>
          <w:p w14:paraId="74AF5E87" w14:textId="77777777" w:rsidR="00BE12BC" w:rsidRPr="008B3B89" w:rsidRDefault="00BE12BC">
            <w:pPr>
              <w:tabs>
                <w:tab w:val="clear" w:pos="284"/>
              </w:tabs>
              <w:jc w:val="center"/>
              <w:rPr>
                <w:szCs w:val="22"/>
                <w:lang w:val="sr-Latn-ME"/>
              </w:rPr>
            </w:pPr>
            <w:r w:rsidRPr="008B3B89">
              <w:rPr>
                <w:szCs w:val="22"/>
                <w:lang w:val="sr-Latn-ME"/>
              </w:rPr>
              <w:t>Urtikarija</w:t>
            </w:r>
            <w:r w:rsidRPr="008B3B89">
              <w:rPr>
                <w:szCs w:val="22"/>
                <w:vertAlign w:val="superscript"/>
                <w:lang w:val="sr-Latn-ME"/>
              </w:rPr>
              <w:t>b</w:t>
            </w:r>
          </w:p>
          <w:p w14:paraId="74AF5E89" w14:textId="77777777" w:rsidR="00BE12BC" w:rsidRPr="008B3B89" w:rsidRDefault="00BE12BC">
            <w:pPr>
              <w:tabs>
                <w:tab w:val="clear" w:pos="284"/>
              </w:tabs>
              <w:jc w:val="center"/>
              <w:rPr>
                <w:szCs w:val="22"/>
                <w:lang w:val="sr-Latn-ME"/>
              </w:rPr>
            </w:pPr>
            <w:r w:rsidRPr="008B3B89">
              <w:rPr>
                <w:szCs w:val="22"/>
                <w:lang w:val="sr-Latn-ME"/>
              </w:rPr>
              <w:t>Alopecija</w:t>
            </w:r>
            <w:r w:rsidRPr="008B3B89">
              <w:rPr>
                <w:szCs w:val="22"/>
                <w:vertAlign w:val="superscript"/>
                <w:lang w:val="sr-Latn-ME"/>
              </w:rPr>
              <w:t>b</w:t>
            </w:r>
          </w:p>
        </w:tc>
      </w:tr>
      <w:tr w:rsidR="00D252B1" w:rsidRPr="008B3B89" w14:paraId="27FE7BAB" w14:textId="77777777" w:rsidTr="005246DA">
        <w:trPr>
          <w:tblCellSpacing w:w="0" w:type="dxa"/>
        </w:trPr>
        <w:tc>
          <w:tcPr>
            <w:tcW w:w="1340" w:type="pct"/>
            <w:tcBorders>
              <w:top w:val="outset" w:sz="6" w:space="0" w:color="auto"/>
              <w:left w:val="outset" w:sz="6" w:space="0" w:color="auto"/>
              <w:bottom w:val="outset" w:sz="6" w:space="0" w:color="auto"/>
              <w:right w:val="outset" w:sz="6" w:space="0" w:color="auto"/>
            </w:tcBorders>
          </w:tcPr>
          <w:p w14:paraId="1298B697" w14:textId="73F212E8" w:rsidR="00D252B1" w:rsidRPr="008B3B89" w:rsidRDefault="00D252B1" w:rsidP="004A2E5C">
            <w:pPr>
              <w:autoSpaceDE w:val="0"/>
              <w:autoSpaceDN w:val="0"/>
              <w:adjustRightInd w:val="0"/>
              <w:jc w:val="left"/>
              <w:rPr>
                <w:b/>
                <w:bCs/>
                <w:szCs w:val="22"/>
                <w:lang w:val="sr-Latn-ME"/>
              </w:rPr>
            </w:pPr>
            <w:r w:rsidRPr="008B3B89">
              <w:rPr>
                <w:b/>
                <w:bCs/>
                <w:szCs w:val="22"/>
                <w:lang w:val="sr-Latn-ME"/>
              </w:rPr>
              <w:lastRenderedPageBreak/>
              <w:t>Poremećaji bubrega i urinarnog sistema</w:t>
            </w:r>
          </w:p>
        </w:tc>
        <w:tc>
          <w:tcPr>
            <w:tcW w:w="961" w:type="pct"/>
            <w:tcBorders>
              <w:top w:val="outset" w:sz="6" w:space="0" w:color="auto"/>
              <w:left w:val="outset" w:sz="6" w:space="0" w:color="auto"/>
              <w:bottom w:val="outset" w:sz="6" w:space="0" w:color="auto"/>
              <w:right w:val="outset" w:sz="6" w:space="0" w:color="auto"/>
            </w:tcBorders>
          </w:tcPr>
          <w:p w14:paraId="07A182BF" w14:textId="77777777" w:rsidR="00D252B1" w:rsidRPr="008B3B89" w:rsidRDefault="00D252B1" w:rsidP="00E03362">
            <w:pPr>
              <w:tabs>
                <w:tab w:val="clear" w:pos="284"/>
              </w:tabs>
              <w:jc w:val="center"/>
              <w:rPr>
                <w:szCs w:val="22"/>
                <w:lang w:val="sr-Latn-ME"/>
              </w:rPr>
            </w:pPr>
          </w:p>
        </w:tc>
        <w:tc>
          <w:tcPr>
            <w:tcW w:w="1094" w:type="pct"/>
            <w:tcBorders>
              <w:top w:val="outset" w:sz="6" w:space="0" w:color="auto"/>
              <w:left w:val="outset" w:sz="6" w:space="0" w:color="auto"/>
              <w:bottom w:val="outset" w:sz="6" w:space="0" w:color="auto"/>
              <w:right w:val="outset" w:sz="6" w:space="0" w:color="auto"/>
            </w:tcBorders>
          </w:tcPr>
          <w:p w14:paraId="5A217C3A" w14:textId="77777777" w:rsidR="00D252B1" w:rsidRPr="008B3B89" w:rsidRDefault="00D252B1">
            <w:pPr>
              <w:tabs>
                <w:tab w:val="clear" w:pos="284"/>
              </w:tabs>
              <w:jc w:val="center"/>
              <w:rPr>
                <w:szCs w:val="22"/>
                <w:lang w:val="sr-Latn-ME"/>
              </w:rPr>
            </w:pPr>
          </w:p>
        </w:tc>
        <w:tc>
          <w:tcPr>
            <w:tcW w:w="1605" w:type="pct"/>
            <w:tcBorders>
              <w:top w:val="outset" w:sz="6" w:space="0" w:color="auto"/>
              <w:left w:val="outset" w:sz="6" w:space="0" w:color="auto"/>
              <w:bottom w:val="outset" w:sz="6" w:space="0" w:color="auto"/>
              <w:right w:val="outset" w:sz="6" w:space="0" w:color="auto"/>
            </w:tcBorders>
          </w:tcPr>
          <w:p w14:paraId="51A7A8AB" w14:textId="322767A2" w:rsidR="00D252B1" w:rsidRPr="008B3B89" w:rsidRDefault="00D252B1">
            <w:pPr>
              <w:tabs>
                <w:tab w:val="clear" w:pos="284"/>
              </w:tabs>
              <w:jc w:val="center"/>
              <w:rPr>
                <w:szCs w:val="22"/>
                <w:vertAlign w:val="superscript"/>
                <w:lang w:val="sr-Latn-ME"/>
              </w:rPr>
            </w:pPr>
            <w:r w:rsidRPr="008B3B89">
              <w:rPr>
                <w:szCs w:val="22"/>
                <w:lang w:val="sr-Latn-ME"/>
              </w:rPr>
              <w:t>Glomerulonefritis</w:t>
            </w:r>
            <w:r w:rsidRPr="008B3B89">
              <w:rPr>
                <w:szCs w:val="22"/>
                <w:vertAlign w:val="superscript"/>
                <w:lang w:val="sr-Latn-ME"/>
              </w:rPr>
              <w:t>b*</w:t>
            </w:r>
          </w:p>
        </w:tc>
      </w:tr>
    </w:tbl>
    <w:p w14:paraId="74AF5E8B" w14:textId="300BE6E7" w:rsidR="00BE12BC" w:rsidRPr="008B3B89" w:rsidRDefault="00BE12BC" w:rsidP="004A2E5C">
      <w:pPr>
        <w:tabs>
          <w:tab w:val="clear" w:pos="284"/>
        </w:tabs>
        <w:rPr>
          <w:sz w:val="20"/>
          <w:szCs w:val="20"/>
          <w:lang w:val="sr-Latn-ME"/>
        </w:rPr>
      </w:pPr>
      <w:r w:rsidRPr="008B3B89">
        <w:rPr>
          <w:sz w:val="20"/>
          <w:szCs w:val="20"/>
          <w:vertAlign w:val="superscript"/>
          <w:lang w:val="sr-Latn-ME"/>
        </w:rPr>
        <w:t>a</w:t>
      </w:r>
      <w:r w:rsidRPr="008B3B89">
        <w:rPr>
          <w:sz w:val="20"/>
          <w:szCs w:val="20"/>
          <w:lang w:val="sr-Latn-ME"/>
        </w:rPr>
        <w:t xml:space="preserve"> Učestalost neželjenih reakcija dobijena iz kliničkih</w:t>
      </w:r>
      <w:r w:rsidR="00F1161F" w:rsidRPr="008B3B89">
        <w:rPr>
          <w:sz w:val="20"/>
          <w:szCs w:val="20"/>
          <w:lang w:val="sr-Latn-ME"/>
        </w:rPr>
        <w:t xml:space="preserve"> ispitivanja</w:t>
      </w:r>
      <w:r w:rsidRPr="008B3B89">
        <w:rPr>
          <w:sz w:val="20"/>
          <w:szCs w:val="20"/>
          <w:lang w:val="sr-Latn-ME"/>
        </w:rPr>
        <w:t xml:space="preserve"> ili epidemioloških studija</w:t>
      </w:r>
      <w:r w:rsidR="005246DA" w:rsidRPr="008B3B89">
        <w:rPr>
          <w:sz w:val="20"/>
          <w:szCs w:val="20"/>
          <w:lang w:val="sr-Latn-ME"/>
        </w:rPr>
        <w:t>.</w:t>
      </w:r>
    </w:p>
    <w:p w14:paraId="0791BB06" w14:textId="2BAB88D3" w:rsidR="001D73E6" w:rsidRPr="008B3B89" w:rsidRDefault="00BE12BC" w:rsidP="004A2E5C">
      <w:pPr>
        <w:rPr>
          <w:noProof/>
          <w:sz w:val="20"/>
          <w:szCs w:val="20"/>
          <w:lang w:val="sr-Latn-ME"/>
        </w:rPr>
      </w:pPr>
      <w:r w:rsidRPr="008B3B89">
        <w:rPr>
          <w:sz w:val="20"/>
          <w:szCs w:val="20"/>
          <w:vertAlign w:val="superscript"/>
          <w:lang w:val="sr-Latn-ME"/>
        </w:rPr>
        <w:t>b</w:t>
      </w:r>
      <w:r w:rsidR="001D73E6" w:rsidRPr="008B3B89">
        <w:rPr>
          <w:sz w:val="20"/>
          <w:szCs w:val="20"/>
          <w:vertAlign w:val="superscript"/>
          <w:lang w:val="sr-Latn-ME"/>
        </w:rPr>
        <w:t xml:space="preserve"> </w:t>
      </w:r>
      <w:r w:rsidRPr="008B3B89">
        <w:rPr>
          <w:rStyle w:val="hps"/>
          <w:sz w:val="20"/>
          <w:szCs w:val="20"/>
          <w:lang w:val="sr-Latn-ME"/>
        </w:rPr>
        <w:t>Neželjene reakcije koje ni</w:t>
      </w:r>
      <w:r w:rsidR="00A01D11" w:rsidRPr="008B3B89">
        <w:rPr>
          <w:rStyle w:val="hps"/>
          <w:sz w:val="20"/>
          <w:szCs w:val="20"/>
          <w:lang w:val="sr-Latn-ME"/>
        </w:rPr>
        <w:t>je</w:t>
      </w:r>
      <w:r w:rsidRPr="008B3B89">
        <w:rPr>
          <w:rStyle w:val="hps"/>
          <w:sz w:val="20"/>
          <w:szCs w:val="20"/>
          <w:lang w:val="sr-Latn-ME"/>
        </w:rPr>
        <w:t>su zab</w:t>
      </w:r>
      <w:r w:rsidR="00AC45D8" w:rsidRPr="008B3B89">
        <w:rPr>
          <w:rStyle w:val="hps"/>
          <w:sz w:val="20"/>
          <w:szCs w:val="20"/>
          <w:lang w:val="sr-Latn-ME"/>
        </w:rPr>
        <w:t>i</w:t>
      </w:r>
      <w:r w:rsidRPr="008B3B89">
        <w:rPr>
          <w:rStyle w:val="hps"/>
          <w:sz w:val="20"/>
          <w:szCs w:val="20"/>
          <w:lang w:val="sr-Latn-ME"/>
        </w:rPr>
        <w:t>l</w:t>
      </w:r>
      <w:r w:rsidR="00AC45D8" w:rsidRPr="008B3B89">
        <w:rPr>
          <w:rStyle w:val="hps"/>
          <w:sz w:val="20"/>
          <w:szCs w:val="20"/>
          <w:lang w:val="sr-Latn-ME"/>
        </w:rPr>
        <w:t>j</w:t>
      </w:r>
      <w:r w:rsidRPr="008B3B89">
        <w:rPr>
          <w:rStyle w:val="hps"/>
          <w:sz w:val="20"/>
          <w:szCs w:val="20"/>
          <w:lang w:val="sr-Latn-ME"/>
        </w:rPr>
        <w:t>ežene u</w:t>
      </w:r>
      <w:r w:rsidRPr="008B3B89">
        <w:rPr>
          <w:sz w:val="20"/>
          <w:szCs w:val="20"/>
          <w:lang w:val="sr-Latn-ME"/>
        </w:rPr>
        <w:t xml:space="preserve"> </w:t>
      </w:r>
      <w:r w:rsidRPr="008B3B89">
        <w:rPr>
          <w:rStyle w:val="hps"/>
          <w:sz w:val="20"/>
          <w:szCs w:val="20"/>
          <w:lang w:val="sr-Latn-ME"/>
        </w:rPr>
        <w:t>kliničkim ispitivanjima</w:t>
      </w:r>
      <w:r w:rsidR="001D73E6" w:rsidRPr="008B3B89">
        <w:rPr>
          <w:sz w:val="20"/>
          <w:szCs w:val="20"/>
          <w:lang w:val="sr-Latn-ME"/>
        </w:rPr>
        <w:t xml:space="preserve">, a čija je </w:t>
      </w:r>
      <w:r w:rsidRPr="008B3B89">
        <w:rPr>
          <w:rStyle w:val="hps"/>
          <w:sz w:val="20"/>
          <w:szCs w:val="20"/>
          <w:lang w:val="sr-Latn-ME"/>
        </w:rPr>
        <w:t>učestalost izračunata</w:t>
      </w:r>
      <w:r w:rsidRPr="008B3B89">
        <w:rPr>
          <w:sz w:val="20"/>
          <w:szCs w:val="20"/>
          <w:lang w:val="sr-Latn-ME"/>
        </w:rPr>
        <w:t xml:space="preserve"> </w:t>
      </w:r>
      <w:r w:rsidR="001D73E6" w:rsidRPr="008B3B89">
        <w:rPr>
          <w:rStyle w:val="hps"/>
          <w:sz w:val="20"/>
          <w:szCs w:val="20"/>
          <w:lang w:val="sr-Latn-ME"/>
        </w:rPr>
        <w:t>tako što je</w:t>
      </w:r>
      <w:r w:rsidRPr="008B3B89">
        <w:rPr>
          <w:sz w:val="20"/>
          <w:szCs w:val="20"/>
          <w:lang w:val="sr-Latn-ME"/>
        </w:rPr>
        <w:t xml:space="preserve"> </w:t>
      </w:r>
      <w:r w:rsidRPr="008B3B89">
        <w:rPr>
          <w:rStyle w:val="hps"/>
          <w:sz w:val="20"/>
          <w:szCs w:val="20"/>
          <w:lang w:val="sr-Latn-ME"/>
        </w:rPr>
        <w:t>6276</w:t>
      </w:r>
      <w:r w:rsidRPr="008B3B89">
        <w:rPr>
          <w:sz w:val="20"/>
          <w:szCs w:val="20"/>
          <w:lang w:val="sr-Latn-ME"/>
        </w:rPr>
        <w:t xml:space="preserve"> </w:t>
      </w:r>
      <w:r w:rsidRPr="008B3B89">
        <w:rPr>
          <w:rStyle w:val="hps"/>
          <w:sz w:val="20"/>
          <w:szCs w:val="20"/>
          <w:lang w:val="sr-Latn-ME"/>
        </w:rPr>
        <w:t>pacijenata koji su učestvovali u kliničkim ispitivanjima</w:t>
      </w:r>
      <w:r w:rsidRPr="008B3B89">
        <w:rPr>
          <w:sz w:val="20"/>
          <w:szCs w:val="20"/>
          <w:lang w:val="sr-Latn-ME"/>
        </w:rPr>
        <w:t xml:space="preserve"> </w:t>
      </w:r>
      <w:r w:rsidRPr="008B3B89">
        <w:rPr>
          <w:rStyle w:val="hps"/>
          <w:sz w:val="20"/>
          <w:szCs w:val="20"/>
          <w:lang w:val="sr-Latn-ME"/>
        </w:rPr>
        <w:t>i</w:t>
      </w:r>
      <w:r w:rsidRPr="008B3B89">
        <w:rPr>
          <w:sz w:val="20"/>
          <w:szCs w:val="20"/>
          <w:lang w:val="sr-Latn-ME"/>
        </w:rPr>
        <w:t xml:space="preserve"> </w:t>
      </w:r>
      <w:r w:rsidRPr="008B3B89">
        <w:rPr>
          <w:rStyle w:val="hps"/>
          <w:sz w:val="20"/>
          <w:szCs w:val="20"/>
          <w:lang w:val="sr-Latn-ME"/>
        </w:rPr>
        <w:t>epidemiološkim studijama</w:t>
      </w:r>
      <w:r w:rsidRPr="008B3B89">
        <w:rPr>
          <w:sz w:val="20"/>
          <w:szCs w:val="20"/>
          <w:lang w:val="sr-Latn-ME"/>
        </w:rPr>
        <w:t xml:space="preserve"> pod</w:t>
      </w:r>
      <w:r w:rsidR="00AC45D8" w:rsidRPr="008B3B89">
        <w:rPr>
          <w:sz w:val="20"/>
          <w:szCs w:val="20"/>
          <w:lang w:val="sr-Latn-ME"/>
        </w:rPr>
        <w:t>ij</w:t>
      </w:r>
      <w:r w:rsidRPr="008B3B89">
        <w:rPr>
          <w:sz w:val="20"/>
          <w:szCs w:val="20"/>
          <w:lang w:val="sr-Latn-ME"/>
        </w:rPr>
        <w:t>eljen</w:t>
      </w:r>
      <w:r w:rsidR="001D73E6" w:rsidRPr="008B3B89">
        <w:rPr>
          <w:sz w:val="20"/>
          <w:szCs w:val="20"/>
          <w:lang w:val="sr-Latn-ME"/>
        </w:rPr>
        <w:t>o</w:t>
      </w:r>
      <w:r w:rsidRPr="008B3B89">
        <w:rPr>
          <w:sz w:val="20"/>
          <w:szCs w:val="20"/>
          <w:lang w:val="sr-Latn-ME"/>
        </w:rPr>
        <w:t xml:space="preserve"> </w:t>
      </w:r>
      <w:r w:rsidRPr="008B3B89">
        <w:rPr>
          <w:rStyle w:val="hps"/>
          <w:sz w:val="20"/>
          <w:szCs w:val="20"/>
          <w:lang w:val="sr-Latn-ME"/>
        </w:rPr>
        <w:t>sa 3</w:t>
      </w:r>
      <w:r w:rsidRPr="008B3B89">
        <w:rPr>
          <w:sz w:val="20"/>
          <w:szCs w:val="20"/>
          <w:lang w:val="sr-Latn-ME"/>
        </w:rPr>
        <w:t xml:space="preserve"> </w:t>
      </w:r>
      <w:r w:rsidRPr="008B3B89">
        <w:rPr>
          <w:rStyle w:val="hps"/>
          <w:sz w:val="20"/>
          <w:szCs w:val="20"/>
          <w:lang w:val="sr-Latn-ME"/>
        </w:rPr>
        <w:t>(učestalost</w:t>
      </w:r>
      <w:r w:rsidRPr="008B3B89">
        <w:rPr>
          <w:sz w:val="20"/>
          <w:szCs w:val="20"/>
          <w:lang w:val="sr-Latn-ME"/>
        </w:rPr>
        <w:t xml:space="preserve"> </w:t>
      </w:r>
      <w:r w:rsidRPr="008B3B89">
        <w:rPr>
          <w:rStyle w:val="hps"/>
          <w:sz w:val="20"/>
          <w:szCs w:val="20"/>
          <w:lang w:val="sr-Latn-ME"/>
        </w:rPr>
        <w:t>=</w:t>
      </w:r>
      <w:r w:rsidRPr="008B3B89">
        <w:rPr>
          <w:sz w:val="20"/>
          <w:szCs w:val="20"/>
          <w:lang w:val="sr-Latn-ME"/>
        </w:rPr>
        <w:t xml:space="preserve"> </w:t>
      </w:r>
      <w:r w:rsidRPr="008B3B89">
        <w:rPr>
          <w:rStyle w:val="hpsatn"/>
          <w:sz w:val="20"/>
          <w:szCs w:val="20"/>
          <w:lang w:val="sr-Latn-ME"/>
        </w:rPr>
        <w:t>1</w:t>
      </w:r>
      <w:r w:rsidRPr="008B3B89">
        <w:rPr>
          <w:rStyle w:val="atn"/>
          <w:sz w:val="20"/>
          <w:szCs w:val="20"/>
          <w:lang w:val="sr-Latn-ME"/>
        </w:rPr>
        <w:t>/</w:t>
      </w:r>
      <w:r w:rsidRPr="008B3B89">
        <w:rPr>
          <w:sz w:val="20"/>
          <w:szCs w:val="20"/>
          <w:lang w:val="sr-Latn-ME"/>
        </w:rPr>
        <w:t>2092).</w:t>
      </w:r>
      <w:r w:rsidR="00711949" w:rsidRPr="008B3B89">
        <w:rPr>
          <w:sz w:val="20"/>
          <w:szCs w:val="20"/>
          <w:lang w:val="sr-Latn-ME"/>
        </w:rPr>
        <w:t xml:space="preserve"> </w:t>
      </w:r>
    </w:p>
    <w:p w14:paraId="3E62EB6F" w14:textId="77F4AA5F" w:rsidR="001D73E6" w:rsidRPr="008B3B89" w:rsidRDefault="001D73E6" w:rsidP="00107322">
      <w:pPr>
        <w:rPr>
          <w:sz w:val="20"/>
          <w:szCs w:val="20"/>
          <w:lang w:val="sr-Latn-ME"/>
        </w:rPr>
      </w:pPr>
      <w:r w:rsidRPr="008B3B89">
        <w:rPr>
          <w:sz w:val="20"/>
          <w:szCs w:val="20"/>
          <w:vertAlign w:val="superscript"/>
          <w:lang w:val="sr-Latn-ME"/>
        </w:rPr>
        <w:t>*</w:t>
      </w:r>
      <w:r w:rsidRPr="008B3B89">
        <w:rPr>
          <w:sz w:val="20"/>
          <w:szCs w:val="20"/>
          <w:lang w:val="sr-Latn-ME"/>
        </w:rPr>
        <w:t xml:space="preserve"> Zab</w:t>
      </w:r>
      <w:r w:rsidR="00AC45D8" w:rsidRPr="008B3B89">
        <w:rPr>
          <w:sz w:val="20"/>
          <w:szCs w:val="20"/>
          <w:lang w:val="sr-Latn-ME"/>
        </w:rPr>
        <w:t>i</w:t>
      </w:r>
      <w:r w:rsidRPr="008B3B89">
        <w:rPr>
          <w:sz w:val="20"/>
          <w:szCs w:val="20"/>
          <w:lang w:val="sr-Latn-ME"/>
        </w:rPr>
        <w:t>l</w:t>
      </w:r>
      <w:r w:rsidR="00AC45D8" w:rsidRPr="008B3B89">
        <w:rPr>
          <w:sz w:val="20"/>
          <w:szCs w:val="20"/>
          <w:lang w:val="sr-Latn-ME"/>
        </w:rPr>
        <w:t>j</w:t>
      </w:r>
      <w:r w:rsidRPr="008B3B89">
        <w:rPr>
          <w:sz w:val="20"/>
          <w:szCs w:val="20"/>
          <w:lang w:val="sr-Latn-ME"/>
        </w:rPr>
        <w:t xml:space="preserve">eženo </w:t>
      </w:r>
      <w:r w:rsidR="00D248BE" w:rsidRPr="008B3B89">
        <w:rPr>
          <w:sz w:val="20"/>
          <w:szCs w:val="20"/>
          <w:lang w:val="sr-Latn-ME"/>
        </w:rPr>
        <w:t>kod pacijenata liječenih od Echinococcosis.</w:t>
      </w:r>
    </w:p>
    <w:p w14:paraId="423454C2" w14:textId="77777777" w:rsidR="00A01D11" w:rsidRPr="008B3B89" w:rsidRDefault="00A01D11" w:rsidP="00107322">
      <w:pPr>
        <w:rPr>
          <w:sz w:val="20"/>
          <w:szCs w:val="20"/>
          <w:lang w:val="sr-Latn-ME"/>
        </w:rPr>
      </w:pPr>
    </w:p>
    <w:p w14:paraId="62748581" w14:textId="77777777" w:rsidR="00EA370D" w:rsidRPr="008B3B89" w:rsidRDefault="00EA370D" w:rsidP="00107322">
      <w:pPr>
        <w:tabs>
          <w:tab w:val="clear" w:pos="284"/>
        </w:tabs>
        <w:spacing w:line="276" w:lineRule="auto"/>
        <w:jc w:val="left"/>
        <w:rPr>
          <w:rFonts w:eastAsia="Calibri"/>
          <w:szCs w:val="22"/>
          <w:u w:val="single"/>
          <w:lang w:val="sr-Latn-ME"/>
        </w:rPr>
      </w:pPr>
      <w:r w:rsidRPr="008B3B89">
        <w:rPr>
          <w:rFonts w:eastAsia="Calibri"/>
          <w:szCs w:val="22"/>
          <w:u w:val="single"/>
          <w:lang w:val="sr-Latn-ME"/>
        </w:rPr>
        <w:t>Prijavljivanje sumnji na neželjena dejstva</w:t>
      </w:r>
    </w:p>
    <w:p w14:paraId="2B329103" w14:textId="77777777" w:rsidR="00EA370D" w:rsidRPr="008B3B89" w:rsidRDefault="00EA370D" w:rsidP="00107322">
      <w:pPr>
        <w:tabs>
          <w:tab w:val="clear" w:pos="284"/>
        </w:tabs>
        <w:rPr>
          <w:rFonts w:eastAsia="Calibri"/>
          <w:szCs w:val="22"/>
          <w:lang w:val="sr-Latn-ME"/>
        </w:rPr>
      </w:pPr>
      <w:r w:rsidRPr="008B3B89">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D224330" w14:textId="77777777" w:rsidR="00156B8D" w:rsidRPr="008B3B89" w:rsidRDefault="00156B8D" w:rsidP="004A2E5C">
      <w:pPr>
        <w:tabs>
          <w:tab w:val="clear" w:pos="284"/>
        </w:tabs>
        <w:rPr>
          <w:rFonts w:eastAsia="Calibri"/>
          <w:szCs w:val="22"/>
          <w:lang w:val="sr-Latn-ME"/>
        </w:rPr>
      </w:pPr>
    </w:p>
    <w:p w14:paraId="4DF1F030" w14:textId="75287BCC" w:rsidR="00EA370D" w:rsidRPr="008B3B89" w:rsidRDefault="00EA370D" w:rsidP="004A2E5C">
      <w:pPr>
        <w:tabs>
          <w:tab w:val="clear" w:pos="284"/>
        </w:tabs>
        <w:rPr>
          <w:rFonts w:eastAsia="Calibri"/>
          <w:szCs w:val="22"/>
          <w:lang w:val="sr-Latn-ME"/>
        </w:rPr>
      </w:pPr>
      <w:r w:rsidRPr="008B3B89">
        <w:rPr>
          <w:rFonts w:eastAsia="Calibri"/>
          <w:szCs w:val="22"/>
          <w:lang w:val="sr-Latn-ME"/>
        </w:rPr>
        <w:t xml:space="preserve">Institut za ljekove i medicinska sredstva </w:t>
      </w:r>
    </w:p>
    <w:p w14:paraId="559841F2" w14:textId="77777777" w:rsidR="00EA370D" w:rsidRPr="008B3B89" w:rsidRDefault="00EA370D" w:rsidP="00E03362">
      <w:pPr>
        <w:tabs>
          <w:tab w:val="clear" w:pos="284"/>
        </w:tabs>
        <w:rPr>
          <w:rFonts w:eastAsia="Calibri"/>
          <w:szCs w:val="22"/>
          <w:lang w:val="sr-Latn-ME"/>
        </w:rPr>
      </w:pPr>
      <w:r w:rsidRPr="008B3B89">
        <w:rPr>
          <w:rFonts w:eastAsia="Calibri"/>
          <w:szCs w:val="22"/>
          <w:lang w:val="sr-Latn-ME"/>
        </w:rPr>
        <w:t>Odjeljenje za farmakovigilancu</w:t>
      </w:r>
    </w:p>
    <w:p w14:paraId="4D26B8F4" w14:textId="77777777" w:rsidR="00EA370D" w:rsidRPr="008B3B89" w:rsidRDefault="00EA370D">
      <w:pPr>
        <w:tabs>
          <w:tab w:val="clear" w:pos="284"/>
        </w:tabs>
        <w:rPr>
          <w:rFonts w:eastAsia="Calibri"/>
          <w:szCs w:val="22"/>
          <w:lang w:val="sr-Latn-ME"/>
        </w:rPr>
      </w:pPr>
      <w:r w:rsidRPr="008B3B89">
        <w:rPr>
          <w:rFonts w:eastAsia="Calibri"/>
          <w:szCs w:val="22"/>
          <w:lang w:val="sr-Latn-ME"/>
        </w:rPr>
        <w:t>Bulevar Ivana Crnojevića 64a, 81000 Podgorica</w:t>
      </w:r>
    </w:p>
    <w:p w14:paraId="619252E3" w14:textId="77777777" w:rsidR="00EA370D" w:rsidRPr="008B3B89" w:rsidRDefault="00EA370D">
      <w:pPr>
        <w:tabs>
          <w:tab w:val="clear" w:pos="284"/>
        </w:tabs>
        <w:jc w:val="left"/>
        <w:rPr>
          <w:rFonts w:eastAsia="Calibri"/>
          <w:szCs w:val="22"/>
          <w:lang w:val="sr-Latn-ME"/>
        </w:rPr>
      </w:pPr>
    </w:p>
    <w:p w14:paraId="4582BE08" w14:textId="77777777" w:rsidR="00EA370D" w:rsidRPr="008B3B89" w:rsidRDefault="00EA370D">
      <w:pPr>
        <w:tabs>
          <w:tab w:val="clear" w:pos="284"/>
        </w:tabs>
        <w:rPr>
          <w:rFonts w:eastAsia="Calibri"/>
          <w:szCs w:val="22"/>
          <w:lang w:val="sr-Latn-ME"/>
        </w:rPr>
      </w:pPr>
      <w:r w:rsidRPr="008B3B89">
        <w:rPr>
          <w:rFonts w:eastAsia="Calibri"/>
          <w:szCs w:val="22"/>
          <w:lang w:val="sr-Latn-ME"/>
        </w:rPr>
        <w:t>tel: +382 (0) 20 310 280</w:t>
      </w:r>
    </w:p>
    <w:p w14:paraId="43C12481" w14:textId="77777777" w:rsidR="00EA370D" w:rsidRPr="008B3B89" w:rsidRDefault="00EA370D">
      <w:pPr>
        <w:tabs>
          <w:tab w:val="clear" w:pos="284"/>
          <w:tab w:val="left" w:pos="6720"/>
        </w:tabs>
        <w:rPr>
          <w:rFonts w:eastAsia="Calibri"/>
          <w:szCs w:val="22"/>
          <w:lang w:val="sr-Latn-ME"/>
        </w:rPr>
      </w:pPr>
      <w:r w:rsidRPr="008B3B89">
        <w:rPr>
          <w:rFonts w:eastAsia="Calibri"/>
          <w:szCs w:val="22"/>
          <w:lang w:val="sr-Latn-ME"/>
        </w:rPr>
        <w:t>fax: +382 (0) 20 310 581</w:t>
      </w:r>
      <w:r w:rsidRPr="008B3B89">
        <w:rPr>
          <w:rFonts w:eastAsia="Calibri"/>
          <w:szCs w:val="22"/>
          <w:lang w:val="sr-Latn-ME"/>
        </w:rPr>
        <w:tab/>
      </w:r>
    </w:p>
    <w:p w14:paraId="63A23C68" w14:textId="77777777" w:rsidR="00EA370D" w:rsidRPr="008B3B89" w:rsidRDefault="00931056">
      <w:pPr>
        <w:tabs>
          <w:tab w:val="clear" w:pos="284"/>
        </w:tabs>
        <w:rPr>
          <w:rFonts w:eastAsia="Calibri"/>
          <w:szCs w:val="22"/>
          <w:lang w:val="sr-Latn-ME"/>
        </w:rPr>
      </w:pPr>
      <w:hyperlink r:id="rId13" w:history="1">
        <w:r w:rsidR="00EA370D" w:rsidRPr="008B3B89">
          <w:rPr>
            <w:rFonts w:eastAsia="Calibri"/>
            <w:color w:val="0563C1"/>
            <w:szCs w:val="22"/>
            <w:u w:val="single"/>
            <w:lang w:val="sr-Latn-ME"/>
          </w:rPr>
          <w:t>www.cinmed.me</w:t>
        </w:r>
      </w:hyperlink>
    </w:p>
    <w:p w14:paraId="61F44FED" w14:textId="77777777" w:rsidR="00EA370D" w:rsidRPr="008B3B89" w:rsidRDefault="00931056">
      <w:pPr>
        <w:tabs>
          <w:tab w:val="clear" w:pos="284"/>
        </w:tabs>
        <w:rPr>
          <w:rFonts w:eastAsia="Calibri"/>
          <w:color w:val="0000FF"/>
          <w:szCs w:val="22"/>
          <w:u w:val="single"/>
          <w:lang w:val="sr-Latn-ME"/>
        </w:rPr>
      </w:pPr>
      <w:hyperlink r:id="rId14" w:history="1">
        <w:r w:rsidR="00EA370D" w:rsidRPr="008B3B89">
          <w:rPr>
            <w:rFonts w:eastAsia="Calibri"/>
            <w:color w:val="0563C1"/>
            <w:szCs w:val="22"/>
            <w:u w:val="single"/>
            <w:lang w:val="sr-Latn-ME"/>
          </w:rPr>
          <w:t>nezeljenadejstva@cinmed.me</w:t>
        </w:r>
      </w:hyperlink>
    </w:p>
    <w:p w14:paraId="74AB1162" w14:textId="77777777" w:rsidR="00EA370D" w:rsidRPr="008B3B89" w:rsidRDefault="00EA370D">
      <w:pPr>
        <w:tabs>
          <w:tab w:val="clear" w:pos="284"/>
        </w:tabs>
        <w:rPr>
          <w:rFonts w:eastAsia="Calibri"/>
          <w:szCs w:val="22"/>
          <w:lang w:val="sr-Latn-ME"/>
        </w:rPr>
      </w:pPr>
      <w:r w:rsidRPr="008B3B89">
        <w:rPr>
          <w:rFonts w:eastAsia="Calibri"/>
          <w:szCs w:val="22"/>
          <w:lang w:val="sr-Latn-ME"/>
        </w:rPr>
        <w:t>putem IS zdravstvene zaštite</w:t>
      </w:r>
    </w:p>
    <w:p w14:paraId="61C6D815" w14:textId="77777777" w:rsidR="00EA370D" w:rsidRPr="008B3B89" w:rsidRDefault="00EA370D">
      <w:pPr>
        <w:tabs>
          <w:tab w:val="clear" w:pos="284"/>
        </w:tabs>
        <w:rPr>
          <w:rFonts w:eastAsia="Calibri"/>
          <w:szCs w:val="22"/>
          <w:lang w:val="sr-Latn-ME"/>
        </w:rPr>
      </w:pPr>
      <w:r w:rsidRPr="008B3B89">
        <w:rPr>
          <w:rFonts w:eastAsia="Calibri"/>
          <w:szCs w:val="22"/>
          <w:lang w:val="sr-Latn-ME"/>
        </w:rPr>
        <w:t>QR kod za online prijavu sumnje na neželjeno dejstvo lijeka:</w:t>
      </w:r>
    </w:p>
    <w:p w14:paraId="245C84A8" w14:textId="77777777" w:rsidR="00EA370D" w:rsidRPr="008B3B89" w:rsidRDefault="00EA370D">
      <w:pPr>
        <w:tabs>
          <w:tab w:val="clear" w:pos="284"/>
        </w:tabs>
        <w:jc w:val="left"/>
        <w:rPr>
          <w:rFonts w:eastAsia="Calibri"/>
          <w:szCs w:val="22"/>
          <w:lang w:val="sr-Latn-ME"/>
        </w:rPr>
      </w:pPr>
    </w:p>
    <w:p w14:paraId="0C59F182" w14:textId="77777777" w:rsidR="00EA370D" w:rsidRPr="008B3B89" w:rsidRDefault="00EA370D">
      <w:pPr>
        <w:tabs>
          <w:tab w:val="clear" w:pos="284"/>
          <w:tab w:val="left" w:pos="540"/>
          <w:tab w:val="left" w:pos="569"/>
        </w:tabs>
        <w:jc w:val="left"/>
        <w:rPr>
          <w:b/>
          <w:bCs/>
          <w:szCs w:val="22"/>
          <w:lang w:val="sr-Latn-ME"/>
        </w:rPr>
      </w:pPr>
      <w:r w:rsidRPr="008B3B89">
        <w:rPr>
          <w:b/>
          <w:bCs/>
          <w:noProof/>
          <w:szCs w:val="22"/>
        </w:rPr>
        <w:drawing>
          <wp:inline distT="0" distB="0" distL="0" distR="0" wp14:anchorId="7192BED9" wp14:editId="0D642D69">
            <wp:extent cx="980796" cy="972000"/>
            <wp:effectExtent l="0" t="0" r="0" b="0"/>
            <wp:docPr id="10" name="Picture 9" descr="A qr code on a white background&#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5"/>
                    </pic:cNvPr>
                    <pic:cNvPicPr>
                      <a:picLocks noChangeAspect="1"/>
                    </pic:cNvPicPr>
                  </pic:nvPicPr>
                  <pic:blipFill rotWithShape="1">
                    <a:blip r:embed="rId16"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7AF28D3" w14:textId="77777777" w:rsidR="00EA370D" w:rsidRPr="008B3B89" w:rsidRDefault="00EA370D" w:rsidP="00107322">
      <w:pPr>
        <w:rPr>
          <w:b/>
          <w:bCs/>
          <w:szCs w:val="22"/>
          <w:lang w:val="sr-Latn-ME"/>
        </w:rPr>
      </w:pPr>
    </w:p>
    <w:p w14:paraId="732C0267" w14:textId="00390011" w:rsidR="00D248BE" w:rsidRPr="008B3B89" w:rsidRDefault="00057794" w:rsidP="00107322">
      <w:pPr>
        <w:rPr>
          <w:b/>
          <w:bCs/>
          <w:szCs w:val="22"/>
          <w:lang w:val="sr-Latn-ME"/>
        </w:rPr>
      </w:pPr>
      <w:r w:rsidRPr="008B3B89">
        <w:rPr>
          <w:b/>
          <w:bCs/>
          <w:szCs w:val="22"/>
          <w:lang w:val="sr-Latn-ME"/>
        </w:rPr>
        <w:t>4.9. Predoziranje</w:t>
      </w:r>
    </w:p>
    <w:p w14:paraId="301C0A93" w14:textId="77777777" w:rsidR="00627B84" w:rsidRPr="008B3B89" w:rsidRDefault="00627B84" w:rsidP="00417730">
      <w:pPr>
        <w:rPr>
          <w:szCs w:val="22"/>
          <w:lang w:val="sr-Latn-ME"/>
        </w:rPr>
      </w:pPr>
    </w:p>
    <w:p w14:paraId="6A4677F5" w14:textId="2DBDD993" w:rsidR="00D248BE" w:rsidRPr="008B3B89" w:rsidRDefault="00D248BE" w:rsidP="00107322">
      <w:pPr>
        <w:tabs>
          <w:tab w:val="clear" w:pos="284"/>
        </w:tabs>
        <w:autoSpaceDE w:val="0"/>
        <w:autoSpaceDN w:val="0"/>
        <w:adjustRightInd w:val="0"/>
        <w:rPr>
          <w:szCs w:val="22"/>
          <w:lang w:val="sr-Latn-ME"/>
        </w:rPr>
      </w:pPr>
      <w:r w:rsidRPr="008B3B89">
        <w:rPr>
          <w:szCs w:val="22"/>
          <w:lang w:val="sr-Latn-ME"/>
        </w:rPr>
        <w:t xml:space="preserve">Agranulocitoza i glomerulonefritis su </w:t>
      </w:r>
      <w:r w:rsidR="00AF77DE" w:rsidRPr="008B3B89">
        <w:rPr>
          <w:szCs w:val="22"/>
          <w:lang w:val="sr-Latn-ME"/>
        </w:rPr>
        <w:t>nuspojave liječenja Echinococcosis</w:t>
      </w:r>
      <w:r w:rsidRPr="008B3B89">
        <w:rPr>
          <w:szCs w:val="22"/>
          <w:lang w:val="sr-Latn-ME"/>
        </w:rPr>
        <w:t>, za koje je doza veća i koristi se tokom dužih vremenskih perioda u poređenju s drugim indikacijama; stoga se smatraju očekivanim simptomima predoziranja za indikacije koje nijesu poveza</w:t>
      </w:r>
      <w:r w:rsidR="0028531B" w:rsidRPr="008B3B89">
        <w:rPr>
          <w:szCs w:val="22"/>
          <w:lang w:val="sr-Latn-ME"/>
        </w:rPr>
        <w:t>ne sa Echinococcosis</w:t>
      </w:r>
      <w:r w:rsidRPr="008B3B89">
        <w:rPr>
          <w:szCs w:val="22"/>
          <w:lang w:val="sr-Latn-ME"/>
        </w:rPr>
        <w:t xml:space="preserve"> (vidi dio 4.8).</w:t>
      </w:r>
    </w:p>
    <w:p w14:paraId="2EE436C7" w14:textId="77777777" w:rsidR="00A01D11" w:rsidRPr="008B3B89" w:rsidRDefault="00A01D11" w:rsidP="00107322">
      <w:pPr>
        <w:tabs>
          <w:tab w:val="clear" w:pos="284"/>
        </w:tabs>
        <w:autoSpaceDE w:val="0"/>
        <w:autoSpaceDN w:val="0"/>
        <w:adjustRightInd w:val="0"/>
        <w:rPr>
          <w:rStyle w:val="hps"/>
          <w:szCs w:val="22"/>
          <w:lang w:val="sr-Latn-ME"/>
        </w:rPr>
      </w:pPr>
    </w:p>
    <w:p w14:paraId="74AF5E9F" w14:textId="41CFA637" w:rsidR="00BE12BC" w:rsidRPr="008B3B89" w:rsidRDefault="0080733F" w:rsidP="00107322">
      <w:pPr>
        <w:tabs>
          <w:tab w:val="clear" w:pos="284"/>
        </w:tabs>
        <w:rPr>
          <w:szCs w:val="22"/>
          <w:lang w:val="sr-Latn-ME"/>
        </w:rPr>
      </w:pPr>
      <w:r w:rsidRPr="008B3B89">
        <w:rPr>
          <w:i/>
          <w:szCs w:val="22"/>
          <w:lang w:val="sr-Latn-ME"/>
        </w:rPr>
        <w:t>Znaci i simptomi</w:t>
      </w:r>
    </w:p>
    <w:p w14:paraId="74AF5EA0" w14:textId="64EC948A" w:rsidR="00BE12BC" w:rsidRPr="008B3B89" w:rsidRDefault="00B872CA" w:rsidP="00107322">
      <w:pPr>
        <w:pStyle w:val="Header"/>
        <w:tabs>
          <w:tab w:val="clear" w:pos="4536"/>
          <w:tab w:val="clear" w:pos="9072"/>
          <w:tab w:val="left" w:pos="284"/>
        </w:tabs>
        <w:rPr>
          <w:szCs w:val="22"/>
          <w:lang w:val="sr-Latn-ME"/>
        </w:rPr>
      </w:pPr>
      <w:r w:rsidRPr="008B3B89">
        <w:rPr>
          <w:szCs w:val="22"/>
          <w:lang w:val="sr-Latn-ME"/>
        </w:rPr>
        <w:t xml:space="preserve">Kod </w:t>
      </w:r>
      <w:r w:rsidR="000D42C3" w:rsidRPr="008B3B89">
        <w:rPr>
          <w:szCs w:val="22"/>
          <w:lang w:val="sr-Latn-ME"/>
        </w:rPr>
        <w:t>slučajnog</w:t>
      </w:r>
      <w:r w:rsidR="00BE12BC" w:rsidRPr="008B3B89">
        <w:rPr>
          <w:szCs w:val="22"/>
          <w:lang w:val="sr-Latn-ME"/>
        </w:rPr>
        <w:t xml:space="preserve"> predoziranja</w:t>
      </w:r>
      <w:r w:rsidR="000D42C3" w:rsidRPr="008B3B89">
        <w:rPr>
          <w:szCs w:val="22"/>
          <w:lang w:val="sr-Latn-ME"/>
        </w:rPr>
        <w:t>,</w:t>
      </w:r>
      <w:r w:rsidR="00BE12BC" w:rsidRPr="008B3B89">
        <w:rPr>
          <w:szCs w:val="22"/>
          <w:lang w:val="sr-Latn-ME"/>
        </w:rPr>
        <w:t xml:space="preserve"> mogu se javiti sl</w:t>
      </w:r>
      <w:r w:rsidR="00AC45D8" w:rsidRPr="008B3B89">
        <w:rPr>
          <w:szCs w:val="22"/>
          <w:lang w:val="sr-Latn-ME"/>
        </w:rPr>
        <w:t>j</w:t>
      </w:r>
      <w:r w:rsidR="00BE12BC" w:rsidRPr="008B3B89">
        <w:rPr>
          <w:szCs w:val="22"/>
          <w:lang w:val="sr-Latn-ME"/>
        </w:rPr>
        <w:t>edeći simptomi: grčevi</w:t>
      </w:r>
      <w:r w:rsidR="000D42C3" w:rsidRPr="008B3B89">
        <w:rPr>
          <w:szCs w:val="22"/>
          <w:lang w:val="sr-Latn-ME"/>
        </w:rPr>
        <w:t xml:space="preserve"> u abdomenu</w:t>
      </w:r>
      <w:r w:rsidR="00BE12BC" w:rsidRPr="008B3B89">
        <w:rPr>
          <w:szCs w:val="22"/>
          <w:lang w:val="sr-Latn-ME"/>
        </w:rPr>
        <w:t>, mučnina, povraćanje i dijareja.</w:t>
      </w:r>
    </w:p>
    <w:p w14:paraId="630B6A51" w14:textId="77777777" w:rsidR="00A01D11" w:rsidRPr="008B3B89" w:rsidRDefault="00A01D11" w:rsidP="00107322">
      <w:pPr>
        <w:pStyle w:val="Header"/>
        <w:tabs>
          <w:tab w:val="clear" w:pos="4536"/>
          <w:tab w:val="clear" w:pos="9072"/>
          <w:tab w:val="left" w:pos="284"/>
        </w:tabs>
        <w:rPr>
          <w:szCs w:val="22"/>
          <w:lang w:val="sr-Latn-ME"/>
        </w:rPr>
      </w:pPr>
    </w:p>
    <w:p w14:paraId="74AF5EA2" w14:textId="0EDD34C7" w:rsidR="00BE12BC" w:rsidRPr="008B3B89" w:rsidRDefault="00BE12BC" w:rsidP="00107322">
      <w:pPr>
        <w:tabs>
          <w:tab w:val="clear" w:pos="284"/>
        </w:tabs>
        <w:rPr>
          <w:i/>
          <w:szCs w:val="22"/>
          <w:lang w:val="sr-Latn-ME"/>
        </w:rPr>
      </w:pPr>
      <w:r w:rsidRPr="008B3B89">
        <w:rPr>
          <w:i/>
          <w:szCs w:val="22"/>
          <w:lang w:val="sr-Latn-ME"/>
        </w:rPr>
        <w:t>Terapij</w:t>
      </w:r>
      <w:r w:rsidR="000D42C3" w:rsidRPr="008B3B89">
        <w:rPr>
          <w:i/>
          <w:szCs w:val="22"/>
          <w:lang w:val="sr-Latn-ME"/>
        </w:rPr>
        <w:t>a</w:t>
      </w:r>
    </w:p>
    <w:p w14:paraId="74AF5EA3" w14:textId="0079020C" w:rsidR="00057794" w:rsidRPr="008B3B89" w:rsidRDefault="00BE12BC" w:rsidP="00107322">
      <w:pPr>
        <w:rPr>
          <w:lang w:val="sr-Latn-ME"/>
        </w:rPr>
      </w:pPr>
      <w:r w:rsidRPr="008B3B89">
        <w:rPr>
          <w:szCs w:val="22"/>
          <w:lang w:val="sr-Latn-ME"/>
        </w:rPr>
        <w:t>Ne</w:t>
      </w:r>
      <w:r w:rsidR="000D42C3" w:rsidRPr="008B3B89">
        <w:rPr>
          <w:szCs w:val="22"/>
          <w:lang w:val="sr-Latn-ME"/>
        </w:rPr>
        <w:t>ma</w:t>
      </w:r>
      <w:r w:rsidRPr="008B3B89">
        <w:rPr>
          <w:szCs w:val="22"/>
          <w:lang w:val="sr-Latn-ME"/>
        </w:rPr>
        <w:t xml:space="preserve"> specifičn</w:t>
      </w:r>
      <w:r w:rsidR="000D42C3" w:rsidRPr="008B3B89">
        <w:rPr>
          <w:szCs w:val="22"/>
          <w:lang w:val="sr-Latn-ME"/>
        </w:rPr>
        <w:t>og</w:t>
      </w:r>
      <w:r w:rsidRPr="008B3B89">
        <w:rPr>
          <w:szCs w:val="22"/>
          <w:lang w:val="sr-Latn-ME"/>
        </w:rPr>
        <w:t xml:space="preserve"> antidot</w:t>
      </w:r>
      <w:r w:rsidR="000D42C3" w:rsidRPr="008B3B89">
        <w:rPr>
          <w:szCs w:val="22"/>
          <w:lang w:val="sr-Latn-ME"/>
        </w:rPr>
        <w:t>a</w:t>
      </w:r>
      <w:r w:rsidRPr="008B3B89">
        <w:rPr>
          <w:szCs w:val="22"/>
          <w:lang w:val="sr-Latn-ME"/>
        </w:rPr>
        <w:t>. Ukoliko</w:t>
      </w:r>
      <w:r w:rsidR="005D3272" w:rsidRPr="008B3B89">
        <w:rPr>
          <w:szCs w:val="22"/>
          <w:lang w:val="sr-Latn-ME"/>
        </w:rPr>
        <w:t xml:space="preserve"> se</w:t>
      </w:r>
      <w:r w:rsidRPr="008B3B89">
        <w:rPr>
          <w:szCs w:val="22"/>
          <w:lang w:val="sr-Latn-ME"/>
        </w:rPr>
        <w:t xml:space="preserve"> smatra </w:t>
      </w:r>
      <w:r w:rsidR="0069351D" w:rsidRPr="008B3B89">
        <w:rPr>
          <w:szCs w:val="22"/>
          <w:lang w:val="sr-Latn-ME"/>
        </w:rPr>
        <w:t>odgovarajućim</w:t>
      </w:r>
      <w:r w:rsidRPr="008B3B89">
        <w:rPr>
          <w:szCs w:val="22"/>
          <w:lang w:val="sr-Latn-ME"/>
        </w:rPr>
        <w:t xml:space="preserve">, može se </w:t>
      </w:r>
      <w:r w:rsidR="008A33A4" w:rsidRPr="008B3B89">
        <w:rPr>
          <w:szCs w:val="22"/>
          <w:lang w:val="sr-Latn-ME"/>
        </w:rPr>
        <w:t>upotr</w:t>
      </w:r>
      <w:r w:rsidR="00EA370D" w:rsidRPr="008B3B89">
        <w:rPr>
          <w:szCs w:val="22"/>
          <w:lang w:val="sr-Latn-ME"/>
        </w:rPr>
        <w:t>ij</w:t>
      </w:r>
      <w:r w:rsidR="008A33A4" w:rsidRPr="008B3B89">
        <w:rPr>
          <w:szCs w:val="22"/>
          <w:lang w:val="sr-Latn-ME"/>
        </w:rPr>
        <w:t>ebiti</w:t>
      </w:r>
      <w:r w:rsidRPr="008B3B89">
        <w:rPr>
          <w:szCs w:val="22"/>
          <w:lang w:val="sr-Latn-ME"/>
        </w:rPr>
        <w:t xml:space="preserve"> aktivni ugalj.</w:t>
      </w:r>
    </w:p>
    <w:p w14:paraId="74DE75F0" w14:textId="1C932CE5" w:rsidR="00627B84" w:rsidRPr="008B3B89" w:rsidRDefault="00627B84" w:rsidP="00107322">
      <w:pPr>
        <w:pStyle w:val="NASLOV123"/>
        <w:spacing w:before="0" w:after="0"/>
        <w:jc w:val="both"/>
        <w:rPr>
          <w:lang w:val="sr-Latn-ME"/>
        </w:rPr>
      </w:pPr>
    </w:p>
    <w:p w14:paraId="552E1B0A" w14:textId="77777777" w:rsidR="00E14B3B" w:rsidRPr="008B3B89" w:rsidRDefault="00E14B3B" w:rsidP="00107322">
      <w:pPr>
        <w:pStyle w:val="NASLOV123"/>
        <w:spacing w:before="0" w:after="0"/>
        <w:jc w:val="both"/>
        <w:rPr>
          <w:lang w:val="sr-Latn-ME"/>
        </w:rPr>
      </w:pPr>
    </w:p>
    <w:p w14:paraId="74AF5EA5" w14:textId="521AC361" w:rsidR="00057794" w:rsidRPr="008B3B89" w:rsidRDefault="00057794" w:rsidP="00107322">
      <w:pPr>
        <w:pStyle w:val="NASLOV123"/>
        <w:spacing w:before="0" w:after="0"/>
        <w:jc w:val="both"/>
        <w:rPr>
          <w:lang w:val="sr-Latn-ME"/>
        </w:rPr>
      </w:pPr>
      <w:r w:rsidRPr="008B3B89">
        <w:rPr>
          <w:lang w:val="sr-Latn-ME"/>
        </w:rPr>
        <w:t xml:space="preserve">5. </w:t>
      </w:r>
      <w:r w:rsidR="008A2ADA" w:rsidRPr="008B3B89">
        <w:rPr>
          <w:lang w:val="sr-Latn-ME"/>
        </w:rPr>
        <w:tab/>
      </w:r>
      <w:r w:rsidRPr="008B3B89">
        <w:rPr>
          <w:lang w:val="sr-Latn-ME"/>
        </w:rPr>
        <w:t>FARMAKOLOŠKI PODACI</w:t>
      </w:r>
    </w:p>
    <w:p w14:paraId="52A3F1B4" w14:textId="77777777" w:rsidR="00627B84" w:rsidRPr="008B3B89" w:rsidRDefault="00627B84" w:rsidP="00107322">
      <w:pPr>
        <w:rPr>
          <w:b/>
          <w:bCs/>
          <w:szCs w:val="22"/>
          <w:lang w:val="sr-Latn-ME"/>
        </w:rPr>
      </w:pPr>
    </w:p>
    <w:p w14:paraId="74AF5EA6" w14:textId="5555AB92" w:rsidR="00057794" w:rsidRPr="008B3B89" w:rsidRDefault="00057794" w:rsidP="00107322">
      <w:pPr>
        <w:rPr>
          <w:b/>
          <w:bCs/>
          <w:szCs w:val="22"/>
          <w:lang w:val="sr-Latn-ME"/>
        </w:rPr>
      </w:pPr>
      <w:r w:rsidRPr="008B3B89">
        <w:rPr>
          <w:b/>
          <w:bCs/>
          <w:szCs w:val="22"/>
          <w:lang w:val="sr-Latn-ME"/>
        </w:rPr>
        <w:t>5.1. Farmakodinamski podaci</w:t>
      </w:r>
    </w:p>
    <w:p w14:paraId="75B998D6" w14:textId="77777777" w:rsidR="00627B84" w:rsidRPr="008B3B89" w:rsidRDefault="00627B84" w:rsidP="00107322">
      <w:pPr>
        <w:rPr>
          <w:szCs w:val="22"/>
          <w:lang w:val="sr-Latn-ME"/>
        </w:rPr>
      </w:pPr>
    </w:p>
    <w:p w14:paraId="74AF5EA8" w14:textId="2555697E" w:rsidR="00057794" w:rsidRPr="008B3B89" w:rsidRDefault="00057794" w:rsidP="00107322">
      <w:pPr>
        <w:rPr>
          <w:rFonts w:cs="Arial"/>
          <w:lang w:val="sr-Latn-ME"/>
        </w:rPr>
      </w:pPr>
      <w:r w:rsidRPr="008B3B89">
        <w:rPr>
          <w:szCs w:val="22"/>
          <w:lang w:val="sr-Latn-ME"/>
        </w:rPr>
        <w:t>Farmakoterapijska grupa:</w:t>
      </w:r>
      <w:r w:rsidR="00BE12BC" w:rsidRPr="008B3B89">
        <w:rPr>
          <w:rFonts w:cs="Arial"/>
          <w:lang w:val="sr-Latn-ME"/>
        </w:rPr>
        <w:t xml:space="preserve"> </w:t>
      </w:r>
      <w:r w:rsidR="005D3272" w:rsidRPr="008B3B89">
        <w:rPr>
          <w:rFonts w:cs="Arial"/>
          <w:lang w:val="sr-Latn-ME"/>
        </w:rPr>
        <w:t>Ant</w:t>
      </w:r>
      <w:r w:rsidR="001460B6" w:rsidRPr="008B3B89">
        <w:rPr>
          <w:rFonts w:cs="Arial"/>
          <w:lang w:val="sr-Latn-ME"/>
        </w:rPr>
        <w:t>i</w:t>
      </w:r>
      <w:r w:rsidR="005D3272" w:rsidRPr="008B3B89">
        <w:rPr>
          <w:rFonts w:cs="Arial"/>
          <w:lang w:val="sr-Latn-ME"/>
        </w:rPr>
        <w:t>helmintici</w:t>
      </w:r>
      <w:r w:rsidR="000D42C3" w:rsidRPr="008B3B89">
        <w:rPr>
          <w:rFonts w:cs="Arial"/>
          <w:lang w:val="sr-Latn-ME"/>
        </w:rPr>
        <w:t>,</w:t>
      </w:r>
      <w:r w:rsidR="00BE12BC" w:rsidRPr="008B3B89">
        <w:rPr>
          <w:rFonts w:cs="Arial"/>
          <w:lang w:val="sr-Latn-ME"/>
        </w:rPr>
        <w:t xml:space="preserve"> </w:t>
      </w:r>
      <w:r w:rsidR="000D42C3" w:rsidRPr="008B3B89">
        <w:rPr>
          <w:rFonts w:cs="Arial"/>
          <w:lang w:val="sr-Latn-ME"/>
        </w:rPr>
        <w:t>d</w:t>
      </w:r>
      <w:r w:rsidR="00BE12BC" w:rsidRPr="008B3B89">
        <w:rPr>
          <w:rFonts w:cs="Arial"/>
          <w:lang w:val="sr-Latn-ME"/>
        </w:rPr>
        <w:t>erivati benzimidazola</w:t>
      </w:r>
    </w:p>
    <w:p w14:paraId="2C8BB8EE" w14:textId="77777777" w:rsidR="008A2ADA" w:rsidRPr="008B3B89" w:rsidRDefault="008A2ADA" w:rsidP="00107322">
      <w:pPr>
        <w:rPr>
          <w:szCs w:val="22"/>
          <w:lang w:val="sr-Latn-ME"/>
        </w:rPr>
      </w:pPr>
    </w:p>
    <w:p w14:paraId="74AF5EAA" w14:textId="4ACF6467" w:rsidR="00057794" w:rsidRPr="008B3B89" w:rsidRDefault="00057794" w:rsidP="00107322">
      <w:pPr>
        <w:rPr>
          <w:szCs w:val="22"/>
          <w:lang w:val="sr-Latn-ME"/>
        </w:rPr>
      </w:pPr>
      <w:r w:rsidRPr="008B3B89">
        <w:rPr>
          <w:szCs w:val="22"/>
          <w:lang w:val="sr-Latn-ME"/>
        </w:rPr>
        <w:lastRenderedPageBreak/>
        <w:t xml:space="preserve">ATC </w:t>
      </w:r>
      <w:r w:rsidR="00EA370D" w:rsidRPr="008B3B89">
        <w:rPr>
          <w:szCs w:val="22"/>
          <w:lang w:val="sr-Latn-ME"/>
        </w:rPr>
        <w:t>kod</w:t>
      </w:r>
      <w:r w:rsidRPr="008B3B89">
        <w:rPr>
          <w:szCs w:val="22"/>
          <w:lang w:val="sr-Latn-ME"/>
        </w:rPr>
        <w:t>:</w:t>
      </w:r>
      <w:r w:rsidR="00BE12BC" w:rsidRPr="008B3B89">
        <w:rPr>
          <w:szCs w:val="22"/>
          <w:lang w:val="sr-Latn-ME"/>
        </w:rPr>
        <w:t xml:space="preserve"> </w:t>
      </w:r>
      <w:r w:rsidR="00471936" w:rsidRPr="008B3B89">
        <w:rPr>
          <w:szCs w:val="22"/>
          <w:lang w:val="sr-Latn-ME"/>
        </w:rPr>
        <w:t>P</w:t>
      </w:r>
      <w:r w:rsidR="000D42C3" w:rsidRPr="008B3B89">
        <w:rPr>
          <w:szCs w:val="22"/>
          <w:lang w:val="sr-Latn-ME"/>
        </w:rPr>
        <w:t>0</w:t>
      </w:r>
      <w:r w:rsidR="00471936" w:rsidRPr="008B3B89">
        <w:rPr>
          <w:szCs w:val="22"/>
          <w:lang w:val="sr-Latn-ME"/>
        </w:rPr>
        <w:t>2CA01</w:t>
      </w:r>
    </w:p>
    <w:p w14:paraId="114B952B" w14:textId="77777777" w:rsidR="00A01D11" w:rsidRPr="008B3B89" w:rsidRDefault="00A01D11" w:rsidP="00107322">
      <w:pPr>
        <w:rPr>
          <w:b/>
          <w:bCs/>
          <w:szCs w:val="22"/>
          <w:lang w:val="sr-Latn-ME"/>
        </w:rPr>
      </w:pPr>
    </w:p>
    <w:p w14:paraId="74AF5EAC" w14:textId="249C50F3" w:rsidR="00471936" w:rsidRPr="008B3B89" w:rsidRDefault="00471936" w:rsidP="00107322">
      <w:pPr>
        <w:pStyle w:val="Header"/>
        <w:tabs>
          <w:tab w:val="clear" w:pos="4536"/>
          <w:tab w:val="clear" w:pos="9072"/>
          <w:tab w:val="left" w:pos="284"/>
        </w:tabs>
        <w:rPr>
          <w:szCs w:val="22"/>
          <w:lang w:val="sr-Latn-ME"/>
        </w:rPr>
      </w:pPr>
      <w:r w:rsidRPr="008B3B89">
        <w:rPr>
          <w:i/>
          <w:iCs/>
          <w:szCs w:val="22"/>
          <w:lang w:val="sr-Latn-ME"/>
        </w:rPr>
        <w:t>In vitro</w:t>
      </w:r>
      <w:r w:rsidRPr="008B3B89">
        <w:rPr>
          <w:szCs w:val="22"/>
          <w:lang w:val="sr-Latn-ME"/>
        </w:rPr>
        <w:t xml:space="preserve"> i </w:t>
      </w:r>
      <w:r w:rsidRPr="008B3B89">
        <w:rPr>
          <w:i/>
          <w:iCs/>
          <w:szCs w:val="22"/>
          <w:lang w:val="sr-Latn-ME"/>
        </w:rPr>
        <w:t>in vivo</w:t>
      </w:r>
      <w:r w:rsidRPr="008B3B89">
        <w:rPr>
          <w:szCs w:val="22"/>
          <w:lang w:val="sr-Latn-ME"/>
        </w:rPr>
        <w:t xml:space="preserve"> </w:t>
      </w:r>
      <w:r w:rsidRPr="008B3B89">
        <w:rPr>
          <w:rFonts w:cs="Arial"/>
          <w:szCs w:val="22"/>
          <w:lang w:val="sr-Latn-ME"/>
        </w:rPr>
        <w:t>ispitivanja</w:t>
      </w:r>
      <w:r w:rsidRPr="008B3B89">
        <w:rPr>
          <w:szCs w:val="22"/>
          <w:lang w:val="sr-Latn-ME"/>
        </w:rPr>
        <w:t xml:space="preserve"> su pokazala da </w:t>
      </w:r>
      <w:r w:rsidRPr="008B3B89">
        <w:rPr>
          <w:rFonts w:cs="Arial"/>
          <w:szCs w:val="22"/>
          <w:lang w:val="sr-Latn-ME"/>
        </w:rPr>
        <w:t xml:space="preserve">mebendazol selektivno i ireverzibilno </w:t>
      </w:r>
      <w:r w:rsidR="005D3272" w:rsidRPr="008B3B89">
        <w:rPr>
          <w:rFonts w:cs="Arial"/>
          <w:szCs w:val="22"/>
          <w:lang w:val="sr-Latn-ME"/>
        </w:rPr>
        <w:t xml:space="preserve">inhibira </w:t>
      </w:r>
      <w:r w:rsidRPr="008B3B89">
        <w:rPr>
          <w:rFonts w:cs="Arial"/>
          <w:szCs w:val="22"/>
          <w:lang w:val="sr-Latn-ME"/>
        </w:rPr>
        <w:t xml:space="preserve">preuzimanje glukoze od strane odraslih crva i parazita u obliku larvi. </w:t>
      </w:r>
      <w:r w:rsidR="00617302" w:rsidRPr="008B3B89">
        <w:rPr>
          <w:szCs w:val="22"/>
          <w:lang w:val="sr-Latn-ME"/>
        </w:rPr>
        <w:t xml:space="preserve">Smatra se </w:t>
      </w:r>
      <w:r w:rsidRPr="008B3B89">
        <w:rPr>
          <w:szCs w:val="22"/>
          <w:lang w:val="sr-Latn-ME"/>
        </w:rPr>
        <w:t xml:space="preserve">da </w:t>
      </w:r>
      <w:r w:rsidR="00617302" w:rsidRPr="008B3B89">
        <w:rPr>
          <w:szCs w:val="22"/>
          <w:lang w:val="sr-Latn-ME"/>
        </w:rPr>
        <w:t xml:space="preserve">inhibicija </w:t>
      </w:r>
      <w:r w:rsidRPr="008B3B89">
        <w:rPr>
          <w:szCs w:val="22"/>
          <w:lang w:val="sr-Latn-ME"/>
        </w:rPr>
        <w:t>preuzimanja glukoze vodi endogenom smanjenju depoa glikogena kod parazita</w:t>
      </w:r>
      <w:r w:rsidR="00BE0639" w:rsidRPr="008B3B89">
        <w:rPr>
          <w:szCs w:val="22"/>
          <w:lang w:val="sr-Latn-ME"/>
        </w:rPr>
        <w:t>.</w:t>
      </w:r>
      <w:r w:rsidRPr="008B3B89">
        <w:rPr>
          <w:szCs w:val="22"/>
          <w:lang w:val="sr-Latn-ME"/>
        </w:rPr>
        <w:t xml:space="preserve"> </w:t>
      </w:r>
      <w:r w:rsidR="00BE0639" w:rsidRPr="008B3B89">
        <w:rPr>
          <w:szCs w:val="22"/>
          <w:lang w:val="sr-Latn-ME"/>
        </w:rPr>
        <w:t>N</w:t>
      </w:r>
      <w:r w:rsidRPr="008B3B89">
        <w:rPr>
          <w:szCs w:val="22"/>
          <w:lang w:val="sr-Latn-ME"/>
        </w:rPr>
        <w:t xml:space="preserve">edostatak glikogena </w:t>
      </w:r>
      <w:r w:rsidR="003D7176" w:rsidRPr="008B3B89">
        <w:rPr>
          <w:szCs w:val="22"/>
          <w:lang w:val="sr-Latn-ME"/>
        </w:rPr>
        <w:t>do</w:t>
      </w:r>
      <w:r w:rsidRPr="008B3B89">
        <w:rPr>
          <w:szCs w:val="22"/>
          <w:lang w:val="sr-Latn-ME"/>
        </w:rPr>
        <w:t xml:space="preserve">vodi </w:t>
      </w:r>
      <w:r w:rsidR="003D7176" w:rsidRPr="008B3B89">
        <w:rPr>
          <w:szCs w:val="22"/>
          <w:lang w:val="sr-Latn-ME"/>
        </w:rPr>
        <w:t xml:space="preserve">do </w:t>
      </w:r>
      <w:r w:rsidRPr="008B3B89">
        <w:rPr>
          <w:szCs w:val="22"/>
          <w:lang w:val="sr-Latn-ME"/>
        </w:rPr>
        <w:t>smanjenj</w:t>
      </w:r>
      <w:r w:rsidR="003D7176" w:rsidRPr="008B3B89">
        <w:rPr>
          <w:szCs w:val="22"/>
          <w:lang w:val="sr-Latn-ME"/>
        </w:rPr>
        <w:t xml:space="preserve">a </w:t>
      </w:r>
      <w:r w:rsidRPr="008B3B89">
        <w:rPr>
          <w:szCs w:val="22"/>
          <w:lang w:val="sr-Latn-ME"/>
        </w:rPr>
        <w:t xml:space="preserve">u </w:t>
      </w:r>
      <w:r w:rsidR="003D7176" w:rsidRPr="008B3B89">
        <w:rPr>
          <w:szCs w:val="22"/>
          <w:lang w:val="sr-Latn-ME"/>
        </w:rPr>
        <w:t xml:space="preserve">stvaranju </w:t>
      </w:r>
      <w:r w:rsidRPr="008B3B89">
        <w:rPr>
          <w:szCs w:val="22"/>
          <w:lang w:val="sr-Latn-ME"/>
        </w:rPr>
        <w:t>ATP-a i ultrastrukturalnim prom</w:t>
      </w:r>
      <w:r w:rsidR="00EA370D" w:rsidRPr="008B3B89">
        <w:rPr>
          <w:szCs w:val="22"/>
          <w:lang w:val="sr-Latn-ME"/>
        </w:rPr>
        <w:t>j</w:t>
      </w:r>
      <w:r w:rsidRPr="008B3B89">
        <w:rPr>
          <w:szCs w:val="22"/>
          <w:lang w:val="sr-Latn-ME"/>
        </w:rPr>
        <w:t>enama unutar ćelije.</w:t>
      </w:r>
    </w:p>
    <w:p w14:paraId="74AF5EAE" w14:textId="77777777" w:rsidR="00471936" w:rsidRPr="008B3B89" w:rsidRDefault="00471936" w:rsidP="00107322">
      <w:pPr>
        <w:pStyle w:val="Header"/>
        <w:tabs>
          <w:tab w:val="clear" w:pos="4536"/>
          <w:tab w:val="clear" w:pos="9072"/>
          <w:tab w:val="left" w:pos="284"/>
        </w:tabs>
        <w:rPr>
          <w:rFonts w:cs="Arial"/>
          <w:szCs w:val="22"/>
          <w:lang w:val="sr-Latn-ME"/>
        </w:rPr>
      </w:pPr>
      <w:r w:rsidRPr="008B3B89">
        <w:rPr>
          <w:rFonts w:cs="Arial"/>
          <w:szCs w:val="22"/>
          <w:lang w:val="sr-Latn-ME"/>
        </w:rPr>
        <w:t>Ne</w:t>
      </w:r>
      <w:r w:rsidR="003D7176" w:rsidRPr="008B3B89">
        <w:rPr>
          <w:rFonts w:cs="Arial"/>
          <w:szCs w:val="22"/>
          <w:lang w:val="sr-Latn-ME"/>
        </w:rPr>
        <w:t>ma</w:t>
      </w:r>
      <w:r w:rsidRPr="008B3B89">
        <w:rPr>
          <w:rFonts w:cs="Arial"/>
          <w:szCs w:val="22"/>
          <w:lang w:val="sr-Latn-ME"/>
        </w:rPr>
        <w:t xml:space="preserve"> dokaz</w:t>
      </w:r>
      <w:r w:rsidR="003D7176" w:rsidRPr="008B3B89">
        <w:rPr>
          <w:rFonts w:cs="Arial"/>
          <w:szCs w:val="22"/>
          <w:lang w:val="sr-Latn-ME"/>
        </w:rPr>
        <w:t>a</w:t>
      </w:r>
      <w:r w:rsidRPr="008B3B89">
        <w:rPr>
          <w:rFonts w:cs="Arial"/>
          <w:szCs w:val="22"/>
          <w:lang w:val="sr-Latn-ME"/>
        </w:rPr>
        <w:t xml:space="preserve"> da je mebendazol </w:t>
      </w:r>
      <w:r w:rsidR="003D7176" w:rsidRPr="008B3B89">
        <w:rPr>
          <w:rFonts w:cs="Arial"/>
          <w:szCs w:val="22"/>
          <w:lang w:val="sr-Latn-ME"/>
        </w:rPr>
        <w:t>efektivan</w:t>
      </w:r>
      <w:r w:rsidRPr="008B3B89">
        <w:rPr>
          <w:rFonts w:cs="Arial"/>
          <w:szCs w:val="22"/>
          <w:lang w:val="sr-Latn-ME"/>
        </w:rPr>
        <w:t xml:space="preserve"> u terapiji cisticerkoze.</w:t>
      </w:r>
    </w:p>
    <w:p w14:paraId="355B0264" w14:textId="77777777" w:rsidR="00627B84" w:rsidRPr="008B3B89" w:rsidRDefault="00627B84" w:rsidP="00107322">
      <w:pPr>
        <w:rPr>
          <w:b/>
          <w:bCs/>
          <w:szCs w:val="22"/>
          <w:lang w:val="sr-Latn-ME"/>
        </w:rPr>
      </w:pPr>
    </w:p>
    <w:p w14:paraId="74AF5EB0" w14:textId="7F1A772D" w:rsidR="00057794" w:rsidRPr="008B3B89" w:rsidRDefault="00057794" w:rsidP="00107322">
      <w:pPr>
        <w:rPr>
          <w:b/>
          <w:bCs/>
          <w:szCs w:val="22"/>
          <w:lang w:val="sr-Latn-ME"/>
        </w:rPr>
      </w:pPr>
      <w:r w:rsidRPr="008B3B89">
        <w:rPr>
          <w:b/>
          <w:bCs/>
          <w:szCs w:val="22"/>
          <w:lang w:val="sr-Latn-ME"/>
        </w:rPr>
        <w:t>5.2. Farmakokinetički podaci</w:t>
      </w:r>
    </w:p>
    <w:p w14:paraId="6271FAEC" w14:textId="77777777" w:rsidR="00627B84" w:rsidRPr="008B3B89" w:rsidRDefault="00627B84" w:rsidP="00107322">
      <w:pPr>
        <w:rPr>
          <w:bCs/>
          <w:i/>
          <w:szCs w:val="22"/>
          <w:lang w:val="sr-Latn-ME"/>
        </w:rPr>
      </w:pPr>
    </w:p>
    <w:p w14:paraId="74AF5EB2" w14:textId="2F015DA3" w:rsidR="00471936" w:rsidRPr="008B3B89" w:rsidRDefault="00B87BF6" w:rsidP="00107322">
      <w:pPr>
        <w:rPr>
          <w:bCs/>
          <w:i/>
          <w:szCs w:val="22"/>
          <w:lang w:val="sr-Latn-ME"/>
        </w:rPr>
      </w:pPr>
      <w:r w:rsidRPr="008B3B89">
        <w:rPr>
          <w:bCs/>
          <w:i/>
          <w:szCs w:val="22"/>
          <w:lang w:val="sr-Latn-ME"/>
        </w:rPr>
        <w:t>Resorpcija</w:t>
      </w:r>
    </w:p>
    <w:p w14:paraId="74AF5EB3" w14:textId="124DF644" w:rsidR="00B87BF6" w:rsidRPr="008B3B89" w:rsidRDefault="007D7B76" w:rsidP="00107322">
      <w:pPr>
        <w:rPr>
          <w:bCs/>
          <w:szCs w:val="22"/>
          <w:lang w:val="sr-Latn-ME"/>
        </w:rPr>
      </w:pPr>
      <w:r w:rsidRPr="008B3B89">
        <w:rPr>
          <w:bCs/>
          <w:szCs w:val="22"/>
          <w:lang w:val="sr-Latn-ME"/>
        </w:rPr>
        <w:t>Nakon oralne prim</w:t>
      </w:r>
      <w:r w:rsidR="00EA370D" w:rsidRPr="008B3B89">
        <w:rPr>
          <w:bCs/>
          <w:szCs w:val="22"/>
          <w:lang w:val="sr-Latn-ME"/>
        </w:rPr>
        <w:t>j</w:t>
      </w:r>
      <w:r w:rsidRPr="008B3B89">
        <w:rPr>
          <w:bCs/>
          <w:szCs w:val="22"/>
          <w:lang w:val="sr-Latn-ME"/>
        </w:rPr>
        <w:t>ene</w:t>
      </w:r>
      <w:r w:rsidR="003D7176" w:rsidRPr="008B3B89">
        <w:rPr>
          <w:bCs/>
          <w:szCs w:val="22"/>
          <w:lang w:val="sr-Latn-ME"/>
        </w:rPr>
        <w:t>,</w:t>
      </w:r>
      <w:r w:rsidR="00B87BF6" w:rsidRPr="008B3B89">
        <w:rPr>
          <w:bCs/>
          <w:szCs w:val="22"/>
          <w:lang w:val="sr-Latn-ME"/>
        </w:rPr>
        <w:t xml:space="preserve"> &lt; 10% doze </w:t>
      </w:r>
      <w:r w:rsidR="003D7176" w:rsidRPr="008B3B89">
        <w:rPr>
          <w:bCs/>
          <w:szCs w:val="22"/>
          <w:lang w:val="sr-Latn-ME"/>
        </w:rPr>
        <w:t>dosp</w:t>
      </w:r>
      <w:r w:rsidR="00A01D11" w:rsidRPr="008B3B89">
        <w:rPr>
          <w:bCs/>
          <w:szCs w:val="22"/>
          <w:lang w:val="sr-Latn-ME"/>
        </w:rPr>
        <w:t>i</w:t>
      </w:r>
      <w:r w:rsidR="00EA370D" w:rsidRPr="008B3B89">
        <w:rPr>
          <w:bCs/>
          <w:szCs w:val="22"/>
          <w:lang w:val="sr-Latn-ME"/>
        </w:rPr>
        <w:t>j</w:t>
      </w:r>
      <w:r w:rsidR="003D7176" w:rsidRPr="008B3B89">
        <w:rPr>
          <w:bCs/>
          <w:szCs w:val="22"/>
          <w:lang w:val="sr-Latn-ME"/>
        </w:rPr>
        <w:t>eva u</w:t>
      </w:r>
      <w:r w:rsidR="00B87BF6" w:rsidRPr="008B3B89">
        <w:rPr>
          <w:bCs/>
          <w:szCs w:val="22"/>
          <w:lang w:val="sr-Latn-ME"/>
        </w:rPr>
        <w:t xml:space="preserve"> sistemsku cirkulaciju, usl</w:t>
      </w:r>
      <w:r w:rsidR="00EA370D" w:rsidRPr="008B3B89">
        <w:rPr>
          <w:bCs/>
          <w:szCs w:val="22"/>
          <w:lang w:val="sr-Latn-ME"/>
        </w:rPr>
        <w:t>j</w:t>
      </w:r>
      <w:r w:rsidR="00B87BF6" w:rsidRPr="008B3B89">
        <w:rPr>
          <w:bCs/>
          <w:szCs w:val="22"/>
          <w:lang w:val="sr-Latn-ME"/>
        </w:rPr>
        <w:t>ed nepotpun</w:t>
      </w:r>
      <w:r w:rsidRPr="008B3B89">
        <w:rPr>
          <w:bCs/>
          <w:szCs w:val="22"/>
          <w:lang w:val="sr-Latn-ME"/>
        </w:rPr>
        <w:t>e resorpcije i ekstenzivnog pre</w:t>
      </w:r>
      <w:r w:rsidR="00B87BF6" w:rsidRPr="008B3B89">
        <w:rPr>
          <w:bCs/>
          <w:szCs w:val="22"/>
          <w:lang w:val="sr-Latn-ME"/>
        </w:rPr>
        <w:t xml:space="preserve">sistemskog metabolizma (efekat prvog prolaza). </w:t>
      </w:r>
      <w:r w:rsidR="00617302" w:rsidRPr="008B3B89">
        <w:rPr>
          <w:bCs/>
          <w:szCs w:val="22"/>
          <w:lang w:val="sr-Latn-ME"/>
        </w:rPr>
        <w:t>Većina oralno prim</w:t>
      </w:r>
      <w:r w:rsidR="00EA370D" w:rsidRPr="008B3B89">
        <w:rPr>
          <w:bCs/>
          <w:szCs w:val="22"/>
          <w:lang w:val="sr-Latn-ME"/>
        </w:rPr>
        <w:t>ij</w:t>
      </w:r>
      <w:r w:rsidR="00617302" w:rsidRPr="008B3B89">
        <w:rPr>
          <w:bCs/>
          <w:szCs w:val="22"/>
          <w:lang w:val="sr-Latn-ME"/>
        </w:rPr>
        <w:t xml:space="preserve">enjene doze ostaje u gastrointestinalnom traktu. </w:t>
      </w:r>
      <w:r w:rsidR="00B87BF6" w:rsidRPr="008B3B89">
        <w:rPr>
          <w:bCs/>
          <w:szCs w:val="22"/>
          <w:lang w:val="sr-Latn-ME"/>
        </w:rPr>
        <w:t xml:space="preserve">Maksimalna koncentracija u plazmi se </w:t>
      </w:r>
      <w:r w:rsidR="00F35B7F" w:rsidRPr="008B3B89">
        <w:rPr>
          <w:bCs/>
          <w:szCs w:val="22"/>
          <w:lang w:val="sr-Latn-ME"/>
        </w:rPr>
        <w:t xml:space="preserve">generalno </w:t>
      </w:r>
      <w:r w:rsidR="00B87BF6" w:rsidRPr="008B3B89">
        <w:rPr>
          <w:bCs/>
          <w:szCs w:val="22"/>
          <w:lang w:val="sr-Latn-ME"/>
        </w:rPr>
        <w:t xml:space="preserve">javlja 2 do 4 sata nakon </w:t>
      </w:r>
      <w:r w:rsidR="00116647" w:rsidRPr="008B3B89">
        <w:rPr>
          <w:bCs/>
          <w:szCs w:val="22"/>
          <w:lang w:val="sr-Latn-ME"/>
        </w:rPr>
        <w:t>prim</w:t>
      </w:r>
      <w:r w:rsidR="00EA370D" w:rsidRPr="008B3B89">
        <w:rPr>
          <w:bCs/>
          <w:szCs w:val="22"/>
          <w:lang w:val="sr-Latn-ME"/>
        </w:rPr>
        <w:t>j</w:t>
      </w:r>
      <w:r w:rsidR="00116647" w:rsidRPr="008B3B89">
        <w:rPr>
          <w:bCs/>
          <w:szCs w:val="22"/>
          <w:lang w:val="sr-Latn-ME"/>
        </w:rPr>
        <w:t xml:space="preserve">ene. </w:t>
      </w:r>
      <w:r w:rsidR="00617302" w:rsidRPr="008B3B89">
        <w:rPr>
          <w:bCs/>
          <w:szCs w:val="22"/>
          <w:lang w:val="sr-Latn-ME"/>
        </w:rPr>
        <w:t>Prim</w:t>
      </w:r>
      <w:r w:rsidR="00EA370D" w:rsidRPr="008B3B89">
        <w:rPr>
          <w:bCs/>
          <w:szCs w:val="22"/>
          <w:lang w:val="sr-Latn-ME"/>
        </w:rPr>
        <w:t>j</w:t>
      </w:r>
      <w:r w:rsidR="00617302" w:rsidRPr="008B3B89">
        <w:rPr>
          <w:bCs/>
          <w:szCs w:val="22"/>
          <w:lang w:val="sr-Latn-ME"/>
        </w:rPr>
        <w:t xml:space="preserve">ena </w:t>
      </w:r>
      <w:r w:rsidR="00641218" w:rsidRPr="008B3B89">
        <w:rPr>
          <w:bCs/>
          <w:szCs w:val="22"/>
          <w:lang w:val="sr-Latn-ME"/>
        </w:rPr>
        <w:t>uz visokomasne obroke</w:t>
      </w:r>
      <w:r w:rsidR="00116647" w:rsidRPr="008B3B89">
        <w:rPr>
          <w:bCs/>
          <w:szCs w:val="22"/>
          <w:lang w:val="sr-Latn-ME"/>
        </w:rPr>
        <w:t xml:space="preserve"> um</w:t>
      </w:r>
      <w:r w:rsidR="00EA370D" w:rsidRPr="008B3B89">
        <w:rPr>
          <w:bCs/>
          <w:szCs w:val="22"/>
          <w:lang w:val="sr-Latn-ME"/>
        </w:rPr>
        <w:t>j</w:t>
      </w:r>
      <w:r w:rsidR="00116647" w:rsidRPr="008B3B89">
        <w:rPr>
          <w:bCs/>
          <w:szCs w:val="22"/>
          <w:lang w:val="sr-Latn-ME"/>
        </w:rPr>
        <w:t>ereno poveća</w:t>
      </w:r>
      <w:r w:rsidR="00617302" w:rsidRPr="008B3B89">
        <w:rPr>
          <w:bCs/>
          <w:szCs w:val="22"/>
          <w:lang w:val="sr-Latn-ME"/>
        </w:rPr>
        <w:t>va</w:t>
      </w:r>
      <w:r w:rsidR="00116647" w:rsidRPr="008B3B89">
        <w:rPr>
          <w:bCs/>
          <w:szCs w:val="22"/>
          <w:lang w:val="sr-Latn-ME"/>
        </w:rPr>
        <w:t xml:space="preserve"> bioraspoloživost mebendazola</w:t>
      </w:r>
      <w:r w:rsidR="00617302" w:rsidRPr="008B3B89">
        <w:rPr>
          <w:bCs/>
          <w:szCs w:val="22"/>
          <w:lang w:val="sr-Latn-ME"/>
        </w:rPr>
        <w:t>, ali se ne očekuje značajan efekat hrane na količinu l</w:t>
      </w:r>
      <w:r w:rsidR="00EA370D" w:rsidRPr="008B3B89">
        <w:rPr>
          <w:bCs/>
          <w:szCs w:val="22"/>
          <w:lang w:val="sr-Latn-ME"/>
        </w:rPr>
        <w:t>ij</w:t>
      </w:r>
      <w:r w:rsidR="00617302" w:rsidRPr="008B3B89">
        <w:rPr>
          <w:bCs/>
          <w:szCs w:val="22"/>
          <w:lang w:val="sr-Latn-ME"/>
        </w:rPr>
        <w:t xml:space="preserve">eka koja </w:t>
      </w:r>
      <w:r w:rsidR="000D592F" w:rsidRPr="008B3B89">
        <w:rPr>
          <w:bCs/>
          <w:szCs w:val="22"/>
          <w:lang w:val="sr-Latn-ME"/>
        </w:rPr>
        <w:t>se zadržava u gastrointestinalnom traktu.</w:t>
      </w:r>
    </w:p>
    <w:p w14:paraId="6C359163" w14:textId="77777777" w:rsidR="00EC5295" w:rsidRPr="008B3B89" w:rsidRDefault="00EC5295" w:rsidP="00107322">
      <w:pPr>
        <w:rPr>
          <w:bCs/>
          <w:i/>
          <w:szCs w:val="22"/>
          <w:lang w:val="sr-Latn-ME"/>
        </w:rPr>
      </w:pPr>
    </w:p>
    <w:p w14:paraId="74AF5EB5" w14:textId="37A5BC4C" w:rsidR="00116647" w:rsidRPr="008B3B89" w:rsidRDefault="00116647" w:rsidP="00107322">
      <w:pPr>
        <w:rPr>
          <w:bCs/>
          <w:i/>
          <w:szCs w:val="22"/>
          <w:lang w:val="sr-Latn-ME"/>
        </w:rPr>
      </w:pPr>
      <w:r w:rsidRPr="008B3B89">
        <w:rPr>
          <w:bCs/>
          <w:i/>
          <w:szCs w:val="22"/>
          <w:lang w:val="sr-Latn-ME"/>
        </w:rPr>
        <w:t xml:space="preserve">Distribucija </w:t>
      </w:r>
    </w:p>
    <w:p w14:paraId="74AF5EB6" w14:textId="4FA1EA8D" w:rsidR="00116647" w:rsidRPr="008B3B89" w:rsidRDefault="00151D14" w:rsidP="00107322">
      <w:pPr>
        <w:rPr>
          <w:bCs/>
          <w:szCs w:val="22"/>
          <w:lang w:val="sr-Latn-ME"/>
        </w:rPr>
      </w:pPr>
      <w:r w:rsidRPr="008B3B89">
        <w:rPr>
          <w:bCs/>
          <w:szCs w:val="22"/>
          <w:lang w:val="sr-Latn-ME"/>
        </w:rPr>
        <w:t>Vezivanje mebendazola za proteine plazme iznosi od 90% do 95%. Volumen distribucije je 1 do 2 </w:t>
      </w:r>
      <w:r w:rsidR="00EA370D" w:rsidRPr="008B3B89">
        <w:rPr>
          <w:bCs/>
          <w:szCs w:val="22"/>
          <w:lang w:val="sr-Latn-ME"/>
        </w:rPr>
        <w:t>l</w:t>
      </w:r>
      <w:r w:rsidRPr="008B3B89">
        <w:rPr>
          <w:bCs/>
          <w:szCs w:val="22"/>
          <w:lang w:val="sr-Latn-ME"/>
        </w:rPr>
        <w:t xml:space="preserve">/kg, </w:t>
      </w:r>
      <w:r w:rsidR="003C3471" w:rsidRPr="008B3B89">
        <w:rPr>
          <w:bCs/>
          <w:szCs w:val="22"/>
          <w:lang w:val="sr-Latn-ME"/>
        </w:rPr>
        <w:t xml:space="preserve">što ukazuje na to da mebendazol prodire u područja van </w:t>
      </w:r>
      <w:r w:rsidR="00C20127" w:rsidRPr="008B3B89">
        <w:rPr>
          <w:bCs/>
          <w:szCs w:val="22"/>
          <w:lang w:val="sr-Latn-ME"/>
        </w:rPr>
        <w:t>krvotoka</w:t>
      </w:r>
      <w:r w:rsidR="003C3471" w:rsidRPr="008B3B89">
        <w:rPr>
          <w:bCs/>
          <w:szCs w:val="22"/>
          <w:lang w:val="sr-Latn-ME"/>
        </w:rPr>
        <w:t xml:space="preserve">. </w:t>
      </w:r>
      <w:r w:rsidR="00A454D7" w:rsidRPr="008B3B89">
        <w:rPr>
          <w:bCs/>
          <w:szCs w:val="22"/>
          <w:lang w:val="sr-Latn-ME"/>
        </w:rPr>
        <w:t xml:space="preserve">Ovo je podržano podacima kod pacijenata na hroničnoj terapiji mebendazolom </w:t>
      </w:r>
      <w:r w:rsidR="007D7B76" w:rsidRPr="008B3B89">
        <w:rPr>
          <w:bCs/>
          <w:szCs w:val="22"/>
          <w:lang w:val="sr-Latn-ME"/>
        </w:rPr>
        <w:t>(npr.</w:t>
      </w:r>
      <w:r w:rsidR="00A454D7" w:rsidRPr="008B3B89">
        <w:rPr>
          <w:bCs/>
          <w:szCs w:val="22"/>
          <w:lang w:val="sr-Latn-ME"/>
        </w:rPr>
        <w:t xml:space="preserve"> 40 mg/kg/dan</w:t>
      </w:r>
      <w:r w:rsidR="00F35B7F" w:rsidRPr="008B3B89">
        <w:rPr>
          <w:bCs/>
          <w:szCs w:val="22"/>
          <w:lang w:val="sr-Latn-ME"/>
        </w:rPr>
        <w:t>, tokom</w:t>
      </w:r>
      <w:r w:rsidR="00A454D7" w:rsidRPr="008B3B89">
        <w:rPr>
          <w:bCs/>
          <w:szCs w:val="22"/>
          <w:lang w:val="sr-Latn-ME"/>
        </w:rPr>
        <w:t xml:space="preserve"> 3 do 21 m</w:t>
      </w:r>
      <w:r w:rsidR="00EA370D" w:rsidRPr="008B3B89">
        <w:rPr>
          <w:bCs/>
          <w:szCs w:val="22"/>
          <w:lang w:val="sr-Latn-ME"/>
        </w:rPr>
        <w:t>j</w:t>
      </w:r>
      <w:r w:rsidR="00A454D7" w:rsidRPr="008B3B89">
        <w:rPr>
          <w:bCs/>
          <w:szCs w:val="22"/>
          <w:lang w:val="sr-Latn-ME"/>
        </w:rPr>
        <w:t>esec</w:t>
      </w:r>
      <w:r w:rsidR="00F35B7F" w:rsidRPr="008B3B89">
        <w:rPr>
          <w:bCs/>
          <w:szCs w:val="22"/>
          <w:lang w:val="sr-Latn-ME"/>
        </w:rPr>
        <w:t>i</w:t>
      </w:r>
      <w:r w:rsidR="00A454D7" w:rsidRPr="008B3B89">
        <w:rPr>
          <w:bCs/>
          <w:szCs w:val="22"/>
          <w:lang w:val="sr-Latn-ME"/>
        </w:rPr>
        <w:t>)</w:t>
      </w:r>
      <w:r w:rsidR="00F35B7F" w:rsidRPr="008B3B89">
        <w:rPr>
          <w:bCs/>
          <w:szCs w:val="22"/>
          <w:lang w:val="sr-Latn-ME"/>
        </w:rPr>
        <w:t>,</w:t>
      </w:r>
      <w:r w:rsidR="00A454D7" w:rsidRPr="008B3B89">
        <w:rPr>
          <w:bCs/>
          <w:szCs w:val="22"/>
          <w:lang w:val="sr-Latn-ME"/>
        </w:rPr>
        <w:t xml:space="preserve"> što pokazuj</w:t>
      </w:r>
      <w:r w:rsidR="00F35B7F" w:rsidRPr="008B3B89">
        <w:rPr>
          <w:bCs/>
          <w:szCs w:val="22"/>
          <w:lang w:val="sr-Latn-ME"/>
        </w:rPr>
        <w:t>u</w:t>
      </w:r>
      <w:r w:rsidR="00A454D7" w:rsidRPr="008B3B89">
        <w:rPr>
          <w:bCs/>
          <w:szCs w:val="22"/>
          <w:lang w:val="sr-Latn-ME"/>
        </w:rPr>
        <w:t xml:space="preserve"> </w:t>
      </w:r>
      <w:r w:rsidR="00F35B7F" w:rsidRPr="008B3B89">
        <w:rPr>
          <w:bCs/>
          <w:szCs w:val="22"/>
          <w:lang w:val="sr-Latn-ME"/>
        </w:rPr>
        <w:t>koncentracije</w:t>
      </w:r>
      <w:r w:rsidR="00A454D7" w:rsidRPr="008B3B89">
        <w:rPr>
          <w:bCs/>
          <w:szCs w:val="22"/>
          <w:lang w:val="sr-Latn-ME"/>
        </w:rPr>
        <w:t xml:space="preserve"> </w:t>
      </w:r>
      <w:r w:rsidR="00F35B7F" w:rsidRPr="008B3B89">
        <w:rPr>
          <w:bCs/>
          <w:szCs w:val="22"/>
          <w:lang w:val="sr-Latn-ME"/>
        </w:rPr>
        <w:t>mebendazola</w:t>
      </w:r>
      <w:r w:rsidR="00A454D7" w:rsidRPr="008B3B89">
        <w:rPr>
          <w:bCs/>
          <w:szCs w:val="22"/>
          <w:lang w:val="sr-Latn-ME"/>
        </w:rPr>
        <w:t xml:space="preserve"> u tkivu. </w:t>
      </w:r>
    </w:p>
    <w:p w14:paraId="11B0120B" w14:textId="77777777" w:rsidR="00A01D11" w:rsidRPr="008B3B89" w:rsidRDefault="00A01D11" w:rsidP="00107322">
      <w:pPr>
        <w:rPr>
          <w:bCs/>
          <w:szCs w:val="22"/>
          <w:lang w:val="sr-Latn-ME"/>
        </w:rPr>
      </w:pPr>
    </w:p>
    <w:p w14:paraId="74AF5EB8" w14:textId="77777777" w:rsidR="003421BB" w:rsidRPr="008B3B89" w:rsidRDefault="003421BB" w:rsidP="00107322">
      <w:pPr>
        <w:rPr>
          <w:bCs/>
          <w:i/>
          <w:szCs w:val="22"/>
          <w:lang w:val="sr-Latn-ME"/>
        </w:rPr>
      </w:pPr>
      <w:r w:rsidRPr="008B3B89">
        <w:rPr>
          <w:bCs/>
          <w:i/>
          <w:szCs w:val="22"/>
          <w:lang w:val="sr-Latn-ME"/>
        </w:rPr>
        <w:t>Metabolizam</w:t>
      </w:r>
    </w:p>
    <w:p w14:paraId="74AF5EB9" w14:textId="09E648FA" w:rsidR="003421BB" w:rsidRPr="008B3B89" w:rsidRDefault="003421BB" w:rsidP="00107322">
      <w:pPr>
        <w:rPr>
          <w:bCs/>
          <w:szCs w:val="22"/>
          <w:lang w:val="sr-Latn-ME"/>
        </w:rPr>
      </w:pPr>
      <w:r w:rsidRPr="008B3B89">
        <w:rPr>
          <w:bCs/>
          <w:szCs w:val="22"/>
          <w:lang w:val="sr-Latn-ME"/>
        </w:rPr>
        <w:t>Oralno prim</w:t>
      </w:r>
      <w:r w:rsidR="00EA370D" w:rsidRPr="008B3B89">
        <w:rPr>
          <w:bCs/>
          <w:szCs w:val="22"/>
          <w:lang w:val="sr-Latn-ME"/>
        </w:rPr>
        <w:t>ij</w:t>
      </w:r>
      <w:r w:rsidRPr="008B3B89">
        <w:rPr>
          <w:bCs/>
          <w:szCs w:val="22"/>
          <w:lang w:val="sr-Latn-ME"/>
        </w:rPr>
        <w:t xml:space="preserve">enjen mebendazol se </w:t>
      </w:r>
      <w:r w:rsidR="00F35B7F" w:rsidRPr="008B3B89">
        <w:rPr>
          <w:bCs/>
          <w:szCs w:val="22"/>
          <w:lang w:val="sr-Latn-ME"/>
        </w:rPr>
        <w:t>u velikoj m</w:t>
      </w:r>
      <w:r w:rsidR="00EA370D" w:rsidRPr="008B3B89">
        <w:rPr>
          <w:bCs/>
          <w:szCs w:val="22"/>
          <w:lang w:val="sr-Latn-ME"/>
        </w:rPr>
        <w:t>j</w:t>
      </w:r>
      <w:r w:rsidR="00F35B7F" w:rsidRPr="008B3B89">
        <w:rPr>
          <w:bCs/>
          <w:szCs w:val="22"/>
          <w:lang w:val="sr-Latn-ME"/>
        </w:rPr>
        <w:t>eri</w:t>
      </w:r>
      <w:r w:rsidRPr="008B3B89">
        <w:rPr>
          <w:bCs/>
          <w:szCs w:val="22"/>
          <w:lang w:val="sr-Latn-ME"/>
        </w:rPr>
        <w:t xml:space="preserve"> metaboliše</w:t>
      </w:r>
      <w:r w:rsidR="00F35B7F" w:rsidRPr="008B3B89">
        <w:rPr>
          <w:bCs/>
          <w:szCs w:val="22"/>
          <w:lang w:val="sr-Latn-ME"/>
        </w:rPr>
        <w:t>,</w:t>
      </w:r>
      <w:r w:rsidRPr="008B3B89">
        <w:rPr>
          <w:bCs/>
          <w:szCs w:val="22"/>
          <w:lang w:val="sr-Latn-ME"/>
        </w:rPr>
        <w:t xml:space="preserve"> uglavnom u jetri. Koncentracij</w:t>
      </w:r>
      <w:r w:rsidR="00F35B7F" w:rsidRPr="008B3B89">
        <w:rPr>
          <w:bCs/>
          <w:szCs w:val="22"/>
          <w:lang w:val="sr-Latn-ME"/>
        </w:rPr>
        <w:t>e</w:t>
      </w:r>
      <w:r w:rsidRPr="008B3B89">
        <w:rPr>
          <w:bCs/>
          <w:szCs w:val="22"/>
          <w:lang w:val="sr-Latn-ME"/>
        </w:rPr>
        <w:t xml:space="preserve"> njegovih glavnih metabolita (hidroksilovanih </w:t>
      </w:r>
      <w:r w:rsidR="0096684E" w:rsidRPr="008B3B89">
        <w:rPr>
          <w:bCs/>
          <w:szCs w:val="22"/>
          <w:lang w:val="sr-Latn-ME"/>
        </w:rPr>
        <w:t xml:space="preserve">i redukovanih </w:t>
      </w:r>
      <w:r w:rsidR="00F35B7F" w:rsidRPr="008B3B89">
        <w:rPr>
          <w:bCs/>
          <w:szCs w:val="22"/>
          <w:lang w:val="sr-Latn-ME"/>
        </w:rPr>
        <w:t>oblika</w:t>
      </w:r>
      <w:r w:rsidRPr="008B3B89">
        <w:rPr>
          <w:bCs/>
          <w:szCs w:val="22"/>
          <w:lang w:val="sr-Latn-ME"/>
        </w:rPr>
        <w:t xml:space="preserve"> mebendazola)</w:t>
      </w:r>
      <w:r w:rsidR="00FC3625" w:rsidRPr="008B3B89">
        <w:rPr>
          <w:bCs/>
          <w:szCs w:val="22"/>
          <w:lang w:val="sr-Latn-ME"/>
        </w:rPr>
        <w:t xml:space="preserve"> </w:t>
      </w:r>
      <w:r w:rsidR="00E63AFD" w:rsidRPr="008B3B89">
        <w:rPr>
          <w:bCs/>
          <w:szCs w:val="22"/>
          <w:lang w:val="sr-Latn-ME"/>
        </w:rPr>
        <w:t>u plazmi</w:t>
      </w:r>
      <w:r w:rsidRPr="008B3B89">
        <w:rPr>
          <w:bCs/>
          <w:szCs w:val="22"/>
          <w:lang w:val="sr-Latn-ME"/>
        </w:rPr>
        <w:t xml:space="preserve"> </w:t>
      </w:r>
      <w:r w:rsidR="00E63AFD" w:rsidRPr="008B3B89">
        <w:rPr>
          <w:bCs/>
          <w:szCs w:val="22"/>
          <w:lang w:val="sr-Latn-ME"/>
        </w:rPr>
        <w:t xml:space="preserve">su značajno </w:t>
      </w:r>
      <w:r w:rsidR="00F35B7F" w:rsidRPr="008B3B89">
        <w:rPr>
          <w:bCs/>
          <w:szCs w:val="22"/>
          <w:lang w:val="sr-Latn-ME"/>
        </w:rPr>
        <w:t>veće</w:t>
      </w:r>
      <w:r w:rsidR="00E63AFD" w:rsidRPr="008B3B89">
        <w:rPr>
          <w:bCs/>
          <w:szCs w:val="22"/>
          <w:lang w:val="sr-Latn-ME"/>
        </w:rPr>
        <w:t xml:space="preserve"> u odnosu na mebendazol.</w:t>
      </w:r>
      <w:r w:rsidR="008A3DF0" w:rsidRPr="008B3B89">
        <w:rPr>
          <w:bCs/>
          <w:szCs w:val="22"/>
          <w:lang w:val="sr-Latn-ME"/>
        </w:rPr>
        <w:t xml:space="preserve"> Poremećaj funkcije jetre, poremećaj metabolizma ili poremećaj eliminacije putem žuči mogu dovesti do povećanja </w:t>
      </w:r>
      <w:r w:rsidR="00F35B7F" w:rsidRPr="008B3B89">
        <w:rPr>
          <w:bCs/>
          <w:szCs w:val="22"/>
          <w:lang w:val="sr-Latn-ME"/>
        </w:rPr>
        <w:t>koncentracije</w:t>
      </w:r>
      <w:r w:rsidR="008A3DF0" w:rsidRPr="008B3B89">
        <w:rPr>
          <w:bCs/>
          <w:szCs w:val="22"/>
          <w:lang w:val="sr-Latn-ME"/>
        </w:rPr>
        <w:t xml:space="preserve"> mebendazola u plazmi. </w:t>
      </w:r>
    </w:p>
    <w:p w14:paraId="628A4209" w14:textId="77777777" w:rsidR="00A01D11" w:rsidRPr="008B3B89" w:rsidRDefault="00A01D11" w:rsidP="00107322">
      <w:pPr>
        <w:rPr>
          <w:bCs/>
          <w:szCs w:val="22"/>
          <w:lang w:val="sr-Latn-ME"/>
        </w:rPr>
      </w:pPr>
    </w:p>
    <w:p w14:paraId="74AF5EBB" w14:textId="77777777" w:rsidR="00E63AFD" w:rsidRPr="008B3B89" w:rsidRDefault="00E63AFD" w:rsidP="00107322">
      <w:pPr>
        <w:rPr>
          <w:bCs/>
          <w:i/>
          <w:szCs w:val="22"/>
          <w:lang w:val="sr-Latn-ME"/>
        </w:rPr>
      </w:pPr>
      <w:r w:rsidRPr="008B3B89">
        <w:rPr>
          <w:bCs/>
          <w:i/>
          <w:szCs w:val="22"/>
          <w:lang w:val="sr-Latn-ME"/>
        </w:rPr>
        <w:t>Eliminacija</w:t>
      </w:r>
    </w:p>
    <w:p w14:paraId="74AF5EBC" w14:textId="763997C5" w:rsidR="00E63AFD" w:rsidRPr="008B3B89" w:rsidRDefault="00E63AFD" w:rsidP="00107322">
      <w:pPr>
        <w:rPr>
          <w:bCs/>
          <w:szCs w:val="22"/>
          <w:lang w:val="sr-Latn-ME"/>
        </w:rPr>
      </w:pPr>
      <w:r w:rsidRPr="008B3B89">
        <w:rPr>
          <w:bCs/>
          <w:szCs w:val="22"/>
          <w:lang w:val="sr-Latn-ME"/>
        </w:rPr>
        <w:t>Mebendazol, konjugovan</w:t>
      </w:r>
      <w:r w:rsidR="00F35B7F" w:rsidRPr="008B3B89">
        <w:rPr>
          <w:bCs/>
          <w:szCs w:val="22"/>
          <w:lang w:val="sr-Latn-ME"/>
        </w:rPr>
        <w:t>i</w:t>
      </w:r>
      <w:r w:rsidRPr="008B3B89">
        <w:rPr>
          <w:bCs/>
          <w:szCs w:val="22"/>
          <w:lang w:val="sr-Latn-ME"/>
        </w:rPr>
        <w:t xml:space="preserve"> </w:t>
      </w:r>
      <w:r w:rsidR="00F35B7F" w:rsidRPr="008B3B89">
        <w:rPr>
          <w:bCs/>
          <w:szCs w:val="22"/>
          <w:lang w:val="sr-Latn-ME"/>
        </w:rPr>
        <w:t>oblici</w:t>
      </w:r>
      <w:r w:rsidRPr="008B3B89">
        <w:rPr>
          <w:bCs/>
          <w:szCs w:val="22"/>
          <w:lang w:val="sr-Latn-ME"/>
        </w:rPr>
        <w:t xml:space="preserve"> mebendazola i njegovi metaboliti </w:t>
      </w:r>
      <w:r w:rsidR="003E60B0" w:rsidRPr="008B3B89">
        <w:rPr>
          <w:bCs/>
          <w:szCs w:val="22"/>
          <w:lang w:val="sr-Latn-ME"/>
        </w:rPr>
        <w:t>najv</w:t>
      </w:r>
      <w:r w:rsidR="00EA370D" w:rsidRPr="008B3B89">
        <w:rPr>
          <w:bCs/>
          <w:szCs w:val="22"/>
          <w:lang w:val="sr-Latn-ME"/>
        </w:rPr>
        <w:t>j</w:t>
      </w:r>
      <w:r w:rsidR="003E60B0" w:rsidRPr="008B3B89">
        <w:rPr>
          <w:bCs/>
          <w:szCs w:val="22"/>
          <w:lang w:val="sr-Latn-ME"/>
        </w:rPr>
        <w:t>erovatnije podl</w:t>
      </w:r>
      <w:r w:rsidR="00A01D11" w:rsidRPr="008B3B89">
        <w:rPr>
          <w:bCs/>
          <w:szCs w:val="22"/>
          <w:lang w:val="sr-Latn-ME"/>
        </w:rPr>
        <w:t>i</w:t>
      </w:r>
      <w:r w:rsidR="00EA370D" w:rsidRPr="008B3B89">
        <w:rPr>
          <w:bCs/>
          <w:szCs w:val="22"/>
          <w:lang w:val="sr-Latn-ME"/>
        </w:rPr>
        <w:t>j</w:t>
      </w:r>
      <w:r w:rsidR="003E60B0" w:rsidRPr="008B3B89">
        <w:rPr>
          <w:bCs/>
          <w:szCs w:val="22"/>
          <w:lang w:val="sr-Latn-ME"/>
        </w:rPr>
        <w:t xml:space="preserve">ežu nekom stepenu enterohepatičke recirkulacije i izlučuju </w:t>
      </w:r>
      <w:r w:rsidR="00F35B7F" w:rsidRPr="008B3B89">
        <w:rPr>
          <w:bCs/>
          <w:szCs w:val="22"/>
          <w:lang w:val="sr-Latn-ME"/>
        </w:rPr>
        <w:t xml:space="preserve">se putem </w:t>
      </w:r>
      <w:r w:rsidR="003E60B0" w:rsidRPr="008B3B89">
        <w:rPr>
          <w:bCs/>
          <w:szCs w:val="22"/>
          <w:lang w:val="sr-Latn-ME"/>
        </w:rPr>
        <w:t>urin</w:t>
      </w:r>
      <w:r w:rsidR="00F35B7F" w:rsidRPr="008B3B89">
        <w:rPr>
          <w:bCs/>
          <w:szCs w:val="22"/>
          <w:lang w:val="sr-Latn-ME"/>
        </w:rPr>
        <w:t>a</w:t>
      </w:r>
      <w:r w:rsidR="003E60B0" w:rsidRPr="008B3B89">
        <w:rPr>
          <w:bCs/>
          <w:szCs w:val="22"/>
          <w:lang w:val="sr-Latn-ME"/>
        </w:rPr>
        <w:t xml:space="preserve"> i žuči. </w:t>
      </w:r>
      <w:r w:rsidR="00656785" w:rsidRPr="008B3B89">
        <w:rPr>
          <w:bCs/>
          <w:szCs w:val="22"/>
          <w:lang w:val="sr-Latn-ME"/>
        </w:rPr>
        <w:t>Kod većine pacijenata</w:t>
      </w:r>
      <w:r w:rsidR="00F35B7F" w:rsidRPr="008B3B89">
        <w:rPr>
          <w:bCs/>
          <w:szCs w:val="22"/>
          <w:lang w:val="sr-Latn-ME"/>
        </w:rPr>
        <w:t>,</w:t>
      </w:r>
      <w:r w:rsidR="00656785" w:rsidRPr="008B3B89">
        <w:rPr>
          <w:bCs/>
          <w:szCs w:val="22"/>
          <w:lang w:val="sr-Latn-ME"/>
        </w:rPr>
        <w:t xml:space="preserve"> </w:t>
      </w:r>
      <w:r w:rsidR="00F35B7F" w:rsidRPr="008B3B89">
        <w:rPr>
          <w:bCs/>
          <w:szCs w:val="22"/>
          <w:lang w:val="sr-Latn-ME"/>
        </w:rPr>
        <w:t xml:space="preserve">prividno </w:t>
      </w:r>
      <w:r w:rsidR="00656785" w:rsidRPr="008B3B89">
        <w:rPr>
          <w:bCs/>
          <w:szCs w:val="22"/>
          <w:lang w:val="sr-Latn-ME"/>
        </w:rPr>
        <w:t>poluvr</w:t>
      </w:r>
      <w:r w:rsidR="00EA370D" w:rsidRPr="008B3B89">
        <w:rPr>
          <w:bCs/>
          <w:szCs w:val="22"/>
          <w:lang w:val="sr-Latn-ME"/>
        </w:rPr>
        <w:t>ij</w:t>
      </w:r>
      <w:r w:rsidR="00656785" w:rsidRPr="008B3B89">
        <w:rPr>
          <w:bCs/>
          <w:szCs w:val="22"/>
          <w:lang w:val="sr-Latn-ME"/>
        </w:rPr>
        <w:t xml:space="preserve">eme eliminacije </w:t>
      </w:r>
      <w:r w:rsidR="00F27D07" w:rsidRPr="008B3B89">
        <w:rPr>
          <w:bCs/>
          <w:szCs w:val="22"/>
          <w:lang w:val="sr-Latn-ME"/>
        </w:rPr>
        <w:t xml:space="preserve">mebendazola </w:t>
      </w:r>
      <w:r w:rsidR="00656785" w:rsidRPr="008B3B89">
        <w:rPr>
          <w:bCs/>
          <w:szCs w:val="22"/>
          <w:lang w:val="sr-Latn-ME"/>
        </w:rPr>
        <w:t xml:space="preserve">nakon oralne </w:t>
      </w:r>
      <w:r w:rsidR="00F27D07" w:rsidRPr="008B3B89">
        <w:rPr>
          <w:bCs/>
          <w:szCs w:val="22"/>
          <w:lang w:val="sr-Latn-ME"/>
        </w:rPr>
        <w:t>prim</w:t>
      </w:r>
      <w:r w:rsidR="00EA370D" w:rsidRPr="008B3B89">
        <w:rPr>
          <w:bCs/>
          <w:szCs w:val="22"/>
          <w:lang w:val="sr-Latn-ME"/>
        </w:rPr>
        <w:t>j</w:t>
      </w:r>
      <w:r w:rsidR="00F27D07" w:rsidRPr="008B3B89">
        <w:rPr>
          <w:bCs/>
          <w:szCs w:val="22"/>
          <w:lang w:val="sr-Latn-ME"/>
        </w:rPr>
        <w:t xml:space="preserve">ene </w:t>
      </w:r>
      <w:r w:rsidR="00656785" w:rsidRPr="008B3B89">
        <w:rPr>
          <w:bCs/>
          <w:szCs w:val="22"/>
          <w:lang w:val="sr-Latn-ME"/>
        </w:rPr>
        <w:t xml:space="preserve">iznosi od 3 do 6 sati. </w:t>
      </w:r>
    </w:p>
    <w:p w14:paraId="38BEDB3E" w14:textId="77777777" w:rsidR="00A01D11" w:rsidRPr="008B3B89" w:rsidRDefault="00A01D11" w:rsidP="00107322">
      <w:pPr>
        <w:rPr>
          <w:bCs/>
          <w:szCs w:val="22"/>
          <w:lang w:val="sr-Latn-ME"/>
        </w:rPr>
      </w:pPr>
    </w:p>
    <w:p w14:paraId="74AF5EBE" w14:textId="77777777" w:rsidR="00560A26" w:rsidRPr="008B3B89" w:rsidRDefault="00560A26" w:rsidP="00107322">
      <w:pPr>
        <w:rPr>
          <w:bCs/>
          <w:i/>
          <w:szCs w:val="22"/>
          <w:lang w:val="sr-Latn-ME"/>
        </w:rPr>
      </w:pPr>
      <w:r w:rsidRPr="008B3B89">
        <w:rPr>
          <w:bCs/>
          <w:i/>
          <w:szCs w:val="22"/>
          <w:lang w:val="sr-Latn-ME"/>
        </w:rPr>
        <w:t xml:space="preserve">Farmakokinetika u </w:t>
      </w:r>
      <w:r w:rsidR="007F233D" w:rsidRPr="008B3B89">
        <w:rPr>
          <w:bCs/>
          <w:i/>
          <w:szCs w:val="22"/>
          <w:lang w:val="sr-Latn-ME"/>
        </w:rPr>
        <w:t xml:space="preserve">stanju </w:t>
      </w:r>
      <w:r w:rsidRPr="008B3B89">
        <w:rPr>
          <w:bCs/>
          <w:i/>
          <w:szCs w:val="22"/>
          <w:lang w:val="sr-Latn-ME"/>
        </w:rPr>
        <w:t>ravnotež</w:t>
      </w:r>
      <w:r w:rsidR="007F233D" w:rsidRPr="008B3B89">
        <w:rPr>
          <w:bCs/>
          <w:i/>
          <w:szCs w:val="22"/>
          <w:lang w:val="sr-Latn-ME"/>
        </w:rPr>
        <w:t>e</w:t>
      </w:r>
      <w:r w:rsidRPr="008B3B89">
        <w:rPr>
          <w:bCs/>
          <w:i/>
          <w:szCs w:val="22"/>
          <w:lang w:val="sr-Latn-ME"/>
        </w:rPr>
        <w:t xml:space="preserve"> </w:t>
      </w:r>
    </w:p>
    <w:p w14:paraId="0D24641D" w14:textId="77777777" w:rsidR="00A01D11" w:rsidRPr="008B3B89" w:rsidRDefault="00560A26" w:rsidP="00107322">
      <w:pPr>
        <w:rPr>
          <w:bCs/>
          <w:szCs w:val="22"/>
          <w:lang w:val="sr-Latn-ME"/>
        </w:rPr>
      </w:pPr>
      <w:r w:rsidRPr="008B3B89">
        <w:rPr>
          <w:bCs/>
          <w:szCs w:val="22"/>
          <w:lang w:val="sr-Latn-ME"/>
        </w:rPr>
        <w:t>Za vr</w:t>
      </w:r>
      <w:r w:rsidR="00EA370D" w:rsidRPr="008B3B89">
        <w:rPr>
          <w:bCs/>
          <w:szCs w:val="22"/>
          <w:lang w:val="sr-Latn-ME"/>
        </w:rPr>
        <w:t>ij</w:t>
      </w:r>
      <w:r w:rsidRPr="008B3B89">
        <w:rPr>
          <w:bCs/>
          <w:szCs w:val="22"/>
          <w:lang w:val="sr-Latn-ME"/>
        </w:rPr>
        <w:t>eme hroničnog</w:t>
      </w:r>
      <w:r w:rsidR="007D7B76" w:rsidRPr="008B3B89">
        <w:rPr>
          <w:bCs/>
          <w:szCs w:val="22"/>
          <w:lang w:val="sr-Latn-ME"/>
        </w:rPr>
        <w:t xml:space="preserve"> doziranja (npr.</w:t>
      </w:r>
      <w:r w:rsidR="00364DD3" w:rsidRPr="008B3B89">
        <w:rPr>
          <w:bCs/>
          <w:szCs w:val="22"/>
          <w:lang w:val="sr-Latn-ME"/>
        </w:rPr>
        <w:t xml:space="preserve"> 40 mg/kg/dan</w:t>
      </w:r>
      <w:r w:rsidR="007D1AD7" w:rsidRPr="008B3B89">
        <w:rPr>
          <w:bCs/>
          <w:szCs w:val="22"/>
          <w:lang w:val="sr-Latn-ME"/>
        </w:rPr>
        <w:t>, tokom</w:t>
      </w:r>
      <w:r w:rsidR="00364DD3" w:rsidRPr="008B3B89">
        <w:rPr>
          <w:bCs/>
          <w:szCs w:val="22"/>
          <w:lang w:val="sr-Latn-ME"/>
        </w:rPr>
        <w:t xml:space="preserve"> 3 do 21 m</w:t>
      </w:r>
      <w:r w:rsidR="00EA370D" w:rsidRPr="008B3B89">
        <w:rPr>
          <w:bCs/>
          <w:szCs w:val="22"/>
          <w:lang w:val="sr-Latn-ME"/>
        </w:rPr>
        <w:t>j</w:t>
      </w:r>
      <w:r w:rsidR="00364DD3" w:rsidRPr="008B3B89">
        <w:rPr>
          <w:bCs/>
          <w:szCs w:val="22"/>
          <w:lang w:val="sr-Latn-ME"/>
        </w:rPr>
        <w:t>esec</w:t>
      </w:r>
      <w:r w:rsidR="007D1AD7" w:rsidRPr="008B3B89">
        <w:rPr>
          <w:bCs/>
          <w:szCs w:val="22"/>
          <w:lang w:val="sr-Latn-ME"/>
        </w:rPr>
        <w:t>i</w:t>
      </w:r>
      <w:r w:rsidR="00364DD3" w:rsidRPr="008B3B89">
        <w:rPr>
          <w:bCs/>
          <w:szCs w:val="22"/>
          <w:lang w:val="sr-Latn-ME"/>
        </w:rPr>
        <w:t>), koncentracij</w:t>
      </w:r>
      <w:r w:rsidR="00F27D07" w:rsidRPr="008B3B89">
        <w:rPr>
          <w:bCs/>
          <w:szCs w:val="22"/>
          <w:lang w:val="sr-Latn-ME"/>
        </w:rPr>
        <w:t>e</w:t>
      </w:r>
      <w:r w:rsidR="00364DD3" w:rsidRPr="008B3B89">
        <w:rPr>
          <w:bCs/>
          <w:szCs w:val="22"/>
          <w:lang w:val="sr-Latn-ME"/>
        </w:rPr>
        <w:t xml:space="preserve"> mebendazola i njegovih </w:t>
      </w:r>
      <w:r w:rsidR="00FC3625" w:rsidRPr="008B3B89">
        <w:rPr>
          <w:bCs/>
          <w:szCs w:val="22"/>
          <w:lang w:val="sr-Latn-ME"/>
        </w:rPr>
        <w:t xml:space="preserve">glavnih metabolita </w:t>
      </w:r>
      <w:r w:rsidR="008A3DF0" w:rsidRPr="008B3B89">
        <w:rPr>
          <w:bCs/>
          <w:szCs w:val="22"/>
          <w:lang w:val="sr-Latn-ME"/>
        </w:rPr>
        <w:t xml:space="preserve">u plazmi </w:t>
      </w:r>
      <w:r w:rsidR="00FC3625" w:rsidRPr="008B3B89">
        <w:rPr>
          <w:bCs/>
          <w:szCs w:val="22"/>
          <w:lang w:val="sr-Latn-ME"/>
        </w:rPr>
        <w:t>se povećava</w:t>
      </w:r>
      <w:r w:rsidR="00F27D07" w:rsidRPr="008B3B89">
        <w:rPr>
          <w:bCs/>
          <w:szCs w:val="22"/>
          <w:lang w:val="sr-Latn-ME"/>
        </w:rPr>
        <w:t>ju</w:t>
      </w:r>
      <w:r w:rsidR="00364DD3" w:rsidRPr="008B3B89">
        <w:rPr>
          <w:bCs/>
          <w:szCs w:val="22"/>
          <w:lang w:val="sr-Latn-ME"/>
        </w:rPr>
        <w:t>, rezultirajući približno 3 puta većo</w:t>
      </w:r>
      <w:r w:rsidR="00DE6BF1" w:rsidRPr="008B3B89">
        <w:rPr>
          <w:bCs/>
          <w:szCs w:val="22"/>
          <w:lang w:val="sr-Latn-ME"/>
        </w:rPr>
        <w:t>m</w:t>
      </w:r>
      <w:r w:rsidR="00364DD3" w:rsidRPr="008B3B89">
        <w:rPr>
          <w:bCs/>
          <w:szCs w:val="22"/>
          <w:lang w:val="sr-Latn-ME"/>
        </w:rPr>
        <w:t xml:space="preserve"> izloženo</w:t>
      </w:r>
      <w:r w:rsidR="00DE6BF1" w:rsidRPr="008B3B89">
        <w:rPr>
          <w:bCs/>
          <w:szCs w:val="22"/>
          <w:lang w:val="sr-Latn-ME"/>
        </w:rPr>
        <w:t>šću</w:t>
      </w:r>
      <w:r w:rsidR="00FB19DD" w:rsidRPr="008B3B89">
        <w:rPr>
          <w:bCs/>
          <w:szCs w:val="22"/>
          <w:lang w:val="sr-Latn-ME"/>
        </w:rPr>
        <w:t xml:space="preserve"> u </w:t>
      </w:r>
      <w:r w:rsidR="007D1AD7" w:rsidRPr="008B3B89">
        <w:rPr>
          <w:bCs/>
          <w:szCs w:val="22"/>
          <w:lang w:val="sr-Latn-ME"/>
        </w:rPr>
        <w:t xml:space="preserve">stanju </w:t>
      </w:r>
      <w:r w:rsidR="00FB19DD" w:rsidRPr="008B3B89">
        <w:rPr>
          <w:bCs/>
          <w:szCs w:val="22"/>
          <w:lang w:val="sr-Latn-ME"/>
        </w:rPr>
        <w:t>ravnotež</w:t>
      </w:r>
      <w:r w:rsidR="007D1AD7" w:rsidRPr="008B3B89">
        <w:rPr>
          <w:bCs/>
          <w:szCs w:val="22"/>
          <w:lang w:val="sr-Latn-ME"/>
        </w:rPr>
        <w:t>e</w:t>
      </w:r>
      <w:r w:rsidR="00FB19DD" w:rsidRPr="008B3B89">
        <w:rPr>
          <w:bCs/>
          <w:szCs w:val="22"/>
          <w:lang w:val="sr-Latn-ME"/>
        </w:rPr>
        <w:t xml:space="preserve"> u poređenju sa pojedinačnom dozom.</w:t>
      </w:r>
    </w:p>
    <w:p w14:paraId="74AF5EBF" w14:textId="31C27C39" w:rsidR="00FB19DD" w:rsidRPr="008B3B89" w:rsidRDefault="00FB19DD" w:rsidP="00107322">
      <w:pPr>
        <w:rPr>
          <w:bCs/>
          <w:szCs w:val="22"/>
          <w:lang w:val="sr-Latn-ME"/>
        </w:rPr>
      </w:pPr>
      <w:r w:rsidRPr="008B3B89">
        <w:rPr>
          <w:bCs/>
          <w:szCs w:val="22"/>
          <w:lang w:val="sr-Latn-ME"/>
        </w:rPr>
        <w:t xml:space="preserve"> </w:t>
      </w:r>
    </w:p>
    <w:p w14:paraId="4EDF7B90" w14:textId="5D713D4B" w:rsidR="00F27D07" w:rsidRPr="008B3B89" w:rsidRDefault="00F27D07" w:rsidP="00107322">
      <w:pPr>
        <w:rPr>
          <w:bCs/>
          <w:i/>
          <w:iCs/>
          <w:szCs w:val="22"/>
          <w:lang w:val="sr-Latn-ME"/>
        </w:rPr>
      </w:pPr>
      <w:r w:rsidRPr="008B3B89">
        <w:rPr>
          <w:bCs/>
          <w:i/>
          <w:iCs/>
          <w:szCs w:val="22"/>
          <w:lang w:val="sr-Latn-ME"/>
        </w:rPr>
        <w:t>Pedijatrijska populacija</w:t>
      </w:r>
    </w:p>
    <w:p w14:paraId="51268D95" w14:textId="3DDF8C49" w:rsidR="003C0CD8" w:rsidRPr="008B3B89" w:rsidRDefault="003C0CD8" w:rsidP="00107322">
      <w:pPr>
        <w:rPr>
          <w:bCs/>
          <w:szCs w:val="22"/>
          <w:lang w:val="sr-Latn-ME"/>
        </w:rPr>
      </w:pPr>
      <w:r w:rsidRPr="008B3B89">
        <w:rPr>
          <w:bCs/>
          <w:szCs w:val="22"/>
          <w:lang w:val="sr-Latn-ME"/>
        </w:rPr>
        <w:t>Podaci o koncentracijama mebendazola u plazmi kod d</w:t>
      </w:r>
      <w:r w:rsidR="00EA370D" w:rsidRPr="008B3B89">
        <w:rPr>
          <w:bCs/>
          <w:szCs w:val="22"/>
          <w:lang w:val="sr-Latn-ME"/>
        </w:rPr>
        <w:t>j</w:t>
      </w:r>
      <w:r w:rsidRPr="008B3B89">
        <w:rPr>
          <w:bCs/>
          <w:szCs w:val="22"/>
          <w:lang w:val="sr-Latn-ME"/>
        </w:rPr>
        <w:t xml:space="preserve">ece i adolescenata </w:t>
      </w:r>
      <w:r w:rsidR="0045381D" w:rsidRPr="008B3B89">
        <w:rPr>
          <w:bCs/>
          <w:szCs w:val="22"/>
          <w:lang w:val="sr-Latn-ME"/>
        </w:rPr>
        <w:t>uzrasta</w:t>
      </w:r>
      <w:r w:rsidRPr="008B3B89">
        <w:rPr>
          <w:bCs/>
          <w:szCs w:val="22"/>
          <w:lang w:val="sr-Latn-ME"/>
        </w:rPr>
        <w:t xml:space="preserve"> 1 do 16 godina su ograničeni. Ovi podaci ne ukazuju na značajno veću sistemsku izloženost mebendazolu pacijenata uzrasta 3 do 16 godina u poređenju sa odraslim pacijentima.</w:t>
      </w:r>
      <w:r w:rsidR="00603603" w:rsidRPr="008B3B89">
        <w:rPr>
          <w:bCs/>
          <w:szCs w:val="22"/>
          <w:lang w:val="sr-Latn-ME"/>
        </w:rPr>
        <w:t xml:space="preserve"> </w:t>
      </w:r>
      <w:r w:rsidRPr="008B3B89">
        <w:rPr>
          <w:bCs/>
          <w:szCs w:val="22"/>
          <w:lang w:val="sr-Latn-ME"/>
        </w:rPr>
        <w:t xml:space="preserve">Kod pacijenata </w:t>
      </w:r>
      <w:r w:rsidR="0045381D" w:rsidRPr="008B3B89">
        <w:rPr>
          <w:bCs/>
          <w:szCs w:val="22"/>
          <w:lang w:val="sr-Latn-ME"/>
        </w:rPr>
        <w:t>uzrasta</w:t>
      </w:r>
      <w:r w:rsidRPr="008B3B89">
        <w:rPr>
          <w:bCs/>
          <w:szCs w:val="22"/>
          <w:lang w:val="sr-Latn-ME"/>
        </w:rPr>
        <w:t xml:space="preserve"> 1 do &lt; 3 godine, sistemska izloženost je veća nego kod odraslih, usl</w:t>
      </w:r>
      <w:r w:rsidR="00EA370D" w:rsidRPr="008B3B89">
        <w:rPr>
          <w:bCs/>
          <w:szCs w:val="22"/>
          <w:lang w:val="sr-Latn-ME"/>
        </w:rPr>
        <w:t>j</w:t>
      </w:r>
      <w:r w:rsidRPr="008B3B89">
        <w:rPr>
          <w:bCs/>
          <w:szCs w:val="22"/>
          <w:lang w:val="sr-Latn-ME"/>
        </w:rPr>
        <w:t>ed veće doze (mg/kg) u odnosu na odrasle pacijente.</w:t>
      </w:r>
    </w:p>
    <w:p w14:paraId="3B046DC4" w14:textId="77777777" w:rsidR="00627B84" w:rsidRPr="008B3B89" w:rsidRDefault="00627B84" w:rsidP="00107322">
      <w:pPr>
        <w:rPr>
          <w:b/>
          <w:bCs/>
          <w:szCs w:val="22"/>
          <w:lang w:val="sr-Latn-ME"/>
        </w:rPr>
      </w:pPr>
    </w:p>
    <w:p w14:paraId="74AF5EC2" w14:textId="2A0C7580" w:rsidR="00057794" w:rsidRPr="008B3B89" w:rsidRDefault="00057794" w:rsidP="00107322">
      <w:pPr>
        <w:rPr>
          <w:b/>
          <w:bCs/>
          <w:szCs w:val="22"/>
          <w:lang w:val="sr-Latn-ME"/>
        </w:rPr>
      </w:pPr>
      <w:r w:rsidRPr="008B3B89">
        <w:rPr>
          <w:b/>
          <w:bCs/>
          <w:szCs w:val="22"/>
          <w:lang w:val="sr-Latn-ME"/>
        </w:rPr>
        <w:t>5.3. Pretklinički podaci o bezb</w:t>
      </w:r>
      <w:r w:rsidR="00EA370D" w:rsidRPr="008B3B89">
        <w:rPr>
          <w:b/>
          <w:bCs/>
          <w:szCs w:val="22"/>
          <w:lang w:val="sr-Latn-ME"/>
        </w:rPr>
        <w:t>j</w:t>
      </w:r>
      <w:r w:rsidRPr="008B3B89">
        <w:rPr>
          <w:b/>
          <w:bCs/>
          <w:szCs w:val="22"/>
          <w:lang w:val="sr-Latn-ME"/>
        </w:rPr>
        <w:t xml:space="preserve">ednosti </w:t>
      </w:r>
    </w:p>
    <w:p w14:paraId="365C5688" w14:textId="77777777" w:rsidR="00627B84" w:rsidRPr="008B3B89" w:rsidRDefault="00627B84" w:rsidP="00107322">
      <w:pPr>
        <w:rPr>
          <w:rFonts w:cs="Arial"/>
          <w:lang w:val="sr-Latn-ME"/>
        </w:rPr>
      </w:pPr>
    </w:p>
    <w:p w14:paraId="74AF5EC4" w14:textId="50350FCF" w:rsidR="00057794" w:rsidRPr="008B3B89" w:rsidRDefault="00803EF1" w:rsidP="00107322">
      <w:pPr>
        <w:rPr>
          <w:rFonts w:cs="Arial"/>
          <w:lang w:val="sr-Latn-ME"/>
        </w:rPr>
      </w:pPr>
      <w:r w:rsidRPr="008B3B89">
        <w:rPr>
          <w:rFonts w:cs="Arial"/>
          <w:lang w:val="sr-Latn-ME"/>
        </w:rPr>
        <w:t>U studijama reproduktivne toksičnosti sprovedenim na životinjama, neželjeni efekti na razvoj (npr. malformacije skeleta, mekih tkiva, smanjena težina mladunaca, embrioletalitet) su zab</w:t>
      </w:r>
      <w:r w:rsidR="00EA370D" w:rsidRPr="008B3B89">
        <w:rPr>
          <w:rFonts w:cs="Arial"/>
          <w:lang w:val="sr-Latn-ME"/>
        </w:rPr>
        <w:t>i</w:t>
      </w:r>
      <w:r w:rsidRPr="008B3B89">
        <w:rPr>
          <w:rFonts w:cs="Arial"/>
          <w:lang w:val="sr-Latn-ME"/>
        </w:rPr>
        <w:t>l</w:t>
      </w:r>
      <w:r w:rsidR="00EA370D" w:rsidRPr="008B3B89">
        <w:rPr>
          <w:rFonts w:cs="Arial"/>
          <w:lang w:val="sr-Latn-ME"/>
        </w:rPr>
        <w:t>j</w:t>
      </w:r>
      <w:r w:rsidRPr="008B3B89">
        <w:rPr>
          <w:rFonts w:cs="Arial"/>
          <w:lang w:val="sr-Latn-ME"/>
        </w:rPr>
        <w:t>eženi prilikom prim</w:t>
      </w:r>
      <w:r w:rsidR="00EA370D" w:rsidRPr="008B3B89">
        <w:rPr>
          <w:rFonts w:cs="Arial"/>
          <w:lang w:val="sr-Latn-ME"/>
        </w:rPr>
        <w:t>j</w:t>
      </w:r>
      <w:r w:rsidRPr="008B3B89">
        <w:rPr>
          <w:rFonts w:cs="Arial"/>
          <w:lang w:val="sr-Latn-ME"/>
        </w:rPr>
        <w:t xml:space="preserve">ene mebendazola gravidnim miševima i pacovima tokom perioda organogeneze ili u vidu pojedinačne oralne doze od 10 mg/kg kod pacova (približno 0,2 puta maksimalne preporučene doze kod ljudi (engl. </w:t>
      </w:r>
      <w:r w:rsidRPr="008B3B89">
        <w:rPr>
          <w:rFonts w:cs="Arial"/>
          <w:i/>
          <w:iCs/>
          <w:lang w:val="sr-Latn-ME"/>
        </w:rPr>
        <w:t>maximum recommended human dose</w:t>
      </w:r>
      <w:r w:rsidRPr="008B3B89">
        <w:rPr>
          <w:rFonts w:cs="Arial"/>
          <w:lang w:val="sr-Latn-ME"/>
        </w:rPr>
        <w:t>, MRHD)). Pri najvećoj od ovih doza je uočena toksičnost po majku. Prim</w:t>
      </w:r>
      <w:r w:rsidR="00EA370D" w:rsidRPr="008B3B89">
        <w:rPr>
          <w:rFonts w:cs="Arial"/>
          <w:lang w:val="sr-Latn-ME"/>
        </w:rPr>
        <w:t>j</w:t>
      </w:r>
      <w:r w:rsidRPr="008B3B89">
        <w:rPr>
          <w:rFonts w:cs="Arial"/>
          <w:lang w:val="sr-Latn-ME"/>
        </w:rPr>
        <w:t>ena l</w:t>
      </w:r>
      <w:r w:rsidR="00EA370D" w:rsidRPr="008B3B89">
        <w:rPr>
          <w:rFonts w:cs="Arial"/>
          <w:lang w:val="sr-Latn-ME"/>
        </w:rPr>
        <w:t>ij</w:t>
      </w:r>
      <w:r w:rsidRPr="008B3B89">
        <w:rPr>
          <w:rFonts w:cs="Arial"/>
          <w:lang w:val="sr-Latn-ME"/>
        </w:rPr>
        <w:t xml:space="preserve">eka hrčcima i kunićima nije rezultirala embriotoksičnošću niti teratogenošću. Kod pacova, doze do </w:t>
      </w:r>
      <w:r w:rsidRPr="008B3B89">
        <w:rPr>
          <w:rFonts w:cs="Arial"/>
          <w:lang w:val="sr-Latn-ME"/>
        </w:rPr>
        <w:lastRenderedPageBreak/>
        <w:t>40 mg/kg (0,8 puta MRHD, zasnovano na mg/m</w:t>
      </w:r>
      <w:r w:rsidRPr="008B3B89">
        <w:rPr>
          <w:rFonts w:cs="Arial"/>
          <w:vertAlign w:val="superscript"/>
          <w:lang w:val="sr-Latn-ME"/>
        </w:rPr>
        <w:t>2</w:t>
      </w:r>
      <w:r w:rsidRPr="008B3B89">
        <w:rPr>
          <w:rFonts w:cs="Arial"/>
          <w:lang w:val="sr-Latn-ME"/>
        </w:rPr>
        <w:t>), prim</w:t>
      </w:r>
      <w:r w:rsidR="00EA370D" w:rsidRPr="008B3B89">
        <w:rPr>
          <w:rFonts w:cs="Arial"/>
          <w:lang w:val="sr-Latn-ME"/>
        </w:rPr>
        <w:t>ij</w:t>
      </w:r>
      <w:r w:rsidRPr="008B3B89">
        <w:rPr>
          <w:rFonts w:cs="Arial"/>
          <w:lang w:val="sr-Latn-ME"/>
        </w:rPr>
        <w:t>enjena mužjacima tokom 60 dana i ženkama tokom 14 dana pr</w:t>
      </w:r>
      <w:r w:rsidR="00EA370D" w:rsidRPr="008B3B89">
        <w:rPr>
          <w:rFonts w:cs="Arial"/>
          <w:lang w:val="sr-Latn-ME"/>
        </w:rPr>
        <w:t>ij</w:t>
      </w:r>
      <w:r w:rsidRPr="008B3B89">
        <w:rPr>
          <w:rFonts w:cs="Arial"/>
          <w:lang w:val="sr-Latn-ME"/>
        </w:rPr>
        <w:t>e gestacije, ni</w:t>
      </w:r>
      <w:r w:rsidR="003D3747" w:rsidRPr="008B3B89">
        <w:rPr>
          <w:rFonts w:cs="Arial"/>
          <w:lang w:val="sr-Latn-ME"/>
        </w:rPr>
        <w:t>je</w:t>
      </w:r>
      <w:r w:rsidRPr="008B3B89">
        <w:rPr>
          <w:rFonts w:cs="Arial"/>
          <w:lang w:val="sr-Latn-ME"/>
        </w:rPr>
        <w:t>su ispoljile efekat na fetus niti potomstvo.</w:t>
      </w:r>
    </w:p>
    <w:p w14:paraId="34CC9B04" w14:textId="0863491E" w:rsidR="00B4121D" w:rsidRPr="008B3B89" w:rsidRDefault="00803EF1" w:rsidP="00107322">
      <w:pPr>
        <w:rPr>
          <w:rFonts w:cs="Arial"/>
          <w:lang w:val="sr-Latn-ME"/>
        </w:rPr>
      </w:pPr>
      <w:r w:rsidRPr="008B3B89">
        <w:rPr>
          <w:rFonts w:cs="Arial"/>
          <w:lang w:val="sr-Latn-ME"/>
        </w:rPr>
        <w:t>U bakterijskim testovima reverzne mutacije, nije zab</w:t>
      </w:r>
      <w:r w:rsidR="00EA370D" w:rsidRPr="008B3B89">
        <w:rPr>
          <w:rFonts w:cs="Arial"/>
          <w:lang w:val="sr-Latn-ME"/>
        </w:rPr>
        <w:t>i</w:t>
      </w:r>
      <w:r w:rsidRPr="008B3B89">
        <w:rPr>
          <w:rFonts w:cs="Arial"/>
          <w:lang w:val="sr-Latn-ME"/>
        </w:rPr>
        <w:t>l</w:t>
      </w:r>
      <w:r w:rsidR="00EA370D" w:rsidRPr="008B3B89">
        <w:rPr>
          <w:rFonts w:cs="Arial"/>
          <w:lang w:val="sr-Latn-ME"/>
        </w:rPr>
        <w:t>j</w:t>
      </w:r>
      <w:r w:rsidRPr="008B3B89">
        <w:rPr>
          <w:rFonts w:cs="Arial"/>
          <w:lang w:val="sr-Latn-ME"/>
        </w:rPr>
        <w:t xml:space="preserve">eženo mutageno dejstvo mebendazola. Mebendazol je pokazao mutagenost </w:t>
      </w:r>
      <w:r w:rsidR="00A03913" w:rsidRPr="008B3B89">
        <w:rPr>
          <w:rFonts w:cs="Arial"/>
          <w:lang w:val="sr-Latn-ME"/>
        </w:rPr>
        <w:t>u modelu</w:t>
      </w:r>
      <w:r w:rsidRPr="008B3B89">
        <w:rPr>
          <w:rFonts w:cs="Arial"/>
          <w:lang w:val="sr-Latn-ME"/>
        </w:rPr>
        <w:t xml:space="preserve"> timidin kinaze mišjeg limfoma</w:t>
      </w:r>
      <w:r w:rsidR="00A03913" w:rsidRPr="008B3B89">
        <w:rPr>
          <w:rFonts w:cs="Arial"/>
          <w:lang w:val="sr-Latn-ME"/>
        </w:rPr>
        <w:t xml:space="preserve"> i</w:t>
      </w:r>
      <w:r w:rsidRPr="008B3B89">
        <w:rPr>
          <w:rFonts w:cs="Arial"/>
          <w:lang w:val="sr-Latn-ME"/>
        </w:rPr>
        <w:t xml:space="preserve"> </w:t>
      </w:r>
      <w:r w:rsidR="00A03913" w:rsidRPr="008B3B89">
        <w:rPr>
          <w:rFonts w:cs="Arial"/>
          <w:lang w:val="sr-Latn-ME"/>
        </w:rPr>
        <w:t xml:space="preserve">aneugenost u somatskim ćelijama sisara </w:t>
      </w:r>
      <w:r w:rsidR="00A03913" w:rsidRPr="008B3B89">
        <w:rPr>
          <w:rFonts w:cs="Arial"/>
          <w:i/>
          <w:iCs/>
          <w:lang w:val="sr-Latn-ME"/>
        </w:rPr>
        <w:t>in vitro.</w:t>
      </w:r>
      <w:r w:rsidR="00A03913" w:rsidRPr="008B3B89">
        <w:rPr>
          <w:rFonts w:cs="Arial"/>
          <w:lang w:val="sr-Latn-ME"/>
        </w:rPr>
        <w:t xml:space="preserve"> U </w:t>
      </w:r>
      <w:r w:rsidR="00A03913" w:rsidRPr="008B3B89">
        <w:rPr>
          <w:rFonts w:cs="Arial"/>
          <w:i/>
          <w:iCs/>
          <w:lang w:val="sr-Latn-ME"/>
        </w:rPr>
        <w:t>in vivo</w:t>
      </w:r>
      <w:r w:rsidR="00A03913" w:rsidRPr="008B3B89">
        <w:rPr>
          <w:rFonts w:cs="Arial"/>
          <w:lang w:val="sr-Latn-ME"/>
        </w:rPr>
        <w:t xml:space="preserve"> mikronukleus testu na miševima, </w:t>
      </w:r>
      <w:r w:rsidR="00B4121D" w:rsidRPr="008B3B89">
        <w:rPr>
          <w:rFonts w:cs="Arial"/>
          <w:lang w:val="sr-Latn-ME"/>
        </w:rPr>
        <w:t>oralno prim</w:t>
      </w:r>
      <w:r w:rsidR="00EA370D" w:rsidRPr="008B3B89">
        <w:rPr>
          <w:rFonts w:cs="Arial"/>
          <w:lang w:val="sr-Latn-ME"/>
        </w:rPr>
        <w:t>ij</w:t>
      </w:r>
      <w:r w:rsidR="00B4121D" w:rsidRPr="008B3B89">
        <w:rPr>
          <w:rFonts w:cs="Arial"/>
          <w:lang w:val="sr-Latn-ME"/>
        </w:rPr>
        <w:t>enjen mebendazol je povećao učestalost mikronukleiranih polihromatskih eritrocita, što ukazuje na aneugenost.</w:t>
      </w:r>
    </w:p>
    <w:p w14:paraId="0ED637C4" w14:textId="77777777" w:rsidR="008A2ADA" w:rsidRPr="008B3B89" w:rsidRDefault="00B4121D" w:rsidP="00E14B3B">
      <w:pPr>
        <w:rPr>
          <w:rFonts w:cs="Arial"/>
          <w:i/>
          <w:iCs/>
          <w:lang w:val="sr-Latn-ME"/>
        </w:rPr>
      </w:pPr>
      <w:r w:rsidRPr="008B3B89">
        <w:rPr>
          <w:rFonts w:cs="Arial"/>
          <w:lang w:val="sr-Latn-ME"/>
        </w:rPr>
        <w:t xml:space="preserve">Mebendazol nije </w:t>
      </w:r>
      <w:r w:rsidR="00E24064" w:rsidRPr="008B3B89">
        <w:rPr>
          <w:rFonts w:cs="Arial"/>
          <w:lang w:val="sr-Latn-ME"/>
        </w:rPr>
        <w:t>pokazao k</w:t>
      </w:r>
      <w:r w:rsidRPr="008B3B89">
        <w:rPr>
          <w:rFonts w:cs="Arial"/>
          <w:lang w:val="sr-Latn-ME"/>
        </w:rPr>
        <w:t>arcinogen</w:t>
      </w:r>
      <w:r w:rsidR="00E24064" w:rsidRPr="008B3B89">
        <w:rPr>
          <w:rFonts w:cs="Arial"/>
          <w:lang w:val="sr-Latn-ME"/>
        </w:rPr>
        <w:t>ost</w:t>
      </w:r>
      <w:r w:rsidRPr="008B3B89">
        <w:rPr>
          <w:rFonts w:cs="Arial"/>
          <w:lang w:val="sr-Latn-ME"/>
        </w:rPr>
        <w:t xml:space="preserve"> u dozama do 40 mg/kg/dan prilikom svakodnevne prim</w:t>
      </w:r>
      <w:r w:rsidR="00EA370D" w:rsidRPr="008B3B89">
        <w:rPr>
          <w:rFonts w:cs="Arial"/>
          <w:lang w:val="sr-Latn-ME"/>
        </w:rPr>
        <w:t>j</w:t>
      </w:r>
      <w:r w:rsidRPr="008B3B89">
        <w:rPr>
          <w:rFonts w:cs="Arial"/>
          <w:lang w:val="sr-Latn-ME"/>
        </w:rPr>
        <w:t>ene uz hranu tokom više od 2 godine kod miševa i pacova u okviru testova karcinogenosti (0,4 do 0,8 puta MRHD, zasnovano na mg/m</w:t>
      </w:r>
      <w:r w:rsidRPr="008B3B89">
        <w:rPr>
          <w:rFonts w:cs="Arial"/>
          <w:vertAlign w:val="superscript"/>
          <w:lang w:val="sr-Latn-ME"/>
        </w:rPr>
        <w:t>2</w:t>
      </w:r>
      <w:r w:rsidRPr="008B3B89">
        <w:rPr>
          <w:rFonts w:cs="Arial"/>
          <w:lang w:val="sr-Latn-ME"/>
        </w:rPr>
        <w:t>).</w:t>
      </w:r>
      <w:r w:rsidR="00A03913" w:rsidRPr="008B3B89">
        <w:rPr>
          <w:rFonts w:cs="Arial"/>
          <w:i/>
          <w:iCs/>
          <w:lang w:val="sr-Latn-ME"/>
        </w:rPr>
        <w:t xml:space="preserve"> </w:t>
      </w:r>
    </w:p>
    <w:p w14:paraId="4B3DA6E9" w14:textId="77777777" w:rsidR="008A2ADA" w:rsidRPr="008B3B89" w:rsidRDefault="008A2ADA" w:rsidP="00E14B3B">
      <w:pPr>
        <w:rPr>
          <w:rFonts w:cs="Arial"/>
          <w:i/>
          <w:iCs/>
          <w:lang w:val="sr-Latn-ME"/>
        </w:rPr>
      </w:pPr>
    </w:p>
    <w:p w14:paraId="302F7C5F" w14:textId="2D5BB95B" w:rsidR="00627B84" w:rsidRPr="008B3B89" w:rsidRDefault="00627B84" w:rsidP="00E14B3B">
      <w:pPr>
        <w:rPr>
          <w:rFonts w:cs="Arial"/>
          <w:i/>
          <w:iCs/>
          <w:lang w:val="sr-Latn-ME"/>
        </w:rPr>
      </w:pPr>
    </w:p>
    <w:p w14:paraId="74AF5EC6" w14:textId="4B33898F" w:rsidR="00057794" w:rsidRPr="008B3B89" w:rsidRDefault="00057794" w:rsidP="00107322">
      <w:pPr>
        <w:pStyle w:val="NASLOV123"/>
        <w:spacing w:before="0" w:after="0"/>
        <w:jc w:val="both"/>
        <w:rPr>
          <w:lang w:val="sr-Latn-ME"/>
        </w:rPr>
      </w:pPr>
      <w:r w:rsidRPr="008B3B89">
        <w:rPr>
          <w:lang w:val="sr-Latn-ME"/>
        </w:rPr>
        <w:t xml:space="preserve">6. </w:t>
      </w:r>
      <w:r w:rsidR="008A2ADA" w:rsidRPr="008B3B89">
        <w:rPr>
          <w:lang w:val="sr-Latn-ME"/>
        </w:rPr>
        <w:tab/>
      </w:r>
      <w:r w:rsidRPr="008B3B89">
        <w:rPr>
          <w:lang w:val="sr-Latn-ME"/>
        </w:rPr>
        <w:t>FARMACEUTSKI PODACI</w:t>
      </w:r>
    </w:p>
    <w:p w14:paraId="65238077" w14:textId="77777777" w:rsidR="00627B84" w:rsidRPr="008B3B89" w:rsidRDefault="00627B84" w:rsidP="00107322">
      <w:pPr>
        <w:rPr>
          <w:b/>
          <w:bCs/>
          <w:szCs w:val="22"/>
          <w:lang w:val="sr-Latn-ME"/>
        </w:rPr>
      </w:pPr>
    </w:p>
    <w:p w14:paraId="74AF5EC7" w14:textId="2627EFB4" w:rsidR="00057794" w:rsidRPr="008B3B89" w:rsidRDefault="00057794" w:rsidP="00107322">
      <w:pPr>
        <w:rPr>
          <w:b/>
          <w:bCs/>
          <w:szCs w:val="22"/>
          <w:lang w:val="sr-Latn-ME"/>
        </w:rPr>
      </w:pPr>
      <w:r w:rsidRPr="008B3B89">
        <w:rPr>
          <w:b/>
          <w:bCs/>
          <w:szCs w:val="22"/>
          <w:lang w:val="sr-Latn-ME"/>
        </w:rPr>
        <w:t>6.1. Lista pomoćnih supstanci</w:t>
      </w:r>
      <w:r w:rsidR="00EA370D" w:rsidRPr="008B3B89">
        <w:rPr>
          <w:b/>
          <w:bCs/>
          <w:szCs w:val="22"/>
          <w:lang w:val="sr-Latn-ME"/>
        </w:rPr>
        <w:t xml:space="preserve"> (ekscipijenasa)</w:t>
      </w:r>
    </w:p>
    <w:p w14:paraId="59F8B134" w14:textId="77777777" w:rsidR="00627B84" w:rsidRPr="008B3B89" w:rsidRDefault="00627B84" w:rsidP="00107322">
      <w:pPr>
        <w:tabs>
          <w:tab w:val="clear" w:pos="284"/>
        </w:tabs>
        <w:ind w:left="72" w:hanging="72"/>
        <w:contextualSpacing/>
        <w:rPr>
          <w:bCs/>
          <w:szCs w:val="22"/>
          <w:lang w:val="sr-Latn-ME"/>
        </w:rPr>
      </w:pPr>
    </w:p>
    <w:p w14:paraId="74AF5EC8" w14:textId="32E29DBE" w:rsidR="00516032" w:rsidRPr="008B3B89" w:rsidRDefault="00516032" w:rsidP="00107322">
      <w:pPr>
        <w:tabs>
          <w:tab w:val="clear" w:pos="284"/>
        </w:tabs>
        <w:ind w:left="72" w:hanging="72"/>
        <w:contextualSpacing/>
        <w:rPr>
          <w:bCs/>
          <w:szCs w:val="22"/>
          <w:lang w:val="sr-Latn-ME"/>
        </w:rPr>
      </w:pPr>
      <w:r w:rsidRPr="008B3B89">
        <w:rPr>
          <w:bCs/>
          <w:szCs w:val="22"/>
          <w:lang w:val="sr-Latn-ME"/>
        </w:rPr>
        <w:t>Celuloza, disperzibilna</w:t>
      </w:r>
    </w:p>
    <w:p w14:paraId="74AF5EC9" w14:textId="3ACA5904" w:rsidR="00516032" w:rsidRPr="008B3B89" w:rsidRDefault="00516032" w:rsidP="00107322">
      <w:pPr>
        <w:tabs>
          <w:tab w:val="clear" w:pos="284"/>
        </w:tabs>
        <w:ind w:left="72" w:hanging="72"/>
        <w:contextualSpacing/>
        <w:rPr>
          <w:bCs/>
          <w:szCs w:val="22"/>
          <w:lang w:val="sr-Latn-ME"/>
        </w:rPr>
      </w:pPr>
      <w:r w:rsidRPr="008B3B89">
        <w:rPr>
          <w:bCs/>
          <w:szCs w:val="22"/>
          <w:lang w:val="sr-Latn-ME"/>
        </w:rPr>
        <w:t>Ksantan guma</w:t>
      </w:r>
    </w:p>
    <w:p w14:paraId="74AF5ECA" w14:textId="7FC5C3DE" w:rsidR="00516032" w:rsidRPr="008B3B89" w:rsidRDefault="00516032" w:rsidP="00107322">
      <w:pPr>
        <w:tabs>
          <w:tab w:val="clear" w:pos="284"/>
        </w:tabs>
        <w:ind w:left="72" w:hanging="72"/>
        <w:contextualSpacing/>
        <w:rPr>
          <w:bCs/>
          <w:szCs w:val="22"/>
          <w:lang w:val="sr-Latn-ME"/>
        </w:rPr>
      </w:pPr>
      <w:r w:rsidRPr="008B3B89">
        <w:rPr>
          <w:bCs/>
          <w:szCs w:val="22"/>
          <w:lang w:val="sr-Latn-ME"/>
        </w:rPr>
        <w:t>Metil</w:t>
      </w:r>
      <w:r w:rsidR="008A2ADA" w:rsidRPr="008B3B89">
        <w:rPr>
          <w:bCs/>
          <w:szCs w:val="22"/>
          <w:lang w:val="sr-Latn-ME"/>
        </w:rPr>
        <w:t xml:space="preserve"> </w:t>
      </w:r>
      <w:r w:rsidRPr="008B3B89">
        <w:rPr>
          <w:bCs/>
          <w:szCs w:val="22"/>
          <w:lang w:val="sr-Latn-ME"/>
        </w:rPr>
        <w:t>parahidroksibenzoat (E218)</w:t>
      </w:r>
    </w:p>
    <w:p w14:paraId="74AF5ECB" w14:textId="60F81E8C" w:rsidR="00516032" w:rsidRPr="008B3B89" w:rsidRDefault="00516032" w:rsidP="00107322">
      <w:pPr>
        <w:tabs>
          <w:tab w:val="clear" w:pos="284"/>
        </w:tabs>
        <w:ind w:left="72" w:hanging="72"/>
        <w:contextualSpacing/>
        <w:rPr>
          <w:bCs/>
          <w:szCs w:val="22"/>
          <w:lang w:val="sr-Latn-ME"/>
        </w:rPr>
      </w:pPr>
      <w:r w:rsidRPr="008B3B89">
        <w:rPr>
          <w:bCs/>
          <w:szCs w:val="22"/>
          <w:lang w:val="sr-Latn-ME"/>
        </w:rPr>
        <w:t>Propil</w:t>
      </w:r>
      <w:r w:rsidR="008A2ADA" w:rsidRPr="008B3B89">
        <w:rPr>
          <w:bCs/>
          <w:szCs w:val="22"/>
          <w:lang w:val="sr-Latn-ME"/>
        </w:rPr>
        <w:t xml:space="preserve"> </w:t>
      </w:r>
      <w:r w:rsidRPr="008B3B89">
        <w:rPr>
          <w:bCs/>
          <w:szCs w:val="22"/>
          <w:lang w:val="sr-Latn-ME"/>
        </w:rPr>
        <w:t>parahidroksibenzoat (E216)</w:t>
      </w:r>
    </w:p>
    <w:p w14:paraId="74AF5ECC" w14:textId="29B8C74A" w:rsidR="00516032" w:rsidRPr="008B3B89" w:rsidRDefault="00516032" w:rsidP="00107322">
      <w:pPr>
        <w:tabs>
          <w:tab w:val="clear" w:pos="284"/>
        </w:tabs>
        <w:ind w:left="72" w:hanging="72"/>
        <w:contextualSpacing/>
        <w:rPr>
          <w:bCs/>
          <w:szCs w:val="22"/>
          <w:lang w:val="sr-Latn-ME"/>
        </w:rPr>
      </w:pPr>
      <w:r w:rsidRPr="008B3B89">
        <w:rPr>
          <w:bCs/>
          <w:szCs w:val="22"/>
          <w:lang w:val="sr-Latn-ME"/>
        </w:rPr>
        <w:t>Saharoza</w:t>
      </w:r>
    </w:p>
    <w:p w14:paraId="74AF5ECD" w14:textId="30C220F9" w:rsidR="00516032" w:rsidRPr="008B3B89" w:rsidRDefault="00516032" w:rsidP="00107322">
      <w:pPr>
        <w:tabs>
          <w:tab w:val="clear" w:pos="284"/>
        </w:tabs>
        <w:ind w:left="72" w:hanging="72"/>
        <w:contextualSpacing/>
        <w:rPr>
          <w:bCs/>
          <w:szCs w:val="22"/>
          <w:lang w:val="sr-Latn-ME"/>
        </w:rPr>
      </w:pPr>
      <w:r w:rsidRPr="008B3B89">
        <w:rPr>
          <w:bCs/>
          <w:szCs w:val="22"/>
          <w:lang w:val="sr-Latn-ME"/>
        </w:rPr>
        <w:t>Glukoza, tečna</w:t>
      </w:r>
    </w:p>
    <w:p w14:paraId="74AF5ECE" w14:textId="2277C80D" w:rsidR="00516032" w:rsidRPr="008B3B89" w:rsidRDefault="00516032" w:rsidP="00107322">
      <w:pPr>
        <w:tabs>
          <w:tab w:val="clear" w:pos="284"/>
        </w:tabs>
        <w:ind w:left="72" w:hanging="72"/>
        <w:contextualSpacing/>
        <w:rPr>
          <w:bCs/>
          <w:szCs w:val="22"/>
          <w:lang w:val="sr-Latn-ME"/>
        </w:rPr>
      </w:pPr>
      <w:r w:rsidRPr="008B3B89">
        <w:rPr>
          <w:bCs/>
          <w:szCs w:val="22"/>
          <w:lang w:val="sr-Latn-ME"/>
        </w:rPr>
        <w:t>Propilen</w:t>
      </w:r>
      <w:r w:rsidR="00156B8D" w:rsidRPr="008B3B89">
        <w:rPr>
          <w:bCs/>
          <w:szCs w:val="22"/>
          <w:lang w:val="sr-Latn-ME"/>
        </w:rPr>
        <w:t xml:space="preserve"> </w:t>
      </w:r>
      <w:r w:rsidRPr="008B3B89">
        <w:rPr>
          <w:bCs/>
          <w:szCs w:val="22"/>
          <w:lang w:val="sr-Latn-ME"/>
        </w:rPr>
        <w:t>glikol</w:t>
      </w:r>
    </w:p>
    <w:p w14:paraId="74AF5ECF" w14:textId="68425B29" w:rsidR="00516032" w:rsidRPr="008B3B89" w:rsidRDefault="00516032" w:rsidP="00107322">
      <w:pPr>
        <w:tabs>
          <w:tab w:val="clear" w:pos="284"/>
        </w:tabs>
        <w:ind w:left="72" w:hanging="72"/>
        <w:contextualSpacing/>
        <w:rPr>
          <w:bCs/>
          <w:szCs w:val="22"/>
          <w:lang w:val="sr-Latn-ME"/>
        </w:rPr>
      </w:pPr>
      <w:r w:rsidRPr="008B3B89">
        <w:rPr>
          <w:bCs/>
          <w:szCs w:val="22"/>
          <w:lang w:val="sr-Latn-ME"/>
        </w:rPr>
        <w:t>Glicerol</w:t>
      </w:r>
    </w:p>
    <w:p w14:paraId="74AF5ED0" w14:textId="54B015D3" w:rsidR="00516032" w:rsidRPr="008B3B89" w:rsidRDefault="00516032" w:rsidP="00107322">
      <w:pPr>
        <w:contextualSpacing/>
        <w:rPr>
          <w:szCs w:val="22"/>
          <w:lang w:val="sr-Latn-ME"/>
        </w:rPr>
      </w:pPr>
      <w:r w:rsidRPr="008B3B89">
        <w:rPr>
          <w:szCs w:val="22"/>
          <w:lang w:val="sr-Latn-ME"/>
        </w:rPr>
        <w:t>Dinatrijum</w:t>
      </w:r>
      <w:r w:rsidR="00EA370D" w:rsidRPr="008B3B89">
        <w:rPr>
          <w:szCs w:val="22"/>
          <w:lang w:val="sr-Latn-ME"/>
        </w:rPr>
        <w:t xml:space="preserve"> </w:t>
      </w:r>
      <w:r w:rsidRPr="008B3B89">
        <w:rPr>
          <w:szCs w:val="22"/>
          <w:lang w:val="sr-Latn-ME"/>
        </w:rPr>
        <w:t>edetat</w:t>
      </w:r>
    </w:p>
    <w:p w14:paraId="74AF5ED1" w14:textId="02422901" w:rsidR="00516032" w:rsidRPr="008B3B89" w:rsidRDefault="00516032" w:rsidP="00107322">
      <w:pPr>
        <w:contextualSpacing/>
        <w:rPr>
          <w:szCs w:val="22"/>
          <w:lang w:val="sr-Latn-ME"/>
        </w:rPr>
      </w:pPr>
      <w:r w:rsidRPr="008B3B89">
        <w:rPr>
          <w:szCs w:val="22"/>
          <w:lang w:val="sr-Latn-ME"/>
        </w:rPr>
        <w:t>Silikonski antip</w:t>
      </w:r>
      <w:r w:rsidR="00E14B3B" w:rsidRPr="008B3B89">
        <w:rPr>
          <w:szCs w:val="22"/>
          <w:lang w:val="sr-Latn-ME"/>
        </w:rPr>
        <w:t>j</w:t>
      </w:r>
      <w:r w:rsidRPr="008B3B89">
        <w:rPr>
          <w:szCs w:val="22"/>
          <w:lang w:val="sr-Latn-ME"/>
        </w:rPr>
        <w:t>enuša</w:t>
      </w:r>
      <w:r w:rsidR="00723A2C" w:rsidRPr="008B3B89">
        <w:rPr>
          <w:szCs w:val="22"/>
          <w:lang w:val="sr-Latn-ME"/>
        </w:rPr>
        <w:t>vac</w:t>
      </w:r>
      <w:r w:rsidRPr="008B3B89">
        <w:rPr>
          <w:szCs w:val="22"/>
          <w:lang w:val="sr-Latn-ME"/>
        </w:rPr>
        <w:t xml:space="preserve"> 40%</w:t>
      </w:r>
    </w:p>
    <w:p w14:paraId="74AF5ED2" w14:textId="3F2BCDAD" w:rsidR="00516032" w:rsidRPr="008B3B89" w:rsidRDefault="00516032" w:rsidP="00107322">
      <w:pPr>
        <w:contextualSpacing/>
        <w:rPr>
          <w:szCs w:val="22"/>
          <w:lang w:val="sr-Latn-ME"/>
        </w:rPr>
      </w:pPr>
      <w:r w:rsidRPr="008B3B89">
        <w:rPr>
          <w:szCs w:val="22"/>
          <w:lang w:val="sr-Latn-ME"/>
        </w:rPr>
        <w:t>Polisorbat 85</w:t>
      </w:r>
    </w:p>
    <w:p w14:paraId="74AF5ED3" w14:textId="0E7E362D" w:rsidR="00516032" w:rsidRPr="008B3B89" w:rsidRDefault="00516032" w:rsidP="00107322">
      <w:pPr>
        <w:contextualSpacing/>
        <w:rPr>
          <w:szCs w:val="22"/>
          <w:lang w:val="sr-Latn-ME"/>
        </w:rPr>
      </w:pPr>
      <w:r w:rsidRPr="008B3B89">
        <w:rPr>
          <w:szCs w:val="22"/>
          <w:lang w:val="sr-Latn-ME"/>
        </w:rPr>
        <w:t>Natrijum</w:t>
      </w:r>
      <w:r w:rsidR="00EA370D" w:rsidRPr="008B3B89">
        <w:rPr>
          <w:szCs w:val="22"/>
          <w:lang w:val="sr-Latn-ME"/>
        </w:rPr>
        <w:t xml:space="preserve"> </w:t>
      </w:r>
      <w:r w:rsidRPr="008B3B89">
        <w:rPr>
          <w:szCs w:val="22"/>
          <w:lang w:val="sr-Latn-ME"/>
        </w:rPr>
        <w:t>citrat</w:t>
      </w:r>
    </w:p>
    <w:p w14:paraId="74AF5ED4" w14:textId="2ECD6E3F" w:rsidR="00516032" w:rsidRPr="008B3B89" w:rsidRDefault="00516032" w:rsidP="00107322">
      <w:pPr>
        <w:contextualSpacing/>
        <w:rPr>
          <w:szCs w:val="22"/>
          <w:lang w:val="sr-Latn-ME"/>
        </w:rPr>
      </w:pPr>
      <w:r w:rsidRPr="008B3B89">
        <w:rPr>
          <w:szCs w:val="22"/>
          <w:lang w:val="sr-Latn-ME"/>
        </w:rPr>
        <w:t>Limunska kiselina monohidrat</w:t>
      </w:r>
    </w:p>
    <w:p w14:paraId="74AF5ED5" w14:textId="1A0B2CB9" w:rsidR="00516032" w:rsidRPr="008B3B89" w:rsidRDefault="00516032" w:rsidP="00107322">
      <w:pPr>
        <w:contextualSpacing/>
        <w:rPr>
          <w:szCs w:val="22"/>
          <w:lang w:val="sr-Latn-ME"/>
        </w:rPr>
      </w:pPr>
      <w:r w:rsidRPr="008B3B89">
        <w:rPr>
          <w:szCs w:val="22"/>
          <w:lang w:val="sr-Latn-ME"/>
        </w:rPr>
        <w:t>Aroma jagod</w:t>
      </w:r>
      <w:r w:rsidR="00206A96" w:rsidRPr="008B3B89">
        <w:rPr>
          <w:szCs w:val="22"/>
          <w:lang w:val="sr-Latn-ME"/>
        </w:rPr>
        <w:t>e</w:t>
      </w:r>
      <w:r w:rsidRPr="008B3B89">
        <w:rPr>
          <w:szCs w:val="22"/>
          <w:lang w:val="sr-Latn-ME"/>
        </w:rPr>
        <w:t xml:space="preserve"> 52312</w:t>
      </w:r>
    </w:p>
    <w:p w14:paraId="74AF5ED6" w14:textId="43AD2918" w:rsidR="00516032" w:rsidRPr="008B3B89" w:rsidRDefault="00516032" w:rsidP="00107322">
      <w:pPr>
        <w:contextualSpacing/>
        <w:rPr>
          <w:szCs w:val="22"/>
          <w:lang w:val="sr-Latn-ME"/>
        </w:rPr>
      </w:pPr>
      <w:r w:rsidRPr="008B3B89">
        <w:rPr>
          <w:szCs w:val="22"/>
          <w:lang w:val="sr-Latn-ME"/>
        </w:rPr>
        <w:t>Boja</w:t>
      </w:r>
      <w:r w:rsidR="00206A96" w:rsidRPr="008B3B89">
        <w:rPr>
          <w:szCs w:val="22"/>
          <w:lang w:val="sr-Latn-ME"/>
        </w:rPr>
        <w:t>:</w:t>
      </w:r>
      <w:r w:rsidRPr="008B3B89">
        <w:rPr>
          <w:szCs w:val="22"/>
          <w:lang w:val="sr-Latn-ME"/>
        </w:rPr>
        <w:t xml:space="preserve"> Allura </w:t>
      </w:r>
      <w:r w:rsidR="00206A96" w:rsidRPr="008B3B89">
        <w:rPr>
          <w:szCs w:val="22"/>
          <w:lang w:val="sr-Latn-ME"/>
        </w:rPr>
        <w:t>R</w:t>
      </w:r>
      <w:r w:rsidRPr="008B3B89">
        <w:rPr>
          <w:szCs w:val="22"/>
          <w:lang w:val="sr-Latn-ME"/>
        </w:rPr>
        <w:t xml:space="preserve">ed AC </w:t>
      </w:r>
      <w:r w:rsidR="00FC274F" w:rsidRPr="008B3B89">
        <w:rPr>
          <w:szCs w:val="22"/>
          <w:lang w:val="sr-Latn-ME"/>
        </w:rPr>
        <w:t>(</w:t>
      </w:r>
      <w:r w:rsidR="00410D3C" w:rsidRPr="008B3B89">
        <w:rPr>
          <w:szCs w:val="22"/>
          <w:lang w:val="sr-Latn-ME"/>
        </w:rPr>
        <w:t>C.I. 16035</w:t>
      </w:r>
      <w:r w:rsidR="008A2ADA" w:rsidRPr="008B3B89">
        <w:rPr>
          <w:szCs w:val="22"/>
          <w:lang w:val="sr-Latn-ME"/>
        </w:rPr>
        <w:t>, E129</w:t>
      </w:r>
      <w:r w:rsidRPr="008B3B89">
        <w:rPr>
          <w:szCs w:val="22"/>
          <w:lang w:val="sr-Latn-ME"/>
        </w:rPr>
        <w:t>)</w:t>
      </w:r>
    </w:p>
    <w:p w14:paraId="74AF5ED7" w14:textId="650E5D07" w:rsidR="00516032" w:rsidRPr="008B3B89" w:rsidRDefault="00C778AF" w:rsidP="00107322">
      <w:pPr>
        <w:rPr>
          <w:szCs w:val="22"/>
          <w:lang w:val="sr-Latn-ME"/>
        </w:rPr>
      </w:pPr>
      <w:r w:rsidRPr="008B3B89">
        <w:rPr>
          <w:szCs w:val="22"/>
          <w:lang w:val="sr-Latn-ME"/>
        </w:rPr>
        <w:t>V</w:t>
      </w:r>
      <w:r w:rsidR="00516032" w:rsidRPr="008B3B89">
        <w:rPr>
          <w:szCs w:val="22"/>
          <w:lang w:val="sr-Latn-ME"/>
        </w:rPr>
        <w:t>oda</w:t>
      </w:r>
      <w:r w:rsidRPr="008B3B89">
        <w:rPr>
          <w:szCs w:val="22"/>
          <w:lang w:val="sr-Latn-ME"/>
        </w:rPr>
        <w:t>, prečišćena</w:t>
      </w:r>
    </w:p>
    <w:p w14:paraId="4526D766" w14:textId="77777777" w:rsidR="00627B84" w:rsidRPr="008B3B89" w:rsidRDefault="00627B84" w:rsidP="00107322">
      <w:pPr>
        <w:rPr>
          <w:b/>
          <w:bCs/>
          <w:szCs w:val="22"/>
          <w:lang w:val="sr-Latn-ME"/>
        </w:rPr>
      </w:pPr>
    </w:p>
    <w:p w14:paraId="74AF5ED9" w14:textId="5A95F00C" w:rsidR="00057794" w:rsidRPr="008B3B89" w:rsidRDefault="00057794" w:rsidP="00107322">
      <w:pPr>
        <w:rPr>
          <w:b/>
          <w:bCs/>
          <w:szCs w:val="22"/>
          <w:lang w:val="sr-Latn-ME"/>
        </w:rPr>
      </w:pPr>
      <w:r w:rsidRPr="008B3B89">
        <w:rPr>
          <w:b/>
          <w:bCs/>
          <w:szCs w:val="22"/>
          <w:lang w:val="sr-Latn-ME"/>
        </w:rPr>
        <w:t>6.2. Inkompatibilnost</w:t>
      </w:r>
      <w:r w:rsidR="00EA370D" w:rsidRPr="008B3B89">
        <w:rPr>
          <w:b/>
          <w:bCs/>
          <w:szCs w:val="22"/>
          <w:lang w:val="sr-Latn-ME"/>
        </w:rPr>
        <w:t>i</w:t>
      </w:r>
    </w:p>
    <w:p w14:paraId="61DA1CF8" w14:textId="77777777" w:rsidR="00627B84" w:rsidRPr="008B3B89" w:rsidRDefault="00627B84" w:rsidP="00107322">
      <w:pPr>
        <w:rPr>
          <w:szCs w:val="22"/>
          <w:lang w:val="sr-Latn-ME"/>
        </w:rPr>
      </w:pPr>
    </w:p>
    <w:p w14:paraId="74AF5EDB" w14:textId="591DA89B" w:rsidR="00057794" w:rsidRPr="008B3B89" w:rsidRDefault="00ED566B" w:rsidP="00107322">
      <w:pPr>
        <w:rPr>
          <w:szCs w:val="22"/>
          <w:lang w:val="sr-Latn-ME"/>
        </w:rPr>
      </w:pPr>
      <w:r w:rsidRPr="008B3B89">
        <w:rPr>
          <w:szCs w:val="22"/>
          <w:lang w:val="sr-Latn-ME"/>
        </w:rPr>
        <w:t>Nije prim</w:t>
      </w:r>
      <w:r w:rsidR="00EA370D" w:rsidRPr="008B3B89">
        <w:rPr>
          <w:szCs w:val="22"/>
          <w:lang w:val="sr-Latn-ME"/>
        </w:rPr>
        <w:t>j</w:t>
      </w:r>
      <w:r w:rsidRPr="008B3B89">
        <w:rPr>
          <w:szCs w:val="22"/>
          <w:lang w:val="sr-Latn-ME"/>
        </w:rPr>
        <w:t>enljivo.</w:t>
      </w:r>
    </w:p>
    <w:p w14:paraId="448F5B63" w14:textId="77777777" w:rsidR="00627B84" w:rsidRPr="008B3B89" w:rsidRDefault="00627B84" w:rsidP="00107322">
      <w:pPr>
        <w:rPr>
          <w:b/>
          <w:bCs/>
          <w:szCs w:val="22"/>
          <w:lang w:val="sr-Latn-ME"/>
        </w:rPr>
      </w:pPr>
    </w:p>
    <w:p w14:paraId="74AF5EDE" w14:textId="1E15C766" w:rsidR="00057794" w:rsidRPr="008B3B89" w:rsidRDefault="00057794" w:rsidP="00107322">
      <w:pPr>
        <w:rPr>
          <w:b/>
          <w:bCs/>
          <w:szCs w:val="22"/>
          <w:lang w:val="sr-Latn-ME"/>
        </w:rPr>
      </w:pPr>
      <w:r w:rsidRPr="008B3B89">
        <w:rPr>
          <w:b/>
          <w:bCs/>
          <w:szCs w:val="22"/>
          <w:lang w:val="sr-Latn-ME"/>
        </w:rPr>
        <w:t>6.3. Rok upotrebe</w:t>
      </w:r>
    </w:p>
    <w:p w14:paraId="56102104" w14:textId="77777777" w:rsidR="00627B84" w:rsidRPr="008B3B89" w:rsidRDefault="00627B84" w:rsidP="00107322">
      <w:pPr>
        <w:rPr>
          <w:szCs w:val="22"/>
          <w:lang w:val="sr-Latn-ME"/>
        </w:rPr>
      </w:pPr>
    </w:p>
    <w:p w14:paraId="74AF5EE0" w14:textId="2A8BF3AE" w:rsidR="00ED566B" w:rsidRPr="008B3B89" w:rsidRDefault="00ED566B" w:rsidP="00107322">
      <w:pPr>
        <w:rPr>
          <w:szCs w:val="22"/>
          <w:lang w:val="sr-Latn-ME"/>
        </w:rPr>
      </w:pPr>
      <w:r w:rsidRPr="008B3B89">
        <w:rPr>
          <w:szCs w:val="22"/>
          <w:lang w:val="sr-Latn-ME"/>
        </w:rPr>
        <w:t>3 godine.</w:t>
      </w:r>
    </w:p>
    <w:p w14:paraId="74AF5EE1" w14:textId="7313BCA4" w:rsidR="001B01A8" w:rsidRPr="008B3B89" w:rsidRDefault="000E351E" w:rsidP="00107322">
      <w:pPr>
        <w:rPr>
          <w:iCs/>
          <w:szCs w:val="22"/>
          <w:lang w:val="sr-Latn-ME"/>
        </w:rPr>
      </w:pPr>
      <w:r w:rsidRPr="008B3B89">
        <w:rPr>
          <w:iCs/>
          <w:szCs w:val="22"/>
          <w:lang w:val="sr-Latn-ME"/>
        </w:rPr>
        <w:t xml:space="preserve">Rok upotrebe </w:t>
      </w:r>
      <w:r w:rsidR="00410D3C" w:rsidRPr="008B3B89">
        <w:rPr>
          <w:iCs/>
          <w:szCs w:val="22"/>
          <w:lang w:val="sr-Latn-ME"/>
        </w:rPr>
        <w:t>nakon</w:t>
      </w:r>
      <w:r w:rsidR="001B01A8" w:rsidRPr="008B3B89">
        <w:rPr>
          <w:iCs/>
          <w:lang w:val="sr-Latn-ME"/>
        </w:rPr>
        <w:t xml:space="preserve"> prvog otvaranja</w:t>
      </w:r>
      <w:r w:rsidRPr="008B3B89">
        <w:rPr>
          <w:iCs/>
          <w:szCs w:val="22"/>
          <w:lang w:val="sr-Latn-ME"/>
        </w:rPr>
        <w:t>:</w:t>
      </w:r>
      <w:r w:rsidR="00BA3C11" w:rsidRPr="008B3B89">
        <w:rPr>
          <w:iCs/>
          <w:szCs w:val="22"/>
          <w:lang w:val="sr-Latn-ME"/>
        </w:rPr>
        <w:t xml:space="preserve"> </w:t>
      </w:r>
      <w:r w:rsidR="00915A0B" w:rsidRPr="008B3B89">
        <w:rPr>
          <w:iCs/>
          <w:szCs w:val="22"/>
          <w:lang w:val="sr-Latn-ME"/>
        </w:rPr>
        <w:t>21 dan</w:t>
      </w:r>
      <w:r w:rsidR="004C4F4B" w:rsidRPr="008B3B89">
        <w:rPr>
          <w:iCs/>
          <w:szCs w:val="22"/>
          <w:lang w:val="sr-Latn-ME"/>
        </w:rPr>
        <w:t xml:space="preserve">, </w:t>
      </w:r>
      <w:r w:rsidR="001B01A8" w:rsidRPr="008B3B89">
        <w:rPr>
          <w:iCs/>
          <w:szCs w:val="22"/>
          <w:lang w:val="sr-Latn-ME"/>
        </w:rPr>
        <w:t>na temperaturi do 25</w:t>
      </w:r>
      <w:r w:rsidR="00ED3B0E" w:rsidRPr="008B3B89">
        <w:rPr>
          <w:iCs/>
          <w:szCs w:val="22"/>
          <w:lang w:val="sr-Latn-ME"/>
        </w:rPr>
        <w:t>°</w:t>
      </w:r>
      <w:r w:rsidR="001B01A8" w:rsidRPr="008B3B89">
        <w:rPr>
          <w:iCs/>
          <w:szCs w:val="22"/>
          <w:lang w:val="sr-Latn-ME"/>
        </w:rPr>
        <w:t>C</w:t>
      </w:r>
      <w:r w:rsidR="00915A0B" w:rsidRPr="008B3B89">
        <w:rPr>
          <w:iCs/>
          <w:szCs w:val="22"/>
          <w:lang w:val="sr-Latn-ME"/>
        </w:rPr>
        <w:t>,</w:t>
      </w:r>
      <w:r w:rsidR="001B01A8" w:rsidRPr="008B3B89">
        <w:rPr>
          <w:iCs/>
          <w:szCs w:val="22"/>
          <w:lang w:val="sr-Latn-ME"/>
        </w:rPr>
        <w:t xml:space="preserve"> u originalnom pakovanju, </w:t>
      </w:r>
      <w:r w:rsidR="00BC054A" w:rsidRPr="008B3B89">
        <w:rPr>
          <w:iCs/>
          <w:szCs w:val="22"/>
          <w:lang w:val="sr-Latn-ME"/>
        </w:rPr>
        <w:t xml:space="preserve">radi </w:t>
      </w:r>
      <w:r w:rsidR="00915A0B" w:rsidRPr="008B3B89">
        <w:rPr>
          <w:iCs/>
          <w:szCs w:val="22"/>
          <w:lang w:val="sr-Latn-ME"/>
        </w:rPr>
        <w:t>zašti</w:t>
      </w:r>
      <w:r w:rsidR="00BC054A" w:rsidRPr="008B3B89">
        <w:rPr>
          <w:iCs/>
          <w:szCs w:val="22"/>
          <w:lang w:val="sr-Latn-ME"/>
        </w:rPr>
        <w:t>t</w:t>
      </w:r>
      <w:r w:rsidR="00915A0B" w:rsidRPr="008B3B89">
        <w:rPr>
          <w:iCs/>
          <w:szCs w:val="22"/>
          <w:lang w:val="sr-Latn-ME"/>
        </w:rPr>
        <w:t>e od sv</w:t>
      </w:r>
      <w:r w:rsidR="00EA370D" w:rsidRPr="008B3B89">
        <w:rPr>
          <w:iCs/>
          <w:szCs w:val="22"/>
          <w:lang w:val="sr-Latn-ME"/>
        </w:rPr>
        <w:t>j</w:t>
      </w:r>
      <w:r w:rsidR="00915A0B" w:rsidRPr="008B3B89">
        <w:rPr>
          <w:iCs/>
          <w:szCs w:val="22"/>
          <w:lang w:val="sr-Latn-ME"/>
        </w:rPr>
        <w:t>etlosti</w:t>
      </w:r>
      <w:r w:rsidR="001B01A8" w:rsidRPr="008B3B89">
        <w:rPr>
          <w:iCs/>
          <w:szCs w:val="22"/>
          <w:lang w:val="sr-Latn-ME"/>
        </w:rPr>
        <w:t>.</w:t>
      </w:r>
    </w:p>
    <w:p w14:paraId="760FC3A7" w14:textId="77777777" w:rsidR="00627B84" w:rsidRPr="008B3B89" w:rsidRDefault="00627B84" w:rsidP="00107322">
      <w:pPr>
        <w:rPr>
          <w:b/>
          <w:bCs/>
          <w:szCs w:val="22"/>
          <w:lang w:val="sr-Latn-ME"/>
        </w:rPr>
      </w:pPr>
    </w:p>
    <w:p w14:paraId="74AF5EE3" w14:textId="698D8AB9" w:rsidR="00057794" w:rsidRPr="008B3B89" w:rsidRDefault="00057794" w:rsidP="00107322">
      <w:pPr>
        <w:rPr>
          <w:b/>
          <w:bCs/>
          <w:szCs w:val="22"/>
          <w:lang w:val="sr-Latn-ME"/>
        </w:rPr>
      </w:pPr>
      <w:r w:rsidRPr="008B3B89">
        <w:rPr>
          <w:b/>
          <w:bCs/>
          <w:szCs w:val="22"/>
          <w:lang w:val="sr-Latn-ME"/>
        </w:rPr>
        <w:t>6.4. Posebne m</w:t>
      </w:r>
      <w:r w:rsidR="00EA370D" w:rsidRPr="008B3B89">
        <w:rPr>
          <w:b/>
          <w:bCs/>
          <w:szCs w:val="22"/>
          <w:lang w:val="sr-Latn-ME"/>
        </w:rPr>
        <w:t>j</w:t>
      </w:r>
      <w:r w:rsidRPr="008B3B89">
        <w:rPr>
          <w:b/>
          <w:bCs/>
          <w:szCs w:val="22"/>
          <w:lang w:val="sr-Latn-ME"/>
        </w:rPr>
        <w:t>ere opreza pri čuvanju</w:t>
      </w:r>
      <w:r w:rsidR="00EA370D" w:rsidRPr="008B3B89">
        <w:rPr>
          <w:b/>
          <w:bCs/>
          <w:szCs w:val="22"/>
          <w:lang w:val="sr-Latn-ME"/>
        </w:rPr>
        <w:t xml:space="preserve"> lijeka</w:t>
      </w:r>
    </w:p>
    <w:p w14:paraId="388F9ED4" w14:textId="77777777" w:rsidR="00627B84" w:rsidRPr="008B3B89" w:rsidRDefault="00627B84" w:rsidP="00107322">
      <w:pPr>
        <w:rPr>
          <w:szCs w:val="22"/>
          <w:lang w:val="sr-Latn-ME"/>
        </w:rPr>
      </w:pPr>
    </w:p>
    <w:p w14:paraId="74AF5EE5" w14:textId="358A2258" w:rsidR="00230CF5" w:rsidRPr="008B3B89" w:rsidRDefault="00230CF5" w:rsidP="00107322">
      <w:pPr>
        <w:rPr>
          <w:szCs w:val="22"/>
          <w:lang w:val="sr-Latn-ME"/>
        </w:rPr>
      </w:pPr>
      <w:r w:rsidRPr="008B3B89">
        <w:rPr>
          <w:szCs w:val="22"/>
          <w:lang w:val="sr-Latn-ME"/>
        </w:rPr>
        <w:t>Čuvati u originalnom pakovanju</w:t>
      </w:r>
      <w:r w:rsidR="00323FD5" w:rsidRPr="008B3B89">
        <w:rPr>
          <w:szCs w:val="22"/>
          <w:lang w:val="sr-Latn-ME"/>
        </w:rPr>
        <w:t>, radi zaštite od sv</w:t>
      </w:r>
      <w:r w:rsidR="00EA370D" w:rsidRPr="008B3B89">
        <w:rPr>
          <w:szCs w:val="22"/>
          <w:lang w:val="sr-Latn-ME"/>
        </w:rPr>
        <w:t>j</w:t>
      </w:r>
      <w:r w:rsidR="00323FD5" w:rsidRPr="008B3B89">
        <w:rPr>
          <w:szCs w:val="22"/>
          <w:lang w:val="sr-Latn-ME"/>
        </w:rPr>
        <w:t>etlosti</w:t>
      </w:r>
      <w:r w:rsidRPr="008B3B89">
        <w:rPr>
          <w:szCs w:val="22"/>
          <w:lang w:val="sr-Latn-ME"/>
        </w:rPr>
        <w:t>.</w:t>
      </w:r>
    </w:p>
    <w:p w14:paraId="0F544C6F" w14:textId="5738DD62" w:rsidR="00A07BCD" w:rsidRPr="008B3B89" w:rsidRDefault="00156B8D" w:rsidP="00107322">
      <w:pPr>
        <w:rPr>
          <w:szCs w:val="22"/>
          <w:lang w:val="sr-Latn-ME"/>
        </w:rPr>
      </w:pPr>
      <w:r w:rsidRPr="008B3B89">
        <w:rPr>
          <w:szCs w:val="22"/>
          <w:lang w:val="sr-Latn-ME"/>
        </w:rPr>
        <w:t>Neotvoreni l</w:t>
      </w:r>
      <w:r w:rsidR="00A07BCD" w:rsidRPr="008B3B89">
        <w:rPr>
          <w:szCs w:val="22"/>
          <w:lang w:val="sr-Latn-ME"/>
        </w:rPr>
        <w:t>ijek ne zaht</w:t>
      </w:r>
      <w:r w:rsidRPr="008B3B89">
        <w:rPr>
          <w:szCs w:val="22"/>
          <w:lang w:val="sr-Latn-ME"/>
        </w:rPr>
        <w:t>i</w:t>
      </w:r>
      <w:r w:rsidR="00A07BCD" w:rsidRPr="008B3B89">
        <w:rPr>
          <w:szCs w:val="22"/>
          <w:lang w:val="sr-Latn-ME"/>
        </w:rPr>
        <w:t>jeva posebne temperaturne uslove čuvanja.</w:t>
      </w:r>
    </w:p>
    <w:p w14:paraId="74AF5EE6" w14:textId="0D94AFAB" w:rsidR="001B01A8" w:rsidRPr="008B3B89" w:rsidRDefault="001B01A8" w:rsidP="00107322">
      <w:pPr>
        <w:rPr>
          <w:szCs w:val="22"/>
          <w:lang w:val="sr-Latn-ME"/>
        </w:rPr>
      </w:pPr>
      <w:r w:rsidRPr="008B3B89">
        <w:rPr>
          <w:szCs w:val="22"/>
          <w:lang w:val="sr-Latn-ME"/>
        </w:rPr>
        <w:t xml:space="preserve">Za uslove čuvanja nakon prvog otvaranja </w:t>
      </w:r>
      <w:r w:rsidR="00ED3B0E" w:rsidRPr="008B3B89">
        <w:rPr>
          <w:szCs w:val="22"/>
          <w:lang w:val="sr-Latn-ME"/>
        </w:rPr>
        <w:t>l</w:t>
      </w:r>
      <w:r w:rsidR="00EA370D" w:rsidRPr="008B3B89">
        <w:rPr>
          <w:szCs w:val="22"/>
          <w:lang w:val="sr-Latn-ME"/>
        </w:rPr>
        <w:t>ij</w:t>
      </w:r>
      <w:r w:rsidR="00ED3B0E" w:rsidRPr="008B3B89">
        <w:rPr>
          <w:szCs w:val="22"/>
          <w:lang w:val="sr-Latn-ME"/>
        </w:rPr>
        <w:t>eka</w:t>
      </w:r>
      <w:r w:rsidR="00323FD5" w:rsidRPr="008B3B89">
        <w:rPr>
          <w:szCs w:val="22"/>
          <w:lang w:val="sr-Latn-ME"/>
        </w:rPr>
        <w:t>,</w:t>
      </w:r>
      <w:r w:rsidRPr="008B3B89">
        <w:rPr>
          <w:szCs w:val="22"/>
          <w:lang w:val="sr-Latn-ME"/>
        </w:rPr>
        <w:t xml:space="preserve"> vid</w:t>
      </w:r>
      <w:r w:rsidR="00EA370D" w:rsidRPr="008B3B89">
        <w:rPr>
          <w:szCs w:val="22"/>
          <w:lang w:val="sr-Latn-ME"/>
        </w:rPr>
        <w:t>j</w:t>
      </w:r>
      <w:r w:rsidRPr="008B3B89">
        <w:rPr>
          <w:szCs w:val="22"/>
          <w:lang w:val="sr-Latn-ME"/>
        </w:rPr>
        <w:t xml:space="preserve">eti </w:t>
      </w:r>
      <w:r w:rsidR="00EA370D" w:rsidRPr="008B3B89">
        <w:rPr>
          <w:szCs w:val="22"/>
          <w:lang w:val="sr-Latn-ME"/>
        </w:rPr>
        <w:t>dio</w:t>
      </w:r>
      <w:r w:rsidRPr="008B3B89">
        <w:rPr>
          <w:szCs w:val="22"/>
          <w:lang w:val="sr-Latn-ME"/>
        </w:rPr>
        <w:t xml:space="preserve"> 6.3</w:t>
      </w:r>
      <w:r w:rsidR="00323FD5" w:rsidRPr="008B3B89">
        <w:rPr>
          <w:szCs w:val="22"/>
          <w:lang w:val="sr-Latn-ME"/>
        </w:rPr>
        <w:t>.</w:t>
      </w:r>
    </w:p>
    <w:p w14:paraId="74AF5EE7" w14:textId="69F8711A" w:rsidR="00057794" w:rsidRPr="008B3B89" w:rsidRDefault="00307ECE" w:rsidP="00107322">
      <w:pPr>
        <w:rPr>
          <w:szCs w:val="22"/>
          <w:lang w:val="sr-Latn-ME"/>
        </w:rPr>
      </w:pPr>
      <w:r w:rsidRPr="008B3B89">
        <w:rPr>
          <w:szCs w:val="22"/>
          <w:lang w:val="sr-Latn-ME"/>
        </w:rPr>
        <w:t>Pr</w:t>
      </w:r>
      <w:r w:rsidR="00EA370D" w:rsidRPr="008B3B89">
        <w:rPr>
          <w:szCs w:val="22"/>
          <w:lang w:val="sr-Latn-ME"/>
        </w:rPr>
        <w:t>ij</w:t>
      </w:r>
      <w:r w:rsidRPr="008B3B89">
        <w:rPr>
          <w:szCs w:val="22"/>
          <w:lang w:val="sr-Latn-ME"/>
        </w:rPr>
        <w:t>e</w:t>
      </w:r>
      <w:r w:rsidR="00595A13" w:rsidRPr="008B3B89">
        <w:rPr>
          <w:lang w:val="sr-Latn-ME"/>
        </w:rPr>
        <w:t xml:space="preserve"> </w:t>
      </w:r>
      <w:r w:rsidR="00595A13" w:rsidRPr="008B3B89">
        <w:rPr>
          <w:szCs w:val="22"/>
          <w:lang w:val="sr-Latn-ME"/>
        </w:rPr>
        <w:t>upotrebe l</w:t>
      </w:r>
      <w:r w:rsidR="00EA370D" w:rsidRPr="008B3B89">
        <w:rPr>
          <w:szCs w:val="22"/>
          <w:lang w:val="sr-Latn-ME"/>
        </w:rPr>
        <w:t>ij</w:t>
      </w:r>
      <w:r w:rsidR="00595A13" w:rsidRPr="008B3B89">
        <w:rPr>
          <w:szCs w:val="22"/>
          <w:lang w:val="sr-Latn-ME"/>
        </w:rPr>
        <w:t>ek intenzivno mućkati</w:t>
      </w:r>
      <w:r w:rsidR="00EA127C" w:rsidRPr="008B3B89">
        <w:rPr>
          <w:szCs w:val="22"/>
          <w:lang w:val="sr-Latn-ME"/>
        </w:rPr>
        <w:t xml:space="preserve"> </w:t>
      </w:r>
      <w:r w:rsidRPr="008B3B89">
        <w:rPr>
          <w:szCs w:val="22"/>
          <w:lang w:val="sr-Latn-ME"/>
        </w:rPr>
        <w:t>15 sekundi i zatim izliti u kašičicu za doziranje.</w:t>
      </w:r>
    </w:p>
    <w:p w14:paraId="7E8CA558" w14:textId="77777777" w:rsidR="00627B84" w:rsidRPr="008B3B89" w:rsidRDefault="00627B84" w:rsidP="00107322">
      <w:pPr>
        <w:rPr>
          <w:b/>
          <w:bCs/>
          <w:szCs w:val="22"/>
          <w:lang w:val="sr-Latn-ME"/>
        </w:rPr>
      </w:pPr>
    </w:p>
    <w:p w14:paraId="74AF5EEA" w14:textId="47901BF0" w:rsidR="00057794" w:rsidRPr="008B3B89" w:rsidRDefault="00057794" w:rsidP="00107322">
      <w:pPr>
        <w:rPr>
          <w:b/>
          <w:bCs/>
          <w:szCs w:val="22"/>
          <w:lang w:val="sr-Latn-ME"/>
        </w:rPr>
      </w:pPr>
      <w:r w:rsidRPr="008B3B89">
        <w:rPr>
          <w:b/>
          <w:bCs/>
          <w:szCs w:val="22"/>
          <w:lang w:val="sr-Latn-ME"/>
        </w:rPr>
        <w:t xml:space="preserve">6.5. </w:t>
      </w:r>
      <w:r w:rsidR="00EA370D" w:rsidRPr="008B3B89">
        <w:rPr>
          <w:b/>
          <w:bCs/>
          <w:szCs w:val="22"/>
          <w:lang w:val="sr-Latn-ME"/>
        </w:rPr>
        <w:t>Vrsta</w:t>
      </w:r>
      <w:r w:rsidRPr="008B3B89">
        <w:rPr>
          <w:b/>
          <w:bCs/>
          <w:szCs w:val="22"/>
          <w:lang w:val="sr-Latn-ME"/>
        </w:rPr>
        <w:t xml:space="preserve"> i sadržaj pakovanja</w:t>
      </w:r>
    </w:p>
    <w:p w14:paraId="1BC7DB3B" w14:textId="77777777" w:rsidR="00627B84" w:rsidRPr="008B3B89" w:rsidRDefault="00627B84" w:rsidP="00107322">
      <w:pPr>
        <w:rPr>
          <w:szCs w:val="22"/>
          <w:lang w:val="sr-Latn-ME"/>
        </w:rPr>
      </w:pPr>
    </w:p>
    <w:p w14:paraId="29327CB5" w14:textId="571D9794" w:rsidR="004231E2" w:rsidRPr="008B3B89" w:rsidRDefault="001910D7" w:rsidP="00107322">
      <w:pPr>
        <w:rPr>
          <w:szCs w:val="22"/>
          <w:lang w:val="sr-Latn-ME"/>
        </w:rPr>
      </w:pPr>
      <w:r w:rsidRPr="008B3B89">
        <w:rPr>
          <w:szCs w:val="22"/>
          <w:lang w:val="sr-Latn-ME"/>
        </w:rPr>
        <w:t>Unutrašnje pakovanje</w:t>
      </w:r>
      <w:r w:rsidR="00462DE9" w:rsidRPr="008B3B89">
        <w:rPr>
          <w:szCs w:val="22"/>
          <w:lang w:val="sr-Latn-ME"/>
        </w:rPr>
        <w:t xml:space="preserve"> l</w:t>
      </w:r>
      <w:r w:rsidR="00EA370D" w:rsidRPr="008B3B89">
        <w:rPr>
          <w:szCs w:val="22"/>
          <w:lang w:val="sr-Latn-ME"/>
        </w:rPr>
        <w:t>ij</w:t>
      </w:r>
      <w:r w:rsidR="00462DE9" w:rsidRPr="008B3B89">
        <w:rPr>
          <w:szCs w:val="22"/>
          <w:lang w:val="sr-Latn-ME"/>
        </w:rPr>
        <w:t>eka</w:t>
      </w:r>
      <w:r w:rsidRPr="008B3B89">
        <w:rPr>
          <w:szCs w:val="22"/>
          <w:lang w:val="sr-Latn-ME"/>
        </w:rPr>
        <w:t xml:space="preserve"> je</w:t>
      </w:r>
      <w:r w:rsidR="004D7161" w:rsidRPr="008B3B89">
        <w:rPr>
          <w:szCs w:val="22"/>
          <w:lang w:val="sr-Latn-ME"/>
        </w:rPr>
        <w:t xml:space="preserve"> </w:t>
      </w:r>
      <w:r w:rsidRPr="008B3B89">
        <w:rPr>
          <w:szCs w:val="22"/>
          <w:lang w:val="sr-Latn-ME"/>
        </w:rPr>
        <w:t>bo</w:t>
      </w:r>
      <w:r w:rsidR="00B85288" w:rsidRPr="008B3B89">
        <w:rPr>
          <w:szCs w:val="22"/>
          <w:lang w:val="sr-Latn-ME"/>
        </w:rPr>
        <w:t>či</w:t>
      </w:r>
      <w:r w:rsidRPr="008B3B89">
        <w:rPr>
          <w:szCs w:val="22"/>
          <w:lang w:val="sr-Latn-ME"/>
        </w:rPr>
        <w:t>ca</w:t>
      </w:r>
      <w:r w:rsidR="004D7161" w:rsidRPr="008B3B89">
        <w:rPr>
          <w:szCs w:val="22"/>
          <w:lang w:val="sr-Latn-ME"/>
        </w:rPr>
        <w:t xml:space="preserve"> izrađena od stakla </w:t>
      </w:r>
      <w:r w:rsidR="00E03362" w:rsidRPr="008B3B89">
        <w:rPr>
          <w:szCs w:val="22"/>
          <w:lang w:val="sr-Latn-ME"/>
        </w:rPr>
        <w:t xml:space="preserve">smeđe boje </w:t>
      </w:r>
      <w:r w:rsidR="004D7161" w:rsidRPr="008B3B89">
        <w:rPr>
          <w:szCs w:val="22"/>
          <w:lang w:val="sr-Latn-ME"/>
        </w:rPr>
        <w:t>(</w:t>
      </w:r>
      <w:r w:rsidR="00AB2CC9" w:rsidRPr="008B3B89">
        <w:rPr>
          <w:szCs w:val="22"/>
          <w:lang w:val="sr-Latn-ME"/>
        </w:rPr>
        <w:t>tip III) i zatvorena b</w:t>
      </w:r>
      <w:r w:rsidR="00EA370D" w:rsidRPr="008B3B89">
        <w:rPr>
          <w:szCs w:val="22"/>
          <w:lang w:val="sr-Latn-ME"/>
        </w:rPr>
        <w:t>ij</w:t>
      </w:r>
      <w:r w:rsidR="00AB2CC9" w:rsidRPr="008B3B89">
        <w:rPr>
          <w:szCs w:val="22"/>
          <w:lang w:val="sr-Latn-ME"/>
        </w:rPr>
        <w:t xml:space="preserve">elim rebrastim zatvaračem sa sigurnosnim prstenom </w:t>
      </w:r>
      <w:r w:rsidR="00C6738C" w:rsidRPr="008B3B89">
        <w:rPr>
          <w:szCs w:val="22"/>
          <w:lang w:val="sr-Latn-ME"/>
        </w:rPr>
        <w:t>i transparentnim uloškom.</w:t>
      </w:r>
    </w:p>
    <w:p w14:paraId="677AFB0D" w14:textId="3E9419F3" w:rsidR="005C3CB3" w:rsidRPr="00F261A3" w:rsidRDefault="00330CD9" w:rsidP="00F261A3">
      <w:pPr>
        <w:spacing w:before="120" w:after="120"/>
        <w:rPr>
          <w:szCs w:val="22"/>
          <w:lang w:val="sr-Latn-ME"/>
        </w:rPr>
      </w:pPr>
      <w:r w:rsidRPr="008B3B89">
        <w:rPr>
          <w:szCs w:val="22"/>
          <w:lang w:val="sr-Latn-ME"/>
        </w:rPr>
        <w:t>Zatvarač je izrađen od polipropilena, sa uloškom i sigurnosnim prstenom od polietilena.</w:t>
      </w:r>
    </w:p>
    <w:p w14:paraId="74AF5EED" w14:textId="7ACB61FC" w:rsidR="00A25225" w:rsidRPr="008B3B89" w:rsidRDefault="00A25225" w:rsidP="00107322">
      <w:pPr>
        <w:rPr>
          <w:i/>
          <w:lang w:val="sr-Latn-ME"/>
        </w:rPr>
      </w:pPr>
      <w:r w:rsidRPr="008B3B89">
        <w:rPr>
          <w:i/>
          <w:lang w:val="sr-Latn-ME"/>
        </w:rPr>
        <w:lastRenderedPageBreak/>
        <w:t>Sredstvo za doziranje</w:t>
      </w:r>
    </w:p>
    <w:p w14:paraId="74AF5EEE" w14:textId="1EAB7302" w:rsidR="001910D7" w:rsidRPr="008B3B89" w:rsidRDefault="001910D7" w:rsidP="00107322">
      <w:pPr>
        <w:rPr>
          <w:szCs w:val="22"/>
          <w:lang w:val="sr-Latn-ME"/>
        </w:rPr>
      </w:pPr>
      <w:r w:rsidRPr="008B3B89">
        <w:rPr>
          <w:szCs w:val="22"/>
          <w:lang w:val="sr-Latn-ME"/>
        </w:rPr>
        <w:t xml:space="preserve">Kašičica </w:t>
      </w:r>
      <w:r w:rsidR="00A25225" w:rsidRPr="008B3B89">
        <w:rPr>
          <w:szCs w:val="22"/>
          <w:lang w:val="sr-Latn-ME"/>
        </w:rPr>
        <w:t xml:space="preserve">za doziranje </w:t>
      </w:r>
      <w:r w:rsidRPr="008B3B89">
        <w:rPr>
          <w:szCs w:val="22"/>
          <w:lang w:val="sr-Latn-ME"/>
        </w:rPr>
        <w:t>je od polietilena</w:t>
      </w:r>
      <w:r w:rsidR="00A25225" w:rsidRPr="008B3B89">
        <w:rPr>
          <w:szCs w:val="22"/>
          <w:lang w:val="sr-Latn-ME"/>
        </w:rPr>
        <w:t>,</w:t>
      </w:r>
      <w:r w:rsidR="001F7228" w:rsidRPr="008B3B89">
        <w:rPr>
          <w:szCs w:val="22"/>
          <w:lang w:val="sr-Latn-ME"/>
        </w:rPr>
        <w:t xml:space="preserve"> </w:t>
      </w:r>
      <w:r w:rsidRPr="008B3B89">
        <w:rPr>
          <w:szCs w:val="22"/>
          <w:lang w:val="sr-Latn-ME"/>
        </w:rPr>
        <w:t>b</w:t>
      </w:r>
      <w:r w:rsidR="00EA370D" w:rsidRPr="008B3B89">
        <w:rPr>
          <w:szCs w:val="22"/>
          <w:lang w:val="sr-Latn-ME"/>
        </w:rPr>
        <w:t>ij</w:t>
      </w:r>
      <w:r w:rsidRPr="008B3B89">
        <w:rPr>
          <w:szCs w:val="22"/>
          <w:lang w:val="sr-Latn-ME"/>
        </w:rPr>
        <w:t>ele boje</w:t>
      </w:r>
      <w:r w:rsidR="005F60BC" w:rsidRPr="008B3B89">
        <w:rPr>
          <w:szCs w:val="22"/>
          <w:lang w:val="sr-Latn-ME"/>
        </w:rPr>
        <w:t>,</w:t>
      </w:r>
      <w:r w:rsidRPr="008B3B89">
        <w:rPr>
          <w:szCs w:val="22"/>
          <w:lang w:val="sr-Latn-ME"/>
        </w:rPr>
        <w:t xml:space="preserve"> zapremine 5 m</w:t>
      </w:r>
      <w:r w:rsidR="00EA370D" w:rsidRPr="008B3B89">
        <w:rPr>
          <w:szCs w:val="22"/>
          <w:lang w:val="sr-Latn-ME"/>
        </w:rPr>
        <w:t>l</w:t>
      </w:r>
      <w:r w:rsidRPr="008B3B89">
        <w:rPr>
          <w:szCs w:val="22"/>
          <w:lang w:val="sr-Latn-ME"/>
        </w:rPr>
        <w:t>.</w:t>
      </w:r>
    </w:p>
    <w:p w14:paraId="74AF5EEF" w14:textId="4CD1B19C" w:rsidR="001910D7" w:rsidRPr="008B3B89" w:rsidRDefault="00F0749F" w:rsidP="00107322">
      <w:pPr>
        <w:rPr>
          <w:szCs w:val="22"/>
          <w:lang w:val="sr-Latn-ME"/>
        </w:rPr>
      </w:pPr>
      <w:r w:rsidRPr="008B3B89">
        <w:rPr>
          <w:szCs w:val="22"/>
          <w:lang w:val="sr-Latn-ME"/>
        </w:rPr>
        <w:t>Spoljašnje pakovanje</w:t>
      </w:r>
      <w:r w:rsidR="00462DE9" w:rsidRPr="008B3B89">
        <w:rPr>
          <w:szCs w:val="22"/>
          <w:lang w:val="sr-Latn-ME"/>
        </w:rPr>
        <w:t xml:space="preserve"> l</w:t>
      </w:r>
      <w:r w:rsidR="00EA370D" w:rsidRPr="008B3B89">
        <w:rPr>
          <w:szCs w:val="22"/>
          <w:lang w:val="sr-Latn-ME"/>
        </w:rPr>
        <w:t>ij</w:t>
      </w:r>
      <w:r w:rsidR="00462DE9" w:rsidRPr="008B3B89">
        <w:rPr>
          <w:szCs w:val="22"/>
          <w:lang w:val="sr-Latn-ME"/>
        </w:rPr>
        <w:t>eka</w:t>
      </w:r>
      <w:r w:rsidRPr="008B3B89">
        <w:rPr>
          <w:szCs w:val="22"/>
          <w:lang w:val="sr-Latn-ME"/>
        </w:rPr>
        <w:t xml:space="preserve"> je složiva kartonska kutija u kojoj se nalazi </w:t>
      </w:r>
      <w:r w:rsidR="00A25225" w:rsidRPr="008B3B89">
        <w:rPr>
          <w:szCs w:val="22"/>
          <w:lang w:val="sr-Latn-ME"/>
        </w:rPr>
        <w:t xml:space="preserve">jedna </w:t>
      </w:r>
      <w:r w:rsidRPr="008B3B89">
        <w:rPr>
          <w:szCs w:val="22"/>
          <w:lang w:val="sr-Latn-ME"/>
        </w:rPr>
        <w:t>bo</w:t>
      </w:r>
      <w:r w:rsidR="00B85288" w:rsidRPr="008B3B89">
        <w:rPr>
          <w:szCs w:val="22"/>
          <w:lang w:val="sr-Latn-ME"/>
        </w:rPr>
        <w:t>či</w:t>
      </w:r>
      <w:r w:rsidRPr="008B3B89">
        <w:rPr>
          <w:szCs w:val="22"/>
          <w:lang w:val="sr-Latn-ME"/>
        </w:rPr>
        <w:t>ca</w:t>
      </w:r>
      <w:r w:rsidR="00A25225" w:rsidRPr="008B3B89">
        <w:rPr>
          <w:szCs w:val="22"/>
          <w:lang w:val="sr-Latn-ME"/>
        </w:rPr>
        <w:t xml:space="preserve"> sa 30 m</w:t>
      </w:r>
      <w:r w:rsidR="00EA370D" w:rsidRPr="008B3B89">
        <w:rPr>
          <w:szCs w:val="22"/>
          <w:lang w:val="sr-Latn-ME"/>
        </w:rPr>
        <w:t>l</w:t>
      </w:r>
      <w:r w:rsidR="00A25225" w:rsidRPr="008B3B89">
        <w:rPr>
          <w:szCs w:val="22"/>
          <w:lang w:val="sr-Latn-ME"/>
        </w:rPr>
        <w:t xml:space="preserve"> oralne suspenzije,</w:t>
      </w:r>
      <w:r w:rsidR="001910D7" w:rsidRPr="008B3B89">
        <w:rPr>
          <w:szCs w:val="22"/>
          <w:lang w:val="sr-Latn-ME"/>
        </w:rPr>
        <w:t xml:space="preserve"> kašičic</w:t>
      </w:r>
      <w:r w:rsidR="00A25225" w:rsidRPr="008B3B89">
        <w:rPr>
          <w:szCs w:val="22"/>
          <w:lang w:val="sr-Latn-ME"/>
        </w:rPr>
        <w:t>a</w:t>
      </w:r>
      <w:r w:rsidR="001910D7" w:rsidRPr="008B3B89">
        <w:rPr>
          <w:szCs w:val="22"/>
          <w:lang w:val="sr-Latn-ME"/>
        </w:rPr>
        <w:t xml:space="preserve"> za doziranje </w:t>
      </w:r>
      <w:r w:rsidRPr="008B3B89">
        <w:rPr>
          <w:szCs w:val="22"/>
          <w:lang w:val="sr-Latn-ME"/>
        </w:rPr>
        <w:t xml:space="preserve">i </w:t>
      </w:r>
      <w:r w:rsidR="00A25225" w:rsidRPr="008B3B89">
        <w:rPr>
          <w:szCs w:val="22"/>
          <w:lang w:val="sr-Latn-ME"/>
        </w:rPr>
        <w:t>U</w:t>
      </w:r>
      <w:r w:rsidRPr="008B3B89">
        <w:rPr>
          <w:szCs w:val="22"/>
          <w:lang w:val="sr-Latn-ME"/>
        </w:rPr>
        <w:t>putstvo za l</w:t>
      </w:r>
      <w:r w:rsidR="00EA370D" w:rsidRPr="008B3B89">
        <w:rPr>
          <w:szCs w:val="22"/>
          <w:lang w:val="sr-Latn-ME"/>
        </w:rPr>
        <w:t>ij</w:t>
      </w:r>
      <w:r w:rsidRPr="008B3B89">
        <w:rPr>
          <w:szCs w:val="22"/>
          <w:lang w:val="sr-Latn-ME"/>
        </w:rPr>
        <w:t>ek.</w:t>
      </w:r>
    </w:p>
    <w:p w14:paraId="6EB1961E" w14:textId="77777777" w:rsidR="00627B84" w:rsidRPr="008B3B89" w:rsidRDefault="00627B84" w:rsidP="00107322">
      <w:pPr>
        <w:rPr>
          <w:b/>
          <w:bCs/>
          <w:szCs w:val="22"/>
          <w:lang w:val="sr-Latn-ME"/>
        </w:rPr>
      </w:pPr>
    </w:p>
    <w:p w14:paraId="74AF5EF2" w14:textId="1DB61E35" w:rsidR="00057794" w:rsidRPr="008B3B89" w:rsidRDefault="00057794" w:rsidP="00107322">
      <w:pPr>
        <w:rPr>
          <w:b/>
          <w:bCs/>
          <w:szCs w:val="22"/>
          <w:lang w:val="sr-Latn-ME"/>
        </w:rPr>
      </w:pPr>
      <w:r w:rsidRPr="008B3B89">
        <w:rPr>
          <w:b/>
          <w:bCs/>
          <w:szCs w:val="22"/>
          <w:lang w:val="sr-Latn-ME"/>
        </w:rPr>
        <w:t>6.6. Posebne m</w:t>
      </w:r>
      <w:r w:rsidR="00EA370D" w:rsidRPr="008B3B89">
        <w:rPr>
          <w:b/>
          <w:bCs/>
          <w:szCs w:val="22"/>
          <w:lang w:val="sr-Latn-ME"/>
        </w:rPr>
        <w:t>j</w:t>
      </w:r>
      <w:r w:rsidRPr="008B3B89">
        <w:rPr>
          <w:b/>
          <w:bCs/>
          <w:szCs w:val="22"/>
          <w:lang w:val="sr-Latn-ME"/>
        </w:rPr>
        <w:t>ere opreza pri odlaganju materijala koji treba odbaciti nakon prim</w:t>
      </w:r>
      <w:r w:rsidR="00EA370D" w:rsidRPr="008B3B89">
        <w:rPr>
          <w:b/>
          <w:bCs/>
          <w:szCs w:val="22"/>
          <w:lang w:val="sr-Latn-ME"/>
        </w:rPr>
        <w:t>j</w:t>
      </w:r>
      <w:r w:rsidRPr="008B3B89">
        <w:rPr>
          <w:b/>
          <w:bCs/>
          <w:szCs w:val="22"/>
          <w:lang w:val="sr-Latn-ME"/>
        </w:rPr>
        <w:t>ene l</w:t>
      </w:r>
      <w:r w:rsidR="00EA370D" w:rsidRPr="008B3B89">
        <w:rPr>
          <w:b/>
          <w:bCs/>
          <w:szCs w:val="22"/>
          <w:lang w:val="sr-Latn-ME"/>
        </w:rPr>
        <w:t>ij</w:t>
      </w:r>
      <w:r w:rsidRPr="008B3B89">
        <w:rPr>
          <w:b/>
          <w:bCs/>
          <w:szCs w:val="22"/>
          <w:lang w:val="sr-Latn-ME"/>
        </w:rPr>
        <w:t>eka (i druga uputstva za rukovanje l</w:t>
      </w:r>
      <w:r w:rsidR="00EA370D" w:rsidRPr="008B3B89">
        <w:rPr>
          <w:b/>
          <w:bCs/>
          <w:szCs w:val="22"/>
          <w:lang w:val="sr-Latn-ME"/>
        </w:rPr>
        <w:t>ij</w:t>
      </w:r>
      <w:r w:rsidRPr="008B3B89">
        <w:rPr>
          <w:b/>
          <w:bCs/>
          <w:szCs w:val="22"/>
          <w:lang w:val="sr-Latn-ME"/>
        </w:rPr>
        <w:t>ekom)</w:t>
      </w:r>
    </w:p>
    <w:p w14:paraId="50997BC3" w14:textId="77777777" w:rsidR="00627B84" w:rsidRPr="008B3B89" w:rsidRDefault="00627B84" w:rsidP="00107322">
      <w:pPr>
        <w:rPr>
          <w:szCs w:val="22"/>
          <w:lang w:val="sr-Latn-ME"/>
        </w:rPr>
      </w:pPr>
    </w:p>
    <w:p w14:paraId="74AF5EF4" w14:textId="2602B2FE" w:rsidR="00057794" w:rsidRPr="008B3B89" w:rsidRDefault="00072015" w:rsidP="00107322">
      <w:pPr>
        <w:rPr>
          <w:szCs w:val="22"/>
          <w:lang w:val="sr-Latn-ME"/>
        </w:rPr>
      </w:pPr>
      <w:r w:rsidRPr="008B3B89">
        <w:rPr>
          <w:szCs w:val="22"/>
          <w:lang w:val="sr-Latn-ME"/>
        </w:rPr>
        <w:t>Svu neiskorišćenu količinu l</w:t>
      </w:r>
      <w:r w:rsidR="00EA370D" w:rsidRPr="008B3B89">
        <w:rPr>
          <w:szCs w:val="22"/>
          <w:lang w:val="sr-Latn-ME"/>
        </w:rPr>
        <w:t>ij</w:t>
      </w:r>
      <w:r w:rsidRPr="008B3B89">
        <w:rPr>
          <w:szCs w:val="22"/>
          <w:lang w:val="sr-Latn-ME"/>
        </w:rPr>
        <w:t>eka ili otpadnog materijala nakon njegove upotrebe treba ukloniti, u skladu sa važećim propisima.</w:t>
      </w:r>
    </w:p>
    <w:p w14:paraId="2B6A2092" w14:textId="77777777" w:rsidR="00627B84" w:rsidRPr="008B3B89" w:rsidRDefault="00627B84" w:rsidP="00107322">
      <w:pPr>
        <w:pStyle w:val="NASLOV123"/>
        <w:spacing w:before="0" w:after="0"/>
        <w:jc w:val="both"/>
        <w:rPr>
          <w:lang w:val="sr-Latn-ME"/>
        </w:rPr>
      </w:pPr>
    </w:p>
    <w:p w14:paraId="77EDDB7C" w14:textId="77777777" w:rsidR="00627B84" w:rsidRPr="008B3B89" w:rsidRDefault="00627B84" w:rsidP="00107322">
      <w:pPr>
        <w:pStyle w:val="NASLOV123"/>
        <w:spacing w:before="0" w:after="0"/>
        <w:jc w:val="both"/>
        <w:rPr>
          <w:lang w:val="sr-Latn-ME"/>
        </w:rPr>
      </w:pPr>
    </w:p>
    <w:p w14:paraId="74AF5EF6" w14:textId="38F575F4" w:rsidR="00057794" w:rsidRPr="008B3B89" w:rsidRDefault="00057794" w:rsidP="00107322">
      <w:pPr>
        <w:pStyle w:val="NASLOV123"/>
        <w:spacing w:before="0" w:after="0"/>
        <w:jc w:val="both"/>
        <w:rPr>
          <w:lang w:val="sr-Latn-ME"/>
        </w:rPr>
      </w:pPr>
      <w:r w:rsidRPr="008B3B89">
        <w:rPr>
          <w:lang w:val="sr-Latn-ME"/>
        </w:rPr>
        <w:t xml:space="preserve">7. </w:t>
      </w:r>
      <w:r w:rsidR="008A2ADA" w:rsidRPr="008B3B89">
        <w:rPr>
          <w:lang w:val="sr-Latn-ME"/>
        </w:rPr>
        <w:tab/>
      </w:r>
      <w:r w:rsidRPr="008B3B89">
        <w:rPr>
          <w:lang w:val="sr-Latn-ME"/>
        </w:rPr>
        <w:t xml:space="preserve">NOSILAC DOZVOLE </w:t>
      </w:r>
    </w:p>
    <w:p w14:paraId="1A47B725" w14:textId="77777777" w:rsidR="00627B84" w:rsidRPr="008B3B89" w:rsidRDefault="00627B84" w:rsidP="00107322">
      <w:pPr>
        <w:rPr>
          <w:color w:val="000000"/>
          <w:szCs w:val="22"/>
          <w:lang w:val="sr-Latn-ME"/>
        </w:rPr>
      </w:pPr>
    </w:p>
    <w:p w14:paraId="74AF5EF7" w14:textId="3B91D18B" w:rsidR="00057794" w:rsidRPr="008B3B89" w:rsidRDefault="009C6A43" w:rsidP="00107322">
      <w:pPr>
        <w:rPr>
          <w:color w:val="000000"/>
          <w:szCs w:val="22"/>
          <w:lang w:val="sr-Latn-ME"/>
        </w:rPr>
      </w:pPr>
      <w:r w:rsidRPr="008B3B89">
        <w:rPr>
          <w:color w:val="000000"/>
          <w:szCs w:val="22"/>
          <w:lang w:val="sr-Latn-ME"/>
        </w:rPr>
        <w:t>G</w:t>
      </w:r>
      <w:r w:rsidR="00EA370D" w:rsidRPr="008B3B89">
        <w:rPr>
          <w:color w:val="000000"/>
          <w:szCs w:val="22"/>
          <w:lang w:val="sr-Latn-ME"/>
        </w:rPr>
        <w:t>LK pharma d.o.o. Podgorica, Svetozara Markovića br. 46, 81000 Podgorica, Crna Gora</w:t>
      </w:r>
    </w:p>
    <w:p w14:paraId="2721C8FF" w14:textId="31BB4B95" w:rsidR="00092D2B" w:rsidRPr="008B3B89" w:rsidRDefault="00092D2B" w:rsidP="00107322">
      <w:pPr>
        <w:rPr>
          <w:color w:val="000000"/>
          <w:szCs w:val="22"/>
          <w:lang w:val="sr-Latn-ME"/>
        </w:rPr>
      </w:pPr>
    </w:p>
    <w:p w14:paraId="0855F972" w14:textId="77777777" w:rsidR="00092D2B" w:rsidRPr="008B3B89" w:rsidRDefault="00092D2B" w:rsidP="00092D2B">
      <w:pPr>
        <w:pStyle w:val="Header"/>
        <w:tabs>
          <w:tab w:val="clear" w:pos="4536"/>
          <w:tab w:val="clear" w:pos="9072"/>
          <w:tab w:val="left" w:pos="284"/>
        </w:tabs>
        <w:jc w:val="left"/>
        <w:rPr>
          <w:szCs w:val="22"/>
          <w:lang w:val="sr-Latn-ME"/>
        </w:rPr>
      </w:pPr>
    </w:p>
    <w:p w14:paraId="654F34D2" w14:textId="5B5BA99F" w:rsidR="00092D2B" w:rsidRPr="008B3B89" w:rsidRDefault="00092D2B" w:rsidP="00092D2B">
      <w:pPr>
        <w:pStyle w:val="Header"/>
        <w:tabs>
          <w:tab w:val="clear" w:pos="4536"/>
          <w:tab w:val="clear" w:pos="9072"/>
          <w:tab w:val="left" w:pos="284"/>
        </w:tabs>
        <w:rPr>
          <w:b/>
          <w:bCs/>
          <w:szCs w:val="22"/>
          <w:lang w:val="sr-Latn-ME"/>
        </w:rPr>
      </w:pPr>
      <w:r w:rsidRPr="008B3B89">
        <w:rPr>
          <w:b/>
          <w:bCs/>
          <w:szCs w:val="22"/>
          <w:lang w:val="sr-Latn-ME"/>
        </w:rPr>
        <w:t xml:space="preserve">8. </w:t>
      </w:r>
      <w:r w:rsidR="008A2ADA" w:rsidRPr="008B3B89">
        <w:rPr>
          <w:b/>
          <w:bCs/>
          <w:szCs w:val="22"/>
          <w:lang w:val="sr-Latn-ME"/>
        </w:rPr>
        <w:tab/>
      </w:r>
      <w:r w:rsidRPr="008B3B89">
        <w:rPr>
          <w:b/>
          <w:bCs/>
          <w:szCs w:val="22"/>
          <w:lang w:val="sr-Latn-ME"/>
        </w:rPr>
        <w:t>BROJ PRVE DOZVOLE/ OBNOVE DOZVOLE</w:t>
      </w:r>
    </w:p>
    <w:p w14:paraId="2AAA5526" w14:textId="745C2387" w:rsidR="00092D2B" w:rsidRPr="008B3B89" w:rsidRDefault="00092D2B" w:rsidP="00092D2B">
      <w:pPr>
        <w:spacing w:after="40"/>
        <w:rPr>
          <w:szCs w:val="22"/>
          <w:lang w:val="sr-Latn-ME"/>
        </w:rPr>
      </w:pPr>
    </w:p>
    <w:p w14:paraId="0DCBE36A" w14:textId="1D503C72" w:rsidR="008B3B89" w:rsidRPr="008B3B89" w:rsidRDefault="008B3B89" w:rsidP="00F261A3">
      <w:pPr>
        <w:rPr>
          <w:szCs w:val="22"/>
          <w:lang w:val="sr-Latn-ME"/>
        </w:rPr>
      </w:pPr>
      <w:r w:rsidRPr="008B3B89">
        <w:rPr>
          <w:szCs w:val="22"/>
          <w:lang w:val="sr-Latn-ME"/>
        </w:rPr>
        <w:t>2030/25/2574 - 4432</w:t>
      </w:r>
    </w:p>
    <w:p w14:paraId="2466C631" w14:textId="51B80057" w:rsidR="00092D2B" w:rsidRDefault="00092D2B" w:rsidP="00F261A3">
      <w:pPr>
        <w:rPr>
          <w:szCs w:val="22"/>
          <w:lang w:val="sr-Latn-ME"/>
        </w:rPr>
      </w:pPr>
    </w:p>
    <w:p w14:paraId="1AF1FC53" w14:textId="77777777" w:rsidR="008B3B89" w:rsidRPr="008B3B89" w:rsidRDefault="008B3B89" w:rsidP="00F261A3">
      <w:pPr>
        <w:rPr>
          <w:szCs w:val="22"/>
          <w:lang w:val="sr-Latn-ME"/>
        </w:rPr>
      </w:pPr>
    </w:p>
    <w:p w14:paraId="15CE1168" w14:textId="6D9C352D" w:rsidR="00092D2B" w:rsidRPr="008B3B89" w:rsidRDefault="00092D2B" w:rsidP="00F261A3">
      <w:pPr>
        <w:pStyle w:val="Header"/>
        <w:tabs>
          <w:tab w:val="clear" w:pos="4536"/>
          <w:tab w:val="clear" w:pos="9072"/>
          <w:tab w:val="left" w:pos="284"/>
        </w:tabs>
        <w:rPr>
          <w:b/>
          <w:bCs/>
          <w:szCs w:val="22"/>
          <w:lang w:val="sr-Latn-ME"/>
        </w:rPr>
      </w:pPr>
      <w:r w:rsidRPr="008B3B89">
        <w:rPr>
          <w:b/>
          <w:bCs/>
          <w:szCs w:val="22"/>
          <w:lang w:val="sr-Latn-ME"/>
        </w:rPr>
        <w:t xml:space="preserve">9. </w:t>
      </w:r>
      <w:r w:rsidR="008A2ADA" w:rsidRPr="008B3B89">
        <w:rPr>
          <w:b/>
          <w:bCs/>
          <w:szCs w:val="22"/>
          <w:lang w:val="sr-Latn-ME"/>
        </w:rPr>
        <w:tab/>
      </w:r>
      <w:r w:rsidRPr="008B3B89">
        <w:rPr>
          <w:b/>
          <w:bCs/>
          <w:szCs w:val="22"/>
          <w:lang w:val="sr-Latn-ME"/>
        </w:rPr>
        <w:t>DATUM PRVE DOZVOLE/ DATUM OBNOVE DOZVOLE</w:t>
      </w:r>
    </w:p>
    <w:p w14:paraId="1D7E80D3" w14:textId="77777777" w:rsidR="00092D2B" w:rsidRPr="008B3B89" w:rsidRDefault="00092D2B" w:rsidP="00092D2B">
      <w:pPr>
        <w:pStyle w:val="Header"/>
        <w:tabs>
          <w:tab w:val="clear" w:pos="4536"/>
          <w:tab w:val="clear" w:pos="9072"/>
          <w:tab w:val="left" w:pos="284"/>
        </w:tabs>
        <w:rPr>
          <w:b/>
          <w:bCs/>
          <w:szCs w:val="22"/>
          <w:lang w:val="sr-Latn-ME"/>
        </w:rPr>
      </w:pPr>
    </w:p>
    <w:p w14:paraId="1920E16B" w14:textId="52F8C818" w:rsidR="00092D2B" w:rsidRPr="008B3B89" w:rsidRDefault="008A2ADA" w:rsidP="00092D2B">
      <w:pPr>
        <w:widowControl w:val="0"/>
        <w:autoSpaceDE w:val="0"/>
        <w:autoSpaceDN w:val="0"/>
        <w:rPr>
          <w:szCs w:val="22"/>
          <w:lang w:val="sr-Latn-ME"/>
        </w:rPr>
      </w:pPr>
      <w:r w:rsidRPr="008B3B89">
        <w:rPr>
          <w:szCs w:val="22"/>
          <w:lang w:val="sr-Latn-ME"/>
        </w:rPr>
        <w:t xml:space="preserve">Datum prve dozvole: </w:t>
      </w:r>
      <w:r w:rsidR="00092D2B" w:rsidRPr="008B3B89">
        <w:rPr>
          <w:szCs w:val="22"/>
          <w:lang w:val="sr-Latn-ME"/>
        </w:rPr>
        <w:t xml:space="preserve">28.03.2017. </w:t>
      </w:r>
      <w:r w:rsidRPr="008B3B89">
        <w:rPr>
          <w:szCs w:val="22"/>
          <w:lang w:val="sr-Latn-ME"/>
        </w:rPr>
        <w:t>godine</w:t>
      </w:r>
    </w:p>
    <w:p w14:paraId="2D212559" w14:textId="217B1EF6" w:rsidR="008A2ADA" w:rsidRPr="008B3B89" w:rsidRDefault="008A2ADA" w:rsidP="00092D2B">
      <w:pPr>
        <w:widowControl w:val="0"/>
        <w:autoSpaceDE w:val="0"/>
        <w:autoSpaceDN w:val="0"/>
        <w:rPr>
          <w:szCs w:val="22"/>
          <w:lang w:val="sr-Latn-ME"/>
        </w:rPr>
      </w:pPr>
      <w:r w:rsidRPr="008B3B89">
        <w:rPr>
          <w:szCs w:val="22"/>
          <w:lang w:val="sr-Latn-ME"/>
        </w:rPr>
        <w:t xml:space="preserve">Datum poslednje obnove dozvole: </w:t>
      </w:r>
      <w:r w:rsidR="008B3B89" w:rsidRPr="008B3B89">
        <w:rPr>
          <w:szCs w:val="22"/>
          <w:lang w:val="sr-Latn-ME"/>
        </w:rPr>
        <w:t>11.07.2025. godine</w:t>
      </w:r>
    </w:p>
    <w:p w14:paraId="1D747348" w14:textId="77777777" w:rsidR="00092D2B" w:rsidRPr="008B3B89" w:rsidRDefault="00092D2B" w:rsidP="00092D2B">
      <w:pPr>
        <w:pStyle w:val="Header"/>
        <w:tabs>
          <w:tab w:val="clear" w:pos="4536"/>
          <w:tab w:val="clear" w:pos="9072"/>
          <w:tab w:val="left" w:pos="284"/>
        </w:tabs>
        <w:rPr>
          <w:b/>
          <w:bCs/>
          <w:szCs w:val="22"/>
          <w:lang w:val="sr-Latn-ME"/>
        </w:rPr>
      </w:pPr>
    </w:p>
    <w:p w14:paraId="1777477B" w14:textId="77777777" w:rsidR="00092D2B" w:rsidRPr="008B3B89" w:rsidRDefault="00092D2B" w:rsidP="00092D2B">
      <w:pPr>
        <w:pStyle w:val="Header"/>
        <w:tabs>
          <w:tab w:val="clear" w:pos="4536"/>
          <w:tab w:val="clear" w:pos="9072"/>
          <w:tab w:val="left" w:pos="284"/>
        </w:tabs>
        <w:rPr>
          <w:szCs w:val="22"/>
          <w:lang w:val="sr-Latn-ME"/>
        </w:rPr>
      </w:pPr>
    </w:p>
    <w:p w14:paraId="55FE079C" w14:textId="4FB23DE8" w:rsidR="00092D2B" w:rsidRPr="008B3B89" w:rsidRDefault="00092D2B" w:rsidP="00092D2B">
      <w:pPr>
        <w:pStyle w:val="Header"/>
        <w:tabs>
          <w:tab w:val="clear" w:pos="4536"/>
          <w:tab w:val="clear" w:pos="9072"/>
          <w:tab w:val="left" w:pos="284"/>
        </w:tabs>
        <w:rPr>
          <w:b/>
          <w:bCs/>
          <w:szCs w:val="22"/>
          <w:lang w:val="sr-Latn-ME"/>
        </w:rPr>
      </w:pPr>
      <w:r w:rsidRPr="008B3B89">
        <w:rPr>
          <w:b/>
          <w:bCs/>
          <w:szCs w:val="22"/>
          <w:lang w:val="sr-Latn-ME"/>
        </w:rPr>
        <w:t>10.</w:t>
      </w:r>
      <w:r w:rsidR="008A2ADA" w:rsidRPr="008B3B89">
        <w:rPr>
          <w:b/>
          <w:bCs/>
          <w:szCs w:val="22"/>
          <w:lang w:val="sr-Latn-ME"/>
        </w:rPr>
        <w:tab/>
        <w:t xml:space="preserve">  </w:t>
      </w:r>
      <w:r w:rsidRPr="008B3B89">
        <w:rPr>
          <w:b/>
          <w:bCs/>
          <w:szCs w:val="22"/>
          <w:lang w:val="sr-Latn-ME"/>
        </w:rPr>
        <w:t>DATUM POSLEDNJE  REVIZIJE TEKSTA SAŽETKA OSNOVNIH KARAKTERISTIKA LIJEKA</w:t>
      </w:r>
    </w:p>
    <w:p w14:paraId="794F580F" w14:textId="77777777" w:rsidR="00092D2B" w:rsidRPr="008B3B89" w:rsidRDefault="00092D2B" w:rsidP="00107322">
      <w:pPr>
        <w:rPr>
          <w:szCs w:val="22"/>
          <w:lang w:val="sr-Latn-ME"/>
        </w:rPr>
      </w:pPr>
    </w:p>
    <w:p w14:paraId="20628BCC" w14:textId="0A30E19A" w:rsidR="009C6A43" w:rsidRPr="008B3B89" w:rsidRDefault="008B3B89" w:rsidP="003A77FB">
      <w:pPr>
        <w:tabs>
          <w:tab w:val="clear" w:pos="284"/>
        </w:tabs>
        <w:jc w:val="left"/>
        <w:rPr>
          <w:bCs/>
          <w:lang w:val="sr-Latn-ME"/>
        </w:rPr>
      </w:pPr>
      <w:r w:rsidRPr="008B3B89">
        <w:rPr>
          <w:bCs/>
          <w:lang w:val="sr-Latn-ME"/>
        </w:rPr>
        <w:t>Jul, 2025. godine</w:t>
      </w:r>
    </w:p>
    <w:sectPr w:rsidR="009C6A43" w:rsidRPr="008B3B89" w:rsidSect="008B3B89">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701" w:left="1134" w:header="737"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98BD" w14:textId="77777777" w:rsidR="00931056" w:rsidRDefault="00931056">
      <w:r>
        <w:separator/>
      </w:r>
    </w:p>
  </w:endnote>
  <w:endnote w:type="continuationSeparator" w:id="0">
    <w:p w14:paraId="481CF5CC" w14:textId="77777777" w:rsidR="00931056" w:rsidRDefault="00931056">
      <w:r>
        <w:continuationSeparator/>
      </w:r>
    </w:p>
  </w:endnote>
  <w:endnote w:type="continuationNotice" w:id="1">
    <w:p w14:paraId="35FDBD62" w14:textId="77777777" w:rsidR="00931056" w:rsidRDefault="00931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5F09" w14:textId="77777777" w:rsidR="00380C53" w:rsidRDefault="00380C5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AF5F0A" w14:textId="77777777" w:rsidR="00380C53" w:rsidRDefault="00380C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5F0B" w14:textId="292C94DB" w:rsidR="00380C53" w:rsidRPr="008B3B89" w:rsidRDefault="00380C53" w:rsidP="00CE09F3">
    <w:pPr>
      <w:pStyle w:val="Footer"/>
      <w:tabs>
        <w:tab w:val="left" w:pos="5448"/>
      </w:tabs>
      <w:spacing w:before="360"/>
      <w:jc w:val="center"/>
      <w:rPr>
        <w:szCs w:val="22"/>
      </w:rPr>
    </w:pPr>
    <w:r w:rsidRPr="008B3B89">
      <w:rPr>
        <w:szCs w:val="22"/>
      </w:rPr>
      <w:fldChar w:fldCharType="begin"/>
    </w:r>
    <w:r w:rsidRPr="008B3B89">
      <w:rPr>
        <w:szCs w:val="22"/>
      </w:rPr>
      <w:instrText xml:space="preserve"> PAGE </w:instrText>
    </w:r>
    <w:r w:rsidRPr="008B3B89">
      <w:rPr>
        <w:szCs w:val="22"/>
      </w:rPr>
      <w:fldChar w:fldCharType="separate"/>
    </w:r>
    <w:r w:rsidR="00F261A3">
      <w:rPr>
        <w:noProof/>
        <w:szCs w:val="22"/>
      </w:rPr>
      <w:t>2</w:t>
    </w:r>
    <w:r w:rsidRPr="008B3B89">
      <w:rPr>
        <w:szCs w:val="22"/>
      </w:rPr>
      <w:fldChar w:fldCharType="end"/>
    </w:r>
    <w:r w:rsidRPr="008B3B89">
      <w:rPr>
        <w:szCs w:val="22"/>
      </w:rPr>
      <w:t xml:space="preserve"> </w:t>
    </w:r>
    <w:r w:rsidR="008A2ADA" w:rsidRPr="008B3B89">
      <w:rPr>
        <w:szCs w:val="22"/>
      </w:rPr>
      <w:t xml:space="preserve">/ </w:t>
    </w:r>
    <w:r w:rsidRPr="008B3B89">
      <w:rPr>
        <w:szCs w:val="22"/>
      </w:rPr>
      <w:fldChar w:fldCharType="begin"/>
    </w:r>
    <w:r w:rsidRPr="008B3B89">
      <w:rPr>
        <w:szCs w:val="22"/>
      </w:rPr>
      <w:instrText xml:space="preserve"> NUMPAGES  </w:instrText>
    </w:r>
    <w:r w:rsidRPr="008B3B89">
      <w:rPr>
        <w:szCs w:val="22"/>
      </w:rPr>
      <w:fldChar w:fldCharType="separate"/>
    </w:r>
    <w:r w:rsidR="00F261A3">
      <w:rPr>
        <w:noProof/>
        <w:szCs w:val="22"/>
      </w:rPr>
      <w:t>7</w:t>
    </w:r>
    <w:r w:rsidRPr="008B3B89">
      <w:rPr>
        <w:szCs w:val="22"/>
      </w:rPr>
      <w:fldChar w:fldCharType="end"/>
    </w:r>
  </w:p>
  <w:p w14:paraId="74AF5F0C" w14:textId="77777777" w:rsidR="00380C53" w:rsidRPr="00C536C2" w:rsidRDefault="00380C53" w:rsidP="00C53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E043" w14:textId="0C43D780" w:rsidR="003906F1" w:rsidRPr="008B3B89" w:rsidRDefault="00931056" w:rsidP="0024472A">
    <w:pPr>
      <w:pStyle w:val="Footer"/>
      <w:tabs>
        <w:tab w:val="left" w:pos="5448"/>
      </w:tabs>
      <w:spacing w:before="360"/>
      <w:jc w:val="center"/>
      <w:rPr>
        <w:szCs w:val="22"/>
      </w:rPr>
    </w:pPr>
    <w:sdt>
      <w:sdtPr>
        <w:rPr>
          <w:szCs w:val="22"/>
        </w:rPr>
        <w:id w:val="565050477"/>
        <w:docPartObj>
          <w:docPartGallery w:val="Page Numbers (Top of Page)"/>
          <w:docPartUnique/>
        </w:docPartObj>
      </w:sdtPr>
      <w:sdtEndPr/>
      <w:sdtContent>
        <w:r w:rsidR="003906F1" w:rsidRPr="008B3B89">
          <w:rPr>
            <w:szCs w:val="22"/>
          </w:rPr>
          <w:fldChar w:fldCharType="begin"/>
        </w:r>
        <w:r w:rsidR="003906F1" w:rsidRPr="008B3B89">
          <w:rPr>
            <w:szCs w:val="22"/>
          </w:rPr>
          <w:instrText xml:space="preserve"> PAGE </w:instrText>
        </w:r>
        <w:r w:rsidR="003906F1" w:rsidRPr="008B3B89">
          <w:rPr>
            <w:szCs w:val="22"/>
          </w:rPr>
          <w:fldChar w:fldCharType="separate"/>
        </w:r>
        <w:r w:rsidR="00F261A3">
          <w:rPr>
            <w:noProof/>
            <w:szCs w:val="22"/>
          </w:rPr>
          <w:t>1</w:t>
        </w:r>
        <w:r w:rsidR="003906F1" w:rsidRPr="008B3B89">
          <w:rPr>
            <w:szCs w:val="22"/>
          </w:rPr>
          <w:fldChar w:fldCharType="end"/>
        </w:r>
        <w:r w:rsidR="003906F1" w:rsidRPr="008B3B89">
          <w:rPr>
            <w:szCs w:val="22"/>
          </w:rPr>
          <w:t xml:space="preserve"> </w:t>
        </w:r>
        <w:r w:rsidR="008A2ADA" w:rsidRPr="008B3B89">
          <w:rPr>
            <w:szCs w:val="22"/>
          </w:rPr>
          <w:t>/</w:t>
        </w:r>
        <w:r w:rsidR="003906F1" w:rsidRPr="008B3B89">
          <w:rPr>
            <w:szCs w:val="22"/>
          </w:rPr>
          <w:t xml:space="preserve"> </w:t>
        </w:r>
        <w:r w:rsidR="003906F1" w:rsidRPr="008B3B89">
          <w:rPr>
            <w:szCs w:val="22"/>
          </w:rPr>
          <w:fldChar w:fldCharType="begin"/>
        </w:r>
        <w:r w:rsidR="003906F1" w:rsidRPr="008B3B89">
          <w:rPr>
            <w:szCs w:val="22"/>
          </w:rPr>
          <w:instrText xml:space="preserve"> NUMPAGES  </w:instrText>
        </w:r>
        <w:r w:rsidR="003906F1" w:rsidRPr="008B3B89">
          <w:rPr>
            <w:szCs w:val="22"/>
          </w:rPr>
          <w:fldChar w:fldCharType="separate"/>
        </w:r>
        <w:r w:rsidR="00F261A3">
          <w:rPr>
            <w:noProof/>
            <w:szCs w:val="22"/>
          </w:rPr>
          <w:t>7</w:t>
        </w:r>
        <w:r w:rsidR="003906F1" w:rsidRPr="008B3B89">
          <w:rPr>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B07AC" w14:textId="77777777" w:rsidR="00931056" w:rsidRDefault="00931056">
      <w:r>
        <w:separator/>
      </w:r>
    </w:p>
  </w:footnote>
  <w:footnote w:type="continuationSeparator" w:id="0">
    <w:p w14:paraId="58A9B236" w14:textId="77777777" w:rsidR="00931056" w:rsidRDefault="00931056">
      <w:r>
        <w:continuationSeparator/>
      </w:r>
    </w:p>
  </w:footnote>
  <w:footnote w:type="continuationNotice" w:id="1">
    <w:p w14:paraId="40495322" w14:textId="77777777" w:rsidR="00931056" w:rsidRDefault="009310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F4AF" w14:textId="255B3B2C" w:rsidR="00B41F5E" w:rsidRDefault="00B41F5E">
    <w:pPr>
      <w:pStyle w:val="Header"/>
    </w:pPr>
    <w:r>
      <w:rPr>
        <w:noProof/>
      </w:rPr>
      <mc:AlternateContent>
        <mc:Choice Requires="wps">
          <w:drawing>
            <wp:anchor distT="0" distB="0" distL="0" distR="0" simplePos="0" relativeHeight="251659264" behindDoc="0" locked="0" layoutInCell="1" allowOverlap="1" wp14:anchorId="37F9C626" wp14:editId="3B3786B7">
              <wp:simplePos x="635" y="635"/>
              <wp:positionH relativeFrom="page">
                <wp:align>right</wp:align>
              </wp:positionH>
              <wp:positionV relativeFrom="page">
                <wp:align>top</wp:align>
              </wp:positionV>
              <wp:extent cx="1190625" cy="361315"/>
              <wp:effectExtent l="0" t="0" r="0" b="635"/>
              <wp:wrapNone/>
              <wp:docPr id="1772972850"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417CEF89" w14:textId="70FE4098" w:rsidR="00B41F5E" w:rsidRPr="00B41F5E" w:rsidRDefault="00B41F5E" w:rsidP="00B41F5E">
                          <w:pPr>
                            <w:rPr>
                              <w:rFonts w:ascii="Calibri" w:eastAsia="Calibri" w:hAnsi="Calibri" w:cs="Calibri"/>
                              <w:noProof/>
                              <w:color w:val="008000"/>
                              <w:szCs w:val="22"/>
                            </w:rPr>
                          </w:pPr>
                          <w:r w:rsidRPr="00B41F5E">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F9C626"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KId8q5zAgAAtwQAAA4AAAAAAAAA&#10;AAAAAAAALgIAAGRycy9lMm9Eb2MueG1sUEsBAi0AFAAGAAgAAAAhAB31uxfdAAAABAEAAA8AAAAA&#10;AAAAAAAAAAAAzQQAAGRycy9kb3ducmV2LnhtbFBLBQYAAAAABAAEAPMAAADXBQAAAAA=&#10;" filled="f" stroked="f">
              <v:textbox style="mso-fit-shape-to-text:t" inset="0,15pt,20pt,0">
                <w:txbxContent>
                  <w:p w14:paraId="417CEF89" w14:textId="70FE4098" w:rsidR="00B41F5E" w:rsidRPr="00B41F5E" w:rsidRDefault="00B41F5E" w:rsidP="00B41F5E">
                    <w:pPr>
                      <w:rPr>
                        <w:rFonts w:ascii="Calibri" w:eastAsia="Calibri" w:hAnsi="Calibri" w:cs="Calibri"/>
                        <w:noProof/>
                        <w:color w:val="008000"/>
                        <w:szCs w:val="22"/>
                      </w:rPr>
                    </w:pPr>
                    <w:r w:rsidRPr="00B41F5E">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5F07" w14:textId="0713D3D6" w:rsidR="00CC1B60" w:rsidRDefault="00CC1B60">
    <w:pPr>
      <w:pStyle w:val="Header"/>
      <w:rPr>
        <w:lang w:val="sr-Latn-RS"/>
      </w:rPr>
    </w:pPr>
  </w:p>
  <w:p w14:paraId="74AF5F08" w14:textId="77777777" w:rsidR="0069272B" w:rsidRPr="0069272B" w:rsidRDefault="0069272B">
    <w:pPr>
      <w:pStyle w:val="Header"/>
      <w:rPr>
        <w:lang w:val="sr-Latn-R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5F0D" w14:textId="21D6826F" w:rsidR="0069272B" w:rsidRDefault="0069272B">
    <w:pPr>
      <w:pStyle w:val="Header"/>
      <w:rPr>
        <w:lang w:val="sr-Latn-RS"/>
      </w:rPr>
    </w:pPr>
  </w:p>
  <w:p w14:paraId="74AF5F0E" w14:textId="33D856BC" w:rsidR="0069272B" w:rsidRPr="0069272B" w:rsidRDefault="0069272B" w:rsidP="00630D37">
    <w:pPr>
      <w:pStyle w:val="Header"/>
      <w:jc w:val="left"/>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569636A"/>
    <w:multiLevelType w:val="hybridMultilevel"/>
    <w:tmpl w:val="1728C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B57CC5"/>
    <w:multiLevelType w:val="hybridMultilevel"/>
    <w:tmpl w:val="B8A08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B53"/>
    <w:rsid w:val="000054B8"/>
    <w:rsid w:val="00007EF9"/>
    <w:rsid w:val="00014656"/>
    <w:rsid w:val="00016715"/>
    <w:rsid w:val="00017801"/>
    <w:rsid w:val="0002279D"/>
    <w:rsid w:val="00026515"/>
    <w:rsid w:val="000317BA"/>
    <w:rsid w:val="00033F2D"/>
    <w:rsid w:val="000514F7"/>
    <w:rsid w:val="000538B5"/>
    <w:rsid w:val="000567A1"/>
    <w:rsid w:val="00057007"/>
    <w:rsid w:val="00057794"/>
    <w:rsid w:val="0005798D"/>
    <w:rsid w:val="00064273"/>
    <w:rsid w:val="00072015"/>
    <w:rsid w:val="00074A03"/>
    <w:rsid w:val="00083BE0"/>
    <w:rsid w:val="00092D2B"/>
    <w:rsid w:val="00095FB6"/>
    <w:rsid w:val="00095FC8"/>
    <w:rsid w:val="0009758B"/>
    <w:rsid w:val="000A0F4A"/>
    <w:rsid w:val="000A11BB"/>
    <w:rsid w:val="000B4433"/>
    <w:rsid w:val="000D1AB2"/>
    <w:rsid w:val="000D42C3"/>
    <w:rsid w:val="000D5631"/>
    <w:rsid w:val="000D592F"/>
    <w:rsid w:val="000D7115"/>
    <w:rsid w:val="000E351E"/>
    <w:rsid w:val="000E75C0"/>
    <w:rsid w:val="000F31CA"/>
    <w:rsid w:val="000F42C3"/>
    <w:rsid w:val="000F46AF"/>
    <w:rsid w:val="000F62EA"/>
    <w:rsid w:val="000F774C"/>
    <w:rsid w:val="00100C3E"/>
    <w:rsid w:val="00101DFD"/>
    <w:rsid w:val="00107322"/>
    <w:rsid w:val="00115D30"/>
    <w:rsid w:val="00116647"/>
    <w:rsid w:val="001203B1"/>
    <w:rsid w:val="00121AFA"/>
    <w:rsid w:val="00141639"/>
    <w:rsid w:val="0014180A"/>
    <w:rsid w:val="00143842"/>
    <w:rsid w:val="001452EB"/>
    <w:rsid w:val="001460B6"/>
    <w:rsid w:val="0014695C"/>
    <w:rsid w:val="00151D14"/>
    <w:rsid w:val="00152550"/>
    <w:rsid w:val="00156B8D"/>
    <w:rsid w:val="00173D18"/>
    <w:rsid w:val="00175772"/>
    <w:rsid w:val="00175A7E"/>
    <w:rsid w:val="00183261"/>
    <w:rsid w:val="00184E10"/>
    <w:rsid w:val="0018601D"/>
    <w:rsid w:val="001910D7"/>
    <w:rsid w:val="00191998"/>
    <w:rsid w:val="00194EF3"/>
    <w:rsid w:val="001950ED"/>
    <w:rsid w:val="001B01A8"/>
    <w:rsid w:val="001B3B2C"/>
    <w:rsid w:val="001B706A"/>
    <w:rsid w:val="001D10C9"/>
    <w:rsid w:val="001D7305"/>
    <w:rsid w:val="001D73E6"/>
    <w:rsid w:val="001E0A07"/>
    <w:rsid w:val="001E14BD"/>
    <w:rsid w:val="001E6145"/>
    <w:rsid w:val="001F2D4E"/>
    <w:rsid w:val="001F39B6"/>
    <w:rsid w:val="001F7228"/>
    <w:rsid w:val="0020586A"/>
    <w:rsid w:val="0020640F"/>
    <w:rsid w:val="00206A96"/>
    <w:rsid w:val="00220F6E"/>
    <w:rsid w:val="0022218E"/>
    <w:rsid w:val="0022223A"/>
    <w:rsid w:val="00230946"/>
    <w:rsid w:val="00230CF5"/>
    <w:rsid w:val="00231AEC"/>
    <w:rsid w:val="002371D0"/>
    <w:rsid w:val="0024132F"/>
    <w:rsid w:val="00242DCD"/>
    <w:rsid w:val="0024472A"/>
    <w:rsid w:val="00247687"/>
    <w:rsid w:val="00247C5C"/>
    <w:rsid w:val="00254CBB"/>
    <w:rsid w:val="0025708F"/>
    <w:rsid w:val="00271D6D"/>
    <w:rsid w:val="00273BE0"/>
    <w:rsid w:val="00275039"/>
    <w:rsid w:val="002801C0"/>
    <w:rsid w:val="0028531B"/>
    <w:rsid w:val="00293B5A"/>
    <w:rsid w:val="00296EEC"/>
    <w:rsid w:val="002970DB"/>
    <w:rsid w:val="002B0FE8"/>
    <w:rsid w:val="002B66BE"/>
    <w:rsid w:val="002B6F6A"/>
    <w:rsid w:val="002C0FBF"/>
    <w:rsid w:val="002C1741"/>
    <w:rsid w:val="002D3A34"/>
    <w:rsid w:val="002D711A"/>
    <w:rsid w:val="002D79F5"/>
    <w:rsid w:val="002F287D"/>
    <w:rsid w:val="002F2964"/>
    <w:rsid w:val="002F2ABE"/>
    <w:rsid w:val="002F5E2F"/>
    <w:rsid w:val="00303E6F"/>
    <w:rsid w:val="003055C4"/>
    <w:rsid w:val="00306A71"/>
    <w:rsid w:val="0030761E"/>
    <w:rsid w:val="00307ECE"/>
    <w:rsid w:val="003144A3"/>
    <w:rsid w:val="00316FC0"/>
    <w:rsid w:val="00323FD5"/>
    <w:rsid w:val="00327BF6"/>
    <w:rsid w:val="00330CD9"/>
    <w:rsid w:val="003321FF"/>
    <w:rsid w:val="00340C08"/>
    <w:rsid w:val="003421BB"/>
    <w:rsid w:val="00342F01"/>
    <w:rsid w:val="003452C0"/>
    <w:rsid w:val="0035067F"/>
    <w:rsid w:val="00356563"/>
    <w:rsid w:val="003641F9"/>
    <w:rsid w:val="00364DD3"/>
    <w:rsid w:val="0036761B"/>
    <w:rsid w:val="00376573"/>
    <w:rsid w:val="00380C53"/>
    <w:rsid w:val="003817E1"/>
    <w:rsid w:val="00382C59"/>
    <w:rsid w:val="00383195"/>
    <w:rsid w:val="003906F1"/>
    <w:rsid w:val="003915BC"/>
    <w:rsid w:val="00391FBF"/>
    <w:rsid w:val="003A2DF8"/>
    <w:rsid w:val="003A77FB"/>
    <w:rsid w:val="003B2082"/>
    <w:rsid w:val="003C0CD8"/>
    <w:rsid w:val="003C18A4"/>
    <w:rsid w:val="003C3471"/>
    <w:rsid w:val="003C39AB"/>
    <w:rsid w:val="003C55ED"/>
    <w:rsid w:val="003D3747"/>
    <w:rsid w:val="003D7176"/>
    <w:rsid w:val="003E3EC7"/>
    <w:rsid w:val="003E60B0"/>
    <w:rsid w:val="003F1CE7"/>
    <w:rsid w:val="003F4B61"/>
    <w:rsid w:val="003F69A2"/>
    <w:rsid w:val="00406246"/>
    <w:rsid w:val="00410D3C"/>
    <w:rsid w:val="004123CD"/>
    <w:rsid w:val="004144E8"/>
    <w:rsid w:val="0041680E"/>
    <w:rsid w:val="00417730"/>
    <w:rsid w:val="004228D9"/>
    <w:rsid w:val="004231E2"/>
    <w:rsid w:val="004234ED"/>
    <w:rsid w:val="00424EF3"/>
    <w:rsid w:val="00427D41"/>
    <w:rsid w:val="00437B97"/>
    <w:rsid w:val="00445417"/>
    <w:rsid w:val="00446384"/>
    <w:rsid w:val="004514D8"/>
    <w:rsid w:val="00452A15"/>
    <w:rsid w:val="00452B00"/>
    <w:rsid w:val="0045381D"/>
    <w:rsid w:val="00456FB6"/>
    <w:rsid w:val="00462C33"/>
    <w:rsid w:val="00462DE9"/>
    <w:rsid w:val="004677CD"/>
    <w:rsid w:val="00471936"/>
    <w:rsid w:val="004758A4"/>
    <w:rsid w:val="0048420C"/>
    <w:rsid w:val="0049134D"/>
    <w:rsid w:val="00492248"/>
    <w:rsid w:val="00493D32"/>
    <w:rsid w:val="00495EDD"/>
    <w:rsid w:val="004972BD"/>
    <w:rsid w:val="00497648"/>
    <w:rsid w:val="004A2E5C"/>
    <w:rsid w:val="004B34DA"/>
    <w:rsid w:val="004B39C8"/>
    <w:rsid w:val="004B4AE2"/>
    <w:rsid w:val="004B5A11"/>
    <w:rsid w:val="004B7850"/>
    <w:rsid w:val="004B7A50"/>
    <w:rsid w:val="004C0083"/>
    <w:rsid w:val="004C232D"/>
    <w:rsid w:val="004C37A3"/>
    <w:rsid w:val="004C4F15"/>
    <w:rsid w:val="004C4F4B"/>
    <w:rsid w:val="004C5602"/>
    <w:rsid w:val="004D230F"/>
    <w:rsid w:val="004D7161"/>
    <w:rsid w:val="004E02C4"/>
    <w:rsid w:val="004F1E6E"/>
    <w:rsid w:val="00503974"/>
    <w:rsid w:val="00512E23"/>
    <w:rsid w:val="00516032"/>
    <w:rsid w:val="005205F1"/>
    <w:rsid w:val="0052230B"/>
    <w:rsid w:val="00522C28"/>
    <w:rsid w:val="00522E34"/>
    <w:rsid w:val="0052428C"/>
    <w:rsid w:val="005246DA"/>
    <w:rsid w:val="00524ACD"/>
    <w:rsid w:val="00525A8A"/>
    <w:rsid w:val="005276F0"/>
    <w:rsid w:val="00530909"/>
    <w:rsid w:val="0054284E"/>
    <w:rsid w:val="00543C8A"/>
    <w:rsid w:val="00544D50"/>
    <w:rsid w:val="005607D7"/>
    <w:rsid w:val="00560A26"/>
    <w:rsid w:val="005730C7"/>
    <w:rsid w:val="00581A13"/>
    <w:rsid w:val="00582625"/>
    <w:rsid w:val="00595A13"/>
    <w:rsid w:val="005A4234"/>
    <w:rsid w:val="005B270D"/>
    <w:rsid w:val="005B3388"/>
    <w:rsid w:val="005B3A6B"/>
    <w:rsid w:val="005C1E16"/>
    <w:rsid w:val="005C3CB3"/>
    <w:rsid w:val="005C3F73"/>
    <w:rsid w:val="005C6E88"/>
    <w:rsid w:val="005C7891"/>
    <w:rsid w:val="005D2730"/>
    <w:rsid w:val="005D3272"/>
    <w:rsid w:val="005F60BC"/>
    <w:rsid w:val="006007CC"/>
    <w:rsid w:val="00601BF7"/>
    <w:rsid w:val="00603302"/>
    <w:rsid w:val="00603603"/>
    <w:rsid w:val="00604E4F"/>
    <w:rsid w:val="006054EE"/>
    <w:rsid w:val="006118B6"/>
    <w:rsid w:val="00617302"/>
    <w:rsid w:val="00621208"/>
    <w:rsid w:val="006270C0"/>
    <w:rsid w:val="00627B84"/>
    <w:rsid w:val="00630195"/>
    <w:rsid w:val="00630D37"/>
    <w:rsid w:val="00634496"/>
    <w:rsid w:val="00641218"/>
    <w:rsid w:val="006471CB"/>
    <w:rsid w:val="00654DD3"/>
    <w:rsid w:val="006559AF"/>
    <w:rsid w:val="00656785"/>
    <w:rsid w:val="0065696B"/>
    <w:rsid w:val="00660ED5"/>
    <w:rsid w:val="00662410"/>
    <w:rsid w:val="006658E7"/>
    <w:rsid w:val="00680C5B"/>
    <w:rsid w:val="00690870"/>
    <w:rsid w:val="006917AF"/>
    <w:rsid w:val="0069272B"/>
    <w:rsid w:val="0069351D"/>
    <w:rsid w:val="00693874"/>
    <w:rsid w:val="00693F46"/>
    <w:rsid w:val="006955D4"/>
    <w:rsid w:val="006B02FE"/>
    <w:rsid w:val="006D62EB"/>
    <w:rsid w:val="006E26E1"/>
    <w:rsid w:val="006E6B6E"/>
    <w:rsid w:val="006F158F"/>
    <w:rsid w:val="006F1892"/>
    <w:rsid w:val="00701D57"/>
    <w:rsid w:val="00711949"/>
    <w:rsid w:val="00723925"/>
    <w:rsid w:val="00723A2C"/>
    <w:rsid w:val="00730FC5"/>
    <w:rsid w:val="00732C78"/>
    <w:rsid w:val="00733B01"/>
    <w:rsid w:val="00734CF3"/>
    <w:rsid w:val="00743276"/>
    <w:rsid w:val="00754623"/>
    <w:rsid w:val="00764648"/>
    <w:rsid w:val="00765398"/>
    <w:rsid w:val="007672F3"/>
    <w:rsid w:val="00770232"/>
    <w:rsid w:val="00774BF0"/>
    <w:rsid w:val="00785633"/>
    <w:rsid w:val="00797CC8"/>
    <w:rsid w:val="007A1A08"/>
    <w:rsid w:val="007B16C4"/>
    <w:rsid w:val="007B21B4"/>
    <w:rsid w:val="007B34B6"/>
    <w:rsid w:val="007C2D7E"/>
    <w:rsid w:val="007D17FD"/>
    <w:rsid w:val="007D1AD7"/>
    <w:rsid w:val="007D48C5"/>
    <w:rsid w:val="007D6FD3"/>
    <w:rsid w:val="007D7B76"/>
    <w:rsid w:val="007E06F0"/>
    <w:rsid w:val="007E7B8C"/>
    <w:rsid w:val="007F233D"/>
    <w:rsid w:val="00802DFC"/>
    <w:rsid w:val="00803D54"/>
    <w:rsid w:val="00803EF1"/>
    <w:rsid w:val="00806909"/>
    <w:rsid w:val="0080733F"/>
    <w:rsid w:val="00814781"/>
    <w:rsid w:val="008148F4"/>
    <w:rsid w:val="008171C4"/>
    <w:rsid w:val="00817774"/>
    <w:rsid w:val="0083165D"/>
    <w:rsid w:val="0083315A"/>
    <w:rsid w:val="00834BE3"/>
    <w:rsid w:val="00834DBB"/>
    <w:rsid w:val="00842FFB"/>
    <w:rsid w:val="0086351A"/>
    <w:rsid w:val="00866D2F"/>
    <w:rsid w:val="00867247"/>
    <w:rsid w:val="008707E2"/>
    <w:rsid w:val="00870EE5"/>
    <w:rsid w:val="008745B0"/>
    <w:rsid w:val="00874B61"/>
    <w:rsid w:val="00877A74"/>
    <w:rsid w:val="008A08E5"/>
    <w:rsid w:val="008A2ADA"/>
    <w:rsid w:val="008A33A4"/>
    <w:rsid w:val="008A3DF0"/>
    <w:rsid w:val="008A41F6"/>
    <w:rsid w:val="008A48B7"/>
    <w:rsid w:val="008B3B89"/>
    <w:rsid w:val="008B3EB5"/>
    <w:rsid w:val="008C5809"/>
    <w:rsid w:val="008D41E7"/>
    <w:rsid w:val="008D78C9"/>
    <w:rsid w:val="008E0FC9"/>
    <w:rsid w:val="008E6A0F"/>
    <w:rsid w:val="0090205B"/>
    <w:rsid w:val="00913684"/>
    <w:rsid w:val="00915A0B"/>
    <w:rsid w:val="00921CDF"/>
    <w:rsid w:val="00923865"/>
    <w:rsid w:val="0093016E"/>
    <w:rsid w:val="00931056"/>
    <w:rsid w:val="00934B4D"/>
    <w:rsid w:val="009435FE"/>
    <w:rsid w:val="00945EE4"/>
    <w:rsid w:val="00955C75"/>
    <w:rsid w:val="0096684E"/>
    <w:rsid w:val="00967612"/>
    <w:rsid w:val="009677DF"/>
    <w:rsid w:val="00982BDA"/>
    <w:rsid w:val="009946F8"/>
    <w:rsid w:val="00994A08"/>
    <w:rsid w:val="009955E3"/>
    <w:rsid w:val="00996E6B"/>
    <w:rsid w:val="0099751A"/>
    <w:rsid w:val="00997C60"/>
    <w:rsid w:val="009A1D64"/>
    <w:rsid w:val="009A6489"/>
    <w:rsid w:val="009B1292"/>
    <w:rsid w:val="009B2430"/>
    <w:rsid w:val="009B338B"/>
    <w:rsid w:val="009B58AD"/>
    <w:rsid w:val="009B5CD8"/>
    <w:rsid w:val="009B7935"/>
    <w:rsid w:val="009C1610"/>
    <w:rsid w:val="009C6A43"/>
    <w:rsid w:val="009C7BA2"/>
    <w:rsid w:val="009D1161"/>
    <w:rsid w:val="009D2A4F"/>
    <w:rsid w:val="009D667B"/>
    <w:rsid w:val="009F4449"/>
    <w:rsid w:val="009F623C"/>
    <w:rsid w:val="00A003CF"/>
    <w:rsid w:val="00A01A39"/>
    <w:rsid w:val="00A01D11"/>
    <w:rsid w:val="00A02252"/>
    <w:rsid w:val="00A03913"/>
    <w:rsid w:val="00A05160"/>
    <w:rsid w:val="00A07BCD"/>
    <w:rsid w:val="00A1158C"/>
    <w:rsid w:val="00A127F1"/>
    <w:rsid w:val="00A17E7C"/>
    <w:rsid w:val="00A240FF"/>
    <w:rsid w:val="00A2443F"/>
    <w:rsid w:val="00A25225"/>
    <w:rsid w:val="00A27130"/>
    <w:rsid w:val="00A3529C"/>
    <w:rsid w:val="00A36AD4"/>
    <w:rsid w:val="00A43205"/>
    <w:rsid w:val="00A454D7"/>
    <w:rsid w:val="00A56ABB"/>
    <w:rsid w:val="00A7147C"/>
    <w:rsid w:val="00A7660B"/>
    <w:rsid w:val="00A7790F"/>
    <w:rsid w:val="00A80800"/>
    <w:rsid w:val="00A81B47"/>
    <w:rsid w:val="00A827F9"/>
    <w:rsid w:val="00A85514"/>
    <w:rsid w:val="00A86897"/>
    <w:rsid w:val="00A93643"/>
    <w:rsid w:val="00A94C4F"/>
    <w:rsid w:val="00A95733"/>
    <w:rsid w:val="00A96BE8"/>
    <w:rsid w:val="00AA3C0D"/>
    <w:rsid w:val="00AA4873"/>
    <w:rsid w:val="00AA5C78"/>
    <w:rsid w:val="00AB2CC9"/>
    <w:rsid w:val="00AB5465"/>
    <w:rsid w:val="00AC2434"/>
    <w:rsid w:val="00AC45D8"/>
    <w:rsid w:val="00AC4BB7"/>
    <w:rsid w:val="00AD0C9E"/>
    <w:rsid w:val="00AD7B5D"/>
    <w:rsid w:val="00AF77DE"/>
    <w:rsid w:val="00B07582"/>
    <w:rsid w:val="00B1513B"/>
    <w:rsid w:val="00B21F2B"/>
    <w:rsid w:val="00B26FAC"/>
    <w:rsid w:val="00B31AA2"/>
    <w:rsid w:val="00B4121D"/>
    <w:rsid w:val="00B41F5E"/>
    <w:rsid w:val="00B43727"/>
    <w:rsid w:val="00B519DE"/>
    <w:rsid w:val="00B542FA"/>
    <w:rsid w:val="00B62DAF"/>
    <w:rsid w:val="00B74C0B"/>
    <w:rsid w:val="00B76DA2"/>
    <w:rsid w:val="00B8400D"/>
    <w:rsid w:val="00B848D5"/>
    <w:rsid w:val="00B85288"/>
    <w:rsid w:val="00B856A4"/>
    <w:rsid w:val="00B872CA"/>
    <w:rsid w:val="00B87BF6"/>
    <w:rsid w:val="00B914AF"/>
    <w:rsid w:val="00B93100"/>
    <w:rsid w:val="00B93A37"/>
    <w:rsid w:val="00B9483B"/>
    <w:rsid w:val="00BA0124"/>
    <w:rsid w:val="00BA1819"/>
    <w:rsid w:val="00BA3C11"/>
    <w:rsid w:val="00BA402E"/>
    <w:rsid w:val="00BA5A22"/>
    <w:rsid w:val="00BA5DC1"/>
    <w:rsid w:val="00BB55E5"/>
    <w:rsid w:val="00BC054A"/>
    <w:rsid w:val="00BC5EEC"/>
    <w:rsid w:val="00BD725A"/>
    <w:rsid w:val="00BD7419"/>
    <w:rsid w:val="00BD7C57"/>
    <w:rsid w:val="00BE0639"/>
    <w:rsid w:val="00BE12BC"/>
    <w:rsid w:val="00BE3FE3"/>
    <w:rsid w:val="00BF1291"/>
    <w:rsid w:val="00BF3750"/>
    <w:rsid w:val="00BF60DF"/>
    <w:rsid w:val="00C00721"/>
    <w:rsid w:val="00C0107E"/>
    <w:rsid w:val="00C06244"/>
    <w:rsid w:val="00C12313"/>
    <w:rsid w:val="00C153B5"/>
    <w:rsid w:val="00C16579"/>
    <w:rsid w:val="00C20127"/>
    <w:rsid w:val="00C26233"/>
    <w:rsid w:val="00C34F32"/>
    <w:rsid w:val="00C4553E"/>
    <w:rsid w:val="00C51BDF"/>
    <w:rsid w:val="00C536C2"/>
    <w:rsid w:val="00C55F47"/>
    <w:rsid w:val="00C56E2E"/>
    <w:rsid w:val="00C5754A"/>
    <w:rsid w:val="00C64A31"/>
    <w:rsid w:val="00C6738C"/>
    <w:rsid w:val="00C708F1"/>
    <w:rsid w:val="00C71622"/>
    <w:rsid w:val="00C741DE"/>
    <w:rsid w:val="00C7628D"/>
    <w:rsid w:val="00C7768D"/>
    <w:rsid w:val="00C778AF"/>
    <w:rsid w:val="00C821CD"/>
    <w:rsid w:val="00C82E8B"/>
    <w:rsid w:val="00C94757"/>
    <w:rsid w:val="00C9509E"/>
    <w:rsid w:val="00CA2C24"/>
    <w:rsid w:val="00CA3889"/>
    <w:rsid w:val="00CB2FE8"/>
    <w:rsid w:val="00CC0901"/>
    <w:rsid w:val="00CC0FF5"/>
    <w:rsid w:val="00CC1949"/>
    <w:rsid w:val="00CC1B60"/>
    <w:rsid w:val="00CC2E42"/>
    <w:rsid w:val="00CC4C88"/>
    <w:rsid w:val="00CC6920"/>
    <w:rsid w:val="00CD0B1F"/>
    <w:rsid w:val="00CD3C43"/>
    <w:rsid w:val="00CD3F96"/>
    <w:rsid w:val="00CD7C68"/>
    <w:rsid w:val="00CE09F3"/>
    <w:rsid w:val="00CE22D9"/>
    <w:rsid w:val="00CE2EDC"/>
    <w:rsid w:val="00CE76DA"/>
    <w:rsid w:val="00D11E94"/>
    <w:rsid w:val="00D2083E"/>
    <w:rsid w:val="00D248BE"/>
    <w:rsid w:val="00D252B1"/>
    <w:rsid w:val="00D30389"/>
    <w:rsid w:val="00D31588"/>
    <w:rsid w:val="00D337F6"/>
    <w:rsid w:val="00D402EA"/>
    <w:rsid w:val="00D41945"/>
    <w:rsid w:val="00D51C20"/>
    <w:rsid w:val="00D52CDB"/>
    <w:rsid w:val="00D5525E"/>
    <w:rsid w:val="00D61710"/>
    <w:rsid w:val="00D6611E"/>
    <w:rsid w:val="00D751A9"/>
    <w:rsid w:val="00D85F37"/>
    <w:rsid w:val="00D87505"/>
    <w:rsid w:val="00DA78C5"/>
    <w:rsid w:val="00DB2AB6"/>
    <w:rsid w:val="00DB4534"/>
    <w:rsid w:val="00DC4394"/>
    <w:rsid w:val="00DD071D"/>
    <w:rsid w:val="00DD2A82"/>
    <w:rsid w:val="00DD4A18"/>
    <w:rsid w:val="00DD7872"/>
    <w:rsid w:val="00DE0550"/>
    <w:rsid w:val="00DE3503"/>
    <w:rsid w:val="00DE6BF1"/>
    <w:rsid w:val="00DE7B0C"/>
    <w:rsid w:val="00DF46E4"/>
    <w:rsid w:val="00E03362"/>
    <w:rsid w:val="00E04856"/>
    <w:rsid w:val="00E10B56"/>
    <w:rsid w:val="00E14B3B"/>
    <w:rsid w:val="00E14EC0"/>
    <w:rsid w:val="00E24064"/>
    <w:rsid w:val="00E244D6"/>
    <w:rsid w:val="00E4222E"/>
    <w:rsid w:val="00E42B65"/>
    <w:rsid w:val="00E4789A"/>
    <w:rsid w:val="00E50CD3"/>
    <w:rsid w:val="00E53564"/>
    <w:rsid w:val="00E56089"/>
    <w:rsid w:val="00E63AFD"/>
    <w:rsid w:val="00E73F22"/>
    <w:rsid w:val="00E74FBF"/>
    <w:rsid w:val="00E76F93"/>
    <w:rsid w:val="00E87BE1"/>
    <w:rsid w:val="00E940F8"/>
    <w:rsid w:val="00EA020F"/>
    <w:rsid w:val="00EA127C"/>
    <w:rsid w:val="00EA1F85"/>
    <w:rsid w:val="00EA370D"/>
    <w:rsid w:val="00EB5076"/>
    <w:rsid w:val="00EB598A"/>
    <w:rsid w:val="00EB66D3"/>
    <w:rsid w:val="00EC2040"/>
    <w:rsid w:val="00EC3B12"/>
    <w:rsid w:val="00EC5295"/>
    <w:rsid w:val="00EC5388"/>
    <w:rsid w:val="00ED0C25"/>
    <w:rsid w:val="00ED15F9"/>
    <w:rsid w:val="00ED3B0E"/>
    <w:rsid w:val="00ED4585"/>
    <w:rsid w:val="00ED566B"/>
    <w:rsid w:val="00ED735F"/>
    <w:rsid w:val="00EE47FB"/>
    <w:rsid w:val="00EF15EC"/>
    <w:rsid w:val="00EF1A35"/>
    <w:rsid w:val="00EF30B0"/>
    <w:rsid w:val="00EF7647"/>
    <w:rsid w:val="00F0749F"/>
    <w:rsid w:val="00F1161F"/>
    <w:rsid w:val="00F11CA0"/>
    <w:rsid w:val="00F16329"/>
    <w:rsid w:val="00F25DF2"/>
    <w:rsid w:val="00F261A3"/>
    <w:rsid w:val="00F263A2"/>
    <w:rsid w:val="00F2701B"/>
    <w:rsid w:val="00F27D07"/>
    <w:rsid w:val="00F32EF2"/>
    <w:rsid w:val="00F35B7F"/>
    <w:rsid w:val="00F42610"/>
    <w:rsid w:val="00F5013B"/>
    <w:rsid w:val="00F54870"/>
    <w:rsid w:val="00F5775F"/>
    <w:rsid w:val="00F63F24"/>
    <w:rsid w:val="00F65B0C"/>
    <w:rsid w:val="00F704BB"/>
    <w:rsid w:val="00F71EBD"/>
    <w:rsid w:val="00F84A9B"/>
    <w:rsid w:val="00F85090"/>
    <w:rsid w:val="00F93705"/>
    <w:rsid w:val="00F972AF"/>
    <w:rsid w:val="00FA0F8A"/>
    <w:rsid w:val="00FB19DD"/>
    <w:rsid w:val="00FC274F"/>
    <w:rsid w:val="00FC3625"/>
    <w:rsid w:val="00FD0629"/>
    <w:rsid w:val="00FD0650"/>
    <w:rsid w:val="00FD61C7"/>
    <w:rsid w:val="00FE2894"/>
    <w:rsid w:val="00FF0CC3"/>
    <w:rsid w:val="00FF0D13"/>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F5DED"/>
  <w15:docId w15:val="{75C0D220-5AD5-4264-9C81-C183D920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customStyle="1" w:styleId="Heading4Char">
    <w:name w:val="Heading 4 Char"/>
    <w:link w:val="Heading4"/>
    <w:uiPriority w:val="9"/>
    <w:semiHidden/>
    <w:locked/>
    <w:rPr>
      <w:rFonts w:ascii="Calibri"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Char Char1"/>
    <w:basedOn w:val="Normal"/>
    <w:link w:val="HeaderChar"/>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link w:val="Header"/>
    <w:uiPriority w:val="99"/>
    <w:semiHidden/>
    <w:locked/>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character" w:customStyle="1" w:styleId="hps">
    <w:name w:val="hps"/>
    <w:basedOn w:val="DefaultParagraphFont"/>
    <w:rsid w:val="00BE12BC"/>
  </w:style>
  <w:style w:type="character" w:customStyle="1" w:styleId="hpsatn">
    <w:name w:val="hps atn"/>
    <w:basedOn w:val="DefaultParagraphFont"/>
    <w:rsid w:val="00BE12BC"/>
  </w:style>
  <w:style w:type="character" w:customStyle="1" w:styleId="atn">
    <w:name w:val="atn"/>
    <w:basedOn w:val="DefaultParagraphFont"/>
    <w:rsid w:val="00BE12BC"/>
  </w:style>
  <w:style w:type="character" w:styleId="Hyperlink">
    <w:name w:val="Hyperlink"/>
    <w:uiPriority w:val="99"/>
    <w:unhideWhenUsed/>
    <w:rsid w:val="00A94C4F"/>
    <w:rPr>
      <w:color w:val="0000FF"/>
      <w:u w:val="single"/>
    </w:rPr>
  </w:style>
  <w:style w:type="paragraph" w:styleId="Revision">
    <w:name w:val="Revision"/>
    <w:hidden/>
    <w:uiPriority w:val="99"/>
    <w:semiHidden/>
    <w:rsid w:val="00CC1B60"/>
    <w:rPr>
      <w:sz w:val="22"/>
      <w:szCs w:val="24"/>
    </w:rPr>
  </w:style>
  <w:style w:type="character" w:customStyle="1" w:styleId="UnresolvedMention1">
    <w:name w:val="Unresolved Mention1"/>
    <w:basedOn w:val="DefaultParagraphFont"/>
    <w:uiPriority w:val="99"/>
    <w:semiHidden/>
    <w:unhideWhenUsed/>
    <w:rsid w:val="00E4789A"/>
    <w:rPr>
      <w:color w:val="605E5C"/>
      <w:shd w:val="clear" w:color="auto" w:fill="E1DFDD"/>
    </w:rPr>
  </w:style>
  <w:style w:type="paragraph" w:customStyle="1" w:styleId="Default">
    <w:name w:val="Default"/>
    <w:rsid w:val="00997C6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941822">
      <w:bodyDiv w:val="1"/>
      <w:marLeft w:val="0"/>
      <w:marRight w:val="0"/>
      <w:marTop w:val="0"/>
      <w:marBottom w:val="0"/>
      <w:divBdr>
        <w:top w:val="none" w:sz="0" w:space="0" w:color="auto"/>
        <w:left w:val="none" w:sz="0" w:space="0" w:color="auto"/>
        <w:bottom w:val="none" w:sz="0" w:space="0" w:color="auto"/>
        <w:right w:val="none" w:sz="0" w:space="0" w:color="auto"/>
      </w:divBdr>
      <w:divsChild>
        <w:div w:id="50229191">
          <w:marLeft w:val="0"/>
          <w:marRight w:val="0"/>
          <w:marTop w:val="0"/>
          <w:marBottom w:val="0"/>
          <w:divBdr>
            <w:top w:val="none" w:sz="0" w:space="0" w:color="auto"/>
            <w:left w:val="none" w:sz="0" w:space="0" w:color="auto"/>
            <w:bottom w:val="none" w:sz="0" w:space="0" w:color="auto"/>
            <w:right w:val="none" w:sz="0" w:space="0" w:color="auto"/>
          </w:divBdr>
          <w:divsChild>
            <w:div w:id="715205775">
              <w:marLeft w:val="0"/>
              <w:marRight w:val="0"/>
              <w:marTop w:val="0"/>
              <w:marBottom w:val="0"/>
              <w:divBdr>
                <w:top w:val="none" w:sz="0" w:space="0" w:color="auto"/>
                <w:left w:val="none" w:sz="0" w:space="0" w:color="auto"/>
                <w:bottom w:val="none" w:sz="0" w:space="0" w:color="auto"/>
                <w:right w:val="none" w:sz="0" w:space="0" w:color="auto"/>
              </w:divBdr>
              <w:divsChild>
                <w:div w:id="264265195">
                  <w:marLeft w:val="0"/>
                  <w:marRight w:val="0"/>
                  <w:marTop w:val="0"/>
                  <w:marBottom w:val="0"/>
                  <w:divBdr>
                    <w:top w:val="none" w:sz="0" w:space="0" w:color="auto"/>
                    <w:left w:val="none" w:sz="0" w:space="0" w:color="auto"/>
                    <w:bottom w:val="none" w:sz="0" w:space="0" w:color="auto"/>
                    <w:right w:val="none" w:sz="0" w:space="0" w:color="auto"/>
                  </w:divBdr>
                  <w:divsChild>
                    <w:div w:id="18731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inmed.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giflow-eforms.who-umc.org/me/mead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zeljenadejstva@cinmed.m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6b5af92-3337-4aab-aaa2-18764cb258e9" xsi:nil="true"/>
    <lcf76f155ced4ddcb4097134ff3c332f xmlns="16b5af92-3337-4aab-aaa2-18764cb258e9">
      <Terms xmlns="http://schemas.microsoft.com/office/infopath/2007/PartnerControls"/>
    </lcf76f155ced4ddcb4097134ff3c332f>
    <TaxCatchAll xmlns="12a5d3b2-884a-452c-a3ce-6c7caf240f58" xsi:nil="true"/>
    <_Flow_SignoffStatus xmlns="16b5af92-3337-4aab-aaa2-18764cb258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4D321-B786-4314-92BE-2B72F7A996FD}">
  <ds:schemaRefs>
    <ds:schemaRef ds:uri="http://schemas.microsoft.com/sharepoint/v3/contenttype/forms"/>
  </ds:schemaRefs>
</ds:datastoreItem>
</file>

<file path=customXml/itemProps2.xml><?xml version="1.0" encoding="utf-8"?>
<ds:datastoreItem xmlns:ds="http://schemas.openxmlformats.org/officeDocument/2006/customXml" ds:itemID="{070E2147-0A10-465F-AED9-85F7CB4C97BF}">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customXml/itemProps3.xml><?xml version="1.0" encoding="utf-8"?>
<ds:datastoreItem xmlns:ds="http://schemas.openxmlformats.org/officeDocument/2006/customXml" ds:itemID="{B2349F42-2079-4CEA-9B4E-4EAFC0839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B5891-ABF5-4652-BA99-4FA7CCC254EE}">
  <ds:schemaRefs>
    <ds:schemaRef ds:uri="http://schemas.microsoft.com/sharepoint/events"/>
  </ds:schemaRefs>
</ds:datastoreItem>
</file>

<file path=customXml/itemProps5.xml><?xml version="1.0" encoding="utf-8"?>
<ds:datastoreItem xmlns:ds="http://schemas.openxmlformats.org/officeDocument/2006/customXml" ds:itemID="{8A47FCD6-624B-4B4D-ADA2-A83AD204A86A}">
  <ds:schemaRefs>
    <ds:schemaRef ds:uri="http://schemas.openxmlformats.org/officeDocument/2006/bibliography"/>
  </ds:schemaRefs>
</ds:datastoreItem>
</file>

<file path=customXml/itemProps6.xml><?xml version="1.0" encoding="utf-8"?>
<ds:datastoreItem xmlns:ds="http://schemas.openxmlformats.org/officeDocument/2006/customXml" ds:itemID="{3F2FC8B2-C247-462A-8604-09659D6A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15409</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Jonić-Popović</cp:lastModifiedBy>
  <cp:revision>6</cp:revision>
  <cp:lastPrinted>2024-08-21T08:54:00Z</cp:lastPrinted>
  <dcterms:created xsi:type="dcterms:W3CDTF">2025-06-19T08:24:00Z</dcterms:created>
  <dcterms:modified xsi:type="dcterms:W3CDTF">2025-07-11T10:15:00Z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0x010100CCBE9FD1C53E35438C7A9669A8044429</vt:lpwstr>
  </property>
  <property fmtid="{D5CDD505-2E9C-101B-9397-08002B2CF9AE}" pid="3" name="ClassificationContentMarkingHeaderShapeIds">
    <vt:lpwstr>28ddaeaa,69ad6b32,2aaa3b60</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2024-06-06T09:12:13Z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4fdd1a55-6a58-4933-8bac-e251af409426</vt:lpwstr>
  </property>
  <property fmtid="{D5CDD505-2E9C-101B-9397-08002B2CF9AE}" pid="12" name="MSIP_Label_80e91ba7-203e-4ac0-a045-4c37ad0b383b_ContentBits">
    <vt:lpwstr>1</vt:lpwstr>
  </property>
  <property fmtid="{D5CDD505-2E9C-101B-9397-08002B2CF9AE}" pid="13" name="MediaServiceImageTags">
    <vt:lpwstr/>
  </property>
</Properties>
</file>