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C4E3D" w14:textId="77777777" w:rsidR="00A415A3" w:rsidRPr="007A23EB" w:rsidRDefault="00A415A3" w:rsidP="007A23EB">
      <w:pPr>
        <w:tabs>
          <w:tab w:val="left" w:pos="550"/>
        </w:tabs>
        <w:ind w:left="284" w:hanging="284"/>
        <w:jc w:val="center"/>
        <w:rPr>
          <w:szCs w:val="22"/>
          <w:lang w:val="sr-Latn-ME"/>
        </w:rPr>
      </w:pPr>
    </w:p>
    <w:p w14:paraId="1E026742" w14:textId="77777777" w:rsidR="00A415A3" w:rsidRPr="007A23EB" w:rsidRDefault="00A415A3" w:rsidP="007A23EB">
      <w:pPr>
        <w:tabs>
          <w:tab w:val="left" w:pos="550"/>
        </w:tabs>
        <w:jc w:val="center"/>
        <w:rPr>
          <w:b/>
          <w:bCs/>
          <w:iCs/>
          <w:szCs w:val="22"/>
          <w:u w:val="single"/>
          <w:lang w:val="sr-Latn-ME"/>
        </w:rPr>
      </w:pPr>
      <w:r w:rsidRPr="007A23EB">
        <w:rPr>
          <w:b/>
          <w:bCs/>
          <w:iCs/>
          <w:szCs w:val="22"/>
          <w:u w:val="single"/>
          <w:lang w:val="sr-Latn-ME"/>
        </w:rPr>
        <w:t>SAŽETAK KARAKTERISTIKA L</w:t>
      </w:r>
      <w:r w:rsidR="00EC049D" w:rsidRPr="007A23EB">
        <w:rPr>
          <w:b/>
          <w:bCs/>
          <w:iCs/>
          <w:szCs w:val="22"/>
          <w:u w:val="single"/>
          <w:lang w:val="sr-Latn-ME"/>
        </w:rPr>
        <w:t>IJ</w:t>
      </w:r>
      <w:r w:rsidRPr="007A23EB">
        <w:rPr>
          <w:b/>
          <w:bCs/>
          <w:iCs/>
          <w:szCs w:val="22"/>
          <w:u w:val="single"/>
          <w:lang w:val="sr-Latn-ME"/>
        </w:rPr>
        <w:t>EKA</w:t>
      </w:r>
    </w:p>
    <w:p w14:paraId="5D40146F" w14:textId="77777777" w:rsidR="00A415A3" w:rsidRPr="007A23EB" w:rsidRDefault="00A415A3" w:rsidP="007A23EB">
      <w:pPr>
        <w:tabs>
          <w:tab w:val="left" w:pos="550"/>
        </w:tabs>
        <w:jc w:val="both"/>
        <w:rPr>
          <w:b/>
          <w:bCs/>
          <w:szCs w:val="22"/>
          <w:lang w:val="sr-Latn-ME"/>
        </w:rPr>
      </w:pPr>
    </w:p>
    <w:p w14:paraId="7E5CCEC5" w14:textId="77777777" w:rsidR="00A415A3" w:rsidRPr="007A23EB" w:rsidRDefault="00A415A3" w:rsidP="007A23EB">
      <w:pPr>
        <w:tabs>
          <w:tab w:val="left" w:pos="550"/>
        </w:tabs>
        <w:jc w:val="both"/>
        <w:rPr>
          <w:b/>
          <w:bCs/>
          <w:szCs w:val="22"/>
          <w:lang w:val="sr-Latn-ME"/>
        </w:rPr>
      </w:pPr>
    </w:p>
    <w:p w14:paraId="497563B6" w14:textId="77777777" w:rsidR="00A415A3" w:rsidRPr="007A23EB" w:rsidRDefault="00A415A3" w:rsidP="007A23EB">
      <w:pPr>
        <w:tabs>
          <w:tab w:val="left" w:pos="550"/>
        </w:tabs>
        <w:jc w:val="both"/>
        <w:rPr>
          <w:b/>
          <w:bCs/>
          <w:szCs w:val="22"/>
          <w:lang w:val="sr-Latn-ME"/>
        </w:rPr>
      </w:pPr>
    </w:p>
    <w:p w14:paraId="377F189B" w14:textId="5899AC2E" w:rsidR="00A415A3" w:rsidRPr="007A23EB" w:rsidRDefault="007A23EB" w:rsidP="007A23EB">
      <w:pPr>
        <w:pStyle w:val="NASLOV123"/>
        <w:tabs>
          <w:tab w:val="left" w:pos="550"/>
        </w:tabs>
        <w:jc w:val="both"/>
        <w:rPr>
          <w:lang w:val="sr-Latn-ME"/>
        </w:rPr>
      </w:pPr>
      <w:r w:rsidRPr="007A23EB">
        <w:rPr>
          <w:bCs/>
          <w:lang w:val="sr-Latn-ME"/>
        </w:rPr>
        <w:t>1</w:t>
      </w:r>
      <w:r w:rsidRPr="007A23EB">
        <w:rPr>
          <w:lang w:val="sr-Latn-ME"/>
        </w:rPr>
        <w:t>.</w:t>
      </w:r>
      <w:r>
        <w:rPr>
          <w:lang w:val="sr-Latn-ME"/>
        </w:rPr>
        <w:tab/>
      </w:r>
      <w:r w:rsidR="00A51972" w:rsidRPr="007A23EB">
        <w:rPr>
          <w:lang w:val="sr-Latn-ME"/>
        </w:rPr>
        <w:t>NAZIV</w:t>
      </w:r>
      <w:r w:rsidR="00A415A3" w:rsidRPr="007A23EB">
        <w:rPr>
          <w:lang w:val="sr-Latn-ME"/>
        </w:rPr>
        <w:t xml:space="preserve"> L</w:t>
      </w:r>
      <w:r w:rsidR="00EC049D" w:rsidRPr="007A23EB">
        <w:rPr>
          <w:lang w:val="sr-Latn-ME"/>
        </w:rPr>
        <w:t>IJ</w:t>
      </w:r>
      <w:r w:rsidR="00A415A3" w:rsidRPr="007A23EB">
        <w:rPr>
          <w:lang w:val="sr-Latn-ME"/>
        </w:rPr>
        <w:t>EKA</w:t>
      </w:r>
    </w:p>
    <w:p w14:paraId="21DFC3D5" w14:textId="7E87F7CB" w:rsidR="00A415A3" w:rsidRPr="007A23EB" w:rsidRDefault="00A415A3" w:rsidP="007A23EB">
      <w:pPr>
        <w:tabs>
          <w:tab w:val="left" w:pos="550"/>
        </w:tabs>
        <w:jc w:val="both"/>
        <w:rPr>
          <w:bCs/>
          <w:szCs w:val="22"/>
          <w:lang w:val="sr-Latn-ME"/>
        </w:rPr>
      </w:pPr>
      <w:r w:rsidRPr="007A23EB">
        <w:rPr>
          <w:szCs w:val="22"/>
          <w:lang w:val="sr-Latn-ME"/>
        </w:rPr>
        <w:t>Gentamicin</w:t>
      </w:r>
      <w:r w:rsidR="000E59C4" w:rsidRPr="007A23EB">
        <w:rPr>
          <w:szCs w:val="22"/>
          <w:lang w:val="sr-Latn-ME"/>
        </w:rPr>
        <w:t xml:space="preserve"> GLK pharma</w:t>
      </w:r>
      <w:r w:rsidRPr="007A23EB">
        <w:rPr>
          <w:bCs/>
          <w:szCs w:val="22"/>
          <w:lang w:val="sr-Latn-ME"/>
        </w:rPr>
        <w:t>, 1 mg/g, mast</w:t>
      </w:r>
    </w:p>
    <w:p w14:paraId="20688DD5" w14:textId="77777777" w:rsidR="00A415A3" w:rsidRPr="007A23EB" w:rsidRDefault="00A415A3" w:rsidP="007A23EB">
      <w:pPr>
        <w:tabs>
          <w:tab w:val="left" w:pos="550"/>
        </w:tabs>
        <w:jc w:val="both"/>
        <w:rPr>
          <w:bCs/>
          <w:szCs w:val="22"/>
          <w:lang w:val="sr-Latn-ME"/>
        </w:rPr>
      </w:pPr>
    </w:p>
    <w:p w14:paraId="6615FAD8" w14:textId="77777777" w:rsidR="00A415A3" w:rsidRPr="007A23EB" w:rsidRDefault="00A415A3" w:rsidP="007A23EB">
      <w:pPr>
        <w:tabs>
          <w:tab w:val="left" w:pos="550"/>
        </w:tabs>
        <w:jc w:val="both"/>
        <w:rPr>
          <w:szCs w:val="22"/>
          <w:lang w:val="sr-Latn-ME"/>
        </w:rPr>
      </w:pPr>
      <w:r w:rsidRPr="007A23EB">
        <w:rPr>
          <w:szCs w:val="22"/>
          <w:lang w:val="sr-Latn-ME"/>
        </w:rPr>
        <w:t>INN: gentamicin</w:t>
      </w:r>
    </w:p>
    <w:p w14:paraId="277044A3" w14:textId="77777777" w:rsidR="00674BF6" w:rsidRPr="007A23EB" w:rsidRDefault="00674BF6" w:rsidP="007A23EB">
      <w:pPr>
        <w:pStyle w:val="NASLOV123"/>
        <w:tabs>
          <w:tab w:val="left" w:pos="550"/>
        </w:tabs>
        <w:spacing w:before="0"/>
        <w:jc w:val="both"/>
        <w:rPr>
          <w:lang w:val="sr-Latn-ME"/>
        </w:rPr>
      </w:pPr>
    </w:p>
    <w:p w14:paraId="744521D5" w14:textId="39E4BA8C" w:rsidR="00A415A3" w:rsidRPr="007A23EB" w:rsidRDefault="007A23EB" w:rsidP="007A23EB">
      <w:pPr>
        <w:pStyle w:val="NASLOV123"/>
        <w:tabs>
          <w:tab w:val="left" w:pos="550"/>
        </w:tabs>
        <w:spacing w:before="0"/>
        <w:jc w:val="both"/>
        <w:rPr>
          <w:lang w:val="sr-Latn-ME"/>
        </w:rPr>
      </w:pPr>
      <w:r>
        <w:rPr>
          <w:lang w:val="sr-Latn-ME"/>
        </w:rPr>
        <w:t>2.</w:t>
      </w:r>
      <w:r>
        <w:rPr>
          <w:lang w:val="sr-Latn-ME"/>
        </w:rPr>
        <w:tab/>
      </w:r>
      <w:r w:rsidR="00A415A3" w:rsidRPr="007A23EB">
        <w:rPr>
          <w:lang w:val="sr-Latn-ME"/>
        </w:rPr>
        <w:t>KVALITATIVNI I KVANTITATIVNI SASTAV</w:t>
      </w:r>
    </w:p>
    <w:p w14:paraId="1B2FE1C4" w14:textId="413A2BAB" w:rsidR="00A415A3" w:rsidRDefault="00A415A3" w:rsidP="007A23EB">
      <w:pPr>
        <w:pStyle w:val="Header"/>
        <w:tabs>
          <w:tab w:val="clear" w:pos="4536"/>
          <w:tab w:val="clear" w:pos="9072"/>
          <w:tab w:val="left" w:pos="284"/>
          <w:tab w:val="left" w:pos="550"/>
        </w:tabs>
        <w:jc w:val="both"/>
        <w:rPr>
          <w:szCs w:val="22"/>
          <w:lang w:val="sr-Latn-ME"/>
        </w:rPr>
      </w:pPr>
      <w:r w:rsidRPr="007A23EB">
        <w:rPr>
          <w:szCs w:val="22"/>
          <w:lang w:val="sr-Latn-ME"/>
        </w:rPr>
        <w:t>1 g masti sadrži 1 mg gentamicina u obliku gentamicin</w:t>
      </w:r>
      <w:r w:rsidR="007A23EB">
        <w:rPr>
          <w:szCs w:val="22"/>
          <w:lang w:val="sr-Latn-ME"/>
        </w:rPr>
        <w:t xml:space="preserve"> </w:t>
      </w:r>
      <w:r w:rsidRPr="007A23EB">
        <w:rPr>
          <w:szCs w:val="22"/>
          <w:lang w:val="sr-Latn-ME"/>
        </w:rPr>
        <w:t>sulfata</w:t>
      </w:r>
      <w:r w:rsidR="007A23EB">
        <w:rPr>
          <w:szCs w:val="22"/>
          <w:lang w:val="sr-Latn-ME"/>
        </w:rPr>
        <w:t>.</w:t>
      </w:r>
    </w:p>
    <w:p w14:paraId="3B2FEAC6" w14:textId="77777777" w:rsidR="007A23EB" w:rsidRPr="007A23EB" w:rsidRDefault="007A23EB" w:rsidP="007A23EB">
      <w:pPr>
        <w:pStyle w:val="Header"/>
        <w:tabs>
          <w:tab w:val="clear" w:pos="4536"/>
          <w:tab w:val="clear" w:pos="9072"/>
          <w:tab w:val="left" w:pos="284"/>
          <w:tab w:val="left" w:pos="550"/>
        </w:tabs>
        <w:jc w:val="both"/>
        <w:rPr>
          <w:szCs w:val="22"/>
          <w:lang w:val="sr-Latn-ME"/>
        </w:rPr>
      </w:pPr>
    </w:p>
    <w:p w14:paraId="16F4D992" w14:textId="6F1AC602" w:rsidR="00A415A3" w:rsidRPr="007A23EB" w:rsidRDefault="00A51972" w:rsidP="007A23EB">
      <w:pPr>
        <w:pStyle w:val="Header"/>
        <w:tabs>
          <w:tab w:val="clear" w:pos="4536"/>
          <w:tab w:val="clear" w:pos="9072"/>
          <w:tab w:val="left" w:pos="284"/>
          <w:tab w:val="left" w:pos="550"/>
        </w:tabs>
        <w:jc w:val="both"/>
        <w:rPr>
          <w:szCs w:val="22"/>
          <w:lang w:val="sr-Latn-ME"/>
        </w:rPr>
      </w:pPr>
      <w:r w:rsidRPr="007A23EB">
        <w:rPr>
          <w:szCs w:val="22"/>
          <w:lang w:val="sr-Latn-ME"/>
        </w:rPr>
        <w:t>Za spisak svih ekscipijenasa, pogledati dio 6.1</w:t>
      </w:r>
      <w:r w:rsidR="00A415A3" w:rsidRPr="007A23EB">
        <w:rPr>
          <w:szCs w:val="22"/>
          <w:lang w:val="sr-Latn-ME"/>
        </w:rPr>
        <w:t>.</w:t>
      </w:r>
    </w:p>
    <w:p w14:paraId="6D6F8CEA" w14:textId="77777777" w:rsidR="00674BF6" w:rsidRPr="007A23EB" w:rsidRDefault="00674BF6" w:rsidP="007A23EB">
      <w:pPr>
        <w:pStyle w:val="NASLOV123"/>
        <w:tabs>
          <w:tab w:val="left" w:pos="550"/>
        </w:tabs>
        <w:spacing w:before="0"/>
        <w:jc w:val="both"/>
        <w:rPr>
          <w:lang w:val="sr-Latn-ME"/>
        </w:rPr>
      </w:pPr>
    </w:p>
    <w:p w14:paraId="4A4B86D0" w14:textId="1540D62D" w:rsidR="00A415A3" w:rsidRPr="007A23EB" w:rsidRDefault="007A23EB" w:rsidP="007A23EB">
      <w:pPr>
        <w:pStyle w:val="NASLOV123"/>
        <w:tabs>
          <w:tab w:val="left" w:pos="550"/>
        </w:tabs>
        <w:jc w:val="both"/>
        <w:rPr>
          <w:lang w:val="sr-Latn-ME"/>
        </w:rPr>
      </w:pPr>
      <w:r>
        <w:rPr>
          <w:lang w:val="sr-Latn-ME"/>
        </w:rPr>
        <w:t>3.</w:t>
      </w:r>
      <w:r>
        <w:rPr>
          <w:lang w:val="sr-Latn-ME"/>
        </w:rPr>
        <w:tab/>
      </w:r>
      <w:r w:rsidR="00A415A3" w:rsidRPr="007A23EB">
        <w:rPr>
          <w:lang w:val="sr-Latn-ME"/>
        </w:rPr>
        <w:t>FARMACEUTSKI OBLIK</w:t>
      </w:r>
    </w:p>
    <w:p w14:paraId="4E7FAC0F" w14:textId="644C0032" w:rsidR="00A415A3" w:rsidRDefault="00A415A3" w:rsidP="007A23EB">
      <w:pPr>
        <w:pStyle w:val="Header"/>
        <w:tabs>
          <w:tab w:val="clear" w:pos="4536"/>
          <w:tab w:val="clear" w:pos="9072"/>
          <w:tab w:val="left" w:pos="284"/>
          <w:tab w:val="left" w:pos="550"/>
        </w:tabs>
        <w:jc w:val="both"/>
        <w:rPr>
          <w:szCs w:val="22"/>
          <w:lang w:val="sr-Latn-ME"/>
        </w:rPr>
      </w:pPr>
      <w:r w:rsidRPr="007A23EB">
        <w:rPr>
          <w:szCs w:val="22"/>
          <w:lang w:val="sr-Latn-ME"/>
        </w:rPr>
        <w:t>Mast.</w:t>
      </w:r>
    </w:p>
    <w:p w14:paraId="52B05934" w14:textId="77777777" w:rsidR="007A23EB" w:rsidRPr="007A23EB" w:rsidRDefault="007A23EB" w:rsidP="007A23EB">
      <w:pPr>
        <w:pStyle w:val="Header"/>
        <w:tabs>
          <w:tab w:val="clear" w:pos="4536"/>
          <w:tab w:val="clear" w:pos="9072"/>
          <w:tab w:val="left" w:pos="284"/>
          <w:tab w:val="left" w:pos="550"/>
        </w:tabs>
        <w:jc w:val="both"/>
        <w:rPr>
          <w:szCs w:val="22"/>
          <w:lang w:val="sr-Latn-ME"/>
        </w:rPr>
      </w:pPr>
    </w:p>
    <w:p w14:paraId="12F894C4" w14:textId="77777777" w:rsidR="00A415A3" w:rsidRPr="007A23EB" w:rsidRDefault="00A415A3" w:rsidP="007A23EB">
      <w:pPr>
        <w:pStyle w:val="Header"/>
        <w:tabs>
          <w:tab w:val="clear" w:pos="4536"/>
          <w:tab w:val="clear" w:pos="9072"/>
          <w:tab w:val="left" w:pos="284"/>
          <w:tab w:val="left" w:pos="550"/>
        </w:tabs>
        <w:jc w:val="both"/>
        <w:rPr>
          <w:szCs w:val="22"/>
          <w:lang w:val="sr-Latn-ME"/>
        </w:rPr>
      </w:pPr>
      <w:r w:rsidRPr="007A23EB">
        <w:rPr>
          <w:szCs w:val="22"/>
          <w:lang w:val="sr-Latn-ME"/>
        </w:rPr>
        <w:t>Mast je homogena, skoro b</w:t>
      </w:r>
      <w:r w:rsidR="00EC049D" w:rsidRPr="007A23EB">
        <w:rPr>
          <w:szCs w:val="22"/>
          <w:lang w:val="sr-Latn-ME"/>
        </w:rPr>
        <w:t>ij</w:t>
      </w:r>
      <w:r w:rsidRPr="007A23EB">
        <w:rPr>
          <w:szCs w:val="22"/>
          <w:lang w:val="sr-Latn-ME"/>
        </w:rPr>
        <w:t>ele boje.</w:t>
      </w:r>
    </w:p>
    <w:p w14:paraId="09528178" w14:textId="77777777" w:rsidR="00674BF6" w:rsidRPr="007A23EB" w:rsidRDefault="00674BF6" w:rsidP="007A23EB">
      <w:pPr>
        <w:pStyle w:val="NASLOV123"/>
        <w:tabs>
          <w:tab w:val="left" w:pos="550"/>
        </w:tabs>
        <w:spacing w:before="0"/>
        <w:jc w:val="both"/>
        <w:rPr>
          <w:lang w:val="sr-Latn-ME"/>
        </w:rPr>
      </w:pPr>
    </w:p>
    <w:p w14:paraId="656FEA75" w14:textId="7528E143" w:rsidR="00A415A3" w:rsidRPr="007A23EB" w:rsidRDefault="007A23EB" w:rsidP="007A23EB">
      <w:pPr>
        <w:pStyle w:val="NASLOV123"/>
        <w:tabs>
          <w:tab w:val="left" w:pos="550"/>
        </w:tabs>
        <w:jc w:val="both"/>
        <w:rPr>
          <w:lang w:val="sr-Latn-ME"/>
        </w:rPr>
      </w:pPr>
      <w:r>
        <w:rPr>
          <w:lang w:val="sr-Latn-ME"/>
        </w:rPr>
        <w:t>4.</w:t>
      </w:r>
      <w:r>
        <w:rPr>
          <w:lang w:val="sr-Latn-ME"/>
        </w:rPr>
        <w:tab/>
      </w:r>
      <w:r w:rsidR="00A415A3" w:rsidRPr="007A23EB">
        <w:rPr>
          <w:lang w:val="sr-Latn-ME"/>
        </w:rPr>
        <w:t>KLINIČKI PODACI</w:t>
      </w:r>
    </w:p>
    <w:p w14:paraId="118280BE" w14:textId="27A73312" w:rsidR="00A415A3" w:rsidRPr="007A23EB" w:rsidRDefault="007A23EB" w:rsidP="007A23EB">
      <w:pPr>
        <w:tabs>
          <w:tab w:val="left" w:pos="550"/>
        </w:tabs>
        <w:jc w:val="both"/>
        <w:rPr>
          <w:b/>
          <w:bCs/>
          <w:szCs w:val="22"/>
          <w:lang w:val="sr-Latn-ME"/>
        </w:rPr>
      </w:pPr>
      <w:r>
        <w:rPr>
          <w:b/>
          <w:bCs/>
          <w:szCs w:val="22"/>
          <w:lang w:val="sr-Latn-ME"/>
        </w:rPr>
        <w:t>4.1.</w:t>
      </w:r>
      <w:r>
        <w:rPr>
          <w:b/>
          <w:bCs/>
          <w:szCs w:val="22"/>
          <w:lang w:val="sr-Latn-ME"/>
        </w:rPr>
        <w:tab/>
      </w:r>
      <w:r w:rsidR="00A415A3" w:rsidRPr="007A23EB">
        <w:rPr>
          <w:b/>
          <w:bCs/>
          <w:szCs w:val="22"/>
          <w:lang w:val="sr-Latn-ME"/>
        </w:rPr>
        <w:t>Terapijske indikacije</w:t>
      </w:r>
    </w:p>
    <w:p w14:paraId="64AA18ED" w14:textId="77777777" w:rsidR="00694927" w:rsidRPr="007A23EB" w:rsidRDefault="00694927" w:rsidP="007A23EB">
      <w:pPr>
        <w:pStyle w:val="Header"/>
        <w:tabs>
          <w:tab w:val="left" w:pos="550"/>
        </w:tabs>
        <w:jc w:val="both"/>
        <w:rPr>
          <w:szCs w:val="22"/>
          <w:lang w:val="sr-Latn-ME"/>
        </w:rPr>
      </w:pPr>
    </w:p>
    <w:p w14:paraId="11D65526" w14:textId="6CE55784" w:rsidR="00A415A3" w:rsidRPr="007A23EB" w:rsidRDefault="00694927" w:rsidP="00EE5B57">
      <w:pPr>
        <w:jc w:val="both"/>
        <w:rPr>
          <w:lang w:val="sr-Latn-ME"/>
        </w:rPr>
      </w:pPr>
      <w:r w:rsidRPr="007A23EB">
        <w:rPr>
          <w:lang w:val="sr-Latn-ME"/>
        </w:rPr>
        <w:t>G</w:t>
      </w:r>
      <w:r w:rsidR="000732A4" w:rsidRPr="007A23EB">
        <w:rPr>
          <w:lang w:val="sr-Latn-ME"/>
        </w:rPr>
        <w:t>entamicin</w:t>
      </w:r>
      <w:r w:rsidRPr="007A23EB">
        <w:rPr>
          <w:lang w:val="sr-Latn-ME"/>
        </w:rPr>
        <w:t xml:space="preserve"> </w:t>
      </w:r>
      <w:r w:rsidR="000E59C4" w:rsidRPr="007A23EB">
        <w:rPr>
          <w:lang w:val="sr-Latn-ME"/>
        </w:rPr>
        <w:t xml:space="preserve">GLK pharma </w:t>
      </w:r>
      <w:r w:rsidRPr="007A23EB">
        <w:rPr>
          <w:lang w:val="sr-Latn-ME"/>
        </w:rPr>
        <w:t xml:space="preserve">mast je </w:t>
      </w:r>
      <w:r w:rsidR="00186CFF" w:rsidRPr="007A23EB">
        <w:rPr>
          <w:lang w:val="sr-Latn-ME"/>
        </w:rPr>
        <w:t xml:space="preserve">indikovana </w:t>
      </w:r>
      <w:r w:rsidRPr="007A23EB">
        <w:rPr>
          <w:lang w:val="sr-Latn-ME"/>
        </w:rPr>
        <w:t>pri primarnim i sekundarnim bakterijskim infekcijama kože</w:t>
      </w:r>
      <w:r w:rsidR="000E255C">
        <w:rPr>
          <w:lang w:val="sr-Latn-ME"/>
        </w:rPr>
        <w:t xml:space="preserve"> </w:t>
      </w:r>
      <w:r w:rsidRPr="007A23EB">
        <w:rPr>
          <w:lang w:val="sr-Latn-ME"/>
        </w:rPr>
        <w:t>osjetljivim na gentamicin, inficiranim venskim ulkusima potkoljenice, inficiranim promrzlinama i</w:t>
      </w:r>
      <w:r w:rsidR="007A23EB">
        <w:rPr>
          <w:lang w:val="sr-Latn-ME"/>
        </w:rPr>
        <w:t xml:space="preserve"> </w:t>
      </w:r>
      <w:r w:rsidRPr="007A23EB">
        <w:rPr>
          <w:lang w:val="sr-Latn-ME"/>
        </w:rPr>
        <w:t>opekotinama manjih površina.</w:t>
      </w:r>
    </w:p>
    <w:p w14:paraId="322563B6" w14:textId="5F6EFC21" w:rsidR="00694927" w:rsidRPr="007A23EB" w:rsidRDefault="00694927" w:rsidP="007A23EB">
      <w:pPr>
        <w:pStyle w:val="Header"/>
        <w:tabs>
          <w:tab w:val="clear" w:pos="4536"/>
          <w:tab w:val="clear" w:pos="9072"/>
          <w:tab w:val="left" w:pos="284"/>
          <w:tab w:val="left" w:pos="550"/>
        </w:tabs>
        <w:jc w:val="both"/>
        <w:rPr>
          <w:szCs w:val="22"/>
          <w:lang w:val="sr-Latn-ME"/>
        </w:rPr>
      </w:pPr>
    </w:p>
    <w:p w14:paraId="3FCB74FA" w14:textId="3B815849" w:rsidR="00694927" w:rsidRPr="007A23EB" w:rsidRDefault="00694927" w:rsidP="007A23EB">
      <w:pPr>
        <w:pStyle w:val="Header"/>
        <w:tabs>
          <w:tab w:val="clear" w:pos="4536"/>
          <w:tab w:val="clear" w:pos="9072"/>
          <w:tab w:val="left" w:pos="284"/>
          <w:tab w:val="left" w:pos="550"/>
        </w:tabs>
        <w:jc w:val="both"/>
        <w:rPr>
          <w:szCs w:val="22"/>
          <w:lang w:val="sr-Latn-ME"/>
        </w:rPr>
      </w:pPr>
      <w:r w:rsidRPr="007A23EB">
        <w:rPr>
          <w:szCs w:val="22"/>
          <w:lang w:val="sr-Latn-ME"/>
        </w:rPr>
        <w:t>Potrebno je uzeti u obzir službene smjernice o pravilnom koriš</w:t>
      </w:r>
      <w:r w:rsidR="00186CFF" w:rsidRPr="007A23EB">
        <w:rPr>
          <w:szCs w:val="22"/>
          <w:lang w:val="sr-Latn-ME"/>
        </w:rPr>
        <w:t>ć</w:t>
      </w:r>
      <w:r w:rsidRPr="007A23EB">
        <w:rPr>
          <w:szCs w:val="22"/>
          <w:lang w:val="sr-Latn-ME"/>
        </w:rPr>
        <w:t>enju antibakterijskih ljekova</w:t>
      </w:r>
      <w:r w:rsidR="00DE10F7">
        <w:rPr>
          <w:szCs w:val="22"/>
          <w:lang w:val="sr-Latn-ME"/>
        </w:rPr>
        <w:t>.</w:t>
      </w:r>
    </w:p>
    <w:p w14:paraId="668D4BF9" w14:textId="77777777" w:rsidR="00A415A3" w:rsidRPr="007A23EB" w:rsidRDefault="00A415A3" w:rsidP="007A23EB">
      <w:pPr>
        <w:pStyle w:val="Header"/>
        <w:tabs>
          <w:tab w:val="clear" w:pos="4536"/>
          <w:tab w:val="clear" w:pos="9072"/>
          <w:tab w:val="left" w:pos="284"/>
          <w:tab w:val="left" w:pos="550"/>
        </w:tabs>
        <w:jc w:val="both"/>
        <w:rPr>
          <w:szCs w:val="22"/>
          <w:lang w:val="sr-Latn-ME"/>
        </w:rPr>
      </w:pPr>
    </w:p>
    <w:p w14:paraId="55A88000" w14:textId="757A694C" w:rsidR="00A415A3" w:rsidRPr="007A23EB" w:rsidRDefault="007A23EB" w:rsidP="007A23EB">
      <w:pPr>
        <w:tabs>
          <w:tab w:val="left" w:pos="550"/>
        </w:tabs>
        <w:jc w:val="both"/>
        <w:rPr>
          <w:b/>
          <w:bCs/>
          <w:szCs w:val="22"/>
          <w:lang w:val="sr-Latn-ME"/>
        </w:rPr>
      </w:pPr>
      <w:r>
        <w:rPr>
          <w:b/>
          <w:bCs/>
          <w:szCs w:val="22"/>
          <w:lang w:val="sr-Latn-ME"/>
        </w:rPr>
        <w:t>4.2.</w:t>
      </w:r>
      <w:r>
        <w:rPr>
          <w:b/>
          <w:bCs/>
          <w:szCs w:val="22"/>
          <w:lang w:val="sr-Latn-ME"/>
        </w:rPr>
        <w:tab/>
      </w:r>
      <w:r w:rsidR="00A415A3" w:rsidRPr="007A23EB">
        <w:rPr>
          <w:b/>
          <w:bCs/>
          <w:szCs w:val="22"/>
          <w:lang w:val="sr-Latn-ME"/>
        </w:rPr>
        <w:t>Doziranje i način prim</w:t>
      </w:r>
      <w:r w:rsidR="00EC049D" w:rsidRPr="007A23EB">
        <w:rPr>
          <w:b/>
          <w:bCs/>
          <w:szCs w:val="22"/>
          <w:lang w:val="sr-Latn-ME"/>
        </w:rPr>
        <w:t>j</w:t>
      </w:r>
      <w:r w:rsidR="00A415A3" w:rsidRPr="007A23EB">
        <w:rPr>
          <w:b/>
          <w:bCs/>
          <w:szCs w:val="22"/>
          <w:lang w:val="sr-Latn-ME"/>
        </w:rPr>
        <w:t>ene</w:t>
      </w:r>
    </w:p>
    <w:p w14:paraId="3C435319" w14:textId="77777777" w:rsidR="00A415A3" w:rsidRPr="007A23EB" w:rsidRDefault="00A415A3" w:rsidP="007A23EB">
      <w:pPr>
        <w:tabs>
          <w:tab w:val="left" w:pos="550"/>
        </w:tabs>
        <w:jc w:val="both"/>
        <w:rPr>
          <w:szCs w:val="22"/>
          <w:lang w:val="sr-Latn-ME"/>
        </w:rPr>
      </w:pPr>
    </w:p>
    <w:p w14:paraId="7DD7AA6A" w14:textId="6ECD15BF" w:rsidR="00A415A3" w:rsidRDefault="00A415A3" w:rsidP="007A23EB">
      <w:pPr>
        <w:tabs>
          <w:tab w:val="left" w:pos="550"/>
        </w:tabs>
        <w:jc w:val="both"/>
        <w:rPr>
          <w:szCs w:val="22"/>
          <w:u w:val="single"/>
          <w:lang w:val="sr-Latn-ME"/>
        </w:rPr>
      </w:pPr>
      <w:r w:rsidRPr="007A23EB">
        <w:rPr>
          <w:szCs w:val="22"/>
          <w:u w:val="single"/>
          <w:lang w:val="sr-Latn-ME"/>
        </w:rPr>
        <w:t>Doziranje</w:t>
      </w:r>
    </w:p>
    <w:p w14:paraId="4CC8460F" w14:textId="77777777" w:rsidR="007A23EB" w:rsidRPr="007A23EB" w:rsidRDefault="007A23EB" w:rsidP="007A23EB">
      <w:pPr>
        <w:tabs>
          <w:tab w:val="left" w:pos="550"/>
        </w:tabs>
        <w:jc w:val="both"/>
        <w:rPr>
          <w:szCs w:val="22"/>
          <w:u w:val="single"/>
          <w:lang w:val="sr-Latn-ME"/>
        </w:rPr>
      </w:pPr>
    </w:p>
    <w:p w14:paraId="0DBB2C60" w14:textId="5E895F99" w:rsidR="007A23EB" w:rsidRPr="007A23EB" w:rsidRDefault="00694927" w:rsidP="007A23EB">
      <w:pPr>
        <w:tabs>
          <w:tab w:val="left" w:pos="550"/>
        </w:tabs>
        <w:jc w:val="both"/>
        <w:rPr>
          <w:szCs w:val="22"/>
          <w:lang w:val="sr-Latn-ME"/>
        </w:rPr>
      </w:pPr>
      <w:r w:rsidRPr="007A23EB">
        <w:rPr>
          <w:szCs w:val="22"/>
          <w:lang w:val="sr-Latn-ME"/>
        </w:rPr>
        <w:t>Odrasli</w:t>
      </w:r>
    </w:p>
    <w:p w14:paraId="771D0F2F" w14:textId="0163424A" w:rsidR="00694927" w:rsidRPr="007A23EB" w:rsidRDefault="00694927" w:rsidP="007A23EB">
      <w:pPr>
        <w:tabs>
          <w:tab w:val="left" w:pos="550"/>
        </w:tabs>
        <w:jc w:val="both"/>
        <w:rPr>
          <w:szCs w:val="22"/>
          <w:lang w:val="sr-Latn-ME"/>
        </w:rPr>
      </w:pPr>
      <w:r w:rsidRPr="007A23EB">
        <w:rPr>
          <w:szCs w:val="22"/>
          <w:lang w:val="sr-Latn-ME"/>
        </w:rPr>
        <w:t>G</w:t>
      </w:r>
      <w:r w:rsidR="000732A4" w:rsidRPr="007A23EB">
        <w:rPr>
          <w:szCs w:val="22"/>
          <w:lang w:val="sr-Latn-ME"/>
        </w:rPr>
        <w:t>entamicin</w:t>
      </w:r>
      <w:r w:rsidR="000E59C4" w:rsidRPr="007A23EB">
        <w:rPr>
          <w:szCs w:val="22"/>
          <w:lang w:val="sr-Latn-ME"/>
        </w:rPr>
        <w:t xml:space="preserve"> </w:t>
      </w:r>
      <w:r w:rsidR="00BA4CAD" w:rsidRPr="007A23EB">
        <w:rPr>
          <w:szCs w:val="22"/>
          <w:lang w:val="sr-Latn-ME"/>
        </w:rPr>
        <w:t xml:space="preserve">GLK pharma </w:t>
      </w:r>
      <w:r w:rsidRPr="007A23EB">
        <w:rPr>
          <w:szCs w:val="22"/>
          <w:lang w:val="sr-Latn-ME"/>
        </w:rPr>
        <w:t>mast se 3 do 4 puta na dan lagano namaže u tankom sloju na inficirano mjesto.</w:t>
      </w:r>
    </w:p>
    <w:p w14:paraId="562A8563" w14:textId="63CFE14E" w:rsidR="00694927" w:rsidRPr="007A23EB" w:rsidRDefault="00694927" w:rsidP="007A23EB">
      <w:pPr>
        <w:tabs>
          <w:tab w:val="left" w:pos="550"/>
        </w:tabs>
        <w:jc w:val="both"/>
        <w:rPr>
          <w:szCs w:val="22"/>
          <w:lang w:val="sr-Latn-ME"/>
        </w:rPr>
      </w:pPr>
      <w:r w:rsidRPr="007A23EB">
        <w:rPr>
          <w:szCs w:val="22"/>
          <w:lang w:val="sr-Latn-ME"/>
        </w:rPr>
        <w:t>Kod odraslih trajanje liječenja ograničeno je na 7 do 10 dana.</w:t>
      </w:r>
    </w:p>
    <w:p w14:paraId="55B19786" w14:textId="763513A8" w:rsidR="00A415A3" w:rsidRPr="007A23EB" w:rsidRDefault="00A415A3" w:rsidP="007A23EB">
      <w:pPr>
        <w:tabs>
          <w:tab w:val="left" w:pos="550"/>
        </w:tabs>
        <w:jc w:val="both"/>
        <w:rPr>
          <w:szCs w:val="22"/>
          <w:lang w:val="sr-Latn-ME"/>
        </w:rPr>
      </w:pPr>
      <w:r w:rsidRPr="007A23EB">
        <w:rPr>
          <w:szCs w:val="22"/>
          <w:lang w:val="sr-Latn-ME"/>
        </w:rPr>
        <w:t xml:space="preserve"> </w:t>
      </w:r>
    </w:p>
    <w:p w14:paraId="3347C8BA" w14:textId="10D30C61" w:rsidR="007A23EB" w:rsidRPr="007A23EB" w:rsidRDefault="003829FC" w:rsidP="007A23EB">
      <w:pPr>
        <w:tabs>
          <w:tab w:val="left" w:pos="550"/>
        </w:tabs>
        <w:jc w:val="both"/>
        <w:rPr>
          <w:szCs w:val="22"/>
          <w:lang w:val="sr-Latn-ME"/>
        </w:rPr>
      </w:pPr>
      <w:r w:rsidRPr="007A23EB">
        <w:rPr>
          <w:szCs w:val="22"/>
          <w:lang w:val="sr-Latn-ME"/>
        </w:rPr>
        <w:t xml:space="preserve">Djeca </w:t>
      </w:r>
    </w:p>
    <w:p w14:paraId="190EC2A1" w14:textId="797C19FC" w:rsidR="00A415A3" w:rsidRPr="007A23EB" w:rsidRDefault="000732A4" w:rsidP="007A23EB">
      <w:pPr>
        <w:tabs>
          <w:tab w:val="left" w:pos="550"/>
        </w:tabs>
        <w:jc w:val="both"/>
        <w:rPr>
          <w:szCs w:val="22"/>
          <w:lang w:val="sr-Latn-ME"/>
        </w:rPr>
      </w:pPr>
      <w:r w:rsidRPr="007A23EB">
        <w:rPr>
          <w:szCs w:val="22"/>
          <w:lang w:val="sr-Latn-ME"/>
        </w:rPr>
        <w:t>Gentamicin</w:t>
      </w:r>
      <w:r w:rsidR="000E59C4" w:rsidRPr="007A23EB">
        <w:rPr>
          <w:szCs w:val="22"/>
          <w:lang w:val="sr-Latn-ME"/>
        </w:rPr>
        <w:t xml:space="preserve"> </w:t>
      </w:r>
      <w:r w:rsidR="00BA4CAD" w:rsidRPr="007A23EB">
        <w:rPr>
          <w:szCs w:val="22"/>
          <w:lang w:val="sr-Latn-ME"/>
        </w:rPr>
        <w:t xml:space="preserve">GLK pharma </w:t>
      </w:r>
      <w:r w:rsidR="003829FC" w:rsidRPr="007A23EB">
        <w:rPr>
          <w:szCs w:val="22"/>
          <w:lang w:val="sr-Latn-ME"/>
        </w:rPr>
        <w:t>mast se kod djece starije od 1 godine i adolescenata lagano namaže 3 do 4 puta na dan u tankom sloju na inficirano mjesto. Kod djece trajanje liječenja ograničeno je na 5 do 7 dana.</w:t>
      </w:r>
    </w:p>
    <w:p w14:paraId="55C724CC" w14:textId="77777777" w:rsidR="003829FC" w:rsidRPr="007A23EB" w:rsidRDefault="003829FC" w:rsidP="007A23EB">
      <w:pPr>
        <w:tabs>
          <w:tab w:val="left" w:pos="550"/>
        </w:tabs>
        <w:jc w:val="both"/>
        <w:rPr>
          <w:szCs w:val="22"/>
          <w:u w:val="single"/>
          <w:lang w:val="sr-Latn-ME"/>
        </w:rPr>
      </w:pPr>
    </w:p>
    <w:p w14:paraId="065D3A6B" w14:textId="55E2D419" w:rsidR="007A23EB" w:rsidRDefault="00A415A3" w:rsidP="007A23EB">
      <w:pPr>
        <w:tabs>
          <w:tab w:val="left" w:pos="550"/>
        </w:tabs>
        <w:jc w:val="both"/>
        <w:rPr>
          <w:szCs w:val="22"/>
          <w:u w:val="single"/>
          <w:lang w:val="sr-Latn-ME"/>
        </w:rPr>
      </w:pPr>
      <w:r w:rsidRPr="007A23EB">
        <w:rPr>
          <w:szCs w:val="22"/>
          <w:u w:val="single"/>
          <w:lang w:val="sr-Latn-ME"/>
        </w:rPr>
        <w:t>Način prim</w:t>
      </w:r>
      <w:r w:rsidR="00EC049D" w:rsidRPr="007A23EB">
        <w:rPr>
          <w:szCs w:val="22"/>
          <w:u w:val="single"/>
          <w:lang w:val="sr-Latn-ME"/>
        </w:rPr>
        <w:t>j</w:t>
      </w:r>
      <w:r w:rsidRPr="007A23EB">
        <w:rPr>
          <w:szCs w:val="22"/>
          <w:u w:val="single"/>
          <w:lang w:val="sr-Latn-ME"/>
        </w:rPr>
        <w:t>ene</w:t>
      </w:r>
    </w:p>
    <w:p w14:paraId="79EFA6A9" w14:textId="77777777" w:rsidR="00247402" w:rsidRPr="007A23EB" w:rsidRDefault="00247402" w:rsidP="007A23EB">
      <w:pPr>
        <w:tabs>
          <w:tab w:val="left" w:pos="550"/>
        </w:tabs>
        <w:jc w:val="both"/>
        <w:rPr>
          <w:szCs w:val="22"/>
          <w:u w:val="single"/>
          <w:lang w:val="sr-Latn-ME"/>
        </w:rPr>
      </w:pPr>
    </w:p>
    <w:p w14:paraId="3F24E95C" w14:textId="07758451" w:rsidR="00A415A3" w:rsidRDefault="00A415A3" w:rsidP="007A23EB">
      <w:pPr>
        <w:tabs>
          <w:tab w:val="left" w:pos="550"/>
        </w:tabs>
        <w:jc w:val="both"/>
        <w:rPr>
          <w:szCs w:val="22"/>
          <w:lang w:val="sr-Latn-ME"/>
        </w:rPr>
      </w:pPr>
      <w:r w:rsidRPr="007A23EB">
        <w:rPr>
          <w:szCs w:val="22"/>
          <w:lang w:val="sr-Latn-ME"/>
        </w:rPr>
        <w:t>Dermalna upotreba.</w:t>
      </w:r>
    </w:p>
    <w:p w14:paraId="4261C49C" w14:textId="77777777" w:rsidR="007A23EB" w:rsidRPr="007A23EB" w:rsidRDefault="007A23EB" w:rsidP="007A23EB">
      <w:pPr>
        <w:tabs>
          <w:tab w:val="left" w:pos="550"/>
        </w:tabs>
        <w:jc w:val="both"/>
        <w:rPr>
          <w:szCs w:val="22"/>
          <w:lang w:val="sr-Latn-ME"/>
        </w:rPr>
      </w:pPr>
    </w:p>
    <w:p w14:paraId="4ADC51C1" w14:textId="47E3B7C5" w:rsidR="00F561E5" w:rsidRPr="007A23EB" w:rsidRDefault="00707137" w:rsidP="007A23EB">
      <w:pPr>
        <w:tabs>
          <w:tab w:val="left" w:pos="550"/>
        </w:tabs>
        <w:jc w:val="both"/>
        <w:rPr>
          <w:szCs w:val="22"/>
          <w:lang w:val="sr-Latn-ME"/>
        </w:rPr>
      </w:pPr>
      <w:r w:rsidRPr="007A23EB">
        <w:rPr>
          <w:szCs w:val="22"/>
          <w:lang w:val="sr-Latn-ME"/>
        </w:rPr>
        <w:t xml:space="preserve">Ako postoji krasta, treba je ukloniti </w:t>
      </w:r>
      <w:r w:rsidR="00153C01" w:rsidRPr="007A23EB">
        <w:rPr>
          <w:szCs w:val="22"/>
          <w:lang w:val="sr-Latn-ME"/>
        </w:rPr>
        <w:t>prije primjene Gentamicin</w:t>
      </w:r>
      <w:r w:rsidRPr="007A23EB">
        <w:rPr>
          <w:szCs w:val="22"/>
          <w:lang w:val="sr-Latn-ME"/>
        </w:rPr>
        <w:t xml:space="preserve"> </w:t>
      </w:r>
      <w:r w:rsidR="00BA4CAD" w:rsidRPr="007A23EB">
        <w:rPr>
          <w:szCs w:val="22"/>
          <w:lang w:val="sr-Latn-ME"/>
        </w:rPr>
        <w:t xml:space="preserve">GLK pharma </w:t>
      </w:r>
      <w:r w:rsidRPr="007A23EB">
        <w:rPr>
          <w:szCs w:val="22"/>
          <w:lang w:val="sr-Latn-ME"/>
        </w:rPr>
        <w:t xml:space="preserve">masti, da bi lijek mogao lakše doprijeti do bakterija koje uzrokuju infekciju. Namazana površina se može pokriti gazom. </w:t>
      </w:r>
    </w:p>
    <w:p w14:paraId="24B025BE" w14:textId="23CF292D" w:rsidR="00A415A3" w:rsidRDefault="00A415A3" w:rsidP="007A23EB">
      <w:pPr>
        <w:tabs>
          <w:tab w:val="left" w:pos="550"/>
        </w:tabs>
        <w:jc w:val="both"/>
        <w:rPr>
          <w:szCs w:val="22"/>
          <w:lang w:val="sr-Latn-ME"/>
        </w:rPr>
      </w:pPr>
    </w:p>
    <w:p w14:paraId="2E19642B" w14:textId="2FE1AAE7" w:rsidR="007A23EB" w:rsidRPr="007A23EB" w:rsidRDefault="007A23EB" w:rsidP="007A23EB">
      <w:pPr>
        <w:tabs>
          <w:tab w:val="left" w:pos="550"/>
        </w:tabs>
        <w:jc w:val="both"/>
        <w:rPr>
          <w:szCs w:val="22"/>
          <w:lang w:val="sr-Latn-ME"/>
        </w:rPr>
      </w:pPr>
    </w:p>
    <w:p w14:paraId="14A4B807" w14:textId="3960374A" w:rsidR="00A415A3" w:rsidRDefault="007A23EB" w:rsidP="007A23EB">
      <w:pPr>
        <w:tabs>
          <w:tab w:val="left" w:pos="550"/>
        </w:tabs>
        <w:jc w:val="both"/>
        <w:rPr>
          <w:b/>
          <w:bCs/>
          <w:szCs w:val="22"/>
          <w:lang w:val="sr-Latn-ME"/>
        </w:rPr>
      </w:pPr>
      <w:r>
        <w:rPr>
          <w:b/>
          <w:bCs/>
          <w:szCs w:val="22"/>
          <w:lang w:val="sr-Latn-ME"/>
        </w:rPr>
        <w:lastRenderedPageBreak/>
        <w:t>4.3.</w:t>
      </w:r>
      <w:r>
        <w:rPr>
          <w:b/>
          <w:bCs/>
          <w:szCs w:val="22"/>
          <w:lang w:val="sr-Latn-ME"/>
        </w:rPr>
        <w:tab/>
      </w:r>
      <w:r w:rsidR="00A415A3" w:rsidRPr="007A23EB">
        <w:rPr>
          <w:b/>
          <w:bCs/>
          <w:szCs w:val="22"/>
          <w:lang w:val="sr-Latn-ME"/>
        </w:rPr>
        <w:t>Kontraindikacije</w:t>
      </w:r>
    </w:p>
    <w:p w14:paraId="3B35F40A" w14:textId="77777777" w:rsidR="007A23EB" w:rsidRPr="007A23EB" w:rsidRDefault="007A23EB" w:rsidP="007A23EB">
      <w:pPr>
        <w:tabs>
          <w:tab w:val="left" w:pos="550"/>
        </w:tabs>
        <w:jc w:val="both"/>
        <w:rPr>
          <w:b/>
          <w:bCs/>
          <w:szCs w:val="22"/>
          <w:lang w:val="sr-Latn-ME"/>
        </w:rPr>
      </w:pPr>
    </w:p>
    <w:p w14:paraId="0E349B65" w14:textId="0E03CA87" w:rsidR="00A415A3" w:rsidRPr="007A23EB" w:rsidRDefault="00A415A3" w:rsidP="007A23EB">
      <w:pPr>
        <w:tabs>
          <w:tab w:val="left" w:pos="550"/>
        </w:tabs>
        <w:jc w:val="both"/>
        <w:rPr>
          <w:szCs w:val="22"/>
          <w:lang w:val="sr-Latn-ME"/>
        </w:rPr>
      </w:pPr>
      <w:r w:rsidRPr="007A23EB">
        <w:rPr>
          <w:szCs w:val="22"/>
          <w:lang w:val="sr-Latn-ME"/>
        </w:rPr>
        <w:t>Preos</w:t>
      </w:r>
      <w:r w:rsidR="00EC049D" w:rsidRPr="007A23EB">
        <w:rPr>
          <w:szCs w:val="22"/>
          <w:lang w:val="sr-Latn-ME"/>
        </w:rPr>
        <w:t>j</w:t>
      </w:r>
      <w:r w:rsidRPr="007A23EB">
        <w:rPr>
          <w:szCs w:val="22"/>
          <w:lang w:val="sr-Latn-ME"/>
        </w:rPr>
        <w:t xml:space="preserve">etljivost na gentamicin ili na bilo koju od pomoćnih supstanci navedenih u </w:t>
      </w:r>
      <w:r w:rsidR="000E59C4" w:rsidRPr="007A23EB">
        <w:rPr>
          <w:szCs w:val="22"/>
          <w:lang w:val="sr-Latn-ME"/>
        </w:rPr>
        <w:t>dijelu</w:t>
      </w:r>
      <w:r w:rsidRPr="007A23EB">
        <w:rPr>
          <w:szCs w:val="22"/>
          <w:lang w:val="sr-Latn-ME"/>
        </w:rPr>
        <w:t xml:space="preserve"> 6.1. ili na druge aminoglikozidne antibiotike.</w:t>
      </w:r>
    </w:p>
    <w:p w14:paraId="133A23AC" w14:textId="3BE96AC5" w:rsidR="00A415A3" w:rsidRPr="007A23EB" w:rsidRDefault="00707137" w:rsidP="007A23EB">
      <w:pPr>
        <w:tabs>
          <w:tab w:val="left" w:pos="550"/>
        </w:tabs>
        <w:jc w:val="both"/>
        <w:rPr>
          <w:szCs w:val="22"/>
          <w:lang w:val="sr-Latn-ME"/>
        </w:rPr>
      </w:pPr>
      <w:r w:rsidRPr="007A23EB">
        <w:rPr>
          <w:szCs w:val="22"/>
          <w:lang w:val="sr-Latn-ME"/>
        </w:rPr>
        <w:t>Istovremena sistemska primjena aminoglikozidnih antibiotika (rizik od toksičnih nivoa u serumu).</w:t>
      </w:r>
    </w:p>
    <w:p w14:paraId="31FE4BBB" w14:textId="77777777" w:rsidR="007A23EB" w:rsidRPr="007A23EB" w:rsidRDefault="007A23EB" w:rsidP="007A23EB">
      <w:pPr>
        <w:tabs>
          <w:tab w:val="left" w:pos="550"/>
        </w:tabs>
        <w:jc w:val="both"/>
        <w:rPr>
          <w:szCs w:val="22"/>
          <w:lang w:val="sr-Latn-ME"/>
        </w:rPr>
      </w:pPr>
    </w:p>
    <w:p w14:paraId="387736E1" w14:textId="72780824" w:rsidR="00A415A3" w:rsidRPr="007A23EB" w:rsidRDefault="007A23EB" w:rsidP="007A23EB">
      <w:pPr>
        <w:tabs>
          <w:tab w:val="left" w:pos="550"/>
        </w:tabs>
        <w:jc w:val="both"/>
        <w:rPr>
          <w:b/>
          <w:bCs/>
          <w:szCs w:val="22"/>
          <w:lang w:val="sr-Latn-ME"/>
        </w:rPr>
      </w:pPr>
      <w:r>
        <w:rPr>
          <w:b/>
          <w:bCs/>
          <w:szCs w:val="22"/>
          <w:lang w:val="sr-Latn-ME"/>
        </w:rPr>
        <w:t>4.4.</w:t>
      </w:r>
      <w:r>
        <w:rPr>
          <w:b/>
          <w:bCs/>
          <w:szCs w:val="22"/>
          <w:lang w:val="sr-Latn-ME"/>
        </w:rPr>
        <w:tab/>
      </w:r>
      <w:r w:rsidR="00A415A3" w:rsidRPr="007A23EB">
        <w:rPr>
          <w:b/>
          <w:bCs/>
          <w:szCs w:val="22"/>
          <w:lang w:val="sr-Latn-ME"/>
        </w:rPr>
        <w:t>Posebna upozorenja i m</w:t>
      </w:r>
      <w:r w:rsidR="00EC049D" w:rsidRPr="007A23EB">
        <w:rPr>
          <w:b/>
          <w:bCs/>
          <w:szCs w:val="22"/>
          <w:lang w:val="sr-Latn-ME"/>
        </w:rPr>
        <w:t>j</w:t>
      </w:r>
      <w:r w:rsidR="00A415A3" w:rsidRPr="007A23EB">
        <w:rPr>
          <w:b/>
          <w:bCs/>
          <w:szCs w:val="22"/>
          <w:lang w:val="sr-Latn-ME"/>
        </w:rPr>
        <w:t>ere opreza pri upotrebi l</w:t>
      </w:r>
      <w:r w:rsidR="00A51972" w:rsidRPr="007A23EB">
        <w:rPr>
          <w:b/>
          <w:bCs/>
          <w:szCs w:val="22"/>
          <w:lang w:val="sr-Latn-ME"/>
        </w:rPr>
        <w:t>ij</w:t>
      </w:r>
      <w:r w:rsidR="00A415A3" w:rsidRPr="007A23EB">
        <w:rPr>
          <w:b/>
          <w:bCs/>
          <w:szCs w:val="22"/>
          <w:lang w:val="sr-Latn-ME"/>
        </w:rPr>
        <w:t>eka</w:t>
      </w:r>
    </w:p>
    <w:p w14:paraId="0543611F" w14:textId="77777777" w:rsidR="00707137" w:rsidRPr="007A23EB" w:rsidRDefault="00707137" w:rsidP="007A23EB">
      <w:pPr>
        <w:tabs>
          <w:tab w:val="left" w:pos="550"/>
        </w:tabs>
        <w:jc w:val="both"/>
        <w:rPr>
          <w:b/>
          <w:bCs/>
          <w:szCs w:val="22"/>
          <w:lang w:val="sr-Latn-ME"/>
        </w:rPr>
      </w:pPr>
    </w:p>
    <w:p w14:paraId="1D14C75D" w14:textId="0E8D408E" w:rsidR="00707137" w:rsidRPr="007A23EB" w:rsidRDefault="00707137" w:rsidP="0035636B">
      <w:pPr>
        <w:pStyle w:val="Header"/>
        <w:tabs>
          <w:tab w:val="left" w:pos="550"/>
        </w:tabs>
        <w:rPr>
          <w:szCs w:val="22"/>
          <w:lang w:val="sr-Latn-ME"/>
        </w:rPr>
      </w:pPr>
      <w:r w:rsidRPr="007A23EB">
        <w:rPr>
          <w:szCs w:val="22"/>
          <w:lang w:val="sr-Latn-ME"/>
        </w:rPr>
        <w:t>Ne preporučuje se dugotrajna primjena na većim upaljenim ili erodiranim površinama kože, jer je u takvim</w:t>
      </w:r>
      <w:r w:rsidR="007A23EB">
        <w:rPr>
          <w:szCs w:val="22"/>
          <w:lang w:val="sr-Latn-ME"/>
        </w:rPr>
        <w:t xml:space="preserve"> </w:t>
      </w:r>
      <w:r w:rsidR="009F6234" w:rsidRPr="007A23EB">
        <w:rPr>
          <w:szCs w:val="22"/>
          <w:lang w:val="sr-Latn-ME"/>
        </w:rPr>
        <w:t>slučajevima moguća veća re</w:t>
      </w:r>
      <w:r w:rsidRPr="007A23EB">
        <w:rPr>
          <w:szCs w:val="22"/>
          <w:lang w:val="sr-Latn-ME"/>
        </w:rPr>
        <w:t>sorpcija gentamicina, a time i mogućnost ispoljavanja sličnih neželjenih</w:t>
      </w:r>
      <w:r w:rsidR="007A23EB">
        <w:rPr>
          <w:szCs w:val="22"/>
          <w:lang w:val="sr-Latn-ME"/>
        </w:rPr>
        <w:t xml:space="preserve"> </w:t>
      </w:r>
      <w:r w:rsidRPr="007A23EB">
        <w:rPr>
          <w:szCs w:val="22"/>
          <w:lang w:val="sr-Latn-ME"/>
        </w:rPr>
        <w:t>djelovanja kao pri sistemskoj primjeni lijeka (ototoksičnost, nefrotoksičnost).</w:t>
      </w:r>
      <w:r w:rsidRPr="007A23EB">
        <w:rPr>
          <w:szCs w:val="22"/>
          <w:lang w:val="sr-Latn-ME"/>
        </w:rPr>
        <w:cr/>
      </w:r>
    </w:p>
    <w:p w14:paraId="508134D2" w14:textId="77777777" w:rsidR="00A415A3" w:rsidRPr="007A23EB" w:rsidRDefault="00A415A3" w:rsidP="007A23EB">
      <w:pPr>
        <w:pStyle w:val="Header"/>
        <w:tabs>
          <w:tab w:val="clear" w:pos="4536"/>
          <w:tab w:val="clear" w:pos="9072"/>
          <w:tab w:val="left" w:pos="284"/>
          <w:tab w:val="left" w:pos="550"/>
        </w:tabs>
        <w:jc w:val="both"/>
        <w:rPr>
          <w:szCs w:val="22"/>
          <w:lang w:val="sr-Latn-ME"/>
        </w:rPr>
      </w:pPr>
      <w:r w:rsidRPr="007A23EB">
        <w:rPr>
          <w:szCs w:val="22"/>
          <w:lang w:val="sr-Latn-ME"/>
        </w:rPr>
        <w:t>Ukrštena reakcija preos</w:t>
      </w:r>
      <w:r w:rsidR="00EC049D" w:rsidRPr="007A23EB">
        <w:rPr>
          <w:szCs w:val="22"/>
          <w:lang w:val="sr-Latn-ME"/>
        </w:rPr>
        <w:t>j</w:t>
      </w:r>
      <w:r w:rsidRPr="007A23EB">
        <w:rPr>
          <w:szCs w:val="22"/>
          <w:lang w:val="sr-Latn-ME"/>
        </w:rPr>
        <w:t>etljivosti sa drugim aminoglikozidnim antibioticima je moguća. Ukoliko dođe do iritacije ili preos</w:t>
      </w:r>
      <w:r w:rsidR="00EC049D" w:rsidRPr="007A23EB">
        <w:rPr>
          <w:szCs w:val="22"/>
          <w:lang w:val="sr-Latn-ME"/>
        </w:rPr>
        <w:t>j</w:t>
      </w:r>
      <w:r w:rsidRPr="007A23EB">
        <w:rPr>
          <w:szCs w:val="22"/>
          <w:lang w:val="sr-Latn-ME"/>
        </w:rPr>
        <w:t>etljivosti, terapiju gentamicinom treba prekinuti i sprovesti drugu odgovarajuću terapiju.</w:t>
      </w:r>
    </w:p>
    <w:p w14:paraId="07D44963" w14:textId="63F94E2F" w:rsidR="00A415A3" w:rsidRPr="007A23EB" w:rsidRDefault="00A415A3" w:rsidP="007A23EB">
      <w:pPr>
        <w:pStyle w:val="Header"/>
        <w:tabs>
          <w:tab w:val="clear" w:pos="4536"/>
          <w:tab w:val="clear" w:pos="9072"/>
          <w:tab w:val="left" w:pos="284"/>
          <w:tab w:val="left" w:pos="550"/>
        </w:tabs>
        <w:jc w:val="both"/>
        <w:rPr>
          <w:szCs w:val="22"/>
          <w:lang w:val="sr-Latn-ME"/>
        </w:rPr>
      </w:pPr>
      <w:r w:rsidRPr="007A23EB">
        <w:rPr>
          <w:szCs w:val="22"/>
          <w:lang w:val="sr-Latn-ME"/>
        </w:rPr>
        <w:t>L</w:t>
      </w:r>
      <w:r w:rsidR="00EC049D" w:rsidRPr="007A23EB">
        <w:rPr>
          <w:szCs w:val="22"/>
          <w:lang w:val="sr-Latn-ME"/>
        </w:rPr>
        <w:t>ij</w:t>
      </w:r>
      <w:r w:rsidRPr="007A23EB">
        <w:rPr>
          <w:szCs w:val="22"/>
          <w:lang w:val="sr-Latn-ME"/>
        </w:rPr>
        <w:t>ek se sa oprezom prim</w:t>
      </w:r>
      <w:r w:rsidR="00EC049D" w:rsidRPr="007A23EB">
        <w:rPr>
          <w:szCs w:val="22"/>
          <w:lang w:val="sr-Latn-ME"/>
        </w:rPr>
        <w:t>j</w:t>
      </w:r>
      <w:r w:rsidRPr="007A23EB">
        <w:rPr>
          <w:szCs w:val="22"/>
          <w:lang w:val="sr-Latn-ME"/>
        </w:rPr>
        <w:t>enjuje kod starijih pacijenata sa oštećenjem sluha ili bubrežne funkcije</w:t>
      </w:r>
      <w:r w:rsidR="0036241C" w:rsidRPr="007A23EB">
        <w:rPr>
          <w:szCs w:val="22"/>
          <w:lang w:val="sr-Latn-ME"/>
        </w:rPr>
        <w:t>, trudnica i dojilja (vidjeti dio 4.6),</w:t>
      </w:r>
      <w:r w:rsidR="009F6234" w:rsidRPr="007A23EB">
        <w:rPr>
          <w:szCs w:val="22"/>
          <w:lang w:val="sr-Latn-ME"/>
        </w:rPr>
        <w:t xml:space="preserve"> i</w:t>
      </w:r>
      <w:r w:rsidR="0036241C" w:rsidRPr="007A23EB">
        <w:rPr>
          <w:szCs w:val="22"/>
          <w:lang w:val="sr-Latn-ME"/>
        </w:rPr>
        <w:t xml:space="preserve"> djece (posebno male djece)</w:t>
      </w:r>
      <w:r w:rsidRPr="007A23EB">
        <w:rPr>
          <w:szCs w:val="22"/>
          <w:lang w:val="sr-Latn-ME"/>
        </w:rPr>
        <w:t>.</w:t>
      </w:r>
    </w:p>
    <w:p w14:paraId="301F89D1" w14:textId="13D678A6" w:rsidR="000732A4" w:rsidRDefault="000732A4" w:rsidP="007A23EB">
      <w:pPr>
        <w:tabs>
          <w:tab w:val="left" w:pos="550"/>
        </w:tabs>
        <w:jc w:val="both"/>
        <w:rPr>
          <w:szCs w:val="22"/>
          <w:lang w:val="sr-Latn-ME"/>
        </w:rPr>
      </w:pPr>
      <w:r w:rsidRPr="007A23EB">
        <w:rPr>
          <w:szCs w:val="22"/>
          <w:lang w:val="sr-Latn-ME"/>
        </w:rPr>
        <w:t>Primjenjivati isključivo na kožu.</w:t>
      </w:r>
    </w:p>
    <w:p w14:paraId="25DF30A7" w14:textId="77777777" w:rsidR="007A23EB" w:rsidRPr="007A23EB" w:rsidRDefault="007A23EB" w:rsidP="007A23EB">
      <w:pPr>
        <w:tabs>
          <w:tab w:val="left" w:pos="550"/>
        </w:tabs>
        <w:jc w:val="both"/>
        <w:rPr>
          <w:szCs w:val="22"/>
          <w:lang w:val="sr-Latn-ME"/>
        </w:rPr>
      </w:pPr>
    </w:p>
    <w:p w14:paraId="4FE93A0B" w14:textId="77777777" w:rsidR="000732A4" w:rsidRPr="007A23EB" w:rsidRDefault="000732A4" w:rsidP="007A23EB">
      <w:pPr>
        <w:tabs>
          <w:tab w:val="left" w:pos="550"/>
        </w:tabs>
        <w:jc w:val="both"/>
        <w:rPr>
          <w:szCs w:val="22"/>
          <w:lang w:val="sr-Latn-ME"/>
        </w:rPr>
      </w:pPr>
      <w:r w:rsidRPr="007A23EB">
        <w:rPr>
          <w:szCs w:val="22"/>
          <w:lang w:val="sr-Latn-ME"/>
        </w:rPr>
        <w:t>Djeca</w:t>
      </w:r>
    </w:p>
    <w:p w14:paraId="2B364C4B" w14:textId="4164992E" w:rsidR="00A415A3" w:rsidRPr="007A23EB" w:rsidRDefault="000732A4" w:rsidP="0035636B">
      <w:pPr>
        <w:tabs>
          <w:tab w:val="left" w:pos="550"/>
        </w:tabs>
        <w:rPr>
          <w:szCs w:val="22"/>
          <w:lang w:val="sr-Latn-ME"/>
        </w:rPr>
      </w:pPr>
      <w:r w:rsidRPr="007A23EB">
        <w:rPr>
          <w:szCs w:val="22"/>
          <w:lang w:val="sr-Latn-ME"/>
        </w:rPr>
        <w:t>Lijek se oprezno primjenjuje maloj djeci (starijoj od 1 godine).</w:t>
      </w:r>
      <w:r w:rsidRPr="007A23EB">
        <w:rPr>
          <w:szCs w:val="22"/>
          <w:lang w:val="sr-Latn-ME"/>
        </w:rPr>
        <w:cr/>
      </w:r>
    </w:p>
    <w:p w14:paraId="5D19A9A5" w14:textId="017B270A" w:rsidR="00A415A3" w:rsidRPr="007A23EB" w:rsidRDefault="007A23EB" w:rsidP="007A23EB">
      <w:pPr>
        <w:tabs>
          <w:tab w:val="left" w:pos="550"/>
        </w:tabs>
        <w:jc w:val="both"/>
        <w:rPr>
          <w:b/>
          <w:bCs/>
          <w:szCs w:val="22"/>
          <w:lang w:val="sr-Latn-ME"/>
        </w:rPr>
      </w:pPr>
      <w:r>
        <w:rPr>
          <w:b/>
          <w:bCs/>
          <w:szCs w:val="22"/>
          <w:lang w:val="sr-Latn-ME"/>
        </w:rPr>
        <w:t>4.5.</w:t>
      </w:r>
      <w:r>
        <w:rPr>
          <w:b/>
          <w:bCs/>
          <w:szCs w:val="22"/>
          <w:lang w:val="sr-Latn-ME"/>
        </w:rPr>
        <w:tab/>
      </w:r>
      <w:r w:rsidR="00A415A3" w:rsidRPr="007A23EB">
        <w:rPr>
          <w:b/>
          <w:bCs/>
          <w:szCs w:val="22"/>
          <w:lang w:val="sr-Latn-ME"/>
        </w:rPr>
        <w:t>Interakcije sa drugim l</w:t>
      </w:r>
      <w:r w:rsidR="00EC049D" w:rsidRPr="007A23EB">
        <w:rPr>
          <w:b/>
          <w:bCs/>
          <w:szCs w:val="22"/>
          <w:lang w:val="sr-Latn-ME"/>
        </w:rPr>
        <w:t>j</w:t>
      </w:r>
      <w:r w:rsidR="00A415A3" w:rsidRPr="007A23EB">
        <w:rPr>
          <w:b/>
          <w:bCs/>
          <w:szCs w:val="22"/>
          <w:lang w:val="sr-Latn-ME"/>
        </w:rPr>
        <w:t>ekovima i druge vrste interakcija</w:t>
      </w:r>
    </w:p>
    <w:p w14:paraId="032A0993" w14:textId="77777777" w:rsidR="000732A4" w:rsidRPr="007A23EB" w:rsidRDefault="000732A4" w:rsidP="007A23EB">
      <w:pPr>
        <w:tabs>
          <w:tab w:val="left" w:pos="550"/>
        </w:tabs>
        <w:jc w:val="both"/>
        <w:rPr>
          <w:szCs w:val="22"/>
          <w:lang w:val="sr-Latn-ME"/>
        </w:rPr>
      </w:pPr>
    </w:p>
    <w:p w14:paraId="3C8DF4F6" w14:textId="5BF25177" w:rsidR="00A415A3" w:rsidRPr="007A23EB" w:rsidRDefault="00A415A3" w:rsidP="007A23EB">
      <w:pPr>
        <w:tabs>
          <w:tab w:val="left" w:pos="550"/>
        </w:tabs>
        <w:jc w:val="both"/>
        <w:rPr>
          <w:szCs w:val="22"/>
          <w:lang w:val="sr-Latn-ME"/>
        </w:rPr>
      </w:pPr>
      <w:r w:rsidRPr="007A23EB">
        <w:rPr>
          <w:szCs w:val="22"/>
          <w:lang w:val="sr-Latn-ME"/>
        </w:rPr>
        <w:t>Do klinički značajnih interakcija dolazi pri sistemskoj prim</w:t>
      </w:r>
      <w:r w:rsidR="00EC049D" w:rsidRPr="007A23EB">
        <w:rPr>
          <w:szCs w:val="22"/>
          <w:lang w:val="sr-Latn-ME"/>
        </w:rPr>
        <w:t>j</w:t>
      </w:r>
      <w:r w:rsidRPr="007A23EB">
        <w:rPr>
          <w:szCs w:val="22"/>
          <w:lang w:val="sr-Latn-ME"/>
        </w:rPr>
        <w:t>eni gentamicina</w:t>
      </w:r>
      <w:r w:rsidR="000732A4" w:rsidRPr="007A23EB">
        <w:rPr>
          <w:szCs w:val="22"/>
          <w:lang w:val="sr-Latn-ME"/>
        </w:rPr>
        <w:t xml:space="preserve"> </w:t>
      </w:r>
      <w:r w:rsidR="0036241C" w:rsidRPr="007A23EB">
        <w:rPr>
          <w:szCs w:val="22"/>
          <w:lang w:val="sr-Latn-ME"/>
        </w:rPr>
        <w:t>ili pri povećanoj re</w:t>
      </w:r>
      <w:r w:rsidR="000732A4" w:rsidRPr="007A23EB">
        <w:rPr>
          <w:szCs w:val="22"/>
          <w:lang w:val="sr-Latn-ME"/>
        </w:rPr>
        <w:t>sorpciji topikalno primijenjenog gentamicina.</w:t>
      </w:r>
    </w:p>
    <w:p w14:paraId="7EBDFA2E" w14:textId="77777777" w:rsidR="000732A4" w:rsidRPr="007A23EB" w:rsidRDefault="000732A4" w:rsidP="007A23EB">
      <w:pPr>
        <w:tabs>
          <w:tab w:val="left" w:pos="550"/>
        </w:tabs>
        <w:jc w:val="both"/>
        <w:rPr>
          <w:szCs w:val="22"/>
          <w:lang w:val="sr-Latn-ME"/>
        </w:rPr>
      </w:pPr>
    </w:p>
    <w:p w14:paraId="4B28AF9E" w14:textId="0A783AEC" w:rsidR="000732A4" w:rsidRPr="007A23EB" w:rsidRDefault="000732A4" w:rsidP="007A23EB">
      <w:pPr>
        <w:tabs>
          <w:tab w:val="left" w:pos="550"/>
        </w:tabs>
        <w:jc w:val="both"/>
        <w:rPr>
          <w:szCs w:val="22"/>
          <w:lang w:val="sr-Latn-ME"/>
        </w:rPr>
      </w:pPr>
      <w:r w:rsidRPr="007A23EB">
        <w:rPr>
          <w:szCs w:val="22"/>
          <w:lang w:val="sr-Latn-ME"/>
        </w:rPr>
        <w:t>Gentamicin nije kompatibilan s</w:t>
      </w:r>
      <w:r w:rsidR="00153C01" w:rsidRPr="007A23EB">
        <w:rPr>
          <w:szCs w:val="22"/>
          <w:lang w:val="sr-Latn-ME"/>
        </w:rPr>
        <w:t>a</w:t>
      </w:r>
      <w:r w:rsidRPr="007A23EB">
        <w:rPr>
          <w:szCs w:val="22"/>
          <w:lang w:val="sr-Latn-ME"/>
        </w:rPr>
        <w:t xml:space="preserve"> amfotericinom B, heparinom, sulfadiazinom i beta-laktamskim antibioticima (npr. cefalosporinima).</w:t>
      </w:r>
    </w:p>
    <w:p w14:paraId="3F29717B" w14:textId="77777777" w:rsidR="00A415A3" w:rsidRPr="007A23EB" w:rsidRDefault="00A415A3" w:rsidP="007A23EB">
      <w:pPr>
        <w:tabs>
          <w:tab w:val="left" w:pos="550"/>
        </w:tabs>
        <w:jc w:val="both"/>
        <w:rPr>
          <w:szCs w:val="22"/>
          <w:lang w:val="sr-Latn-ME"/>
        </w:rPr>
      </w:pPr>
    </w:p>
    <w:p w14:paraId="33F35D2B" w14:textId="65D4C852" w:rsidR="00A415A3" w:rsidRDefault="007A23EB" w:rsidP="007A23EB">
      <w:pPr>
        <w:tabs>
          <w:tab w:val="left" w:pos="550"/>
        </w:tabs>
        <w:jc w:val="both"/>
        <w:rPr>
          <w:b/>
          <w:bCs/>
          <w:szCs w:val="22"/>
          <w:lang w:val="sr-Latn-ME"/>
        </w:rPr>
      </w:pPr>
      <w:r>
        <w:rPr>
          <w:b/>
          <w:bCs/>
          <w:szCs w:val="22"/>
          <w:lang w:val="sr-Latn-ME"/>
        </w:rPr>
        <w:t>4.6.</w:t>
      </w:r>
      <w:r>
        <w:rPr>
          <w:b/>
          <w:bCs/>
          <w:szCs w:val="22"/>
          <w:lang w:val="sr-Latn-ME"/>
        </w:rPr>
        <w:tab/>
      </w:r>
      <w:r w:rsidR="00A415A3" w:rsidRPr="007A23EB">
        <w:rPr>
          <w:b/>
          <w:bCs/>
          <w:szCs w:val="22"/>
          <w:lang w:val="sr-Latn-ME"/>
        </w:rPr>
        <w:t>Plodnost, trudnoća i dojenje</w:t>
      </w:r>
    </w:p>
    <w:p w14:paraId="2F15D0B9" w14:textId="77777777" w:rsidR="007A23EB" w:rsidRPr="007A23EB" w:rsidRDefault="007A23EB" w:rsidP="007A23EB">
      <w:pPr>
        <w:tabs>
          <w:tab w:val="left" w:pos="550"/>
        </w:tabs>
        <w:jc w:val="both"/>
        <w:rPr>
          <w:b/>
          <w:bCs/>
          <w:szCs w:val="22"/>
          <w:lang w:val="sr-Latn-ME"/>
        </w:rPr>
      </w:pPr>
    </w:p>
    <w:p w14:paraId="1A49FA2A" w14:textId="77777777" w:rsidR="00A415A3" w:rsidRPr="007A23EB" w:rsidRDefault="00A415A3" w:rsidP="007A23EB">
      <w:pPr>
        <w:tabs>
          <w:tab w:val="left" w:pos="550"/>
        </w:tabs>
        <w:jc w:val="both"/>
        <w:rPr>
          <w:szCs w:val="22"/>
          <w:lang w:val="sr-Latn-ME"/>
        </w:rPr>
      </w:pPr>
      <w:r w:rsidRPr="007A23EB">
        <w:rPr>
          <w:szCs w:val="22"/>
          <w:lang w:val="sr-Latn-ME"/>
        </w:rPr>
        <w:t>Bezb</w:t>
      </w:r>
      <w:r w:rsidR="00EC049D" w:rsidRPr="007A23EB">
        <w:rPr>
          <w:szCs w:val="22"/>
          <w:lang w:val="sr-Latn-ME"/>
        </w:rPr>
        <w:t>j</w:t>
      </w:r>
      <w:r w:rsidRPr="007A23EB">
        <w:rPr>
          <w:szCs w:val="22"/>
          <w:lang w:val="sr-Latn-ME"/>
        </w:rPr>
        <w:t>ednost prim</w:t>
      </w:r>
      <w:r w:rsidR="00EC049D" w:rsidRPr="007A23EB">
        <w:rPr>
          <w:szCs w:val="22"/>
          <w:lang w:val="sr-Latn-ME"/>
        </w:rPr>
        <w:t>j</w:t>
      </w:r>
      <w:r w:rsidRPr="007A23EB">
        <w:rPr>
          <w:szCs w:val="22"/>
          <w:lang w:val="sr-Latn-ME"/>
        </w:rPr>
        <w:t>ene topikalnog gentamicina za vr</w:t>
      </w:r>
      <w:r w:rsidR="00EC049D" w:rsidRPr="007A23EB">
        <w:rPr>
          <w:szCs w:val="22"/>
          <w:lang w:val="sr-Latn-ME"/>
        </w:rPr>
        <w:t>ij</w:t>
      </w:r>
      <w:r w:rsidRPr="007A23EB">
        <w:rPr>
          <w:szCs w:val="22"/>
          <w:lang w:val="sr-Latn-ME"/>
        </w:rPr>
        <w:t>eme trudnoće i dojenja nije utvrđena. Gentamicin se jedino može prim</w:t>
      </w:r>
      <w:r w:rsidR="00EC049D" w:rsidRPr="007A23EB">
        <w:rPr>
          <w:szCs w:val="22"/>
          <w:lang w:val="sr-Latn-ME"/>
        </w:rPr>
        <w:t>j</w:t>
      </w:r>
      <w:r w:rsidRPr="007A23EB">
        <w:rPr>
          <w:szCs w:val="22"/>
          <w:lang w:val="sr-Latn-ME"/>
        </w:rPr>
        <w:t>enjivati tokom trudnoće i dojenja nakon pažljive proc</w:t>
      </w:r>
      <w:r w:rsidR="00EC049D" w:rsidRPr="007A23EB">
        <w:rPr>
          <w:szCs w:val="22"/>
          <w:lang w:val="sr-Latn-ME"/>
        </w:rPr>
        <w:t>j</w:t>
      </w:r>
      <w:r w:rsidRPr="007A23EB">
        <w:rPr>
          <w:szCs w:val="22"/>
          <w:lang w:val="sr-Latn-ME"/>
        </w:rPr>
        <w:t>ene odnosa očekivane koristi i potencijalnih rizika. Trudnicama i dojiljama se ne daje ako je površina obol</w:t>
      </w:r>
      <w:r w:rsidR="00EC049D" w:rsidRPr="007A23EB">
        <w:rPr>
          <w:szCs w:val="22"/>
          <w:lang w:val="sr-Latn-ME"/>
        </w:rPr>
        <w:t>j</w:t>
      </w:r>
      <w:r w:rsidRPr="007A23EB">
        <w:rPr>
          <w:szCs w:val="22"/>
          <w:lang w:val="sr-Latn-ME"/>
        </w:rPr>
        <w:t>ele kože veoma velika.</w:t>
      </w:r>
    </w:p>
    <w:p w14:paraId="5933B63D" w14:textId="7A2C1FD0" w:rsidR="000732A4" w:rsidRPr="007A23EB" w:rsidRDefault="000732A4" w:rsidP="007A23EB">
      <w:pPr>
        <w:tabs>
          <w:tab w:val="left" w:pos="550"/>
        </w:tabs>
        <w:jc w:val="both"/>
        <w:rPr>
          <w:szCs w:val="22"/>
          <w:lang w:val="sr-Latn-ME"/>
        </w:rPr>
      </w:pPr>
      <w:r w:rsidRPr="007A23EB">
        <w:rPr>
          <w:szCs w:val="22"/>
          <w:lang w:val="sr-Latn-ME"/>
        </w:rPr>
        <w:t>Nakon sistemske primjene, gentamicin prolazi kroz placentarnu barijeru te se u malim količinama izlučuje</w:t>
      </w:r>
      <w:r w:rsidR="000E255C">
        <w:rPr>
          <w:szCs w:val="22"/>
          <w:lang w:val="sr-Latn-ME"/>
        </w:rPr>
        <w:t xml:space="preserve"> </w:t>
      </w:r>
      <w:r w:rsidRPr="007A23EB">
        <w:rPr>
          <w:szCs w:val="22"/>
          <w:lang w:val="sr-Latn-ME"/>
        </w:rPr>
        <w:t>u majčino mlijeko.</w:t>
      </w:r>
    </w:p>
    <w:p w14:paraId="230ED1EF" w14:textId="77777777" w:rsidR="00A415A3" w:rsidRPr="007A23EB" w:rsidRDefault="00A415A3" w:rsidP="007A23EB">
      <w:pPr>
        <w:tabs>
          <w:tab w:val="left" w:pos="550"/>
        </w:tabs>
        <w:jc w:val="both"/>
        <w:rPr>
          <w:szCs w:val="22"/>
          <w:lang w:val="sr-Latn-ME"/>
        </w:rPr>
      </w:pPr>
    </w:p>
    <w:p w14:paraId="0A988BE7" w14:textId="3B914EB9" w:rsidR="00A415A3" w:rsidRDefault="007A23EB" w:rsidP="007A23EB">
      <w:pPr>
        <w:tabs>
          <w:tab w:val="left" w:pos="550"/>
        </w:tabs>
        <w:jc w:val="both"/>
        <w:rPr>
          <w:b/>
          <w:bCs/>
          <w:spacing w:val="-8"/>
          <w:szCs w:val="22"/>
          <w:lang w:val="sr-Latn-ME"/>
        </w:rPr>
      </w:pPr>
      <w:r>
        <w:rPr>
          <w:b/>
          <w:bCs/>
          <w:spacing w:val="-8"/>
          <w:szCs w:val="22"/>
          <w:lang w:val="sr-Latn-ME"/>
        </w:rPr>
        <w:t>4.7.</w:t>
      </w:r>
      <w:r>
        <w:rPr>
          <w:b/>
          <w:bCs/>
          <w:spacing w:val="-8"/>
          <w:szCs w:val="22"/>
          <w:lang w:val="sr-Latn-ME"/>
        </w:rPr>
        <w:tab/>
      </w:r>
      <w:r w:rsidR="00A51972" w:rsidRPr="007A23EB">
        <w:rPr>
          <w:b/>
          <w:bCs/>
          <w:spacing w:val="-8"/>
          <w:szCs w:val="22"/>
          <w:lang w:val="sr-Latn-ME"/>
        </w:rPr>
        <w:t>Uticaj na sposobnost upravljanja vozilima i rukovanje mašinama</w:t>
      </w:r>
    </w:p>
    <w:p w14:paraId="5085E560" w14:textId="77777777" w:rsidR="007A23EB" w:rsidRPr="007A23EB" w:rsidRDefault="007A23EB" w:rsidP="007A23EB">
      <w:pPr>
        <w:tabs>
          <w:tab w:val="left" w:pos="550"/>
        </w:tabs>
        <w:jc w:val="both"/>
        <w:rPr>
          <w:b/>
          <w:bCs/>
          <w:spacing w:val="-8"/>
          <w:szCs w:val="22"/>
          <w:lang w:val="sr-Latn-ME"/>
        </w:rPr>
      </w:pPr>
    </w:p>
    <w:p w14:paraId="193BDABD" w14:textId="58F8EABB" w:rsidR="00A415A3" w:rsidRPr="007A23EB" w:rsidRDefault="00A415A3" w:rsidP="007A23EB">
      <w:pPr>
        <w:tabs>
          <w:tab w:val="left" w:pos="550"/>
        </w:tabs>
        <w:jc w:val="both"/>
        <w:rPr>
          <w:szCs w:val="22"/>
          <w:lang w:val="sr-Latn-ME"/>
        </w:rPr>
      </w:pPr>
      <w:r w:rsidRPr="007A23EB">
        <w:rPr>
          <w:szCs w:val="22"/>
          <w:lang w:val="sr-Latn-ME"/>
        </w:rPr>
        <w:t xml:space="preserve">Gentamicin </w:t>
      </w:r>
      <w:r w:rsidR="0036241C" w:rsidRPr="007A23EB">
        <w:rPr>
          <w:szCs w:val="22"/>
          <w:lang w:val="sr-Latn-ME"/>
        </w:rPr>
        <w:t xml:space="preserve">mast </w:t>
      </w:r>
      <w:r w:rsidRPr="007A23EB">
        <w:rPr>
          <w:szCs w:val="22"/>
          <w:lang w:val="sr-Latn-ME"/>
        </w:rPr>
        <w:t>ne utiče na sposobnost upravljanja vozilima i rukovanja mašinama, jer je resorpcija zanemarljiva.</w:t>
      </w:r>
    </w:p>
    <w:p w14:paraId="28433285" w14:textId="77777777" w:rsidR="00A415A3" w:rsidRPr="007A23EB" w:rsidRDefault="00A415A3" w:rsidP="007A23EB">
      <w:pPr>
        <w:tabs>
          <w:tab w:val="left" w:pos="550"/>
        </w:tabs>
        <w:jc w:val="both"/>
        <w:rPr>
          <w:szCs w:val="22"/>
          <w:lang w:val="sr-Latn-ME"/>
        </w:rPr>
      </w:pPr>
    </w:p>
    <w:p w14:paraId="5589718E" w14:textId="09CD69C0" w:rsidR="00A415A3" w:rsidRPr="007A23EB" w:rsidRDefault="007A23EB" w:rsidP="00EE5B57">
      <w:pPr>
        <w:tabs>
          <w:tab w:val="left" w:pos="550"/>
        </w:tabs>
        <w:jc w:val="both"/>
        <w:rPr>
          <w:lang w:val="sr-Latn-ME"/>
        </w:rPr>
      </w:pPr>
      <w:r>
        <w:rPr>
          <w:b/>
          <w:bCs/>
          <w:szCs w:val="22"/>
          <w:lang w:val="sr-Latn-ME"/>
        </w:rPr>
        <w:t>4.8.</w:t>
      </w:r>
      <w:r>
        <w:rPr>
          <w:b/>
          <w:bCs/>
          <w:szCs w:val="22"/>
          <w:lang w:val="sr-Latn-ME"/>
        </w:rPr>
        <w:tab/>
      </w:r>
      <w:r w:rsidR="00A415A3" w:rsidRPr="007A23EB">
        <w:rPr>
          <w:b/>
          <w:bCs/>
          <w:szCs w:val="22"/>
          <w:lang w:val="sr-Latn-ME"/>
        </w:rPr>
        <w:t xml:space="preserve">Neželjena dejstva  </w:t>
      </w:r>
    </w:p>
    <w:p w14:paraId="14D62D14" w14:textId="77777777" w:rsidR="00A415A3" w:rsidRPr="000E255C" w:rsidRDefault="00A415A3" w:rsidP="00EE5B57">
      <w:pPr>
        <w:pStyle w:val="ListParagraph"/>
        <w:numPr>
          <w:ilvl w:val="0"/>
          <w:numId w:val="7"/>
        </w:numPr>
        <w:jc w:val="both"/>
        <w:rPr>
          <w:lang w:val="sr-Latn-ME"/>
        </w:rPr>
      </w:pPr>
      <w:r w:rsidRPr="000E255C">
        <w:rPr>
          <w:lang w:val="sr-Latn-ME"/>
        </w:rPr>
        <w:t>Veoma često (</w:t>
      </w:r>
      <w:r w:rsidRPr="007A23EB">
        <w:rPr>
          <w:lang w:val="sr-Latn-ME"/>
        </w:rPr>
        <w:sym w:font="Symbol" w:char="F0B3"/>
      </w:r>
      <w:r w:rsidRPr="000E255C">
        <w:rPr>
          <w:lang w:val="sr-Latn-ME"/>
        </w:rPr>
        <w:t>1/10)</w:t>
      </w:r>
    </w:p>
    <w:p w14:paraId="778C1F98" w14:textId="77777777" w:rsidR="00A415A3" w:rsidRPr="007A23EB" w:rsidRDefault="00A415A3" w:rsidP="00EE5B57">
      <w:pPr>
        <w:pStyle w:val="ListParagraph"/>
        <w:numPr>
          <w:ilvl w:val="0"/>
          <w:numId w:val="7"/>
        </w:numPr>
        <w:jc w:val="both"/>
        <w:rPr>
          <w:lang w:val="sr-Latn-ME"/>
        </w:rPr>
      </w:pPr>
      <w:r w:rsidRPr="007A23EB">
        <w:rPr>
          <w:lang w:val="sr-Latn-ME"/>
        </w:rPr>
        <w:t>Često (</w:t>
      </w:r>
      <w:r w:rsidRPr="007A23EB">
        <w:rPr>
          <w:lang w:val="sr-Latn-ME"/>
        </w:rPr>
        <w:sym w:font="Symbol" w:char="F0B3"/>
      </w:r>
      <w:r w:rsidRPr="000E255C">
        <w:rPr>
          <w:lang w:val="sr-Latn-ME"/>
        </w:rPr>
        <w:t>1/100 do &lt;1/10)</w:t>
      </w:r>
    </w:p>
    <w:p w14:paraId="55A5076C" w14:textId="77777777" w:rsidR="00A415A3" w:rsidRPr="000E255C" w:rsidRDefault="00A415A3" w:rsidP="00EE5B57">
      <w:pPr>
        <w:pStyle w:val="ListParagraph"/>
        <w:numPr>
          <w:ilvl w:val="0"/>
          <w:numId w:val="7"/>
        </w:numPr>
        <w:jc w:val="both"/>
        <w:rPr>
          <w:lang w:val="sr-Latn-ME"/>
        </w:rPr>
      </w:pPr>
      <w:r w:rsidRPr="007A23EB">
        <w:rPr>
          <w:lang w:val="sr-Latn-ME"/>
        </w:rPr>
        <w:t>Povremeno (</w:t>
      </w:r>
      <w:r w:rsidRPr="007A23EB">
        <w:rPr>
          <w:lang w:val="sr-Latn-ME"/>
        </w:rPr>
        <w:sym w:font="Symbol" w:char="F0B3"/>
      </w:r>
      <w:r w:rsidRPr="000E255C">
        <w:rPr>
          <w:lang w:val="sr-Latn-ME"/>
        </w:rPr>
        <w:t xml:space="preserve">1/1000 do &lt;1/100) </w:t>
      </w:r>
    </w:p>
    <w:p w14:paraId="371AA828" w14:textId="77777777" w:rsidR="00A415A3" w:rsidRPr="000E255C" w:rsidRDefault="00A415A3" w:rsidP="00EE5B57">
      <w:pPr>
        <w:pStyle w:val="ListParagraph"/>
        <w:numPr>
          <w:ilvl w:val="0"/>
          <w:numId w:val="7"/>
        </w:numPr>
        <w:jc w:val="both"/>
        <w:rPr>
          <w:lang w:val="sr-Latn-ME"/>
        </w:rPr>
      </w:pPr>
      <w:r w:rsidRPr="007A23EB">
        <w:rPr>
          <w:lang w:val="sr-Latn-ME"/>
        </w:rPr>
        <w:t>R</w:t>
      </w:r>
      <w:r w:rsidR="00EC049D" w:rsidRPr="007A23EB">
        <w:rPr>
          <w:lang w:val="sr-Latn-ME"/>
        </w:rPr>
        <w:t>ij</w:t>
      </w:r>
      <w:r w:rsidRPr="007A23EB">
        <w:rPr>
          <w:lang w:val="sr-Latn-ME"/>
        </w:rPr>
        <w:t>etko (</w:t>
      </w:r>
      <w:r w:rsidRPr="007A23EB">
        <w:rPr>
          <w:lang w:val="sr-Latn-ME"/>
        </w:rPr>
        <w:sym w:font="Symbol" w:char="F0B3"/>
      </w:r>
      <w:r w:rsidRPr="000E255C">
        <w:rPr>
          <w:lang w:val="sr-Latn-ME"/>
        </w:rPr>
        <w:t>1/10000 do &lt;1/1000)</w:t>
      </w:r>
    </w:p>
    <w:p w14:paraId="14B1CBEB" w14:textId="77777777" w:rsidR="00A415A3" w:rsidRPr="007A23EB" w:rsidRDefault="00A415A3" w:rsidP="00EE5B57">
      <w:pPr>
        <w:pStyle w:val="ListParagraph"/>
        <w:numPr>
          <w:ilvl w:val="0"/>
          <w:numId w:val="7"/>
        </w:numPr>
        <w:jc w:val="both"/>
        <w:rPr>
          <w:lang w:val="sr-Latn-ME"/>
        </w:rPr>
      </w:pPr>
      <w:r w:rsidRPr="007A23EB">
        <w:rPr>
          <w:lang w:val="sr-Latn-ME"/>
        </w:rPr>
        <w:t>Veoma r</w:t>
      </w:r>
      <w:r w:rsidR="00EC049D" w:rsidRPr="007A23EB">
        <w:rPr>
          <w:lang w:val="sr-Latn-ME"/>
        </w:rPr>
        <w:t>ij</w:t>
      </w:r>
      <w:r w:rsidRPr="007A23EB">
        <w:rPr>
          <w:lang w:val="sr-Latn-ME"/>
        </w:rPr>
        <w:t>etko (&lt;1/10000)</w:t>
      </w:r>
    </w:p>
    <w:p w14:paraId="03E8B17E" w14:textId="77777777" w:rsidR="00A415A3" w:rsidRPr="007A23EB" w:rsidRDefault="00A415A3" w:rsidP="00EE5B57">
      <w:pPr>
        <w:pStyle w:val="ListParagraph"/>
        <w:numPr>
          <w:ilvl w:val="0"/>
          <w:numId w:val="7"/>
        </w:numPr>
        <w:jc w:val="both"/>
        <w:rPr>
          <w:lang w:val="sr-Latn-ME"/>
        </w:rPr>
      </w:pPr>
      <w:r w:rsidRPr="007A23EB">
        <w:rPr>
          <w:lang w:val="sr-Latn-ME"/>
        </w:rPr>
        <w:t>Nepoznato (ne može se proc</w:t>
      </w:r>
      <w:r w:rsidR="00EC049D" w:rsidRPr="007A23EB">
        <w:rPr>
          <w:lang w:val="sr-Latn-ME"/>
        </w:rPr>
        <w:t>ij</w:t>
      </w:r>
      <w:r w:rsidRPr="007A23EB">
        <w:rPr>
          <w:lang w:val="sr-Latn-ME"/>
        </w:rPr>
        <w:t xml:space="preserve">eniti na osnovu dostupnih podataka) </w:t>
      </w:r>
    </w:p>
    <w:p w14:paraId="10EDEE51" w14:textId="77777777" w:rsidR="00A415A3" w:rsidRPr="007A23EB" w:rsidRDefault="00A415A3" w:rsidP="007A23EB">
      <w:pPr>
        <w:tabs>
          <w:tab w:val="left" w:pos="550"/>
        </w:tabs>
        <w:jc w:val="both"/>
        <w:rPr>
          <w:szCs w:val="22"/>
          <w:lang w:val="sr-Latn-ME"/>
        </w:rPr>
      </w:pPr>
    </w:p>
    <w:p w14:paraId="35A31810" w14:textId="7874BE15" w:rsidR="000E255C" w:rsidRPr="007A23EB" w:rsidRDefault="00A415A3" w:rsidP="007A23EB">
      <w:pPr>
        <w:tabs>
          <w:tab w:val="left" w:pos="550"/>
        </w:tabs>
        <w:jc w:val="both"/>
        <w:rPr>
          <w:szCs w:val="22"/>
          <w:lang w:val="sr-Latn-ME"/>
        </w:rPr>
      </w:pPr>
      <w:r w:rsidRPr="007A23EB">
        <w:rPr>
          <w:szCs w:val="22"/>
          <w:lang w:val="sr-Latn-ME"/>
        </w:rPr>
        <w:t xml:space="preserve">Unutar svake grupe učestalosti, neželjene reakcije su prikazane u padajućem nizu prema ozbiljnosti. </w:t>
      </w:r>
    </w:p>
    <w:p w14:paraId="28AD0986" w14:textId="77777777" w:rsidR="00A415A3" w:rsidRPr="007A23EB" w:rsidRDefault="00A415A3" w:rsidP="007A23EB">
      <w:pPr>
        <w:tabs>
          <w:tab w:val="left" w:pos="550"/>
        </w:tabs>
        <w:jc w:val="both"/>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6"/>
        <w:gridCol w:w="4833"/>
      </w:tblGrid>
      <w:tr w:rsidR="00A415A3" w:rsidRPr="007A23EB" w14:paraId="05389421" w14:textId="77777777" w:rsidTr="00333D57">
        <w:tc>
          <w:tcPr>
            <w:tcW w:w="4796" w:type="dxa"/>
          </w:tcPr>
          <w:p w14:paraId="13C4F3B9" w14:textId="05C6C452" w:rsidR="00A415A3" w:rsidRPr="007A23EB" w:rsidRDefault="00A415A3" w:rsidP="007A23EB">
            <w:pPr>
              <w:tabs>
                <w:tab w:val="left" w:pos="550"/>
              </w:tabs>
              <w:jc w:val="both"/>
              <w:rPr>
                <w:b/>
                <w:szCs w:val="22"/>
                <w:lang w:val="sr-Latn-ME"/>
              </w:rPr>
            </w:pPr>
            <w:r w:rsidRPr="007A23EB">
              <w:rPr>
                <w:b/>
                <w:szCs w:val="22"/>
                <w:lang w:val="sr-Latn-ME"/>
              </w:rPr>
              <w:t>Poremećaji imunskog sistema</w:t>
            </w:r>
          </w:p>
          <w:p w14:paraId="0E2EF95E" w14:textId="670A75D5" w:rsidR="00333D57" w:rsidRPr="007A23EB" w:rsidRDefault="00333D57" w:rsidP="007A23EB">
            <w:pPr>
              <w:tabs>
                <w:tab w:val="left" w:pos="550"/>
              </w:tabs>
              <w:jc w:val="both"/>
              <w:rPr>
                <w:szCs w:val="22"/>
                <w:lang w:val="sr-Latn-ME"/>
              </w:rPr>
            </w:pPr>
            <w:r w:rsidRPr="007A23EB">
              <w:rPr>
                <w:szCs w:val="22"/>
                <w:lang w:val="sr-Latn-ME"/>
              </w:rPr>
              <w:t>Veoma rijetko</w:t>
            </w:r>
          </w:p>
        </w:tc>
        <w:tc>
          <w:tcPr>
            <w:tcW w:w="4833" w:type="dxa"/>
          </w:tcPr>
          <w:p w14:paraId="3B213D47" w14:textId="7ED1AC48" w:rsidR="00A415A3" w:rsidRPr="007A23EB" w:rsidRDefault="00A415A3" w:rsidP="007A23EB">
            <w:pPr>
              <w:tabs>
                <w:tab w:val="left" w:pos="550"/>
              </w:tabs>
              <w:jc w:val="both"/>
              <w:rPr>
                <w:szCs w:val="22"/>
                <w:lang w:val="sr-Latn-ME"/>
              </w:rPr>
            </w:pPr>
            <w:r w:rsidRPr="007A23EB">
              <w:rPr>
                <w:szCs w:val="22"/>
                <w:lang w:val="sr-Latn-ME"/>
              </w:rPr>
              <w:t>reakcija preos</w:t>
            </w:r>
            <w:r w:rsidR="00EC049D" w:rsidRPr="007A23EB">
              <w:rPr>
                <w:szCs w:val="22"/>
                <w:lang w:val="sr-Latn-ME"/>
              </w:rPr>
              <w:t>j</w:t>
            </w:r>
            <w:r w:rsidRPr="007A23EB">
              <w:rPr>
                <w:szCs w:val="22"/>
                <w:lang w:val="sr-Latn-ME"/>
              </w:rPr>
              <w:t>etljivosti na sv</w:t>
            </w:r>
            <w:r w:rsidR="00EC049D" w:rsidRPr="007A23EB">
              <w:rPr>
                <w:szCs w:val="22"/>
                <w:lang w:val="sr-Latn-ME"/>
              </w:rPr>
              <w:t>ij</w:t>
            </w:r>
            <w:r w:rsidRPr="007A23EB">
              <w:rPr>
                <w:szCs w:val="22"/>
                <w:lang w:val="sr-Latn-ME"/>
              </w:rPr>
              <w:t>etlo</w:t>
            </w:r>
            <w:r w:rsidR="00333D57" w:rsidRPr="007A23EB">
              <w:rPr>
                <w:szCs w:val="22"/>
                <w:lang w:val="sr-Latn-ME"/>
              </w:rPr>
              <w:t xml:space="preserve"> - fotosenzibilnost</w:t>
            </w:r>
          </w:p>
        </w:tc>
      </w:tr>
      <w:tr w:rsidR="00A415A3" w:rsidRPr="007A23EB" w14:paraId="735BAAAE" w14:textId="77777777" w:rsidTr="00333D57">
        <w:tc>
          <w:tcPr>
            <w:tcW w:w="4796" w:type="dxa"/>
          </w:tcPr>
          <w:p w14:paraId="17575236" w14:textId="77777777" w:rsidR="00A415A3" w:rsidRPr="007A23EB" w:rsidRDefault="00A415A3" w:rsidP="007A23EB">
            <w:pPr>
              <w:tabs>
                <w:tab w:val="left" w:pos="550"/>
              </w:tabs>
              <w:jc w:val="both"/>
              <w:rPr>
                <w:b/>
                <w:szCs w:val="22"/>
                <w:lang w:val="sr-Latn-ME"/>
              </w:rPr>
            </w:pPr>
            <w:r w:rsidRPr="007A23EB">
              <w:rPr>
                <w:b/>
                <w:szCs w:val="22"/>
                <w:lang w:val="sr-Latn-ME"/>
              </w:rPr>
              <w:t>Poremećaji kože i potkožnog tkiva</w:t>
            </w:r>
          </w:p>
          <w:p w14:paraId="66976677" w14:textId="0BF98F54" w:rsidR="00333D57" w:rsidRPr="007A23EB" w:rsidRDefault="00333D57" w:rsidP="007A23EB">
            <w:pPr>
              <w:tabs>
                <w:tab w:val="left" w:pos="550"/>
              </w:tabs>
              <w:jc w:val="both"/>
              <w:rPr>
                <w:szCs w:val="22"/>
                <w:lang w:val="sr-Latn-ME"/>
              </w:rPr>
            </w:pPr>
            <w:r w:rsidRPr="007A23EB">
              <w:rPr>
                <w:szCs w:val="22"/>
                <w:lang w:val="sr-Latn-ME"/>
              </w:rPr>
              <w:lastRenderedPageBreak/>
              <w:t>Veoma rijetko</w:t>
            </w:r>
          </w:p>
        </w:tc>
        <w:tc>
          <w:tcPr>
            <w:tcW w:w="4833" w:type="dxa"/>
          </w:tcPr>
          <w:p w14:paraId="5942D113" w14:textId="77777777" w:rsidR="00A415A3" w:rsidRPr="007A23EB" w:rsidRDefault="00A415A3" w:rsidP="007A23EB">
            <w:pPr>
              <w:tabs>
                <w:tab w:val="left" w:pos="550"/>
              </w:tabs>
              <w:jc w:val="both"/>
              <w:rPr>
                <w:szCs w:val="22"/>
                <w:lang w:val="sr-Latn-ME"/>
              </w:rPr>
            </w:pPr>
            <w:r w:rsidRPr="007A23EB">
              <w:rPr>
                <w:szCs w:val="22"/>
                <w:lang w:val="sr-Latn-ME"/>
              </w:rPr>
              <w:lastRenderedPageBreak/>
              <w:t>blaga iritacija kože (eritem i svrab)</w:t>
            </w:r>
          </w:p>
        </w:tc>
      </w:tr>
      <w:tr w:rsidR="00333D57" w:rsidRPr="007A23EB" w14:paraId="7C599563" w14:textId="77777777" w:rsidTr="00333D57">
        <w:tc>
          <w:tcPr>
            <w:tcW w:w="4796" w:type="dxa"/>
          </w:tcPr>
          <w:p w14:paraId="006DE0CB" w14:textId="77777777" w:rsidR="00333D57" w:rsidRPr="007A23EB" w:rsidRDefault="00333D57" w:rsidP="007A23EB">
            <w:pPr>
              <w:tabs>
                <w:tab w:val="left" w:pos="550"/>
              </w:tabs>
              <w:jc w:val="both"/>
              <w:rPr>
                <w:b/>
                <w:szCs w:val="22"/>
                <w:lang w:val="sr-Latn-ME"/>
              </w:rPr>
            </w:pPr>
            <w:r w:rsidRPr="007A23EB">
              <w:rPr>
                <w:b/>
                <w:szCs w:val="22"/>
                <w:lang w:val="sr-Latn-ME"/>
              </w:rPr>
              <w:t>Poremećaji uha i labirinta</w:t>
            </w:r>
          </w:p>
          <w:p w14:paraId="78F87356" w14:textId="12557449" w:rsidR="00333D57" w:rsidRPr="007A23EB" w:rsidRDefault="00333D57" w:rsidP="007A23EB">
            <w:pPr>
              <w:tabs>
                <w:tab w:val="left" w:pos="550"/>
              </w:tabs>
              <w:jc w:val="both"/>
              <w:rPr>
                <w:szCs w:val="22"/>
                <w:lang w:val="sr-Latn-ME"/>
              </w:rPr>
            </w:pPr>
            <w:r w:rsidRPr="007A23EB">
              <w:rPr>
                <w:szCs w:val="22"/>
                <w:lang w:val="sr-Latn-ME"/>
              </w:rPr>
              <w:t>Nepoznato</w:t>
            </w:r>
          </w:p>
        </w:tc>
        <w:tc>
          <w:tcPr>
            <w:tcW w:w="4833" w:type="dxa"/>
          </w:tcPr>
          <w:p w14:paraId="6E6D90D1" w14:textId="270B0644" w:rsidR="00333D57" w:rsidRPr="007A23EB" w:rsidRDefault="00333D57" w:rsidP="007A23EB">
            <w:pPr>
              <w:tabs>
                <w:tab w:val="left" w:pos="550"/>
              </w:tabs>
              <w:jc w:val="both"/>
              <w:rPr>
                <w:szCs w:val="22"/>
                <w:lang w:val="sr-Latn-ME"/>
              </w:rPr>
            </w:pPr>
            <w:r w:rsidRPr="007A23EB">
              <w:rPr>
                <w:szCs w:val="22"/>
                <w:lang w:val="sr-Latn-ME"/>
              </w:rPr>
              <w:t>ototoksičnost*</w:t>
            </w:r>
          </w:p>
        </w:tc>
      </w:tr>
      <w:tr w:rsidR="00333D57" w:rsidRPr="007A23EB" w14:paraId="3E66DED3" w14:textId="77777777" w:rsidTr="00333D57">
        <w:tc>
          <w:tcPr>
            <w:tcW w:w="4796" w:type="dxa"/>
          </w:tcPr>
          <w:p w14:paraId="0ED9A6A6" w14:textId="77777777" w:rsidR="00333D57" w:rsidRPr="007A23EB" w:rsidRDefault="00333D57" w:rsidP="007A23EB">
            <w:pPr>
              <w:tabs>
                <w:tab w:val="left" w:pos="550"/>
              </w:tabs>
              <w:jc w:val="both"/>
              <w:rPr>
                <w:b/>
                <w:szCs w:val="22"/>
                <w:lang w:val="sr-Latn-ME"/>
              </w:rPr>
            </w:pPr>
            <w:r w:rsidRPr="007A23EB">
              <w:rPr>
                <w:b/>
                <w:szCs w:val="22"/>
                <w:lang w:val="sr-Latn-ME"/>
              </w:rPr>
              <w:t>Poremećaji bubrega i mokraćnog sistema</w:t>
            </w:r>
          </w:p>
          <w:p w14:paraId="1629443B" w14:textId="4EDAD976" w:rsidR="00333D57" w:rsidRPr="007A23EB" w:rsidRDefault="00333D57" w:rsidP="007A23EB">
            <w:pPr>
              <w:tabs>
                <w:tab w:val="left" w:pos="550"/>
              </w:tabs>
              <w:jc w:val="both"/>
              <w:rPr>
                <w:szCs w:val="22"/>
                <w:lang w:val="sr-Latn-ME"/>
              </w:rPr>
            </w:pPr>
            <w:r w:rsidRPr="007A23EB">
              <w:rPr>
                <w:szCs w:val="22"/>
                <w:lang w:val="sr-Latn-ME"/>
              </w:rPr>
              <w:t>Nepoznato</w:t>
            </w:r>
          </w:p>
        </w:tc>
        <w:tc>
          <w:tcPr>
            <w:tcW w:w="4833" w:type="dxa"/>
          </w:tcPr>
          <w:p w14:paraId="482B40EF" w14:textId="7566D88B" w:rsidR="00333D57" w:rsidRPr="007A23EB" w:rsidRDefault="00333D57" w:rsidP="007A23EB">
            <w:pPr>
              <w:tabs>
                <w:tab w:val="left" w:pos="550"/>
              </w:tabs>
              <w:jc w:val="both"/>
              <w:rPr>
                <w:szCs w:val="22"/>
                <w:lang w:val="sr-Latn-ME"/>
              </w:rPr>
            </w:pPr>
            <w:r w:rsidRPr="007A23EB">
              <w:rPr>
                <w:szCs w:val="22"/>
                <w:lang w:val="sr-Latn-ME"/>
              </w:rPr>
              <w:t>nefrotoksičnost*</w:t>
            </w:r>
          </w:p>
        </w:tc>
      </w:tr>
      <w:tr w:rsidR="00A415A3" w:rsidRPr="007A23EB" w14:paraId="1EE387EB" w14:textId="77777777" w:rsidTr="00333D57">
        <w:tc>
          <w:tcPr>
            <w:tcW w:w="4796" w:type="dxa"/>
          </w:tcPr>
          <w:p w14:paraId="058E43A3" w14:textId="77777777" w:rsidR="00A415A3" w:rsidRPr="007A23EB" w:rsidRDefault="00A415A3" w:rsidP="007A23EB">
            <w:pPr>
              <w:tabs>
                <w:tab w:val="left" w:pos="550"/>
              </w:tabs>
              <w:jc w:val="both"/>
              <w:rPr>
                <w:b/>
                <w:szCs w:val="22"/>
                <w:lang w:val="sr-Latn-ME"/>
              </w:rPr>
            </w:pPr>
            <w:r w:rsidRPr="007A23EB">
              <w:rPr>
                <w:b/>
                <w:szCs w:val="22"/>
                <w:lang w:val="sr-Latn-ME"/>
              </w:rPr>
              <w:t>Opšti poremećaji i reakcije na m</w:t>
            </w:r>
            <w:r w:rsidR="00EC049D" w:rsidRPr="007A23EB">
              <w:rPr>
                <w:b/>
                <w:szCs w:val="22"/>
                <w:lang w:val="sr-Latn-ME"/>
              </w:rPr>
              <w:t>j</w:t>
            </w:r>
            <w:r w:rsidRPr="007A23EB">
              <w:rPr>
                <w:b/>
                <w:szCs w:val="22"/>
                <w:lang w:val="sr-Latn-ME"/>
              </w:rPr>
              <w:t>estu prim</w:t>
            </w:r>
            <w:r w:rsidR="00EC049D" w:rsidRPr="007A23EB">
              <w:rPr>
                <w:b/>
                <w:szCs w:val="22"/>
                <w:lang w:val="sr-Latn-ME"/>
              </w:rPr>
              <w:t>j</w:t>
            </w:r>
            <w:r w:rsidRPr="007A23EB">
              <w:rPr>
                <w:b/>
                <w:szCs w:val="22"/>
                <w:lang w:val="sr-Latn-ME"/>
              </w:rPr>
              <w:t>ene</w:t>
            </w:r>
          </w:p>
          <w:p w14:paraId="1EAFBAD1" w14:textId="3DC5707F" w:rsidR="00333D57" w:rsidRPr="007A23EB" w:rsidRDefault="00333D57" w:rsidP="007A23EB">
            <w:pPr>
              <w:tabs>
                <w:tab w:val="left" w:pos="550"/>
              </w:tabs>
              <w:jc w:val="both"/>
              <w:rPr>
                <w:szCs w:val="22"/>
                <w:lang w:val="sr-Latn-ME"/>
              </w:rPr>
            </w:pPr>
            <w:r w:rsidRPr="007A23EB">
              <w:rPr>
                <w:szCs w:val="22"/>
                <w:lang w:val="sr-Latn-ME"/>
              </w:rPr>
              <w:t>Veoma rijetko</w:t>
            </w:r>
          </w:p>
        </w:tc>
        <w:tc>
          <w:tcPr>
            <w:tcW w:w="4833" w:type="dxa"/>
          </w:tcPr>
          <w:p w14:paraId="569EA317" w14:textId="77777777" w:rsidR="00A415A3" w:rsidRPr="007A23EB" w:rsidRDefault="00A415A3" w:rsidP="007A23EB">
            <w:pPr>
              <w:tabs>
                <w:tab w:val="left" w:pos="550"/>
              </w:tabs>
              <w:jc w:val="both"/>
              <w:rPr>
                <w:szCs w:val="22"/>
                <w:lang w:val="sr-Latn-ME"/>
              </w:rPr>
            </w:pPr>
            <w:r w:rsidRPr="007A23EB">
              <w:rPr>
                <w:szCs w:val="22"/>
                <w:lang w:val="sr-Latn-ME"/>
              </w:rPr>
              <w:t>prekom</w:t>
            </w:r>
            <w:r w:rsidR="00EC049D" w:rsidRPr="007A23EB">
              <w:rPr>
                <w:szCs w:val="22"/>
                <w:lang w:val="sr-Latn-ME"/>
              </w:rPr>
              <w:t>j</w:t>
            </w:r>
            <w:r w:rsidRPr="007A23EB">
              <w:rPr>
                <w:szCs w:val="22"/>
                <w:lang w:val="sr-Latn-ME"/>
              </w:rPr>
              <w:t>eran rast neos</w:t>
            </w:r>
            <w:r w:rsidR="00EC049D" w:rsidRPr="007A23EB">
              <w:rPr>
                <w:szCs w:val="22"/>
                <w:lang w:val="sr-Latn-ME"/>
              </w:rPr>
              <w:t>j</w:t>
            </w:r>
            <w:r w:rsidRPr="007A23EB">
              <w:rPr>
                <w:szCs w:val="22"/>
                <w:lang w:val="sr-Latn-ME"/>
              </w:rPr>
              <w:t>etljivih organizama, npr. gljivica</w:t>
            </w:r>
          </w:p>
        </w:tc>
      </w:tr>
    </w:tbl>
    <w:p w14:paraId="0F5999AC" w14:textId="77777777" w:rsidR="000E255C" w:rsidRDefault="000E255C" w:rsidP="007A23EB">
      <w:pPr>
        <w:pStyle w:val="Header"/>
        <w:tabs>
          <w:tab w:val="left" w:pos="550"/>
        </w:tabs>
        <w:jc w:val="both"/>
        <w:rPr>
          <w:szCs w:val="22"/>
          <w:lang w:val="sr-Latn-ME"/>
        </w:rPr>
      </w:pPr>
    </w:p>
    <w:p w14:paraId="19E1FEB1" w14:textId="285E8F8B" w:rsidR="00A415A3" w:rsidRPr="007A23EB" w:rsidRDefault="00333D57" w:rsidP="00EE5B57">
      <w:pPr>
        <w:pStyle w:val="Header"/>
        <w:tabs>
          <w:tab w:val="left" w:pos="550"/>
        </w:tabs>
        <w:jc w:val="both"/>
        <w:rPr>
          <w:szCs w:val="22"/>
          <w:lang w:val="sr-Latn-ME"/>
        </w:rPr>
      </w:pPr>
      <w:r w:rsidRPr="007A23EB">
        <w:rPr>
          <w:szCs w:val="22"/>
          <w:lang w:val="sr-Latn-ME"/>
        </w:rPr>
        <w:t>*mogu se javiti pri dugotrajnoj primjeni, primjeni na velikoj površini kože ili na oštećenoj koži zbog</w:t>
      </w:r>
      <w:r w:rsidR="000E255C">
        <w:rPr>
          <w:szCs w:val="22"/>
          <w:lang w:val="sr-Latn-ME"/>
        </w:rPr>
        <w:t xml:space="preserve"> </w:t>
      </w:r>
      <w:r w:rsidRPr="007A23EB">
        <w:rPr>
          <w:szCs w:val="22"/>
          <w:lang w:val="sr-Latn-ME"/>
        </w:rPr>
        <w:t>sistemske toksičnosti gentamicina.</w:t>
      </w:r>
    </w:p>
    <w:p w14:paraId="4EC27500" w14:textId="77777777" w:rsidR="000436D2" w:rsidRPr="007A23EB" w:rsidRDefault="000436D2" w:rsidP="007A23EB">
      <w:pPr>
        <w:pStyle w:val="Header"/>
        <w:tabs>
          <w:tab w:val="clear" w:pos="4536"/>
          <w:tab w:val="clear" w:pos="9072"/>
          <w:tab w:val="left" w:pos="284"/>
          <w:tab w:val="left" w:pos="550"/>
        </w:tabs>
        <w:jc w:val="both"/>
        <w:rPr>
          <w:szCs w:val="22"/>
          <w:lang w:val="sr-Latn-ME"/>
        </w:rPr>
      </w:pPr>
    </w:p>
    <w:p w14:paraId="2FC2AFCA" w14:textId="77777777" w:rsidR="000436D2" w:rsidRPr="007A23EB" w:rsidRDefault="000436D2" w:rsidP="007A23EB">
      <w:pPr>
        <w:pStyle w:val="Header"/>
        <w:tabs>
          <w:tab w:val="left" w:pos="550"/>
        </w:tabs>
        <w:jc w:val="both"/>
        <w:rPr>
          <w:szCs w:val="22"/>
          <w:lang w:val="sr-Latn-ME"/>
        </w:rPr>
      </w:pPr>
      <w:r w:rsidRPr="007A23EB">
        <w:rPr>
          <w:szCs w:val="22"/>
          <w:lang w:val="sr-Latn-ME"/>
        </w:rPr>
        <w:t>Djeca</w:t>
      </w:r>
    </w:p>
    <w:p w14:paraId="150F5A78" w14:textId="4EB58217" w:rsidR="000436D2" w:rsidRPr="007A23EB" w:rsidRDefault="000436D2" w:rsidP="00EE5B57">
      <w:pPr>
        <w:pStyle w:val="Header"/>
        <w:tabs>
          <w:tab w:val="left" w:pos="550"/>
        </w:tabs>
        <w:jc w:val="both"/>
        <w:rPr>
          <w:szCs w:val="22"/>
          <w:lang w:val="sr-Latn-ME"/>
        </w:rPr>
      </w:pPr>
      <w:r w:rsidRPr="007A23EB">
        <w:rPr>
          <w:szCs w:val="22"/>
          <w:lang w:val="sr-Latn-ME"/>
        </w:rPr>
        <w:t>Veća je mogućnost da dođe do neželjenih djelovanja kod male djece i starijih ljudi koji već imaju</w:t>
      </w:r>
      <w:r w:rsidR="000E255C">
        <w:rPr>
          <w:szCs w:val="22"/>
          <w:lang w:val="sr-Latn-ME"/>
        </w:rPr>
        <w:t xml:space="preserve"> </w:t>
      </w:r>
      <w:r w:rsidRPr="007A23EB">
        <w:rPr>
          <w:szCs w:val="22"/>
          <w:lang w:val="sr-Latn-ME"/>
        </w:rPr>
        <w:t>oštećenje sluha ili bubrega.</w:t>
      </w:r>
    </w:p>
    <w:p w14:paraId="0DF4883F" w14:textId="77777777" w:rsidR="00A415A3" w:rsidRPr="007A23EB" w:rsidRDefault="00A415A3" w:rsidP="007A23EB">
      <w:pPr>
        <w:tabs>
          <w:tab w:val="left" w:pos="550"/>
        </w:tabs>
        <w:jc w:val="both"/>
        <w:rPr>
          <w:szCs w:val="22"/>
          <w:u w:val="single"/>
          <w:lang w:val="sr-Latn-ME"/>
        </w:rPr>
      </w:pPr>
    </w:p>
    <w:p w14:paraId="244D03B0" w14:textId="77777777" w:rsidR="000E59C4" w:rsidRPr="007A23EB" w:rsidRDefault="000E59C4" w:rsidP="007A23EB">
      <w:pPr>
        <w:tabs>
          <w:tab w:val="left" w:pos="550"/>
        </w:tabs>
        <w:spacing w:after="200" w:line="276" w:lineRule="auto"/>
        <w:jc w:val="both"/>
        <w:rPr>
          <w:rFonts w:eastAsia="Calibri"/>
          <w:szCs w:val="22"/>
          <w:u w:val="single"/>
          <w:lang w:val="sr-Latn-ME"/>
        </w:rPr>
      </w:pPr>
      <w:r w:rsidRPr="007A23EB">
        <w:rPr>
          <w:rFonts w:eastAsia="Calibri"/>
          <w:szCs w:val="22"/>
          <w:u w:val="single"/>
          <w:lang w:val="sr-Latn-ME"/>
        </w:rPr>
        <w:t>Prijavljivanje sumnji na neželjena dejstva</w:t>
      </w:r>
    </w:p>
    <w:p w14:paraId="399344DE" w14:textId="77777777" w:rsidR="000E59C4" w:rsidRPr="007A23EB" w:rsidRDefault="000E59C4" w:rsidP="007A23EB">
      <w:pPr>
        <w:tabs>
          <w:tab w:val="left" w:pos="550"/>
        </w:tabs>
        <w:spacing w:after="200"/>
        <w:jc w:val="both"/>
        <w:rPr>
          <w:rFonts w:eastAsia="Calibri"/>
          <w:szCs w:val="22"/>
          <w:lang w:val="sr-Latn-ME"/>
        </w:rPr>
      </w:pPr>
      <w:r w:rsidRPr="007A23EB">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1C5BF87" w14:textId="77777777" w:rsidR="000E59C4" w:rsidRPr="007A23EB" w:rsidRDefault="000E59C4" w:rsidP="007A23EB">
      <w:pPr>
        <w:tabs>
          <w:tab w:val="left" w:pos="550"/>
        </w:tabs>
        <w:jc w:val="both"/>
        <w:rPr>
          <w:rFonts w:eastAsia="Calibri"/>
          <w:szCs w:val="22"/>
          <w:lang w:val="sr-Latn-ME"/>
        </w:rPr>
      </w:pPr>
      <w:r w:rsidRPr="007A23EB">
        <w:rPr>
          <w:rFonts w:eastAsia="Calibri"/>
          <w:szCs w:val="22"/>
          <w:lang w:val="sr-Latn-ME"/>
        </w:rPr>
        <w:t xml:space="preserve">Institut za ljekove i medicinska sredstva </w:t>
      </w:r>
    </w:p>
    <w:p w14:paraId="7A5197CC" w14:textId="77777777" w:rsidR="000E59C4" w:rsidRPr="007A23EB" w:rsidRDefault="000E59C4" w:rsidP="007A23EB">
      <w:pPr>
        <w:tabs>
          <w:tab w:val="left" w:pos="550"/>
        </w:tabs>
        <w:jc w:val="both"/>
        <w:rPr>
          <w:rFonts w:eastAsia="Calibri"/>
          <w:szCs w:val="22"/>
          <w:lang w:val="sr-Latn-ME"/>
        </w:rPr>
      </w:pPr>
      <w:r w:rsidRPr="007A23EB">
        <w:rPr>
          <w:rFonts w:eastAsia="Calibri"/>
          <w:szCs w:val="22"/>
          <w:lang w:val="sr-Latn-ME"/>
        </w:rPr>
        <w:t>Odjeljenje za farmakovigilancu</w:t>
      </w:r>
    </w:p>
    <w:p w14:paraId="22ECA8B4" w14:textId="244C87D8" w:rsidR="000E255C" w:rsidRPr="007A23EB" w:rsidRDefault="000E59C4" w:rsidP="007A23EB">
      <w:pPr>
        <w:tabs>
          <w:tab w:val="left" w:pos="550"/>
        </w:tabs>
        <w:jc w:val="both"/>
        <w:rPr>
          <w:rFonts w:eastAsia="Calibri"/>
          <w:szCs w:val="22"/>
          <w:lang w:val="sr-Latn-ME"/>
        </w:rPr>
      </w:pPr>
      <w:r w:rsidRPr="007A23EB">
        <w:rPr>
          <w:rFonts w:eastAsia="Calibri"/>
          <w:szCs w:val="22"/>
          <w:lang w:val="sr-Latn-ME"/>
        </w:rPr>
        <w:t>Bulevar Ivana Crnojevića 64a, 81000 Podgorica</w:t>
      </w:r>
    </w:p>
    <w:p w14:paraId="6217BCBD" w14:textId="77777777" w:rsidR="000E59C4" w:rsidRPr="007A23EB" w:rsidRDefault="000E59C4" w:rsidP="007A23EB">
      <w:pPr>
        <w:tabs>
          <w:tab w:val="left" w:pos="550"/>
        </w:tabs>
        <w:jc w:val="both"/>
        <w:rPr>
          <w:rFonts w:eastAsia="Calibri"/>
          <w:szCs w:val="22"/>
          <w:lang w:val="sr-Latn-ME"/>
        </w:rPr>
      </w:pPr>
    </w:p>
    <w:p w14:paraId="43B09965" w14:textId="77777777" w:rsidR="000E59C4" w:rsidRPr="007A23EB" w:rsidRDefault="000E59C4" w:rsidP="007A23EB">
      <w:pPr>
        <w:tabs>
          <w:tab w:val="left" w:pos="550"/>
        </w:tabs>
        <w:jc w:val="both"/>
        <w:rPr>
          <w:rFonts w:eastAsia="Calibri"/>
          <w:szCs w:val="22"/>
          <w:lang w:val="sr-Latn-ME"/>
        </w:rPr>
      </w:pPr>
      <w:r w:rsidRPr="007A23EB">
        <w:rPr>
          <w:rFonts w:eastAsia="Calibri"/>
          <w:szCs w:val="22"/>
          <w:lang w:val="sr-Latn-ME"/>
        </w:rPr>
        <w:t>tel: +382 (0) 20 310 280</w:t>
      </w:r>
    </w:p>
    <w:p w14:paraId="68F97F65" w14:textId="77777777" w:rsidR="000E59C4" w:rsidRPr="007A23EB" w:rsidRDefault="000E59C4" w:rsidP="007A23EB">
      <w:pPr>
        <w:tabs>
          <w:tab w:val="left" w:pos="550"/>
          <w:tab w:val="left" w:pos="6720"/>
        </w:tabs>
        <w:jc w:val="both"/>
        <w:rPr>
          <w:rFonts w:eastAsia="Calibri"/>
          <w:szCs w:val="22"/>
          <w:lang w:val="sr-Latn-ME"/>
        </w:rPr>
      </w:pPr>
      <w:r w:rsidRPr="007A23EB">
        <w:rPr>
          <w:rFonts w:eastAsia="Calibri"/>
          <w:szCs w:val="22"/>
          <w:lang w:val="sr-Latn-ME"/>
        </w:rPr>
        <w:t>fax: +382 (0) 20 310 581</w:t>
      </w:r>
      <w:r w:rsidRPr="007A23EB">
        <w:rPr>
          <w:rFonts w:eastAsia="Calibri"/>
          <w:szCs w:val="22"/>
          <w:lang w:val="sr-Latn-ME"/>
        </w:rPr>
        <w:tab/>
      </w:r>
    </w:p>
    <w:p w14:paraId="46993F60" w14:textId="77777777" w:rsidR="000E59C4" w:rsidRPr="007A23EB" w:rsidRDefault="00821502" w:rsidP="007A23EB">
      <w:pPr>
        <w:tabs>
          <w:tab w:val="left" w:pos="550"/>
        </w:tabs>
        <w:jc w:val="both"/>
        <w:rPr>
          <w:rFonts w:eastAsia="Calibri"/>
          <w:szCs w:val="22"/>
          <w:lang w:val="sr-Latn-ME"/>
        </w:rPr>
      </w:pPr>
      <w:hyperlink r:id="rId7" w:history="1">
        <w:r w:rsidR="000E59C4" w:rsidRPr="007A23EB">
          <w:rPr>
            <w:rFonts w:eastAsia="Calibri"/>
            <w:color w:val="0563C1"/>
            <w:szCs w:val="22"/>
            <w:u w:val="single"/>
            <w:lang w:val="sr-Latn-ME"/>
          </w:rPr>
          <w:t>www.cinmed.me</w:t>
        </w:r>
      </w:hyperlink>
    </w:p>
    <w:p w14:paraId="00211F1E" w14:textId="77777777" w:rsidR="000E59C4" w:rsidRPr="007A23EB" w:rsidRDefault="00821502" w:rsidP="007A23EB">
      <w:pPr>
        <w:tabs>
          <w:tab w:val="left" w:pos="550"/>
        </w:tabs>
        <w:jc w:val="both"/>
        <w:rPr>
          <w:rFonts w:eastAsia="Calibri"/>
          <w:color w:val="0000FF"/>
          <w:szCs w:val="22"/>
          <w:u w:val="single"/>
          <w:lang w:val="sr-Latn-ME"/>
        </w:rPr>
      </w:pPr>
      <w:hyperlink r:id="rId8" w:history="1">
        <w:r w:rsidR="000E59C4" w:rsidRPr="007A23EB">
          <w:rPr>
            <w:rFonts w:eastAsia="Calibri"/>
            <w:color w:val="0563C1"/>
            <w:szCs w:val="22"/>
            <w:u w:val="single"/>
            <w:lang w:val="sr-Latn-ME"/>
          </w:rPr>
          <w:t>nezeljenadejstva@cinmed.me</w:t>
        </w:r>
      </w:hyperlink>
    </w:p>
    <w:p w14:paraId="11B38231" w14:textId="77777777" w:rsidR="000E59C4" w:rsidRPr="007A23EB" w:rsidRDefault="000E59C4" w:rsidP="007A23EB">
      <w:pPr>
        <w:tabs>
          <w:tab w:val="left" w:pos="550"/>
        </w:tabs>
        <w:jc w:val="both"/>
        <w:rPr>
          <w:rFonts w:eastAsia="Calibri"/>
          <w:szCs w:val="22"/>
          <w:lang w:val="sr-Latn-ME"/>
        </w:rPr>
      </w:pPr>
      <w:r w:rsidRPr="007A23EB">
        <w:rPr>
          <w:rFonts w:eastAsia="Calibri"/>
          <w:szCs w:val="22"/>
          <w:lang w:val="sr-Latn-ME"/>
        </w:rPr>
        <w:t>putem IS zdravstvene zaštite</w:t>
      </w:r>
    </w:p>
    <w:p w14:paraId="2E963F6F" w14:textId="77777777" w:rsidR="000E59C4" w:rsidRPr="007A23EB" w:rsidRDefault="000E59C4" w:rsidP="007A23EB">
      <w:pPr>
        <w:tabs>
          <w:tab w:val="left" w:pos="550"/>
        </w:tabs>
        <w:jc w:val="both"/>
        <w:rPr>
          <w:rFonts w:eastAsia="Calibri"/>
          <w:szCs w:val="22"/>
          <w:lang w:val="sr-Latn-ME"/>
        </w:rPr>
      </w:pPr>
      <w:r w:rsidRPr="007A23EB">
        <w:rPr>
          <w:rFonts w:eastAsia="Calibri"/>
          <w:szCs w:val="22"/>
          <w:lang w:val="sr-Latn-ME"/>
        </w:rPr>
        <w:t xml:space="preserve">QR kod za </w:t>
      </w:r>
      <w:r w:rsidRPr="007A23EB">
        <w:rPr>
          <w:rFonts w:eastAsia="Calibri"/>
          <w:i/>
          <w:szCs w:val="22"/>
          <w:lang w:val="sr-Latn-ME"/>
        </w:rPr>
        <w:t>online</w:t>
      </w:r>
      <w:r w:rsidRPr="007A23EB">
        <w:rPr>
          <w:rFonts w:eastAsia="Calibri"/>
          <w:szCs w:val="22"/>
          <w:lang w:val="sr-Latn-ME"/>
        </w:rPr>
        <w:t xml:space="preserve"> prijavu sumnje na neželjeno dejstvo lijeka:</w:t>
      </w:r>
    </w:p>
    <w:p w14:paraId="550C5EEB" w14:textId="77777777" w:rsidR="000E59C4" w:rsidRPr="007A23EB" w:rsidRDefault="000E59C4" w:rsidP="007A23EB">
      <w:pPr>
        <w:tabs>
          <w:tab w:val="left" w:pos="550"/>
        </w:tabs>
        <w:jc w:val="both"/>
        <w:rPr>
          <w:rFonts w:eastAsia="Calibri"/>
          <w:szCs w:val="22"/>
          <w:lang w:val="sr-Latn-ME"/>
        </w:rPr>
      </w:pPr>
    </w:p>
    <w:p w14:paraId="56A2485E" w14:textId="77777777" w:rsidR="000E59C4" w:rsidRPr="007A23EB" w:rsidRDefault="000E59C4" w:rsidP="007A23EB">
      <w:pPr>
        <w:tabs>
          <w:tab w:val="left" w:pos="550"/>
        </w:tabs>
        <w:jc w:val="both"/>
        <w:rPr>
          <w:rFonts w:eastAsia="Calibri"/>
          <w:szCs w:val="22"/>
          <w:lang w:val="sr-Latn-ME"/>
        </w:rPr>
      </w:pPr>
      <w:r w:rsidRPr="007A23EB">
        <w:rPr>
          <w:noProof/>
          <w:szCs w:val="22"/>
        </w:rPr>
        <w:drawing>
          <wp:inline distT="0" distB="0" distL="0" distR="0" wp14:anchorId="2ABF26AD" wp14:editId="023B7D3D">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4938E87" w14:textId="77777777" w:rsidR="00A415A3" w:rsidRPr="007A23EB" w:rsidRDefault="00A415A3" w:rsidP="007A23EB">
      <w:pPr>
        <w:tabs>
          <w:tab w:val="left" w:pos="550"/>
        </w:tabs>
        <w:jc w:val="both"/>
        <w:rPr>
          <w:szCs w:val="22"/>
          <w:lang w:val="sr-Latn-ME"/>
        </w:rPr>
      </w:pPr>
    </w:p>
    <w:p w14:paraId="6BCFBC30" w14:textId="62113B23" w:rsidR="00A415A3" w:rsidRDefault="007A23EB" w:rsidP="007A23EB">
      <w:pPr>
        <w:tabs>
          <w:tab w:val="left" w:pos="550"/>
        </w:tabs>
        <w:jc w:val="both"/>
        <w:rPr>
          <w:b/>
          <w:bCs/>
          <w:szCs w:val="22"/>
          <w:lang w:val="sr-Latn-ME"/>
        </w:rPr>
      </w:pPr>
      <w:r>
        <w:rPr>
          <w:b/>
          <w:bCs/>
          <w:szCs w:val="22"/>
          <w:lang w:val="sr-Latn-ME"/>
        </w:rPr>
        <w:t>4.9.</w:t>
      </w:r>
      <w:r>
        <w:rPr>
          <w:b/>
          <w:bCs/>
          <w:szCs w:val="22"/>
          <w:lang w:val="sr-Latn-ME"/>
        </w:rPr>
        <w:tab/>
      </w:r>
      <w:r w:rsidR="00A415A3" w:rsidRPr="007A23EB">
        <w:rPr>
          <w:b/>
          <w:bCs/>
          <w:szCs w:val="22"/>
          <w:lang w:val="sr-Latn-ME"/>
        </w:rPr>
        <w:t>Predoziranje</w:t>
      </w:r>
    </w:p>
    <w:p w14:paraId="4A16A227" w14:textId="77777777" w:rsidR="007A23EB" w:rsidRPr="007A23EB" w:rsidRDefault="007A23EB" w:rsidP="007A23EB">
      <w:pPr>
        <w:tabs>
          <w:tab w:val="left" w:pos="550"/>
        </w:tabs>
        <w:jc w:val="both"/>
        <w:rPr>
          <w:b/>
          <w:bCs/>
          <w:szCs w:val="22"/>
          <w:lang w:val="sr-Latn-ME"/>
        </w:rPr>
      </w:pPr>
    </w:p>
    <w:p w14:paraId="18E160BA" w14:textId="27043AFE" w:rsidR="00A415A3" w:rsidRPr="007A23EB" w:rsidRDefault="000436D2" w:rsidP="000E255C">
      <w:pPr>
        <w:tabs>
          <w:tab w:val="left" w:pos="550"/>
        </w:tabs>
        <w:jc w:val="both"/>
        <w:rPr>
          <w:szCs w:val="22"/>
          <w:lang w:val="sr-Latn-ME"/>
        </w:rPr>
      </w:pPr>
      <w:r w:rsidRPr="007A23EB">
        <w:rPr>
          <w:szCs w:val="22"/>
          <w:lang w:val="sr-Latn-ME"/>
        </w:rPr>
        <w:t>Nakon dugotrajne topikalne primjene</w:t>
      </w:r>
      <w:r w:rsidR="009F6234" w:rsidRPr="007A23EB">
        <w:rPr>
          <w:szCs w:val="22"/>
          <w:lang w:val="sr-Latn-ME"/>
        </w:rPr>
        <w:t xml:space="preserve"> i</w:t>
      </w:r>
      <w:r w:rsidRPr="007A23EB">
        <w:rPr>
          <w:szCs w:val="22"/>
          <w:lang w:val="sr-Latn-ME"/>
        </w:rPr>
        <w:t xml:space="preserve"> primjene na većim ili erodiranim površinama može doći do</w:t>
      </w:r>
      <w:r w:rsidR="000E255C">
        <w:rPr>
          <w:szCs w:val="22"/>
          <w:lang w:val="sr-Latn-ME"/>
        </w:rPr>
        <w:t xml:space="preserve"> </w:t>
      </w:r>
      <w:r w:rsidRPr="007A23EB">
        <w:rPr>
          <w:szCs w:val="22"/>
          <w:lang w:val="sr-Latn-ME"/>
        </w:rPr>
        <w:t>sistemskih efekata gentamicina: ototoksičnost, nefrotoksičnost.</w:t>
      </w:r>
    </w:p>
    <w:p w14:paraId="67079BF8" w14:textId="77777777" w:rsidR="007A23EB" w:rsidRDefault="007A23EB" w:rsidP="00EE5B57">
      <w:pPr>
        <w:pStyle w:val="NASLOV123"/>
        <w:tabs>
          <w:tab w:val="left" w:pos="550"/>
        </w:tabs>
        <w:spacing w:before="0" w:after="0"/>
        <w:jc w:val="both"/>
        <w:rPr>
          <w:lang w:val="sr-Latn-ME"/>
        </w:rPr>
      </w:pPr>
    </w:p>
    <w:p w14:paraId="314E0803" w14:textId="5ACC3484" w:rsidR="00A415A3" w:rsidRPr="007A23EB" w:rsidRDefault="007A23EB" w:rsidP="000E255C">
      <w:pPr>
        <w:pStyle w:val="NASLOV123"/>
        <w:tabs>
          <w:tab w:val="left" w:pos="550"/>
        </w:tabs>
        <w:jc w:val="both"/>
        <w:rPr>
          <w:lang w:val="sr-Latn-ME"/>
        </w:rPr>
      </w:pPr>
      <w:r>
        <w:rPr>
          <w:lang w:val="sr-Latn-ME"/>
        </w:rPr>
        <w:t>5.</w:t>
      </w:r>
      <w:r>
        <w:rPr>
          <w:lang w:val="sr-Latn-ME"/>
        </w:rPr>
        <w:tab/>
      </w:r>
      <w:r w:rsidR="00A415A3" w:rsidRPr="007A23EB">
        <w:rPr>
          <w:lang w:val="sr-Latn-ME"/>
        </w:rPr>
        <w:t>FARMAKOLOŠKI PODACI</w:t>
      </w:r>
    </w:p>
    <w:p w14:paraId="199623D9" w14:textId="408E7FDC" w:rsidR="00A415A3" w:rsidRPr="007A23EB" w:rsidRDefault="007A23EB" w:rsidP="007A23EB">
      <w:pPr>
        <w:tabs>
          <w:tab w:val="left" w:pos="550"/>
        </w:tabs>
        <w:jc w:val="both"/>
        <w:rPr>
          <w:b/>
          <w:bCs/>
          <w:szCs w:val="22"/>
          <w:lang w:val="sr-Latn-ME"/>
        </w:rPr>
      </w:pPr>
      <w:r>
        <w:rPr>
          <w:b/>
          <w:bCs/>
          <w:szCs w:val="22"/>
          <w:lang w:val="sr-Latn-ME"/>
        </w:rPr>
        <w:t>5.1.</w:t>
      </w:r>
      <w:r>
        <w:rPr>
          <w:b/>
          <w:bCs/>
          <w:szCs w:val="22"/>
          <w:lang w:val="sr-Latn-ME"/>
        </w:rPr>
        <w:tab/>
      </w:r>
      <w:r w:rsidR="00A415A3" w:rsidRPr="007A23EB">
        <w:rPr>
          <w:b/>
          <w:bCs/>
          <w:szCs w:val="22"/>
          <w:lang w:val="sr-Latn-ME"/>
        </w:rPr>
        <w:t>Farmakodinamski podaci</w:t>
      </w:r>
    </w:p>
    <w:p w14:paraId="2FE9FD9F" w14:textId="77777777" w:rsidR="00A415A3" w:rsidRPr="007A23EB" w:rsidRDefault="00A415A3" w:rsidP="007A23EB">
      <w:pPr>
        <w:pStyle w:val="Header"/>
        <w:tabs>
          <w:tab w:val="clear" w:pos="4536"/>
          <w:tab w:val="clear" w:pos="9072"/>
          <w:tab w:val="left" w:pos="284"/>
          <w:tab w:val="left" w:pos="550"/>
        </w:tabs>
        <w:jc w:val="both"/>
        <w:rPr>
          <w:b/>
          <w:bCs/>
          <w:szCs w:val="22"/>
          <w:lang w:val="sr-Latn-ME"/>
        </w:rPr>
      </w:pPr>
    </w:p>
    <w:p w14:paraId="015F21A7" w14:textId="6857EDB9" w:rsidR="000E255C" w:rsidRPr="007A23EB" w:rsidRDefault="00A415A3" w:rsidP="007A23EB">
      <w:pPr>
        <w:pStyle w:val="Header"/>
        <w:tabs>
          <w:tab w:val="clear" w:pos="4536"/>
          <w:tab w:val="clear" w:pos="9072"/>
          <w:tab w:val="left" w:pos="284"/>
          <w:tab w:val="left" w:pos="550"/>
        </w:tabs>
        <w:jc w:val="both"/>
        <w:rPr>
          <w:b/>
          <w:bCs/>
          <w:szCs w:val="22"/>
          <w:lang w:val="sr-Latn-ME"/>
        </w:rPr>
      </w:pPr>
      <w:r w:rsidRPr="007A23EB">
        <w:rPr>
          <w:szCs w:val="22"/>
          <w:lang w:val="sr-Latn-ME"/>
        </w:rPr>
        <w:t>Farmakoterapijska grupa: Antibiotici i hemioterapeutici za dermatološku prim</w:t>
      </w:r>
      <w:r w:rsidR="00EC049D" w:rsidRPr="007A23EB">
        <w:rPr>
          <w:szCs w:val="22"/>
          <w:lang w:val="sr-Latn-ME"/>
        </w:rPr>
        <w:t>j</w:t>
      </w:r>
      <w:r w:rsidRPr="007A23EB">
        <w:rPr>
          <w:szCs w:val="22"/>
          <w:lang w:val="sr-Latn-ME"/>
        </w:rPr>
        <w:t>enu</w:t>
      </w:r>
      <w:r w:rsidR="00186CFF" w:rsidRPr="007A23EB">
        <w:rPr>
          <w:szCs w:val="22"/>
          <w:lang w:val="sr-Latn-ME"/>
        </w:rPr>
        <w:t xml:space="preserve">, </w:t>
      </w:r>
      <w:r w:rsidRPr="007A23EB">
        <w:rPr>
          <w:szCs w:val="22"/>
          <w:lang w:val="sr-Latn-ME"/>
        </w:rPr>
        <w:t>Antibiotici za lokalnu prim</w:t>
      </w:r>
      <w:r w:rsidR="00EC049D" w:rsidRPr="007A23EB">
        <w:rPr>
          <w:szCs w:val="22"/>
          <w:lang w:val="sr-Latn-ME"/>
        </w:rPr>
        <w:t>j</w:t>
      </w:r>
      <w:r w:rsidRPr="007A23EB">
        <w:rPr>
          <w:szCs w:val="22"/>
          <w:lang w:val="sr-Latn-ME"/>
        </w:rPr>
        <w:t>enu</w:t>
      </w:r>
    </w:p>
    <w:p w14:paraId="70C176DE" w14:textId="77777777" w:rsidR="00A415A3" w:rsidRPr="007A23EB" w:rsidRDefault="00A415A3" w:rsidP="00EE5B57">
      <w:pPr>
        <w:pStyle w:val="Header"/>
        <w:tabs>
          <w:tab w:val="clear" w:pos="4536"/>
          <w:tab w:val="clear" w:pos="9072"/>
          <w:tab w:val="left" w:pos="284"/>
          <w:tab w:val="left" w:pos="550"/>
        </w:tabs>
        <w:jc w:val="both"/>
        <w:rPr>
          <w:lang w:val="sr-Latn-ME"/>
        </w:rPr>
      </w:pPr>
    </w:p>
    <w:p w14:paraId="48FA26AC" w14:textId="02496D13" w:rsidR="00A415A3" w:rsidRPr="007A23EB" w:rsidRDefault="00A415A3" w:rsidP="007A23EB">
      <w:pPr>
        <w:tabs>
          <w:tab w:val="left" w:pos="550"/>
        </w:tabs>
        <w:jc w:val="both"/>
        <w:rPr>
          <w:b/>
          <w:bCs/>
          <w:szCs w:val="22"/>
          <w:lang w:val="sr-Latn-ME"/>
        </w:rPr>
      </w:pPr>
      <w:r w:rsidRPr="007A23EB">
        <w:rPr>
          <w:szCs w:val="22"/>
          <w:lang w:val="sr-Latn-ME"/>
        </w:rPr>
        <w:t xml:space="preserve">ATC </w:t>
      </w:r>
      <w:r w:rsidR="00A51972" w:rsidRPr="007A23EB">
        <w:rPr>
          <w:szCs w:val="22"/>
          <w:lang w:val="sr-Latn-ME"/>
        </w:rPr>
        <w:t>kod</w:t>
      </w:r>
      <w:r w:rsidRPr="007A23EB">
        <w:rPr>
          <w:szCs w:val="22"/>
          <w:lang w:val="sr-Latn-ME"/>
        </w:rPr>
        <w:t>: D06AX07</w:t>
      </w:r>
    </w:p>
    <w:p w14:paraId="615A852F" w14:textId="13B44A94" w:rsidR="00FB3624" w:rsidRDefault="00FB3624" w:rsidP="007A23EB">
      <w:pPr>
        <w:pStyle w:val="NormalWeb"/>
        <w:shd w:val="clear" w:color="auto" w:fill="FFFFFF"/>
        <w:tabs>
          <w:tab w:val="left" w:pos="550"/>
        </w:tabs>
        <w:spacing w:before="0" w:beforeAutospacing="0" w:after="0" w:afterAutospacing="0"/>
        <w:jc w:val="both"/>
        <w:rPr>
          <w:b/>
          <w:sz w:val="22"/>
          <w:szCs w:val="22"/>
          <w:lang w:val="sr-Latn-ME"/>
        </w:rPr>
      </w:pPr>
    </w:p>
    <w:p w14:paraId="069DC86A" w14:textId="2B282792" w:rsidR="00247402" w:rsidRDefault="00247402" w:rsidP="007A23EB">
      <w:pPr>
        <w:pStyle w:val="NormalWeb"/>
        <w:shd w:val="clear" w:color="auto" w:fill="FFFFFF"/>
        <w:tabs>
          <w:tab w:val="left" w:pos="550"/>
        </w:tabs>
        <w:spacing w:before="0" w:beforeAutospacing="0" w:after="0" w:afterAutospacing="0"/>
        <w:jc w:val="both"/>
        <w:rPr>
          <w:b/>
          <w:sz w:val="22"/>
          <w:szCs w:val="22"/>
          <w:lang w:val="sr-Latn-ME"/>
        </w:rPr>
      </w:pPr>
    </w:p>
    <w:p w14:paraId="3E82C908" w14:textId="77777777" w:rsidR="00247402" w:rsidRPr="007A23EB" w:rsidRDefault="00247402" w:rsidP="007A23EB">
      <w:pPr>
        <w:pStyle w:val="NormalWeb"/>
        <w:shd w:val="clear" w:color="auto" w:fill="FFFFFF"/>
        <w:tabs>
          <w:tab w:val="left" w:pos="550"/>
        </w:tabs>
        <w:spacing w:before="0" w:beforeAutospacing="0" w:after="0" w:afterAutospacing="0"/>
        <w:jc w:val="both"/>
        <w:rPr>
          <w:b/>
          <w:sz w:val="22"/>
          <w:szCs w:val="22"/>
          <w:lang w:val="sr-Latn-ME"/>
        </w:rPr>
      </w:pPr>
    </w:p>
    <w:p w14:paraId="08A7B435" w14:textId="51749B67" w:rsidR="00A415A3" w:rsidRDefault="00A415A3" w:rsidP="007A23EB">
      <w:pPr>
        <w:pStyle w:val="NormalWeb"/>
        <w:shd w:val="clear" w:color="auto" w:fill="FFFFFF"/>
        <w:tabs>
          <w:tab w:val="left" w:pos="550"/>
        </w:tabs>
        <w:spacing w:before="0" w:beforeAutospacing="0" w:after="0" w:afterAutospacing="0"/>
        <w:jc w:val="both"/>
        <w:rPr>
          <w:b/>
          <w:sz w:val="22"/>
          <w:szCs w:val="22"/>
          <w:lang w:val="sr-Latn-ME"/>
        </w:rPr>
      </w:pPr>
      <w:r w:rsidRPr="007A23EB">
        <w:rPr>
          <w:b/>
          <w:sz w:val="22"/>
          <w:szCs w:val="22"/>
          <w:lang w:val="sr-Latn-ME"/>
        </w:rPr>
        <w:lastRenderedPageBreak/>
        <w:t>Mehanizam dejstva</w:t>
      </w:r>
    </w:p>
    <w:p w14:paraId="017A993C" w14:textId="77777777" w:rsidR="007A23EB" w:rsidRPr="007A23EB" w:rsidRDefault="007A23EB" w:rsidP="007A23EB">
      <w:pPr>
        <w:pStyle w:val="NormalWeb"/>
        <w:shd w:val="clear" w:color="auto" w:fill="FFFFFF"/>
        <w:tabs>
          <w:tab w:val="left" w:pos="550"/>
        </w:tabs>
        <w:spacing w:before="0" w:beforeAutospacing="0" w:after="0" w:afterAutospacing="0"/>
        <w:jc w:val="both"/>
        <w:rPr>
          <w:b/>
          <w:sz w:val="22"/>
          <w:szCs w:val="22"/>
          <w:lang w:val="sr-Latn-ME"/>
        </w:rPr>
      </w:pPr>
    </w:p>
    <w:p w14:paraId="24B907FB" w14:textId="77777777" w:rsidR="00A415A3" w:rsidRPr="007A23EB" w:rsidRDefault="00A415A3" w:rsidP="007A23EB">
      <w:pPr>
        <w:pStyle w:val="NormalWeb"/>
        <w:shd w:val="clear" w:color="auto" w:fill="FFFFFF"/>
        <w:tabs>
          <w:tab w:val="left" w:pos="550"/>
        </w:tabs>
        <w:spacing w:before="0" w:beforeAutospacing="0" w:after="0" w:afterAutospacing="0"/>
        <w:jc w:val="both"/>
        <w:rPr>
          <w:color w:val="000000"/>
          <w:sz w:val="22"/>
          <w:szCs w:val="22"/>
          <w:lang w:val="sr-Latn-ME"/>
        </w:rPr>
      </w:pPr>
      <w:r w:rsidRPr="007A23EB">
        <w:rPr>
          <w:sz w:val="22"/>
          <w:szCs w:val="22"/>
          <w:lang w:val="sr-Latn-ME"/>
        </w:rPr>
        <w:t>Gentamicin je baktericidni antibiotik</w:t>
      </w:r>
      <w:r w:rsidRPr="007A23EB">
        <w:rPr>
          <w:color w:val="000000"/>
          <w:sz w:val="22"/>
          <w:szCs w:val="22"/>
          <w:lang w:val="sr-Latn-ME"/>
        </w:rPr>
        <w:t xml:space="preserve">. Inhibira sintezu proteina u bakterijskoj ćeliji tako što se veže za veće i manje subjedinice ribozoma. Ipak, to vezivanje još ne objašnjava baktericidno dejstvo gentamicina. Gentamicin aktivno prelazi kroz ćelijski zid u unutrašnjost bakterije, što dovodi do značajno veće koncentracije gentamicina u bakteriji u odnosu na njenu okolinu. Pri anaerobnom procesu, povećanoj osmolarnosti i niskom pH, gradijent je manji, transport je zakočen, tako da nastaje relativna rezistencija bakterije na gentamicin. Velike koncentracije kalcijuma i magnezijuma takođe koče transport gentamicina u bakteriju. </w:t>
      </w:r>
    </w:p>
    <w:p w14:paraId="697400E6" w14:textId="77777777" w:rsidR="00A415A3" w:rsidRPr="007A23EB" w:rsidRDefault="00A415A3" w:rsidP="007A23EB">
      <w:pPr>
        <w:pStyle w:val="NormalWeb"/>
        <w:shd w:val="clear" w:color="auto" w:fill="FFFFFF"/>
        <w:tabs>
          <w:tab w:val="left" w:pos="550"/>
        </w:tabs>
        <w:spacing w:before="0" w:beforeAutospacing="0" w:after="0" w:afterAutospacing="0"/>
        <w:jc w:val="both"/>
        <w:rPr>
          <w:color w:val="000000"/>
          <w:sz w:val="22"/>
          <w:szCs w:val="22"/>
          <w:lang w:val="sr-Latn-ME"/>
        </w:rPr>
      </w:pPr>
    </w:p>
    <w:p w14:paraId="225353CB" w14:textId="3F358921" w:rsidR="00A415A3" w:rsidRDefault="00A415A3" w:rsidP="007A23EB">
      <w:pPr>
        <w:pStyle w:val="NormalWeb"/>
        <w:shd w:val="clear" w:color="auto" w:fill="FFFFFF"/>
        <w:tabs>
          <w:tab w:val="left" w:pos="550"/>
        </w:tabs>
        <w:spacing w:before="0" w:beforeAutospacing="0" w:after="0" w:afterAutospacing="0"/>
        <w:jc w:val="both"/>
        <w:rPr>
          <w:b/>
          <w:color w:val="000000"/>
          <w:sz w:val="22"/>
          <w:szCs w:val="22"/>
          <w:lang w:val="sr-Latn-ME"/>
        </w:rPr>
      </w:pPr>
      <w:r w:rsidRPr="007A23EB">
        <w:rPr>
          <w:b/>
          <w:color w:val="000000"/>
          <w:sz w:val="22"/>
          <w:szCs w:val="22"/>
          <w:lang w:val="sr-Latn-ME"/>
        </w:rPr>
        <w:t>Klinička efikasnost i bezb</w:t>
      </w:r>
      <w:r w:rsidR="00EC049D" w:rsidRPr="007A23EB">
        <w:rPr>
          <w:b/>
          <w:color w:val="000000"/>
          <w:sz w:val="22"/>
          <w:szCs w:val="22"/>
          <w:lang w:val="sr-Latn-ME"/>
        </w:rPr>
        <w:t>j</w:t>
      </w:r>
      <w:r w:rsidRPr="007A23EB">
        <w:rPr>
          <w:b/>
          <w:color w:val="000000"/>
          <w:sz w:val="22"/>
          <w:szCs w:val="22"/>
          <w:lang w:val="sr-Latn-ME"/>
        </w:rPr>
        <w:t>ednost</w:t>
      </w:r>
    </w:p>
    <w:p w14:paraId="03DA8272" w14:textId="77777777" w:rsidR="007A23EB" w:rsidRPr="007A23EB" w:rsidRDefault="007A23EB" w:rsidP="007A23EB">
      <w:pPr>
        <w:pStyle w:val="NormalWeb"/>
        <w:shd w:val="clear" w:color="auto" w:fill="FFFFFF"/>
        <w:tabs>
          <w:tab w:val="left" w:pos="550"/>
        </w:tabs>
        <w:spacing w:before="0" w:beforeAutospacing="0" w:after="0" w:afterAutospacing="0"/>
        <w:jc w:val="both"/>
        <w:rPr>
          <w:b/>
          <w:color w:val="000000"/>
          <w:sz w:val="22"/>
          <w:szCs w:val="22"/>
          <w:lang w:val="sr-Latn-ME"/>
        </w:rPr>
      </w:pPr>
    </w:p>
    <w:p w14:paraId="71C25D39" w14:textId="77777777" w:rsidR="00A415A3" w:rsidRPr="007A23EB" w:rsidRDefault="00A415A3" w:rsidP="007A23EB">
      <w:pPr>
        <w:pStyle w:val="NormalWeb"/>
        <w:shd w:val="clear" w:color="auto" w:fill="FFFFFF"/>
        <w:tabs>
          <w:tab w:val="left" w:pos="550"/>
        </w:tabs>
        <w:spacing w:before="0" w:beforeAutospacing="0" w:after="0" w:afterAutospacing="0"/>
        <w:jc w:val="both"/>
        <w:rPr>
          <w:color w:val="000000"/>
          <w:sz w:val="22"/>
          <w:szCs w:val="22"/>
          <w:u w:val="single"/>
          <w:lang w:val="sr-Latn-ME"/>
        </w:rPr>
      </w:pPr>
      <w:r w:rsidRPr="007A23EB">
        <w:rPr>
          <w:color w:val="000000"/>
          <w:sz w:val="22"/>
          <w:szCs w:val="22"/>
          <w:u w:val="single"/>
          <w:lang w:val="sr-Latn-ME"/>
        </w:rPr>
        <w:t>Antibakterijska efikasnost</w:t>
      </w:r>
    </w:p>
    <w:p w14:paraId="487F42AD" w14:textId="77777777" w:rsidR="00A415A3" w:rsidRPr="007A23EB" w:rsidRDefault="00A415A3" w:rsidP="007A23EB">
      <w:pPr>
        <w:pStyle w:val="NormalWeb"/>
        <w:shd w:val="clear" w:color="auto" w:fill="FFFFFF"/>
        <w:tabs>
          <w:tab w:val="left" w:pos="550"/>
        </w:tabs>
        <w:spacing w:before="0" w:beforeAutospacing="0" w:after="0" w:afterAutospacing="0"/>
        <w:jc w:val="both"/>
        <w:rPr>
          <w:color w:val="000000"/>
          <w:sz w:val="22"/>
          <w:szCs w:val="22"/>
          <w:lang w:val="sr-Latn-ME"/>
        </w:rPr>
      </w:pPr>
      <w:r w:rsidRPr="007A23EB">
        <w:rPr>
          <w:color w:val="000000"/>
          <w:sz w:val="22"/>
          <w:szCs w:val="22"/>
          <w:lang w:val="sr-Latn-ME"/>
        </w:rPr>
        <w:t>Gentamicin je efikasan protiv brojnih bakterija. U nastavku su nabrojane bakterije na koje d</w:t>
      </w:r>
      <w:r w:rsidR="00EC049D" w:rsidRPr="007A23EB">
        <w:rPr>
          <w:color w:val="000000"/>
          <w:sz w:val="22"/>
          <w:szCs w:val="22"/>
          <w:lang w:val="sr-Latn-ME"/>
        </w:rPr>
        <w:t>j</w:t>
      </w:r>
      <w:r w:rsidRPr="007A23EB">
        <w:rPr>
          <w:color w:val="000000"/>
          <w:sz w:val="22"/>
          <w:szCs w:val="22"/>
          <w:lang w:val="sr-Latn-ME"/>
        </w:rPr>
        <w:t xml:space="preserve">eluje i koje su klinički značajne u infekcijama kože. </w:t>
      </w:r>
    </w:p>
    <w:p w14:paraId="552DC123" w14:textId="77777777" w:rsidR="00A415A3" w:rsidRPr="007A23EB" w:rsidRDefault="00A415A3" w:rsidP="007A23EB">
      <w:pPr>
        <w:pStyle w:val="NormalWeb"/>
        <w:shd w:val="clear" w:color="auto" w:fill="FFFFFF"/>
        <w:tabs>
          <w:tab w:val="left" w:pos="550"/>
        </w:tabs>
        <w:spacing w:before="0" w:beforeAutospacing="0" w:after="0" w:afterAutospacing="0"/>
        <w:jc w:val="both"/>
        <w:rPr>
          <w:color w:val="000000"/>
          <w:sz w:val="22"/>
          <w:szCs w:val="22"/>
          <w:lang w:val="sr-Latn-ME"/>
        </w:rPr>
      </w:pPr>
    </w:p>
    <w:p w14:paraId="575730D5" w14:textId="77777777" w:rsidR="00A415A3" w:rsidRPr="007A23EB" w:rsidRDefault="00A415A3" w:rsidP="007A23EB">
      <w:pPr>
        <w:pStyle w:val="NormalWeb"/>
        <w:shd w:val="clear" w:color="auto" w:fill="FFFFFF"/>
        <w:tabs>
          <w:tab w:val="left" w:pos="550"/>
        </w:tabs>
        <w:spacing w:before="0" w:beforeAutospacing="0" w:after="0" w:afterAutospacing="0"/>
        <w:jc w:val="both"/>
        <w:rPr>
          <w:color w:val="000000"/>
          <w:sz w:val="22"/>
          <w:szCs w:val="22"/>
          <w:lang w:val="sr-Latn-ME"/>
        </w:rPr>
      </w:pPr>
      <w:r w:rsidRPr="007A23EB">
        <w:rPr>
          <w:color w:val="000000"/>
          <w:sz w:val="22"/>
          <w:szCs w:val="22"/>
          <w:lang w:val="sr-Latn-ME"/>
        </w:rPr>
        <w:t xml:space="preserve">Gram pozitivne bakterije: </w:t>
      </w:r>
    </w:p>
    <w:p w14:paraId="46F94268" w14:textId="77777777" w:rsidR="00A415A3" w:rsidRPr="007A23EB" w:rsidRDefault="00A415A3" w:rsidP="007A23EB">
      <w:pPr>
        <w:pStyle w:val="NormalWeb"/>
        <w:shd w:val="clear" w:color="auto" w:fill="FFFFFF"/>
        <w:tabs>
          <w:tab w:val="left" w:pos="550"/>
        </w:tabs>
        <w:spacing w:before="0" w:beforeAutospacing="0" w:after="0" w:afterAutospacing="0"/>
        <w:jc w:val="both"/>
        <w:rPr>
          <w:i/>
          <w:iCs/>
          <w:color w:val="000000"/>
          <w:sz w:val="22"/>
          <w:szCs w:val="22"/>
          <w:lang w:val="sr-Latn-ME"/>
        </w:rPr>
      </w:pPr>
      <w:r w:rsidRPr="007A23EB">
        <w:rPr>
          <w:i/>
          <w:iCs/>
          <w:color w:val="000000"/>
          <w:sz w:val="22"/>
          <w:szCs w:val="22"/>
          <w:lang w:val="sr-Latn-ME"/>
        </w:rPr>
        <w:t>Staphylococcus aureus, Staphylococcus epidermidis, Streptococcus pyogenes i Streptococcus pneumoniae.</w:t>
      </w:r>
    </w:p>
    <w:p w14:paraId="63756041" w14:textId="77777777" w:rsidR="00A415A3" w:rsidRPr="007A23EB" w:rsidRDefault="00A415A3" w:rsidP="007A23EB">
      <w:pPr>
        <w:pStyle w:val="NormalWeb"/>
        <w:shd w:val="clear" w:color="auto" w:fill="FFFFFF"/>
        <w:tabs>
          <w:tab w:val="left" w:pos="550"/>
        </w:tabs>
        <w:spacing w:before="0" w:beforeAutospacing="0" w:after="0" w:afterAutospacing="0"/>
        <w:jc w:val="both"/>
        <w:rPr>
          <w:iCs/>
          <w:color w:val="000000"/>
          <w:sz w:val="22"/>
          <w:szCs w:val="22"/>
          <w:lang w:val="sr-Latn-ME"/>
        </w:rPr>
      </w:pPr>
    </w:p>
    <w:p w14:paraId="28FA7A9A" w14:textId="77777777" w:rsidR="00A415A3" w:rsidRPr="007A23EB" w:rsidRDefault="00A415A3" w:rsidP="007A23EB">
      <w:pPr>
        <w:pStyle w:val="NormalWeb"/>
        <w:shd w:val="clear" w:color="auto" w:fill="FFFFFF"/>
        <w:tabs>
          <w:tab w:val="left" w:pos="550"/>
        </w:tabs>
        <w:spacing w:before="0" w:beforeAutospacing="0" w:after="0" w:afterAutospacing="0"/>
        <w:jc w:val="both"/>
        <w:rPr>
          <w:iCs/>
          <w:color w:val="000000"/>
          <w:sz w:val="22"/>
          <w:szCs w:val="22"/>
          <w:lang w:val="sr-Latn-ME"/>
        </w:rPr>
      </w:pPr>
      <w:r w:rsidRPr="007A23EB">
        <w:rPr>
          <w:iCs/>
          <w:color w:val="000000"/>
          <w:sz w:val="22"/>
          <w:szCs w:val="22"/>
          <w:lang w:val="sr-Latn-ME"/>
        </w:rPr>
        <w:t xml:space="preserve">Gram negativne bakterije: </w:t>
      </w:r>
    </w:p>
    <w:p w14:paraId="2C3E2962" w14:textId="77777777" w:rsidR="00A415A3" w:rsidRPr="007A23EB" w:rsidRDefault="00A415A3" w:rsidP="007A23EB">
      <w:pPr>
        <w:pStyle w:val="NormalWeb"/>
        <w:shd w:val="clear" w:color="auto" w:fill="FFFFFF"/>
        <w:tabs>
          <w:tab w:val="left" w:pos="550"/>
        </w:tabs>
        <w:spacing w:before="0" w:beforeAutospacing="0" w:after="0" w:afterAutospacing="0"/>
        <w:jc w:val="both"/>
        <w:rPr>
          <w:color w:val="000000"/>
          <w:sz w:val="22"/>
          <w:szCs w:val="22"/>
          <w:lang w:val="sr-Latn-ME"/>
        </w:rPr>
      </w:pPr>
      <w:r w:rsidRPr="007A23EB">
        <w:rPr>
          <w:i/>
          <w:iCs/>
          <w:color w:val="000000"/>
          <w:sz w:val="22"/>
          <w:szCs w:val="22"/>
          <w:lang w:val="sr-Latn-ME"/>
        </w:rPr>
        <w:t>Escherichia coli</w:t>
      </w:r>
      <w:r w:rsidRPr="007A23EB">
        <w:rPr>
          <w:color w:val="000000"/>
          <w:sz w:val="22"/>
          <w:szCs w:val="22"/>
          <w:lang w:val="sr-Latn-ME"/>
        </w:rPr>
        <w:t>,</w:t>
      </w:r>
      <w:r w:rsidRPr="007A23EB">
        <w:rPr>
          <w:rStyle w:val="apple-converted-space"/>
          <w:color w:val="000000"/>
          <w:sz w:val="22"/>
          <w:szCs w:val="22"/>
          <w:lang w:val="sr-Latn-ME"/>
        </w:rPr>
        <w:t> </w:t>
      </w:r>
      <w:r w:rsidRPr="007A23EB">
        <w:rPr>
          <w:rStyle w:val="apple-converted-space"/>
          <w:i/>
          <w:color w:val="000000"/>
          <w:sz w:val="22"/>
          <w:szCs w:val="22"/>
          <w:lang w:val="sr-Latn-ME"/>
        </w:rPr>
        <w:t xml:space="preserve">Enterobacter aerogenes, Klebsiella pneumoniae, </w:t>
      </w:r>
      <w:r w:rsidRPr="007A23EB">
        <w:rPr>
          <w:i/>
          <w:iCs/>
          <w:color w:val="000000"/>
          <w:sz w:val="22"/>
          <w:szCs w:val="22"/>
          <w:lang w:val="sr-Latn-ME"/>
        </w:rPr>
        <w:t>Haemophilus influenzae, Neisseria spp, Serratia marcescens, Pseudomonas</w:t>
      </w:r>
      <w:r w:rsidRPr="007A23EB">
        <w:rPr>
          <w:rStyle w:val="apple-converted-space"/>
          <w:color w:val="000000"/>
          <w:sz w:val="22"/>
          <w:szCs w:val="22"/>
          <w:lang w:val="sr-Latn-ME"/>
        </w:rPr>
        <w:t> </w:t>
      </w:r>
      <w:r w:rsidRPr="007A23EB">
        <w:rPr>
          <w:i/>
          <w:iCs/>
          <w:color w:val="000000"/>
          <w:sz w:val="22"/>
          <w:szCs w:val="22"/>
          <w:lang w:val="sr-Latn-ME"/>
        </w:rPr>
        <w:t>aeruginosa, Moraxella lacunata,</w:t>
      </w:r>
      <w:r w:rsidRPr="007A23EB">
        <w:rPr>
          <w:rStyle w:val="apple-converted-space"/>
          <w:color w:val="000000"/>
          <w:sz w:val="22"/>
          <w:szCs w:val="22"/>
          <w:lang w:val="sr-Latn-ME"/>
        </w:rPr>
        <w:t> </w:t>
      </w:r>
      <w:r w:rsidRPr="007A23EB">
        <w:rPr>
          <w:i/>
          <w:iCs/>
          <w:color w:val="000000"/>
          <w:sz w:val="22"/>
          <w:szCs w:val="22"/>
          <w:lang w:val="sr-Latn-ME"/>
        </w:rPr>
        <w:t xml:space="preserve">Proteus spp. </w:t>
      </w:r>
    </w:p>
    <w:p w14:paraId="67C65A5C" w14:textId="77777777" w:rsidR="00A415A3" w:rsidRPr="007A23EB" w:rsidRDefault="00A415A3" w:rsidP="007A23EB">
      <w:pPr>
        <w:pStyle w:val="NormalWeb"/>
        <w:shd w:val="clear" w:color="auto" w:fill="FFFFFF"/>
        <w:tabs>
          <w:tab w:val="left" w:pos="550"/>
        </w:tabs>
        <w:spacing w:before="0" w:beforeAutospacing="0" w:after="0" w:afterAutospacing="0"/>
        <w:jc w:val="both"/>
        <w:rPr>
          <w:color w:val="000000"/>
          <w:sz w:val="22"/>
          <w:szCs w:val="22"/>
          <w:lang w:val="sr-Latn-ME"/>
        </w:rPr>
      </w:pPr>
    </w:p>
    <w:p w14:paraId="3F855962" w14:textId="278B44ED" w:rsidR="00A415A3" w:rsidRDefault="007A23EB" w:rsidP="007A23EB">
      <w:pPr>
        <w:tabs>
          <w:tab w:val="left" w:pos="550"/>
        </w:tabs>
        <w:jc w:val="both"/>
        <w:rPr>
          <w:b/>
          <w:bCs/>
          <w:szCs w:val="22"/>
          <w:lang w:val="sr-Latn-ME"/>
        </w:rPr>
      </w:pPr>
      <w:r>
        <w:rPr>
          <w:b/>
          <w:bCs/>
          <w:szCs w:val="22"/>
          <w:lang w:val="sr-Latn-ME"/>
        </w:rPr>
        <w:t>5.2.</w:t>
      </w:r>
      <w:r>
        <w:rPr>
          <w:b/>
          <w:bCs/>
          <w:szCs w:val="22"/>
          <w:lang w:val="sr-Latn-ME"/>
        </w:rPr>
        <w:tab/>
      </w:r>
      <w:r w:rsidR="00A415A3" w:rsidRPr="007A23EB">
        <w:rPr>
          <w:b/>
          <w:bCs/>
          <w:szCs w:val="22"/>
          <w:lang w:val="sr-Latn-ME"/>
        </w:rPr>
        <w:t>Farmakokinetički podaci</w:t>
      </w:r>
    </w:p>
    <w:p w14:paraId="24E00B58" w14:textId="77777777" w:rsidR="007A23EB" w:rsidRPr="007A23EB" w:rsidRDefault="007A23EB" w:rsidP="007A23EB">
      <w:pPr>
        <w:tabs>
          <w:tab w:val="left" w:pos="550"/>
        </w:tabs>
        <w:jc w:val="both"/>
        <w:rPr>
          <w:b/>
          <w:bCs/>
          <w:szCs w:val="22"/>
          <w:lang w:val="sr-Latn-ME"/>
        </w:rPr>
      </w:pPr>
    </w:p>
    <w:p w14:paraId="79C2D5E5" w14:textId="77777777" w:rsidR="00A415A3" w:rsidRPr="007A23EB" w:rsidRDefault="00A415A3" w:rsidP="007A23EB">
      <w:pPr>
        <w:pStyle w:val="Header"/>
        <w:tabs>
          <w:tab w:val="clear" w:pos="4536"/>
          <w:tab w:val="clear" w:pos="9072"/>
          <w:tab w:val="left" w:pos="284"/>
          <w:tab w:val="left" w:pos="550"/>
        </w:tabs>
        <w:jc w:val="both"/>
        <w:rPr>
          <w:szCs w:val="22"/>
          <w:lang w:val="sr-Latn-ME"/>
        </w:rPr>
      </w:pPr>
      <w:r w:rsidRPr="007A23EB">
        <w:rPr>
          <w:szCs w:val="22"/>
          <w:lang w:val="sr-Latn-ME"/>
        </w:rPr>
        <w:t>Gentamicin sulfat se praktično ne resorbuje nakon topikalne prim</w:t>
      </w:r>
      <w:r w:rsidR="00EC049D" w:rsidRPr="007A23EB">
        <w:rPr>
          <w:szCs w:val="22"/>
          <w:lang w:val="sr-Latn-ME"/>
        </w:rPr>
        <w:t>j</w:t>
      </w:r>
      <w:r w:rsidRPr="007A23EB">
        <w:rPr>
          <w:szCs w:val="22"/>
          <w:lang w:val="sr-Latn-ME"/>
        </w:rPr>
        <w:t>ene na intaktnu kožu. Budući da je resorpcija kroz erodiranu kožu samo 5%, može se zaključiti da su sistemske koncentracije resorbovanog gentamicina zanemarljive i da podaci o farmakokinetici nisu važni za prim</w:t>
      </w:r>
      <w:r w:rsidR="00EC049D" w:rsidRPr="007A23EB">
        <w:rPr>
          <w:szCs w:val="22"/>
          <w:lang w:val="sr-Latn-ME"/>
        </w:rPr>
        <w:t>j</w:t>
      </w:r>
      <w:r w:rsidRPr="007A23EB">
        <w:rPr>
          <w:szCs w:val="22"/>
          <w:lang w:val="sr-Latn-ME"/>
        </w:rPr>
        <w:t>enu gentamicina u obliku masti. Međutim, postoji mogućnost veće resorpcije nakon lokalnog l</w:t>
      </w:r>
      <w:r w:rsidR="00EC049D" w:rsidRPr="007A23EB">
        <w:rPr>
          <w:szCs w:val="22"/>
          <w:lang w:val="sr-Latn-ME"/>
        </w:rPr>
        <w:t>ij</w:t>
      </w:r>
      <w:r w:rsidRPr="007A23EB">
        <w:rPr>
          <w:szCs w:val="22"/>
          <w:lang w:val="sr-Latn-ME"/>
        </w:rPr>
        <w:t>ečenja gentamicinom, gd</w:t>
      </w:r>
      <w:r w:rsidR="00EC049D" w:rsidRPr="007A23EB">
        <w:rPr>
          <w:szCs w:val="22"/>
          <w:lang w:val="sr-Latn-ME"/>
        </w:rPr>
        <w:t>j</w:t>
      </w:r>
      <w:r w:rsidRPr="007A23EB">
        <w:rPr>
          <w:szCs w:val="22"/>
          <w:lang w:val="sr-Latn-ME"/>
        </w:rPr>
        <w:t>e serumske koncentracije dostižu 4 mikrograma/mL. To se može dogoditi ako se mažu veoma velike ili erodirane površine kože. Pritom može doći do nefrotoksičnosti ili ototoksičnosti, pogotovo ako je bubrežna funkcija oštećena ili ako pacijent istovremeno prima druge nefro- i ototoksične l</w:t>
      </w:r>
      <w:r w:rsidR="00EC049D" w:rsidRPr="007A23EB">
        <w:rPr>
          <w:szCs w:val="22"/>
          <w:lang w:val="sr-Latn-ME"/>
        </w:rPr>
        <w:t>j</w:t>
      </w:r>
      <w:r w:rsidRPr="007A23EB">
        <w:rPr>
          <w:szCs w:val="22"/>
          <w:lang w:val="sr-Latn-ME"/>
        </w:rPr>
        <w:t xml:space="preserve">ekove. </w:t>
      </w:r>
    </w:p>
    <w:p w14:paraId="4294B577" w14:textId="77777777" w:rsidR="00A415A3" w:rsidRPr="007A23EB" w:rsidRDefault="00A415A3" w:rsidP="007A23EB">
      <w:pPr>
        <w:tabs>
          <w:tab w:val="left" w:pos="550"/>
        </w:tabs>
        <w:jc w:val="both"/>
        <w:rPr>
          <w:szCs w:val="22"/>
          <w:lang w:val="sr-Latn-ME"/>
        </w:rPr>
      </w:pPr>
    </w:p>
    <w:p w14:paraId="5E02790F" w14:textId="258AFAC6" w:rsidR="00A415A3" w:rsidRDefault="007A23EB" w:rsidP="007A23EB">
      <w:pPr>
        <w:tabs>
          <w:tab w:val="left" w:pos="550"/>
        </w:tabs>
        <w:jc w:val="both"/>
        <w:rPr>
          <w:b/>
          <w:bCs/>
          <w:szCs w:val="22"/>
          <w:lang w:val="sr-Latn-ME"/>
        </w:rPr>
      </w:pPr>
      <w:r>
        <w:rPr>
          <w:b/>
          <w:bCs/>
          <w:szCs w:val="22"/>
          <w:lang w:val="sr-Latn-ME"/>
        </w:rPr>
        <w:t>5.3.</w:t>
      </w:r>
      <w:r>
        <w:rPr>
          <w:b/>
          <w:bCs/>
          <w:szCs w:val="22"/>
          <w:lang w:val="sr-Latn-ME"/>
        </w:rPr>
        <w:tab/>
      </w:r>
      <w:r w:rsidR="00A415A3" w:rsidRPr="007A23EB">
        <w:rPr>
          <w:b/>
          <w:bCs/>
          <w:szCs w:val="22"/>
          <w:lang w:val="sr-Latn-ME"/>
        </w:rPr>
        <w:t>Pretklinički podaci o bezb</w:t>
      </w:r>
      <w:r w:rsidR="00EC049D" w:rsidRPr="007A23EB">
        <w:rPr>
          <w:b/>
          <w:bCs/>
          <w:szCs w:val="22"/>
          <w:lang w:val="sr-Latn-ME"/>
        </w:rPr>
        <w:t>j</w:t>
      </w:r>
      <w:r w:rsidR="00A415A3" w:rsidRPr="007A23EB">
        <w:rPr>
          <w:b/>
          <w:bCs/>
          <w:szCs w:val="22"/>
          <w:lang w:val="sr-Latn-ME"/>
        </w:rPr>
        <w:t xml:space="preserve">ednosti </w:t>
      </w:r>
    </w:p>
    <w:p w14:paraId="5FC345C9" w14:textId="77777777" w:rsidR="007A23EB" w:rsidRPr="007A23EB" w:rsidRDefault="007A23EB" w:rsidP="007A23EB">
      <w:pPr>
        <w:tabs>
          <w:tab w:val="left" w:pos="550"/>
        </w:tabs>
        <w:jc w:val="both"/>
        <w:rPr>
          <w:b/>
          <w:bCs/>
          <w:szCs w:val="22"/>
          <w:lang w:val="sr-Latn-ME"/>
        </w:rPr>
      </w:pPr>
    </w:p>
    <w:p w14:paraId="1FEB24B2" w14:textId="77777777" w:rsidR="00A415A3" w:rsidRPr="007A23EB" w:rsidRDefault="00A415A3" w:rsidP="007A23EB">
      <w:pPr>
        <w:tabs>
          <w:tab w:val="left" w:pos="550"/>
        </w:tabs>
        <w:jc w:val="both"/>
        <w:rPr>
          <w:szCs w:val="22"/>
          <w:lang w:val="sr-Latn-ME"/>
        </w:rPr>
      </w:pPr>
      <w:r w:rsidRPr="007A23EB">
        <w:rPr>
          <w:szCs w:val="22"/>
          <w:lang w:val="sr-Latn-ME"/>
        </w:rPr>
        <w:t>Toksičnost predstavlja problem samo pri sistemskoj prim</w:t>
      </w:r>
      <w:r w:rsidR="00B86313" w:rsidRPr="007A23EB">
        <w:rPr>
          <w:szCs w:val="22"/>
          <w:lang w:val="sr-Latn-ME"/>
        </w:rPr>
        <w:t>j</w:t>
      </w:r>
      <w:r w:rsidRPr="007A23EB">
        <w:rPr>
          <w:szCs w:val="22"/>
          <w:lang w:val="sr-Latn-ME"/>
        </w:rPr>
        <w:t>eni gentamicina, a pri lokalnoj prim</w:t>
      </w:r>
      <w:r w:rsidR="00B86313" w:rsidRPr="007A23EB">
        <w:rPr>
          <w:szCs w:val="22"/>
          <w:lang w:val="sr-Latn-ME"/>
        </w:rPr>
        <w:t>j</w:t>
      </w:r>
      <w:r w:rsidRPr="007A23EB">
        <w:rPr>
          <w:szCs w:val="22"/>
          <w:lang w:val="sr-Latn-ME"/>
        </w:rPr>
        <w:t xml:space="preserve">eni opasnost je praktično zanemarljiva. </w:t>
      </w:r>
    </w:p>
    <w:p w14:paraId="1AEB77E4" w14:textId="77777777" w:rsidR="00A415A3" w:rsidRPr="007A23EB" w:rsidRDefault="00A415A3" w:rsidP="007A23EB">
      <w:pPr>
        <w:tabs>
          <w:tab w:val="left" w:pos="550"/>
        </w:tabs>
        <w:jc w:val="both"/>
        <w:rPr>
          <w:szCs w:val="22"/>
          <w:lang w:val="sr-Latn-ME"/>
        </w:rPr>
      </w:pPr>
      <w:r w:rsidRPr="007A23EB">
        <w:rPr>
          <w:szCs w:val="22"/>
          <w:lang w:val="sr-Latn-ME"/>
        </w:rPr>
        <w:t>Ispitivanja toksičnosti pojedinačne doze pokazala su nisku toksičnost gentamicina kod miševa, pacova, zečeva, mačaka i pasa: vr</w:t>
      </w:r>
      <w:r w:rsidR="00B86313" w:rsidRPr="007A23EB">
        <w:rPr>
          <w:szCs w:val="22"/>
          <w:lang w:val="sr-Latn-ME"/>
        </w:rPr>
        <w:t>ij</w:t>
      </w:r>
      <w:r w:rsidRPr="007A23EB">
        <w:rPr>
          <w:szCs w:val="22"/>
          <w:lang w:val="sr-Latn-ME"/>
        </w:rPr>
        <w:t>ednosti LD</w:t>
      </w:r>
      <w:r w:rsidRPr="007A23EB">
        <w:rPr>
          <w:szCs w:val="22"/>
          <w:vertAlign w:val="subscript"/>
          <w:lang w:val="sr-Latn-ME"/>
        </w:rPr>
        <w:t>50</w:t>
      </w:r>
      <w:r w:rsidRPr="007A23EB">
        <w:rPr>
          <w:szCs w:val="22"/>
          <w:lang w:val="sr-Latn-ME"/>
        </w:rPr>
        <w:t xml:space="preserve"> nakon intravenske prim</w:t>
      </w:r>
      <w:r w:rsidR="00B86313" w:rsidRPr="007A23EB">
        <w:rPr>
          <w:szCs w:val="22"/>
          <w:lang w:val="sr-Latn-ME"/>
        </w:rPr>
        <w:t>j</w:t>
      </w:r>
      <w:r w:rsidRPr="007A23EB">
        <w:rPr>
          <w:szCs w:val="22"/>
          <w:lang w:val="sr-Latn-ME"/>
        </w:rPr>
        <w:t>ene bile su između 20 i 180 mg/kg, dok su nakon intramuskularnog doziranja bile između 430 i 780 mg/kg. Ponovljenim intramuskularnim dozama gentamicina kod pacova, zečeva, pasa, zamoraca i majmuna tokom do 50 dana sa dozama do 200 mg/kg/dan utvrđeno je da tkivo bubrega i slušnog sistema predstavlja metu za toksično d</w:t>
      </w:r>
      <w:r w:rsidR="00B86313" w:rsidRPr="007A23EB">
        <w:rPr>
          <w:szCs w:val="22"/>
          <w:lang w:val="sr-Latn-ME"/>
        </w:rPr>
        <w:t>j</w:t>
      </w:r>
      <w:r w:rsidRPr="007A23EB">
        <w:rPr>
          <w:szCs w:val="22"/>
          <w:lang w:val="sr-Latn-ME"/>
        </w:rPr>
        <w:t>elovanje l</w:t>
      </w:r>
      <w:r w:rsidR="00B86313" w:rsidRPr="007A23EB">
        <w:rPr>
          <w:szCs w:val="22"/>
          <w:lang w:val="sr-Latn-ME"/>
        </w:rPr>
        <w:t>ij</w:t>
      </w:r>
      <w:r w:rsidRPr="007A23EB">
        <w:rPr>
          <w:szCs w:val="22"/>
          <w:lang w:val="sr-Latn-ME"/>
        </w:rPr>
        <w:t>eka. Izgleda da je toksičnost gentamicina najpr</w:t>
      </w:r>
      <w:r w:rsidR="00B86313" w:rsidRPr="007A23EB">
        <w:rPr>
          <w:szCs w:val="22"/>
          <w:lang w:val="sr-Latn-ME"/>
        </w:rPr>
        <w:t>ij</w:t>
      </w:r>
      <w:r w:rsidRPr="007A23EB">
        <w:rPr>
          <w:szCs w:val="22"/>
          <w:lang w:val="sr-Latn-ME"/>
        </w:rPr>
        <w:t>e posl</w:t>
      </w:r>
      <w:r w:rsidR="00B86313" w:rsidRPr="007A23EB">
        <w:rPr>
          <w:szCs w:val="22"/>
          <w:lang w:val="sr-Latn-ME"/>
        </w:rPr>
        <w:t>j</w:t>
      </w:r>
      <w:r w:rsidRPr="007A23EB">
        <w:rPr>
          <w:szCs w:val="22"/>
          <w:lang w:val="sr-Latn-ME"/>
        </w:rPr>
        <w:t>edica nakupljanja l</w:t>
      </w:r>
      <w:r w:rsidR="00B86313" w:rsidRPr="007A23EB">
        <w:rPr>
          <w:szCs w:val="22"/>
          <w:lang w:val="sr-Latn-ME"/>
        </w:rPr>
        <w:t>ij</w:t>
      </w:r>
      <w:r w:rsidRPr="007A23EB">
        <w:rPr>
          <w:szCs w:val="22"/>
          <w:lang w:val="sr-Latn-ME"/>
        </w:rPr>
        <w:t>eka u ciljnim tkivima. Lokalna prim</w:t>
      </w:r>
      <w:r w:rsidR="00B86313" w:rsidRPr="007A23EB">
        <w:rPr>
          <w:szCs w:val="22"/>
          <w:lang w:val="sr-Latn-ME"/>
        </w:rPr>
        <w:t>j</w:t>
      </w:r>
      <w:r w:rsidRPr="007A23EB">
        <w:rPr>
          <w:szCs w:val="22"/>
          <w:lang w:val="sr-Latn-ME"/>
        </w:rPr>
        <w:t>ena injekcije gentamicina može uzrokovati blage do teške toksične efekte na m</w:t>
      </w:r>
      <w:r w:rsidR="00B86313" w:rsidRPr="007A23EB">
        <w:rPr>
          <w:szCs w:val="22"/>
          <w:lang w:val="sr-Latn-ME"/>
        </w:rPr>
        <w:t>j</w:t>
      </w:r>
      <w:r w:rsidRPr="007A23EB">
        <w:rPr>
          <w:szCs w:val="22"/>
          <w:lang w:val="sr-Latn-ME"/>
        </w:rPr>
        <w:t>estu prim</w:t>
      </w:r>
      <w:r w:rsidR="00B86313" w:rsidRPr="007A23EB">
        <w:rPr>
          <w:szCs w:val="22"/>
          <w:lang w:val="sr-Latn-ME"/>
        </w:rPr>
        <w:t>j</w:t>
      </w:r>
      <w:r w:rsidRPr="007A23EB">
        <w:rPr>
          <w:szCs w:val="22"/>
          <w:lang w:val="sr-Latn-ME"/>
        </w:rPr>
        <w:t xml:space="preserve">ene. </w:t>
      </w:r>
    </w:p>
    <w:p w14:paraId="56631448" w14:textId="77777777" w:rsidR="00A415A3" w:rsidRPr="007A23EB" w:rsidRDefault="00B86313" w:rsidP="007A23EB">
      <w:pPr>
        <w:tabs>
          <w:tab w:val="left" w:pos="550"/>
        </w:tabs>
        <w:jc w:val="both"/>
        <w:rPr>
          <w:szCs w:val="22"/>
          <w:lang w:val="sr-Latn-ME"/>
        </w:rPr>
      </w:pPr>
      <w:r w:rsidRPr="007A23EB">
        <w:rPr>
          <w:szCs w:val="22"/>
          <w:lang w:val="sr-Latn-ME"/>
        </w:rPr>
        <w:t>Nije zabi</w:t>
      </w:r>
      <w:r w:rsidR="00A415A3" w:rsidRPr="007A23EB">
        <w:rPr>
          <w:szCs w:val="22"/>
          <w:lang w:val="sr-Latn-ME"/>
        </w:rPr>
        <w:t>l</w:t>
      </w:r>
      <w:r w:rsidRPr="007A23EB">
        <w:rPr>
          <w:szCs w:val="22"/>
          <w:lang w:val="sr-Latn-ME"/>
        </w:rPr>
        <w:t>j</w:t>
      </w:r>
      <w:r w:rsidR="00A415A3" w:rsidRPr="007A23EB">
        <w:rPr>
          <w:szCs w:val="22"/>
          <w:lang w:val="sr-Latn-ME"/>
        </w:rPr>
        <w:t xml:space="preserve">ežen uticaj na fertilitet i reproduktivnu sposobnost, međutim, utvrđeno je da gentamicin ima embriotoksično dejstvo kod laboratorijskih životinja. </w:t>
      </w:r>
    </w:p>
    <w:p w14:paraId="320DFFAC" w14:textId="77777777" w:rsidR="00A415A3" w:rsidRPr="007A23EB" w:rsidRDefault="00A415A3" w:rsidP="007A23EB">
      <w:pPr>
        <w:tabs>
          <w:tab w:val="left" w:pos="550"/>
        </w:tabs>
        <w:jc w:val="both"/>
        <w:rPr>
          <w:szCs w:val="22"/>
          <w:lang w:val="sr-Latn-ME"/>
        </w:rPr>
      </w:pPr>
      <w:r w:rsidRPr="007A23EB">
        <w:rPr>
          <w:szCs w:val="22"/>
          <w:lang w:val="sr-Latn-ME"/>
        </w:rPr>
        <w:t>Mutageno d</w:t>
      </w:r>
      <w:r w:rsidR="00B86313" w:rsidRPr="007A23EB">
        <w:rPr>
          <w:szCs w:val="22"/>
          <w:lang w:val="sr-Latn-ME"/>
        </w:rPr>
        <w:t>j</w:t>
      </w:r>
      <w:r w:rsidRPr="007A23EB">
        <w:rPr>
          <w:szCs w:val="22"/>
          <w:lang w:val="sr-Latn-ME"/>
        </w:rPr>
        <w:t>elovanje gentamicina nije utvrđeno, a evaluacijom su predočeni dokazi po kojima mogućnost karcinogenog d</w:t>
      </w:r>
      <w:r w:rsidR="00B86313" w:rsidRPr="007A23EB">
        <w:rPr>
          <w:szCs w:val="22"/>
          <w:lang w:val="sr-Latn-ME"/>
        </w:rPr>
        <w:t>j</w:t>
      </w:r>
      <w:r w:rsidRPr="007A23EB">
        <w:rPr>
          <w:szCs w:val="22"/>
          <w:lang w:val="sr-Latn-ME"/>
        </w:rPr>
        <w:t>elovanja gentamicina nije v</w:t>
      </w:r>
      <w:r w:rsidR="00B86313" w:rsidRPr="007A23EB">
        <w:rPr>
          <w:szCs w:val="22"/>
          <w:lang w:val="sr-Latn-ME"/>
        </w:rPr>
        <w:t>j</w:t>
      </w:r>
      <w:r w:rsidRPr="007A23EB">
        <w:rPr>
          <w:szCs w:val="22"/>
          <w:lang w:val="sr-Latn-ME"/>
        </w:rPr>
        <w:t xml:space="preserve">erovatna. </w:t>
      </w:r>
    </w:p>
    <w:p w14:paraId="5E164A71" w14:textId="77777777" w:rsidR="00A415A3" w:rsidRPr="007A23EB" w:rsidRDefault="00A415A3" w:rsidP="007A23EB">
      <w:pPr>
        <w:tabs>
          <w:tab w:val="left" w:pos="550"/>
        </w:tabs>
        <w:jc w:val="both"/>
        <w:rPr>
          <w:szCs w:val="22"/>
          <w:lang w:val="sr-Latn-ME"/>
        </w:rPr>
      </w:pPr>
    </w:p>
    <w:p w14:paraId="6C7961F8" w14:textId="1047CF0A" w:rsidR="007A23EB" w:rsidRPr="007A23EB" w:rsidRDefault="00A415A3" w:rsidP="007A23EB">
      <w:pPr>
        <w:tabs>
          <w:tab w:val="left" w:pos="550"/>
        </w:tabs>
        <w:jc w:val="both"/>
        <w:rPr>
          <w:szCs w:val="22"/>
          <w:lang w:val="sr-Latn-ME"/>
        </w:rPr>
      </w:pPr>
      <w:r w:rsidRPr="007A23EB">
        <w:rPr>
          <w:szCs w:val="22"/>
          <w:lang w:val="sr-Latn-ME"/>
        </w:rPr>
        <w:t>Pretklinički efekti ispitani su pri izloženosti koja dovoljno premašuje maksimalnu izloženost kod ljudi, što ukazuje na mali značaj za kliničku prim</w:t>
      </w:r>
      <w:r w:rsidR="00B86313" w:rsidRPr="007A23EB">
        <w:rPr>
          <w:szCs w:val="22"/>
          <w:lang w:val="sr-Latn-ME"/>
        </w:rPr>
        <w:t>j</w:t>
      </w:r>
      <w:r w:rsidRPr="007A23EB">
        <w:rPr>
          <w:szCs w:val="22"/>
          <w:lang w:val="sr-Latn-ME"/>
        </w:rPr>
        <w:t>enu.</w:t>
      </w:r>
    </w:p>
    <w:p w14:paraId="7815094E" w14:textId="552A2B5C" w:rsidR="00F40D81" w:rsidRDefault="00F40D81" w:rsidP="00EE5B57">
      <w:pPr>
        <w:tabs>
          <w:tab w:val="left" w:pos="550"/>
        </w:tabs>
        <w:jc w:val="both"/>
        <w:rPr>
          <w:lang w:val="sr-Latn-ME"/>
        </w:rPr>
      </w:pPr>
    </w:p>
    <w:p w14:paraId="4DCE3B24" w14:textId="20933BCE" w:rsidR="00FB3624" w:rsidRDefault="00FB3624" w:rsidP="00EE5B57">
      <w:pPr>
        <w:tabs>
          <w:tab w:val="left" w:pos="550"/>
        </w:tabs>
        <w:jc w:val="both"/>
        <w:rPr>
          <w:lang w:val="sr-Latn-ME"/>
        </w:rPr>
      </w:pPr>
    </w:p>
    <w:p w14:paraId="4B6A0535" w14:textId="3E0C7052" w:rsidR="00FB3624" w:rsidRDefault="00FB3624" w:rsidP="00EE5B57">
      <w:pPr>
        <w:tabs>
          <w:tab w:val="left" w:pos="550"/>
        </w:tabs>
        <w:jc w:val="both"/>
        <w:rPr>
          <w:lang w:val="sr-Latn-ME"/>
        </w:rPr>
      </w:pPr>
    </w:p>
    <w:p w14:paraId="7E3DC490" w14:textId="77777777" w:rsidR="00247402" w:rsidRDefault="00247402" w:rsidP="00EE5B57">
      <w:pPr>
        <w:tabs>
          <w:tab w:val="left" w:pos="550"/>
        </w:tabs>
        <w:jc w:val="both"/>
        <w:rPr>
          <w:lang w:val="sr-Latn-ME"/>
        </w:rPr>
      </w:pPr>
    </w:p>
    <w:p w14:paraId="15D177E4" w14:textId="77777777" w:rsidR="00FB3624" w:rsidRPr="007A23EB" w:rsidRDefault="00FB3624" w:rsidP="00EE5B57">
      <w:pPr>
        <w:tabs>
          <w:tab w:val="left" w:pos="550"/>
        </w:tabs>
        <w:jc w:val="both"/>
        <w:rPr>
          <w:lang w:val="sr-Latn-ME"/>
        </w:rPr>
      </w:pPr>
    </w:p>
    <w:p w14:paraId="6B11FBA7" w14:textId="080EC3CE" w:rsidR="00A415A3" w:rsidRPr="007A23EB" w:rsidRDefault="007A23EB" w:rsidP="007A23EB">
      <w:pPr>
        <w:pStyle w:val="NASLOV123"/>
        <w:tabs>
          <w:tab w:val="left" w:pos="550"/>
        </w:tabs>
        <w:jc w:val="both"/>
        <w:rPr>
          <w:lang w:val="sr-Latn-ME"/>
        </w:rPr>
      </w:pPr>
      <w:r>
        <w:rPr>
          <w:lang w:val="sr-Latn-ME"/>
        </w:rPr>
        <w:lastRenderedPageBreak/>
        <w:t>6.</w:t>
      </w:r>
      <w:r>
        <w:rPr>
          <w:lang w:val="sr-Latn-ME"/>
        </w:rPr>
        <w:tab/>
      </w:r>
      <w:r w:rsidR="00A415A3" w:rsidRPr="007A23EB">
        <w:rPr>
          <w:lang w:val="sr-Latn-ME"/>
        </w:rPr>
        <w:t>FARMACEUTSKI PODACI</w:t>
      </w:r>
    </w:p>
    <w:p w14:paraId="2BF0277C" w14:textId="25C3E912" w:rsidR="00A415A3" w:rsidRPr="007A23EB" w:rsidRDefault="007A23EB" w:rsidP="007A23EB">
      <w:pPr>
        <w:tabs>
          <w:tab w:val="left" w:pos="550"/>
        </w:tabs>
        <w:jc w:val="both"/>
        <w:rPr>
          <w:b/>
          <w:bCs/>
          <w:szCs w:val="22"/>
          <w:lang w:val="sr-Latn-ME"/>
        </w:rPr>
      </w:pPr>
      <w:r>
        <w:rPr>
          <w:b/>
          <w:bCs/>
          <w:szCs w:val="22"/>
          <w:lang w:val="sr-Latn-ME"/>
        </w:rPr>
        <w:t>6.1.</w:t>
      </w:r>
      <w:r>
        <w:rPr>
          <w:b/>
          <w:bCs/>
          <w:szCs w:val="22"/>
          <w:lang w:val="sr-Latn-ME"/>
        </w:rPr>
        <w:tab/>
      </w:r>
      <w:r w:rsidR="00A415A3" w:rsidRPr="007A23EB">
        <w:rPr>
          <w:b/>
          <w:bCs/>
          <w:szCs w:val="22"/>
          <w:lang w:val="sr-Latn-ME"/>
        </w:rPr>
        <w:t>Lista pomoćnih supstanci</w:t>
      </w:r>
      <w:r w:rsidR="00A51972" w:rsidRPr="007A23EB">
        <w:rPr>
          <w:b/>
          <w:bCs/>
          <w:szCs w:val="22"/>
          <w:lang w:val="sr-Latn-ME"/>
        </w:rPr>
        <w:t xml:space="preserve"> (ekscipijenasa)</w:t>
      </w:r>
    </w:p>
    <w:p w14:paraId="37279697" w14:textId="77777777" w:rsidR="00A415A3" w:rsidRPr="007A23EB" w:rsidRDefault="00A415A3" w:rsidP="007A23EB">
      <w:pPr>
        <w:tabs>
          <w:tab w:val="left" w:pos="550"/>
        </w:tabs>
        <w:jc w:val="both"/>
        <w:rPr>
          <w:szCs w:val="22"/>
          <w:lang w:val="sr-Latn-ME"/>
        </w:rPr>
      </w:pPr>
    </w:p>
    <w:p w14:paraId="04C8F0D5" w14:textId="4AD79412" w:rsidR="00A415A3" w:rsidRPr="007A23EB" w:rsidRDefault="00FB2161" w:rsidP="007A23EB">
      <w:pPr>
        <w:pStyle w:val="Header"/>
        <w:tabs>
          <w:tab w:val="clear" w:pos="4536"/>
          <w:tab w:val="clear" w:pos="9072"/>
          <w:tab w:val="left" w:pos="284"/>
          <w:tab w:val="left" w:pos="550"/>
        </w:tabs>
        <w:jc w:val="both"/>
        <w:rPr>
          <w:szCs w:val="22"/>
          <w:lang w:val="sr-Latn-ME"/>
        </w:rPr>
      </w:pPr>
      <w:r w:rsidRPr="007A23EB">
        <w:rPr>
          <w:szCs w:val="22"/>
          <w:lang w:val="sr-Latn-ME"/>
        </w:rPr>
        <w:t>P</w:t>
      </w:r>
      <w:r w:rsidR="00D17E0E" w:rsidRPr="007A23EB">
        <w:rPr>
          <w:szCs w:val="22"/>
          <w:lang w:val="sr-Latn-ME"/>
        </w:rPr>
        <w:t>arafin</w:t>
      </w:r>
      <w:r>
        <w:rPr>
          <w:szCs w:val="22"/>
          <w:lang w:val="sr-Latn-ME"/>
        </w:rPr>
        <w:t>,</w:t>
      </w:r>
      <w:r w:rsidR="00D17E0E" w:rsidRPr="007A23EB">
        <w:rPr>
          <w:szCs w:val="22"/>
          <w:lang w:val="sr-Latn-ME"/>
        </w:rPr>
        <w:t xml:space="preserve"> </w:t>
      </w:r>
      <w:r w:rsidR="00A415A3" w:rsidRPr="007A23EB">
        <w:rPr>
          <w:szCs w:val="22"/>
          <w:lang w:val="sr-Latn-ME"/>
        </w:rPr>
        <w:t xml:space="preserve">tečni, laki; </w:t>
      </w:r>
    </w:p>
    <w:p w14:paraId="2BCBC3EB" w14:textId="2DDE7DA3" w:rsidR="00A415A3" w:rsidRPr="007A23EB" w:rsidRDefault="000E255C" w:rsidP="007A23EB">
      <w:pPr>
        <w:pStyle w:val="Header"/>
        <w:tabs>
          <w:tab w:val="clear" w:pos="4536"/>
          <w:tab w:val="clear" w:pos="9072"/>
          <w:tab w:val="left" w:pos="284"/>
          <w:tab w:val="left" w:pos="550"/>
        </w:tabs>
        <w:jc w:val="both"/>
        <w:rPr>
          <w:szCs w:val="22"/>
          <w:lang w:val="sr-Latn-ME"/>
        </w:rPr>
      </w:pPr>
      <w:r>
        <w:rPr>
          <w:szCs w:val="22"/>
          <w:lang w:val="sr-Latn-ME"/>
        </w:rPr>
        <w:t>P</w:t>
      </w:r>
      <w:r w:rsidR="00A415A3" w:rsidRPr="007A23EB">
        <w:rPr>
          <w:szCs w:val="22"/>
          <w:lang w:val="sr-Latn-ME"/>
        </w:rPr>
        <w:t>arafin</w:t>
      </w:r>
      <w:r w:rsidR="00FB2161">
        <w:rPr>
          <w:szCs w:val="22"/>
          <w:lang w:val="sr-Latn-ME"/>
        </w:rPr>
        <w:t>,</w:t>
      </w:r>
      <w:r w:rsidR="00A415A3" w:rsidRPr="007A23EB">
        <w:rPr>
          <w:szCs w:val="22"/>
          <w:lang w:val="sr-Latn-ME"/>
        </w:rPr>
        <w:t xml:space="preserve"> čvrsti;</w:t>
      </w:r>
    </w:p>
    <w:p w14:paraId="4327CC1D" w14:textId="4B86A93C" w:rsidR="00A415A3" w:rsidRPr="007A23EB" w:rsidRDefault="000E255C" w:rsidP="007A23EB">
      <w:pPr>
        <w:pStyle w:val="Header"/>
        <w:tabs>
          <w:tab w:val="clear" w:pos="4536"/>
          <w:tab w:val="clear" w:pos="9072"/>
          <w:tab w:val="left" w:pos="284"/>
          <w:tab w:val="left" w:pos="550"/>
        </w:tabs>
        <w:jc w:val="both"/>
        <w:rPr>
          <w:szCs w:val="22"/>
          <w:lang w:val="sr-Latn-ME"/>
        </w:rPr>
      </w:pPr>
      <w:r>
        <w:rPr>
          <w:szCs w:val="22"/>
          <w:lang w:val="sr-Latn-ME"/>
        </w:rPr>
        <w:t>I</w:t>
      </w:r>
      <w:r w:rsidR="00A415A3" w:rsidRPr="007A23EB">
        <w:rPr>
          <w:szCs w:val="22"/>
          <w:lang w:val="sr-Latn-ME"/>
        </w:rPr>
        <w:t>zopropil</w:t>
      </w:r>
      <w:r w:rsidR="00D469B8">
        <w:rPr>
          <w:szCs w:val="22"/>
          <w:lang w:val="sr-Latn-ME"/>
        </w:rPr>
        <w:t xml:space="preserve"> </w:t>
      </w:r>
      <w:r w:rsidR="00A415A3" w:rsidRPr="007A23EB">
        <w:rPr>
          <w:szCs w:val="22"/>
          <w:lang w:val="sr-Latn-ME"/>
        </w:rPr>
        <w:t xml:space="preserve">miristat; </w:t>
      </w:r>
    </w:p>
    <w:p w14:paraId="68CE41C9" w14:textId="7FF979D0" w:rsidR="00A415A3" w:rsidRPr="007A23EB" w:rsidRDefault="000E255C" w:rsidP="007A23EB">
      <w:pPr>
        <w:pStyle w:val="Header"/>
        <w:tabs>
          <w:tab w:val="clear" w:pos="4536"/>
          <w:tab w:val="clear" w:pos="9072"/>
          <w:tab w:val="left" w:pos="284"/>
          <w:tab w:val="left" w:pos="550"/>
        </w:tabs>
        <w:jc w:val="both"/>
        <w:rPr>
          <w:szCs w:val="22"/>
          <w:lang w:val="sr-Latn-ME"/>
        </w:rPr>
      </w:pPr>
      <w:r>
        <w:rPr>
          <w:szCs w:val="22"/>
          <w:lang w:val="sr-Latn-ME"/>
        </w:rPr>
        <w:t>P</w:t>
      </w:r>
      <w:r w:rsidR="00A415A3" w:rsidRPr="007A23EB">
        <w:rPr>
          <w:szCs w:val="22"/>
          <w:lang w:val="sr-Latn-ME"/>
        </w:rPr>
        <w:t>arafin</w:t>
      </w:r>
      <w:r w:rsidR="00FB2161">
        <w:rPr>
          <w:szCs w:val="22"/>
          <w:lang w:val="sr-Latn-ME"/>
        </w:rPr>
        <w:t>,</w:t>
      </w:r>
      <w:r w:rsidR="00A415A3" w:rsidRPr="007A23EB">
        <w:rPr>
          <w:szCs w:val="22"/>
          <w:lang w:val="sr-Latn-ME"/>
        </w:rPr>
        <w:t xml:space="preserve"> b</w:t>
      </w:r>
      <w:r w:rsidR="007A23EB">
        <w:rPr>
          <w:szCs w:val="22"/>
          <w:lang w:val="sr-Latn-ME"/>
        </w:rPr>
        <w:t>ij</w:t>
      </w:r>
      <w:r w:rsidR="00A415A3" w:rsidRPr="007A23EB">
        <w:rPr>
          <w:szCs w:val="22"/>
          <w:lang w:val="sr-Latn-ME"/>
        </w:rPr>
        <w:t>eli, meki.</w:t>
      </w:r>
    </w:p>
    <w:p w14:paraId="4BBEA046" w14:textId="77777777" w:rsidR="00A415A3" w:rsidRPr="007A23EB" w:rsidRDefault="00A415A3" w:rsidP="007A23EB">
      <w:pPr>
        <w:tabs>
          <w:tab w:val="left" w:pos="550"/>
        </w:tabs>
        <w:jc w:val="both"/>
        <w:rPr>
          <w:szCs w:val="22"/>
          <w:lang w:val="sr-Latn-ME"/>
        </w:rPr>
      </w:pPr>
    </w:p>
    <w:p w14:paraId="6B17789D" w14:textId="49F3DE1F" w:rsidR="00A415A3" w:rsidRPr="007A23EB" w:rsidRDefault="007A23EB" w:rsidP="007A23EB">
      <w:pPr>
        <w:tabs>
          <w:tab w:val="left" w:pos="550"/>
        </w:tabs>
        <w:jc w:val="both"/>
        <w:rPr>
          <w:b/>
          <w:bCs/>
          <w:szCs w:val="22"/>
          <w:lang w:val="sr-Latn-ME"/>
        </w:rPr>
      </w:pPr>
      <w:r>
        <w:rPr>
          <w:b/>
          <w:bCs/>
          <w:szCs w:val="22"/>
          <w:lang w:val="sr-Latn-ME"/>
        </w:rPr>
        <w:t>6.2.</w:t>
      </w:r>
      <w:r>
        <w:rPr>
          <w:b/>
          <w:bCs/>
          <w:szCs w:val="22"/>
          <w:lang w:val="sr-Latn-ME"/>
        </w:rPr>
        <w:tab/>
      </w:r>
      <w:r w:rsidR="00A415A3" w:rsidRPr="007A23EB">
        <w:rPr>
          <w:b/>
          <w:bCs/>
          <w:szCs w:val="22"/>
          <w:lang w:val="sr-Latn-ME"/>
        </w:rPr>
        <w:t>Inkompatibilnost</w:t>
      </w:r>
      <w:r w:rsidR="00A51972" w:rsidRPr="007A23EB">
        <w:rPr>
          <w:b/>
          <w:bCs/>
          <w:szCs w:val="22"/>
          <w:lang w:val="sr-Latn-ME"/>
        </w:rPr>
        <w:t>i</w:t>
      </w:r>
    </w:p>
    <w:p w14:paraId="7E7B2168" w14:textId="77777777" w:rsidR="00A415A3" w:rsidRPr="007A23EB" w:rsidRDefault="00A415A3" w:rsidP="007A23EB">
      <w:pPr>
        <w:tabs>
          <w:tab w:val="left" w:pos="550"/>
        </w:tabs>
        <w:jc w:val="both"/>
        <w:rPr>
          <w:b/>
          <w:bCs/>
          <w:szCs w:val="22"/>
          <w:lang w:val="sr-Latn-ME"/>
        </w:rPr>
      </w:pPr>
    </w:p>
    <w:p w14:paraId="56EA24DB" w14:textId="77777777" w:rsidR="00F40D81" w:rsidRDefault="00F40D81" w:rsidP="007A23EB">
      <w:pPr>
        <w:tabs>
          <w:tab w:val="left" w:pos="550"/>
        </w:tabs>
        <w:jc w:val="both"/>
        <w:rPr>
          <w:color w:val="000000"/>
          <w:szCs w:val="22"/>
          <w:shd w:val="clear" w:color="auto" w:fill="FFFFFF"/>
          <w:lang w:val="sr-Latn-ME"/>
        </w:rPr>
      </w:pPr>
      <w:r>
        <w:rPr>
          <w:color w:val="000000"/>
          <w:szCs w:val="22"/>
          <w:shd w:val="clear" w:color="auto" w:fill="FFFFFF"/>
          <w:lang w:val="sr-Latn-ME"/>
        </w:rPr>
        <w:t>Nije primjenljivo.</w:t>
      </w:r>
    </w:p>
    <w:p w14:paraId="080D1BAD" w14:textId="77777777" w:rsidR="00A415A3" w:rsidRPr="007A23EB" w:rsidRDefault="00A415A3" w:rsidP="007A23EB">
      <w:pPr>
        <w:tabs>
          <w:tab w:val="left" w:pos="550"/>
        </w:tabs>
        <w:jc w:val="both"/>
        <w:rPr>
          <w:szCs w:val="22"/>
          <w:lang w:val="sr-Latn-ME"/>
        </w:rPr>
      </w:pPr>
    </w:p>
    <w:p w14:paraId="79EB758A" w14:textId="56D2898D" w:rsidR="00A415A3" w:rsidRPr="007A23EB" w:rsidRDefault="007A23EB" w:rsidP="007A23EB">
      <w:pPr>
        <w:tabs>
          <w:tab w:val="left" w:pos="550"/>
        </w:tabs>
        <w:jc w:val="both"/>
        <w:rPr>
          <w:b/>
          <w:bCs/>
          <w:szCs w:val="22"/>
          <w:lang w:val="sr-Latn-ME"/>
        </w:rPr>
      </w:pPr>
      <w:r>
        <w:rPr>
          <w:b/>
          <w:bCs/>
          <w:szCs w:val="22"/>
          <w:lang w:val="sr-Latn-ME"/>
        </w:rPr>
        <w:t>6.3.</w:t>
      </w:r>
      <w:r>
        <w:rPr>
          <w:b/>
          <w:bCs/>
          <w:szCs w:val="22"/>
          <w:lang w:val="sr-Latn-ME"/>
        </w:rPr>
        <w:tab/>
      </w:r>
      <w:r w:rsidR="00A415A3" w:rsidRPr="007A23EB">
        <w:rPr>
          <w:b/>
          <w:bCs/>
          <w:szCs w:val="22"/>
          <w:lang w:val="sr-Latn-ME"/>
        </w:rPr>
        <w:t>Rok upotrebe</w:t>
      </w:r>
    </w:p>
    <w:p w14:paraId="59092A17" w14:textId="77777777" w:rsidR="00A415A3" w:rsidRPr="007A23EB" w:rsidRDefault="00A415A3" w:rsidP="007A23EB">
      <w:pPr>
        <w:pStyle w:val="Header"/>
        <w:tabs>
          <w:tab w:val="clear" w:pos="4536"/>
          <w:tab w:val="clear" w:pos="9072"/>
          <w:tab w:val="left" w:pos="284"/>
          <w:tab w:val="left" w:pos="550"/>
        </w:tabs>
        <w:jc w:val="both"/>
        <w:rPr>
          <w:szCs w:val="22"/>
          <w:lang w:val="sr-Latn-ME"/>
        </w:rPr>
      </w:pPr>
    </w:p>
    <w:p w14:paraId="4FA0910B" w14:textId="77777777" w:rsidR="00A415A3" w:rsidRPr="007A23EB" w:rsidRDefault="00A415A3" w:rsidP="007A23EB">
      <w:pPr>
        <w:pStyle w:val="Header"/>
        <w:tabs>
          <w:tab w:val="clear" w:pos="4536"/>
          <w:tab w:val="clear" w:pos="9072"/>
          <w:tab w:val="left" w:pos="284"/>
          <w:tab w:val="left" w:pos="550"/>
        </w:tabs>
        <w:jc w:val="both"/>
        <w:rPr>
          <w:szCs w:val="22"/>
          <w:lang w:val="sr-Latn-ME"/>
        </w:rPr>
      </w:pPr>
      <w:r w:rsidRPr="007A23EB">
        <w:rPr>
          <w:szCs w:val="22"/>
          <w:lang w:val="sr-Latn-ME"/>
        </w:rPr>
        <w:t>3 godine.</w:t>
      </w:r>
    </w:p>
    <w:p w14:paraId="5DE920EC" w14:textId="77777777" w:rsidR="00A415A3" w:rsidRPr="007A23EB" w:rsidRDefault="00A415A3" w:rsidP="007A23EB">
      <w:pPr>
        <w:tabs>
          <w:tab w:val="left" w:pos="550"/>
        </w:tabs>
        <w:jc w:val="both"/>
        <w:rPr>
          <w:szCs w:val="22"/>
          <w:lang w:val="sr-Latn-ME"/>
        </w:rPr>
      </w:pPr>
    </w:p>
    <w:p w14:paraId="53A0D3FA" w14:textId="0D403CEE" w:rsidR="00A415A3" w:rsidRPr="007A23EB" w:rsidRDefault="007A23EB" w:rsidP="007A23EB">
      <w:pPr>
        <w:tabs>
          <w:tab w:val="left" w:pos="550"/>
        </w:tabs>
        <w:jc w:val="both"/>
        <w:rPr>
          <w:b/>
          <w:bCs/>
          <w:szCs w:val="22"/>
          <w:lang w:val="sr-Latn-ME"/>
        </w:rPr>
      </w:pPr>
      <w:r>
        <w:rPr>
          <w:b/>
          <w:bCs/>
          <w:szCs w:val="22"/>
          <w:lang w:val="sr-Latn-ME"/>
        </w:rPr>
        <w:t>6.4.</w:t>
      </w:r>
      <w:r>
        <w:rPr>
          <w:b/>
          <w:bCs/>
          <w:szCs w:val="22"/>
          <w:lang w:val="sr-Latn-ME"/>
        </w:rPr>
        <w:tab/>
      </w:r>
      <w:r w:rsidR="001A1D70" w:rsidRPr="007A23EB">
        <w:rPr>
          <w:b/>
          <w:bCs/>
          <w:szCs w:val="22"/>
          <w:lang w:val="sr-Latn-ME"/>
        </w:rPr>
        <w:t>Posebne mjere upozorenja pri čuvanju lijeka</w:t>
      </w:r>
    </w:p>
    <w:p w14:paraId="5BF0FA48" w14:textId="77777777" w:rsidR="00A415A3" w:rsidRPr="007A23EB" w:rsidRDefault="00A415A3" w:rsidP="007A23EB">
      <w:pPr>
        <w:tabs>
          <w:tab w:val="left" w:pos="550"/>
        </w:tabs>
        <w:jc w:val="both"/>
        <w:rPr>
          <w:szCs w:val="22"/>
          <w:lang w:val="sr-Latn-ME"/>
        </w:rPr>
      </w:pPr>
    </w:p>
    <w:p w14:paraId="46BE7B8A" w14:textId="2D84515A" w:rsidR="00A415A3" w:rsidRPr="007A23EB" w:rsidRDefault="00A415A3" w:rsidP="007A23EB">
      <w:pPr>
        <w:pStyle w:val="Header"/>
        <w:tabs>
          <w:tab w:val="clear" w:pos="4536"/>
          <w:tab w:val="clear" w:pos="9072"/>
          <w:tab w:val="left" w:pos="284"/>
          <w:tab w:val="left" w:pos="550"/>
        </w:tabs>
        <w:jc w:val="both"/>
        <w:rPr>
          <w:szCs w:val="22"/>
          <w:lang w:val="sr-Latn-ME"/>
        </w:rPr>
      </w:pPr>
      <w:r w:rsidRPr="007A23EB">
        <w:rPr>
          <w:szCs w:val="22"/>
          <w:lang w:val="sr-Latn-ME"/>
        </w:rPr>
        <w:t>Čuvati na temperaturi do 25°C u originalnom pakovanju.</w:t>
      </w:r>
    </w:p>
    <w:p w14:paraId="14963FBE" w14:textId="4831B573" w:rsidR="00A415A3" w:rsidRPr="007A23EB" w:rsidRDefault="00A415A3" w:rsidP="007A23EB">
      <w:pPr>
        <w:tabs>
          <w:tab w:val="left" w:pos="550"/>
        </w:tabs>
        <w:jc w:val="both"/>
        <w:rPr>
          <w:szCs w:val="22"/>
          <w:lang w:val="sr-Latn-ME"/>
        </w:rPr>
      </w:pPr>
      <w:r w:rsidRPr="007A23EB">
        <w:rPr>
          <w:szCs w:val="22"/>
          <w:lang w:val="sr-Latn-ME"/>
        </w:rPr>
        <w:t>Posl</w:t>
      </w:r>
      <w:r w:rsidR="00B86313" w:rsidRPr="007A23EB">
        <w:rPr>
          <w:szCs w:val="22"/>
          <w:lang w:val="sr-Latn-ME"/>
        </w:rPr>
        <w:t>ij</w:t>
      </w:r>
      <w:r w:rsidRPr="007A23EB">
        <w:rPr>
          <w:szCs w:val="22"/>
          <w:lang w:val="sr-Latn-ME"/>
        </w:rPr>
        <w:t>e prvog otvaranja, čuvati na temperaturi do 25°C u originalnom pakovanju najduže 28 dana.</w:t>
      </w:r>
    </w:p>
    <w:p w14:paraId="631810FF" w14:textId="77777777" w:rsidR="00A415A3" w:rsidRPr="007A23EB" w:rsidRDefault="00A415A3" w:rsidP="007A23EB">
      <w:pPr>
        <w:tabs>
          <w:tab w:val="left" w:pos="550"/>
        </w:tabs>
        <w:jc w:val="both"/>
        <w:rPr>
          <w:szCs w:val="22"/>
          <w:lang w:val="sr-Latn-ME"/>
        </w:rPr>
      </w:pPr>
    </w:p>
    <w:p w14:paraId="2D50F096" w14:textId="6AF5C8AF" w:rsidR="00A415A3" w:rsidRPr="007A23EB" w:rsidRDefault="007A23EB" w:rsidP="007A23EB">
      <w:pPr>
        <w:tabs>
          <w:tab w:val="left" w:pos="550"/>
        </w:tabs>
        <w:jc w:val="both"/>
        <w:rPr>
          <w:b/>
          <w:bCs/>
          <w:szCs w:val="22"/>
          <w:lang w:val="sr-Latn-ME"/>
        </w:rPr>
      </w:pPr>
      <w:r>
        <w:rPr>
          <w:b/>
          <w:bCs/>
          <w:szCs w:val="22"/>
          <w:lang w:val="sr-Latn-ME"/>
        </w:rPr>
        <w:t>6.5.</w:t>
      </w:r>
      <w:r>
        <w:rPr>
          <w:b/>
          <w:bCs/>
          <w:szCs w:val="22"/>
          <w:lang w:val="sr-Latn-ME"/>
        </w:rPr>
        <w:tab/>
      </w:r>
      <w:r w:rsidR="00A51972" w:rsidRPr="007A23EB">
        <w:rPr>
          <w:b/>
          <w:bCs/>
          <w:szCs w:val="22"/>
          <w:lang w:val="sr-Latn-ME"/>
        </w:rPr>
        <w:t>Vrsta</w:t>
      </w:r>
      <w:r w:rsidR="00A415A3" w:rsidRPr="007A23EB">
        <w:rPr>
          <w:b/>
          <w:bCs/>
          <w:szCs w:val="22"/>
          <w:lang w:val="sr-Latn-ME"/>
        </w:rPr>
        <w:t xml:space="preserve"> i sadržaj pakovanja </w:t>
      </w:r>
    </w:p>
    <w:p w14:paraId="152A7E31" w14:textId="77777777" w:rsidR="00A415A3" w:rsidRPr="007A23EB" w:rsidRDefault="00A415A3" w:rsidP="007A23EB">
      <w:pPr>
        <w:tabs>
          <w:tab w:val="left" w:pos="550"/>
        </w:tabs>
        <w:jc w:val="both"/>
        <w:rPr>
          <w:b/>
          <w:bCs/>
          <w:szCs w:val="22"/>
          <w:lang w:val="sr-Latn-ME"/>
        </w:rPr>
      </w:pPr>
    </w:p>
    <w:p w14:paraId="0F3204D9" w14:textId="56C474FF" w:rsidR="009215E6" w:rsidRPr="007A23EB" w:rsidRDefault="009215E6" w:rsidP="007A23EB">
      <w:pPr>
        <w:tabs>
          <w:tab w:val="left" w:pos="550"/>
        </w:tabs>
        <w:jc w:val="both"/>
        <w:rPr>
          <w:szCs w:val="22"/>
          <w:lang w:val="sr-Latn-ME"/>
        </w:rPr>
      </w:pPr>
      <w:r w:rsidRPr="007A23EB">
        <w:rPr>
          <w:szCs w:val="22"/>
          <w:lang w:val="sr-Latn-ME"/>
        </w:rPr>
        <w:t>Unutrašnje pakovanje</w:t>
      </w:r>
      <w:r w:rsidR="00C605CF">
        <w:rPr>
          <w:szCs w:val="22"/>
          <w:lang w:val="sr-Latn-ME"/>
        </w:rPr>
        <w:t xml:space="preserve"> je</w:t>
      </w:r>
      <w:r w:rsidRPr="007A23EB">
        <w:rPr>
          <w:szCs w:val="22"/>
          <w:lang w:val="sr-Latn-ME"/>
        </w:rPr>
        <w:t xml:space="preserve"> aluminijumska tuba zatvorenog grla sa plastičnim zatvaračem od polietilena koja sadrži 15 g masti.</w:t>
      </w:r>
    </w:p>
    <w:p w14:paraId="69C64993" w14:textId="49C92F28" w:rsidR="00A415A3" w:rsidRPr="007A23EB" w:rsidRDefault="00A415A3" w:rsidP="007A23EB">
      <w:pPr>
        <w:tabs>
          <w:tab w:val="left" w:pos="550"/>
        </w:tabs>
        <w:jc w:val="both"/>
        <w:rPr>
          <w:b/>
          <w:bCs/>
          <w:szCs w:val="22"/>
          <w:lang w:val="sr-Latn-ME"/>
        </w:rPr>
      </w:pPr>
      <w:r w:rsidRPr="007A23EB">
        <w:rPr>
          <w:szCs w:val="22"/>
          <w:lang w:val="sr-Latn-ME"/>
        </w:rPr>
        <w:t>Spoljašnje pakovanje</w:t>
      </w:r>
      <w:r w:rsidR="00C605CF">
        <w:rPr>
          <w:szCs w:val="22"/>
          <w:lang w:val="sr-Latn-ME"/>
        </w:rPr>
        <w:t xml:space="preserve"> je </w:t>
      </w:r>
      <w:r w:rsidRPr="007A23EB">
        <w:rPr>
          <w:szCs w:val="22"/>
          <w:lang w:val="sr-Latn-ME"/>
        </w:rPr>
        <w:t>složiva kartonska kutija u kojoj se nalazi jedna aluminijumska tuba i Uputstvo za l</w:t>
      </w:r>
      <w:r w:rsidR="00B86313" w:rsidRPr="007A23EB">
        <w:rPr>
          <w:szCs w:val="22"/>
          <w:lang w:val="sr-Latn-ME"/>
        </w:rPr>
        <w:t>ij</w:t>
      </w:r>
      <w:r w:rsidRPr="007A23EB">
        <w:rPr>
          <w:szCs w:val="22"/>
          <w:lang w:val="sr-Latn-ME"/>
        </w:rPr>
        <w:t>ek.</w:t>
      </w:r>
    </w:p>
    <w:p w14:paraId="770188A1" w14:textId="77777777" w:rsidR="00A415A3" w:rsidRPr="007A23EB" w:rsidRDefault="00A415A3" w:rsidP="007A23EB">
      <w:pPr>
        <w:tabs>
          <w:tab w:val="left" w:pos="550"/>
        </w:tabs>
        <w:jc w:val="both"/>
        <w:rPr>
          <w:szCs w:val="22"/>
          <w:lang w:val="sr-Latn-ME"/>
        </w:rPr>
      </w:pPr>
    </w:p>
    <w:p w14:paraId="10E38ED7" w14:textId="3969229F" w:rsidR="00A415A3" w:rsidRPr="007A23EB" w:rsidRDefault="007A23EB" w:rsidP="007A23EB">
      <w:pPr>
        <w:tabs>
          <w:tab w:val="left" w:pos="550"/>
        </w:tabs>
        <w:jc w:val="both"/>
        <w:rPr>
          <w:b/>
          <w:bCs/>
          <w:szCs w:val="22"/>
          <w:lang w:val="sr-Latn-ME"/>
        </w:rPr>
      </w:pPr>
      <w:r>
        <w:rPr>
          <w:b/>
          <w:bCs/>
          <w:szCs w:val="22"/>
          <w:lang w:val="sr-Latn-ME"/>
        </w:rPr>
        <w:t>6.6.</w:t>
      </w:r>
      <w:r>
        <w:rPr>
          <w:b/>
          <w:bCs/>
          <w:szCs w:val="22"/>
          <w:lang w:val="sr-Latn-ME"/>
        </w:rPr>
        <w:tab/>
      </w:r>
      <w:r w:rsidR="00A415A3" w:rsidRPr="007A23EB">
        <w:rPr>
          <w:b/>
          <w:bCs/>
          <w:szCs w:val="22"/>
          <w:lang w:val="sr-Latn-ME"/>
        </w:rPr>
        <w:t>Posebne m</w:t>
      </w:r>
      <w:r w:rsidR="00B86313" w:rsidRPr="007A23EB">
        <w:rPr>
          <w:b/>
          <w:bCs/>
          <w:szCs w:val="22"/>
          <w:lang w:val="sr-Latn-ME"/>
        </w:rPr>
        <w:t>j</w:t>
      </w:r>
      <w:r w:rsidR="00A415A3" w:rsidRPr="007A23EB">
        <w:rPr>
          <w:b/>
          <w:bCs/>
          <w:szCs w:val="22"/>
          <w:lang w:val="sr-Latn-ME"/>
        </w:rPr>
        <w:t>ere opreza pri odlaganju materijala koji treba odbaciti nakon prim</w:t>
      </w:r>
      <w:r w:rsidR="00B86313" w:rsidRPr="007A23EB">
        <w:rPr>
          <w:b/>
          <w:bCs/>
          <w:szCs w:val="22"/>
          <w:lang w:val="sr-Latn-ME"/>
        </w:rPr>
        <w:t>j</w:t>
      </w:r>
      <w:r w:rsidR="00A415A3" w:rsidRPr="007A23EB">
        <w:rPr>
          <w:b/>
          <w:bCs/>
          <w:szCs w:val="22"/>
          <w:lang w:val="sr-Latn-ME"/>
        </w:rPr>
        <w:t>ene l</w:t>
      </w:r>
      <w:r w:rsidR="00B86313" w:rsidRPr="007A23EB">
        <w:rPr>
          <w:b/>
          <w:bCs/>
          <w:szCs w:val="22"/>
          <w:lang w:val="sr-Latn-ME"/>
        </w:rPr>
        <w:t>ij</w:t>
      </w:r>
      <w:r w:rsidR="00A415A3" w:rsidRPr="007A23EB">
        <w:rPr>
          <w:b/>
          <w:bCs/>
          <w:szCs w:val="22"/>
          <w:lang w:val="sr-Latn-ME"/>
        </w:rPr>
        <w:t xml:space="preserve">eka </w:t>
      </w:r>
      <w:r w:rsidR="00A51972" w:rsidRPr="007A23EB">
        <w:rPr>
          <w:b/>
          <w:bCs/>
          <w:szCs w:val="22"/>
          <w:lang w:val="sr-Latn-ME"/>
        </w:rPr>
        <w:t>(i druga uputstva za rukovanje lijekom)</w:t>
      </w:r>
    </w:p>
    <w:p w14:paraId="04EB7572" w14:textId="77777777" w:rsidR="00A415A3" w:rsidRPr="007A23EB" w:rsidRDefault="00A415A3" w:rsidP="007A23EB">
      <w:pPr>
        <w:tabs>
          <w:tab w:val="left" w:pos="550"/>
        </w:tabs>
        <w:jc w:val="both"/>
        <w:rPr>
          <w:szCs w:val="22"/>
          <w:lang w:val="sr-Latn-ME"/>
        </w:rPr>
      </w:pPr>
    </w:p>
    <w:p w14:paraId="37F47081" w14:textId="679598D8" w:rsidR="00A549E0" w:rsidRPr="00247402" w:rsidRDefault="00A415A3" w:rsidP="007A23EB">
      <w:pPr>
        <w:tabs>
          <w:tab w:val="left" w:pos="550"/>
        </w:tabs>
        <w:jc w:val="both"/>
        <w:rPr>
          <w:b/>
          <w:szCs w:val="22"/>
          <w:lang w:val="sr-Latn-ME"/>
        </w:rPr>
      </w:pPr>
      <w:bookmarkStart w:id="0" w:name="_GoBack"/>
      <w:r w:rsidRPr="00247402">
        <w:rPr>
          <w:szCs w:val="22"/>
          <w:lang w:val="sr-Latn-ME"/>
        </w:rPr>
        <w:t>Svu neiskorišćenu količinu l</w:t>
      </w:r>
      <w:r w:rsidR="00B86313" w:rsidRPr="00247402">
        <w:rPr>
          <w:szCs w:val="22"/>
          <w:lang w:val="sr-Latn-ME"/>
        </w:rPr>
        <w:t>ij</w:t>
      </w:r>
      <w:r w:rsidRPr="00247402">
        <w:rPr>
          <w:szCs w:val="22"/>
          <w:lang w:val="sr-Latn-ME"/>
        </w:rPr>
        <w:t>eka ili otpadnog materijala nakon njegove upotrebe treba ukloniti, u skladu sa važećim propisima.</w:t>
      </w:r>
    </w:p>
    <w:p w14:paraId="2A1891CE" w14:textId="77777777" w:rsidR="00A549E0" w:rsidRPr="00247402" w:rsidRDefault="00A549E0" w:rsidP="007A23EB">
      <w:pPr>
        <w:tabs>
          <w:tab w:val="left" w:pos="550"/>
        </w:tabs>
        <w:spacing w:before="240"/>
        <w:jc w:val="both"/>
        <w:rPr>
          <w:szCs w:val="22"/>
          <w:lang w:val="sr-Latn-ME"/>
        </w:rPr>
      </w:pPr>
    </w:p>
    <w:p w14:paraId="1E0095F7" w14:textId="3560288C" w:rsidR="00A51972" w:rsidRPr="00247402" w:rsidRDefault="007A23EB" w:rsidP="007A23EB">
      <w:pPr>
        <w:tabs>
          <w:tab w:val="left" w:pos="550"/>
        </w:tabs>
        <w:jc w:val="both"/>
        <w:rPr>
          <w:szCs w:val="22"/>
          <w:lang w:val="sr-Latn-ME"/>
        </w:rPr>
      </w:pPr>
      <w:r w:rsidRPr="00247402">
        <w:rPr>
          <w:b/>
          <w:szCs w:val="22"/>
          <w:lang w:val="sr-Latn-ME"/>
        </w:rPr>
        <w:t>7.</w:t>
      </w:r>
      <w:r w:rsidRPr="00247402">
        <w:rPr>
          <w:b/>
          <w:szCs w:val="22"/>
          <w:lang w:val="sr-Latn-ME"/>
        </w:rPr>
        <w:tab/>
      </w:r>
      <w:r w:rsidR="00A51972" w:rsidRPr="00247402">
        <w:rPr>
          <w:b/>
          <w:szCs w:val="22"/>
          <w:lang w:val="sr-Latn-ME"/>
        </w:rPr>
        <w:t>NOSILAC DOZVOLE</w:t>
      </w:r>
      <w:r w:rsidR="00A51972" w:rsidRPr="00247402">
        <w:rPr>
          <w:szCs w:val="22"/>
          <w:lang w:val="sr-Latn-ME"/>
        </w:rPr>
        <w:t xml:space="preserve"> </w:t>
      </w:r>
    </w:p>
    <w:p w14:paraId="1785E9F8" w14:textId="77777777" w:rsidR="00A51972" w:rsidRPr="00247402" w:rsidRDefault="00A51972" w:rsidP="007A23EB">
      <w:pPr>
        <w:tabs>
          <w:tab w:val="left" w:pos="550"/>
        </w:tabs>
        <w:jc w:val="both"/>
        <w:rPr>
          <w:szCs w:val="22"/>
          <w:lang w:val="sr-Latn-ME"/>
        </w:rPr>
      </w:pPr>
    </w:p>
    <w:p w14:paraId="0E457794" w14:textId="4622E72D" w:rsidR="00A51972" w:rsidRPr="00247402" w:rsidRDefault="00A51972" w:rsidP="007A23EB">
      <w:pPr>
        <w:tabs>
          <w:tab w:val="left" w:pos="550"/>
          <w:tab w:val="center" w:pos="4680"/>
          <w:tab w:val="right" w:pos="9360"/>
        </w:tabs>
        <w:jc w:val="both"/>
        <w:rPr>
          <w:szCs w:val="22"/>
          <w:lang w:val="sr-Latn-ME"/>
        </w:rPr>
      </w:pPr>
      <w:r w:rsidRPr="00247402">
        <w:rPr>
          <w:szCs w:val="22"/>
          <w:lang w:val="sr-Latn-ME"/>
        </w:rPr>
        <w:t>GLK pharma</w:t>
      </w:r>
      <w:r w:rsidR="00BA4CAD" w:rsidRPr="00247402">
        <w:rPr>
          <w:szCs w:val="22"/>
          <w:lang w:val="sr-Latn-ME"/>
        </w:rPr>
        <w:t xml:space="preserve"> d.o.o.</w:t>
      </w:r>
      <w:r w:rsidR="00D33357" w:rsidRPr="00247402">
        <w:rPr>
          <w:szCs w:val="22"/>
          <w:lang w:val="sr-Latn-ME"/>
        </w:rPr>
        <w:t xml:space="preserve"> Podgorica,</w:t>
      </w:r>
      <w:r w:rsidRPr="00247402">
        <w:rPr>
          <w:szCs w:val="22"/>
          <w:lang w:val="sr-Latn-ME"/>
        </w:rPr>
        <w:t xml:space="preserve"> </w:t>
      </w:r>
      <w:r w:rsidR="00BA4CAD" w:rsidRPr="00247402">
        <w:rPr>
          <w:szCs w:val="22"/>
          <w:lang w:val="sr-Latn-ME"/>
        </w:rPr>
        <w:t xml:space="preserve">ul. </w:t>
      </w:r>
      <w:r w:rsidRPr="00247402">
        <w:rPr>
          <w:szCs w:val="22"/>
          <w:lang w:val="sr-Latn-ME"/>
        </w:rPr>
        <w:t>Svetozara Markovića br</w:t>
      </w:r>
      <w:r w:rsidR="00C863D2" w:rsidRPr="00247402">
        <w:rPr>
          <w:szCs w:val="22"/>
          <w:lang w:val="sr-Latn-ME"/>
        </w:rPr>
        <w:t>.</w:t>
      </w:r>
      <w:r w:rsidRPr="00247402">
        <w:rPr>
          <w:szCs w:val="22"/>
          <w:lang w:val="sr-Latn-ME"/>
        </w:rPr>
        <w:t xml:space="preserve"> 46, </w:t>
      </w:r>
      <w:r w:rsidR="00BA4CAD" w:rsidRPr="00247402">
        <w:rPr>
          <w:szCs w:val="22"/>
          <w:lang w:val="sr-Latn-ME"/>
        </w:rPr>
        <w:t xml:space="preserve">81000 </w:t>
      </w:r>
      <w:r w:rsidRPr="00247402">
        <w:rPr>
          <w:szCs w:val="22"/>
          <w:lang w:val="sr-Latn-ME"/>
        </w:rPr>
        <w:t>Podgorica</w:t>
      </w:r>
      <w:r w:rsidR="00BA4CAD" w:rsidRPr="00247402">
        <w:rPr>
          <w:szCs w:val="22"/>
          <w:lang w:val="sr-Latn-ME"/>
        </w:rPr>
        <w:t>, Crna Gora</w:t>
      </w:r>
      <w:r w:rsidRPr="00247402">
        <w:rPr>
          <w:szCs w:val="22"/>
          <w:lang w:val="sr-Latn-ME"/>
        </w:rPr>
        <w:t xml:space="preserve"> </w:t>
      </w:r>
    </w:p>
    <w:p w14:paraId="1A091CB2" w14:textId="77777777" w:rsidR="00A51972" w:rsidRPr="00247402" w:rsidRDefault="00A51972" w:rsidP="007A23EB">
      <w:pPr>
        <w:tabs>
          <w:tab w:val="left" w:pos="550"/>
        </w:tabs>
        <w:jc w:val="both"/>
        <w:rPr>
          <w:szCs w:val="22"/>
          <w:lang w:val="sr-Latn-ME"/>
        </w:rPr>
      </w:pPr>
    </w:p>
    <w:p w14:paraId="6A9E876B" w14:textId="3BA48BB5" w:rsidR="00A51972" w:rsidRPr="00247402" w:rsidRDefault="007A23EB" w:rsidP="007A23EB">
      <w:pPr>
        <w:tabs>
          <w:tab w:val="left" w:pos="550"/>
        </w:tabs>
        <w:spacing w:before="200" w:after="200"/>
        <w:jc w:val="both"/>
        <w:rPr>
          <w:b/>
          <w:szCs w:val="22"/>
          <w:lang w:val="sr-Latn-ME"/>
        </w:rPr>
      </w:pPr>
      <w:r w:rsidRPr="00247402">
        <w:rPr>
          <w:b/>
          <w:szCs w:val="22"/>
          <w:lang w:val="sr-Latn-ME"/>
        </w:rPr>
        <w:t>8.</w:t>
      </w:r>
      <w:r w:rsidRPr="00247402">
        <w:rPr>
          <w:b/>
          <w:szCs w:val="22"/>
          <w:lang w:val="sr-Latn-ME"/>
        </w:rPr>
        <w:tab/>
      </w:r>
      <w:r w:rsidR="00A51972" w:rsidRPr="00247402">
        <w:rPr>
          <w:b/>
          <w:szCs w:val="22"/>
          <w:lang w:val="sr-Latn-ME"/>
        </w:rPr>
        <w:t>BROJ DOZVOLE ZA STAVLJANJE LIJEKA U PROMET</w:t>
      </w:r>
    </w:p>
    <w:p w14:paraId="19240CFA" w14:textId="61093EA9" w:rsidR="00D17E0E" w:rsidRPr="00247402" w:rsidRDefault="00FB3624" w:rsidP="007A23EB">
      <w:pPr>
        <w:tabs>
          <w:tab w:val="left" w:pos="550"/>
        </w:tabs>
        <w:jc w:val="both"/>
        <w:rPr>
          <w:szCs w:val="22"/>
        </w:rPr>
      </w:pPr>
      <w:r w:rsidRPr="00247402">
        <w:rPr>
          <w:szCs w:val="22"/>
        </w:rPr>
        <w:t xml:space="preserve">2030/25/2593 </w:t>
      </w:r>
      <w:r w:rsidRPr="00247402">
        <w:rPr>
          <w:szCs w:val="22"/>
        </w:rPr>
        <w:t>-</w:t>
      </w:r>
      <w:r w:rsidRPr="00247402">
        <w:rPr>
          <w:szCs w:val="22"/>
        </w:rPr>
        <w:t xml:space="preserve"> 6230</w:t>
      </w:r>
    </w:p>
    <w:p w14:paraId="172D65D3" w14:textId="77777777" w:rsidR="00FB3624" w:rsidRPr="00247402" w:rsidRDefault="00FB3624" w:rsidP="007A23EB">
      <w:pPr>
        <w:tabs>
          <w:tab w:val="left" w:pos="550"/>
        </w:tabs>
        <w:jc w:val="both"/>
        <w:rPr>
          <w:b/>
          <w:szCs w:val="22"/>
          <w:lang w:val="sr-Latn-ME"/>
        </w:rPr>
      </w:pPr>
    </w:p>
    <w:p w14:paraId="394F1A07" w14:textId="41C573BE" w:rsidR="00A51972" w:rsidRPr="00247402" w:rsidRDefault="007A23EB" w:rsidP="007A23EB">
      <w:pPr>
        <w:tabs>
          <w:tab w:val="left" w:pos="550"/>
        </w:tabs>
        <w:spacing w:before="200" w:after="200"/>
        <w:jc w:val="both"/>
        <w:rPr>
          <w:b/>
          <w:szCs w:val="22"/>
          <w:lang w:val="sr-Latn-ME"/>
        </w:rPr>
      </w:pPr>
      <w:r w:rsidRPr="00247402">
        <w:rPr>
          <w:b/>
          <w:szCs w:val="22"/>
          <w:lang w:val="sr-Latn-ME"/>
        </w:rPr>
        <w:t>9.</w:t>
      </w:r>
      <w:r w:rsidRPr="00247402">
        <w:rPr>
          <w:b/>
          <w:szCs w:val="22"/>
          <w:lang w:val="sr-Latn-ME"/>
        </w:rPr>
        <w:tab/>
      </w:r>
      <w:r w:rsidR="00A51972" w:rsidRPr="00247402">
        <w:rPr>
          <w:b/>
          <w:szCs w:val="22"/>
          <w:lang w:val="sr-Latn-ME"/>
        </w:rPr>
        <w:t>DATUM PRVE DOZVOLE/ OBNOVE DOZVOLE ZA STAVLJANJE LIJEKA U PROMET</w:t>
      </w:r>
    </w:p>
    <w:p w14:paraId="48EFE01A" w14:textId="77777777" w:rsidR="000E255C" w:rsidRPr="00247402" w:rsidRDefault="000E255C" w:rsidP="00EE5B57">
      <w:pPr>
        <w:tabs>
          <w:tab w:val="left" w:pos="550"/>
          <w:tab w:val="center" w:pos="4680"/>
          <w:tab w:val="right" w:pos="9360"/>
        </w:tabs>
        <w:jc w:val="both"/>
        <w:rPr>
          <w:bCs/>
          <w:szCs w:val="22"/>
          <w:lang w:val="sr-Latn-ME"/>
        </w:rPr>
      </w:pPr>
      <w:r w:rsidRPr="00247402">
        <w:rPr>
          <w:bCs/>
          <w:szCs w:val="22"/>
          <w:lang w:val="sr-Latn-ME"/>
        </w:rPr>
        <w:t xml:space="preserve">Datum prve dozvole: </w:t>
      </w:r>
      <w:r w:rsidR="00D17E0E" w:rsidRPr="00247402">
        <w:rPr>
          <w:bCs/>
          <w:szCs w:val="22"/>
          <w:lang w:val="sr-Latn-ME"/>
        </w:rPr>
        <w:t>23.06.2016. godine</w:t>
      </w:r>
    </w:p>
    <w:p w14:paraId="07DA09C7" w14:textId="0C9C50EE" w:rsidR="000E255C" w:rsidRPr="00247402" w:rsidRDefault="000E255C" w:rsidP="00EE5B57">
      <w:pPr>
        <w:tabs>
          <w:tab w:val="left" w:pos="550"/>
          <w:tab w:val="center" w:pos="4680"/>
          <w:tab w:val="right" w:pos="9360"/>
        </w:tabs>
        <w:jc w:val="both"/>
        <w:rPr>
          <w:bCs/>
          <w:szCs w:val="22"/>
          <w:lang w:val="sr-Latn-ME"/>
        </w:rPr>
      </w:pPr>
      <w:r w:rsidRPr="00247402">
        <w:rPr>
          <w:bCs/>
          <w:szCs w:val="22"/>
          <w:lang w:val="sr-Latn-ME"/>
        </w:rPr>
        <w:t xml:space="preserve">Datum poslednje obnove dozvole: </w:t>
      </w:r>
      <w:r w:rsidR="00FB3624" w:rsidRPr="00247402">
        <w:rPr>
          <w:bCs/>
          <w:szCs w:val="22"/>
          <w:lang w:val="sr-Latn-ME"/>
        </w:rPr>
        <w:t>16.07.2025. godine</w:t>
      </w:r>
    </w:p>
    <w:p w14:paraId="3794FD48" w14:textId="77777777" w:rsidR="00D17E0E" w:rsidRPr="00247402" w:rsidRDefault="00D17E0E" w:rsidP="007A23EB">
      <w:pPr>
        <w:tabs>
          <w:tab w:val="left" w:pos="550"/>
        </w:tabs>
        <w:jc w:val="both"/>
        <w:rPr>
          <w:b/>
          <w:szCs w:val="22"/>
          <w:lang w:val="sr-Latn-ME"/>
        </w:rPr>
      </w:pPr>
    </w:p>
    <w:p w14:paraId="145BAB3B" w14:textId="0257BED0" w:rsidR="00A51972" w:rsidRPr="00247402" w:rsidRDefault="007A23EB" w:rsidP="007A23EB">
      <w:pPr>
        <w:tabs>
          <w:tab w:val="left" w:pos="550"/>
        </w:tabs>
        <w:spacing w:before="200" w:after="200"/>
        <w:jc w:val="both"/>
        <w:rPr>
          <w:b/>
          <w:szCs w:val="22"/>
          <w:lang w:val="sr-Latn-ME"/>
        </w:rPr>
      </w:pPr>
      <w:r w:rsidRPr="00247402">
        <w:rPr>
          <w:b/>
          <w:szCs w:val="22"/>
          <w:lang w:val="sr-Latn-ME"/>
        </w:rPr>
        <w:t>10.</w:t>
      </w:r>
      <w:r w:rsidRPr="00247402">
        <w:rPr>
          <w:b/>
          <w:szCs w:val="22"/>
          <w:lang w:val="sr-Latn-ME"/>
        </w:rPr>
        <w:tab/>
      </w:r>
      <w:r w:rsidR="00A51972" w:rsidRPr="00247402">
        <w:rPr>
          <w:b/>
          <w:szCs w:val="22"/>
          <w:lang w:val="sr-Latn-ME"/>
        </w:rPr>
        <w:t>DATUM REVIZIJE TEKSTA</w:t>
      </w:r>
    </w:p>
    <w:p w14:paraId="7B3FD2C1" w14:textId="43C61132" w:rsidR="00FB3624" w:rsidRPr="00247402" w:rsidRDefault="00FB3624" w:rsidP="007A23EB">
      <w:pPr>
        <w:tabs>
          <w:tab w:val="left" w:pos="550"/>
        </w:tabs>
        <w:spacing w:before="200" w:after="200"/>
        <w:jc w:val="both"/>
        <w:rPr>
          <w:szCs w:val="22"/>
          <w:lang w:val="sr-Latn-ME"/>
        </w:rPr>
      </w:pPr>
      <w:r w:rsidRPr="00247402">
        <w:rPr>
          <w:szCs w:val="22"/>
          <w:lang w:val="sr-Latn-ME"/>
        </w:rPr>
        <w:t>Jul, 2025. godine</w:t>
      </w:r>
    </w:p>
    <w:p w14:paraId="19C234AE" w14:textId="77777777" w:rsidR="00A415A3" w:rsidRPr="00247402" w:rsidRDefault="00A415A3" w:rsidP="007A23EB">
      <w:pPr>
        <w:tabs>
          <w:tab w:val="left" w:pos="550"/>
        </w:tabs>
        <w:jc w:val="both"/>
        <w:rPr>
          <w:bCs/>
          <w:szCs w:val="22"/>
          <w:lang w:val="sr-Latn-ME"/>
        </w:rPr>
      </w:pPr>
    </w:p>
    <w:bookmarkEnd w:id="0"/>
    <w:p w14:paraId="6A617EF6" w14:textId="77777777" w:rsidR="007A23EB" w:rsidRPr="007A23EB" w:rsidRDefault="007A23EB">
      <w:pPr>
        <w:tabs>
          <w:tab w:val="left" w:pos="550"/>
        </w:tabs>
        <w:jc w:val="both"/>
        <w:rPr>
          <w:bCs/>
          <w:szCs w:val="22"/>
          <w:lang w:val="sr-Latn-ME"/>
        </w:rPr>
      </w:pPr>
    </w:p>
    <w:sectPr w:rsidR="007A23EB" w:rsidRPr="007A23EB" w:rsidSect="00EE5B57">
      <w:headerReference w:type="even" r:id="rId11"/>
      <w:footerReference w:type="even" r:id="rId12"/>
      <w:footerReference w:type="default" r:id="rId13"/>
      <w:headerReference w:type="first" r:id="rId14"/>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524DC" w14:textId="77777777" w:rsidR="00821502" w:rsidRDefault="00821502">
      <w:r>
        <w:separator/>
      </w:r>
    </w:p>
  </w:endnote>
  <w:endnote w:type="continuationSeparator" w:id="0">
    <w:p w14:paraId="3A4AB5C4" w14:textId="77777777" w:rsidR="00821502" w:rsidRDefault="0082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79ABA" w14:textId="77777777" w:rsidR="00A415A3" w:rsidRDefault="00A415A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7A989" w14:textId="77777777" w:rsidR="00A415A3" w:rsidRDefault="00A415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567259"/>
      <w:docPartObj>
        <w:docPartGallery w:val="Page Numbers (Bottom of Page)"/>
        <w:docPartUnique/>
      </w:docPartObj>
    </w:sdtPr>
    <w:sdtEndPr>
      <w:rPr>
        <w:noProof/>
      </w:rPr>
    </w:sdtEndPr>
    <w:sdtContent>
      <w:p w14:paraId="7FE001E9" w14:textId="0936A62E" w:rsidR="007A23EB" w:rsidRPr="00E800CB" w:rsidRDefault="007A23EB" w:rsidP="007A23EB">
        <w:pPr>
          <w:pStyle w:val="Footer"/>
          <w:tabs>
            <w:tab w:val="left" w:pos="5448"/>
          </w:tabs>
          <w:spacing w:before="360"/>
          <w:jc w:val="center"/>
          <w:rPr>
            <w:szCs w:val="22"/>
          </w:rPr>
        </w:pPr>
        <w:r w:rsidRPr="00E800CB">
          <w:rPr>
            <w:szCs w:val="22"/>
          </w:rPr>
          <w:fldChar w:fldCharType="begin"/>
        </w:r>
        <w:r w:rsidRPr="00E800CB">
          <w:rPr>
            <w:szCs w:val="22"/>
          </w:rPr>
          <w:instrText xml:space="preserve"> PAGE </w:instrText>
        </w:r>
        <w:r w:rsidRPr="00E800CB">
          <w:rPr>
            <w:szCs w:val="22"/>
          </w:rPr>
          <w:fldChar w:fldCharType="separate"/>
        </w:r>
        <w:r w:rsidR="00247402">
          <w:rPr>
            <w:noProof/>
            <w:szCs w:val="22"/>
          </w:rPr>
          <w:t>4</w:t>
        </w:r>
        <w:r w:rsidRPr="00E800CB">
          <w:rPr>
            <w:szCs w:val="22"/>
          </w:rPr>
          <w:fldChar w:fldCharType="end"/>
        </w:r>
        <w:r w:rsidRPr="00E800CB">
          <w:rPr>
            <w:szCs w:val="22"/>
          </w:rPr>
          <w:t xml:space="preserve"> </w:t>
        </w:r>
        <w:r w:rsidRPr="00E800CB">
          <w:rPr>
            <w:szCs w:val="22"/>
            <w:lang w:val="sr-Latn-RS"/>
          </w:rPr>
          <w:t>/</w:t>
        </w:r>
        <w:r w:rsidRPr="00E800CB">
          <w:rPr>
            <w:szCs w:val="22"/>
          </w:rPr>
          <w:t xml:space="preserve"> </w:t>
        </w:r>
        <w:r w:rsidRPr="00E800CB">
          <w:rPr>
            <w:szCs w:val="22"/>
          </w:rPr>
          <w:fldChar w:fldCharType="begin"/>
        </w:r>
        <w:r w:rsidRPr="00E800CB">
          <w:rPr>
            <w:szCs w:val="22"/>
          </w:rPr>
          <w:instrText xml:space="preserve"> NUMPAGES  </w:instrText>
        </w:r>
        <w:r w:rsidRPr="00E800CB">
          <w:rPr>
            <w:szCs w:val="22"/>
          </w:rPr>
          <w:fldChar w:fldCharType="separate"/>
        </w:r>
        <w:r w:rsidR="00247402">
          <w:rPr>
            <w:noProof/>
            <w:szCs w:val="22"/>
          </w:rPr>
          <w:t>5</w:t>
        </w:r>
        <w:r w:rsidRPr="00E800CB">
          <w:rPr>
            <w:szCs w:val="22"/>
          </w:rPr>
          <w:fldChar w:fldCharType="end"/>
        </w:r>
      </w:p>
      <w:p w14:paraId="5404C795" w14:textId="014E46F9" w:rsidR="00A415A3" w:rsidRPr="00C536C2" w:rsidRDefault="00821502" w:rsidP="00FB3624">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52F32" w14:textId="77777777" w:rsidR="00821502" w:rsidRDefault="00821502">
      <w:r>
        <w:separator/>
      </w:r>
    </w:p>
  </w:footnote>
  <w:footnote w:type="continuationSeparator" w:id="0">
    <w:p w14:paraId="3DACECB5" w14:textId="77777777" w:rsidR="00821502" w:rsidRDefault="00821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33D1" w14:textId="35A02BC8" w:rsidR="002D40B6" w:rsidRDefault="002D40B6">
    <w:pPr>
      <w:pStyle w:val="Header"/>
    </w:pPr>
    <w:r>
      <w:rPr>
        <w:noProof/>
      </w:rPr>
      <mc:AlternateContent>
        <mc:Choice Requires="wps">
          <w:drawing>
            <wp:anchor distT="0" distB="0" distL="0" distR="0" simplePos="0" relativeHeight="251659264" behindDoc="0" locked="0" layoutInCell="1" allowOverlap="1" wp14:anchorId="5CBC58C4" wp14:editId="69E388C5">
              <wp:simplePos x="635" y="635"/>
              <wp:positionH relativeFrom="page">
                <wp:align>right</wp:align>
              </wp:positionH>
              <wp:positionV relativeFrom="page">
                <wp:align>top</wp:align>
              </wp:positionV>
              <wp:extent cx="443865" cy="443865"/>
              <wp:effectExtent l="0" t="0" r="0" b="635"/>
              <wp:wrapNone/>
              <wp:docPr id="1368657680"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4482C" w14:textId="73E1709C" w:rsidR="002D40B6" w:rsidRPr="002D40B6" w:rsidRDefault="002D40B6" w:rsidP="002D40B6">
                          <w:pPr>
                            <w:rPr>
                              <w:rFonts w:ascii="Calibri" w:eastAsia="Calibri" w:hAnsi="Calibri" w:cs="Calibri"/>
                              <w:noProof/>
                              <w:color w:val="008000"/>
                              <w:szCs w:val="22"/>
                            </w:rPr>
                          </w:pPr>
                          <w:r w:rsidRPr="002D40B6">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BC58C4" id="_x0000_t202" coordsize="21600,21600" o:spt="202" path="m,l,21600r21600,l21600,xe">
              <v:stroke joinstyle="miter"/>
              <v:path gradientshapeok="t" o:connecttype="rect"/>
            </v:shapetype>
            <v:shape id="Text Box 2" o:spid="_x0000_s1026" type="#_x0000_t202" alt="Interno_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" filled="f" stroked="f">
              <v:textbox style="mso-fit-shape-to-text:t" inset="0,15pt,20pt,0">
                <w:txbxContent>
                  <w:p w14:paraId="1DD4482C" w14:textId="73E1709C" w:rsidR="002D40B6" w:rsidRPr="002D40B6" w:rsidRDefault="002D40B6" w:rsidP="002D40B6">
                    <w:pPr>
                      <w:rPr>
                        <w:rFonts w:ascii="Calibri" w:eastAsia="Calibri" w:hAnsi="Calibri" w:cs="Calibri"/>
                        <w:noProof/>
                        <w:color w:val="008000"/>
                        <w:szCs w:val="22"/>
                      </w:rPr>
                    </w:pPr>
                    <w:r w:rsidRPr="002D40B6">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7583" w14:textId="06738BE7" w:rsidR="002D40B6" w:rsidRDefault="002D40B6">
    <w:pPr>
      <w:pStyle w:val="Header"/>
    </w:pPr>
    <w:r>
      <w:rPr>
        <w:noProof/>
      </w:rPr>
      <mc:AlternateContent>
        <mc:Choice Requires="wps">
          <w:drawing>
            <wp:anchor distT="0" distB="0" distL="0" distR="0" simplePos="0" relativeHeight="251658240" behindDoc="0" locked="0" layoutInCell="1" allowOverlap="1" wp14:anchorId="19CAD57E" wp14:editId="4D3E47D4">
              <wp:simplePos x="635" y="635"/>
              <wp:positionH relativeFrom="page">
                <wp:align>right</wp:align>
              </wp:positionH>
              <wp:positionV relativeFrom="page">
                <wp:align>top</wp:align>
              </wp:positionV>
              <wp:extent cx="443865" cy="443865"/>
              <wp:effectExtent l="0" t="0" r="0" b="635"/>
              <wp:wrapNone/>
              <wp:docPr id="1387481795"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76835D" w14:textId="429A493F" w:rsidR="002D40B6" w:rsidRPr="002D40B6" w:rsidRDefault="002D40B6" w:rsidP="002D40B6">
                          <w:pPr>
                            <w:rPr>
                              <w:rFonts w:ascii="Calibri" w:eastAsia="Calibri" w:hAnsi="Calibri" w:cs="Calibri"/>
                              <w:noProof/>
                              <w:color w:val="008000"/>
                              <w:szCs w:val="22"/>
                            </w:rPr>
                          </w:pPr>
                          <w:r w:rsidRPr="002D40B6">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CAD57E" id="_x0000_t202" coordsize="21600,21600" o:spt="202" path="m,l,21600r21600,l21600,xe">
              <v:stroke joinstyle="miter"/>
              <v:path gradientshapeok="t" o:connecttype="rect"/>
            </v:shapetype>
            <v:shape id="Text Box 1" o:spid="_x0000_s1027" type="#_x0000_t202" alt="Interno_Intern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" filled="f" stroked="f">
              <v:textbox style="mso-fit-shape-to-text:t" inset="0,15pt,20pt,0">
                <w:txbxContent>
                  <w:p w14:paraId="2976835D" w14:textId="429A493F" w:rsidR="002D40B6" w:rsidRPr="002D40B6" w:rsidRDefault="002D40B6" w:rsidP="002D40B6">
                    <w:pPr>
                      <w:rPr>
                        <w:rFonts w:ascii="Calibri" w:eastAsia="Calibri" w:hAnsi="Calibri" w:cs="Calibri"/>
                        <w:noProof/>
                        <w:color w:val="008000"/>
                        <w:szCs w:val="22"/>
                      </w:rPr>
                    </w:pPr>
                    <w:r w:rsidRPr="002D40B6">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D824B8F"/>
    <w:multiLevelType w:val="hybridMultilevel"/>
    <w:tmpl w:val="D5DCD4B4"/>
    <w:lvl w:ilvl="0" w:tplc="0FA80FE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956A3"/>
    <w:multiLevelType w:val="hybridMultilevel"/>
    <w:tmpl w:val="F8B4A2E4"/>
    <w:lvl w:ilvl="0" w:tplc="28A6F5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F0F89"/>
    <w:multiLevelType w:val="hybridMultilevel"/>
    <w:tmpl w:val="569613E2"/>
    <w:lvl w:ilvl="0" w:tplc="28A6F5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9268C0"/>
    <w:multiLevelType w:val="hybridMultilevel"/>
    <w:tmpl w:val="6D0C0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7801"/>
    <w:rsid w:val="000436D2"/>
    <w:rsid w:val="0005798D"/>
    <w:rsid w:val="00061A5B"/>
    <w:rsid w:val="00064273"/>
    <w:rsid w:val="0006502A"/>
    <w:rsid w:val="000732A4"/>
    <w:rsid w:val="00076FC2"/>
    <w:rsid w:val="00077EC3"/>
    <w:rsid w:val="00081CF7"/>
    <w:rsid w:val="00083BE0"/>
    <w:rsid w:val="00095FB6"/>
    <w:rsid w:val="0009758B"/>
    <w:rsid w:val="000A0F4A"/>
    <w:rsid w:val="000B3F7A"/>
    <w:rsid w:val="000C3525"/>
    <w:rsid w:val="000D339E"/>
    <w:rsid w:val="000D5631"/>
    <w:rsid w:val="000E255C"/>
    <w:rsid w:val="000E2A52"/>
    <w:rsid w:val="000E59C4"/>
    <w:rsid w:val="000E75A1"/>
    <w:rsid w:val="000E75C0"/>
    <w:rsid w:val="001161D2"/>
    <w:rsid w:val="001166FD"/>
    <w:rsid w:val="001223C3"/>
    <w:rsid w:val="00126ED2"/>
    <w:rsid w:val="00127F43"/>
    <w:rsid w:val="00141639"/>
    <w:rsid w:val="0014180A"/>
    <w:rsid w:val="001423C2"/>
    <w:rsid w:val="00153BED"/>
    <w:rsid w:val="00153C01"/>
    <w:rsid w:val="00155575"/>
    <w:rsid w:val="001734ED"/>
    <w:rsid w:val="00173D18"/>
    <w:rsid w:val="00174542"/>
    <w:rsid w:val="00175772"/>
    <w:rsid w:val="00175A7E"/>
    <w:rsid w:val="001775B2"/>
    <w:rsid w:val="0018160A"/>
    <w:rsid w:val="0018601D"/>
    <w:rsid w:val="00186CFF"/>
    <w:rsid w:val="001A1D70"/>
    <w:rsid w:val="001B3028"/>
    <w:rsid w:val="001B706A"/>
    <w:rsid w:val="001C4369"/>
    <w:rsid w:val="001C502A"/>
    <w:rsid w:val="001D10C9"/>
    <w:rsid w:val="001E0A07"/>
    <w:rsid w:val="001E5239"/>
    <w:rsid w:val="001E6145"/>
    <w:rsid w:val="001E6A34"/>
    <w:rsid w:val="001F2D4E"/>
    <w:rsid w:val="001F39B6"/>
    <w:rsid w:val="00220CDA"/>
    <w:rsid w:val="0022218E"/>
    <w:rsid w:val="0022223A"/>
    <w:rsid w:val="0024132F"/>
    <w:rsid w:val="00242DCD"/>
    <w:rsid w:val="00247402"/>
    <w:rsid w:val="00247C5C"/>
    <w:rsid w:val="00250621"/>
    <w:rsid w:val="002511DA"/>
    <w:rsid w:val="00273BE0"/>
    <w:rsid w:val="00274355"/>
    <w:rsid w:val="00293192"/>
    <w:rsid w:val="00295059"/>
    <w:rsid w:val="002963DB"/>
    <w:rsid w:val="002A6D68"/>
    <w:rsid w:val="002B6F6A"/>
    <w:rsid w:val="002C0FBF"/>
    <w:rsid w:val="002D10DA"/>
    <w:rsid w:val="002D40B6"/>
    <w:rsid w:val="002F4175"/>
    <w:rsid w:val="002F5E2F"/>
    <w:rsid w:val="00312903"/>
    <w:rsid w:val="00316FC0"/>
    <w:rsid w:val="00323C2E"/>
    <w:rsid w:val="00333D57"/>
    <w:rsid w:val="003452C0"/>
    <w:rsid w:val="0035636B"/>
    <w:rsid w:val="0036241C"/>
    <w:rsid w:val="003748B6"/>
    <w:rsid w:val="003829FC"/>
    <w:rsid w:val="00383195"/>
    <w:rsid w:val="003A2DF8"/>
    <w:rsid w:val="003A562F"/>
    <w:rsid w:val="003B2082"/>
    <w:rsid w:val="003B6262"/>
    <w:rsid w:val="003B697E"/>
    <w:rsid w:val="003C18A4"/>
    <w:rsid w:val="003D6625"/>
    <w:rsid w:val="003E3EC7"/>
    <w:rsid w:val="0040000F"/>
    <w:rsid w:val="00404FAF"/>
    <w:rsid w:val="004123CD"/>
    <w:rsid w:val="00414049"/>
    <w:rsid w:val="004234ED"/>
    <w:rsid w:val="00427D41"/>
    <w:rsid w:val="00442EA4"/>
    <w:rsid w:val="00462C33"/>
    <w:rsid w:val="00467052"/>
    <w:rsid w:val="004801C3"/>
    <w:rsid w:val="00492248"/>
    <w:rsid w:val="00495DC5"/>
    <w:rsid w:val="00497648"/>
    <w:rsid w:val="004A233C"/>
    <w:rsid w:val="004A5599"/>
    <w:rsid w:val="004A7403"/>
    <w:rsid w:val="004B5A11"/>
    <w:rsid w:val="004B7A50"/>
    <w:rsid w:val="004C1215"/>
    <w:rsid w:val="004C7E28"/>
    <w:rsid w:val="004D230F"/>
    <w:rsid w:val="004E2D79"/>
    <w:rsid w:val="004F323A"/>
    <w:rsid w:val="004F5597"/>
    <w:rsid w:val="00503974"/>
    <w:rsid w:val="0051476D"/>
    <w:rsid w:val="0052230B"/>
    <w:rsid w:val="00525A8A"/>
    <w:rsid w:val="005276F0"/>
    <w:rsid w:val="00530909"/>
    <w:rsid w:val="005466EB"/>
    <w:rsid w:val="00563EF4"/>
    <w:rsid w:val="00596433"/>
    <w:rsid w:val="005A0602"/>
    <w:rsid w:val="005A2FB8"/>
    <w:rsid w:val="005A4234"/>
    <w:rsid w:val="005B3388"/>
    <w:rsid w:val="005C1F1F"/>
    <w:rsid w:val="005C3F73"/>
    <w:rsid w:val="005C7891"/>
    <w:rsid w:val="005D1D42"/>
    <w:rsid w:val="00601BF7"/>
    <w:rsid w:val="00603302"/>
    <w:rsid w:val="00604E4F"/>
    <w:rsid w:val="006054EE"/>
    <w:rsid w:val="00605F85"/>
    <w:rsid w:val="006118B6"/>
    <w:rsid w:val="0061628C"/>
    <w:rsid w:val="006270C0"/>
    <w:rsid w:val="00630195"/>
    <w:rsid w:val="00645B9B"/>
    <w:rsid w:val="00650812"/>
    <w:rsid w:val="006559AF"/>
    <w:rsid w:val="00660ED5"/>
    <w:rsid w:val="0066798B"/>
    <w:rsid w:val="00674BF6"/>
    <w:rsid w:val="00675844"/>
    <w:rsid w:val="00677A6D"/>
    <w:rsid w:val="006914EA"/>
    <w:rsid w:val="00693874"/>
    <w:rsid w:val="00693A12"/>
    <w:rsid w:val="00693F46"/>
    <w:rsid w:val="00694927"/>
    <w:rsid w:val="006C16A9"/>
    <w:rsid w:val="006C1F60"/>
    <w:rsid w:val="006E26E1"/>
    <w:rsid w:val="006E660D"/>
    <w:rsid w:val="006F158F"/>
    <w:rsid w:val="006F4EDF"/>
    <w:rsid w:val="006F751B"/>
    <w:rsid w:val="0070288D"/>
    <w:rsid w:val="00707137"/>
    <w:rsid w:val="00707688"/>
    <w:rsid w:val="007308F0"/>
    <w:rsid w:val="00730DFD"/>
    <w:rsid w:val="00750ACE"/>
    <w:rsid w:val="00764648"/>
    <w:rsid w:val="007672F3"/>
    <w:rsid w:val="00772415"/>
    <w:rsid w:val="00782957"/>
    <w:rsid w:val="00784406"/>
    <w:rsid w:val="007878F9"/>
    <w:rsid w:val="007A0959"/>
    <w:rsid w:val="007A23EB"/>
    <w:rsid w:val="007B16C4"/>
    <w:rsid w:val="007C2D7E"/>
    <w:rsid w:val="007D17FD"/>
    <w:rsid w:val="007D48C5"/>
    <w:rsid w:val="007E06F0"/>
    <w:rsid w:val="007E6BEC"/>
    <w:rsid w:val="00802DFC"/>
    <w:rsid w:val="008137B8"/>
    <w:rsid w:val="00814781"/>
    <w:rsid w:val="00821502"/>
    <w:rsid w:val="008241D5"/>
    <w:rsid w:val="00834DBB"/>
    <w:rsid w:val="00836171"/>
    <w:rsid w:val="00842FFB"/>
    <w:rsid w:val="008566F3"/>
    <w:rsid w:val="0086351A"/>
    <w:rsid w:val="00874B61"/>
    <w:rsid w:val="00880E48"/>
    <w:rsid w:val="008A48B7"/>
    <w:rsid w:val="008B3EB5"/>
    <w:rsid w:val="008C230B"/>
    <w:rsid w:val="008C5809"/>
    <w:rsid w:val="008D78C9"/>
    <w:rsid w:val="008E0FC9"/>
    <w:rsid w:val="008F7D7C"/>
    <w:rsid w:val="00913684"/>
    <w:rsid w:val="0091376D"/>
    <w:rsid w:val="009215E6"/>
    <w:rsid w:val="00923865"/>
    <w:rsid w:val="0093016E"/>
    <w:rsid w:val="00934B4D"/>
    <w:rsid w:val="00950633"/>
    <w:rsid w:val="00955C75"/>
    <w:rsid w:val="00967548"/>
    <w:rsid w:val="009677DF"/>
    <w:rsid w:val="00990D86"/>
    <w:rsid w:val="009946F8"/>
    <w:rsid w:val="00996E6B"/>
    <w:rsid w:val="009A1D64"/>
    <w:rsid w:val="009B1292"/>
    <w:rsid w:val="009B2430"/>
    <w:rsid w:val="009B338B"/>
    <w:rsid w:val="009B5767"/>
    <w:rsid w:val="009B58AD"/>
    <w:rsid w:val="009B7935"/>
    <w:rsid w:val="009C0E53"/>
    <w:rsid w:val="009C7BA2"/>
    <w:rsid w:val="009D1161"/>
    <w:rsid w:val="009D4A29"/>
    <w:rsid w:val="009D667B"/>
    <w:rsid w:val="009F4449"/>
    <w:rsid w:val="009F6234"/>
    <w:rsid w:val="00A02252"/>
    <w:rsid w:val="00A127F1"/>
    <w:rsid w:val="00A1485D"/>
    <w:rsid w:val="00A2149B"/>
    <w:rsid w:val="00A22047"/>
    <w:rsid w:val="00A27130"/>
    <w:rsid w:val="00A415A3"/>
    <w:rsid w:val="00A51972"/>
    <w:rsid w:val="00A549E0"/>
    <w:rsid w:val="00A644CF"/>
    <w:rsid w:val="00A7147C"/>
    <w:rsid w:val="00A7660B"/>
    <w:rsid w:val="00A81B47"/>
    <w:rsid w:val="00A86897"/>
    <w:rsid w:val="00A95733"/>
    <w:rsid w:val="00AB5465"/>
    <w:rsid w:val="00AE5AFA"/>
    <w:rsid w:val="00AF3DF3"/>
    <w:rsid w:val="00B15A56"/>
    <w:rsid w:val="00B23EDA"/>
    <w:rsid w:val="00B26FAC"/>
    <w:rsid w:val="00B31AA2"/>
    <w:rsid w:val="00B3660E"/>
    <w:rsid w:val="00B36D50"/>
    <w:rsid w:val="00B438EB"/>
    <w:rsid w:val="00B468F5"/>
    <w:rsid w:val="00B56F31"/>
    <w:rsid w:val="00B74C0B"/>
    <w:rsid w:val="00B80E01"/>
    <w:rsid w:val="00B8400D"/>
    <w:rsid w:val="00B84C2C"/>
    <w:rsid w:val="00B86313"/>
    <w:rsid w:val="00B93A37"/>
    <w:rsid w:val="00BA1819"/>
    <w:rsid w:val="00BA4CAD"/>
    <w:rsid w:val="00BA5A22"/>
    <w:rsid w:val="00BA7585"/>
    <w:rsid w:val="00BB55E5"/>
    <w:rsid w:val="00BC49FF"/>
    <w:rsid w:val="00BD0A07"/>
    <w:rsid w:val="00BD21D7"/>
    <w:rsid w:val="00BD6DF2"/>
    <w:rsid w:val="00BD725A"/>
    <w:rsid w:val="00BE0374"/>
    <w:rsid w:val="00BF193A"/>
    <w:rsid w:val="00BF3750"/>
    <w:rsid w:val="00BF41D4"/>
    <w:rsid w:val="00C06244"/>
    <w:rsid w:val="00C150A0"/>
    <w:rsid w:val="00C155AA"/>
    <w:rsid w:val="00C2538D"/>
    <w:rsid w:val="00C536C2"/>
    <w:rsid w:val="00C55F47"/>
    <w:rsid w:val="00C567C3"/>
    <w:rsid w:val="00C56E2E"/>
    <w:rsid w:val="00C605CF"/>
    <w:rsid w:val="00C64A31"/>
    <w:rsid w:val="00C708F1"/>
    <w:rsid w:val="00C82E8B"/>
    <w:rsid w:val="00C863D2"/>
    <w:rsid w:val="00CC4C88"/>
    <w:rsid w:val="00CD0B1F"/>
    <w:rsid w:val="00CD3F96"/>
    <w:rsid w:val="00CE09F3"/>
    <w:rsid w:val="00CE22D9"/>
    <w:rsid w:val="00CE47A3"/>
    <w:rsid w:val="00CE76DA"/>
    <w:rsid w:val="00CE771C"/>
    <w:rsid w:val="00D0357A"/>
    <w:rsid w:val="00D03E71"/>
    <w:rsid w:val="00D11E94"/>
    <w:rsid w:val="00D17E0E"/>
    <w:rsid w:val="00D242C8"/>
    <w:rsid w:val="00D26B28"/>
    <w:rsid w:val="00D30389"/>
    <w:rsid w:val="00D33357"/>
    <w:rsid w:val="00D337F6"/>
    <w:rsid w:val="00D469B8"/>
    <w:rsid w:val="00D52CDB"/>
    <w:rsid w:val="00D54B98"/>
    <w:rsid w:val="00D61710"/>
    <w:rsid w:val="00D61D9B"/>
    <w:rsid w:val="00D62CB1"/>
    <w:rsid w:val="00D6611E"/>
    <w:rsid w:val="00D729E9"/>
    <w:rsid w:val="00D81685"/>
    <w:rsid w:val="00D85F37"/>
    <w:rsid w:val="00D93393"/>
    <w:rsid w:val="00DB4534"/>
    <w:rsid w:val="00DD15BF"/>
    <w:rsid w:val="00DD2A82"/>
    <w:rsid w:val="00DD7926"/>
    <w:rsid w:val="00DE10F7"/>
    <w:rsid w:val="00DF46E4"/>
    <w:rsid w:val="00E00516"/>
    <w:rsid w:val="00E04538"/>
    <w:rsid w:val="00E04856"/>
    <w:rsid w:val="00E14266"/>
    <w:rsid w:val="00E20D74"/>
    <w:rsid w:val="00E25261"/>
    <w:rsid w:val="00E357CD"/>
    <w:rsid w:val="00E35BA6"/>
    <w:rsid w:val="00E50235"/>
    <w:rsid w:val="00E50CD3"/>
    <w:rsid w:val="00E50F1E"/>
    <w:rsid w:val="00E56089"/>
    <w:rsid w:val="00E73332"/>
    <w:rsid w:val="00E74BCB"/>
    <w:rsid w:val="00E87BE1"/>
    <w:rsid w:val="00EA020F"/>
    <w:rsid w:val="00EA1F85"/>
    <w:rsid w:val="00EA29A1"/>
    <w:rsid w:val="00EA3076"/>
    <w:rsid w:val="00EC049D"/>
    <w:rsid w:val="00EC5610"/>
    <w:rsid w:val="00EC7785"/>
    <w:rsid w:val="00ED0BD6"/>
    <w:rsid w:val="00ED0C25"/>
    <w:rsid w:val="00ED4585"/>
    <w:rsid w:val="00ED72F0"/>
    <w:rsid w:val="00ED735F"/>
    <w:rsid w:val="00EE0790"/>
    <w:rsid w:val="00EE5B57"/>
    <w:rsid w:val="00EE7F37"/>
    <w:rsid w:val="00EF6570"/>
    <w:rsid w:val="00F16BDA"/>
    <w:rsid w:val="00F40D81"/>
    <w:rsid w:val="00F42610"/>
    <w:rsid w:val="00F561E5"/>
    <w:rsid w:val="00F5775F"/>
    <w:rsid w:val="00F63F24"/>
    <w:rsid w:val="00F9241A"/>
    <w:rsid w:val="00FB2161"/>
    <w:rsid w:val="00FB3624"/>
    <w:rsid w:val="00FF0D13"/>
    <w:rsid w:val="00FF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A2EF31"/>
  <w15:docId w15:val="{56D16479-2993-45CF-9F8D-9C4EB198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ind w:left="72" w:hanging="72"/>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705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670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670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67052"/>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 Char Char Ch,Char"/>
    <w:basedOn w:val="Normal"/>
    <w:link w:val="HeaderChar2"/>
    <w:rsid w:val="00175A7E"/>
    <w:pPr>
      <w:tabs>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 Char Char Ch Char"/>
    <w:basedOn w:val="DefaultParagraphFont"/>
    <w:semiHidden/>
    <w:rsid w:val="00056814"/>
    <w:rPr>
      <w:szCs w:val="24"/>
    </w:rPr>
  </w:style>
  <w:style w:type="character" w:customStyle="1" w:styleId="HeaderChar12">
    <w:name w:val="Header Char12"/>
    <w:aliases w:val="Header Char1 Char11,Header Char Char Char11,Header Char1 Char Char Char11,Header Char Char Char Char Char11,Char Char Char Char Char Char11,Char Char1 Char Char Char11,Char Char Char Char11,Header Char1 Char Char Char Char Char11"/>
    <w:basedOn w:val="DefaultParagraphFont"/>
    <w:uiPriority w:val="99"/>
    <w:semiHidden/>
    <w:locked/>
    <w:rPr>
      <w:rFonts w:cs="Times New Roman"/>
      <w:sz w:val="24"/>
      <w:szCs w:val="24"/>
    </w:rPr>
  </w:style>
  <w:style w:type="character" w:customStyle="1" w:styleId="HeaderChar11">
    <w:name w:val="Header Char11"/>
    <w:aliases w:val="Header Char1 Char10,Header Char Char Char10,Header Char1 Char Char Char10,Header Char Char Char Char Char10,Char Char Char Char Char Char10,Char Char1 Char Char Char10,Char Char Char Char10,Header Char1 Char Char Char Char Char10"/>
    <w:basedOn w:val="DefaultParagraphFont"/>
    <w:uiPriority w:val="99"/>
    <w:semiHidden/>
    <w:locked/>
    <w:rsid w:val="00C155AA"/>
    <w:rPr>
      <w:rFonts w:cs="Times New Roman"/>
      <w:sz w:val="24"/>
      <w:szCs w:val="24"/>
    </w:rPr>
  </w:style>
  <w:style w:type="character" w:customStyle="1" w:styleId="HeaderChar10">
    <w:name w:val="Header Char10"/>
    <w:aliases w:val="Header Char1 Char9,Header Char Char Char9,Header Char1 Char Char Char9,Header Char Char Char Char Char9,Char Char Char Char Char Char9,Char Char1 Char Char Char9,Char Char Char Char9,Header Char1 Char Char Char Char Char9"/>
    <w:basedOn w:val="DefaultParagraphFont"/>
    <w:uiPriority w:val="99"/>
    <w:semiHidden/>
    <w:locked/>
    <w:rsid w:val="003B6262"/>
    <w:rPr>
      <w:rFonts w:cs="Times New Roman"/>
      <w:sz w:val="24"/>
      <w:szCs w:val="24"/>
    </w:rPr>
  </w:style>
  <w:style w:type="character" w:customStyle="1" w:styleId="HeaderChar9">
    <w:name w:val="Header Char9"/>
    <w:aliases w:val="Header Char1 Char8,Header Char Char Char8,Header Char1 Char Char Char8,Header Char Char Char Char Char8,Char Char Char Char Char Char8,Char Char1 Char Char Char8,Char Char Char Char8,Header Char1 Char Char Char Char Char8"/>
    <w:basedOn w:val="DefaultParagraphFont"/>
    <w:uiPriority w:val="99"/>
    <w:semiHidden/>
    <w:locked/>
    <w:rsid w:val="000C3525"/>
    <w:rPr>
      <w:rFonts w:cs="Times New Roman"/>
      <w:sz w:val="24"/>
      <w:szCs w:val="24"/>
    </w:rPr>
  </w:style>
  <w:style w:type="character" w:customStyle="1" w:styleId="HeaderChar8">
    <w:name w:val="Header Char8"/>
    <w:aliases w:val="Header Char1 Char7,Header Char Char Char7,Header Char1 Char Char Char7,Header Char Char Char Char Char7,Char Char Char Char Char Char7,Char Char1 Char Char Char7,Char Char Char Char7,Header Char1 Char Char Char Char Char7"/>
    <w:basedOn w:val="DefaultParagraphFont"/>
    <w:uiPriority w:val="99"/>
    <w:semiHidden/>
    <w:locked/>
    <w:rsid w:val="005A0602"/>
    <w:rPr>
      <w:rFonts w:cs="Times New Roman"/>
      <w:sz w:val="24"/>
      <w:szCs w:val="24"/>
    </w:rPr>
  </w:style>
  <w:style w:type="character" w:customStyle="1" w:styleId="HeaderChar7">
    <w:name w:val="Header Char7"/>
    <w:aliases w:val="Header Char1 Char6,Header Char Char Char6,Header Char1 Char Char Char6,Header Char Char Char Char Char6,Char Char Char Char Char Char6,Char Char1 Char Char Char6,Char Char Char Char6,Header Char1 Char Char Char Char Char6"/>
    <w:basedOn w:val="DefaultParagraphFont"/>
    <w:uiPriority w:val="99"/>
    <w:semiHidden/>
    <w:locked/>
    <w:rsid w:val="000D339E"/>
    <w:rPr>
      <w:rFonts w:cs="Times New Roman"/>
      <w:sz w:val="24"/>
      <w:szCs w:val="24"/>
    </w:rPr>
  </w:style>
  <w:style w:type="character" w:customStyle="1" w:styleId="HeaderChar6">
    <w:name w:val="Header Char6"/>
    <w:aliases w:val="Header Char1 Char5,Header Char Char Char5,Header Char1 Char Char Char5,Header Char Char Char Char Char5,Char Char Char Char Char Char5,Char Char1 Char Char Char5,Char Char Char Char5,Header Char1 Char Char Char Char Char5"/>
    <w:basedOn w:val="DefaultParagraphFont"/>
    <w:uiPriority w:val="99"/>
    <w:semiHidden/>
    <w:locked/>
    <w:rsid w:val="00EA29A1"/>
    <w:rPr>
      <w:rFonts w:cs="Times New Roman"/>
      <w:sz w:val="24"/>
      <w:szCs w:val="24"/>
    </w:rPr>
  </w:style>
  <w:style w:type="character" w:customStyle="1" w:styleId="HeaderChar5">
    <w:name w:val="Header Char5"/>
    <w:aliases w:val="Header Char1 Char4,Header Char Char Char4,Header Char1 Char Char Char4,Header Char Char Char Char Char4,Char Char Char Char Char Char4,Char Char1 Char Char Char4,Char Char Char Char4,Header Char1 Char Char Char Char Char4"/>
    <w:basedOn w:val="DefaultParagraphFont"/>
    <w:uiPriority w:val="99"/>
    <w:semiHidden/>
    <w:locked/>
    <w:rsid w:val="004F323A"/>
    <w:rPr>
      <w:rFonts w:cs="Times New Roman"/>
      <w:sz w:val="24"/>
      <w:szCs w:val="24"/>
    </w:rPr>
  </w:style>
  <w:style w:type="character" w:customStyle="1" w:styleId="HeaderChar4">
    <w:name w:val="Header Char4"/>
    <w:aliases w:val="Header Char1 Char3,Header Char Char Char3,Header Char1 Char Char Char3,Header Char Char Char Char Char3,Char Char Char Char Char Char3,Char Char1 Char Char Char3,Char Char Char Char3,Header Char1 Char Char Char Char Char3"/>
    <w:basedOn w:val="DefaultParagraphFont"/>
    <w:uiPriority w:val="99"/>
    <w:semiHidden/>
    <w:locked/>
    <w:rsid w:val="00BE0374"/>
    <w:rPr>
      <w:rFonts w:cs="Times New Roman"/>
      <w:sz w:val="24"/>
      <w:szCs w:val="24"/>
    </w:rPr>
  </w:style>
  <w:style w:type="character" w:customStyle="1" w:styleId="HeaderChar3">
    <w:name w:val="Header Char3"/>
    <w:aliases w:val="Header Char1 Char2,Header Char Char Char2,Header Char1 Char Char Char2,Header Char Char Char Char Char2,Char Char Char Char Char Char2,Char Char1 Char Char Char2,Char Char Char Char2,Header Char1 Char Char Char Char Char2"/>
    <w:basedOn w:val="DefaultParagraphFont"/>
    <w:uiPriority w:val="99"/>
    <w:semiHidden/>
    <w:locked/>
    <w:rsid w:val="00D242C8"/>
    <w:rPr>
      <w:rFonts w:cs="Times New Roman"/>
      <w:sz w:val="24"/>
      <w:szCs w:val="24"/>
    </w:rPr>
  </w:style>
  <w:style w:type="character" w:customStyle="1" w:styleId="HeaderChar2">
    <w:name w:val="Header Char2"/>
    <w:aliases w:val="Header Char1 Char1,Header Char Char Char1,Header Char1 Char Char Char1,Header Char Char Char Char Char1,Char Char Char Char Char Char1,Char Char1 Char Char Char1,Char Char Char Char1,Header Char1 Char Char Char Char Char1,Char Char"/>
    <w:basedOn w:val="DefaultParagraphFont"/>
    <w:link w:val="Header"/>
    <w:uiPriority w:val="99"/>
    <w:semiHidden/>
    <w:locked/>
    <w:rsid w:val="00467052"/>
    <w:rPr>
      <w:rFonts w:cs="Times New Roman"/>
      <w:sz w:val="24"/>
      <w:szCs w:val="24"/>
    </w:rPr>
  </w:style>
  <w:style w:type="paragraph" w:styleId="Footer">
    <w:name w:val="footer"/>
    <w:basedOn w:val="Normal"/>
    <w:link w:val="FooterChar"/>
    <w:rsid w:val="00175A7E"/>
    <w:pPr>
      <w:tabs>
        <w:tab w:val="center" w:pos="4536"/>
        <w:tab w:val="right" w:pos="9072"/>
      </w:tabs>
    </w:pPr>
  </w:style>
  <w:style w:type="character" w:customStyle="1" w:styleId="FooterChar">
    <w:name w:val="Footer Char"/>
    <w:basedOn w:val="DefaultParagraphFont"/>
    <w:link w:val="Footer"/>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locked/>
    <w:rsid w:val="00467052"/>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locked/>
    <w:rsid w:val="00467052"/>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7052"/>
    <w:rPr>
      <w:rFonts w:cs="Times New Roman"/>
      <w:sz w:val="2"/>
    </w:rPr>
  </w:style>
  <w:style w:type="paragraph" w:customStyle="1" w:styleId="NASLOV123">
    <w:name w:val="NASLOV 123"/>
    <w:basedOn w:val="Normal"/>
    <w:uiPriority w:val="99"/>
    <w:rsid w:val="00923865"/>
    <w:pPr>
      <w:spacing w:before="200" w:after="200"/>
    </w:pPr>
    <w:rPr>
      <w:b/>
      <w:szCs w:val="22"/>
    </w:rPr>
  </w:style>
  <w:style w:type="paragraph" w:styleId="NormalWeb">
    <w:name w:val="Normal (Web)"/>
    <w:basedOn w:val="Normal"/>
    <w:uiPriority w:val="99"/>
    <w:rsid w:val="006C1F60"/>
    <w:pPr>
      <w:spacing w:before="100" w:beforeAutospacing="1" w:after="100" w:afterAutospacing="1"/>
    </w:pPr>
    <w:rPr>
      <w:sz w:val="24"/>
    </w:rPr>
  </w:style>
  <w:style w:type="character" w:customStyle="1" w:styleId="apple-converted-space">
    <w:name w:val="apple-converted-space"/>
    <w:basedOn w:val="DefaultParagraphFont"/>
    <w:uiPriority w:val="99"/>
    <w:rsid w:val="006C1F60"/>
    <w:rPr>
      <w:rFonts w:cs="Times New Roman"/>
    </w:rPr>
  </w:style>
  <w:style w:type="character" w:customStyle="1" w:styleId="CharChar1">
    <w:name w:val="Char Char1"/>
    <w:basedOn w:val="DefaultParagraphFont"/>
    <w:uiPriority w:val="99"/>
    <w:locked/>
    <w:rsid w:val="00B80E01"/>
    <w:rPr>
      <w:rFonts w:ascii="Humanist777" w:hAnsi="Humanist777" w:cs="Times New Roman"/>
      <w:sz w:val="24"/>
      <w:szCs w:val="24"/>
    </w:rPr>
  </w:style>
  <w:style w:type="table" w:styleId="TableGrid">
    <w:name w:val="Table Grid"/>
    <w:basedOn w:val="TableNormal"/>
    <w:uiPriority w:val="99"/>
    <w:locked/>
    <w:rsid w:val="00B80E01"/>
    <w:pPr>
      <w:spacing w:after="200" w:line="276"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1972"/>
    <w:rPr>
      <w:sz w:val="24"/>
      <w:szCs w:val="24"/>
    </w:rPr>
  </w:style>
  <w:style w:type="character" w:styleId="Hyperlink">
    <w:name w:val="Hyperlink"/>
    <w:basedOn w:val="DefaultParagraphFont"/>
    <w:rsid w:val="00A51972"/>
    <w:rPr>
      <w:color w:val="0000FF" w:themeColor="hyperlink"/>
      <w:u w:val="single"/>
    </w:rPr>
  </w:style>
  <w:style w:type="paragraph" w:styleId="Revision">
    <w:name w:val="Revision"/>
    <w:hidden/>
    <w:uiPriority w:val="99"/>
    <w:semiHidden/>
    <w:rsid w:val="0006502A"/>
    <w:rPr>
      <w:szCs w:val="24"/>
    </w:rPr>
  </w:style>
  <w:style w:type="paragraph" w:styleId="ListParagraph">
    <w:name w:val="List Paragraph"/>
    <w:basedOn w:val="Normal"/>
    <w:uiPriority w:val="34"/>
    <w:qFormat/>
    <w:rsid w:val="007A2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0202">
      <w:bodyDiv w:val="1"/>
      <w:marLeft w:val="0"/>
      <w:marRight w:val="0"/>
      <w:marTop w:val="0"/>
      <w:marBottom w:val="0"/>
      <w:divBdr>
        <w:top w:val="none" w:sz="0" w:space="0" w:color="auto"/>
        <w:left w:val="none" w:sz="0" w:space="0" w:color="auto"/>
        <w:bottom w:val="none" w:sz="0" w:space="0" w:color="auto"/>
        <w:right w:val="none" w:sz="0" w:space="0" w:color="auto"/>
      </w:divBdr>
    </w:div>
    <w:div w:id="107093672">
      <w:bodyDiv w:val="1"/>
      <w:marLeft w:val="0"/>
      <w:marRight w:val="0"/>
      <w:marTop w:val="0"/>
      <w:marBottom w:val="0"/>
      <w:divBdr>
        <w:top w:val="none" w:sz="0" w:space="0" w:color="auto"/>
        <w:left w:val="none" w:sz="0" w:space="0" w:color="auto"/>
        <w:bottom w:val="none" w:sz="0" w:space="0" w:color="auto"/>
        <w:right w:val="none" w:sz="0" w:space="0" w:color="auto"/>
      </w:divBdr>
    </w:div>
    <w:div w:id="480777516">
      <w:marLeft w:val="0"/>
      <w:marRight w:val="0"/>
      <w:marTop w:val="0"/>
      <w:marBottom w:val="0"/>
      <w:divBdr>
        <w:top w:val="none" w:sz="0" w:space="0" w:color="auto"/>
        <w:left w:val="none" w:sz="0" w:space="0" w:color="auto"/>
        <w:bottom w:val="none" w:sz="0" w:space="0" w:color="auto"/>
        <w:right w:val="none" w:sz="0" w:space="0" w:color="auto"/>
      </w:divBdr>
    </w:div>
    <w:div w:id="70923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14</cp:revision>
  <cp:lastPrinted>2018-05-21T08:23:00Z</cp:lastPrinted>
  <dcterms:created xsi:type="dcterms:W3CDTF">2025-06-02T10:44:00Z</dcterms:created>
  <dcterms:modified xsi:type="dcterms:W3CDTF">2025-07-16T10:15:00Z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52b34ac3,51940f10,7bd45899</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2024-01-26T09:23:03Z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d880fbc0-0151-4482-ba45-eea2730dcf7b</vt:lpwstr>
  </property>
  <property fmtid="{D5CDD505-2E9C-101B-9397-08002B2CF9AE}" pid="11" name="MSIP_Label_80e91ba7-203e-4ac0-a045-4c37ad0b383b_ContentBits">
    <vt:lpwstr>1</vt:lpwstr>
  </property>
</Properties>
</file>