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9DBFA9" w14:textId="77777777" w:rsidR="00E90FE8" w:rsidRPr="00A259FB" w:rsidRDefault="00E90FE8" w:rsidP="00767CD8">
      <w:pPr>
        <w:rPr>
          <w:szCs w:val="22"/>
          <w:lang w:val="sr-Latn-ME"/>
        </w:rPr>
      </w:pPr>
    </w:p>
    <w:p w14:paraId="2A9DBFAA" w14:textId="679354A1" w:rsidR="00E90FE8" w:rsidRPr="00A259FB" w:rsidRDefault="00E90FE8" w:rsidP="00767CD8">
      <w:pPr>
        <w:jc w:val="center"/>
        <w:rPr>
          <w:b/>
          <w:bCs/>
          <w:iCs/>
          <w:szCs w:val="22"/>
          <w:u w:val="single"/>
          <w:lang w:val="sr-Latn-ME"/>
        </w:rPr>
      </w:pPr>
      <w:r w:rsidRPr="00A259FB">
        <w:rPr>
          <w:b/>
          <w:bCs/>
          <w:iCs/>
          <w:szCs w:val="22"/>
          <w:u w:val="single"/>
          <w:lang w:val="sr-Latn-ME"/>
        </w:rPr>
        <w:t>SAŽETAK KARAKTERISTIKA L</w:t>
      </w:r>
      <w:r w:rsidR="00CE5619" w:rsidRPr="00A259FB">
        <w:rPr>
          <w:b/>
          <w:bCs/>
          <w:iCs/>
          <w:szCs w:val="22"/>
          <w:u w:val="single"/>
          <w:lang w:val="sr-Latn-ME"/>
        </w:rPr>
        <w:t>IJ</w:t>
      </w:r>
      <w:r w:rsidRPr="00A259FB">
        <w:rPr>
          <w:b/>
          <w:bCs/>
          <w:iCs/>
          <w:szCs w:val="22"/>
          <w:u w:val="single"/>
          <w:lang w:val="sr-Latn-ME"/>
        </w:rPr>
        <w:t>EKA</w:t>
      </w:r>
    </w:p>
    <w:p w14:paraId="2A9DBFAB" w14:textId="77777777" w:rsidR="00E90FE8" w:rsidRPr="00A259FB" w:rsidRDefault="00E90FE8" w:rsidP="00767CD8">
      <w:pPr>
        <w:rPr>
          <w:szCs w:val="22"/>
          <w:lang w:val="sr-Latn-ME"/>
        </w:rPr>
      </w:pPr>
      <w:r w:rsidRPr="00A259FB">
        <w:rPr>
          <w:szCs w:val="22"/>
          <w:lang w:val="sr-Latn-ME"/>
        </w:rPr>
        <w:t xml:space="preserve"> </w:t>
      </w:r>
    </w:p>
    <w:p w14:paraId="2A9DBFAC" w14:textId="77777777" w:rsidR="00E90FE8" w:rsidRPr="00A259FB" w:rsidRDefault="00E90FE8" w:rsidP="00767CD8">
      <w:pPr>
        <w:rPr>
          <w:szCs w:val="22"/>
          <w:lang w:val="sr-Latn-ME"/>
        </w:rPr>
      </w:pPr>
    </w:p>
    <w:p w14:paraId="2A9DBFAD" w14:textId="7CFEBFD9" w:rsidR="00E90FE8" w:rsidRPr="00A259FB" w:rsidRDefault="00E90FE8" w:rsidP="00767CD8">
      <w:pPr>
        <w:pStyle w:val="NASLOV123"/>
        <w:spacing w:before="0" w:after="0"/>
        <w:jc w:val="both"/>
        <w:rPr>
          <w:lang w:val="sr-Latn-ME"/>
        </w:rPr>
      </w:pPr>
      <w:r w:rsidRPr="00A259FB">
        <w:rPr>
          <w:lang w:val="sr-Latn-ME"/>
        </w:rPr>
        <w:t xml:space="preserve">1. </w:t>
      </w:r>
      <w:r w:rsidR="00CE5619" w:rsidRPr="00A259FB">
        <w:rPr>
          <w:lang w:val="sr-Latn-ME"/>
        </w:rPr>
        <w:t>NAZIV</w:t>
      </w:r>
      <w:r w:rsidRPr="00A259FB">
        <w:rPr>
          <w:lang w:val="sr-Latn-ME"/>
        </w:rPr>
        <w:t xml:space="preserve"> L</w:t>
      </w:r>
      <w:r w:rsidR="00CE5619" w:rsidRPr="00A259FB">
        <w:rPr>
          <w:lang w:val="sr-Latn-ME"/>
        </w:rPr>
        <w:t>IJ</w:t>
      </w:r>
      <w:r w:rsidRPr="00A259FB">
        <w:rPr>
          <w:lang w:val="sr-Latn-ME"/>
        </w:rPr>
        <w:t>EKA</w:t>
      </w:r>
    </w:p>
    <w:p w14:paraId="2ECA5581" w14:textId="77777777" w:rsidR="00F56B2A" w:rsidRPr="00A259FB" w:rsidRDefault="00F56B2A" w:rsidP="00767CD8">
      <w:pPr>
        <w:rPr>
          <w:szCs w:val="22"/>
          <w:lang w:val="sr-Latn-ME"/>
        </w:rPr>
      </w:pPr>
    </w:p>
    <w:p w14:paraId="2A9DBFAE" w14:textId="372D31AD" w:rsidR="00E90FE8" w:rsidRPr="00A259FB" w:rsidRDefault="00E90FE8" w:rsidP="00767CD8">
      <w:pPr>
        <w:rPr>
          <w:szCs w:val="22"/>
          <w:lang w:val="sr-Latn-ME"/>
        </w:rPr>
      </w:pPr>
      <w:r w:rsidRPr="00A259FB">
        <w:rPr>
          <w:szCs w:val="22"/>
          <w:lang w:val="sr-Latn-ME"/>
        </w:rPr>
        <w:t>Prinorm</w:t>
      </w:r>
      <w:r w:rsidR="00767CD8" w:rsidRPr="00A259FB">
        <w:rPr>
          <w:szCs w:val="22"/>
          <w:lang w:val="sr-Latn-ME"/>
        </w:rPr>
        <w:t>,</w:t>
      </w:r>
      <w:r w:rsidRPr="00A259FB">
        <w:rPr>
          <w:szCs w:val="22"/>
          <w:lang w:val="sr-Latn-ME"/>
        </w:rPr>
        <w:t xml:space="preserve"> 100 mg, tablet</w:t>
      </w:r>
      <w:r w:rsidR="00767CD8" w:rsidRPr="00A259FB">
        <w:rPr>
          <w:szCs w:val="22"/>
          <w:lang w:val="sr-Latn-ME"/>
        </w:rPr>
        <w:t>a</w:t>
      </w:r>
    </w:p>
    <w:p w14:paraId="31D02D70" w14:textId="31CB1484" w:rsidR="005D5568" w:rsidRPr="00A259FB" w:rsidRDefault="005D5568" w:rsidP="00767CD8">
      <w:pPr>
        <w:rPr>
          <w:szCs w:val="22"/>
          <w:lang w:val="sr-Latn-ME"/>
        </w:rPr>
      </w:pPr>
    </w:p>
    <w:p w14:paraId="2A9DBFB0" w14:textId="2E8E6185" w:rsidR="00E90FE8" w:rsidRPr="00A259FB" w:rsidRDefault="00E90FE8" w:rsidP="00767CD8">
      <w:pPr>
        <w:rPr>
          <w:szCs w:val="22"/>
          <w:lang w:val="sr-Latn-ME"/>
        </w:rPr>
      </w:pPr>
      <w:r w:rsidRPr="00A259FB">
        <w:rPr>
          <w:szCs w:val="22"/>
          <w:lang w:val="sr-Latn-ME"/>
        </w:rPr>
        <w:t>INN: atenolol</w:t>
      </w:r>
    </w:p>
    <w:p w14:paraId="7F54442D" w14:textId="4CBAA699" w:rsidR="00F56B2A" w:rsidRPr="00A259FB" w:rsidRDefault="00F56B2A" w:rsidP="00767CD8">
      <w:pPr>
        <w:rPr>
          <w:szCs w:val="22"/>
          <w:lang w:val="sr-Latn-ME"/>
        </w:rPr>
      </w:pPr>
    </w:p>
    <w:p w14:paraId="2F961127" w14:textId="77777777" w:rsidR="00F56B2A" w:rsidRPr="00A259FB" w:rsidRDefault="00F56B2A" w:rsidP="00767CD8">
      <w:pPr>
        <w:rPr>
          <w:szCs w:val="22"/>
          <w:lang w:val="sr-Latn-ME"/>
        </w:rPr>
      </w:pPr>
    </w:p>
    <w:p w14:paraId="2A9DBFB1" w14:textId="77777777" w:rsidR="00E90FE8" w:rsidRPr="00A259FB" w:rsidRDefault="00E90FE8" w:rsidP="00767CD8">
      <w:pPr>
        <w:pStyle w:val="NASLOV123"/>
        <w:spacing w:before="0" w:after="0"/>
        <w:jc w:val="both"/>
        <w:rPr>
          <w:lang w:val="sr-Latn-ME"/>
        </w:rPr>
      </w:pPr>
      <w:r w:rsidRPr="00A259FB">
        <w:rPr>
          <w:lang w:val="sr-Latn-ME"/>
        </w:rPr>
        <w:t>2. KVALITATIVNI I KVANTITATIVNI SASTAV</w:t>
      </w:r>
    </w:p>
    <w:p w14:paraId="14D95A0E" w14:textId="77777777" w:rsidR="00F56B2A" w:rsidRPr="00A259FB" w:rsidRDefault="00F56B2A" w:rsidP="00767CD8">
      <w:pPr>
        <w:ind w:left="-540" w:firstLine="540"/>
        <w:rPr>
          <w:szCs w:val="22"/>
          <w:lang w:val="sr-Latn-ME"/>
        </w:rPr>
      </w:pPr>
    </w:p>
    <w:p w14:paraId="76B8DF3D" w14:textId="77D0DE0A" w:rsidR="00E74271" w:rsidRPr="00A259FB" w:rsidRDefault="00767CD8" w:rsidP="00767CD8">
      <w:pPr>
        <w:ind w:left="-540" w:firstLine="540"/>
        <w:rPr>
          <w:szCs w:val="22"/>
          <w:lang w:val="sr-Latn-ME"/>
        </w:rPr>
      </w:pPr>
      <w:r w:rsidRPr="00A259FB">
        <w:rPr>
          <w:szCs w:val="22"/>
          <w:lang w:val="sr-Latn-ME"/>
        </w:rPr>
        <w:t>Jedna</w:t>
      </w:r>
      <w:r w:rsidR="00E90FE8" w:rsidRPr="00A259FB">
        <w:rPr>
          <w:szCs w:val="22"/>
          <w:lang w:val="sr-Latn-ME"/>
        </w:rPr>
        <w:t xml:space="preserve"> tableta sadrži 100 mg atenolola</w:t>
      </w:r>
      <w:r w:rsidR="00E74271" w:rsidRPr="00A259FB">
        <w:rPr>
          <w:szCs w:val="22"/>
          <w:lang w:val="sr-Latn-ME"/>
        </w:rPr>
        <w:t>.</w:t>
      </w:r>
    </w:p>
    <w:p w14:paraId="51EC1AC8" w14:textId="77777777" w:rsidR="00767CD8" w:rsidRPr="00A259FB" w:rsidRDefault="00767CD8" w:rsidP="00767CD8">
      <w:pPr>
        <w:ind w:left="-540" w:firstLine="540"/>
        <w:rPr>
          <w:szCs w:val="22"/>
          <w:lang w:val="sr-Latn-ME"/>
        </w:rPr>
      </w:pPr>
    </w:p>
    <w:p w14:paraId="2A9DBFB3" w14:textId="61210D47" w:rsidR="00E90FE8" w:rsidRPr="00A259FB" w:rsidRDefault="00725EA9" w:rsidP="00767CD8">
      <w:pPr>
        <w:tabs>
          <w:tab w:val="clear" w:pos="284"/>
        </w:tabs>
        <w:rPr>
          <w:szCs w:val="22"/>
          <w:lang w:val="sr-Latn-ME"/>
        </w:rPr>
      </w:pPr>
      <w:r w:rsidRPr="00A259FB">
        <w:rPr>
          <w:szCs w:val="22"/>
          <w:lang w:val="sr-Latn-ME"/>
        </w:rPr>
        <w:t>Za spisak svih ekscipijenasa, pogledati dio 6.1.</w:t>
      </w:r>
      <w:r w:rsidR="00E74271" w:rsidRPr="00A259FB">
        <w:rPr>
          <w:szCs w:val="22"/>
          <w:lang w:val="sr-Latn-ME"/>
        </w:rPr>
        <w:t xml:space="preserve"> </w:t>
      </w:r>
    </w:p>
    <w:p w14:paraId="1B8088B3" w14:textId="30E9519F" w:rsidR="00F56B2A" w:rsidRPr="00A259FB" w:rsidRDefault="00F56B2A" w:rsidP="00767CD8">
      <w:pPr>
        <w:pStyle w:val="NASLOV123"/>
        <w:spacing w:before="0" w:after="0"/>
        <w:jc w:val="both"/>
        <w:rPr>
          <w:lang w:val="sr-Latn-ME"/>
        </w:rPr>
      </w:pPr>
    </w:p>
    <w:p w14:paraId="01ED17FB" w14:textId="77777777" w:rsidR="00F56B2A" w:rsidRPr="00A259FB" w:rsidRDefault="00F56B2A" w:rsidP="00767CD8">
      <w:pPr>
        <w:pStyle w:val="NASLOV123"/>
        <w:spacing w:before="0" w:after="0"/>
        <w:jc w:val="both"/>
        <w:rPr>
          <w:lang w:val="sr-Latn-ME"/>
        </w:rPr>
      </w:pPr>
    </w:p>
    <w:p w14:paraId="2A9DBFB5" w14:textId="5763A1F1" w:rsidR="00E90FE8" w:rsidRPr="00A259FB" w:rsidRDefault="00E90FE8" w:rsidP="00767CD8">
      <w:pPr>
        <w:pStyle w:val="NASLOV123"/>
        <w:spacing w:before="0" w:after="0"/>
        <w:jc w:val="both"/>
        <w:rPr>
          <w:lang w:val="sr-Latn-ME"/>
        </w:rPr>
      </w:pPr>
      <w:r w:rsidRPr="00A259FB">
        <w:rPr>
          <w:lang w:val="sr-Latn-ME"/>
        </w:rPr>
        <w:t>3. FARMACEUTSKI OBLIK</w:t>
      </w:r>
    </w:p>
    <w:p w14:paraId="24487990" w14:textId="1923C877" w:rsidR="00F56B2A" w:rsidRPr="00A259FB" w:rsidRDefault="00F56B2A" w:rsidP="00767CD8">
      <w:pPr>
        <w:pStyle w:val="NASLOV123"/>
        <w:spacing w:before="0" w:after="0"/>
        <w:jc w:val="both"/>
        <w:rPr>
          <w:lang w:val="sr-Latn-ME"/>
        </w:rPr>
      </w:pPr>
    </w:p>
    <w:p w14:paraId="0CCE2F70" w14:textId="2059CCE9" w:rsidR="00767CD8" w:rsidRPr="00A259FB" w:rsidRDefault="00767CD8" w:rsidP="00767CD8">
      <w:pPr>
        <w:pStyle w:val="NASLOV123"/>
        <w:spacing w:before="0" w:after="0"/>
        <w:jc w:val="both"/>
        <w:rPr>
          <w:b w:val="0"/>
          <w:lang w:val="sr-Latn-ME"/>
        </w:rPr>
      </w:pPr>
      <w:r w:rsidRPr="00A259FB">
        <w:rPr>
          <w:b w:val="0"/>
          <w:lang w:val="sr-Latn-ME"/>
        </w:rPr>
        <w:t>Tableta.</w:t>
      </w:r>
    </w:p>
    <w:p w14:paraId="3016CBA8" w14:textId="77777777" w:rsidR="00767CD8" w:rsidRPr="00A259FB" w:rsidRDefault="00767CD8" w:rsidP="00767CD8">
      <w:pPr>
        <w:pStyle w:val="NASLOV123"/>
        <w:spacing w:before="0" w:after="0"/>
        <w:jc w:val="both"/>
        <w:rPr>
          <w:lang w:val="sr-Latn-ME"/>
        </w:rPr>
      </w:pPr>
    </w:p>
    <w:p w14:paraId="2A9DBFB6" w14:textId="53845EE9" w:rsidR="00E90FE8" w:rsidRPr="00A259FB" w:rsidRDefault="00E90FE8" w:rsidP="00767CD8">
      <w:pPr>
        <w:rPr>
          <w:szCs w:val="22"/>
          <w:lang w:val="sr-Latn-ME"/>
        </w:rPr>
      </w:pPr>
      <w:r w:rsidRPr="00A259FB">
        <w:rPr>
          <w:szCs w:val="22"/>
          <w:lang w:val="sr-Latn-ME"/>
        </w:rPr>
        <w:t>Okrugl</w:t>
      </w:r>
      <w:r w:rsidR="00767CD8" w:rsidRPr="00A259FB">
        <w:rPr>
          <w:szCs w:val="22"/>
          <w:lang w:val="sr-Latn-ME"/>
        </w:rPr>
        <w:t>a</w:t>
      </w:r>
      <w:r w:rsidRPr="00A259FB">
        <w:rPr>
          <w:szCs w:val="22"/>
          <w:lang w:val="sr-Latn-ME"/>
        </w:rPr>
        <w:t>, bikonveksn</w:t>
      </w:r>
      <w:r w:rsidR="00767CD8" w:rsidRPr="00A259FB">
        <w:rPr>
          <w:szCs w:val="22"/>
          <w:lang w:val="sr-Latn-ME"/>
        </w:rPr>
        <w:t>a</w:t>
      </w:r>
      <w:r w:rsidRPr="00A259FB">
        <w:rPr>
          <w:szCs w:val="22"/>
          <w:lang w:val="sr-Latn-ME"/>
        </w:rPr>
        <w:t xml:space="preserve"> tablet</w:t>
      </w:r>
      <w:r w:rsidR="00767CD8" w:rsidRPr="00A259FB">
        <w:rPr>
          <w:szCs w:val="22"/>
          <w:lang w:val="sr-Latn-ME"/>
        </w:rPr>
        <w:t>a</w:t>
      </w:r>
      <w:r w:rsidRPr="00A259FB">
        <w:rPr>
          <w:szCs w:val="22"/>
          <w:lang w:val="sr-Latn-ME"/>
        </w:rPr>
        <w:t>, skoro b</w:t>
      </w:r>
      <w:r w:rsidR="00CE5619" w:rsidRPr="00A259FB">
        <w:rPr>
          <w:szCs w:val="22"/>
          <w:lang w:val="sr-Latn-ME"/>
        </w:rPr>
        <w:t>ij</w:t>
      </w:r>
      <w:r w:rsidRPr="00A259FB">
        <w:rPr>
          <w:szCs w:val="22"/>
          <w:lang w:val="sr-Latn-ME"/>
        </w:rPr>
        <w:t>ele boje, sa pod</w:t>
      </w:r>
      <w:r w:rsidR="00CE5619" w:rsidRPr="00A259FB">
        <w:rPr>
          <w:szCs w:val="22"/>
          <w:lang w:val="sr-Latn-ME"/>
        </w:rPr>
        <w:t>i</w:t>
      </w:r>
      <w:r w:rsidRPr="00A259FB">
        <w:rPr>
          <w:szCs w:val="22"/>
          <w:lang w:val="sr-Latn-ME"/>
        </w:rPr>
        <w:t xml:space="preserve">onom </w:t>
      </w:r>
      <w:r w:rsidR="00767CD8" w:rsidRPr="00A259FB">
        <w:rPr>
          <w:szCs w:val="22"/>
          <w:lang w:val="sr-Latn-ME"/>
        </w:rPr>
        <w:t xml:space="preserve">crtom </w:t>
      </w:r>
      <w:r w:rsidRPr="00A259FB">
        <w:rPr>
          <w:szCs w:val="22"/>
          <w:lang w:val="sr-Latn-ME"/>
        </w:rPr>
        <w:t xml:space="preserve">na jednoj strani i natpisom </w:t>
      </w:r>
      <w:r w:rsidR="00D018C8" w:rsidRPr="00A259FB">
        <w:rPr>
          <w:szCs w:val="22"/>
          <w:lang w:val="sr-Latn-ME"/>
        </w:rPr>
        <w:t>„</w:t>
      </w:r>
      <w:r w:rsidRPr="00A259FB">
        <w:rPr>
          <w:szCs w:val="22"/>
          <w:lang w:val="sr-Latn-ME"/>
        </w:rPr>
        <w:t>PRINORM</w:t>
      </w:r>
      <w:r w:rsidR="00D018C8" w:rsidRPr="00A259FB">
        <w:rPr>
          <w:szCs w:val="22"/>
          <w:lang w:val="sr-Latn-ME"/>
        </w:rPr>
        <w:t>”</w:t>
      </w:r>
      <w:r w:rsidRPr="00A259FB">
        <w:rPr>
          <w:szCs w:val="22"/>
          <w:lang w:val="sr-Latn-ME"/>
        </w:rPr>
        <w:t xml:space="preserve"> na drugoj strani</w:t>
      </w:r>
      <w:r w:rsidR="00767CD8" w:rsidRPr="00A259FB">
        <w:rPr>
          <w:szCs w:val="22"/>
          <w:lang w:val="sr-Latn-ME"/>
        </w:rPr>
        <w:t xml:space="preserve"> tablete</w:t>
      </w:r>
      <w:r w:rsidRPr="00A259FB">
        <w:rPr>
          <w:szCs w:val="22"/>
          <w:lang w:val="sr-Latn-ME"/>
        </w:rPr>
        <w:t>.</w:t>
      </w:r>
      <w:r w:rsidR="00767CD8" w:rsidRPr="00A259FB">
        <w:rPr>
          <w:szCs w:val="22"/>
          <w:lang w:val="sr-Latn-ME"/>
        </w:rPr>
        <w:t xml:space="preserve"> </w:t>
      </w:r>
    </w:p>
    <w:p w14:paraId="735CFD9F" w14:textId="77777777" w:rsidR="00767CD8" w:rsidRPr="00A259FB" w:rsidRDefault="00767CD8" w:rsidP="00767CD8">
      <w:pPr>
        <w:rPr>
          <w:szCs w:val="22"/>
          <w:lang w:val="sr-Latn-ME"/>
        </w:rPr>
      </w:pPr>
    </w:p>
    <w:p w14:paraId="0AB5F71A" w14:textId="62C33D7C" w:rsidR="00F56B2A" w:rsidRPr="00A259FB" w:rsidRDefault="00E90FE8" w:rsidP="00767CD8">
      <w:pPr>
        <w:rPr>
          <w:szCs w:val="22"/>
          <w:lang w:val="sr-Latn-ME"/>
        </w:rPr>
      </w:pPr>
      <w:r w:rsidRPr="00A259FB">
        <w:rPr>
          <w:szCs w:val="22"/>
          <w:lang w:val="sr-Latn-ME"/>
        </w:rPr>
        <w:t>Tableta se može pod</w:t>
      </w:r>
      <w:r w:rsidR="00CE5619" w:rsidRPr="00A259FB">
        <w:rPr>
          <w:szCs w:val="22"/>
          <w:lang w:val="sr-Latn-ME"/>
        </w:rPr>
        <w:t>ij</w:t>
      </w:r>
      <w:r w:rsidRPr="00A259FB">
        <w:rPr>
          <w:szCs w:val="22"/>
          <w:lang w:val="sr-Latn-ME"/>
        </w:rPr>
        <w:t>eliti na jednake doze.</w:t>
      </w:r>
    </w:p>
    <w:p w14:paraId="2EAFA566" w14:textId="7223AABC" w:rsidR="00F56B2A" w:rsidRPr="00A259FB" w:rsidRDefault="00F56B2A" w:rsidP="00767CD8">
      <w:pPr>
        <w:rPr>
          <w:szCs w:val="22"/>
          <w:lang w:val="sr-Latn-ME"/>
        </w:rPr>
      </w:pPr>
    </w:p>
    <w:p w14:paraId="5D59E2BC" w14:textId="77777777" w:rsidR="00F56B2A" w:rsidRPr="00A259FB" w:rsidRDefault="00F56B2A" w:rsidP="00767CD8">
      <w:pPr>
        <w:rPr>
          <w:szCs w:val="22"/>
          <w:lang w:val="sr-Latn-ME"/>
        </w:rPr>
      </w:pPr>
    </w:p>
    <w:p w14:paraId="2A9DBFB9" w14:textId="19A5DA57" w:rsidR="00E90FE8" w:rsidRPr="00A259FB" w:rsidRDefault="00E90FE8" w:rsidP="00767CD8">
      <w:pPr>
        <w:pStyle w:val="NASLOV123"/>
        <w:spacing w:before="0" w:after="0"/>
        <w:jc w:val="both"/>
        <w:rPr>
          <w:lang w:val="sr-Latn-ME"/>
        </w:rPr>
      </w:pPr>
      <w:r w:rsidRPr="00A259FB">
        <w:rPr>
          <w:lang w:val="sr-Latn-ME"/>
        </w:rPr>
        <w:t>4.</w:t>
      </w:r>
      <w:r w:rsidR="00725EA9" w:rsidRPr="00A259FB">
        <w:rPr>
          <w:lang w:val="sr-Latn-ME"/>
        </w:rPr>
        <w:t xml:space="preserve">  </w:t>
      </w:r>
      <w:r w:rsidRPr="00A259FB">
        <w:rPr>
          <w:lang w:val="sr-Latn-ME"/>
        </w:rPr>
        <w:t>KLINIČKI PODACI</w:t>
      </w:r>
    </w:p>
    <w:p w14:paraId="458CB220" w14:textId="77777777" w:rsidR="00767CD8" w:rsidRPr="00A259FB" w:rsidRDefault="00767CD8" w:rsidP="00767CD8">
      <w:pPr>
        <w:rPr>
          <w:b/>
          <w:bCs/>
          <w:szCs w:val="22"/>
          <w:lang w:val="sr-Latn-ME"/>
        </w:rPr>
      </w:pPr>
    </w:p>
    <w:p w14:paraId="14EF0D71" w14:textId="3ECE1111" w:rsidR="00615BC8" w:rsidRPr="00A259FB" w:rsidRDefault="00E90FE8" w:rsidP="00767CD8">
      <w:pPr>
        <w:rPr>
          <w:b/>
          <w:bCs/>
          <w:szCs w:val="22"/>
          <w:lang w:val="sr-Latn-ME"/>
        </w:rPr>
      </w:pPr>
      <w:r w:rsidRPr="00A259FB">
        <w:rPr>
          <w:b/>
          <w:bCs/>
          <w:szCs w:val="22"/>
          <w:lang w:val="sr-Latn-ME"/>
        </w:rPr>
        <w:t>4.1. Terapijske indikacije</w:t>
      </w:r>
    </w:p>
    <w:p w14:paraId="02718B87" w14:textId="77777777" w:rsidR="00767CD8" w:rsidRPr="00A259FB" w:rsidRDefault="00767CD8" w:rsidP="00767CD8">
      <w:pPr>
        <w:rPr>
          <w:b/>
          <w:bCs/>
          <w:szCs w:val="22"/>
          <w:lang w:val="sr-Latn-ME"/>
        </w:rPr>
      </w:pPr>
    </w:p>
    <w:p w14:paraId="2A9DBFBC" w14:textId="6DF7DE8A" w:rsidR="00E90FE8" w:rsidRPr="00A259FB" w:rsidRDefault="00875CD1" w:rsidP="00767CD8">
      <w:pPr>
        <w:rPr>
          <w:b/>
          <w:bCs/>
          <w:color w:val="000000"/>
          <w:szCs w:val="22"/>
          <w:lang w:val="sr-Latn-ME"/>
        </w:rPr>
      </w:pPr>
      <w:r w:rsidRPr="00A259FB">
        <w:rPr>
          <w:color w:val="000000"/>
          <w:szCs w:val="22"/>
          <w:lang w:val="sr-Latn-ME"/>
        </w:rPr>
        <w:t>L</w:t>
      </w:r>
      <w:r w:rsidR="00CE5619" w:rsidRPr="00A259FB">
        <w:rPr>
          <w:color w:val="000000"/>
          <w:szCs w:val="22"/>
          <w:lang w:val="sr-Latn-ME"/>
        </w:rPr>
        <w:t>ij</w:t>
      </w:r>
      <w:r w:rsidRPr="00A259FB">
        <w:rPr>
          <w:color w:val="000000"/>
          <w:szCs w:val="22"/>
          <w:lang w:val="sr-Latn-ME"/>
        </w:rPr>
        <w:t xml:space="preserve">ek Prinorm je indikovan </w:t>
      </w:r>
      <w:r w:rsidR="00E90FE8" w:rsidRPr="00A259FB">
        <w:rPr>
          <w:color w:val="000000"/>
          <w:szCs w:val="22"/>
          <w:lang w:val="sr-Latn-ME"/>
        </w:rPr>
        <w:t>u terapiji:</w:t>
      </w:r>
    </w:p>
    <w:p w14:paraId="2A9DBFBE" w14:textId="77777777" w:rsidR="00E90FE8" w:rsidRPr="00A259FB" w:rsidRDefault="00E90FE8" w:rsidP="00767CD8">
      <w:pPr>
        <w:numPr>
          <w:ilvl w:val="0"/>
          <w:numId w:val="21"/>
        </w:numPr>
        <w:tabs>
          <w:tab w:val="clear" w:pos="284"/>
          <w:tab w:val="clear" w:pos="1080"/>
          <w:tab w:val="num" w:pos="540"/>
        </w:tabs>
        <w:autoSpaceDE w:val="0"/>
        <w:autoSpaceDN w:val="0"/>
        <w:adjustRightInd w:val="0"/>
        <w:ind w:left="1077" w:hanging="720"/>
        <w:contextualSpacing/>
        <w:jc w:val="left"/>
        <w:rPr>
          <w:color w:val="000000"/>
          <w:szCs w:val="22"/>
          <w:lang w:val="sr-Latn-ME"/>
        </w:rPr>
      </w:pPr>
      <w:r w:rsidRPr="00A259FB">
        <w:rPr>
          <w:color w:val="000000"/>
          <w:szCs w:val="22"/>
          <w:lang w:val="sr-Latn-ME"/>
        </w:rPr>
        <w:t>arterijske hipertenzije,</w:t>
      </w:r>
    </w:p>
    <w:p w14:paraId="2A9DBFBF" w14:textId="77777777" w:rsidR="00E90FE8" w:rsidRPr="00A259FB" w:rsidRDefault="00E90FE8" w:rsidP="00767CD8">
      <w:pPr>
        <w:numPr>
          <w:ilvl w:val="0"/>
          <w:numId w:val="21"/>
        </w:numPr>
        <w:tabs>
          <w:tab w:val="clear" w:pos="284"/>
          <w:tab w:val="clear" w:pos="1080"/>
          <w:tab w:val="num" w:pos="540"/>
        </w:tabs>
        <w:autoSpaceDE w:val="0"/>
        <w:autoSpaceDN w:val="0"/>
        <w:adjustRightInd w:val="0"/>
        <w:ind w:left="1077" w:hanging="720"/>
        <w:contextualSpacing/>
        <w:jc w:val="left"/>
        <w:rPr>
          <w:color w:val="000000"/>
          <w:szCs w:val="22"/>
          <w:lang w:val="sr-Latn-ME"/>
        </w:rPr>
      </w:pPr>
      <w:r w:rsidRPr="00A259FB">
        <w:rPr>
          <w:color w:val="000000"/>
          <w:szCs w:val="22"/>
          <w:lang w:val="sr-Latn-ME"/>
        </w:rPr>
        <w:t>angine pektoris,</w:t>
      </w:r>
    </w:p>
    <w:p w14:paraId="2A9DBFC0" w14:textId="77777777" w:rsidR="00E90FE8" w:rsidRPr="00A259FB" w:rsidRDefault="00E90FE8" w:rsidP="00767CD8">
      <w:pPr>
        <w:numPr>
          <w:ilvl w:val="0"/>
          <w:numId w:val="21"/>
        </w:numPr>
        <w:tabs>
          <w:tab w:val="clear" w:pos="284"/>
          <w:tab w:val="clear" w:pos="1080"/>
          <w:tab w:val="num" w:pos="540"/>
        </w:tabs>
        <w:autoSpaceDE w:val="0"/>
        <w:autoSpaceDN w:val="0"/>
        <w:adjustRightInd w:val="0"/>
        <w:ind w:left="1077" w:hanging="720"/>
        <w:contextualSpacing/>
        <w:jc w:val="left"/>
        <w:rPr>
          <w:color w:val="000000"/>
          <w:szCs w:val="22"/>
          <w:lang w:val="sr-Latn-ME"/>
        </w:rPr>
      </w:pPr>
      <w:r w:rsidRPr="00A259FB">
        <w:rPr>
          <w:color w:val="000000"/>
          <w:szCs w:val="22"/>
          <w:lang w:val="sr-Latn-ME"/>
        </w:rPr>
        <w:t>sr</w:t>
      </w:r>
      <w:r w:rsidRPr="00A259FB">
        <w:rPr>
          <w:rFonts w:eastAsia="TimesNewRoman"/>
          <w:color w:val="000000"/>
          <w:szCs w:val="22"/>
          <w:lang w:val="sr-Latn-ME"/>
        </w:rPr>
        <w:t>č</w:t>
      </w:r>
      <w:r w:rsidRPr="00A259FB">
        <w:rPr>
          <w:color w:val="000000"/>
          <w:szCs w:val="22"/>
          <w:lang w:val="sr-Latn-ME"/>
        </w:rPr>
        <w:t>anih aritmija,</w:t>
      </w:r>
    </w:p>
    <w:p w14:paraId="799E11DD" w14:textId="72E80264" w:rsidR="00615BC8" w:rsidRPr="00A259FB" w:rsidRDefault="00E90FE8" w:rsidP="00767CD8">
      <w:pPr>
        <w:numPr>
          <w:ilvl w:val="0"/>
          <w:numId w:val="21"/>
        </w:numPr>
        <w:tabs>
          <w:tab w:val="clear" w:pos="284"/>
          <w:tab w:val="clear" w:pos="1080"/>
          <w:tab w:val="num" w:pos="540"/>
        </w:tabs>
        <w:autoSpaceDE w:val="0"/>
        <w:autoSpaceDN w:val="0"/>
        <w:adjustRightInd w:val="0"/>
        <w:ind w:left="1077" w:hanging="720"/>
        <w:jc w:val="left"/>
        <w:rPr>
          <w:color w:val="000000"/>
          <w:szCs w:val="22"/>
          <w:lang w:val="sr-Latn-ME"/>
        </w:rPr>
      </w:pPr>
      <w:r w:rsidRPr="00A259FB">
        <w:rPr>
          <w:szCs w:val="22"/>
          <w:lang w:val="sr-Latn-ME"/>
        </w:rPr>
        <w:t>infarkta miokarda (rana intervencija u akutnoj fazi).</w:t>
      </w:r>
    </w:p>
    <w:p w14:paraId="49B0B66B" w14:textId="77777777" w:rsidR="00767CD8" w:rsidRPr="00A259FB" w:rsidRDefault="00767CD8" w:rsidP="00140A21">
      <w:pPr>
        <w:tabs>
          <w:tab w:val="clear" w:pos="284"/>
        </w:tabs>
        <w:autoSpaceDE w:val="0"/>
        <w:autoSpaceDN w:val="0"/>
        <w:adjustRightInd w:val="0"/>
        <w:ind w:left="1077"/>
        <w:jc w:val="left"/>
        <w:rPr>
          <w:color w:val="000000"/>
          <w:szCs w:val="22"/>
          <w:lang w:val="sr-Latn-ME"/>
        </w:rPr>
      </w:pPr>
    </w:p>
    <w:p w14:paraId="2A9DBFC3" w14:textId="0C87F149" w:rsidR="00E90FE8" w:rsidRPr="00A259FB" w:rsidRDefault="00E90FE8" w:rsidP="00767CD8">
      <w:pPr>
        <w:rPr>
          <w:b/>
          <w:bCs/>
          <w:szCs w:val="22"/>
          <w:lang w:val="sr-Latn-ME"/>
        </w:rPr>
      </w:pPr>
      <w:r w:rsidRPr="00A259FB">
        <w:rPr>
          <w:b/>
          <w:bCs/>
          <w:szCs w:val="22"/>
          <w:lang w:val="sr-Latn-ME"/>
        </w:rPr>
        <w:t>4.2. Doziranje i način prim</w:t>
      </w:r>
      <w:r w:rsidR="00CE5619" w:rsidRPr="00A259FB">
        <w:rPr>
          <w:b/>
          <w:bCs/>
          <w:szCs w:val="22"/>
          <w:lang w:val="sr-Latn-ME"/>
        </w:rPr>
        <w:t>j</w:t>
      </w:r>
      <w:r w:rsidRPr="00A259FB">
        <w:rPr>
          <w:b/>
          <w:bCs/>
          <w:szCs w:val="22"/>
          <w:lang w:val="sr-Latn-ME"/>
        </w:rPr>
        <w:t>ene</w:t>
      </w:r>
    </w:p>
    <w:p w14:paraId="56402C80" w14:textId="77777777" w:rsidR="00767CD8" w:rsidRPr="00A259FB" w:rsidRDefault="00767CD8" w:rsidP="00767CD8">
      <w:pPr>
        <w:rPr>
          <w:b/>
          <w:bCs/>
          <w:szCs w:val="22"/>
          <w:lang w:val="sr-Latn-ME"/>
        </w:rPr>
      </w:pPr>
    </w:p>
    <w:p w14:paraId="06F9B3E6" w14:textId="018EC43F" w:rsidR="00375176" w:rsidRPr="00A259FB" w:rsidRDefault="00375176" w:rsidP="00767CD8">
      <w:pPr>
        <w:pStyle w:val="NormalWeb"/>
        <w:spacing w:before="0" w:beforeAutospacing="0" w:after="0"/>
        <w:jc w:val="both"/>
        <w:rPr>
          <w:bCs/>
          <w:sz w:val="22"/>
          <w:szCs w:val="22"/>
          <w:u w:val="single"/>
          <w:lang w:val="sr-Latn-ME"/>
        </w:rPr>
      </w:pPr>
      <w:r w:rsidRPr="00A259FB">
        <w:rPr>
          <w:bCs/>
          <w:sz w:val="22"/>
          <w:szCs w:val="22"/>
          <w:u w:val="single"/>
          <w:lang w:val="sr-Latn-ME"/>
        </w:rPr>
        <w:t>Doziranje</w:t>
      </w:r>
    </w:p>
    <w:p w14:paraId="5D0B48DA" w14:textId="3D5C692E" w:rsidR="00375176" w:rsidRPr="00A259FB" w:rsidRDefault="00375176" w:rsidP="00767CD8">
      <w:pPr>
        <w:pStyle w:val="NormalWeb"/>
        <w:spacing w:before="0" w:beforeAutospacing="0" w:after="0"/>
        <w:jc w:val="both"/>
        <w:rPr>
          <w:bCs/>
          <w:sz w:val="22"/>
          <w:szCs w:val="22"/>
          <w:lang w:val="sr-Latn-ME"/>
        </w:rPr>
      </w:pPr>
      <w:r w:rsidRPr="00A259FB">
        <w:rPr>
          <w:bCs/>
          <w:sz w:val="22"/>
          <w:szCs w:val="22"/>
          <w:lang w:val="sr-Latn-ME"/>
        </w:rPr>
        <w:t>Doza se uv</w:t>
      </w:r>
      <w:r w:rsidR="00CE5619" w:rsidRPr="00A259FB">
        <w:rPr>
          <w:bCs/>
          <w:sz w:val="22"/>
          <w:szCs w:val="22"/>
          <w:lang w:val="sr-Latn-ME"/>
        </w:rPr>
        <w:t>ij</w:t>
      </w:r>
      <w:r w:rsidRPr="00A259FB">
        <w:rPr>
          <w:bCs/>
          <w:sz w:val="22"/>
          <w:szCs w:val="22"/>
          <w:lang w:val="sr-Latn-ME"/>
        </w:rPr>
        <w:t>ek mora prilagoditi individualnim potrebama pacijenta, uz naj</w:t>
      </w:r>
      <w:r w:rsidR="00446461" w:rsidRPr="00A259FB">
        <w:rPr>
          <w:bCs/>
          <w:sz w:val="22"/>
          <w:szCs w:val="22"/>
          <w:lang w:val="sr-Latn-ME"/>
        </w:rPr>
        <w:t>manju</w:t>
      </w:r>
      <w:r w:rsidRPr="00A259FB">
        <w:rPr>
          <w:bCs/>
          <w:sz w:val="22"/>
          <w:szCs w:val="22"/>
          <w:lang w:val="sr-Latn-ME"/>
        </w:rPr>
        <w:t xml:space="preserve"> moguću početnu dozu</w:t>
      </w:r>
      <w:r w:rsidR="00640817" w:rsidRPr="00A259FB">
        <w:rPr>
          <w:bCs/>
          <w:sz w:val="22"/>
          <w:szCs w:val="22"/>
          <w:lang w:val="sr-Latn-ME"/>
        </w:rPr>
        <w:t>.</w:t>
      </w:r>
    </w:p>
    <w:p w14:paraId="1D3BDE9B" w14:textId="77777777" w:rsidR="00767CD8" w:rsidRPr="00A259FB" w:rsidRDefault="00767CD8" w:rsidP="00767CD8">
      <w:pPr>
        <w:pStyle w:val="NormalWeb"/>
        <w:spacing w:before="0" w:beforeAutospacing="0" w:after="0"/>
        <w:jc w:val="both"/>
        <w:rPr>
          <w:bCs/>
          <w:sz w:val="22"/>
          <w:szCs w:val="22"/>
          <w:lang w:val="sr-Latn-ME"/>
        </w:rPr>
      </w:pPr>
    </w:p>
    <w:p w14:paraId="2A9DBFC5" w14:textId="675866AA" w:rsidR="00E90FE8" w:rsidRPr="00A259FB" w:rsidRDefault="00E90FE8" w:rsidP="00767CD8">
      <w:pPr>
        <w:pStyle w:val="Header"/>
        <w:tabs>
          <w:tab w:val="clear" w:pos="4536"/>
          <w:tab w:val="clear" w:pos="9072"/>
          <w:tab w:val="left" w:pos="284"/>
        </w:tabs>
        <w:rPr>
          <w:b/>
          <w:szCs w:val="22"/>
          <w:lang w:val="sr-Latn-ME"/>
        </w:rPr>
      </w:pPr>
      <w:r w:rsidRPr="00A259FB">
        <w:rPr>
          <w:b/>
          <w:szCs w:val="22"/>
          <w:lang w:val="sr-Latn-ME"/>
        </w:rPr>
        <w:t>Odrasli</w:t>
      </w:r>
    </w:p>
    <w:p w14:paraId="45676D6F" w14:textId="77777777" w:rsidR="00767CD8" w:rsidRPr="00A259FB" w:rsidRDefault="00767CD8" w:rsidP="00767CD8">
      <w:pPr>
        <w:pStyle w:val="Header"/>
        <w:tabs>
          <w:tab w:val="clear" w:pos="4536"/>
          <w:tab w:val="clear" w:pos="9072"/>
          <w:tab w:val="left" w:pos="284"/>
        </w:tabs>
        <w:rPr>
          <w:b/>
          <w:szCs w:val="22"/>
          <w:lang w:val="sr-Latn-ME"/>
        </w:rPr>
      </w:pPr>
    </w:p>
    <w:p w14:paraId="2A9DBFC7" w14:textId="77777777" w:rsidR="00E90FE8" w:rsidRPr="00A259FB" w:rsidRDefault="00E90FE8" w:rsidP="00767CD8">
      <w:pPr>
        <w:ind w:left="-180" w:firstLine="180"/>
        <w:rPr>
          <w:i/>
          <w:szCs w:val="22"/>
          <w:lang w:val="sr-Latn-ME"/>
        </w:rPr>
      </w:pPr>
      <w:r w:rsidRPr="00A259FB">
        <w:rPr>
          <w:i/>
          <w:szCs w:val="22"/>
          <w:lang w:val="sr-Latn-ME"/>
        </w:rPr>
        <w:t>Hipertenzija</w:t>
      </w:r>
    </w:p>
    <w:p w14:paraId="2A9DBFC8" w14:textId="05478923" w:rsidR="00E90FE8" w:rsidRPr="00A259FB" w:rsidRDefault="00E90FE8" w:rsidP="00767CD8">
      <w:pPr>
        <w:tabs>
          <w:tab w:val="clear" w:pos="284"/>
        </w:tabs>
        <w:autoSpaceDE w:val="0"/>
        <w:autoSpaceDN w:val="0"/>
        <w:adjustRightInd w:val="0"/>
        <w:rPr>
          <w:szCs w:val="22"/>
          <w:lang w:val="sr-Latn-ME"/>
        </w:rPr>
      </w:pPr>
      <w:r w:rsidRPr="00A259FB">
        <w:rPr>
          <w:szCs w:val="22"/>
          <w:lang w:val="sr-Latn-ME"/>
        </w:rPr>
        <w:t>Jedna tableta dnevno. Kod većine pacijenata terapijski efekat se može postići prim</w:t>
      </w:r>
      <w:r w:rsidR="00CE5619" w:rsidRPr="00A259FB">
        <w:rPr>
          <w:szCs w:val="22"/>
          <w:lang w:val="sr-Latn-ME"/>
        </w:rPr>
        <w:t>j</w:t>
      </w:r>
      <w:r w:rsidRPr="00A259FB">
        <w:rPr>
          <w:szCs w:val="22"/>
          <w:lang w:val="sr-Latn-ME"/>
        </w:rPr>
        <w:t>enom pojedinačne dnevne doze od 100 mg, a kod nekih pacijenata i pojedinačnom dnevnom dozom od 50 mg. Pun efekat terapije se vidi nakon jedne do dv</w:t>
      </w:r>
      <w:r w:rsidR="00CE5619" w:rsidRPr="00A259FB">
        <w:rPr>
          <w:szCs w:val="22"/>
          <w:lang w:val="sr-Latn-ME"/>
        </w:rPr>
        <w:t>ij</w:t>
      </w:r>
      <w:r w:rsidRPr="00A259FB">
        <w:rPr>
          <w:szCs w:val="22"/>
          <w:lang w:val="sr-Latn-ME"/>
        </w:rPr>
        <w:t>e ned</w:t>
      </w:r>
      <w:r w:rsidR="00CE5619" w:rsidRPr="00A259FB">
        <w:rPr>
          <w:szCs w:val="22"/>
          <w:lang w:val="sr-Latn-ME"/>
        </w:rPr>
        <w:t>j</w:t>
      </w:r>
      <w:r w:rsidRPr="00A259FB">
        <w:rPr>
          <w:szCs w:val="22"/>
          <w:lang w:val="sr-Latn-ME"/>
        </w:rPr>
        <w:t>elje. Dodatno sniženje krvnog pritiska može se postići kombinovanom prim</w:t>
      </w:r>
      <w:r w:rsidR="00CE5619" w:rsidRPr="00A259FB">
        <w:rPr>
          <w:szCs w:val="22"/>
          <w:lang w:val="sr-Latn-ME"/>
        </w:rPr>
        <w:t>j</w:t>
      </w:r>
      <w:r w:rsidRPr="00A259FB">
        <w:rPr>
          <w:szCs w:val="22"/>
          <w:lang w:val="sr-Latn-ME"/>
        </w:rPr>
        <w:t>enom atenolola sa drugim antihipertenzivnim l</w:t>
      </w:r>
      <w:r w:rsidR="00CE5619" w:rsidRPr="00A259FB">
        <w:rPr>
          <w:szCs w:val="22"/>
          <w:lang w:val="sr-Latn-ME"/>
        </w:rPr>
        <w:t>j</w:t>
      </w:r>
      <w:r w:rsidRPr="00A259FB">
        <w:rPr>
          <w:szCs w:val="22"/>
          <w:lang w:val="sr-Latn-ME"/>
        </w:rPr>
        <w:t>ekovima. Na prim</w:t>
      </w:r>
      <w:r w:rsidR="00CE5619" w:rsidRPr="00A259FB">
        <w:rPr>
          <w:szCs w:val="22"/>
          <w:lang w:val="sr-Latn-ME"/>
        </w:rPr>
        <w:t>j</w:t>
      </w:r>
      <w:r w:rsidRPr="00A259FB">
        <w:rPr>
          <w:szCs w:val="22"/>
          <w:lang w:val="sr-Latn-ME"/>
        </w:rPr>
        <w:t>er, prim</w:t>
      </w:r>
      <w:r w:rsidR="00CE5619" w:rsidRPr="00A259FB">
        <w:rPr>
          <w:szCs w:val="22"/>
          <w:lang w:val="sr-Latn-ME"/>
        </w:rPr>
        <w:t>j</w:t>
      </w:r>
      <w:r w:rsidRPr="00A259FB">
        <w:rPr>
          <w:szCs w:val="22"/>
          <w:lang w:val="sr-Latn-ME"/>
        </w:rPr>
        <w:t xml:space="preserve">ena atenolola sa diuretikom predstavlja efektivnu i pogodnu antihipertenzivnu terapiju. </w:t>
      </w:r>
    </w:p>
    <w:p w14:paraId="2464C6ED" w14:textId="77777777" w:rsidR="00767CD8" w:rsidRPr="00A259FB" w:rsidRDefault="00767CD8" w:rsidP="00767CD8">
      <w:pPr>
        <w:tabs>
          <w:tab w:val="clear" w:pos="284"/>
        </w:tabs>
        <w:autoSpaceDE w:val="0"/>
        <w:autoSpaceDN w:val="0"/>
        <w:adjustRightInd w:val="0"/>
        <w:rPr>
          <w:szCs w:val="22"/>
          <w:lang w:val="sr-Latn-ME"/>
        </w:rPr>
      </w:pPr>
    </w:p>
    <w:p w14:paraId="2A9DBFCA" w14:textId="77777777" w:rsidR="00E90FE8" w:rsidRPr="00A259FB" w:rsidRDefault="00E90FE8" w:rsidP="00767CD8">
      <w:pPr>
        <w:rPr>
          <w:i/>
          <w:szCs w:val="22"/>
          <w:lang w:val="sr-Latn-ME"/>
        </w:rPr>
      </w:pPr>
      <w:r w:rsidRPr="00A259FB">
        <w:rPr>
          <w:i/>
          <w:szCs w:val="22"/>
          <w:lang w:val="sr-Latn-ME"/>
        </w:rPr>
        <w:t xml:space="preserve">Angina pektoris </w:t>
      </w:r>
    </w:p>
    <w:p w14:paraId="2A9DBFCB" w14:textId="52FC1392" w:rsidR="00E90FE8" w:rsidRPr="00A259FB" w:rsidRDefault="00E90FE8" w:rsidP="00767CD8">
      <w:pPr>
        <w:tabs>
          <w:tab w:val="clear" w:pos="284"/>
        </w:tabs>
        <w:autoSpaceDE w:val="0"/>
        <w:autoSpaceDN w:val="0"/>
        <w:adjustRightInd w:val="0"/>
        <w:rPr>
          <w:szCs w:val="22"/>
          <w:lang w:val="sr-Latn-ME"/>
        </w:rPr>
      </w:pPr>
      <w:r w:rsidRPr="00A259FB">
        <w:rPr>
          <w:szCs w:val="22"/>
          <w:lang w:val="sr-Latn-ME"/>
        </w:rPr>
        <w:t>Kod ve</w:t>
      </w:r>
      <w:r w:rsidRPr="00A259FB">
        <w:rPr>
          <w:rFonts w:eastAsia="TimesNewRoman"/>
          <w:szCs w:val="22"/>
          <w:lang w:val="sr-Latn-ME"/>
        </w:rPr>
        <w:t>ć</w:t>
      </w:r>
      <w:r w:rsidRPr="00A259FB">
        <w:rPr>
          <w:szCs w:val="22"/>
          <w:lang w:val="sr-Latn-ME"/>
        </w:rPr>
        <w:t>ine pacijenata terapijski odgovor se postiže sa 100 mg atenolola jedanput dnevno ili 50 mg dvaput dnevno. Nije v</w:t>
      </w:r>
      <w:r w:rsidR="00CE5619" w:rsidRPr="00A259FB">
        <w:rPr>
          <w:szCs w:val="22"/>
          <w:lang w:val="sr-Latn-ME"/>
        </w:rPr>
        <w:t>j</w:t>
      </w:r>
      <w:r w:rsidRPr="00A259FB">
        <w:rPr>
          <w:szCs w:val="22"/>
          <w:lang w:val="sr-Latn-ME"/>
        </w:rPr>
        <w:t>erovatno da bi ve</w:t>
      </w:r>
      <w:r w:rsidRPr="00A259FB">
        <w:rPr>
          <w:rFonts w:eastAsia="TimesNewRoman"/>
          <w:szCs w:val="22"/>
          <w:lang w:val="sr-Latn-ME"/>
        </w:rPr>
        <w:t>ć</w:t>
      </w:r>
      <w:r w:rsidRPr="00A259FB">
        <w:rPr>
          <w:szCs w:val="22"/>
          <w:lang w:val="sr-Latn-ME"/>
        </w:rPr>
        <w:t xml:space="preserve">a dnevna doza izazvala bolji efekat. </w:t>
      </w:r>
    </w:p>
    <w:p w14:paraId="2B87B104" w14:textId="77777777" w:rsidR="00767CD8" w:rsidRPr="00A259FB" w:rsidRDefault="00767CD8" w:rsidP="00767CD8">
      <w:pPr>
        <w:tabs>
          <w:tab w:val="clear" w:pos="284"/>
        </w:tabs>
        <w:autoSpaceDE w:val="0"/>
        <w:autoSpaceDN w:val="0"/>
        <w:adjustRightInd w:val="0"/>
        <w:rPr>
          <w:szCs w:val="22"/>
          <w:lang w:val="sr-Latn-ME"/>
        </w:rPr>
      </w:pPr>
    </w:p>
    <w:p w14:paraId="2A9DBFCD" w14:textId="77777777" w:rsidR="00E90FE8" w:rsidRPr="00A259FB" w:rsidRDefault="00E90FE8" w:rsidP="00767CD8">
      <w:pPr>
        <w:pStyle w:val="Header"/>
        <w:tabs>
          <w:tab w:val="clear" w:pos="4536"/>
          <w:tab w:val="clear" w:pos="9072"/>
          <w:tab w:val="left" w:pos="284"/>
        </w:tabs>
        <w:rPr>
          <w:bCs/>
          <w:i/>
          <w:szCs w:val="22"/>
          <w:lang w:val="sr-Latn-ME"/>
        </w:rPr>
      </w:pPr>
      <w:r w:rsidRPr="00A259FB">
        <w:rPr>
          <w:i/>
          <w:szCs w:val="22"/>
          <w:lang w:val="sr-Latn-ME"/>
        </w:rPr>
        <w:lastRenderedPageBreak/>
        <w:t>Srčane aritmije</w:t>
      </w:r>
    </w:p>
    <w:p w14:paraId="2A9DBFCE" w14:textId="269560B5" w:rsidR="00E90FE8" w:rsidRPr="00A259FB" w:rsidRDefault="00E90FE8" w:rsidP="00767CD8">
      <w:pPr>
        <w:rPr>
          <w:color w:val="000000"/>
          <w:szCs w:val="22"/>
          <w:lang w:val="sr-Latn-ME"/>
        </w:rPr>
      </w:pPr>
      <w:r w:rsidRPr="00A259FB">
        <w:rPr>
          <w:szCs w:val="22"/>
          <w:lang w:val="sr-Latn-ME"/>
        </w:rPr>
        <w:t>Terapija se može započeti prim</w:t>
      </w:r>
      <w:r w:rsidR="00CE5619" w:rsidRPr="00A259FB">
        <w:rPr>
          <w:szCs w:val="22"/>
          <w:lang w:val="sr-Latn-ME"/>
        </w:rPr>
        <w:t>j</w:t>
      </w:r>
      <w:r w:rsidRPr="00A259FB">
        <w:rPr>
          <w:szCs w:val="22"/>
          <w:lang w:val="sr-Latn-ME"/>
        </w:rPr>
        <w:t>enom atenolola intravenskom injekcijom u dozi od 2,5 mg (5 m</w:t>
      </w:r>
      <w:r w:rsidR="00CE5619" w:rsidRPr="00A259FB">
        <w:rPr>
          <w:szCs w:val="22"/>
          <w:lang w:val="sr-Latn-ME"/>
        </w:rPr>
        <w:t>l</w:t>
      </w:r>
      <w:r w:rsidRPr="00A259FB">
        <w:rPr>
          <w:szCs w:val="22"/>
          <w:lang w:val="sr-Latn-ME"/>
        </w:rPr>
        <w:t>), tokom 2,5 minuta (1 mg/min). Postupak se može ponavljati do postizanja terapijskog odgovora, u intervalima od po 5 minuta, do maksimalne doze od 10 mg. Ukoliko se prim</w:t>
      </w:r>
      <w:r w:rsidR="00CE5619" w:rsidRPr="00A259FB">
        <w:rPr>
          <w:szCs w:val="22"/>
          <w:lang w:val="sr-Latn-ME"/>
        </w:rPr>
        <w:t>j</w:t>
      </w:r>
      <w:r w:rsidRPr="00A259FB">
        <w:rPr>
          <w:szCs w:val="22"/>
          <w:lang w:val="sr-Latn-ME"/>
        </w:rPr>
        <w:t>ena vrši intravenskom infuzijom, daje se doza od 0,15 mg/kg t</w:t>
      </w:r>
      <w:r w:rsidR="00CE5619" w:rsidRPr="00A259FB">
        <w:rPr>
          <w:szCs w:val="22"/>
          <w:lang w:val="sr-Latn-ME"/>
        </w:rPr>
        <w:t>j</w:t>
      </w:r>
      <w:r w:rsidRPr="00A259FB">
        <w:rPr>
          <w:szCs w:val="22"/>
          <w:lang w:val="sr-Latn-ME"/>
        </w:rPr>
        <w:t>elesne mase, tokom 20 minuta. Po potrebi, injekcija ili infuzija se mogu ponavljati na svakih 12 sati. Kada</w:t>
      </w:r>
      <w:r w:rsidRPr="00A259FB">
        <w:rPr>
          <w:color w:val="000000"/>
          <w:szCs w:val="22"/>
          <w:lang w:val="sr-Latn-ME"/>
        </w:rPr>
        <w:t xml:space="preserve"> se aritmija stabilizuje, treba preći na oralnu prim</w:t>
      </w:r>
      <w:r w:rsidR="00CE5619" w:rsidRPr="00A259FB">
        <w:rPr>
          <w:color w:val="000000"/>
          <w:szCs w:val="22"/>
          <w:lang w:val="sr-Latn-ME"/>
        </w:rPr>
        <w:t>j</w:t>
      </w:r>
      <w:r w:rsidRPr="00A259FB">
        <w:rPr>
          <w:color w:val="000000"/>
          <w:szCs w:val="22"/>
          <w:lang w:val="sr-Latn-ME"/>
        </w:rPr>
        <w:t>enu atenolola u dozi održavanja, od 50 do 100 mg dnevno.</w:t>
      </w:r>
    </w:p>
    <w:p w14:paraId="4BABB481" w14:textId="77777777" w:rsidR="00767CD8" w:rsidRPr="00A259FB" w:rsidRDefault="00767CD8" w:rsidP="00767CD8">
      <w:pPr>
        <w:rPr>
          <w:color w:val="000000"/>
          <w:szCs w:val="22"/>
          <w:lang w:val="sr-Latn-ME"/>
        </w:rPr>
      </w:pPr>
    </w:p>
    <w:p w14:paraId="2A9DBFD0" w14:textId="77777777" w:rsidR="00E90FE8" w:rsidRPr="00A259FB" w:rsidRDefault="00E90FE8" w:rsidP="00767CD8">
      <w:pPr>
        <w:rPr>
          <w:color w:val="000000"/>
          <w:szCs w:val="22"/>
          <w:lang w:val="sr-Latn-ME"/>
        </w:rPr>
      </w:pPr>
      <w:r w:rsidRPr="00A259FB">
        <w:rPr>
          <w:i/>
          <w:color w:val="000000"/>
          <w:szCs w:val="22"/>
          <w:lang w:val="sr-Latn-ME"/>
        </w:rPr>
        <w:t>Infarkt miokarda</w:t>
      </w:r>
      <w:r w:rsidRPr="00A259FB">
        <w:rPr>
          <w:color w:val="000000"/>
          <w:szCs w:val="22"/>
          <w:lang w:val="sr-Latn-ME"/>
        </w:rPr>
        <w:t xml:space="preserve">  </w:t>
      </w:r>
    </w:p>
    <w:p w14:paraId="2A9DBFD1" w14:textId="086ACCFA" w:rsidR="00E90FE8" w:rsidRPr="00A259FB" w:rsidRDefault="00E90FE8" w:rsidP="00767CD8">
      <w:pPr>
        <w:rPr>
          <w:color w:val="000000"/>
          <w:szCs w:val="22"/>
          <w:lang w:val="sr-Latn-ME"/>
        </w:rPr>
      </w:pPr>
      <w:r w:rsidRPr="00A259FB">
        <w:rPr>
          <w:color w:val="000000"/>
          <w:szCs w:val="22"/>
          <w:lang w:val="sr-Latn-ME"/>
        </w:rPr>
        <w:t>Pacijentima kod kojih je pogodna prim</w:t>
      </w:r>
      <w:r w:rsidR="00CE5619" w:rsidRPr="00A259FB">
        <w:rPr>
          <w:color w:val="000000"/>
          <w:szCs w:val="22"/>
          <w:lang w:val="sr-Latn-ME"/>
        </w:rPr>
        <w:t>j</w:t>
      </w:r>
      <w:r w:rsidRPr="00A259FB">
        <w:rPr>
          <w:color w:val="000000"/>
          <w:szCs w:val="22"/>
          <w:lang w:val="sr-Latn-ME"/>
        </w:rPr>
        <w:t>ena intravenskih beta</w:t>
      </w:r>
      <w:r w:rsidR="00893D51" w:rsidRPr="00A259FB">
        <w:rPr>
          <w:color w:val="000000"/>
          <w:szCs w:val="22"/>
          <w:lang w:val="sr-Latn-ME"/>
        </w:rPr>
        <w:t>-</w:t>
      </w:r>
      <w:r w:rsidRPr="00A259FB">
        <w:rPr>
          <w:color w:val="000000"/>
          <w:szCs w:val="22"/>
          <w:lang w:val="sr-Latn-ME"/>
        </w:rPr>
        <w:t xml:space="preserve">blokatora, najkasnije 12 sati od pojave bolova u grudima, treba dati 5 - 10 mg atenolola sporom intravenskom injekcijom (1 mg/min). Ukoliko tokom intravenskog davanja nije došlo do pojave neželjenih </w:t>
      </w:r>
      <w:r w:rsidR="00D1590C" w:rsidRPr="00A259FB">
        <w:rPr>
          <w:color w:val="000000"/>
          <w:szCs w:val="22"/>
          <w:lang w:val="sr-Latn-ME"/>
        </w:rPr>
        <w:t>dejstava</w:t>
      </w:r>
      <w:r w:rsidRPr="00A259FB">
        <w:rPr>
          <w:color w:val="000000"/>
          <w:szCs w:val="22"/>
          <w:lang w:val="sr-Latn-ME"/>
        </w:rPr>
        <w:t>, nakon 15 minuta dati 50 mg atenolola oralno. Nakon 12 sati dati još jednu tabletu od 50 mg, a 12 sati kasnije započeti sa prim</w:t>
      </w:r>
      <w:r w:rsidR="00CE5619" w:rsidRPr="00A259FB">
        <w:rPr>
          <w:color w:val="000000"/>
          <w:szCs w:val="22"/>
          <w:lang w:val="sr-Latn-ME"/>
        </w:rPr>
        <w:t>j</w:t>
      </w:r>
      <w:r w:rsidRPr="00A259FB">
        <w:rPr>
          <w:color w:val="000000"/>
          <w:szCs w:val="22"/>
          <w:lang w:val="sr-Latn-ME"/>
        </w:rPr>
        <w:t>enom doze održavanja od 100 mg, jedanput dnevno. Prim</w:t>
      </w:r>
      <w:r w:rsidR="00CE5619" w:rsidRPr="00A259FB">
        <w:rPr>
          <w:color w:val="000000"/>
          <w:szCs w:val="22"/>
          <w:lang w:val="sr-Latn-ME"/>
        </w:rPr>
        <w:t>j</w:t>
      </w:r>
      <w:r w:rsidRPr="00A259FB">
        <w:rPr>
          <w:color w:val="000000"/>
          <w:szCs w:val="22"/>
          <w:lang w:val="sr-Latn-ME"/>
        </w:rPr>
        <w:t>enu l</w:t>
      </w:r>
      <w:r w:rsidR="00CE5619" w:rsidRPr="00A259FB">
        <w:rPr>
          <w:color w:val="000000"/>
          <w:szCs w:val="22"/>
          <w:lang w:val="sr-Latn-ME"/>
        </w:rPr>
        <w:t>ij</w:t>
      </w:r>
      <w:r w:rsidRPr="00A259FB">
        <w:rPr>
          <w:color w:val="000000"/>
          <w:szCs w:val="22"/>
          <w:lang w:val="sr-Latn-ME"/>
        </w:rPr>
        <w:t>eka treba obustaviti u slučaju pojave bradikardije</w:t>
      </w:r>
      <w:r w:rsidR="00615BC8" w:rsidRPr="00A259FB">
        <w:rPr>
          <w:color w:val="000000"/>
          <w:szCs w:val="22"/>
          <w:lang w:val="sr-Latn-ME"/>
        </w:rPr>
        <w:t xml:space="preserve"> i/ili</w:t>
      </w:r>
      <w:r w:rsidRPr="00A259FB">
        <w:rPr>
          <w:color w:val="000000"/>
          <w:szCs w:val="22"/>
          <w:lang w:val="sr-Latn-ME"/>
        </w:rPr>
        <w:t xml:space="preserve"> hipotenzije ili nekog drugog neželjenog dejstva. </w:t>
      </w:r>
    </w:p>
    <w:p w14:paraId="2A9DBFD2" w14:textId="76C6C3E8" w:rsidR="00E90FE8" w:rsidRPr="00A259FB" w:rsidRDefault="00025C2C" w:rsidP="00767CD8">
      <w:pPr>
        <w:rPr>
          <w:bCs/>
          <w:i/>
          <w:color w:val="000000"/>
          <w:szCs w:val="22"/>
          <w:lang w:val="sr-Latn-ME"/>
        </w:rPr>
      </w:pPr>
      <w:r w:rsidRPr="00A259FB">
        <w:rPr>
          <w:bCs/>
          <w:i/>
          <w:color w:val="000000"/>
          <w:szCs w:val="22"/>
          <w:lang w:val="sr-Latn-ME"/>
        </w:rPr>
        <w:t>* Na teritoriji</w:t>
      </w:r>
      <w:r w:rsidR="00CE5619" w:rsidRPr="00A259FB">
        <w:rPr>
          <w:bCs/>
          <w:i/>
          <w:color w:val="000000"/>
          <w:szCs w:val="22"/>
          <w:lang w:val="sr-Latn-ME"/>
        </w:rPr>
        <w:t xml:space="preserve"> Crne Gore</w:t>
      </w:r>
      <w:r w:rsidRPr="00A259FB">
        <w:rPr>
          <w:bCs/>
          <w:i/>
          <w:color w:val="000000"/>
          <w:szCs w:val="22"/>
          <w:lang w:val="sr-Latn-ME"/>
        </w:rPr>
        <w:t xml:space="preserve"> nije dostupna formulacija atenolola u obliku intravenske injekcije.</w:t>
      </w:r>
    </w:p>
    <w:p w14:paraId="42568202" w14:textId="77777777" w:rsidR="00767CD8" w:rsidRPr="00A259FB" w:rsidRDefault="00767CD8" w:rsidP="00767CD8">
      <w:pPr>
        <w:rPr>
          <w:bCs/>
          <w:i/>
          <w:color w:val="000000"/>
          <w:szCs w:val="22"/>
          <w:lang w:val="sr-Latn-ME"/>
        </w:rPr>
      </w:pPr>
    </w:p>
    <w:p w14:paraId="2A9DBFD3" w14:textId="4CF6219B" w:rsidR="00E90FE8" w:rsidRPr="00A259FB" w:rsidRDefault="00E90FE8" w:rsidP="00767CD8">
      <w:pPr>
        <w:rPr>
          <w:b/>
          <w:color w:val="000000"/>
          <w:szCs w:val="22"/>
          <w:lang w:val="sr-Latn-ME"/>
        </w:rPr>
      </w:pPr>
      <w:r w:rsidRPr="00A259FB">
        <w:rPr>
          <w:b/>
          <w:bCs/>
          <w:color w:val="000000"/>
          <w:szCs w:val="22"/>
          <w:lang w:val="sr-Latn-ME"/>
        </w:rPr>
        <w:t>Starij</w:t>
      </w:r>
      <w:r w:rsidR="00D1590C" w:rsidRPr="00A259FB">
        <w:rPr>
          <w:b/>
          <w:bCs/>
          <w:color w:val="000000"/>
          <w:szCs w:val="22"/>
          <w:lang w:val="sr-Latn-ME"/>
        </w:rPr>
        <w:t>i pacijenti</w:t>
      </w:r>
      <w:r w:rsidRPr="00A259FB">
        <w:rPr>
          <w:b/>
          <w:bCs/>
          <w:color w:val="000000"/>
          <w:szCs w:val="22"/>
          <w:lang w:val="sr-Latn-ME"/>
        </w:rPr>
        <w:t xml:space="preserve"> </w:t>
      </w:r>
    </w:p>
    <w:p w14:paraId="2A9DBFD5" w14:textId="195706A4" w:rsidR="00E90FE8" w:rsidRPr="00A259FB" w:rsidRDefault="00025C2C" w:rsidP="00767CD8">
      <w:pPr>
        <w:pStyle w:val="Header"/>
        <w:tabs>
          <w:tab w:val="clear" w:pos="4536"/>
          <w:tab w:val="clear" w:pos="9072"/>
          <w:tab w:val="left" w:pos="284"/>
        </w:tabs>
        <w:rPr>
          <w:color w:val="000000"/>
          <w:szCs w:val="22"/>
          <w:lang w:val="sr-Latn-ME"/>
        </w:rPr>
      </w:pPr>
      <w:r w:rsidRPr="00A259FB">
        <w:rPr>
          <w:color w:val="000000"/>
          <w:szCs w:val="22"/>
          <w:lang w:val="sr-Latn-ME"/>
        </w:rPr>
        <w:t xml:space="preserve">Kod starijih </w:t>
      </w:r>
      <w:r w:rsidR="00352FB7" w:rsidRPr="00A259FB">
        <w:rPr>
          <w:color w:val="000000"/>
          <w:szCs w:val="22"/>
          <w:lang w:val="sr-Latn-ME"/>
        </w:rPr>
        <w:t>pacijenata</w:t>
      </w:r>
      <w:r w:rsidR="00E90FE8" w:rsidRPr="00A259FB">
        <w:rPr>
          <w:color w:val="000000"/>
          <w:szCs w:val="22"/>
          <w:lang w:val="sr-Latn-ME"/>
        </w:rPr>
        <w:t xml:space="preserve"> doza se može smanjiti, posebno </w:t>
      </w:r>
      <w:r w:rsidR="00352FB7" w:rsidRPr="00A259FB">
        <w:rPr>
          <w:color w:val="000000"/>
          <w:szCs w:val="22"/>
          <w:lang w:val="sr-Latn-ME"/>
        </w:rPr>
        <w:t xml:space="preserve">kod </w:t>
      </w:r>
      <w:r w:rsidR="00E90FE8" w:rsidRPr="00A259FB">
        <w:rPr>
          <w:color w:val="000000"/>
          <w:szCs w:val="22"/>
          <w:lang w:val="sr-Latn-ME"/>
        </w:rPr>
        <w:t>pacijen</w:t>
      </w:r>
      <w:r w:rsidR="00404D73" w:rsidRPr="00A259FB">
        <w:rPr>
          <w:color w:val="000000"/>
          <w:szCs w:val="22"/>
          <w:lang w:val="sr-Latn-ME"/>
        </w:rPr>
        <w:t>a</w:t>
      </w:r>
      <w:r w:rsidR="00E90FE8" w:rsidRPr="00A259FB">
        <w:rPr>
          <w:color w:val="000000"/>
          <w:szCs w:val="22"/>
          <w:lang w:val="sr-Latn-ME"/>
        </w:rPr>
        <w:t xml:space="preserve">ta sa </w:t>
      </w:r>
      <w:r w:rsidRPr="00A259FB">
        <w:rPr>
          <w:color w:val="000000"/>
          <w:szCs w:val="22"/>
          <w:lang w:val="sr-Latn-ME"/>
        </w:rPr>
        <w:t>oštećen</w:t>
      </w:r>
      <w:r w:rsidR="00352FB7" w:rsidRPr="00A259FB">
        <w:rPr>
          <w:color w:val="000000"/>
          <w:szCs w:val="22"/>
          <w:lang w:val="sr-Latn-ME"/>
        </w:rPr>
        <w:t>jem</w:t>
      </w:r>
      <w:r w:rsidR="00E90FE8" w:rsidRPr="00A259FB">
        <w:rPr>
          <w:color w:val="000000"/>
          <w:szCs w:val="22"/>
          <w:lang w:val="sr-Latn-ME"/>
        </w:rPr>
        <w:t xml:space="preserve"> funkcij</w:t>
      </w:r>
      <w:r w:rsidR="00352FB7" w:rsidRPr="00A259FB">
        <w:rPr>
          <w:color w:val="000000"/>
          <w:szCs w:val="22"/>
          <w:lang w:val="sr-Latn-ME"/>
        </w:rPr>
        <w:t>e</w:t>
      </w:r>
      <w:r w:rsidR="00E90FE8" w:rsidRPr="00A259FB">
        <w:rPr>
          <w:color w:val="000000"/>
          <w:szCs w:val="22"/>
          <w:lang w:val="sr-Latn-ME"/>
        </w:rPr>
        <w:t xml:space="preserve"> bubrega.</w:t>
      </w:r>
    </w:p>
    <w:p w14:paraId="3AA68A69" w14:textId="77777777" w:rsidR="00767CD8" w:rsidRPr="00A259FB" w:rsidRDefault="00767CD8" w:rsidP="00767CD8">
      <w:pPr>
        <w:pStyle w:val="Header"/>
        <w:tabs>
          <w:tab w:val="clear" w:pos="4536"/>
          <w:tab w:val="clear" w:pos="9072"/>
          <w:tab w:val="left" w:pos="284"/>
        </w:tabs>
        <w:rPr>
          <w:color w:val="000000"/>
          <w:szCs w:val="22"/>
          <w:lang w:val="sr-Latn-ME"/>
        </w:rPr>
      </w:pPr>
    </w:p>
    <w:p w14:paraId="118EFED8" w14:textId="77777777" w:rsidR="005F5846" w:rsidRPr="00A259FB" w:rsidRDefault="00352FB7" w:rsidP="00767CD8">
      <w:pPr>
        <w:rPr>
          <w:b/>
          <w:szCs w:val="22"/>
          <w:lang w:val="sr-Latn-ME"/>
        </w:rPr>
      </w:pPr>
      <w:r w:rsidRPr="00A259FB">
        <w:rPr>
          <w:b/>
          <w:szCs w:val="22"/>
          <w:lang w:val="sr-Latn-ME"/>
        </w:rPr>
        <w:t>Pedijatrijska populacija</w:t>
      </w:r>
    </w:p>
    <w:p w14:paraId="2A9DBFD9" w14:textId="67C12F61" w:rsidR="00E90FE8" w:rsidRPr="00A259FB" w:rsidRDefault="00E90FE8" w:rsidP="00767CD8">
      <w:pPr>
        <w:rPr>
          <w:szCs w:val="22"/>
          <w:lang w:val="sr-Latn-ME"/>
        </w:rPr>
      </w:pPr>
      <w:r w:rsidRPr="00A259FB">
        <w:rPr>
          <w:szCs w:val="22"/>
          <w:lang w:val="sr-Latn-ME"/>
        </w:rPr>
        <w:t>Atenolol se ne sm</w:t>
      </w:r>
      <w:r w:rsidR="00CE5619" w:rsidRPr="00A259FB">
        <w:rPr>
          <w:szCs w:val="22"/>
          <w:lang w:val="sr-Latn-ME"/>
        </w:rPr>
        <w:t>ij</w:t>
      </w:r>
      <w:r w:rsidRPr="00A259FB">
        <w:rPr>
          <w:szCs w:val="22"/>
          <w:lang w:val="sr-Latn-ME"/>
        </w:rPr>
        <w:t xml:space="preserve">e </w:t>
      </w:r>
      <w:r w:rsidR="00025C2C" w:rsidRPr="00A259FB">
        <w:rPr>
          <w:szCs w:val="22"/>
          <w:lang w:val="sr-Latn-ME"/>
        </w:rPr>
        <w:t>prim</w:t>
      </w:r>
      <w:r w:rsidR="00CE5619" w:rsidRPr="00A259FB">
        <w:rPr>
          <w:szCs w:val="22"/>
          <w:lang w:val="sr-Latn-ME"/>
        </w:rPr>
        <w:t>j</w:t>
      </w:r>
      <w:r w:rsidR="00025C2C" w:rsidRPr="00A259FB">
        <w:rPr>
          <w:szCs w:val="22"/>
          <w:lang w:val="sr-Latn-ME"/>
        </w:rPr>
        <w:t>enjivati kod</w:t>
      </w:r>
      <w:r w:rsidRPr="00A259FB">
        <w:rPr>
          <w:szCs w:val="22"/>
          <w:lang w:val="sr-Latn-ME"/>
        </w:rPr>
        <w:t xml:space="preserve"> d</w:t>
      </w:r>
      <w:r w:rsidR="00CE5619" w:rsidRPr="00A259FB">
        <w:rPr>
          <w:szCs w:val="22"/>
          <w:lang w:val="sr-Latn-ME"/>
        </w:rPr>
        <w:t>j</w:t>
      </w:r>
      <w:r w:rsidRPr="00A259FB">
        <w:rPr>
          <w:szCs w:val="22"/>
          <w:lang w:val="sr-Latn-ME"/>
        </w:rPr>
        <w:t>ec</w:t>
      </w:r>
      <w:r w:rsidR="00025C2C" w:rsidRPr="00A259FB">
        <w:rPr>
          <w:szCs w:val="22"/>
          <w:lang w:val="sr-Latn-ME"/>
        </w:rPr>
        <w:t>e</w:t>
      </w:r>
      <w:r w:rsidR="005F5846" w:rsidRPr="00A259FB">
        <w:rPr>
          <w:szCs w:val="22"/>
          <w:lang w:val="sr-Latn-ME"/>
        </w:rPr>
        <w:t>,</w:t>
      </w:r>
      <w:r w:rsidRPr="00A259FB">
        <w:rPr>
          <w:szCs w:val="22"/>
          <w:lang w:val="sr-Latn-ME"/>
        </w:rPr>
        <w:t xml:space="preserve"> zbog nedovoljnog iskustva sa prim</w:t>
      </w:r>
      <w:r w:rsidR="00CE5619" w:rsidRPr="00A259FB">
        <w:rPr>
          <w:szCs w:val="22"/>
          <w:lang w:val="sr-Latn-ME"/>
        </w:rPr>
        <w:t>j</w:t>
      </w:r>
      <w:r w:rsidRPr="00A259FB">
        <w:rPr>
          <w:szCs w:val="22"/>
          <w:lang w:val="sr-Latn-ME"/>
        </w:rPr>
        <w:t>enom ovog l</w:t>
      </w:r>
      <w:r w:rsidR="00CE5619" w:rsidRPr="00A259FB">
        <w:rPr>
          <w:szCs w:val="22"/>
          <w:lang w:val="sr-Latn-ME"/>
        </w:rPr>
        <w:t>ij</w:t>
      </w:r>
      <w:r w:rsidRPr="00A259FB">
        <w:rPr>
          <w:szCs w:val="22"/>
          <w:lang w:val="sr-Latn-ME"/>
        </w:rPr>
        <w:t xml:space="preserve">eka u pedijatrijskoj </w:t>
      </w:r>
      <w:r w:rsidR="00025C2C" w:rsidRPr="00A259FB">
        <w:rPr>
          <w:szCs w:val="22"/>
          <w:lang w:val="sr-Latn-ME"/>
        </w:rPr>
        <w:t>populaciji.</w:t>
      </w:r>
    </w:p>
    <w:p w14:paraId="79437793" w14:textId="77777777" w:rsidR="00767CD8" w:rsidRPr="00A259FB" w:rsidRDefault="00767CD8" w:rsidP="00767CD8">
      <w:pPr>
        <w:rPr>
          <w:szCs w:val="22"/>
          <w:lang w:val="sr-Latn-ME"/>
        </w:rPr>
      </w:pPr>
    </w:p>
    <w:p w14:paraId="2A9DBFDB" w14:textId="72BFEA98" w:rsidR="00E90FE8" w:rsidRPr="00A259FB" w:rsidRDefault="00E90FE8" w:rsidP="00767CD8">
      <w:pPr>
        <w:pStyle w:val="Header"/>
        <w:tabs>
          <w:tab w:val="clear" w:pos="4536"/>
          <w:tab w:val="clear" w:pos="9072"/>
          <w:tab w:val="left" w:pos="284"/>
        </w:tabs>
        <w:rPr>
          <w:b/>
          <w:bCs/>
          <w:iCs/>
          <w:szCs w:val="22"/>
          <w:lang w:val="sr-Latn-ME"/>
        </w:rPr>
      </w:pPr>
      <w:r w:rsidRPr="00A259FB">
        <w:rPr>
          <w:b/>
          <w:bCs/>
          <w:iCs/>
          <w:szCs w:val="22"/>
          <w:lang w:val="sr-Latn-ME"/>
        </w:rPr>
        <w:t xml:space="preserve">Pacijenti sa </w:t>
      </w:r>
      <w:r w:rsidR="00352FB7" w:rsidRPr="00A259FB">
        <w:rPr>
          <w:b/>
          <w:bCs/>
          <w:iCs/>
          <w:szCs w:val="22"/>
          <w:lang w:val="sr-Latn-ME"/>
        </w:rPr>
        <w:t>oštećenjem funkcije bubrega</w:t>
      </w:r>
    </w:p>
    <w:p w14:paraId="2A9DBFDC" w14:textId="19112DE4" w:rsidR="00E90FE8" w:rsidRPr="00A259FB" w:rsidRDefault="00E90FE8" w:rsidP="00767CD8">
      <w:pPr>
        <w:rPr>
          <w:szCs w:val="22"/>
          <w:lang w:val="sr-Latn-ME"/>
        </w:rPr>
      </w:pPr>
      <w:r w:rsidRPr="00A259FB">
        <w:rPr>
          <w:szCs w:val="22"/>
          <w:lang w:val="sr-Latn-ME"/>
        </w:rPr>
        <w:t>S obzirom</w:t>
      </w:r>
      <w:r w:rsidR="00352FB7" w:rsidRPr="00A259FB">
        <w:rPr>
          <w:szCs w:val="22"/>
          <w:lang w:val="sr-Latn-ME"/>
        </w:rPr>
        <w:t xml:space="preserve"> na to</w:t>
      </w:r>
      <w:r w:rsidRPr="00A259FB">
        <w:rPr>
          <w:szCs w:val="22"/>
          <w:lang w:val="sr-Latn-ME"/>
        </w:rPr>
        <w:t xml:space="preserve"> da se atenolol izlučuje putem bubrega, kod pacijenata sa teškim oštećenjem funkcije</w:t>
      </w:r>
      <w:r w:rsidR="00025C2C" w:rsidRPr="00A259FB">
        <w:rPr>
          <w:szCs w:val="22"/>
          <w:lang w:val="sr-Latn-ME"/>
        </w:rPr>
        <w:t xml:space="preserve"> bubrega</w:t>
      </w:r>
      <w:r w:rsidRPr="00A259FB">
        <w:rPr>
          <w:szCs w:val="22"/>
          <w:lang w:val="sr-Latn-ME"/>
        </w:rPr>
        <w:t xml:space="preserve"> potrebno je prilagoditi dozu l</w:t>
      </w:r>
      <w:r w:rsidR="00CE5619" w:rsidRPr="00A259FB">
        <w:rPr>
          <w:szCs w:val="22"/>
          <w:lang w:val="sr-Latn-ME"/>
        </w:rPr>
        <w:t>ij</w:t>
      </w:r>
      <w:r w:rsidRPr="00A259FB">
        <w:rPr>
          <w:szCs w:val="22"/>
          <w:lang w:val="sr-Latn-ME"/>
        </w:rPr>
        <w:t xml:space="preserve">eka. </w:t>
      </w:r>
    </w:p>
    <w:p w14:paraId="431A4AEF" w14:textId="77777777" w:rsidR="00767CD8" w:rsidRPr="00A259FB" w:rsidRDefault="00767CD8" w:rsidP="00767CD8">
      <w:pPr>
        <w:rPr>
          <w:szCs w:val="22"/>
          <w:lang w:val="sr-Latn-ME"/>
        </w:rPr>
      </w:pPr>
    </w:p>
    <w:p w14:paraId="2A9DBFDE" w14:textId="03634A28" w:rsidR="00E90FE8" w:rsidRPr="00A259FB" w:rsidRDefault="00E90FE8" w:rsidP="00767CD8">
      <w:pPr>
        <w:tabs>
          <w:tab w:val="clear" w:pos="284"/>
        </w:tabs>
        <w:autoSpaceDE w:val="0"/>
        <w:autoSpaceDN w:val="0"/>
        <w:adjustRightInd w:val="0"/>
        <w:rPr>
          <w:szCs w:val="22"/>
          <w:lang w:val="sr-Latn-ME"/>
        </w:rPr>
      </w:pPr>
      <w:r w:rsidRPr="00A259FB">
        <w:rPr>
          <w:szCs w:val="22"/>
          <w:lang w:val="sr-Latn-ME"/>
        </w:rPr>
        <w:t xml:space="preserve">Kod pacijenata sa klirensom kreatinina </w:t>
      </w:r>
      <w:r w:rsidR="00352FB7" w:rsidRPr="00A259FB">
        <w:rPr>
          <w:szCs w:val="22"/>
          <w:lang w:val="sr-Latn-ME"/>
        </w:rPr>
        <w:t>većim od</w:t>
      </w:r>
      <w:r w:rsidRPr="00A259FB">
        <w:rPr>
          <w:szCs w:val="22"/>
          <w:lang w:val="sr-Latn-ME"/>
        </w:rPr>
        <w:t xml:space="preserve"> 35 m</w:t>
      </w:r>
      <w:r w:rsidR="00CE5619" w:rsidRPr="00A259FB">
        <w:rPr>
          <w:szCs w:val="22"/>
          <w:lang w:val="sr-Latn-ME"/>
        </w:rPr>
        <w:t>l</w:t>
      </w:r>
      <w:r w:rsidRPr="00A259FB">
        <w:rPr>
          <w:szCs w:val="22"/>
          <w:lang w:val="sr-Latn-ME"/>
        </w:rPr>
        <w:t>/min/1,73</w:t>
      </w:r>
      <w:r w:rsidR="00352FB7" w:rsidRPr="00A259FB">
        <w:rPr>
          <w:szCs w:val="22"/>
          <w:lang w:val="sr-Latn-ME"/>
        </w:rPr>
        <w:t xml:space="preserve"> </w:t>
      </w:r>
      <w:r w:rsidRPr="00A259FB">
        <w:rPr>
          <w:szCs w:val="22"/>
          <w:lang w:val="sr-Latn-ME"/>
        </w:rPr>
        <w:t>m</w:t>
      </w:r>
      <w:r w:rsidRPr="00A259FB">
        <w:rPr>
          <w:szCs w:val="22"/>
          <w:vertAlign w:val="superscript"/>
          <w:lang w:val="sr-Latn-ME"/>
        </w:rPr>
        <w:t>2</w:t>
      </w:r>
      <w:r w:rsidRPr="00A259FB">
        <w:rPr>
          <w:szCs w:val="22"/>
          <w:lang w:val="sr-Latn-ME"/>
        </w:rPr>
        <w:t xml:space="preserve"> (normalni </w:t>
      </w:r>
      <w:r w:rsidR="00352FB7" w:rsidRPr="00A259FB">
        <w:rPr>
          <w:szCs w:val="22"/>
          <w:lang w:val="sr-Latn-ME"/>
        </w:rPr>
        <w:t>raspon</w:t>
      </w:r>
      <w:r w:rsidRPr="00A259FB">
        <w:rPr>
          <w:szCs w:val="22"/>
          <w:lang w:val="sr-Latn-ME"/>
        </w:rPr>
        <w:t xml:space="preserve"> je 100 – 150 m</w:t>
      </w:r>
      <w:r w:rsidR="00CE5619" w:rsidRPr="00A259FB">
        <w:rPr>
          <w:szCs w:val="22"/>
          <w:lang w:val="sr-Latn-ME"/>
        </w:rPr>
        <w:t>l</w:t>
      </w:r>
      <w:r w:rsidRPr="00A259FB">
        <w:rPr>
          <w:szCs w:val="22"/>
          <w:lang w:val="sr-Latn-ME"/>
        </w:rPr>
        <w:t>/min/1,73 m</w:t>
      </w:r>
      <w:r w:rsidRPr="00A259FB">
        <w:rPr>
          <w:szCs w:val="22"/>
          <w:vertAlign w:val="superscript"/>
          <w:lang w:val="sr-Latn-ME"/>
        </w:rPr>
        <w:t>2</w:t>
      </w:r>
      <w:r w:rsidRPr="00A259FB">
        <w:rPr>
          <w:szCs w:val="22"/>
          <w:lang w:val="sr-Latn-ME"/>
        </w:rPr>
        <w:t>)</w:t>
      </w:r>
      <w:r w:rsidR="005F5846" w:rsidRPr="00A259FB">
        <w:rPr>
          <w:szCs w:val="22"/>
          <w:lang w:val="sr-Latn-ME"/>
        </w:rPr>
        <w:t>,</w:t>
      </w:r>
      <w:r w:rsidRPr="00A259FB">
        <w:rPr>
          <w:szCs w:val="22"/>
          <w:lang w:val="sr-Latn-ME"/>
        </w:rPr>
        <w:t xml:space="preserve"> nema zna</w:t>
      </w:r>
      <w:r w:rsidRPr="00A259FB">
        <w:rPr>
          <w:rFonts w:eastAsia="TimesNewRoman"/>
          <w:szCs w:val="22"/>
          <w:lang w:val="sr-Latn-ME"/>
        </w:rPr>
        <w:t>č</w:t>
      </w:r>
      <w:r w:rsidRPr="00A259FB">
        <w:rPr>
          <w:szCs w:val="22"/>
          <w:lang w:val="sr-Latn-ME"/>
        </w:rPr>
        <w:t xml:space="preserve">ajne akumulacije atenolola. </w:t>
      </w:r>
    </w:p>
    <w:p w14:paraId="13209057" w14:textId="77777777" w:rsidR="00767CD8" w:rsidRPr="00A259FB" w:rsidRDefault="00767CD8" w:rsidP="00767CD8">
      <w:pPr>
        <w:tabs>
          <w:tab w:val="clear" w:pos="284"/>
        </w:tabs>
        <w:autoSpaceDE w:val="0"/>
        <w:autoSpaceDN w:val="0"/>
        <w:adjustRightInd w:val="0"/>
        <w:rPr>
          <w:szCs w:val="22"/>
          <w:lang w:val="sr-Latn-ME"/>
        </w:rPr>
      </w:pPr>
    </w:p>
    <w:p w14:paraId="2A9DBFE0" w14:textId="08314E93" w:rsidR="00E90FE8" w:rsidRPr="00A259FB" w:rsidRDefault="00E90FE8" w:rsidP="00767CD8">
      <w:pPr>
        <w:tabs>
          <w:tab w:val="clear" w:pos="284"/>
        </w:tabs>
        <w:autoSpaceDE w:val="0"/>
        <w:autoSpaceDN w:val="0"/>
        <w:adjustRightInd w:val="0"/>
        <w:rPr>
          <w:szCs w:val="22"/>
          <w:lang w:val="sr-Latn-ME"/>
        </w:rPr>
      </w:pPr>
      <w:r w:rsidRPr="00A259FB">
        <w:rPr>
          <w:szCs w:val="22"/>
          <w:lang w:val="sr-Latn-ME"/>
        </w:rPr>
        <w:t>Kod pacijenata sa klirensom kreatinina 15 - 35 m</w:t>
      </w:r>
      <w:r w:rsidR="00CE5619" w:rsidRPr="00A259FB">
        <w:rPr>
          <w:szCs w:val="22"/>
          <w:lang w:val="sr-Latn-ME"/>
        </w:rPr>
        <w:t>l</w:t>
      </w:r>
      <w:r w:rsidRPr="00A259FB">
        <w:rPr>
          <w:szCs w:val="22"/>
          <w:lang w:val="sr-Latn-ME"/>
        </w:rPr>
        <w:t>/min/1,73</w:t>
      </w:r>
      <w:r w:rsidR="00352FB7" w:rsidRPr="00A259FB">
        <w:rPr>
          <w:szCs w:val="22"/>
          <w:lang w:val="sr-Latn-ME"/>
        </w:rPr>
        <w:t xml:space="preserve"> </w:t>
      </w:r>
      <w:r w:rsidRPr="00A259FB">
        <w:rPr>
          <w:szCs w:val="22"/>
          <w:lang w:val="sr-Latn-ME"/>
        </w:rPr>
        <w:t>m</w:t>
      </w:r>
      <w:r w:rsidRPr="00A259FB">
        <w:rPr>
          <w:szCs w:val="22"/>
          <w:vertAlign w:val="superscript"/>
          <w:lang w:val="sr-Latn-ME"/>
        </w:rPr>
        <w:t>2</w:t>
      </w:r>
      <w:r w:rsidRPr="00A259FB">
        <w:rPr>
          <w:szCs w:val="22"/>
          <w:lang w:val="sr-Latn-ME"/>
        </w:rPr>
        <w:t xml:space="preserve"> (što odgovara </w:t>
      </w:r>
      <w:r w:rsidR="00352FB7" w:rsidRPr="00A259FB">
        <w:rPr>
          <w:szCs w:val="22"/>
          <w:lang w:val="sr-Latn-ME"/>
        </w:rPr>
        <w:t>koncentraciji</w:t>
      </w:r>
      <w:r w:rsidRPr="00A259FB">
        <w:rPr>
          <w:szCs w:val="22"/>
          <w:lang w:val="sr-Latn-ME"/>
        </w:rPr>
        <w:t xml:space="preserve"> kreatinin</w:t>
      </w:r>
      <w:r w:rsidR="00352FB7" w:rsidRPr="00A259FB">
        <w:rPr>
          <w:szCs w:val="22"/>
          <w:lang w:val="sr-Latn-ME"/>
        </w:rPr>
        <w:t>a u serumu</w:t>
      </w:r>
      <w:r w:rsidRPr="00A259FB">
        <w:rPr>
          <w:szCs w:val="22"/>
          <w:lang w:val="sr-Latn-ME"/>
        </w:rPr>
        <w:t xml:space="preserve"> od 300 </w:t>
      </w:r>
      <w:r w:rsidR="001C5AFB" w:rsidRPr="00A259FB">
        <w:rPr>
          <w:szCs w:val="22"/>
          <w:lang w:val="sr-Latn-ME"/>
        </w:rPr>
        <w:t xml:space="preserve">do </w:t>
      </w:r>
      <w:r w:rsidRPr="00A259FB">
        <w:rPr>
          <w:szCs w:val="22"/>
          <w:lang w:val="sr-Latn-ME"/>
        </w:rPr>
        <w:t>600 mikromola/</w:t>
      </w:r>
      <w:r w:rsidR="00CE5619" w:rsidRPr="00A259FB">
        <w:rPr>
          <w:szCs w:val="22"/>
          <w:lang w:val="sr-Latn-ME"/>
        </w:rPr>
        <w:t>l</w:t>
      </w:r>
      <w:r w:rsidRPr="00A259FB">
        <w:rPr>
          <w:szCs w:val="22"/>
          <w:lang w:val="sr-Latn-ME"/>
        </w:rPr>
        <w:t xml:space="preserve">), oralna doza treba da bude 50 mg na dan, a intravenska doza 10 mg </w:t>
      </w:r>
      <w:r w:rsidR="00025C2C" w:rsidRPr="00A259FB">
        <w:rPr>
          <w:szCs w:val="22"/>
          <w:lang w:val="sr-Latn-ME"/>
        </w:rPr>
        <w:t>jednom</w:t>
      </w:r>
      <w:r w:rsidRPr="00A259FB">
        <w:rPr>
          <w:szCs w:val="22"/>
          <w:lang w:val="sr-Latn-ME"/>
        </w:rPr>
        <w:t xml:space="preserve"> svaka dva dana.</w:t>
      </w:r>
    </w:p>
    <w:p w14:paraId="66A0257B" w14:textId="77777777" w:rsidR="00767CD8" w:rsidRPr="00A259FB" w:rsidRDefault="00767CD8" w:rsidP="00767CD8">
      <w:pPr>
        <w:tabs>
          <w:tab w:val="clear" w:pos="284"/>
        </w:tabs>
        <w:autoSpaceDE w:val="0"/>
        <w:autoSpaceDN w:val="0"/>
        <w:adjustRightInd w:val="0"/>
        <w:rPr>
          <w:szCs w:val="22"/>
          <w:lang w:val="sr-Latn-ME"/>
        </w:rPr>
      </w:pPr>
    </w:p>
    <w:p w14:paraId="2A9DBFE2" w14:textId="65A379F2" w:rsidR="00E90FE8" w:rsidRPr="00A259FB" w:rsidRDefault="00E90FE8" w:rsidP="00767CD8">
      <w:pPr>
        <w:tabs>
          <w:tab w:val="clear" w:pos="284"/>
        </w:tabs>
        <w:autoSpaceDE w:val="0"/>
        <w:autoSpaceDN w:val="0"/>
        <w:adjustRightInd w:val="0"/>
        <w:rPr>
          <w:color w:val="000000"/>
          <w:szCs w:val="22"/>
          <w:lang w:val="sr-Latn-ME"/>
        </w:rPr>
      </w:pPr>
      <w:r w:rsidRPr="00A259FB">
        <w:rPr>
          <w:color w:val="000000"/>
          <w:szCs w:val="22"/>
          <w:lang w:val="sr-Latn-ME"/>
        </w:rPr>
        <w:t>Kod pacijenata sa klirensom kreatinina &lt; 15 m</w:t>
      </w:r>
      <w:r w:rsidR="00CE5619" w:rsidRPr="00A259FB">
        <w:rPr>
          <w:color w:val="000000"/>
          <w:szCs w:val="22"/>
          <w:lang w:val="sr-Latn-ME"/>
        </w:rPr>
        <w:t>l</w:t>
      </w:r>
      <w:r w:rsidRPr="00A259FB">
        <w:rPr>
          <w:color w:val="000000"/>
          <w:szCs w:val="22"/>
          <w:lang w:val="sr-Latn-ME"/>
        </w:rPr>
        <w:t>/min/1,73</w:t>
      </w:r>
      <w:r w:rsidR="00352FB7" w:rsidRPr="00A259FB">
        <w:rPr>
          <w:color w:val="000000"/>
          <w:szCs w:val="22"/>
          <w:lang w:val="sr-Latn-ME"/>
        </w:rPr>
        <w:t xml:space="preserve"> </w:t>
      </w:r>
      <w:r w:rsidRPr="00A259FB">
        <w:rPr>
          <w:color w:val="000000"/>
          <w:szCs w:val="22"/>
          <w:lang w:val="sr-Latn-ME"/>
        </w:rPr>
        <w:t>m</w:t>
      </w:r>
      <w:r w:rsidRPr="00A259FB">
        <w:rPr>
          <w:color w:val="000000"/>
          <w:szCs w:val="22"/>
          <w:vertAlign w:val="superscript"/>
          <w:lang w:val="sr-Latn-ME"/>
        </w:rPr>
        <w:t>2</w:t>
      </w:r>
      <w:r w:rsidRPr="00A259FB">
        <w:rPr>
          <w:color w:val="000000"/>
          <w:szCs w:val="22"/>
          <w:lang w:val="sr-Latn-ME"/>
        </w:rPr>
        <w:t xml:space="preserve"> (što odgovara </w:t>
      </w:r>
      <w:r w:rsidR="00352FB7" w:rsidRPr="00A259FB">
        <w:rPr>
          <w:color w:val="000000"/>
          <w:szCs w:val="22"/>
          <w:lang w:val="sr-Latn-ME"/>
        </w:rPr>
        <w:t xml:space="preserve">koncentraciji </w:t>
      </w:r>
      <w:r w:rsidRPr="00A259FB">
        <w:rPr>
          <w:color w:val="000000"/>
          <w:szCs w:val="22"/>
          <w:lang w:val="sr-Latn-ME"/>
        </w:rPr>
        <w:t>kreatinin</w:t>
      </w:r>
      <w:r w:rsidR="00352FB7" w:rsidRPr="00A259FB">
        <w:rPr>
          <w:color w:val="000000"/>
          <w:szCs w:val="22"/>
          <w:lang w:val="sr-Latn-ME"/>
        </w:rPr>
        <w:t>a u serumu</w:t>
      </w:r>
      <w:r w:rsidRPr="00A259FB">
        <w:rPr>
          <w:color w:val="000000"/>
          <w:szCs w:val="22"/>
          <w:lang w:val="sr-Latn-ME"/>
        </w:rPr>
        <w:t xml:space="preserve"> &gt; 600 mikromola/</w:t>
      </w:r>
      <w:r w:rsidR="00CE5619" w:rsidRPr="00A259FB">
        <w:rPr>
          <w:color w:val="000000"/>
          <w:szCs w:val="22"/>
          <w:lang w:val="sr-Latn-ME"/>
        </w:rPr>
        <w:t>l</w:t>
      </w:r>
      <w:r w:rsidRPr="00A259FB">
        <w:rPr>
          <w:color w:val="000000"/>
          <w:szCs w:val="22"/>
          <w:lang w:val="sr-Latn-ME"/>
        </w:rPr>
        <w:t>)</w:t>
      </w:r>
      <w:r w:rsidR="005F5846" w:rsidRPr="00A259FB">
        <w:rPr>
          <w:color w:val="000000"/>
          <w:szCs w:val="22"/>
          <w:lang w:val="sr-Latn-ME"/>
        </w:rPr>
        <w:t>,</w:t>
      </w:r>
      <w:r w:rsidRPr="00A259FB">
        <w:rPr>
          <w:color w:val="000000"/>
          <w:szCs w:val="22"/>
          <w:lang w:val="sr-Latn-ME"/>
        </w:rPr>
        <w:t xml:space="preserve"> oralna doza treba da bude 25 mg dnevno ili 50 mg svaki drugi dan, a intravenska doza 10 mg svaki </w:t>
      </w:r>
      <w:r w:rsidRPr="00A259FB">
        <w:rPr>
          <w:rFonts w:eastAsia="TimesNewRoman"/>
          <w:color w:val="000000"/>
          <w:szCs w:val="22"/>
          <w:lang w:val="sr-Latn-ME"/>
        </w:rPr>
        <w:t>č</w:t>
      </w:r>
      <w:r w:rsidRPr="00A259FB">
        <w:rPr>
          <w:color w:val="000000"/>
          <w:szCs w:val="22"/>
          <w:lang w:val="sr-Latn-ME"/>
        </w:rPr>
        <w:t>etvrti dan.</w:t>
      </w:r>
    </w:p>
    <w:p w14:paraId="4B8A185F" w14:textId="77777777" w:rsidR="00767CD8" w:rsidRPr="00A259FB" w:rsidRDefault="00767CD8" w:rsidP="00767CD8">
      <w:pPr>
        <w:tabs>
          <w:tab w:val="clear" w:pos="284"/>
        </w:tabs>
        <w:autoSpaceDE w:val="0"/>
        <w:autoSpaceDN w:val="0"/>
        <w:adjustRightInd w:val="0"/>
        <w:rPr>
          <w:color w:val="000000"/>
          <w:szCs w:val="22"/>
          <w:lang w:val="sr-Latn-ME"/>
        </w:rPr>
      </w:pPr>
    </w:p>
    <w:p w14:paraId="2A9DBFE4" w14:textId="7DEC0F12" w:rsidR="00E90FE8" w:rsidRPr="00A259FB" w:rsidRDefault="00E90FE8" w:rsidP="00767CD8">
      <w:pPr>
        <w:rPr>
          <w:color w:val="000000"/>
          <w:szCs w:val="22"/>
          <w:lang w:val="sr-Latn-ME"/>
        </w:rPr>
      </w:pPr>
      <w:r w:rsidRPr="00A259FB">
        <w:rPr>
          <w:color w:val="000000"/>
          <w:szCs w:val="22"/>
          <w:lang w:val="sr-Latn-ME"/>
        </w:rPr>
        <w:t>Pacijentima na hemodijalizi treba dati 50 mg atenolola posl</w:t>
      </w:r>
      <w:r w:rsidR="00CE5619" w:rsidRPr="00A259FB">
        <w:rPr>
          <w:color w:val="000000"/>
          <w:szCs w:val="22"/>
          <w:lang w:val="sr-Latn-ME"/>
        </w:rPr>
        <w:t>ij</w:t>
      </w:r>
      <w:r w:rsidRPr="00A259FB">
        <w:rPr>
          <w:color w:val="000000"/>
          <w:szCs w:val="22"/>
          <w:lang w:val="sr-Latn-ME"/>
        </w:rPr>
        <w:t>e svake dijalize, pod kontrolom l</w:t>
      </w:r>
      <w:r w:rsidR="00CE5619" w:rsidRPr="00A259FB">
        <w:rPr>
          <w:color w:val="000000"/>
          <w:szCs w:val="22"/>
          <w:lang w:val="sr-Latn-ME"/>
        </w:rPr>
        <w:t>j</w:t>
      </w:r>
      <w:r w:rsidRPr="00A259FB">
        <w:rPr>
          <w:color w:val="000000"/>
          <w:szCs w:val="22"/>
          <w:lang w:val="sr-Latn-ME"/>
        </w:rPr>
        <w:t>ekara u zdravstvenoj ustanovi, zbog mogućeg nastanka izrazite hipotenzije.</w:t>
      </w:r>
    </w:p>
    <w:p w14:paraId="640B0E10" w14:textId="77777777" w:rsidR="00767CD8" w:rsidRPr="00A259FB" w:rsidRDefault="00767CD8" w:rsidP="00767CD8">
      <w:pPr>
        <w:rPr>
          <w:color w:val="000000"/>
          <w:szCs w:val="22"/>
          <w:lang w:val="sr-Latn-ME"/>
        </w:rPr>
      </w:pPr>
    </w:p>
    <w:p w14:paraId="2A9DBFE6" w14:textId="0940BDFD" w:rsidR="00E90FE8" w:rsidRPr="00A259FB" w:rsidRDefault="00E90FE8" w:rsidP="00767CD8">
      <w:pPr>
        <w:pStyle w:val="Header"/>
        <w:tabs>
          <w:tab w:val="clear" w:pos="4536"/>
          <w:tab w:val="clear" w:pos="9072"/>
          <w:tab w:val="left" w:pos="284"/>
        </w:tabs>
        <w:rPr>
          <w:color w:val="000000"/>
          <w:szCs w:val="22"/>
          <w:u w:val="single"/>
          <w:lang w:val="sr-Latn-ME"/>
        </w:rPr>
      </w:pPr>
      <w:r w:rsidRPr="00A259FB">
        <w:rPr>
          <w:color w:val="000000"/>
          <w:szCs w:val="22"/>
          <w:u w:val="single"/>
          <w:lang w:val="sr-Latn-ME"/>
        </w:rPr>
        <w:t>Način prim</w:t>
      </w:r>
      <w:r w:rsidR="00CE5619" w:rsidRPr="00A259FB">
        <w:rPr>
          <w:color w:val="000000"/>
          <w:szCs w:val="22"/>
          <w:u w:val="single"/>
          <w:lang w:val="sr-Latn-ME"/>
        </w:rPr>
        <w:t>j</w:t>
      </w:r>
      <w:r w:rsidRPr="00A259FB">
        <w:rPr>
          <w:color w:val="000000"/>
          <w:szCs w:val="22"/>
          <w:u w:val="single"/>
          <w:lang w:val="sr-Latn-ME"/>
        </w:rPr>
        <w:t>ene</w:t>
      </w:r>
    </w:p>
    <w:p w14:paraId="2A9DBFE8" w14:textId="13C53D2C" w:rsidR="00E90FE8" w:rsidRPr="00A259FB" w:rsidRDefault="00E90FE8" w:rsidP="00767CD8">
      <w:pPr>
        <w:rPr>
          <w:color w:val="000000"/>
          <w:szCs w:val="22"/>
          <w:lang w:val="sr-Latn-ME"/>
        </w:rPr>
      </w:pPr>
      <w:r w:rsidRPr="00A259FB">
        <w:rPr>
          <w:color w:val="000000"/>
          <w:szCs w:val="22"/>
          <w:lang w:val="sr-Latn-ME"/>
        </w:rPr>
        <w:t>Oralna prim</w:t>
      </w:r>
      <w:r w:rsidR="00CE5619" w:rsidRPr="00A259FB">
        <w:rPr>
          <w:color w:val="000000"/>
          <w:szCs w:val="22"/>
          <w:lang w:val="sr-Latn-ME"/>
        </w:rPr>
        <w:t>j</w:t>
      </w:r>
      <w:r w:rsidRPr="00A259FB">
        <w:rPr>
          <w:color w:val="000000"/>
          <w:szCs w:val="22"/>
          <w:lang w:val="sr-Latn-ME"/>
        </w:rPr>
        <w:t>ena.</w:t>
      </w:r>
    </w:p>
    <w:p w14:paraId="3BD36091" w14:textId="24046ECF" w:rsidR="006B5C4B" w:rsidRPr="00A259FB" w:rsidRDefault="00E90FE8" w:rsidP="00767CD8">
      <w:pPr>
        <w:rPr>
          <w:color w:val="000000"/>
          <w:szCs w:val="22"/>
          <w:lang w:val="sr-Latn-ME"/>
        </w:rPr>
      </w:pPr>
      <w:r w:rsidRPr="00A259FB">
        <w:rPr>
          <w:color w:val="000000"/>
          <w:szCs w:val="22"/>
          <w:lang w:val="sr-Latn-ME"/>
        </w:rPr>
        <w:t>Tablete l</w:t>
      </w:r>
      <w:r w:rsidR="00CE5619" w:rsidRPr="00A259FB">
        <w:rPr>
          <w:color w:val="000000"/>
          <w:szCs w:val="22"/>
          <w:lang w:val="sr-Latn-ME"/>
        </w:rPr>
        <w:t>ij</w:t>
      </w:r>
      <w:r w:rsidRPr="00A259FB">
        <w:rPr>
          <w:color w:val="000000"/>
          <w:szCs w:val="22"/>
          <w:lang w:val="sr-Latn-ME"/>
        </w:rPr>
        <w:t>eka Prinom se mogu pod</w:t>
      </w:r>
      <w:r w:rsidR="00CE5619" w:rsidRPr="00A259FB">
        <w:rPr>
          <w:color w:val="000000"/>
          <w:szCs w:val="22"/>
          <w:lang w:val="sr-Latn-ME"/>
        </w:rPr>
        <w:t>ij</w:t>
      </w:r>
      <w:r w:rsidRPr="00A259FB">
        <w:rPr>
          <w:color w:val="000000"/>
          <w:szCs w:val="22"/>
          <w:lang w:val="sr-Latn-ME"/>
        </w:rPr>
        <w:t>eliti na dv</w:t>
      </w:r>
      <w:r w:rsidR="00CE5619" w:rsidRPr="00A259FB">
        <w:rPr>
          <w:color w:val="000000"/>
          <w:szCs w:val="22"/>
          <w:lang w:val="sr-Latn-ME"/>
        </w:rPr>
        <w:t>ij</w:t>
      </w:r>
      <w:r w:rsidRPr="00A259FB">
        <w:rPr>
          <w:color w:val="000000"/>
          <w:szCs w:val="22"/>
          <w:lang w:val="sr-Latn-ME"/>
        </w:rPr>
        <w:t>e jednake doze</w:t>
      </w:r>
      <w:r w:rsidR="006B5C4B" w:rsidRPr="00A259FB">
        <w:rPr>
          <w:color w:val="000000"/>
          <w:szCs w:val="22"/>
          <w:lang w:val="sr-Latn-ME"/>
        </w:rPr>
        <w:t>.</w:t>
      </w:r>
    </w:p>
    <w:p w14:paraId="2A9DBFEA" w14:textId="4DD01423" w:rsidR="00E90FE8" w:rsidRPr="00A259FB" w:rsidRDefault="006B5C4B" w:rsidP="00767CD8">
      <w:pPr>
        <w:rPr>
          <w:szCs w:val="22"/>
          <w:lang w:val="sr-Latn-ME"/>
        </w:rPr>
      </w:pPr>
      <w:r w:rsidRPr="00A259FB">
        <w:rPr>
          <w:color w:val="000000"/>
          <w:szCs w:val="22"/>
          <w:lang w:val="sr-Latn-ME"/>
        </w:rPr>
        <w:t>U</w:t>
      </w:r>
      <w:r w:rsidR="00E90FE8" w:rsidRPr="00A259FB">
        <w:rPr>
          <w:color w:val="000000"/>
          <w:szCs w:val="22"/>
          <w:lang w:val="sr-Latn-ME"/>
        </w:rPr>
        <w:t xml:space="preserve"> slučaju da je za l</w:t>
      </w:r>
      <w:r w:rsidR="00CE5619" w:rsidRPr="00A259FB">
        <w:rPr>
          <w:color w:val="000000"/>
          <w:szCs w:val="22"/>
          <w:lang w:val="sr-Latn-ME"/>
        </w:rPr>
        <w:t>ij</w:t>
      </w:r>
      <w:r w:rsidR="00E90FE8" w:rsidRPr="00A259FB">
        <w:rPr>
          <w:color w:val="000000"/>
          <w:szCs w:val="22"/>
          <w:lang w:val="sr-Latn-ME"/>
        </w:rPr>
        <w:t>ečenje potrebna doza atenolola manja od 50</w:t>
      </w:r>
      <w:r w:rsidR="00E90FE8" w:rsidRPr="00A259FB">
        <w:rPr>
          <w:szCs w:val="22"/>
          <w:lang w:val="sr-Latn-ME"/>
        </w:rPr>
        <w:t> mg</w:t>
      </w:r>
      <w:r w:rsidRPr="00A259FB">
        <w:rPr>
          <w:szCs w:val="22"/>
          <w:lang w:val="sr-Latn-ME"/>
        </w:rPr>
        <w:t>,</w:t>
      </w:r>
      <w:r w:rsidR="00E90FE8" w:rsidRPr="00A259FB">
        <w:rPr>
          <w:szCs w:val="22"/>
          <w:lang w:val="sr-Latn-ME"/>
        </w:rPr>
        <w:t xml:space="preserve"> </w:t>
      </w:r>
      <w:r w:rsidRPr="00A259FB">
        <w:rPr>
          <w:szCs w:val="22"/>
          <w:lang w:val="sr-Latn-ME"/>
        </w:rPr>
        <w:t>prim</w:t>
      </w:r>
      <w:r w:rsidR="00CE5619" w:rsidRPr="00A259FB">
        <w:rPr>
          <w:szCs w:val="22"/>
          <w:lang w:val="sr-Latn-ME"/>
        </w:rPr>
        <w:t>ij</w:t>
      </w:r>
      <w:r w:rsidRPr="00A259FB">
        <w:rPr>
          <w:szCs w:val="22"/>
          <w:lang w:val="sr-Latn-ME"/>
        </w:rPr>
        <w:t>eniti</w:t>
      </w:r>
      <w:r w:rsidR="00E90FE8" w:rsidRPr="00A259FB">
        <w:rPr>
          <w:szCs w:val="22"/>
          <w:lang w:val="sr-Latn-ME"/>
        </w:rPr>
        <w:t xml:space="preserve"> drugi l</w:t>
      </w:r>
      <w:r w:rsidR="00CE5619" w:rsidRPr="00A259FB">
        <w:rPr>
          <w:szCs w:val="22"/>
          <w:lang w:val="sr-Latn-ME"/>
        </w:rPr>
        <w:t>ij</w:t>
      </w:r>
      <w:r w:rsidR="00E90FE8" w:rsidRPr="00A259FB">
        <w:rPr>
          <w:szCs w:val="22"/>
          <w:lang w:val="sr-Latn-ME"/>
        </w:rPr>
        <w:t>ek odgovarajuće jačine.</w:t>
      </w:r>
    </w:p>
    <w:p w14:paraId="42A16492" w14:textId="77777777" w:rsidR="00767CD8" w:rsidRPr="00A259FB" w:rsidRDefault="00767CD8" w:rsidP="00767CD8">
      <w:pPr>
        <w:rPr>
          <w:szCs w:val="22"/>
          <w:lang w:val="sr-Latn-ME"/>
        </w:rPr>
      </w:pPr>
    </w:p>
    <w:p w14:paraId="2A9DBFEC" w14:textId="5A937697" w:rsidR="00E90FE8" w:rsidRPr="00A259FB" w:rsidRDefault="00E90FE8" w:rsidP="00767CD8">
      <w:pPr>
        <w:rPr>
          <w:b/>
          <w:bCs/>
          <w:szCs w:val="22"/>
          <w:lang w:val="sr-Latn-ME"/>
        </w:rPr>
      </w:pPr>
      <w:r w:rsidRPr="00A259FB">
        <w:rPr>
          <w:b/>
          <w:bCs/>
          <w:szCs w:val="22"/>
          <w:lang w:val="sr-Latn-ME"/>
        </w:rPr>
        <w:t>4.3. Kontraindikacije</w:t>
      </w:r>
    </w:p>
    <w:p w14:paraId="663975EA" w14:textId="77777777" w:rsidR="00767CD8" w:rsidRPr="00A259FB" w:rsidRDefault="00767CD8" w:rsidP="00767CD8">
      <w:pPr>
        <w:rPr>
          <w:b/>
          <w:bCs/>
          <w:szCs w:val="22"/>
          <w:lang w:val="sr-Latn-ME"/>
        </w:rPr>
      </w:pPr>
    </w:p>
    <w:p w14:paraId="2A9DBFEE" w14:textId="6A0B7D07" w:rsidR="00E90FE8" w:rsidRPr="00A259FB" w:rsidRDefault="00E90FE8" w:rsidP="00767CD8">
      <w:pPr>
        <w:rPr>
          <w:bCs/>
          <w:color w:val="000000"/>
          <w:szCs w:val="22"/>
          <w:lang w:val="sr-Latn-ME"/>
        </w:rPr>
      </w:pPr>
      <w:r w:rsidRPr="00A259FB">
        <w:rPr>
          <w:bCs/>
          <w:color w:val="000000"/>
          <w:szCs w:val="22"/>
          <w:lang w:val="sr-Latn-ME"/>
        </w:rPr>
        <w:t xml:space="preserve">Atenolol, kao i drugi </w:t>
      </w:r>
      <w:r w:rsidR="004F7EC6" w:rsidRPr="00A259FB">
        <w:rPr>
          <w:bCs/>
          <w:color w:val="000000"/>
          <w:szCs w:val="22"/>
          <w:lang w:val="sr-Latn-ME"/>
        </w:rPr>
        <w:t>beta</w:t>
      </w:r>
      <w:r w:rsidR="00893D51" w:rsidRPr="00A259FB">
        <w:rPr>
          <w:bCs/>
          <w:color w:val="000000"/>
          <w:szCs w:val="22"/>
          <w:lang w:val="sr-Latn-ME"/>
        </w:rPr>
        <w:t>-</w:t>
      </w:r>
      <w:r w:rsidRPr="00A259FB">
        <w:rPr>
          <w:bCs/>
          <w:color w:val="000000"/>
          <w:szCs w:val="22"/>
          <w:lang w:val="sr-Latn-ME"/>
        </w:rPr>
        <w:t>blokatori, je kontraindikovan u sl</w:t>
      </w:r>
      <w:r w:rsidR="00CE5619" w:rsidRPr="00A259FB">
        <w:rPr>
          <w:bCs/>
          <w:color w:val="000000"/>
          <w:szCs w:val="22"/>
          <w:lang w:val="sr-Latn-ME"/>
        </w:rPr>
        <w:t>j</w:t>
      </w:r>
      <w:r w:rsidRPr="00A259FB">
        <w:rPr>
          <w:bCs/>
          <w:color w:val="000000"/>
          <w:szCs w:val="22"/>
          <w:lang w:val="sr-Latn-ME"/>
        </w:rPr>
        <w:t>edećim stanjima:</w:t>
      </w:r>
    </w:p>
    <w:p w14:paraId="2A9DBFF0" w14:textId="6396345C" w:rsidR="00E90FE8" w:rsidRPr="00A259FB" w:rsidRDefault="00E90FE8" w:rsidP="00767CD8">
      <w:pPr>
        <w:numPr>
          <w:ilvl w:val="0"/>
          <w:numId w:val="23"/>
        </w:numPr>
        <w:tabs>
          <w:tab w:val="clear" w:pos="1080"/>
          <w:tab w:val="num" w:pos="540"/>
        </w:tabs>
        <w:ind w:left="1077" w:hanging="720"/>
        <w:contextualSpacing/>
        <w:rPr>
          <w:color w:val="000000"/>
          <w:szCs w:val="22"/>
          <w:lang w:val="sr-Latn-ME"/>
        </w:rPr>
      </w:pPr>
      <w:r w:rsidRPr="00A259FB">
        <w:rPr>
          <w:color w:val="000000"/>
          <w:szCs w:val="22"/>
          <w:lang w:val="sr-Latn-ME"/>
        </w:rPr>
        <w:t>preos</w:t>
      </w:r>
      <w:r w:rsidR="00CE5619" w:rsidRPr="00A259FB">
        <w:rPr>
          <w:color w:val="000000"/>
          <w:szCs w:val="22"/>
          <w:lang w:val="sr-Latn-ME"/>
        </w:rPr>
        <w:t>j</w:t>
      </w:r>
      <w:r w:rsidRPr="00A259FB">
        <w:rPr>
          <w:color w:val="000000"/>
          <w:szCs w:val="22"/>
          <w:lang w:val="sr-Latn-ME"/>
        </w:rPr>
        <w:t xml:space="preserve">etljivost na </w:t>
      </w:r>
      <w:r w:rsidR="004F7EC6" w:rsidRPr="00A259FB">
        <w:rPr>
          <w:szCs w:val="22"/>
          <w:lang w:val="sr-Latn-ME"/>
        </w:rPr>
        <w:t>aktivnu supstancu</w:t>
      </w:r>
      <w:r w:rsidRPr="00A259FB">
        <w:rPr>
          <w:color w:val="000000"/>
          <w:szCs w:val="22"/>
          <w:lang w:val="sr-Latn-ME"/>
        </w:rPr>
        <w:t xml:space="preserve"> ili </w:t>
      </w:r>
      <w:r w:rsidR="004F7EC6" w:rsidRPr="00A259FB">
        <w:rPr>
          <w:szCs w:val="22"/>
          <w:lang w:val="sr-Latn-ME"/>
        </w:rPr>
        <w:t xml:space="preserve">na bilo koju od pomoćnih supstanci navedenih u </w:t>
      </w:r>
      <w:r w:rsidR="00CE5619" w:rsidRPr="00A259FB">
        <w:rPr>
          <w:szCs w:val="22"/>
          <w:lang w:val="sr-Latn-ME"/>
        </w:rPr>
        <w:t>dijelu</w:t>
      </w:r>
      <w:r w:rsidR="004F7EC6" w:rsidRPr="00A259FB">
        <w:rPr>
          <w:szCs w:val="22"/>
          <w:lang w:val="sr-Latn-ME"/>
        </w:rPr>
        <w:t xml:space="preserve"> 6.1</w:t>
      </w:r>
      <w:r w:rsidRPr="00A259FB">
        <w:rPr>
          <w:color w:val="000000"/>
          <w:szCs w:val="22"/>
          <w:lang w:val="sr-Latn-ME"/>
        </w:rPr>
        <w:t>;</w:t>
      </w:r>
    </w:p>
    <w:p w14:paraId="2A9DBFF1" w14:textId="77777777" w:rsidR="00E90FE8" w:rsidRPr="00A259FB" w:rsidRDefault="00E90FE8" w:rsidP="00767CD8">
      <w:pPr>
        <w:numPr>
          <w:ilvl w:val="0"/>
          <w:numId w:val="23"/>
        </w:numPr>
        <w:tabs>
          <w:tab w:val="clear" w:pos="1080"/>
          <w:tab w:val="num" w:pos="540"/>
        </w:tabs>
        <w:ind w:left="1077" w:hanging="720"/>
        <w:contextualSpacing/>
        <w:rPr>
          <w:color w:val="000000"/>
          <w:szCs w:val="22"/>
          <w:lang w:val="sr-Latn-ME"/>
        </w:rPr>
      </w:pPr>
      <w:r w:rsidRPr="00A259FB">
        <w:rPr>
          <w:color w:val="000000"/>
          <w:szCs w:val="22"/>
          <w:lang w:val="sr-Latn-ME"/>
        </w:rPr>
        <w:t>kardiogeni šok;</w:t>
      </w:r>
    </w:p>
    <w:p w14:paraId="2A9DBFF2" w14:textId="71602C95" w:rsidR="00E90FE8" w:rsidRPr="00A259FB" w:rsidRDefault="003E41A2" w:rsidP="00767CD8">
      <w:pPr>
        <w:numPr>
          <w:ilvl w:val="0"/>
          <w:numId w:val="23"/>
        </w:numPr>
        <w:tabs>
          <w:tab w:val="clear" w:pos="1080"/>
          <w:tab w:val="num" w:pos="540"/>
        </w:tabs>
        <w:ind w:left="1077" w:hanging="720"/>
        <w:contextualSpacing/>
        <w:rPr>
          <w:color w:val="000000"/>
          <w:szCs w:val="22"/>
          <w:lang w:val="sr-Latn-ME"/>
        </w:rPr>
      </w:pPr>
      <w:r w:rsidRPr="00A259FB">
        <w:rPr>
          <w:color w:val="000000"/>
          <w:szCs w:val="22"/>
          <w:lang w:val="sr-Latn-ME"/>
        </w:rPr>
        <w:t>dekompenzovana</w:t>
      </w:r>
      <w:r w:rsidR="00E90FE8" w:rsidRPr="00A259FB">
        <w:rPr>
          <w:color w:val="000000"/>
          <w:szCs w:val="22"/>
          <w:lang w:val="sr-Latn-ME"/>
        </w:rPr>
        <w:t xml:space="preserve"> srčana insuficijencija;</w:t>
      </w:r>
    </w:p>
    <w:p w14:paraId="2A9DBFF3" w14:textId="393F84F0" w:rsidR="00E90FE8" w:rsidRPr="00A259FB" w:rsidRDefault="00E90FE8" w:rsidP="00767CD8">
      <w:pPr>
        <w:numPr>
          <w:ilvl w:val="0"/>
          <w:numId w:val="23"/>
        </w:numPr>
        <w:tabs>
          <w:tab w:val="clear" w:pos="1080"/>
          <w:tab w:val="num" w:pos="540"/>
        </w:tabs>
        <w:ind w:left="1077" w:hanging="720"/>
        <w:contextualSpacing/>
        <w:rPr>
          <w:color w:val="000000"/>
          <w:szCs w:val="22"/>
          <w:lang w:val="sr-Latn-ME"/>
        </w:rPr>
      </w:pPr>
      <w:r w:rsidRPr="00A259FB">
        <w:rPr>
          <w:szCs w:val="22"/>
          <w:lang w:val="sr-Latn-ME"/>
        </w:rPr>
        <w:t xml:space="preserve">sindrom bolesnog sinusnog čvora (engl. </w:t>
      </w:r>
      <w:r w:rsidRPr="00A259FB">
        <w:rPr>
          <w:i/>
          <w:szCs w:val="22"/>
          <w:lang w:val="sr-Latn-ME"/>
        </w:rPr>
        <w:t>sick sinus syndrom</w:t>
      </w:r>
      <w:r w:rsidRPr="00A259FB">
        <w:rPr>
          <w:szCs w:val="22"/>
          <w:lang w:val="sr-Latn-ME"/>
        </w:rPr>
        <w:t>)</w:t>
      </w:r>
      <w:r w:rsidR="00172B24" w:rsidRPr="00A259FB">
        <w:rPr>
          <w:szCs w:val="22"/>
          <w:lang w:val="sr-Latn-ME"/>
        </w:rPr>
        <w:t>;</w:t>
      </w:r>
    </w:p>
    <w:p w14:paraId="2A9DBFF4" w14:textId="77777777" w:rsidR="00E90FE8" w:rsidRPr="00A259FB" w:rsidRDefault="00E90FE8" w:rsidP="00767CD8">
      <w:pPr>
        <w:numPr>
          <w:ilvl w:val="0"/>
          <w:numId w:val="23"/>
        </w:numPr>
        <w:tabs>
          <w:tab w:val="clear" w:pos="1080"/>
          <w:tab w:val="num" w:pos="540"/>
        </w:tabs>
        <w:ind w:left="1077" w:hanging="720"/>
        <w:contextualSpacing/>
        <w:rPr>
          <w:color w:val="000000"/>
          <w:szCs w:val="22"/>
          <w:lang w:val="sr-Latn-ME"/>
        </w:rPr>
      </w:pPr>
      <w:r w:rsidRPr="00A259FB">
        <w:rPr>
          <w:color w:val="000000"/>
          <w:szCs w:val="22"/>
          <w:lang w:val="sr-Latn-ME"/>
        </w:rPr>
        <w:t>srčani blok II i III stepena;</w:t>
      </w:r>
    </w:p>
    <w:p w14:paraId="2A9DBFF5" w14:textId="4CFA9C77" w:rsidR="00E90FE8" w:rsidRPr="00A259FB" w:rsidRDefault="00E90FE8" w:rsidP="00767CD8">
      <w:pPr>
        <w:numPr>
          <w:ilvl w:val="0"/>
          <w:numId w:val="23"/>
        </w:numPr>
        <w:tabs>
          <w:tab w:val="clear" w:pos="1080"/>
          <w:tab w:val="num" w:pos="540"/>
        </w:tabs>
        <w:ind w:left="1077" w:hanging="720"/>
        <w:contextualSpacing/>
        <w:rPr>
          <w:color w:val="000000"/>
          <w:szCs w:val="22"/>
          <w:lang w:val="sr-Latn-ME"/>
        </w:rPr>
      </w:pPr>
      <w:r w:rsidRPr="00A259FB">
        <w:rPr>
          <w:color w:val="000000"/>
          <w:szCs w:val="22"/>
          <w:lang w:val="sr-Latn-ME"/>
        </w:rPr>
        <w:lastRenderedPageBreak/>
        <w:t>nel</w:t>
      </w:r>
      <w:r w:rsidR="00CE5619" w:rsidRPr="00A259FB">
        <w:rPr>
          <w:color w:val="000000"/>
          <w:szCs w:val="22"/>
          <w:lang w:val="sr-Latn-ME"/>
        </w:rPr>
        <w:t>ij</w:t>
      </w:r>
      <w:r w:rsidRPr="00A259FB">
        <w:rPr>
          <w:color w:val="000000"/>
          <w:szCs w:val="22"/>
          <w:lang w:val="sr-Latn-ME"/>
        </w:rPr>
        <w:t>ečeni feohromocitom;</w:t>
      </w:r>
    </w:p>
    <w:p w14:paraId="2A9DBFF6" w14:textId="77777777" w:rsidR="00E90FE8" w:rsidRPr="00A259FB" w:rsidRDefault="00E90FE8" w:rsidP="00767CD8">
      <w:pPr>
        <w:numPr>
          <w:ilvl w:val="0"/>
          <w:numId w:val="23"/>
        </w:numPr>
        <w:tabs>
          <w:tab w:val="clear" w:pos="1080"/>
          <w:tab w:val="num" w:pos="540"/>
        </w:tabs>
        <w:ind w:left="1077" w:hanging="720"/>
        <w:contextualSpacing/>
        <w:rPr>
          <w:color w:val="000000"/>
          <w:szCs w:val="22"/>
          <w:lang w:val="sr-Latn-ME"/>
        </w:rPr>
      </w:pPr>
      <w:r w:rsidRPr="00A259FB">
        <w:rPr>
          <w:color w:val="000000"/>
          <w:szCs w:val="22"/>
          <w:lang w:val="sr-Latn-ME"/>
        </w:rPr>
        <w:t>metabolička acidoza;</w:t>
      </w:r>
    </w:p>
    <w:p w14:paraId="01B703EE" w14:textId="77777777" w:rsidR="004723C5" w:rsidRPr="00A259FB" w:rsidRDefault="00E90FE8" w:rsidP="00767CD8">
      <w:pPr>
        <w:numPr>
          <w:ilvl w:val="0"/>
          <w:numId w:val="23"/>
        </w:numPr>
        <w:tabs>
          <w:tab w:val="clear" w:pos="1080"/>
          <w:tab w:val="num" w:pos="540"/>
        </w:tabs>
        <w:ind w:left="357" w:firstLine="0"/>
        <w:contextualSpacing/>
        <w:rPr>
          <w:color w:val="000000"/>
          <w:szCs w:val="22"/>
          <w:lang w:val="sr-Latn-ME"/>
        </w:rPr>
      </w:pPr>
      <w:r w:rsidRPr="00A259FB">
        <w:rPr>
          <w:color w:val="000000"/>
          <w:szCs w:val="22"/>
          <w:lang w:val="sr-Latn-ME"/>
        </w:rPr>
        <w:t>bradikardija &lt; 45 otkucaja/min;</w:t>
      </w:r>
    </w:p>
    <w:p w14:paraId="2A9DBFF8" w14:textId="2E796225" w:rsidR="00E90FE8" w:rsidRPr="00A259FB" w:rsidRDefault="00E90FE8" w:rsidP="00767CD8">
      <w:pPr>
        <w:numPr>
          <w:ilvl w:val="0"/>
          <w:numId w:val="23"/>
        </w:numPr>
        <w:tabs>
          <w:tab w:val="clear" w:pos="1080"/>
          <w:tab w:val="num" w:pos="540"/>
        </w:tabs>
        <w:ind w:left="357" w:firstLine="0"/>
        <w:contextualSpacing/>
        <w:rPr>
          <w:color w:val="000000"/>
          <w:szCs w:val="22"/>
          <w:lang w:val="sr-Latn-ME"/>
        </w:rPr>
      </w:pPr>
      <w:r w:rsidRPr="00A259FB">
        <w:rPr>
          <w:color w:val="000000"/>
          <w:szCs w:val="22"/>
          <w:lang w:val="sr-Latn-ME"/>
        </w:rPr>
        <w:t>hipotenzija;</w:t>
      </w:r>
    </w:p>
    <w:p w14:paraId="2A9DBFF9" w14:textId="25D532AD" w:rsidR="00E90FE8" w:rsidRPr="00A259FB" w:rsidRDefault="00E90FE8" w:rsidP="00767CD8">
      <w:pPr>
        <w:numPr>
          <w:ilvl w:val="0"/>
          <w:numId w:val="23"/>
        </w:numPr>
        <w:tabs>
          <w:tab w:val="clear" w:pos="1080"/>
          <w:tab w:val="num" w:pos="540"/>
        </w:tabs>
        <w:ind w:left="1077" w:hanging="720"/>
        <w:rPr>
          <w:color w:val="000000"/>
          <w:szCs w:val="22"/>
          <w:lang w:val="sr-Latn-ME"/>
        </w:rPr>
      </w:pPr>
      <w:r w:rsidRPr="00A259FB">
        <w:rPr>
          <w:color w:val="000000"/>
          <w:szCs w:val="22"/>
          <w:lang w:val="sr-Latn-ME"/>
        </w:rPr>
        <w:t>teški poremećaji periferne cirkulacije.</w:t>
      </w:r>
    </w:p>
    <w:p w14:paraId="7F05E0F3" w14:textId="77777777" w:rsidR="00767CD8" w:rsidRPr="00A259FB" w:rsidRDefault="00767CD8" w:rsidP="00140A21">
      <w:pPr>
        <w:ind w:left="1077"/>
        <w:rPr>
          <w:color w:val="000000"/>
          <w:szCs w:val="22"/>
          <w:lang w:val="sr-Latn-ME"/>
        </w:rPr>
      </w:pPr>
    </w:p>
    <w:p w14:paraId="2A9DBFFB" w14:textId="4585001D" w:rsidR="00E90FE8" w:rsidRPr="00A259FB" w:rsidRDefault="00E90FE8" w:rsidP="00767CD8">
      <w:pPr>
        <w:rPr>
          <w:b/>
          <w:bCs/>
          <w:szCs w:val="22"/>
          <w:lang w:val="sr-Latn-ME"/>
        </w:rPr>
      </w:pPr>
      <w:r w:rsidRPr="00A259FB">
        <w:rPr>
          <w:b/>
          <w:bCs/>
          <w:szCs w:val="22"/>
          <w:lang w:val="sr-Latn-ME"/>
        </w:rPr>
        <w:t>4.4. Posebna upozorenja i m</w:t>
      </w:r>
      <w:r w:rsidR="00CE5619" w:rsidRPr="00A259FB">
        <w:rPr>
          <w:b/>
          <w:bCs/>
          <w:szCs w:val="22"/>
          <w:lang w:val="sr-Latn-ME"/>
        </w:rPr>
        <w:t>j</w:t>
      </w:r>
      <w:r w:rsidRPr="00A259FB">
        <w:rPr>
          <w:b/>
          <w:bCs/>
          <w:szCs w:val="22"/>
          <w:lang w:val="sr-Latn-ME"/>
        </w:rPr>
        <w:t>ere opreza pri upotrebi l</w:t>
      </w:r>
      <w:r w:rsidR="00CE5619" w:rsidRPr="00A259FB">
        <w:rPr>
          <w:b/>
          <w:bCs/>
          <w:szCs w:val="22"/>
          <w:lang w:val="sr-Latn-ME"/>
        </w:rPr>
        <w:t>ij</w:t>
      </w:r>
      <w:r w:rsidRPr="00A259FB">
        <w:rPr>
          <w:b/>
          <w:bCs/>
          <w:szCs w:val="22"/>
          <w:lang w:val="sr-Latn-ME"/>
        </w:rPr>
        <w:t>eka</w:t>
      </w:r>
    </w:p>
    <w:p w14:paraId="1A624509" w14:textId="77777777" w:rsidR="00767CD8" w:rsidRPr="00A259FB" w:rsidRDefault="00767CD8" w:rsidP="00767CD8">
      <w:pPr>
        <w:rPr>
          <w:b/>
          <w:bCs/>
          <w:szCs w:val="22"/>
          <w:lang w:val="sr-Latn-ME"/>
        </w:rPr>
      </w:pPr>
    </w:p>
    <w:p w14:paraId="2A9DBFFD" w14:textId="438AB4C1" w:rsidR="00E90FE8" w:rsidRPr="00A259FB" w:rsidRDefault="00E90FE8" w:rsidP="00767CD8">
      <w:pPr>
        <w:pStyle w:val="Header"/>
        <w:tabs>
          <w:tab w:val="clear" w:pos="4536"/>
          <w:tab w:val="clear" w:pos="9072"/>
          <w:tab w:val="left" w:pos="284"/>
        </w:tabs>
        <w:ind w:left="360"/>
        <w:rPr>
          <w:color w:val="000000"/>
          <w:szCs w:val="22"/>
          <w:u w:val="single"/>
          <w:lang w:val="sr-Latn-ME"/>
        </w:rPr>
      </w:pPr>
      <w:r w:rsidRPr="00A259FB">
        <w:rPr>
          <w:color w:val="000000"/>
          <w:szCs w:val="22"/>
          <w:u w:val="single"/>
          <w:lang w:val="sr-Latn-ME"/>
        </w:rPr>
        <w:t xml:space="preserve">Atenolol i drugi </w:t>
      </w:r>
      <w:r w:rsidR="004D4A75" w:rsidRPr="00A259FB">
        <w:rPr>
          <w:color w:val="000000"/>
          <w:szCs w:val="22"/>
          <w:u w:val="single"/>
          <w:lang w:val="sr-Latn-ME"/>
        </w:rPr>
        <w:t>beta</w:t>
      </w:r>
      <w:r w:rsidR="00664CAF" w:rsidRPr="00A259FB">
        <w:rPr>
          <w:color w:val="000000"/>
          <w:szCs w:val="22"/>
          <w:u w:val="single"/>
          <w:lang w:val="sr-Latn-ME"/>
        </w:rPr>
        <w:t>-</w:t>
      </w:r>
      <w:r w:rsidRPr="00A259FB">
        <w:rPr>
          <w:color w:val="000000"/>
          <w:szCs w:val="22"/>
          <w:u w:val="single"/>
          <w:lang w:val="sr-Latn-ME"/>
        </w:rPr>
        <w:t>blokatori</w:t>
      </w:r>
    </w:p>
    <w:p w14:paraId="2A9DBFFF" w14:textId="252B9145" w:rsidR="00E90FE8" w:rsidRPr="00A259FB" w:rsidRDefault="00E90FE8" w:rsidP="00767CD8">
      <w:pPr>
        <w:numPr>
          <w:ilvl w:val="0"/>
          <w:numId w:val="24"/>
        </w:numPr>
        <w:tabs>
          <w:tab w:val="clear" w:pos="720"/>
          <w:tab w:val="num" w:pos="540"/>
        </w:tabs>
        <w:ind w:left="540" w:hanging="180"/>
        <w:rPr>
          <w:color w:val="000000"/>
          <w:szCs w:val="22"/>
          <w:lang w:val="sr-Latn-ME"/>
        </w:rPr>
      </w:pPr>
      <w:r w:rsidRPr="00A259FB">
        <w:rPr>
          <w:color w:val="000000"/>
          <w:szCs w:val="22"/>
          <w:lang w:val="sr-Latn-ME"/>
        </w:rPr>
        <w:t xml:space="preserve">Ne treba naglo </w:t>
      </w:r>
      <w:r w:rsidR="00621E00" w:rsidRPr="00A259FB">
        <w:rPr>
          <w:color w:val="000000"/>
          <w:szCs w:val="22"/>
          <w:lang w:val="sr-Latn-ME"/>
        </w:rPr>
        <w:t>obustaviti</w:t>
      </w:r>
      <w:r w:rsidRPr="00A259FB">
        <w:rPr>
          <w:color w:val="000000"/>
          <w:szCs w:val="22"/>
          <w:lang w:val="sr-Latn-ME"/>
        </w:rPr>
        <w:t xml:space="preserve"> </w:t>
      </w:r>
      <w:r w:rsidR="00621E00" w:rsidRPr="00A259FB">
        <w:rPr>
          <w:color w:val="000000"/>
          <w:szCs w:val="22"/>
          <w:lang w:val="sr-Latn-ME"/>
        </w:rPr>
        <w:t>prim</w:t>
      </w:r>
      <w:r w:rsidR="00CE5619" w:rsidRPr="00A259FB">
        <w:rPr>
          <w:color w:val="000000"/>
          <w:szCs w:val="22"/>
          <w:lang w:val="sr-Latn-ME"/>
        </w:rPr>
        <w:t>j</w:t>
      </w:r>
      <w:r w:rsidR="00621E00" w:rsidRPr="00A259FB">
        <w:rPr>
          <w:color w:val="000000"/>
          <w:szCs w:val="22"/>
          <w:lang w:val="sr-Latn-ME"/>
        </w:rPr>
        <w:t>enu</w:t>
      </w:r>
      <w:r w:rsidRPr="00A259FB">
        <w:rPr>
          <w:color w:val="000000"/>
          <w:szCs w:val="22"/>
          <w:lang w:val="sr-Latn-ME"/>
        </w:rPr>
        <w:t xml:space="preserve"> l</w:t>
      </w:r>
      <w:r w:rsidR="00CE5619" w:rsidRPr="00A259FB">
        <w:rPr>
          <w:color w:val="000000"/>
          <w:szCs w:val="22"/>
          <w:lang w:val="sr-Latn-ME"/>
        </w:rPr>
        <w:t>ij</w:t>
      </w:r>
      <w:r w:rsidRPr="00A259FB">
        <w:rPr>
          <w:color w:val="000000"/>
          <w:szCs w:val="22"/>
          <w:lang w:val="sr-Latn-ME"/>
        </w:rPr>
        <w:t xml:space="preserve">eka. </w:t>
      </w:r>
      <w:r w:rsidR="00770B65" w:rsidRPr="00A259FB">
        <w:rPr>
          <w:color w:val="000000"/>
          <w:szCs w:val="22"/>
          <w:lang w:val="sr-Latn-ME"/>
        </w:rPr>
        <w:t>Prim</w:t>
      </w:r>
      <w:r w:rsidR="00CE5619" w:rsidRPr="00A259FB">
        <w:rPr>
          <w:color w:val="000000"/>
          <w:szCs w:val="22"/>
          <w:lang w:val="sr-Latn-ME"/>
        </w:rPr>
        <w:t>j</w:t>
      </w:r>
      <w:r w:rsidR="00770B65" w:rsidRPr="00A259FB">
        <w:rPr>
          <w:color w:val="000000"/>
          <w:szCs w:val="22"/>
          <w:lang w:val="sr-Latn-ME"/>
        </w:rPr>
        <w:t>enu l</w:t>
      </w:r>
      <w:r w:rsidR="00CE5619" w:rsidRPr="00A259FB">
        <w:rPr>
          <w:color w:val="000000"/>
          <w:szCs w:val="22"/>
          <w:lang w:val="sr-Latn-ME"/>
        </w:rPr>
        <w:t>ij</w:t>
      </w:r>
      <w:r w:rsidRPr="00A259FB">
        <w:rPr>
          <w:color w:val="000000"/>
          <w:szCs w:val="22"/>
          <w:lang w:val="sr-Latn-ME"/>
        </w:rPr>
        <w:t xml:space="preserve">eka treba postepeno </w:t>
      </w:r>
      <w:r w:rsidR="00F05349" w:rsidRPr="00A259FB">
        <w:rPr>
          <w:color w:val="000000"/>
          <w:szCs w:val="22"/>
          <w:lang w:val="sr-Latn-ME"/>
        </w:rPr>
        <w:t>obustaviti tokom</w:t>
      </w:r>
      <w:r w:rsidRPr="00A259FB">
        <w:rPr>
          <w:color w:val="000000"/>
          <w:szCs w:val="22"/>
          <w:lang w:val="sr-Latn-ME"/>
        </w:rPr>
        <w:t xml:space="preserve"> </w:t>
      </w:r>
      <w:r w:rsidR="00F05349" w:rsidRPr="00A259FB">
        <w:rPr>
          <w:color w:val="000000"/>
          <w:szCs w:val="22"/>
          <w:lang w:val="sr-Latn-ME"/>
        </w:rPr>
        <w:t>perioda od</w:t>
      </w:r>
      <w:r w:rsidRPr="00A259FB">
        <w:rPr>
          <w:color w:val="000000"/>
          <w:szCs w:val="22"/>
          <w:lang w:val="sr-Latn-ME"/>
        </w:rPr>
        <w:t xml:space="preserve"> 7 </w:t>
      </w:r>
      <w:r w:rsidR="001C5AFB" w:rsidRPr="00A259FB">
        <w:rPr>
          <w:color w:val="000000"/>
          <w:szCs w:val="22"/>
          <w:lang w:val="sr-Latn-ME"/>
        </w:rPr>
        <w:t xml:space="preserve">do </w:t>
      </w:r>
      <w:r w:rsidRPr="00A259FB">
        <w:rPr>
          <w:color w:val="000000"/>
          <w:szCs w:val="22"/>
          <w:lang w:val="sr-Latn-ME"/>
        </w:rPr>
        <w:t>14 dana</w:t>
      </w:r>
      <w:r w:rsidR="00F05349" w:rsidRPr="00A259FB">
        <w:rPr>
          <w:color w:val="000000"/>
          <w:szCs w:val="22"/>
          <w:lang w:val="sr-Latn-ME"/>
        </w:rPr>
        <w:t>, kako bi se olakšala redukcija doze beta</w:t>
      </w:r>
      <w:r w:rsidR="00664CAF" w:rsidRPr="00A259FB">
        <w:rPr>
          <w:color w:val="000000"/>
          <w:szCs w:val="22"/>
          <w:lang w:val="sr-Latn-ME"/>
        </w:rPr>
        <w:t>-</w:t>
      </w:r>
      <w:r w:rsidR="00F05349" w:rsidRPr="00A259FB">
        <w:rPr>
          <w:color w:val="000000"/>
          <w:szCs w:val="22"/>
          <w:lang w:val="sr-Latn-ME"/>
        </w:rPr>
        <w:t>blo</w:t>
      </w:r>
      <w:r w:rsidR="00664CAF" w:rsidRPr="00A259FB">
        <w:rPr>
          <w:color w:val="000000"/>
          <w:szCs w:val="22"/>
          <w:lang w:val="sr-Latn-ME"/>
        </w:rPr>
        <w:t>k</w:t>
      </w:r>
      <w:r w:rsidR="00F05349" w:rsidRPr="00A259FB">
        <w:rPr>
          <w:color w:val="000000"/>
          <w:szCs w:val="22"/>
          <w:lang w:val="sr-Latn-ME"/>
        </w:rPr>
        <w:t>atora. Potrebno je praćenje pacijenata tokom obustave</w:t>
      </w:r>
      <w:r w:rsidRPr="00A259FB">
        <w:rPr>
          <w:color w:val="000000"/>
          <w:szCs w:val="22"/>
          <w:lang w:val="sr-Latn-ME"/>
        </w:rPr>
        <w:t>, naročito oni</w:t>
      </w:r>
      <w:r w:rsidR="00F05349" w:rsidRPr="00A259FB">
        <w:rPr>
          <w:color w:val="000000"/>
          <w:szCs w:val="22"/>
          <w:lang w:val="sr-Latn-ME"/>
        </w:rPr>
        <w:t>h</w:t>
      </w:r>
      <w:r w:rsidRPr="00A259FB">
        <w:rPr>
          <w:color w:val="000000"/>
          <w:szCs w:val="22"/>
          <w:lang w:val="sr-Latn-ME"/>
        </w:rPr>
        <w:t xml:space="preserve"> sa ishemijskom bolešću srca.</w:t>
      </w:r>
    </w:p>
    <w:p w14:paraId="2A9DC000" w14:textId="2E65E206" w:rsidR="00E90FE8" w:rsidRPr="00A259FB" w:rsidRDefault="00E90FE8" w:rsidP="00767CD8">
      <w:pPr>
        <w:pStyle w:val="Header"/>
        <w:numPr>
          <w:ilvl w:val="0"/>
          <w:numId w:val="24"/>
        </w:numPr>
        <w:tabs>
          <w:tab w:val="clear" w:pos="720"/>
          <w:tab w:val="clear" w:pos="4536"/>
          <w:tab w:val="clear" w:pos="9072"/>
          <w:tab w:val="left" w:pos="284"/>
          <w:tab w:val="num" w:pos="540"/>
        </w:tabs>
        <w:ind w:left="540" w:hanging="180"/>
        <w:rPr>
          <w:color w:val="000000"/>
          <w:szCs w:val="22"/>
          <w:lang w:val="sr-Latn-ME"/>
        </w:rPr>
      </w:pPr>
      <w:r w:rsidRPr="00A259FB">
        <w:rPr>
          <w:color w:val="000000"/>
          <w:szCs w:val="22"/>
          <w:lang w:val="sr-Latn-ME"/>
        </w:rPr>
        <w:t xml:space="preserve">Ukoliko pacijent </w:t>
      </w:r>
      <w:r w:rsidR="00770B65" w:rsidRPr="00A259FB">
        <w:rPr>
          <w:color w:val="000000"/>
          <w:szCs w:val="22"/>
          <w:lang w:val="sr-Latn-ME"/>
        </w:rPr>
        <w:t>ima zakazanu</w:t>
      </w:r>
      <w:r w:rsidRPr="00A259FB">
        <w:rPr>
          <w:color w:val="000000"/>
          <w:szCs w:val="22"/>
          <w:lang w:val="sr-Latn-ME"/>
        </w:rPr>
        <w:t xml:space="preserve"> operaciju, a donese se odluka </w:t>
      </w:r>
      <w:r w:rsidR="00770B65" w:rsidRPr="00A259FB">
        <w:rPr>
          <w:color w:val="000000"/>
          <w:szCs w:val="22"/>
          <w:lang w:val="sr-Latn-ME"/>
        </w:rPr>
        <w:t>o obustavi</w:t>
      </w:r>
      <w:r w:rsidRPr="00A259FB">
        <w:rPr>
          <w:color w:val="000000"/>
          <w:szCs w:val="22"/>
          <w:lang w:val="sr-Latn-ME"/>
        </w:rPr>
        <w:t xml:space="preserve"> terapij</w:t>
      </w:r>
      <w:r w:rsidR="00770B65" w:rsidRPr="00A259FB">
        <w:rPr>
          <w:color w:val="000000"/>
          <w:szCs w:val="22"/>
          <w:lang w:val="sr-Latn-ME"/>
        </w:rPr>
        <w:t>e</w:t>
      </w:r>
      <w:r w:rsidRPr="00A259FB">
        <w:rPr>
          <w:color w:val="000000"/>
          <w:szCs w:val="22"/>
          <w:lang w:val="sr-Latn-ME"/>
        </w:rPr>
        <w:t xml:space="preserve"> </w:t>
      </w:r>
      <w:r w:rsidR="004D4A75" w:rsidRPr="00A259FB">
        <w:rPr>
          <w:color w:val="000000"/>
          <w:szCs w:val="22"/>
          <w:lang w:val="sr-Latn-ME"/>
        </w:rPr>
        <w:t>beta</w:t>
      </w:r>
      <w:r w:rsidR="00664CAF" w:rsidRPr="00A259FB">
        <w:rPr>
          <w:color w:val="000000"/>
          <w:szCs w:val="22"/>
          <w:lang w:val="sr-Latn-ME"/>
        </w:rPr>
        <w:t>-</w:t>
      </w:r>
      <w:r w:rsidRPr="00A259FB">
        <w:rPr>
          <w:color w:val="000000"/>
          <w:szCs w:val="22"/>
          <w:lang w:val="sr-Latn-ME"/>
        </w:rPr>
        <w:t>blokator</w:t>
      </w:r>
      <w:r w:rsidR="004D4A75" w:rsidRPr="00A259FB">
        <w:rPr>
          <w:color w:val="000000"/>
          <w:szCs w:val="22"/>
          <w:lang w:val="sr-Latn-ME"/>
        </w:rPr>
        <w:t>ima</w:t>
      </w:r>
      <w:r w:rsidR="00770B65" w:rsidRPr="00A259FB">
        <w:rPr>
          <w:color w:val="000000"/>
          <w:szCs w:val="22"/>
          <w:lang w:val="sr-Latn-ME"/>
        </w:rPr>
        <w:t xml:space="preserve">, </w:t>
      </w:r>
      <w:r w:rsidRPr="00A259FB">
        <w:rPr>
          <w:color w:val="000000"/>
          <w:szCs w:val="22"/>
          <w:lang w:val="sr-Latn-ME"/>
        </w:rPr>
        <w:t>to treba uraditi najmanje 24 sata pr</w:t>
      </w:r>
      <w:r w:rsidR="00CE5619" w:rsidRPr="00A259FB">
        <w:rPr>
          <w:color w:val="000000"/>
          <w:szCs w:val="22"/>
          <w:lang w:val="sr-Latn-ME"/>
        </w:rPr>
        <w:t>ij</w:t>
      </w:r>
      <w:r w:rsidRPr="00A259FB">
        <w:rPr>
          <w:color w:val="000000"/>
          <w:szCs w:val="22"/>
          <w:lang w:val="sr-Latn-ME"/>
        </w:rPr>
        <w:t>e operacije. Proc</w:t>
      </w:r>
      <w:r w:rsidR="00CE5619" w:rsidRPr="00A259FB">
        <w:rPr>
          <w:color w:val="000000"/>
          <w:szCs w:val="22"/>
          <w:lang w:val="sr-Latn-ME"/>
        </w:rPr>
        <w:t>j</w:t>
      </w:r>
      <w:r w:rsidRPr="00A259FB">
        <w:rPr>
          <w:color w:val="000000"/>
          <w:szCs w:val="22"/>
          <w:lang w:val="sr-Latn-ME"/>
        </w:rPr>
        <w:t>ena koristi u odnosu na rizik obustave prim</w:t>
      </w:r>
      <w:r w:rsidR="00CE5619" w:rsidRPr="00A259FB">
        <w:rPr>
          <w:color w:val="000000"/>
          <w:szCs w:val="22"/>
          <w:lang w:val="sr-Latn-ME"/>
        </w:rPr>
        <w:t>j</w:t>
      </w:r>
      <w:r w:rsidRPr="00A259FB">
        <w:rPr>
          <w:color w:val="000000"/>
          <w:szCs w:val="22"/>
          <w:lang w:val="sr-Latn-ME"/>
        </w:rPr>
        <w:t xml:space="preserve">ene </w:t>
      </w:r>
      <w:r w:rsidR="004D4A75" w:rsidRPr="00A259FB">
        <w:rPr>
          <w:color w:val="000000"/>
          <w:szCs w:val="22"/>
          <w:lang w:val="sr-Latn-ME"/>
        </w:rPr>
        <w:t>beta</w:t>
      </w:r>
      <w:r w:rsidR="00F449AA" w:rsidRPr="00A259FB">
        <w:rPr>
          <w:color w:val="000000"/>
          <w:szCs w:val="22"/>
          <w:lang w:val="sr-Latn-ME"/>
        </w:rPr>
        <w:t>-</w:t>
      </w:r>
      <w:r w:rsidRPr="00A259FB">
        <w:rPr>
          <w:color w:val="000000"/>
          <w:szCs w:val="22"/>
          <w:lang w:val="sr-Latn-ME"/>
        </w:rPr>
        <w:t xml:space="preserve">blokatora treba da se obavi za svakog pacijenta ponaosob. Ukoliko se terapija nastavlja, treba izabrati anestetik sa </w:t>
      </w:r>
      <w:r w:rsidR="004D4A75" w:rsidRPr="00A259FB">
        <w:rPr>
          <w:color w:val="000000"/>
          <w:szCs w:val="22"/>
          <w:lang w:val="sr-Latn-ME"/>
        </w:rPr>
        <w:t>malom</w:t>
      </w:r>
      <w:r w:rsidRPr="00A259FB">
        <w:rPr>
          <w:color w:val="000000"/>
          <w:szCs w:val="22"/>
          <w:lang w:val="sr-Latn-ME"/>
        </w:rPr>
        <w:t xml:space="preserve"> negativnom inotropnom aktivnošću</w:t>
      </w:r>
      <w:r w:rsidR="00770B65" w:rsidRPr="00A259FB">
        <w:rPr>
          <w:color w:val="000000"/>
          <w:szCs w:val="22"/>
          <w:lang w:val="sr-Latn-ME"/>
        </w:rPr>
        <w:t>,</w:t>
      </w:r>
      <w:r w:rsidRPr="00A259FB">
        <w:rPr>
          <w:color w:val="000000"/>
          <w:szCs w:val="22"/>
          <w:lang w:val="sr-Latn-ME"/>
        </w:rPr>
        <w:t xml:space="preserve"> kako bi se </w:t>
      </w:r>
      <w:r w:rsidR="002C57D9" w:rsidRPr="00A259FB">
        <w:rPr>
          <w:color w:val="000000"/>
          <w:szCs w:val="22"/>
          <w:lang w:val="sr-Latn-ME"/>
        </w:rPr>
        <w:t>smanjio</w:t>
      </w:r>
      <w:r w:rsidRPr="00A259FB">
        <w:rPr>
          <w:color w:val="000000"/>
          <w:szCs w:val="22"/>
          <w:lang w:val="sr-Latn-ME"/>
        </w:rPr>
        <w:t xml:space="preserve"> rizik od depresije miokarda. Pacijent se može zaštititi od vagusne reakcije intravenskom prim</w:t>
      </w:r>
      <w:r w:rsidR="00CE5619" w:rsidRPr="00A259FB">
        <w:rPr>
          <w:color w:val="000000"/>
          <w:szCs w:val="22"/>
          <w:lang w:val="sr-Latn-ME"/>
        </w:rPr>
        <w:t>j</w:t>
      </w:r>
      <w:r w:rsidRPr="00A259FB">
        <w:rPr>
          <w:color w:val="000000"/>
          <w:szCs w:val="22"/>
          <w:lang w:val="sr-Latn-ME"/>
        </w:rPr>
        <w:t>enom atropina.</w:t>
      </w:r>
    </w:p>
    <w:p w14:paraId="2A9DC001" w14:textId="3E049BB3" w:rsidR="00E90FE8" w:rsidRPr="00A259FB" w:rsidRDefault="00E90FE8" w:rsidP="00767CD8">
      <w:pPr>
        <w:numPr>
          <w:ilvl w:val="0"/>
          <w:numId w:val="24"/>
        </w:numPr>
        <w:tabs>
          <w:tab w:val="clear" w:pos="284"/>
          <w:tab w:val="clear" w:pos="720"/>
          <w:tab w:val="num" w:pos="540"/>
        </w:tabs>
        <w:autoSpaceDE w:val="0"/>
        <w:autoSpaceDN w:val="0"/>
        <w:adjustRightInd w:val="0"/>
        <w:ind w:left="540" w:hanging="180"/>
        <w:rPr>
          <w:color w:val="000000"/>
          <w:szCs w:val="22"/>
          <w:lang w:val="sr-Latn-ME"/>
        </w:rPr>
      </w:pPr>
      <w:r w:rsidRPr="00A259FB">
        <w:rPr>
          <w:color w:val="000000"/>
          <w:szCs w:val="22"/>
          <w:lang w:val="sr-Latn-ME"/>
        </w:rPr>
        <w:t xml:space="preserve">Iako je kontraindikovan kod pacijenata sa </w:t>
      </w:r>
      <w:r w:rsidR="003E41A2" w:rsidRPr="00A259FB">
        <w:rPr>
          <w:color w:val="000000"/>
          <w:szCs w:val="22"/>
          <w:lang w:val="sr-Latn-ME"/>
        </w:rPr>
        <w:t>dekompenzovanom</w:t>
      </w:r>
      <w:r w:rsidRPr="00A259FB">
        <w:rPr>
          <w:color w:val="000000"/>
          <w:szCs w:val="22"/>
          <w:lang w:val="sr-Latn-ME"/>
        </w:rPr>
        <w:t xml:space="preserve"> sr</w:t>
      </w:r>
      <w:r w:rsidRPr="00A259FB">
        <w:rPr>
          <w:rFonts w:eastAsia="TimesNewRoman"/>
          <w:color w:val="000000"/>
          <w:szCs w:val="22"/>
          <w:lang w:val="sr-Latn-ME"/>
        </w:rPr>
        <w:t>č</w:t>
      </w:r>
      <w:r w:rsidRPr="00A259FB">
        <w:rPr>
          <w:color w:val="000000"/>
          <w:szCs w:val="22"/>
          <w:lang w:val="sr-Latn-ME"/>
        </w:rPr>
        <w:t>anom insuficijencijom (vid</w:t>
      </w:r>
      <w:r w:rsidR="00CE5619" w:rsidRPr="00A259FB">
        <w:rPr>
          <w:color w:val="000000"/>
          <w:szCs w:val="22"/>
          <w:lang w:val="sr-Latn-ME"/>
        </w:rPr>
        <w:t>j</w:t>
      </w:r>
      <w:r w:rsidRPr="00A259FB">
        <w:rPr>
          <w:color w:val="000000"/>
          <w:szCs w:val="22"/>
          <w:lang w:val="sr-Latn-ME"/>
        </w:rPr>
        <w:t xml:space="preserve">eti </w:t>
      </w:r>
      <w:r w:rsidR="00CE5619" w:rsidRPr="00A259FB">
        <w:rPr>
          <w:color w:val="000000"/>
          <w:szCs w:val="22"/>
          <w:lang w:val="sr-Latn-ME"/>
        </w:rPr>
        <w:t>dio</w:t>
      </w:r>
      <w:r w:rsidRPr="00A259FB">
        <w:rPr>
          <w:color w:val="000000"/>
          <w:szCs w:val="22"/>
          <w:lang w:val="sr-Latn-ME"/>
        </w:rPr>
        <w:t xml:space="preserve"> 4.3), atenolol se može </w:t>
      </w:r>
      <w:r w:rsidR="00064B70" w:rsidRPr="00A259FB">
        <w:rPr>
          <w:color w:val="000000"/>
          <w:szCs w:val="22"/>
          <w:lang w:val="sr-Latn-ME"/>
        </w:rPr>
        <w:t>prim</w:t>
      </w:r>
      <w:r w:rsidR="00CE5619" w:rsidRPr="00A259FB">
        <w:rPr>
          <w:color w:val="000000"/>
          <w:szCs w:val="22"/>
          <w:lang w:val="sr-Latn-ME"/>
        </w:rPr>
        <w:t>ij</w:t>
      </w:r>
      <w:r w:rsidR="00064B70" w:rsidRPr="00A259FB">
        <w:rPr>
          <w:color w:val="000000"/>
          <w:szCs w:val="22"/>
          <w:lang w:val="sr-Latn-ME"/>
        </w:rPr>
        <w:t>eniti</w:t>
      </w:r>
      <w:r w:rsidRPr="00A259FB">
        <w:rPr>
          <w:color w:val="000000"/>
          <w:szCs w:val="22"/>
          <w:lang w:val="sr-Latn-ME"/>
        </w:rPr>
        <w:t xml:space="preserve"> kod pacijenata kod kojih su znaci sr</w:t>
      </w:r>
      <w:r w:rsidRPr="00A259FB">
        <w:rPr>
          <w:rFonts w:eastAsia="TimesNewRoman"/>
          <w:color w:val="000000"/>
          <w:szCs w:val="22"/>
          <w:lang w:val="sr-Latn-ME"/>
        </w:rPr>
        <w:t>č</w:t>
      </w:r>
      <w:r w:rsidRPr="00A259FB">
        <w:rPr>
          <w:color w:val="000000"/>
          <w:szCs w:val="22"/>
          <w:lang w:val="sr-Latn-ME"/>
        </w:rPr>
        <w:t>ane insuficijencije pod kontrolom. Potreban je oprez kod pacijenata sa malom sr</w:t>
      </w:r>
      <w:r w:rsidRPr="00A259FB">
        <w:rPr>
          <w:rFonts w:eastAsia="TimesNewRoman"/>
          <w:color w:val="000000"/>
          <w:szCs w:val="22"/>
          <w:lang w:val="sr-Latn-ME"/>
        </w:rPr>
        <w:t>č</w:t>
      </w:r>
      <w:r w:rsidRPr="00A259FB">
        <w:rPr>
          <w:color w:val="000000"/>
          <w:szCs w:val="22"/>
          <w:lang w:val="sr-Latn-ME"/>
        </w:rPr>
        <w:t>anom rezervom.</w:t>
      </w:r>
    </w:p>
    <w:p w14:paraId="2A9DC002" w14:textId="0237AEEE" w:rsidR="00E90FE8" w:rsidRPr="00A259FB" w:rsidRDefault="00E90FE8" w:rsidP="00767CD8">
      <w:pPr>
        <w:numPr>
          <w:ilvl w:val="0"/>
          <w:numId w:val="24"/>
        </w:numPr>
        <w:tabs>
          <w:tab w:val="clear" w:pos="284"/>
          <w:tab w:val="clear" w:pos="720"/>
          <w:tab w:val="num" w:pos="540"/>
        </w:tabs>
        <w:autoSpaceDE w:val="0"/>
        <w:autoSpaceDN w:val="0"/>
        <w:adjustRightInd w:val="0"/>
        <w:ind w:left="540" w:hanging="180"/>
        <w:rPr>
          <w:color w:val="000000"/>
          <w:szCs w:val="22"/>
          <w:lang w:val="sr-Latn-ME"/>
        </w:rPr>
      </w:pPr>
      <w:r w:rsidRPr="00A259FB">
        <w:rPr>
          <w:color w:val="000000"/>
          <w:szCs w:val="22"/>
          <w:lang w:val="sr-Latn-ME"/>
        </w:rPr>
        <w:t>Prim</w:t>
      </w:r>
      <w:r w:rsidR="00723F9E" w:rsidRPr="00A259FB">
        <w:rPr>
          <w:color w:val="000000"/>
          <w:szCs w:val="22"/>
          <w:lang w:val="sr-Latn-ME"/>
        </w:rPr>
        <w:t>j</w:t>
      </w:r>
      <w:r w:rsidRPr="00A259FB">
        <w:rPr>
          <w:color w:val="000000"/>
          <w:szCs w:val="22"/>
          <w:lang w:val="sr-Latn-ME"/>
        </w:rPr>
        <w:t xml:space="preserve">ena </w:t>
      </w:r>
      <w:r w:rsidR="001742B3" w:rsidRPr="00A259FB">
        <w:rPr>
          <w:color w:val="000000"/>
          <w:szCs w:val="22"/>
          <w:lang w:val="sr-Latn-ME"/>
        </w:rPr>
        <w:t>beta</w:t>
      </w:r>
      <w:r w:rsidR="00664CAF" w:rsidRPr="00A259FB">
        <w:rPr>
          <w:color w:val="000000"/>
          <w:szCs w:val="22"/>
          <w:lang w:val="sr-Latn-ME"/>
        </w:rPr>
        <w:t>-</w:t>
      </w:r>
      <w:r w:rsidRPr="00A259FB">
        <w:rPr>
          <w:color w:val="000000"/>
          <w:szCs w:val="22"/>
          <w:lang w:val="sr-Latn-ME"/>
        </w:rPr>
        <w:t>blokatora može povećati broj i dužinu anginoznih napada kod pacijenata sa Prinzmetalovom anginom, usl</w:t>
      </w:r>
      <w:r w:rsidR="00723F9E" w:rsidRPr="00A259FB">
        <w:rPr>
          <w:color w:val="000000"/>
          <w:szCs w:val="22"/>
          <w:lang w:val="sr-Latn-ME"/>
        </w:rPr>
        <w:t>j</w:t>
      </w:r>
      <w:r w:rsidRPr="00A259FB">
        <w:rPr>
          <w:color w:val="000000"/>
          <w:szCs w:val="22"/>
          <w:lang w:val="sr-Latn-ME"/>
        </w:rPr>
        <w:t xml:space="preserve">ed neometane vazokonstrikcije koronarnih arterija posredovane alfa-receptorima. Atenolol je selektivni </w:t>
      </w:r>
      <w:r w:rsidR="001742B3" w:rsidRPr="00A259FB">
        <w:rPr>
          <w:color w:val="000000"/>
          <w:szCs w:val="22"/>
          <w:lang w:val="sr-Latn-ME"/>
        </w:rPr>
        <w:t>beta-1</w:t>
      </w:r>
      <w:r w:rsidR="00F449AA" w:rsidRPr="00A259FB">
        <w:rPr>
          <w:color w:val="000000"/>
          <w:szCs w:val="22"/>
          <w:lang w:val="sr-Latn-ME"/>
        </w:rPr>
        <w:t>-</w:t>
      </w:r>
      <w:r w:rsidRPr="00A259FB">
        <w:rPr>
          <w:color w:val="000000"/>
          <w:szCs w:val="22"/>
          <w:lang w:val="sr-Latn-ME"/>
        </w:rPr>
        <w:t xml:space="preserve">blokator; zato se njegova upotreba može razmotriti, ali </w:t>
      </w:r>
      <w:r w:rsidR="00CE1780" w:rsidRPr="00A259FB">
        <w:rPr>
          <w:color w:val="000000"/>
          <w:szCs w:val="22"/>
          <w:lang w:val="sr-Latn-ME"/>
        </w:rPr>
        <w:t>uz</w:t>
      </w:r>
      <w:r w:rsidRPr="00A259FB">
        <w:rPr>
          <w:color w:val="000000"/>
          <w:szCs w:val="22"/>
          <w:lang w:val="sr-Latn-ME"/>
        </w:rPr>
        <w:t xml:space="preserve"> maksimal</w:t>
      </w:r>
      <w:r w:rsidR="00064B70" w:rsidRPr="00A259FB">
        <w:rPr>
          <w:color w:val="000000"/>
          <w:szCs w:val="22"/>
          <w:lang w:val="sr-Latn-ME"/>
        </w:rPr>
        <w:t>an</w:t>
      </w:r>
      <w:r w:rsidRPr="00A259FB">
        <w:rPr>
          <w:color w:val="000000"/>
          <w:szCs w:val="22"/>
          <w:lang w:val="sr-Latn-ME"/>
        </w:rPr>
        <w:t xml:space="preserve"> </w:t>
      </w:r>
      <w:r w:rsidR="00064B70" w:rsidRPr="00A259FB">
        <w:rPr>
          <w:color w:val="000000"/>
          <w:szCs w:val="22"/>
          <w:lang w:val="sr-Latn-ME"/>
        </w:rPr>
        <w:t>oprez</w:t>
      </w:r>
      <w:r w:rsidRPr="00A259FB">
        <w:rPr>
          <w:color w:val="000000"/>
          <w:szCs w:val="22"/>
          <w:lang w:val="sr-Latn-ME"/>
        </w:rPr>
        <w:t>.</w:t>
      </w:r>
    </w:p>
    <w:p w14:paraId="2A9DC003" w14:textId="2A8E37B8" w:rsidR="00E90FE8" w:rsidRPr="00A259FB" w:rsidRDefault="00E90FE8" w:rsidP="00767CD8">
      <w:pPr>
        <w:numPr>
          <w:ilvl w:val="0"/>
          <w:numId w:val="24"/>
        </w:numPr>
        <w:tabs>
          <w:tab w:val="clear" w:pos="720"/>
          <w:tab w:val="num" w:pos="540"/>
        </w:tabs>
        <w:ind w:left="540" w:hanging="180"/>
        <w:rPr>
          <w:color w:val="000000"/>
          <w:szCs w:val="22"/>
          <w:lang w:val="sr-Latn-ME"/>
        </w:rPr>
      </w:pPr>
      <w:r w:rsidRPr="00A259FB">
        <w:rPr>
          <w:color w:val="000000"/>
          <w:szCs w:val="22"/>
          <w:lang w:val="sr-Latn-ME"/>
        </w:rPr>
        <w:t>Prim</w:t>
      </w:r>
      <w:r w:rsidR="00723F9E" w:rsidRPr="00A259FB">
        <w:rPr>
          <w:color w:val="000000"/>
          <w:szCs w:val="22"/>
          <w:lang w:val="sr-Latn-ME"/>
        </w:rPr>
        <w:t>j</w:t>
      </w:r>
      <w:r w:rsidRPr="00A259FB">
        <w:rPr>
          <w:color w:val="000000"/>
          <w:szCs w:val="22"/>
          <w:lang w:val="sr-Latn-ME"/>
        </w:rPr>
        <w:t>ena atenolola može dovesti do pogo</w:t>
      </w:r>
      <w:r w:rsidR="00FD06C2" w:rsidRPr="00A259FB">
        <w:rPr>
          <w:color w:val="000000"/>
          <w:szCs w:val="22"/>
          <w:lang w:val="sr-Latn-ME"/>
        </w:rPr>
        <w:t>r</w:t>
      </w:r>
      <w:r w:rsidRPr="00A259FB">
        <w:rPr>
          <w:color w:val="000000"/>
          <w:szCs w:val="22"/>
          <w:lang w:val="sr-Latn-ME"/>
        </w:rPr>
        <w:t>šanja manje teških poremećaja periferne arterijske cirkulacije, dok je kod teških poremećaja periferne arterijske cirkulacije njegova prim</w:t>
      </w:r>
      <w:r w:rsidR="00723F9E" w:rsidRPr="00A259FB">
        <w:rPr>
          <w:color w:val="000000"/>
          <w:szCs w:val="22"/>
          <w:lang w:val="sr-Latn-ME"/>
        </w:rPr>
        <w:t>j</w:t>
      </w:r>
      <w:r w:rsidRPr="00A259FB">
        <w:rPr>
          <w:color w:val="000000"/>
          <w:szCs w:val="22"/>
          <w:lang w:val="sr-Latn-ME"/>
        </w:rPr>
        <w:t>ena kontraindikovana</w:t>
      </w:r>
      <w:r w:rsidR="0072241F" w:rsidRPr="00A259FB">
        <w:rPr>
          <w:color w:val="000000"/>
          <w:szCs w:val="22"/>
          <w:lang w:val="sr-Latn-ME"/>
        </w:rPr>
        <w:t xml:space="preserve"> (vid</w:t>
      </w:r>
      <w:r w:rsidR="00723F9E" w:rsidRPr="00A259FB">
        <w:rPr>
          <w:color w:val="000000"/>
          <w:szCs w:val="22"/>
          <w:lang w:val="sr-Latn-ME"/>
        </w:rPr>
        <w:t>j</w:t>
      </w:r>
      <w:r w:rsidR="0072241F" w:rsidRPr="00A259FB">
        <w:rPr>
          <w:color w:val="000000"/>
          <w:szCs w:val="22"/>
          <w:lang w:val="sr-Latn-ME"/>
        </w:rPr>
        <w:t xml:space="preserve">eti </w:t>
      </w:r>
      <w:r w:rsidR="00723F9E" w:rsidRPr="00A259FB">
        <w:rPr>
          <w:color w:val="000000"/>
          <w:szCs w:val="22"/>
          <w:lang w:val="sr-Latn-ME"/>
        </w:rPr>
        <w:t>dio</w:t>
      </w:r>
      <w:r w:rsidR="0072241F" w:rsidRPr="00A259FB">
        <w:rPr>
          <w:color w:val="000000"/>
          <w:szCs w:val="22"/>
          <w:lang w:val="sr-Latn-ME"/>
        </w:rPr>
        <w:t xml:space="preserve"> 4.3)</w:t>
      </w:r>
      <w:r w:rsidRPr="00A259FB">
        <w:rPr>
          <w:color w:val="000000"/>
          <w:szCs w:val="22"/>
          <w:lang w:val="sr-Latn-ME"/>
        </w:rPr>
        <w:t>.</w:t>
      </w:r>
    </w:p>
    <w:p w14:paraId="2A9DC004" w14:textId="6325929A" w:rsidR="00E90FE8" w:rsidRPr="00A259FB" w:rsidRDefault="00E90FE8" w:rsidP="00767CD8">
      <w:pPr>
        <w:numPr>
          <w:ilvl w:val="0"/>
          <w:numId w:val="24"/>
        </w:numPr>
        <w:tabs>
          <w:tab w:val="clear" w:pos="720"/>
          <w:tab w:val="num" w:pos="540"/>
        </w:tabs>
        <w:ind w:left="540" w:hanging="180"/>
        <w:rPr>
          <w:color w:val="000000"/>
          <w:szCs w:val="22"/>
          <w:lang w:val="sr-Latn-ME"/>
        </w:rPr>
      </w:pPr>
      <w:r w:rsidRPr="00A259FB">
        <w:rPr>
          <w:color w:val="000000"/>
          <w:szCs w:val="22"/>
          <w:lang w:val="sr-Latn-ME"/>
        </w:rPr>
        <w:t>Atenolol se mora sa oprezom prim</w:t>
      </w:r>
      <w:r w:rsidR="00723F9E" w:rsidRPr="00A259FB">
        <w:rPr>
          <w:color w:val="000000"/>
          <w:szCs w:val="22"/>
          <w:lang w:val="sr-Latn-ME"/>
        </w:rPr>
        <w:t>j</w:t>
      </w:r>
      <w:r w:rsidRPr="00A259FB">
        <w:rPr>
          <w:color w:val="000000"/>
          <w:szCs w:val="22"/>
          <w:lang w:val="sr-Latn-ME"/>
        </w:rPr>
        <w:t>enjivati kod pacijenata sa AV blokom I stepena</w:t>
      </w:r>
      <w:r w:rsidR="00F449AA" w:rsidRPr="00A259FB">
        <w:rPr>
          <w:color w:val="000000"/>
          <w:szCs w:val="22"/>
          <w:lang w:val="sr-Latn-ME"/>
        </w:rPr>
        <w:t>,</w:t>
      </w:r>
      <w:r w:rsidRPr="00A259FB">
        <w:rPr>
          <w:color w:val="000000"/>
          <w:szCs w:val="22"/>
          <w:lang w:val="sr-Latn-ME"/>
        </w:rPr>
        <w:t xml:space="preserve"> zbog negativnog uticaja na vr</w:t>
      </w:r>
      <w:r w:rsidR="00723F9E" w:rsidRPr="00A259FB">
        <w:rPr>
          <w:color w:val="000000"/>
          <w:szCs w:val="22"/>
          <w:lang w:val="sr-Latn-ME"/>
        </w:rPr>
        <w:t>ij</w:t>
      </w:r>
      <w:r w:rsidRPr="00A259FB">
        <w:rPr>
          <w:color w:val="000000"/>
          <w:szCs w:val="22"/>
          <w:lang w:val="sr-Latn-ME"/>
        </w:rPr>
        <w:t>eme sprovođenja srčanog impulsa.</w:t>
      </w:r>
    </w:p>
    <w:p w14:paraId="2A9DC005" w14:textId="7751C6FF" w:rsidR="00E90FE8" w:rsidRPr="00A259FB" w:rsidRDefault="00E90FE8" w:rsidP="00767CD8">
      <w:pPr>
        <w:numPr>
          <w:ilvl w:val="0"/>
          <w:numId w:val="24"/>
        </w:numPr>
        <w:tabs>
          <w:tab w:val="clear" w:pos="720"/>
          <w:tab w:val="num" w:pos="540"/>
        </w:tabs>
        <w:ind w:left="540" w:hanging="180"/>
        <w:rPr>
          <w:color w:val="000000"/>
          <w:szCs w:val="22"/>
          <w:lang w:val="sr-Latn-ME"/>
        </w:rPr>
      </w:pPr>
      <w:r w:rsidRPr="00A259FB">
        <w:rPr>
          <w:color w:val="000000"/>
          <w:szCs w:val="22"/>
          <w:lang w:val="sr-Latn-ME"/>
        </w:rPr>
        <w:t>Atenolol može maskirati simptome hipoglikemije, posebno tahikardij</w:t>
      </w:r>
      <w:r w:rsidR="003C6E3E" w:rsidRPr="00A259FB">
        <w:rPr>
          <w:color w:val="000000"/>
          <w:szCs w:val="22"/>
          <w:lang w:val="sr-Latn-ME"/>
        </w:rPr>
        <w:t>u</w:t>
      </w:r>
      <w:r w:rsidRPr="00A259FB">
        <w:rPr>
          <w:color w:val="000000"/>
          <w:szCs w:val="22"/>
          <w:lang w:val="sr-Latn-ME"/>
        </w:rPr>
        <w:t>.</w:t>
      </w:r>
    </w:p>
    <w:p w14:paraId="2A9DC006" w14:textId="77777777" w:rsidR="00E90FE8" w:rsidRPr="00A259FB" w:rsidRDefault="00E90FE8" w:rsidP="00767CD8">
      <w:pPr>
        <w:numPr>
          <w:ilvl w:val="0"/>
          <w:numId w:val="24"/>
        </w:numPr>
        <w:tabs>
          <w:tab w:val="clear" w:pos="720"/>
          <w:tab w:val="num" w:pos="540"/>
        </w:tabs>
        <w:ind w:left="540" w:hanging="180"/>
        <w:rPr>
          <w:color w:val="000000"/>
          <w:szCs w:val="22"/>
          <w:lang w:val="sr-Latn-ME"/>
        </w:rPr>
      </w:pPr>
      <w:r w:rsidRPr="00A259FB">
        <w:rPr>
          <w:color w:val="000000"/>
          <w:szCs w:val="22"/>
          <w:lang w:val="sr-Latn-ME"/>
        </w:rPr>
        <w:t>Može da maskira znake tireotoksikoze.</w:t>
      </w:r>
    </w:p>
    <w:p w14:paraId="2A9DC007" w14:textId="5538CBEF" w:rsidR="00E90FE8" w:rsidRPr="00A259FB" w:rsidRDefault="00E90FE8" w:rsidP="00767CD8">
      <w:pPr>
        <w:numPr>
          <w:ilvl w:val="0"/>
          <w:numId w:val="24"/>
        </w:numPr>
        <w:tabs>
          <w:tab w:val="clear" w:pos="284"/>
          <w:tab w:val="clear" w:pos="720"/>
          <w:tab w:val="num" w:pos="540"/>
        </w:tabs>
        <w:autoSpaceDE w:val="0"/>
        <w:autoSpaceDN w:val="0"/>
        <w:adjustRightInd w:val="0"/>
        <w:ind w:left="540" w:hanging="180"/>
        <w:rPr>
          <w:color w:val="000000"/>
          <w:szCs w:val="22"/>
          <w:lang w:val="sr-Latn-ME"/>
        </w:rPr>
      </w:pPr>
      <w:r w:rsidRPr="00A259FB">
        <w:rPr>
          <w:color w:val="000000"/>
          <w:szCs w:val="22"/>
          <w:lang w:val="sr-Latn-ME"/>
        </w:rPr>
        <w:t>Atenolol smanjuje srčanu frekvencu kao rezultat farmakološkog dejstva. U r</w:t>
      </w:r>
      <w:r w:rsidR="00723F9E" w:rsidRPr="00A259FB">
        <w:rPr>
          <w:color w:val="000000"/>
          <w:szCs w:val="22"/>
          <w:lang w:val="sr-Latn-ME"/>
        </w:rPr>
        <w:t>ij</w:t>
      </w:r>
      <w:r w:rsidRPr="00A259FB">
        <w:rPr>
          <w:color w:val="000000"/>
          <w:szCs w:val="22"/>
          <w:lang w:val="sr-Latn-ME"/>
        </w:rPr>
        <w:t>etkim slu</w:t>
      </w:r>
      <w:r w:rsidRPr="00A259FB">
        <w:rPr>
          <w:rFonts w:eastAsia="TimesNewRoman"/>
          <w:color w:val="000000"/>
          <w:szCs w:val="22"/>
          <w:lang w:val="sr-Latn-ME"/>
        </w:rPr>
        <w:t>č</w:t>
      </w:r>
      <w:r w:rsidRPr="00A259FB">
        <w:rPr>
          <w:color w:val="000000"/>
          <w:szCs w:val="22"/>
          <w:lang w:val="sr-Latn-ME"/>
        </w:rPr>
        <w:t>ajevima kada se kod pacijenta</w:t>
      </w:r>
      <w:r w:rsidR="00483E04" w:rsidRPr="00A259FB">
        <w:rPr>
          <w:color w:val="000000"/>
          <w:szCs w:val="22"/>
          <w:lang w:val="sr-Latn-ME"/>
        </w:rPr>
        <w:t xml:space="preserve"> </w:t>
      </w:r>
      <w:r w:rsidRPr="00A259FB">
        <w:rPr>
          <w:color w:val="000000"/>
          <w:szCs w:val="22"/>
          <w:lang w:val="sr-Latn-ME"/>
        </w:rPr>
        <w:t>otkriju simptomi koji se mogu pripisati bradikardiji, a srčana frekvenca bude manja od 50 - 55 otkucaja u minuti u stanju mirovanja, dozu treba smanjiti.</w:t>
      </w:r>
    </w:p>
    <w:p w14:paraId="2A9DC008" w14:textId="7EF46AC9" w:rsidR="00E90FE8" w:rsidRPr="00A259FB" w:rsidRDefault="00E90FE8" w:rsidP="00767CD8">
      <w:pPr>
        <w:numPr>
          <w:ilvl w:val="0"/>
          <w:numId w:val="24"/>
        </w:numPr>
        <w:tabs>
          <w:tab w:val="clear" w:pos="720"/>
          <w:tab w:val="num" w:pos="540"/>
        </w:tabs>
        <w:ind w:left="540" w:hanging="180"/>
        <w:rPr>
          <w:color w:val="000000"/>
          <w:szCs w:val="22"/>
          <w:lang w:val="sr-Latn-ME"/>
        </w:rPr>
      </w:pPr>
      <w:r w:rsidRPr="00A259FB">
        <w:rPr>
          <w:color w:val="000000"/>
          <w:szCs w:val="22"/>
          <w:lang w:val="sr-Latn-ME"/>
        </w:rPr>
        <w:t>Kod pacijenata sa anafilaktičkim reakcijama na različite alergene u anamnezi, prim</w:t>
      </w:r>
      <w:r w:rsidR="00723F9E" w:rsidRPr="00A259FB">
        <w:rPr>
          <w:color w:val="000000"/>
          <w:szCs w:val="22"/>
          <w:lang w:val="sr-Latn-ME"/>
        </w:rPr>
        <w:t>j</w:t>
      </w:r>
      <w:r w:rsidRPr="00A259FB">
        <w:rPr>
          <w:color w:val="000000"/>
          <w:szCs w:val="22"/>
          <w:lang w:val="sr-Latn-ME"/>
        </w:rPr>
        <w:t xml:space="preserve">ena atenolola može </w:t>
      </w:r>
      <w:r w:rsidR="00057ECA" w:rsidRPr="00A259FB">
        <w:rPr>
          <w:color w:val="000000"/>
          <w:szCs w:val="22"/>
          <w:lang w:val="sr-Latn-ME"/>
        </w:rPr>
        <w:t>pojačati</w:t>
      </w:r>
      <w:r w:rsidR="001742B3" w:rsidRPr="00A259FB">
        <w:rPr>
          <w:color w:val="000000"/>
          <w:szCs w:val="22"/>
          <w:lang w:val="sr-Latn-ME"/>
        </w:rPr>
        <w:t xml:space="preserve"> tešku</w:t>
      </w:r>
      <w:r w:rsidRPr="00A259FB">
        <w:rPr>
          <w:color w:val="000000"/>
          <w:szCs w:val="22"/>
          <w:lang w:val="sr-Latn-ME"/>
        </w:rPr>
        <w:t xml:space="preserve"> alergijsku reakciju pri kontaktu sa istim alergenima. Takvi pacijenti možda neće reagovati na uobičajene doze adrenalina (epinefrina) </w:t>
      </w:r>
      <w:r w:rsidR="00483E04" w:rsidRPr="00A259FB">
        <w:rPr>
          <w:color w:val="000000"/>
          <w:szCs w:val="22"/>
          <w:lang w:val="sr-Latn-ME"/>
        </w:rPr>
        <w:t xml:space="preserve">koje se koriste kod </w:t>
      </w:r>
      <w:r w:rsidRPr="00A259FB">
        <w:rPr>
          <w:color w:val="000000"/>
          <w:szCs w:val="22"/>
          <w:lang w:val="sr-Latn-ME"/>
        </w:rPr>
        <w:t>alergijskih reakcija.</w:t>
      </w:r>
    </w:p>
    <w:p w14:paraId="2A9DC009" w14:textId="01B18E7E" w:rsidR="00E90FE8" w:rsidRPr="00A259FB" w:rsidRDefault="00E90FE8" w:rsidP="00767CD8">
      <w:pPr>
        <w:numPr>
          <w:ilvl w:val="0"/>
          <w:numId w:val="24"/>
        </w:numPr>
        <w:tabs>
          <w:tab w:val="clear" w:pos="720"/>
          <w:tab w:val="num" w:pos="540"/>
        </w:tabs>
        <w:ind w:left="540" w:hanging="180"/>
        <w:rPr>
          <w:color w:val="000000"/>
          <w:szCs w:val="22"/>
          <w:lang w:val="sr-Latn-ME"/>
        </w:rPr>
      </w:pPr>
      <w:r w:rsidRPr="00A259FB">
        <w:rPr>
          <w:color w:val="000000"/>
          <w:szCs w:val="22"/>
          <w:lang w:val="sr-Latn-ME"/>
        </w:rPr>
        <w:t>Atenolol može prouzrokovati reakcije preos</w:t>
      </w:r>
      <w:r w:rsidR="00723F9E" w:rsidRPr="00A259FB">
        <w:rPr>
          <w:color w:val="000000"/>
          <w:szCs w:val="22"/>
          <w:lang w:val="sr-Latn-ME"/>
        </w:rPr>
        <w:t>j</w:t>
      </w:r>
      <w:r w:rsidRPr="00A259FB">
        <w:rPr>
          <w:color w:val="000000"/>
          <w:szCs w:val="22"/>
          <w:lang w:val="sr-Latn-ME"/>
        </w:rPr>
        <w:t>etljivosti, uključujući angioedem i urtikariju.</w:t>
      </w:r>
    </w:p>
    <w:p w14:paraId="2A9DC00A" w14:textId="45847C41" w:rsidR="00E90FE8" w:rsidRPr="00A259FB" w:rsidRDefault="00E90FE8" w:rsidP="00767CD8">
      <w:pPr>
        <w:numPr>
          <w:ilvl w:val="0"/>
          <w:numId w:val="24"/>
        </w:numPr>
        <w:tabs>
          <w:tab w:val="clear" w:pos="720"/>
          <w:tab w:val="num" w:pos="540"/>
        </w:tabs>
        <w:ind w:left="540" w:hanging="180"/>
        <w:rPr>
          <w:szCs w:val="22"/>
          <w:lang w:val="sr-Latn-ME"/>
        </w:rPr>
      </w:pPr>
      <w:r w:rsidRPr="00A259FB">
        <w:rPr>
          <w:szCs w:val="22"/>
          <w:lang w:val="sr-Latn-ME"/>
        </w:rPr>
        <w:t>Oprez je potreban prilikom prim</w:t>
      </w:r>
      <w:r w:rsidR="00723F9E" w:rsidRPr="00A259FB">
        <w:rPr>
          <w:szCs w:val="22"/>
          <w:lang w:val="sr-Latn-ME"/>
        </w:rPr>
        <w:t>j</w:t>
      </w:r>
      <w:r w:rsidRPr="00A259FB">
        <w:rPr>
          <w:szCs w:val="22"/>
          <w:lang w:val="sr-Latn-ME"/>
        </w:rPr>
        <w:t xml:space="preserve">ene atenolola kod starijih </w:t>
      </w:r>
      <w:r w:rsidR="001742B3" w:rsidRPr="00A259FB">
        <w:rPr>
          <w:szCs w:val="22"/>
          <w:lang w:val="sr-Latn-ME"/>
        </w:rPr>
        <w:t>pacijenata</w:t>
      </w:r>
      <w:r w:rsidRPr="00A259FB">
        <w:rPr>
          <w:szCs w:val="22"/>
          <w:lang w:val="sr-Latn-ME"/>
        </w:rPr>
        <w:t xml:space="preserve">, a terapiju treba započeti </w:t>
      </w:r>
      <w:r w:rsidR="001742B3" w:rsidRPr="00A259FB">
        <w:rPr>
          <w:szCs w:val="22"/>
          <w:lang w:val="sr-Latn-ME"/>
        </w:rPr>
        <w:t>manjim</w:t>
      </w:r>
      <w:r w:rsidRPr="00A259FB">
        <w:rPr>
          <w:szCs w:val="22"/>
          <w:lang w:val="sr-Latn-ME"/>
        </w:rPr>
        <w:t xml:space="preserve"> dozama (vid</w:t>
      </w:r>
      <w:r w:rsidR="00723F9E" w:rsidRPr="00A259FB">
        <w:rPr>
          <w:szCs w:val="22"/>
          <w:lang w:val="sr-Latn-ME"/>
        </w:rPr>
        <w:t>j</w:t>
      </w:r>
      <w:r w:rsidRPr="00A259FB">
        <w:rPr>
          <w:szCs w:val="22"/>
          <w:lang w:val="sr-Latn-ME"/>
        </w:rPr>
        <w:t xml:space="preserve">eti </w:t>
      </w:r>
      <w:r w:rsidR="00723F9E" w:rsidRPr="00A259FB">
        <w:rPr>
          <w:szCs w:val="22"/>
          <w:lang w:val="sr-Latn-ME"/>
        </w:rPr>
        <w:t>dio</w:t>
      </w:r>
      <w:r w:rsidRPr="00A259FB">
        <w:rPr>
          <w:szCs w:val="22"/>
          <w:lang w:val="sr-Latn-ME"/>
        </w:rPr>
        <w:t xml:space="preserve"> 4.2).</w:t>
      </w:r>
    </w:p>
    <w:p w14:paraId="069FB477" w14:textId="77777777" w:rsidR="00FD06C2" w:rsidRPr="00A259FB" w:rsidRDefault="00FD06C2" w:rsidP="00140A21">
      <w:pPr>
        <w:ind w:left="540"/>
        <w:rPr>
          <w:szCs w:val="22"/>
          <w:lang w:val="sr-Latn-ME"/>
        </w:rPr>
      </w:pPr>
    </w:p>
    <w:p w14:paraId="2A9DC00C" w14:textId="2137C314" w:rsidR="00E90FE8" w:rsidRPr="00A259FB" w:rsidRDefault="00E90FE8" w:rsidP="00767CD8">
      <w:pPr>
        <w:rPr>
          <w:szCs w:val="22"/>
          <w:lang w:val="sr-Latn-ME"/>
        </w:rPr>
      </w:pPr>
      <w:r w:rsidRPr="00A259FB">
        <w:rPr>
          <w:szCs w:val="22"/>
          <w:lang w:val="sr-Latn-ME"/>
        </w:rPr>
        <w:t>S obzirom na to da se atenolol izlučuje preko bubrega, kod pacijenata sa klirensom kreatinina manjim od 35 m</w:t>
      </w:r>
      <w:r w:rsidR="00723F9E" w:rsidRPr="00A259FB">
        <w:rPr>
          <w:szCs w:val="22"/>
          <w:lang w:val="sr-Latn-ME"/>
        </w:rPr>
        <w:t>l</w:t>
      </w:r>
      <w:r w:rsidRPr="00A259FB">
        <w:rPr>
          <w:szCs w:val="22"/>
          <w:lang w:val="sr-Latn-ME"/>
        </w:rPr>
        <w:t>/min/1,73 m</w:t>
      </w:r>
      <w:r w:rsidRPr="00A259FB">
        <w:rPr>
          <w:szCs w:val="22"/>
          <w:vertAlign w:val="superscript"/>
          <w:lang w:val="sr-Latn-ME"/>
        </w:rPr>
        <w:t>2</w:t>
      </w:r>
      <w:r w:rsidR="00B057D0" w:rsidRPr="00A259FB">
        <w:rPr>
          <w:szCs w:val="22"/>
          <w:lang w:val="sr-Latn-ME"/>
        </w:rPr>
        <w:t>,</w:t>
      </w:r>
      <w:r w:rsidRPr="00A259FB">
        <w:rPr>
          <w:szCs w:val="22"/>
          <w:vertAlign w:val="superscript"/>
          <w:lang w:val="sr-Latn-ME"/>
        </w:rPr>
        <w:t xml:space="preserve"> </w:t>
      </w:r>
      <w:r w:rsidRPr="00A259FB">
        <w:rPr>
          <w:szCs w:val="22"/>
          <w:lang w:val="sr-Latn-ME"/>
        </w:rPr>
        <w:t>potrebno je smanjiti dozu atenolola.</w:t>
      </w:r>
    </w:p>
    <w:p w14:paraId="7343ABD5" w14:textId="77777777" w:rsidR="00FD06C2" w:rsidRPr="00A259FB" w:rsidRDefault="00FD06C2" w:rsidP="00767CD8">
      <w:pPr>
        <w:rPr>
          <w:szCs w:val="22"/>
          <w:lang w:val="sr-Latn-ME"/>
        </w:rPr>
      </w:pPr>
    </w:p>
    <w:p w14:paraId="2A9DC010" w14:textId="293E1144" w:rsidR="00E90FE8" w:rsidRPr="00A259FB" w:rsidRDefault="00E90FE8" w:rsidP="00767CD8">
      <w:pPr>
        <w:rPr>
          <w:color w:val="000000"/>
          <w:szCs w:val="22"/>
          <w:lang w:val="sr-Latn-ME"/>
        </w:rPr>
      </w:pPr>
      <w:r w:rsidRPr="00A259FB">
        <w:rPr>
          <w:szCs w:val="22"/>
          <w:lang w:val="sr-Latn-ME"/>
        </w:rPr>
        <w:t xml:space="preserve">Iako kardioselektivni, </w:t>
      </w:r>
      <w:r w:rsidR="00BC4A49" w:rsidRPr="00A259FB">
        <w:rPr>
          <w:szCs w:val="22"/>
          <w:lang w:val="sr-Latn-ME"/>
        </w:rPr>
        <w:t>beta-1</w:t>
      </w:r>
      <w:r w:rsidR="00C7017F" w:rsidRPr="00A259FB">
        <w:rPr>
          <w:szCs w:val="22"/>
          <w:lang w:val="sr-Latn-ME"/>
        </w:rPr>
        <w:t>-</w:t>
      </w:r>
      <w:r w:rsidR="005B3892" w:rsidRPr="00A259FB">
        <w:rPr>
          <w:szCs w:val="22"/>
          <w:lang w:val="sr-Latn-ME"/>
        </w:rPr>
        <w:t>a</w:t>
      </w:r>
      <w:r w:rsidRPr="00A259FB">
        <w:rPr>
          <w:szCs w:val="22"/>
          <w:lang w:val="sr-Latn-ME"/>
        </w:rPr>
        <w:t>drenergički blokatori mogu da imaju manji uticaj na funkciju</w:t>
      </w:r>
      <w:r w:rsidR="009A7B02" w:rsidRPr="00A259FB">
        <w:rPr>
          <w:szCs w:val="22"/>
          <w:lang w:val="sr-Latn-ME"/>
        </w:rPr>
        <w:t xml:space="preserve"> pluća</w:t>
      </w:r>
      <w:r w:rsidRPr="00A259FB">
        <w:rPr>
          <w:szCs w:val="22"/>
          <w:lang w:val="sr-Latn-ME"/>
        </w:rPr>
        <w:t xml:space="preserve"> od  neselektivnih </w:t>
      </w:r>
      <w:r w:rsidR="009A7B02" w:rsidRPr="00A259FB">
        <w:rPr>
          <w:szCs w:val="22"/>
          <w:lang w:val="sr-Latn-ME"/>
        </w:rPr>
        <w:t>beta</w:t>
      </w:r>
      <w:r w:rsidR="00C7017F" w:rsidRPr="00A259FB">
        <w:rPr>
          <w:szCs w:val="22"/>
          <w:lang w:val="sr-Latn-ME"/>
        </w:rPr>
        <w:t>-</w:t>
      </w:r>
      <w:r w:rsidRPr="00A259FB">
        <w:rPr>
          <w:szCs w:val="22"/>
          <w:lang w:val="sr-Latn-ME"/>
        </w:rPr>
        <w:t xml:space="preserve">blokatora. Kao i </w:t>
      </w:r>
      <w:r w:rsidR="00785D98" w:rsidRPr="00A259FB">
        <w:rPr>
          <w:szCs w:val="22"/>
          <w:lang w:val="sr-Latn-ME"/>
        </w:rPr>
        <w:t>ostale</w:t>
      </w:r>
      <w:r w:rsidRPr="00A259FB">
        <w:rPr>
          <w:szCs w:val="22"/>
          <w:lang w:val="sr-Latn-ME"/>
        </w:rPr>
        <w:t xml:space="preserve"> beta</w:t>
      </w:r>
      <w:r w:rsidR="00C7017F" w:rsidRPr="00A259FB">
        <w:rPr>
          <w:szCs w:val="22"/>
          <w:lang w:val="sr-Latn-ME"/>
        </w:rPr>
        <w:t>-</w:t>
      </w:r>
      <w:r w:rsidRPr="00A259FB">
        <w:rPr>
          <w:szCs w:val="22"/>
          <w:lang w:val="sr-Latn-ME"/>
        </w:rPr>
        <w:t>blokatore, njihovu</w:t>
      </w:r>
      <w:r w:rsidRPr="00A259FB">
        <w:rPr>
          <w:color w:val="000000"/>
          <w:szCs w:val="22"/>
          <w:lang w:val="sr-Latn-ME"/>
        </w:rPr>
        <w:t xml:space="preserve"> prim</w:t>
      </w:r>
      <w:r w:rsidR="00723F9E" w:rsidRPr="00A259FB">
        <w:rPr>
          <w:color w:val="000000"/>
          <w:szCs w:val="22"/>
          <w:lang w:val="sr-Latn-ME"/>
        </w:rPr>
        <w:t>j</w:t>
      </w:r>
      <w:r w:rsidRPr="00A259FB">
        <w:rPr>
          <w:color w:val="000000"/>
          <w:szCs w:val="22"/>
          <w:lang w:val="sr-Latn-ME"/>
        </w:rPr>
        <w:t>enu treba izb</w:t>
      </w:r>
      <w:r w:rsidR="00723F9E" w:rsidRPr="00A259FB">
        <w:rPr>
          <w:color w:val="000000"/>
          <w:szCs w:val="22"/>
          <w:lang w:val="sr-Latn-ME"/>
        </w:rPr>
        <w:t>j</w:t>
      </w:r>
      <w:r w:rsidRPr="00A259FB">
        <w:rPr>
          <w:color w:val="000000"/>
          <w:szCs w:val="22"/>
          <w:lang w:val="sr-Latn-ME"/>
        </w:rPr>
        <w:t>egavati kod pacijenata sa reverzibilnim opstruktivnim bolestima pluća, osim ukoliko za prim</w:t>
      </w:r>
      <w:r w:rsidR="00723F9E" w:rsidRPr="00A259FB">
        <w:rPr>
          <w:color w:val="000000"/>
          <w:szCs w:val="22"/>
          <w:lang w:val="sr-Latn-ME"/>
        </w:rPr>
        <w:t>j</w:t>
      </w:r>
      <w:r w:rsidRPr="00A259FB">
        <w:rPr>
          <w:color w:val="000000"/>
          <w:szCs w:val="22"/>
          <w:lang w:val="sr-Latn-ME"/>
        </w:rPr>
        <w:t>enu postoje opravdani razlozi. Kod ovih pacijenata atenolol treba davati uz poseban oprez. Povremeno može doći do izv</w:t>
      </w:r>
      <w:r w:rsidR="00723F9E" w:rsidRPr="00A259FB">
        <w:rPr>
          <w:color w:val="000000"/>
          <w:szCs w:val="22"/>
          <w:lang w:val="sr-Latn-ME"/>
        </w:rPr>
        <w:t>j</w:t>
      </w:r>
      <w:r w:rsidRPr="00A259FB">
        <w:rPr>
          <w:color w:val="000000"/>
          <w:szCs w:val="22"/>
          <w:lang w:val="sr-Latn-ME"/>
        </w:rPr>
        <w:t>esnog po</w:t>
      </w:r>
      <w:r w:rsidR="009A7B02" w:rsidRPr="00A259FB">
        <w:rPr>
          <w:color w:val="000000"/>
          <w:szCs w:val="22"/>
          <w:lang w:val="sr-Latn-ME"/>
        </w:rPr>
        <w:t>većanja</w:t>
      </w:r>
      <w:r w:rsidRPr="00A259FB">
        <w:rPr>
          <w:color w:val="000000"/>
          <w:szCs w:val="22"/>
          <w:lang w:val="sr-Latn-ME"/>
        </w:rPr>
        <w:t xml:space="preserve"> rezistencije disajnih puteva kod pacijenata sa astmom, što se obično otklanja prim</w:t>
      </w:r>
      <w:r w:rsidR="00723F9E" w:rsidRPr="00A259FB">
        <w:rPr>
          <w:color w:val="000000"/>
          <w:szCs w:val="22"/>
          <w:lang w:val="sr-Latn-ME"/>
        </w:rPr>
        <w:t>j</w:t>
      </w:r>
      <w:r w:rsidRPr="00A259FB">
        <w:rPr>
          <w:color w:val="000000"/>
          <w:szCs w:val="22"/>
          <w:lang w:val="sr-Latn-ME"/>
        </w:rPr>
        <w:t>enom uobičajenih doza bronhodilatatora, kao što su salbutamol ili izoprenalin. U Uputstvu za l</w:t>
      </w:r>
      <w:r w:rsidR="00723F9E" w:rsidRPr="00A259FB">
        <w:rPr>
          <w:color w:val="000000"/>
          <w:szCs w:val="22"/>
          <w:lang w:val="sr-Latn-ME"/>
        </w:rPr>
        <w:t>ij</w:t>
      </w:r>
      <w:r w:rsidRPr="00A259FB">
        <w:rPr>
          <w:color w:val="000000"/>
          <w:szCs w:val="22"/>
          <w:lang w:val="sr-Latn-ME"/>
        </w:rPr>
        <w:t>ek je navedeno sl</w:t>
      </w:r>
      <w:r w:rsidR="00723F9E" w:rsidRPr="00A259FB">
        <w:rPr>
          <w:color w:val="000000"/>
          <w:szCs w:val="22"/>
          <w:lang w:val="sr-Latn-ME"/>
        </w:rPr>
        <w:t>j</w:t>
      </w:r>
      <w:r w:rsidRPr="00A259FB">
        <w:rPr>
          <w:color w:val="000000"/>
          <w:szCs w:val="22"/>
          <w:lang w:val="sr-Latn-ME"/>
        </w:rPr>
        <w:t xml:space="preserve">edeće upozorenje: „Ukoliko imate ili </w:t>
      </w:r>
      <w:r w:rsidR="00580587" w:rsidRPr="00A259FB">
        <w:rPr>
          <w:color w:val="000000"/>
          <w:szCs w:val="22"/>
          <w:lang w:val="sr-Latn-ME"/>
        </w:rPr>
        <w:t>ukoliko ste ranije imali</w:t>
      </w:r>
      <w:r w:rsidRPr="00A259FB">
        <w:rPr>
          <w:color w:val="000000"/>
          <w:szCs w:val="22"/>
          <w:lang w:val="sr-Latn-ME"/>
        </w:rPr>
        <w:t xml:space="preserve"> astmu ili zviždanj</w:t>
      </w:r>
      <w:r w:rsidR="00580587" w:rsidRPr="00A259FB">
        <w:rPr>
          <w:color w:val="000000"/>
          <w:szCs w:val="22"/>
          <w:lang w:val="sr-Latn-ME"/>
        </w:rPr>
        <w:t>e</w:t>
      </w:r>
      <w:r w:rsidRPr="00A259FB">
        <w:rPr>
          <w:color w:val="000000"/>
          <w:szCs w:val="22"/>
          <w:lang w:val="sr-Latn-ME"/>
        </w:rPr>
        <w:t xml:space="preserve"> u grudima, n</w:t>
      </w:r>
      <w:r w:rsidR="00580587" w:rsidRPr="00A259FB">
        <w:rPr>
          <w:color w:val="000000"/>
          <w:szCs w:val="22"/>
          <w:lang w:val="sr-Latn-ME"/>
        </w:rPr>
        <w:t>e uzimajte</w:t>
      </w:r>
      <w:r w:rsidRPr="00A259FB">
        <w:rPr>
          <w:color w:val="000000"/>
          <w:szCs w:val="22"/>
          <w:lang w:val="sr-Latn-ME"/>
        </w:rPr>
        <w:t xml:space="preserve"> ovaj l</w:t>
      </w:r>
      <w:r w:rsidR="00723F9E" w:rsidRPr="00A259FB">
        <w:rPr>
          <w:color w:val="000000"/>
          <w:szCs w:val="22"/>
          <w:lang w:val="sr-Latn-ME"/>
        </w:rPr>
        <w:t>ij</w:t>
      </w:r>
      <w:r w:rsidRPr="00A259FB">
        <w:rPr>
          <w:color w:val="000000"/>
          <w:szCs w:val="22"/>
          <w:lang w:val="sr-Latn-ME"/>
        </w:rPr>
        <w:t xml:space="preserve">ek </w:t>
      </w:r>
      <w:r w:rsidR="00580587" w:rsidRPr="00A259FB">
        <w:rPr>
          <w:color w:val="000000"/>
          <w:szCs w:val="22"/>
          <w:lang w:val="sr-Latn-ME"/>
        </w:rPr>
        <w:t>dok se prethodno ne posav</w:t>
      </w:r>
      <w:r w:rsidR="00723F9E" w:rsidRPr="00A259FB">
        <w:rPr>
          <w:color w:val="000000"/>
          <w:szCs w:val="22"/>
          <w:lang w:val="sr-Latn-ME"/>
        </w:rPr>
        <w:t>j</w:t>
      </w:r>
      <w:r w:rsidR="00580587" w:rsidRPr="00A259FB">
        <w:rPr>
          <w:color w:val="000000"/>
          <w:szCs w:val="22"/>
          <w:lang w:val="sr-Latn-ME"/>
        </w:rPr>
        <w:t>etujete sa l</w:t>
      </w:r>
      <w:r w:rsidR="00723F9E" w:rsidRPr="00A259FB">
        <w:rPr>
          <w:color w:val="000000"/>
          <w:szCs w:val="22"/>
          <w:lang w:val="sr-Latn-ME"/>
        </w:rPr>
        <w:t>j</w:t>
      </w:r>
      <w:r w:rsidR="00580587" w:rsidRPr="00A259FB">
        <w:rPr>
          <w:color w:val="000000"/>
          <w:szCs w:val="22"/>
          <w:lang w:val="sr-Latn-ME"/>
        </w:rPr>
        <w:t>ekarom</w:t>
      </w:r>
      <w:r w:rsidRPr="00A259FB">
        <w:rPr>
          <w:color w:val="000000"/>
          <w:szCs w:val="22"/>
          <w:lang w:val="sr-Latn-ME"/>
        </w:rPr>
        <w:t>“.</w:t>
      </w:r>
    </w:p>
    <w:p w14:paraId="4D29147A" w14:textId="77777777" w:rsidR="00FD06C2" w:rsidRPr="00A259FB" w:rsidRDefault="00FD06C2" w:rsidP="00767CD8">
      <w:pPr>
        <w:rPr>
          <w:color w:val="000000"/>
          <w:szCs w:val="22"/>
          <w:lang w:val="sr-Latn-ME"/>
        </w:rPr>
      </w:pPr>
    </w:p>
    <w:p w14:paraId="2A9DC012" w14:textId="636D020B" w:rsidR="00E90FE8" w:rsidRPr="00A259FB" w:rsidRDefault="00E90FE8" w:rsidP="00767CD8">
      <w:pPr>
        <w:rPr>
          <w:color w:val="000000"/>
          <w:szCs w:val="22"/>
          <w:lang w:val="sr-Latn-ME"/>
        </w:rPr>
      </w:pPr>
      <w:r w:rsidRPr="00A259FB">
        <w:rPr>
          <w:color w:val="000000"/>
          <w:szCs w:val="22"/>
          <w:lang w:val="sr-Latn-ME"/>
        </w:rPr>
        <w:t>Kod pacijenata sa feohromocitomom</w:t>
      </w:r>
      <w:r w:rsidR="00785D98" w:rsidRPr="00A259FB">
        <w:rPr>
          <w:color w:val="000000"/>
          <w:szCs w:val="22"/>
          <w:lang w:val="sr-Latn-ME"/>
        </w:rPr>
        <w:t>,</w:t>
      </w:r>
      <w:r w:rsidRPr="00A259FB">
        <w:rPr>
          <w:color w:val="000000"/>
          <w:szCs w:val="22"/>
          <w:lang w:val="sr-Latn-ME"/>
        </w:rPr>
        <w:t xml:space="preserve"> istovremeno sa prim</w:t>
      </w:r>
      <w:r w:rsidR="00723F9E" w:rsidRPr="00A259FB">
        <w:rPr>
          <w:color w:val="000000"/>
          <w:szCs w:val="22"/>
          <w:lang w:val="sr-Latn-ME"/>
        </w:rPr>
        <w:t>j</w:t>
      </w:r>
      <w:r w:rsidRPr="00A259FB">
        <w:rPr>
          <w:color w:val="000000"/>
          <w:szCs w:val="22"/>
          <w:lang w:val="sr-Latn-ME"/>
        </w:rPr>
        <w:t xml:space="preserve">enom </w:t>
      </w:r>
      <w:r w:rsidR="00685C0D" w:rsidRPr="00A259FB">
        <w:rPr>
          <w:color w:val="000000"/>
          <w:szCs w:val="22"/>
          <w:lang w:val="sr-Latn-ME"/>
        </w:rPr>
        <w:t>beta</w:t>
      </w:r>
      <w:r w:rsidR="00C7017F" w:rsidRPr="00A259FB">
        <w:rPr>
          <w:color w:val="000000"/>
          <w:szCs w:val="22"/>
          <w:lang w:val="sr-Latn-ME"/>
        </w:rPr>
        <w:t>-</w:t>
      </w:r>
      <w:r w:rsidRPr="00A259FB">
        <w:rPr>
          <w:color w:val="000000"/>
          <w:szCs w:val="22"/>
          <w:lang w:val="sr-Latn-ME"/>
        </w:rPr>
        <w:t xml:space="preserve">blokatora treba </w:t>
      </w:r>
      <w:r w:rsidR="00F764C7" w:rsidRPr="00A259FB">
        <w:rPr>
          <w:color w:val="000000"/>
          <w:szCs w:val="22"/>
          <w:lang w:val="sr-Latn-ME"/>
        </w:rPr>
        <w:t>prim</w:t>
      </w:r>
      <w:r w:rsidR="00723F9E" w:rsidRPr="00A259FB">
        <w:rPr>
          <w:color w:val="000000"/>
          <w:szCs w:val="22"/>
          <w:lang w:val="sr-Latn-ME"/>
        </w:rPr>
        <w:t>ij</w:t>
      </w:r>
      <w:r w:rsidR="00F764C7" w:rsidRPr="00A259FB">
        <w:rPr>
          <w:color w:val="000000"/>
          <w:szCs w:val="22"/>
          <w:lang w:val="sr-Latn-ME"/>
        </w:rPr>
        <w:t>eniti</w:t>
      </w:r>
      <w:r w:rsidRPr="00A259FB">
        <w:rPr>
          <w:color w:val="000000"/>
          <w:szCs w:val="22"/>
          <w:lang w:val="sr-Latn-ME"/>
        </w:rPr>
        <w:t xml:space="preserve"> i </w:t>
      </w:r>
      <w:r w:rsidR="00685C0D" w:rsidRPr="00A259FB">
        <w:rPr>
          <w:color w:val="000000"/>
          <w:szCs w:val="22"/>
          <w:lang w:val="sr-Latn-ME"/>
        </w:rPr>
        <w:t>alfa</w:t>
      </w:r>
      <w:r w:rsidR="00C7017F" w:rsidRPr="00A259FB">
        <w:rPr>
          <w:color w:val="000000"/>
          <w:szCs w:val="22"/>
          <w:lang w:val="sr-Latn-ME"/>
        </w:rPr>
        <w:t>-</w:t>
      </w:r>
      <w:r w:rsidRPr="00A259FB">
        <w:rPr>
          <w:color w:val="000000"/>
          <w:szCs w:val="22"/>
          <w:lang w:val="sr-Latn-ME"/>
        </w:rPr>
        <w:t>blokator.</w:t>
      </w:r>
    </w:p>
    <w:p w14:paraId="67F44021" w14:textId="77777777" w:rsidR="00FD06C2" w:rsidRPr="00A259FB" w:rsidRDefault="00FD06C2" w:rsidP="00767CD8">
      <w:pPr>
        <w:rPr>
          <w:color w:val="000000"/>
          <w:szCs w:val="22"/>
          <w:lang w:val="sr-Latn-ME"/>
        </w:rPr>
      </w:pPr>
    </w:p>
    <w:p w14:paraId="2CB0328C" w14:textId="77777777" w:rsidR="00DE19F7" w:rsidRPr="00A259FB" w:rsidRDefault="00DE19F7" w:rsidP="00767CD8">
      <w:pPr>
        <w:tabs>
          <w:tab w:val="clear" w:pos="284"/>
          <w:tab w:val="left" w:pos="540"/>
          <w:tab w:val="left" w:pos="569"/>
        </w:tabs>
        <w:jc w:val="left"/>
        <w:rPr>
          <w:szCs w:val="22"/>
          <w:lang w:val="sr-Latn-ME"/>
        </w:rPr>
      </w:pPr>
      <w:r w:rsidRPr="00A259FB">
        <w:rPr>
          <w:szCs w:val="22"/>
          <w:lang w:val="sr-Latn-ME"/>
        </w:rPr>
        <w:lastRenderedPageBreak/>
        <w:t>Lijek Prinorm sadrži natrijum</w:t>
      </w:r>
    </w:p>
    <w:p w14:paraId="7E8FFFE5" w14:textId="77777777" w:rsidR="00DE19F7" w:rsidRPr="00A259FB" w:rsidRDefault="00DE19F7" w:rsidP="00767CD8">
      <w:pPr>
        <w:tabs>
          <w:tab w:val="clear" w:pos="284"/>
          <w:tab w:val="left" w:pos="540"/>
          <w:tab w:val="left" w:pos="569"/>
        </w:tabs>
        <w:jc w:val="left"/>
        <w:rPr>
          <w:szCs w:val="22"/>
          <w:lang w:val="sr-Latn-ME"/>
        </w:rPr>
      </w:pPr>
      <w:r w:rsidRPr="00A259FB">
        <w:rPr>
          <w:szCs w:val="22"/>
          <w:lang w:val="sr-Latn-ME"/>
        </w:rPr>
        <w:t>Ovaj lijek sadrži manje od 1 mmol (23 mg) natrijuma po dozi, odnosno suštinski je bez natrijuma.</w:t>
      </w:r>
    </w:p>
    <w:p w14:paraId="7AFE6366" w14:textId="77777777" w:rsidR="00DE19F7" w:rsidRPr="00A259FB" w:rsidRDefault="00DE19F7" w:rsidP="00767CD8">
      <w:pPr>
        <w:rPr>
          <w:b/>
          <w:bCs/>
          <w:szCs w:val="22"/>
          <w:lang w:val="sr-Latn-ME"/>
        </w:rPr>
      </w:pPr>
    </w:p>
    <w:p w14:paraId="2A9DC014" w14:textId="234C9B05" w:rsidR="00E90FE8" w:rsidRPr="00A259FB" w:rsidRDefault="00E90FE8" w:rsidP="00767CD8">
      <w:pPr>
        <w:rPr>
          <w:b/>
          <w:bCs/>
          <w:szCs w:val="22"/>
          <w:lang w:val="sr-Latn-ME"/>
        </w:rPr>
      </w:pPr>
      <w:r w:rsidRPr="00A259FB">
        <w:rPr>
          <w:b/>
          <w:bCs/>
          <w:szCs w:val="22"/>
          <w:lang w:val="sr-Latn-ME"/>
        </w:rPr>
        <w:t>4.5. Interakcije sa drugim l</w:t>
      </w:r>
      <w:r w:rsidR="00723F9E" w:rsidRPr="00A259FB">
        <w:rPr>
          <w:b/>
          <w:bCs/>
          <w:szCs w:val="22"/>
          <w:lang w:val="sr-Latn-ME"/>
        </w:rPr>
        <w:t>j</w:t>
      </w:r>
      <w:r w:rsidRPr="00A259FB">
        <w:rPr>
          <w:b/>
          <w:bCs/>
          <w:szCs w:val="22"/>
          <w:lang w:val="sr-Latn-ME"/>
        </w:rPr>
        <w:t>ekovima i druge vrste interakcija</w:t>
      </w:r>
    </w:p>
    <w:p w14:paraId="4CE3CD88" w14:textId="77777777" w:rsidR="00FD06C2" w:rsidRPr="00A259FB" w:rsidRDefault="00FD06C2" w:rsidP="00767CD8">
      <w:pPr>
        <w:rPr>
          <w:b/>
          <w:bCs/>
          <w:szCs w:val="22"/>
          <w:lang w:val="sr-Latn-ME"/>
        </w:rPr>
      </w:pPr>
    </w:p>
    <w:p w14:paraId="6D25A51D" w14:textId="77777777" w:rsidR="00FD06C2" w:rsidRPr="00A259FB" w:rsidRDefault="00DB3437" w:rsidP="00767CD8">
      <w:pPr>
        <w:pStyle w:val="Header"/>
        <w:tabs>
          <w:tab w:val="clear" w:pos="4536"/>
          <w:tab w:val="clear" w:pos="9072"/>
          <w:tab w:val="left" w:pos="284"/>
        </w:tabs>
        <w:rPr>
          <w:color w:val="000000"/>
          <w:szCs w:val="22"/>
          <w:lang w:val="sr-Latn-ME"/>
        </w:rPr>
      </w:pPr>
      <w:r w:rsidRPr="00A259FB">
        <w:rPr>
          <w:szCs w:val="22"/>
          <w:lang w:val="sr-Latn-ME"/>
        </w:rPr>
        <w:t>Kombinovana</w:t>
      </w:r>
      <w:r w:rsidR="00E90FE8" w:rsidRPr="00A259FB">
        <w:rPr>
          <w:szCs w:val="22"/>
          <w:lang w:val="sr-Latn-ME"/>
        </w:rPr>
        <w:t xml:space="preserve"> prim</w:t>
      </w:r>
      <w:r w:rsidR="00723F9E" w:rsidRPr="00A259FB">
        <w:rPr>
          <w:szCs w:val="22"/>
          <w:lang w:val="sr-Latn-ME"/>
        </w:rPr>
        <w:t>j</w:t>
      </w:r>
      <w:r w:rsidR="00E90FE8" w:rsidRPr="00A259FB">
        <w:rPr>
          <w:szCs w:val="22"/>
          <w:lang w:val="sr-Latn-ME"/>
        </w:rPr>
        <w:t>ena beta</w:t>
      </w:r>
      <w:r w:rsidR="00C7017F" w:rsidRPr="00A259FB">
        <w:rPr>
          <w:szCs w:val="22"/>
          <w:lang w:val="sr-Latn-ME"/>
        </w:rPr>
        <w:t>-</w:t>
      </w:r>
      <w:r w:rsidR="00E90FE8" w:rsidRPr="00A259FB">
        <w:rPr>
          <w:szCs w:val="22"/>
          <w:lang w:val="sr-Latn-ME"/>
        </w:rPr>
        <w:t xml:space="preserve">blokatora i blokatora kalcijumskih kanala </w:t>
      </w:r>
      <w:r w:rsidR="00A67A72" w:rsidRPr="00A259FB">
        <w:rPr>
          <w:szCs w:val="22"/>
          <w:lang w:val="sr-Latn-ME"/>
        </w:rPr>
        <w:t xml:space="preserve">sa </w:t>
      </w:r>
      <w:r w:rsidR="00E90FE8" w:rsidRPr="00A259FB">
        <w:rPr>
          <w:szCs w:val="22"/>
          <w:lang w:val="sr-Latn-ME"/>
        </w:rPr>
        <w:t>negativn</w:t>
      </w:r>
      <w:r w:rsidR="00A67A72" w:rsidRPr="00A259FB">
        <w:rPr>
          <w:szCs w:val="22"/>
          <w:lang w:val="sr-Latn-ME"/>
        </w:rPr>
        <w:t>im</w:t>
      </w:r>
      <w:r w:rsidR="00E90FE8" w:rsidRPr="00A259FB">
        <w:rPr>
          <w:szCs w:val="22"/>
          <w:lang w:val="sr-Latn-ME"/>
        </w:rPr>
        <w:t xml:space="preserve"> inotropn</w:t>
      </w:r>
      <w:r w:rsidR="00A67A72" w:rsidRPr="00A259FB">
        <w:rPr>
          <w:szCs w:val="22"/>
          <w:lang w:val="sr-Latn-ME"/>
        </w:rPr>
        <w:t>im</w:t>
      </w:r>
      <w:r w:rsidR="00E90FE8" w:rsidRPr="00A259FB">
        <w:rPr>
          <w:szCs w:val="22"/>
          <w:lang w:val="sr-Latn-ME"/>
        </w:rPr>
        <w:t xml:space="preserve"> dejstvo</w:t>
      </w:r>
      <w:r w:rsidR="00A67A72" w:rsidRPr="00A259FB">
        <w:rPr>
          <w:szCs w:val="22"/>
          <w:lang w:val="sr-Latn-ME"/>
        </w:rPr>
        <w:t>m</w:t>
      </w:r>
      <w:r w:rsidR="00E90FE8" w:rsidRPr="00A259FB">
        <w:rPr>
          <w:szCs w:val="22"/>
          <w:lang w:val="sr-Latn-ME"/>
        </w:rPr>
        <w:t xml:space="preserve"> (npr. verapamil i diltiazem) može dovesti do pogoršanja ovog </w:t>
      </w:r>
      <w:r w:rsidRPr="00A259FB">
        <w:rPr>
          <w:szCs w:val="22"/>
          <w:lang w:val="sr-Latn-ME"/>
        </w:rPr>
        <w:t>dejstva</w:t>
      </w:r>
      <w:r w:rsidR="00E90FE8" w:rsidRPr="00A259FB">
        <w:rPr>
          <w:szCs w:val="22"/>
          <w:lang w:val="sr-Latn-ME"/>
        </w:rPr>
        <w:t>, naročito kod pacijenata sa</w:t>
      </w:r>
      <w:r w:rsidRPr="00A259FB">
        <w:rPr>
          <w:szCs w:val="22"/>
          <w:lang w:val="sr-Latn-ME"/>
        </w:rPr>
        <w:t xml:space="preserve"> oštećenjem</w:t>
      </w:r>
      <w:r w:rsidR="00A67A72" w:rsidRPr="00A259FB">
        <w:rPr>
          <w:szCs w:val="22"/>
          <w:lang w:val="sr-Latn-ME"/>
        </w:rPr>
        <w:t xml:space="preserve"> funkcij</w:t>
      </w:r>
      <w:r w:rsidRPr="00A259FB">
        <w:rPr>
          <w:szCs w:val="22"/>
          <w:lang w:val="sr-Latn-ME"/>
        </w:rPr>
        <w:t>e</w:t>
      </w:r>
      <w:r w:rsidR="00A67A72" w:rsidRPr="00A259FB">
        <w:rPr>
          <w:szCs w:val="22"/>
          <w:lang w:val="sr-Latn-ME"/>
        </w:rPr>
        <w:t xml:space="preserve"> komora</w:t>
      </w:r>
      <w:r w:rsidR="00E90FE8" w:rsidRPr="00A259FB">
        <w:rPr>
          <w:szCs w:val="22"/>
          <w:lang w:val="sr-Latn-ME"/>
        </w:rPr>
        <w:t xml:space="preserve"> i/ili </w:t>
      </w:r>
      <w:r w:rsidRPr="00A259FB">
        <w:rPr>
          <w:szCs w:val="22"/>
          <w:lang w:val="sr-Latn-ME"/>
        </w:rPr>
        <w:t>nepravilnostima</w:t>
      </w:r>
      <w:r w:rsidR="00E90FE8" w:rsidRPr="00A259FB">
        <w:rPr>
          <w:szCs w:val="22"/>
          <w:lang w:val="sr-Latn-ME"/>
        </w:rPr>
        <w:t xml:space="preserve"> sinoatrijalnog ili atrioventrikularnog sprovođenja. Ovo može dovesti do </w:t>
      </w:r>
      <w:r w:rsidR="00A67A72" w:rsidRPr="00A259FB">
        <w:rPr>
          <w:szCs w:val="22"/>
          <w:lang w:val="sr-Latn-ME"/>
        </w:rPr>
        <w:t>izražene</w:t>
      </w:r>
      <w:r w:rsidR="00E90FE8" w:rsidRPr="00A259FB">
        <w:rPr>
          <w:szCs w:val="22"/>
          <w:lang w:val="sr-Latn-ME"/>
        </w:rPr>
        <w:t xml:space="preserve"> hipotenzije, bradikardije i srčane insuficijencije.</w:t>
      </w:r>
      <w:r w:rsidR="00C70C12" w:rsidRPr="00A259FB">
        <w:rPr>
          <w:szCs w:val="22"/>
          <w:lang w:val="sr-Latn-ME"/>
        </w:rPr>
        <w:t xml:space="preserve"> </w:t>
      </w:r>
      <w:r w:rsidR="00E90FE8" w:rsidRPr="00A259FB">
        <w:rPr>
          <w:color w:val="000000"/>
          <w:szCs w:val="22"/>
          <w:lang w:val="sr-Latn-ME"/>
        </w:rPr>
        <w:t>Intravenske</w:t>
      </w:r>
      <w:r w:rsidR="00C70C12" w:rsidRPr="00A259FB">
        <w:rPr>
          <w:color w:val="000000"/>
          <w:szCs w:val="22"/>
          <w:lang w:val="sr-Latn-ME"/>
        </w:rPr>
        <w:t xml:space="preserve"> </w:t>
      </w:r>
      <w:r w:rsidRPr="00A259FB">
        <w:rPr>
          <w:color w:val="000000"/>
          <w:szCs w:val="22"/>
          <w:lang w:val="sr-Latn-ME"/>
        </w:rPr>
        <w:t>beta</w:t>
      </w:r>
      <w:r w:rsidR="00C7017F" w:rsidRPr="00A259FB">
        <w:rPr>
          <w:color w:val="000000"/>
          <w:szCs w:val="22"/>
          <w:lang w:val="sr-Latn-ME"/>
        </w:rPr>
        <w:t>-</w:t>
      </w:r>
      <w:r w:rsidR="00E90FE8" w:rsidRPr="00A259FB">
        <w:rPr>
          <w:color w:val="000000"/>
          <w:szCs w:val="22"/>
          <w:lang w:val="sr-Latn-ME"/>
        </w:rPr>
        <w:t xml:space="preserve">blokatore ni </w:t>
      </w:r>
      <w:r w:rsidR="00E90FE8" w:rsidRPr="00A259FB">
        <w:rPr>
          <w:szCs w:val="22"/>
          <w:lang w:val="sr-Latn-ME"/>
        </w:rPr>
        <w:t xml:space="preserve">blokatore kalcijumskih kanala </w:t>
      </w:r>
      <w:r w:rsidR="00E90FE8" w:rsidRPr="00A259FB">
        <w:rPr>
          <w:color w:val="000000"/>
          <w:szCs w:val="22"/>
          <w:lang w:val="sr-Latn-ME"/>
        </w:rPr>
        <w:t>ne treba davati u prvih 48 sati nakon prestanka prim</w:t>
      </w:r>
      <w:r w:rsidR="00723F9E" w:rsidRPr="00A259FB">
        <w:rPr>
          <w:color w:val="000000"/>
          <w:szCs w:val="22"/>
          <w:lang w:val="sr-Latn-ME"/>
        </w:rPr>
        <w:t>j</w:t>
      </w:r>
      <w:r w:rsidR="00E90FE8" w:rsidRPr="00A259FB">
        <w:rPr>
          <w:color w:val="000000"/>
          <w:szCs w:val="22"/>
          <w:lang w:val="sr-Latn-ME"/>
        </w:rPr>
        <w:t xml:space="preserve">ene </w:t>
      </w:r>
      <w:r w:rsidR="00E90FE8" w:rsidRPr="00A259FB">
        <w:rPr>
          <w:szCs w:val="22"/>
          <w:lang w:val="sr-Latn-ME"/>
        </w:rPr>
        <w:t>blokatora kalcijumskih kanala, i obrnuto</w:t>
      </w:r>
      <w:r w:rsidR="00E90FE8" w:rsidRPr="00A259FB">
        <w:rPr>
          <w:color w:val="000000"/>
          <w:szCs w:val="22"/>
          <w:lang w:val="sr-Latn-ME"/>
        </w:rPr>
        <w:t>.</w:t>
      </w:r>
    </w:p>
    <w:p w14:paraId="2A9DC016" w14:textId="3CADA87D" w:rsidR="00E90FE8" w:rsidRPr="00A259FB" w:rsidRDefault="00E90FE8" w:rsidP="00767CD8">
      <w:pPr>
        <w:pStyle w:val="Header"/>
        <w:tabs>
          <w:tab w:val="clear" w:pos="4536"/>
          <w:tab w:val="clear" w:pos="9072"/>
          <w:tab w:val="left" w:pos="284"/>
        </w:tabs>
        <w:rPr>
          <w:color w:val="000000"/>
          <w:szCs w:val="22"/>
          <w:lang w:val="sr-Latn-ME"/>
        </w:rPr>
      </w:pPr>
      <w:r w:rsidRPr="00A259FB">
        <w:rPr>
          <w:color w:val="000000"/>
          <w:szCs w:val="22"/>
          <w:lang w:val="sr-Latn-ME"/>
        </w:rPr>
        <w:t xml:space="preserve"> </w:t>
      </w:r>
    </w:p>
    <w:p w14:paraId="2A9DC017" w14:textId="6D691765" w:rsidR="00E90FE8" w:rsidRPr="00A259FB" w:rsidRDefault="00E90FE8" w:rsidP="00767CD8">
      <w:pPr>
        <w:rPr>
          <w:color w:val="000000"/>
          <w:szCs w:val="22"/>
          <w:lang w:val="sr-Latn-ME"/>
        </w:rPr>
      </w:pPr>
      <w:r w:rsidRPr="00A259FB">
        <w:rPr>
          <w:color w:val="000000"/>
          <w:szCs w:val="22"/>
          <w:lang w:val="sr-Latn-ME"/>
        </w:rPr>
        <w:t>Istovremen</w:t>
      </w:r>
      <w:r w:rsidR="002F7B97" w:rsidRPr="00A259FB">
        <w:rPr>
          <w:color w:val="000000"/>
          <w:szCs w:val="22"/>
          <w:lang w:val="sr-Latn-ME"/>
        </w:rPr>
        <w:t>a</w:t>
      </w:r>
      <w:r w:rsidRPr="00A259FB">
        <w:rPr>
          <w:color w:val="000000"/>
          <w:szCs w:val="22"/>
          <w:lang w:val="sr-Latn-ME"/>
        </w:rPr>
        <w:t xml:space="preserve"> prim</w:t>
      </w:r>
      <w:r w:rsidR="00723F9E" w:rsidRPr="00A259FB">
        <w:rPr>
          <w:color w:val="000000"/>
          <w:szCs w:val="22"/>
          <w:lang w:val="sr-Latn-ME"/>
        </w:rPr>
        <w:t>j</w:t>
      </w:r>
      <w:r w:rsidRPr="00A259FB">
        <w:rPr>
          <w:color w:val="000000"/>
          <w:szCs w:val="22"/>
          <w:lang w:val="sr-Latn-ME"/>
        </w:rPr>
        <w:t>en</w:t>
      </w:r>
      <w:r w:rsidR="002F7B97" w:rsidRPr="00A259FB">
        <w:rPr>
          <w:color w:val="000000"/>
          <w:szCs w:val="22"/>
          <w:lang w:val="sr-Latn-ME"/>
        </w:rPr>
        <w:t>a</w:t>
      </w:r>
      <w:r w:rsidRPr="00A259FB">
        <w:rPr>
          <w:color w:val="000000"/>
          <w:szCs w:val="22"/>
          <w:lang w:val="sr-Latn-ME"/>
        </w:rPr>
        <w:t xml:space="preserve"> atenolola i l</w:t>
      </w:r>
      <w:r w:rsidR="00723F9E" w:rsidRPr="00A259FB">
        <w:rPr>
          <w:color w:val="000000"/>
          <w:szCs w:val="22"/>
          <w:lang w:val="sr-Latn-ME"/>
        </w:rPr>
        <w:t>j</w:t>
      </w:r>
      <w:r w:rsidRPr="00A259FB">
        <w:rPr>
          <w:color w:val="000000"/>
          <w:szCs w:val="22"/>
          <w:lang w:val="sr-Latn-ME"/>
        </w:rPr>
        <w:t xml:space="preserve">ekova iz grupe dihidropiridina (npr. nifedipin) </w:t>
      </w:r>
      <w:r w:rsidR="002F7B97" w:rsidRPr="00A259FB">
        <w:rPr>
          <w:color w:val="000000"/>
          <w:szCs w:val="22"/>
          <w:lang w:val="sr-Latn-ME"/>
        </w:rPr>
        <w:t xml:space="preserve">može </w:t>
      </w:r>
      <w:r w:rsidRPr="00A259FB">
        <w:rPr>
          <w:color w:val="000000"/>
          <w:szCs w:val="22"/>
          <w:lang w:val="sr-Latn-ME"/>
        </w:rPr>
        <w:t>poveća</w:t>
      </w:r>
      <w:r w:rsidR="002F7B97" w:rsidRPr="00A259FB">
        <w:rPr>
          <w:color w:val="000000"/>
          <w:szCs w:val="22"/>
          <w:lang w:val="sr-Latn-ME"/>
        </w:rPr>
        <w:t>ti</w:t>
      </w:r>
      <w:r w:rsidRPr="00A259FB">
        <w:rPr>
          <w:color w:val="000000"/>
          <w:szCs w:val="22"/>
          <w:lang w:val="sr-Latn-ME"/>
        </w:rPr>
        <w:t xml:space="preserve"> rizik od </w:t>
      </w:r>
      <w:r w:rsidR="00176188" w:rsidRPr="00A259FB">
        <w:rPr>
          <w:color w:val="000000"/>
          <w:szCs w:val="22"/>
          <w:lang w:val="sr-Latn-ME"/>
        </w:rPr>
        <w:t>pojave</w:t>
      </w:r>
      <w:r w:rsidR="00DB3437" w:rsidRPr="00A259FB">
        <w:rPr>
          <w:color w:val="000000"/>
          <w:szCs w:val="22"/>
          <w:lang w:val="sr-Latn-ME"/>
        </w:rPr>
        <w:t xml:space="preserve"> </w:t>
      </w:r>
      <w:r w:rsidRPr="00A259FB">
        <w:rPr>
          <w:color w:val="000000"/>
          <w:szCs w:val="22"/>
          <w:lang w:val="sr-Latn-ME"/>
        </w:rPr>
        <w:t xml:space="preserve">hipotenzije, dok kod pacijenata sa latentnom srčanom insuficijencijom može doći do pojave manifestne srčane </w:t>
      </w:r>
      <w:r w:rsidR="002F7B97" w:rsidRPr="00A259FB">
        <w:rPr>
          <w:color w:val="000000"/>
          <w:szCs w:val="22"/>
          <w:lang w:val="sr-Latn-ME"/>
        </w:rPr>
        <w:t>slabosti</w:t>
      </w:r>
      <w:r w:rsidRPr="00A259FB">
        <w:rPr>
          <w:color w:val="000000"/>
          <w:szCs w:val="22"/>
          <w:lang w:val="sr-Latn-ME"/>
        </w:rPr>
        <w:t>.</w:t>
      </w:r>
    </w:p>
    <w:p w14:paraId="73B363E4" w14:textId="77777777" w:rsidR="00FD06C2" w:rsidRPr="00A259FB" w:rsidRDefault="00FD06C2" w:rsidP="00767CD8">
      <w:pPr>
        <w:rPr>
          <w:szCs w:val="22"/>
          <w:lang w:val="sr-Latn-ME"/>
        </w:rPr>
      </w:pPr>
    </w:p>
    <w:p w14:paraId="2A9DC018" w14:textId="1839FDE5" w:rsidR="00E90FE8" w:rsidRPr="00A259FB" w:rsidRDefault="002F7B97" w:rsidP="00767CD8">
      <w:pPr>
        <w:rPr>
          <w:color w:val="000000"/>
          <w:szCs w:val="22"/>
          <w:lang w:val="sr-Latn-ME"/>
        </w:rPr>
      </w:pPr>
      <w:r w:rsidRPr="00A259FB">
        <w:rPr>
          <w:szCs w:val="22"/>
          <w:lang w:val="sr-Latn-ME"/>
        </w:rPr>
        <w:t>G</w:t>
      </w:r>
      <w:r w:rsidR="00E90FE8" w:rsidRPr="00A259FB">
        <w:rPr>
          <w:szCs w:val="22"/>
          <w:lang w:val="sr-Latn-ME"/>
        </w:rPr>
        <w:t>likozid</w:t>
      </w:r>
      <w:r w:rsidRPr="00A259FB">
        <w:rPr>
          <w:szCs w:val="22"/>
          <w:lang w:val="sr-Latn-ME"/>
        </w:rPr>
        <w:t>i</w:t>
      </w:r>
      <w:r w:rsidR="00E90FE8" w:rsidRPr="00A259FB">
        <w:rPr>
          <w:szCs w:val="22"/>
          <w:lang w:val="sr-Latn-ME"/>
        </w:rPr>
        <w:t xml:space="preserve"> digitalisa</w:t>
      </w:r>
      <w:r w:rsidRPr="00A259FB">
        <w:rPr>
          <w:szCs w:val="22"/>
          <w:lang w:val="sr-Latn-ME"/>
        </w:rPr>
        <w:t xml:space="preserve">, </w:t>
      </w:r>
      <w:r w:rsidR="00F32529" w:rsidRPr="00A259FB">
        <w:rPr>
          <w:szCs w:val="22"/>
          <w:lang w:val="sr-Latn-ME"/>
        </w:rPr>
        <w:t xml:space="preserve">u kombinaciji </w:t>
      </w:r>
      <w:r w:rsidRPr="00A259FB">
        <w:rPr>
          <w:szCs w:val="22"/>
          <w:lang w:val="sr-Latn-ME"/>
        </w:rPr>
        <w:t>sa</w:t>
      </w:r>
      <w:r w:rsidR="00E90FE8" w:rsidRPr="00A259FB">
        <w:rPr>
          <w:szCs w:val="22"/>
          <w:lang w:val="sr-Latn-ME"/>
        </w:rPr>
        <w:t xml:space="preserve"> </w:t>
      </w:r>
      <w:r w:rsidR="00E90FE8" w:rsidRPr="00A259FB">
        <w:rPr>
          <w:color w:val="000000"/>
          <w:szCs w:val="22"/>
          <w:lang w:val="sr-Latn-ME"/>
        </w:rPr>
        <w:t>atenolol</w:t>
      </w:r>
      <w:r w:rsidRPr="00A259FB">
        <w:rPr>
          <w:color w:val="000000"/>
          <w:szCs w:val="22"/>
          <w:lang w:val="sr-Latn-ME"/>
        </w:rPr>
        <w:t>om,</w:t>
      </w:r>
      <w:r w:rsidR="00E90FE8" w:rsidRPr="00A259FB">
        <w:rPr>
          <w:color w:val="000000"/>
          <w:szCs w:val="22"/>
          <w:lang w:val="sr-Latn-ME"/>
        </w:rPr>
        <w:t xml:space="preserve"> mo</w:t>
      </w:r>
      <w:r w:rsidRPr="00A259FB">
        <w:rPr>
          <w:color w:val="000000"/>
          <w:szCs w:val="22"/>
          <w:lang w:val="sr-Latn-ME"/>
        </w:rPr>
        <w:t>gu</w:t>
      </w:r>
      <w:r w:rsidR="00E90FE8" w:rsidRPr="00A259FB">
        <w:rPr>
          <w:color w:val="000000"/>
          <w:szCs w:val="22"/>
          <w:lang w:val="sr-Latn-ME"/>
        </w:rPr>
        <w:t xml:space="preserve"> ubrza</w:t>
      </w:r>
      <w:r w:rsidR="00367B83" w:rsidRPr="00A259FB">
        <w:rPr>
          <w:color w:val="000000"/>
          <w:szCs w:val="22"/>
          <w:lang w:val="sr-Latn-ME"/>
        </w:rPr>
        <w:t>ti</w:t>
      </w:r>
      <w:r w:rsidR="00E90FE8" w:rsidRPr="00A259FB">
        <w:rPr>
          <w:color w:val="000000"/>
          <w:szCs w:val="22"/>
          <w:lang w:val="sr-Latn-ME"/>
        </w:rPr>
        <w:t xml:space="preserve"> </w:t>
      </w:r>
      <w:r w:rsidR="00367B83" w:rsidRPr="00A259FB">
        <w:rPr>
          <w:color w:val="000000"/>
          <w:szCs w:val="22"/>
          <w:lang w:val="sr-Latn-ME"/>
        </w:rPr>
        <w:t>sprovođenje</w:t>
      </w:r>
      <w:r w:rsidR="00D22A43" w:rsidRPr="00A259FB">
        <w:rPr>
          <w:color w:val="000000"/>
          <w:szCs w:val="22"/>
          <w:lang w:val="sr-Latn-ME"/>
        </w:rPr>
        <w:t xml:space="preserve"> impu</w:t>
      </w:r>
      <w:r w:rsidR="00FD06C2" w:rsidRPr="00A259FB">
        <w:rPr>
          <w:color w:val="000000"/>
          <w:szCs w:val="22"/>
          <w:lang w:val="sr-Latn-ME"/>
        </w:rPr>
        <w:t>l</w:t>
      </w:r>
      <w:r w:rsidR="00D22A43" w:rsidRPr="00A259FB">
        <w:rPr>
          <w:color w:val="000000"/>
          <w:szCs w:val="22"/>
          <w:lang w:val="sr-Latn-ME"/>
        </w:rPr>
        <w:t>sa</w:t>
      </w:r>
      <w:r w:rsidR="00367B83" w:rsidRPr="00A259FB">
        <w:rPr>
          <w:color w:val="000000"/>
          <w:szCs w:val="22"/>
          <w:lang w:val="sr-Latn-ME"/>
        </w:rPr>
        <w:t xml:space="preserve"> kroz </w:t>
      </w:r>
      <w:r w:rsidR="00E90FE8" w:rsidRPr="00A259FB">
        <w:rPr>
          <w:color w:val="000000"/>
          <w:szCs w:val="22"/>
          <w:lang w:val="sr-Latn-ME"/>
        </w:rPr>
        <w:t xml:space="preserve">AV </w:t>
      </w:r>
      <w:r w:rsidR="00367B83" w:rsidRPr="00A259FB">
        <w:rPr>
          <w:color w:val="000000"/>
          <w:szCs w:val="22"/>
          <w:lang w:val="sr-Latn-ME"/>
        </w:rPr>
        <w:t>čvor</w:t>
      </w:r>
      <w:r w:rsidR="00E90FE8" w:rsidRPr="00A259FB">
        <w:rPr>
          <w:color w:val="000000"/>
          <w:szCs w:val="22"/>
          <w:lang w:val="sr-Latn-ME"/>
        </w:rPr>
        <w:t xml:space="preserve">. </w:t>
      </w:r>
    </w:p>
    <w:p w14:paraId="2DAEFFF9" w14:textId="77777777" w:rsidR="00FD06C2" w:rsidRPr="00A259FB" w:rsidRDefault="00FD06C2" w:rsidP="00767CD8">
      <w:pPr>
        <w:rPr>
          <w:color w:val="000000"/>
          <w:szCs w:val="22"/>
          <w:lang w:val="sr-Latn-ME"/>
        </w:rPr>
      </w:pPr>
    </w:p>
    <w:p w14:paraId="2A9DC019" w14:textId="55D0AF7F" w:rsidR="00E90FE8" w:rsidRPr="00A259FB" w:rsidRDefault="00F32529" w:rsidP="00767CD8">
      <w:pPr>
        <w:rPr>
          <w:szCs w:val="22"/>
          <w:lang w:val="sr-Latn-ME"/>
        </w:rPr>
      </w:pPr>
      <w:r w:rsidRPr="00A259FB">
        <w:rPr>
          <w:color w:val="000000"/>
          <w:szCs w:val="22"/>
          <w:lang w:val="sr-Latn-ME"/>
        </w:rPr>
        <w:t>Beta</w:t>
      </w:r>
      <w:r w:rsidR="00C7017F" w:rsidRPr="00A259FB">
        <w:rPr>
          <w:color w:val="000000"/>
          <w:szCs w:val="22"/>
          <w:lang w:val="sr-Latn-ME"/>
        </w:rPr>
        <w:t>-</w:t>
      </w:r>
      <w:r w:rsidR="00E90FE8" w:rsidRPr="00A259FB">
        <w:rPr>
          <w:color w:val="000000"/>
          <w:szCs w:val="22"/>
          <w:lang w:val="sr-Latn-ME"/>
        </w:rPr>
        <w:t xml:space="preserve">blokatori mogu da </w:t>
      </w:r>
      <w:r w:rsidR="002F7B97" w:rsidRPr="00A259FB">
        <w:rPr>
          <w:color w:val="000000"/>
          <w:szCs w:val="22"/>
          <w:lang w:val="sr-Latn-ME"/>
        </w:rPr>
        <w:t>pogoršaju</w:t>
      </w:r>
      <w:r w:rsidR="00E90FE8" w:rsidRPr="00A259FB">
        <w:rPr>
          <w:color w:val="000000"/>
          <w:szCs w:val="22"/>
          <w:lang w:val="sr-Latn-ME"/>
        </w:rPr>
        <w:t xml:space="preserve"> tzv. </w:t>
      </w:r>
      <w:r w:rsidRPr="00A259FB">
        <w:rPr>
          <w:color w:val="000000"/>
          <w:szCs w:val="22"/>
          <w:lang w:val="sr-Latn-ME"/>
        </w:rPr>
        <w:t>„</w:t>
      </w:r>
      <w:r w:rsidR="00E90FE8" w:rsidRPr="00A259FB">
        <w:rPr>
          <w:i/>
          <w:color w:val="000000"/>
          <w:szCs w:val="22"/>
          <w:lang w:val="sr-Latn-ME"/>
        </w:rPr>
        <w:t>rebound</w:t>
      </w:r>
      <w:r w:rsidRPr="00A259FB">
        <w:rPr>
          <w:color w:val="000000"/>
          <w:szCs w:val="22"/>
          <w:lang w:val="sr-Latn-ME"/>
        </w:rPr>
        <w:t>“</w:t>
      </w:r>
      <w:r w:rsidR="00E90FE8" w:rsidRPr="00A259FB">
        <w:rPr>
          <w:color w:val="000000"/>
          <w:szCs w:val="22"/>
          <w:lang w:val="sr-Latn-ME"/>
        </w:rPr>
        <w:t xml:space="preserve"> hipertenziju</w:t>
      </w:r>
      <w:r w:rsidR="00E90FE8" w:rsidRPr="00A259FB">
        <w:rPr>
          <w:szCs w:val="22"/>
          <w:lang w:val="sr-Latn-ME"/>
        </w:rPr>
        <w:t>, koja se javlja po prekidu prim</w:t>
      </w:r>
      <w:r w:rsidR="00723F9E" w:rsidRPr="00A259FB">
        <w:rPr>
          <w:szCs w:val="22"/>
          <w:lang w:val="sr-Latn-ME"/>
        </w:rPr>
        <w:t>j</w:t>
      </w:r>
      <w:r w:rsidR="00E90FE8" w:rsidRPr="00A259FB">
        <w:rPr>
          <w:szCs w:val="22"/>
          <w:lang w:val="sr-Latn-ME"/>
        </w:rPr>
        <w:t>ene klonidina. Ukoliko se ova dva l</w:t>
      </w:r>
      <w:r w:rsidR="00723F9E" w:rsidRPr="00A259FB">
        <w:rPr>
          <w:szCs w:val="22"/>
          <w:lang w:val="sr-Latn-ME"/>
        </w:rPr>
        <w:t>ij</w:t>
      </w:r>
      <w:r w:rsidR="00E90FE8" w:rsidRPr="00A259FB">
        <w:rPr>
          <w:szCs w:val="22"/>
          <w:lang w:val="sr-Latn-ME"/>
        </w:rPr>
        <w:t xml:space="preserve">eka </w:t>
      </w:r>
      <w:r w:rsidR="002F7B97" w:rsidRPr="00A259FB">
        <w:rPr>
          <w:szCs w:val="22"/>
          <w:lang w:val="sr-Latn-ME"/>
        </w:rPr>
        <w:t>prim</w:t>
      </w:r>
      <w:r w:rsidR="00723F9E" w:rsidRPr="00A259FB">
        <w:rPr>
          <w:szCs w:val="22"/>
          <w:lang w:val="sr-Latn-ME"/>
        </w:rPr>
        <w:t>j</w:t>
      </w:r>
      <w:r w:rsidR="002F7B97" w:rsidRPr="00A259FB">
        <w:rPr>
          <w:szCs w:val="22"/>
          <w:lang w:val="sr-Latn-ME"/>
        </w:rPr>
        <w:t>enjuju</w:t>
      </w:r>
      <w:r w:rsidR="00E90FE8" w:rsidRPr="00A259FB">
        <w:rPr>
          <w:szCs w:val="22"/>
          <w:lang w:val="sr-Latn-ME"/>
        </w:rPr>
        <w:t xml:space="preserve"> istovremeno, </w:t>
      </w:r>
      <w:r w:rsidR="002F7B97" w:rsidRPr="00A259FB">
        <w:rPr>
          <w:szCs w:val="22"/>
          <w:lang w:val="sr-Latn-ME"/>
        </w:rPr>
        <w:t>prim</w:t>
      </w:r>
      <w:r w:rsidR="00723F9E" w:rsidRPr="00A259FB">
        <w:rPr>
          <w:szCs w:val="22"/>
          <w:lang w:val="sr-Latn-ME"/>
        </w:rPr>
        <w:t>j</w:t>
      </w:r>
      <w:r w:rsidR="002F7B97" w:rsidRPr="00A259FB">
        <w:rPr>
          <w:szCs w:val="22"/>
          <w:lang w:val="sr-Latn-ME"/>
        </w:rPr>
        <w:t xml:space="preserve">enu </w:t>
      </w:r>
      <w:r w:rsidRPr="00A259FB">
        <w:rPr>
          <w:szCs w:val="22"/>
          <w:lang w:val="sr-Latn-ME"/>
        </w:rPr>
        <w:t>beta</w:t>
      </w:r>
      <w:r w:rsidR="00116CCF" w:rsidRPr="00A259FB">
        <w:rPr>
          <w:szCs w:val="22"/>
          <w:lang w:val="sr-Latn-ME"/>
        </w:rPr>
        <w:t>-</w:t>
      </w:r>
      <w:r w:rsidR="00E90FE8" w:rsidRPr="00A259FB">
        <w:rPr>
          <w:szCs w:val="22"/>
          <w:lang w:val="sr-Latn-ME"/>
        </w:rPr>
        <w:t>blokatora</w:t>
      </w:r>
      <w:r w:rsidR="002F7B97" w:rsidRPr="00A259FB">
        <w:rPr>
          <w:szCs w:val="22"/>
          <w:lang w:val="sr-Latn-ME"/>
        </w:rPr>
        <w:t xml:space="preserve"> treba obustaviti</w:t>
      </w:r>
      <w:r w:rsidR="00E90FE8" w:rsidRPr="00A259FB">
        <w:rPr>
          <w:szCs w:val="22"/>
          <w:lang w:val="sr-Latn-ME"/>
        </w:rPr>
        <w:t xml:space="preserve"> nekoliko dana pr</w:t>
      </w:r>
      <w:r w:rsidR="00723F9E" w:rsidRPr="00A259FB">
        <w:rPr>
          <w:szCs w:val="22"/>
          <w:lang w:val="sr-Latn-ME"/>
        </w:rPr>
        <w:t>ij</w:t>
      </w:r>
      <w:r w:rsidR="00E90FE8" w:rsidRPr="00A259FB">
        <w:rPr>
          <w:szCs w:val="22"/>
          <w:lang w:val="sr-Latn-ME"/>
        </w:rPr>
        <w:t>e prekida prim</w:t>
      </w:r>
      <w:r w:rsidR="00723F9E" w:rsidRPr="00A259FB">
        <w:rPr>
          <w:szCs w:val="22"/>
          <w:lang w:val="sr-Latn-ME"/>
        </w:rPr>
        <w:t>j</w:t>
      </w:r>
      <w:r w:rsidR="00E90FE8" w:rsidRPr="00A259FB">
        <w:rPr>
          <w:szCs w:val="22"/>
          <w:lang w:val="sr-Latn-ME"/>
        </w:rPr>
        <w:t>ene klonidina. Ako se klonidin u terapiji zam</w:t>
      </w:r>
      <w:r w:rsidR="00723F9E" w:rsidRPr="00A259FB">
        <w:rPr>
          <w:szCs w:val="22"/>
          <w:lang w:val="sr-Latn-ME"/>
        </w:rPr>
        <w:t>j</w:t>
      </w:r>
      <w:r w:rsidR="00E90FE8" w:rsidRPr="00A259FB">
        <w:rPr>
          <w:szCs w:val="22"/>
          <w:lang w:val="sr-Latn-ME"/>
        </w:rPr>
        <w:t xml:space="preserve">enjuje </w:t>
      </w:r>
      <w:r w:rsidRPr="00A259FB">
        <w:rPr>
          <w:szCs w:val="22"/>
          <w:lang w:val="sr-Latn-ME"/>
        </w:rPr>
        <w:t>beta</w:t>
      </w:r>
      <w:r w:rsidR="00116CCF" w:rsidRPr="00A259FB">
        <w:rPr>
          <w:szCs w:val="22"/>
          <w:lang w:val="sr-Latn-ME"/>
        </w:rPr>
        <w:t>-</w:t>
      </w:r>
      <w:r w:rsidR="00E90FE8" w:rsidRPr="00A259FB">
        <w:rPr>
          <w:szCs w:val="22"/>
          <w:lang w:val="sr-Latn-ME"/>
        </w:rPr>
        <w:t>blokatorom, uvo</w:t>
      </w:r>
      <w:r w:rsidR="00E90FE8" w:rsidRPr="00A259FB">
        <w:rPr>
          <w:rFonts w:eastAsia="TimesNewRoman"/>
          <w:szCs w:val="22"/>
          <w:lang w:val="sr-Latn-ME"/>
        </w:rPr>
        <w:t>đ</w:t>
      </w:r>
      <w:r w:rsidR="00E90FE8" w:rsidRPr="00A259FB">
        <w:rPr>
          <w:szCs w:val="22"/>
          <w:lang w:val="sr-Latn-ME"/>
        </w:rPr>
        <w:t xml:space="preserve">enje </w:t>
      </w:r>
      <w:r w:rsidRPr="00A259FB">
        <w:rPr>
          <w:szCs w:val="22"/>
          <w:lang w:val="sr-Latn-ME"/>
        </w:rPr>
        <w:t>beta</w:t>
      </w:r>
      <w:r w:rsidR="00116CCF" w:rsidRPr="00A259FB">
        <w:rPr>
          <w:szCs w:val="22"/>
          <w:lang w:val="sr-Latn-ME"/>
        </w:rPr>
        <w:t>-</w:t>
      </w:r>
      <w:r w:rsidR="00E90FE8" w:rsidRPr="00A259FB">
        <w:rPr>
          <w:szCs w:val="22"/>
          <w:lang w:val="sr-Latn-ME"/>
        </w:rPr>
        <w:t>blokatora u terapiju treba odložiti na nekoliko dana, posl</w:t>
      </w:r>
      <w:r w:rsidR="00723F9E" w:rsidRPr="00A259FB">
        <w:rPr>
          <w:szCs w:val="22"/>
          <w:lang w:val="sr-Latn-ME"/>
        </w:rPr>
        <w:t>ij</w:t>
      </w:r>
      <w:r w:rsidR="00E90FE8" w:rsidRPr="00A259FB">
        <w:rPr>
          <w:szCs w:val="22"/>
          <w:lang w:val="sr-Latn-ME"/>
        </w:rPr>
        <w:t xml:space="preserve">e </w:t>
      </w:r>
      <w:r w:rsidR="002F7B97" w:rsidRPr="00A259FB">
        <w:rPr>
          <w:szCs w:val="22"/>
          <w:lang w:val="sr-Latn-ME"/>
        </w:rPr>
        <w:t>obustave</w:t>
      </w:r>
      <w:r w:rsidR="00E90FE8" w:rsidRPr="00A259FB">
        <w:rPr>
          <w:szCs w:val="22"/>
          <w:lang w:val="sr-Latn-ME"/>
        </w:rPr>
        <w:t xml:space="preserve"> terapije klonidinom</w:t>
      </w:r>
      <w:r w:rsidR="002F7B97" w:rsidRPr="00A259FB">
        <w:rPr>
          <w:szCs w:val="22"/>
          <w:lang w:val="sr-Latn-ME"/>
        </w:rPr>
        <w:t xml:space="preserve"> (</w:t>
      </w:r>
      <w:r w:rsidR="00553A42" w:rsidRPr="00A259FB">
        <w:rPr>
          <w:szCs w:val="22"/>
          <w:lang w:val="sr-Latn-ME"/>
        </w:rPr>
        <w:t>za dodatne informacije vid</w:t>
      </w:r>
      <w:r w:rsidR="00723F9E" w:rsidRPr="00A259FB">
        <w:rPr>
          <w:szCs w:val="22"/>
          <w:lang w:val="sr-Latn-ME"/>
        </w:rPr>
        <w:t>j</w:t>
      </w:r>
      <w:r w:rsidR="00553A42" w:rsidRPr="00A259FB">
        <w:rPr>
          <w:szCs w:val="22"/>
          <w:lang w:val="sr-Latn-ME"/>
        </w:rPr>
        <w:t xml:space="preserve">eti </w:t>
      </w:r>
      <w:r w:rsidR="00176188" w:rsidRPr="00A259FB">
        <w:rPr>
          <w:szCs w:val="22"/>
          <w:lang w:val="sr-Latn-ME"/>
        </w:rPr>
        <w:t>S</w:t>
      </w:r>
      <w:r w:rsidR="00553A42" w:rsidRPr="00A259FB">
        <w:rPr>
          <w:szCs w:val="22"/>
          <w:lang w:val="sr-Latn-ME"/>
        </w:rPr>
        <w:t>ažetak karakteristika l</w:t>
      </w:r>
      <w:r w:rsidR="00723F9E" w:rsidRPr="00A259FB">
        <w:rPr>
          <w:szCs w:val="22"/>
          <w:lang w:val="sr-Latn-ME"/>
        </w:rPr>
        <w:t>ij</w:t>
      </w:r>
      <w:r w:rsidR="00553A42" w:rsidRPr="00A259FB">
        <w:rPr>
          <w:szCs w:val="22"/>
          <w:lang w:val="sr-Latn-ME"/>
        </w:rPr>
        <w:t>eka za klonidin</w:t>
      </w:r>
      <w:r w:rsidR="002F7B97" w:rsidRPr="00A259FB">
        <w:rPr>
          <w:szCs w:val="22"/>
          <w:lang w:val="sr-Latn-ME"/>
        </w:rPr>
        <w:t>)</w:t>
      </w:r>
      <w:r w:rsidR="00E90FE8" w:rsidRPr="00A259FB">
        <w:rPr>
          <w:szCs w:val="22"/>
          <w:lang w:val="sr-Latn-ME"/>
        </w:rPr>
        <w:t>.</w:t>
      </w:r>
    </w:p>
    <w:p w14:paraId="41E97EA4" w14:textId="77777777" w:rsidR="00FD06C2" w:rsidRPr="00A259FB" w:rsidRDefault="00FD06C2" w:rsidP="00767CD8">
      <w:pPr>
        <w:rPr>
          <w:szCs w:val="22"/>
          <w:lang w:val="sr-Latn-ME"/>
        </w:rPr>
      </w:pPr>
    </w:p>
    <w:p w14:paraId="2A9DC01A" w14:textId="599F0013" w:rsidR="00E90FE8" w:rsidRPr="00A259FB" w:rsidRDefault="00E90FE8" w:rsidP="00767CD8">
      <w:pPr>
        <w:rPr>
          <w:szCs w:val="22"/>
          <w:lang w:val="sr-Latn-ME"/>
        </w:rPr>
      </w:pPr>
      <w:r w:rsidRPr="00A259FB">
        <w:rPr>
          <w:szCs w:val="22"/>
          <w:lang w:val="sr-Latn-ME"/>
        </w:rPr>
        <w:t xml:space="preserve">Antiaritmici klase I (npr. dizopiramid) i amjodaron mogu imati </w:t>
      </w:r>
      <w:r w:rsidR="00F32529" w:rsidRPr="00A259FB">
        <w:rPr>
          <w:szCs w:val="22"/>
          <w:lang w:val="sr-Latn-ME"/>
        </w:rPr>
        <w:t>poja</w:t>
      </w:r>
      <w:r w:rsidR="00F32529" w:rsidRPr="00A259FB">
        <w:rPr>
          <w:rFonts w:eastAsia="TimesNewRoman"/>
          <w:szCs w:val="22"/>
          <w:lang w:val="sr-Latn-ME"/>
        </w:rPr>
        <w:t>č</w:t>
      </w:r>
      <w:r w:rsidR="00F32529" w:rsidRPr="00A259FB">
        <w:rPr>
          <w:szCs w:val="22"/>
          <w:lang w:val="sr-Latn-ME"/>
        </w:rPr>
        <w:t>ano d</w:t>
      </w:r>
      <w:r w:rsidR="00723F9E" w:rsidRPr="00A259FB">
        <w:rPr>
          <w:szCs w:val="22"/>
          <w:lang w:val="sr-Latn-ME"/>
        </w:rPr>
        <w:t>j</w:t>
      </w:r>
      <w:r w:rsidR="00F32529" w:rsidRPr="00A259FB">
        <w:rPr>
          <w:szCs w:val="22"/>
          <w:lang w:val="sr-Latn-ME"/>
        </w:rPr>
        <w:t xml:space="preserve">elovanje </w:t>
      </w:r>
      <w:r w:rsidRPr="00A259FB">
        <w:rPr>
          <w:szCs w:val="22"/>
          <w:lang w:val="sr-Latn-ME"/>
        </w:rPr>
        <w:t>na vr</w:t>
      </w:r>
      <w:r w:rsidR="00723F9E" w:rsidRPr="00A259FB">
        <w:rPr>
          <w:szCs w:val="22"/>
          <w:lang w:val="sr-Latn-ME"/>
        </w:rPr>
        <w:t>ij</w:t>
      </w:r>
      <w:r w:rsidRPr="00A259FB">
        <w:rPr>
          <w:szCs w:val="22"/>
          <w:lang w:val="sr-Latn-ME"/>
        </w:rPr>
        <w:t xml:space="preserve">eme atrijalnog sprovođenja i </w:t>
      </w:r>
      <w:r w:rsidR="00F32529" w:rsidRPr="00A259FB">
        <w:rPr>
          <w:szCs w:val="22"/>
          <w:lang w:val="sr-Latn-ME"/>
        </w:rPr>
        <w:t xml:space="preserve">mogu </w:t>
      </w:r>
      <w:r w:rsidRPr="00A259FB">
        <w:rPr>
          <w:szCs w:val="22"/>
          <w:lang w:val="sr-Latn-ME"/>
        </w:rPr>
        <w:t>indukovati negativni inotropni efekat.</w:t>
      </w:r>
    </w:p>
    <w:p w14:paraId="43D2ADA5" w14:textId="77777777" w:rsidR="00FD06C2" w:rsidRPr="00A259FB" w:rsidRDefault="00FD06C2" w:rsidP="00767CD8">
      <w:pPr>
        <w:rPr>
          <w:szCs w:val="22"/>
          <w:lang w:val="sr-Latn-ME"/>
        </w:rPr>
      </w:pPr>
    </w:p>
    <w:p w14:paraId="2A9DC01B" w14:textId="03CDE73A" w:rsidR="00E90FE8" w:rsidRPr="00A259FB" w:rsidRDefault="00E90FE8" w:rsidP="00767CD8">
      <w:pPr>
        <w:rPr>
          <w:szCs w:val="22"/>
          <w:lang w:val="sr-Latn-ME"/>
        </w:rPr>
      </w:pPr>
      <w:r w:rsidRPr="00A259FB">
        <w:rPr>
          <w:szCs w:val="22"/>
          <w:lang w:val="sr-Latn-ME"/>
        </w:rPr>
        <w:t>Istovremena prim</w:t>
      </w:r>
      <w:r w:rsidR="00723F9E" w:rsidRPr="00A259FB">
        <w:rPr>
          <w:szCs w:val="22"/>
          <w:lang w:val="sr-Latn-ME"/>
        </w:rPr>
        <w:t>j</w:t>
      </w:r>
      <w:r w:rsidRPr="00A259FB">
        <w:rPr>
          <w:szCs w:val="22"/>
          <w:lang w:val="sr-Latn-ME"/>
        </w:rPr>
        <w:t>ena simpatomimetika (npr. adrenalin)</w:t>
      </w:r>
      <w:r w:rsidR="000335E4" w:rsidRPr="00A259FB">
        <w:rPr>
          <w:szCs w:val="22"/>
          <w:lang w:val="sr-Latn-ME"/>
        </w:rPr>
        <w:t>,</w:t>
      </w:r>
      <w:r w:rsidRPr="00A259FB">
        <w:rPr>
          <w:szCs w:val="22"/>
          <w:lang w:val="sr-Latn-ME"/>
        </w:rPr>
        <w:t xml:space="preserve"> može neutralisati dejstvo </w:t>
      </w:r>
      <w:r w:rsidR="00F32529" w:rsidRPr="00A259FB">
        <w:rPr>
          <w:szCs w:val="22"/>
          <w:lang w:val="sr-Latn-ME"/>
        </w:rPr>
        <w:t>beta</w:t>
      </w:r>
      <w:r w:rsidR="00116CCF" w:rsidRPr="00A259FB">
        <w:rPr>
          <w:szCs w:val="22"/>
          <w:lang w:val="sr-Latn-ME"/>
        </w:rPr>
        <w:t>-</w:t>
      </w:r>
      <w:r w:rsidRPr="00A259FB">
        <w:rPr>
          <w:szCs w:val="22"/>
          <w:lang w:val="sr-Latn-ME"/>
        </w:rPr>
        <w:t>blokatora.</w:t>
      </w:r>
    </w:p>
    <w:p w14:paraId="72C18668" w14:textId="77777777" w:rsidR="00FD06C2" w:rsidRPr="00A259FB" w:rsidRDefault="00FD06C2" w:rsidP="00767CD8">
      <w:pPr>
        <w:rPr>
          <w:szCs w:val="22"/>
          <w:lang w:val="sr-Latn-ME"/>
        </w:rPr>
      </w:pPr>
    </w:p>
    <w:p w14:paraId="2A9DC01C" w14:textId="420AA1B1" w:rsidR="00E90FE8" w:rsidRPr="00A259FB" w:rsidRDefault="00E90FE8" w:rsidP="00767CD8">
      <w:pPr>
        <w:rPr>
          <w:color w:val="000000"/>
          <w:szCs w:val="22"/>
          <w:lang w:val="sr-Latn-ME"/>
        </w:rPr>
      </w:pPr>
      <w:r w:rsidRPr="00A259FB">
        <w:rPr>
          <w:szCs w:val="22"/>
          <w:lang w:val="sr-Latn-ME"/>
        </w:rPr>
        <w:t>Ukoliko se istovremeno prim</w:t>
      </w:r>
      <w:r w:rsidR="00723F9E" w:rsidRPr="00A259FB">
        <w:rPr>
          <w:szCs w:val="22"/>
          <w:lang w:val="sr-Latn-ME"/>
        </w:rPr>
        <w:t>j</w:t>
      </w:r>
      <w:r w:rsidRPr="00A259FB">
        <w:rPr>
          <w:szCs w:val="22"/>
          <w:lang w:val="sr-Latn-ME"/>
        </w:rPr>
        <w:t>enjuje sa insulinom i oralnim antidijabeticima, atenolol može pojačati hipoglikemijsko dejstvo ovih l</w:t>
      </w:r>
      <w:r w:rsidR="00723F9E" w:rsidRPr="00A259FB">
        <w:rPr>
          <w:szCs w:val="22"/>
          <w:lang w:val="sr-Latn-ME"/>
        </w:rPr>
        <w:t>j</w:t>
      </w:r>
      <w:r w:rsidRPr="00A259FB">
        <w:rPr>
          <w:szCs w:val="22"/>
          <w:lang w:val="sr-Latn-ME"/>
        </w:rPr>
        <w:t>ekova. Simptomi hipoglikemije, naročito tahikardija, mogu biti maskirani</w:t>
      </w:r>
      <w:r w:rsidRPr="00A259FB">
        <w:rPr>
          <w:color w:val="000000"/>
          <w:szCs w:val="22"/>
          <w:lang w:val="sr-Latn-ME"/>
        </w:rPr>
        <w:t xml:space="preserve"> (vid</w:t>
      </w:r>
      <w:r w:rsidR="00723F9E" w:rsidRPr="00A259FB">
        <w:rPr>
          <w:color w:val="000000"/>
          <w:szCs w:val="22"/>
          <w:lang w:val="sr-Latn-ME"/>
        </w:rPr>
        <w:t>j</w:t>
      </w:r>
      <w:r w:rsidRPr="00A259FB">
        <w:rPr>
          <w:color w:val="000000"/>
          <w:szCs w:val="22"/>
          <w:lang w:val="sr-Latn-ME"/>
        </w:rPr>
        <w:t xml:space="preserve">eti </w:t>
      </w:r>
      <w:r w:rsidR="00723F9E" w:rsidRPr="00A259FB">
        <w:rPr>
          <w:color w:val="000000"/>
          <w:szCs w:val="22"/>
          <w:lang w:val="sr-Latn-ME"/>
        </w:rPr>
        <w:t>dio</w:t>
      </w:r>
      <w:r w:rsidRPr="00A259FB">
        <w:rPr>
          <w:color w:val="000000"/>
          <w:szCs w:val="22"/>
          <w:lang w:val="sr-Latn-ME"/>
        </w:rPr>
        <w:t xml:space="preserve"> 4.4).</w:t>
      </w:r>
    </w:p>
    <w:p w14:paraId="2CE9EB3A" w14:textId="77777777" w:rsidR="00FD06C2" w:rsidRPr="00A259FB" w:rsidRDefault="00FD06C2" w:rsidP="00767CD8">
      <w:pPr>
        <w:rPr>
          <w:szCs w:val="22"/>
          <w:lang w:val="sr-Latn-ME"/>
        </w:rPr>
      </w:pPr>
    </w:p>
    <w:p w14:paraId="2A9DC01D" w14:textId="3835C32F" w:rsidR="00E90FE8" w:rsidRPr="00A259FB" w:rsidRDefault="00E90FE8" w:rsidP="00767CD8">
      <w:pPr>
        <w:rPr>
          <w:color w:val="000000"/>
          <w:szCs w:val="22"/>
          <w:lang w:val="sr-Latn-ME"/>
        </w:rPr>
      </w:pPr>
      <w:r w:rsidRPr="00A259FB">
        <w:rPr>
          <w:szCs w:val="22"/>
          <w:lang w:val="sr-Latn-ME"/>
        </w:rPr>
        <w:t>Istovremena prim</w:t>
      </w:r>
      <w:r w:rsidR="00723F9E" w:rsidRPr="00A259FB">
        <w:rPr>
          <w:szCs w:val="22"/>
          <w:lang w:val="sr-Latn-ME"/>
        </w:rPr>
        <w:t>j</w:t>
      </w:r>
      <w:r w:rsidRPr="00A259FB">
        <w:rPr>
          <w:szCs w:val="22"/>
          <w:lang w:val="sr-Latn-ME"/>
        </w:rPr>
        <w:t>ena inh</w:t>
      </w:r>
      <w:r w:rsidRPr="00A259FB">
        <w:rPr>
          <w:color w:val="000000"/>
          <w:szCs w:val="22"/>
          <w:lang w:val="sr-Latn-ME"/>
        </w:rPr>
        <w:t xml:space="preserve">ibitora sinteze prostaglandina (npr. indometacin, ibuprofen) može umanjiti hipotenzivno dejstvo </w:t>
      </w:r>
      <w:r w:rsidR="000335E4" w:rsidRPr="00A259FB">
        <w:rPr>
          <w:color w:val="000000"/>
          <w:szCs w:val="22"/>
          <w:lang w:val="sr-Latn-ME"/>
        </w:rPr>
        <w:t>beta</w:t>
      </w:r>
      <w:r w:rsidR="00116CCF" w:rsidRPr="00A259FB">
        <w:rPr>
          <w:color w:val="000000"/>
          <w:szCs w:val="22"/>
          <w:lang w:val="sr-Latn-ME"/>
        </w:rPr>
        <w:t>-</w:t>
      </w:r>
      <w:r w:rsidR="000335E4" w:rsidRPr="00A259FB">
        <w:rPr>
          <w:color w:val="000000"/>
          <w:szCs w:val="22"/>
          <w:lang w:val="sr-Latn-ME"/>
        </w:rPr>
        <w:t>blokatora</w:t>
      </w:r>
      <w:r w:rsidRPr="00A259FB">
        <w:rPr>
          <w:color w:val="000000"/>
          <w:szCs w:val="22"/>
          <w:lang w:val="sr-Latn-ME"/>
        </w:rPr>
        <w:t>.</w:t>
      </w:r>
    </w:p>
    <w:p w14:paraId="018DC416" w14:textId="77777777" w:rsidR="00FD06C2" w:rsidRPr="00A259FB" w:rsidRDefault="00FD06C2" w:rsidP="00767CD8">
      <w:pPr>
        <w:rPr>
          <w:color w:val="000000"/>
          <w:szCs w:val="22"/>
          <w:lang w:val="sr-Latn-ME"/>
        </w:rPr>
      </w:pPr>
    </w:p>
    <w:p w14:paraId="2A9DC01F" w14:textId="2F7BDDD0" w:rsidR="00E90FE8" w:rsidRPr="00A259FB" w:rsidRDefault="00E90FE8" w:rsidP="00767CD8">
      <w:pPr>
        <w:rPr>
          <w:szCs w:val="22"/>
          <w:lang w:val="sr-Latn-ME"/>
        </w:rPr>
      </w:pPr>
      <w:r w:rsidRPr="00A259FB">
        <w:rPr>
          <w:color w:val="000000"/>
          <w:szCs w:val="22"/>
          <w:lang w:val="sr-Latn-ME"/>
        </w:rPr>
        <w:t>Potreban je oprez pri istovremenoj prim</w:t>
      </w:r>
      <w:r w:rsidR="00723F9E" w:rsidRPr="00A259FB">
        <w:rPr>
          <w:color w:val="000000"/>
          <w:szCs w:val="22"/>
          <w:lang w:val="sr-Latn-ME"/>
        </w:rPr>
        <w:t>j</w:t>
      </w:r>
      <w:r w:rsidRPr="00A259FB">
        <w:rPr>
          <w:color w:val="000000"/>
          <w:szCs w:val="22"/>
          <w:lang w:val="sr-Latn-ME"/>
        </w:rPr>
        <w:t>eni anestetika i atenolola. O prim</w:t>
      </w:r>
      <w:r w:rsidR="00723F9E" w:rsidRPr="00A259FB">
        <w:rPr>
          <w:color w:val="000000"/>
          <w:szCs w:val="22"/>
          <w:lang w:val="sr-Latn-ME"/>
        </w:rPr>
        <w:t>j</w:t>
      </w:r>
      <w:r w:rsidRPr="00A259FB">
        <w:rPr>
          <w:color w:val="000000"/>
          <w:szCs w:val="22"/>
          <w:lang w:val="sr-Latn-ME"/>
        </w:rPr>
        <w:t>eni atenolola treba obav</w:t>
      </w:r>
      <w:r w:rsidR="00723F9E" w:rsidRPr="00A259FB">
        <w:rPr>
          <w:color w:val="000000"/>
          <w:szCs w:val="22"/>
          <w:lang w:val="sr-Latn-ME"/>
        </w:rPr>
        <w:t>ij</w:t>
      </w:r>
      <w:r w:rsidRPr="00A259FB">
        <w:rPr>
          <w:color w:val="000000"/>
          <w:szCs w:val="22"/>
          <w:lang w:val="sr-Latn-ME"/>
        </w:rPr>
        <w:t xml:space="preserve">estiti anesteziologa, dok se prilikom </w:t>
      </w:r>
      <w:r w:rsidR="000335E4" w:rsidRPr="00A259FB">
        <w:rPr>
          <w:color w:val="000000"/>
          <w:szCs w:val="22"/>
          <w:lang w:val="sr-Latn-ME"/>
        </w:rPr>
        <w:t>odabira</w:t>
      </w:r>
      <w:r w:rsidRPr="00A259FB">
        <w:rPr>
          <w:color w:val="000000"/>
          <w:szCs w:val="22"/>
          <w:lang w:val="sr-Latn-ME"/>
        </w:rPr>
        <w:t xml:space="preserve"> anestetika treba opred</w:t>
      </w:r>
      <w:r w:rsidR="00195994" w:rsidRPr="00A259FB">
        <w:rPr>
          <w:color w:val="000000"/>
          <w:szCs w:val="22"/>
          <w:lang w:val="sr-Latn-ME"/>
        </w:rPr>
        <w:t>ij</w:t>
      </w:r>
      <w:r w:rsidRPr="00A259FB">
        <w:rPr>
          <w:color w:val="000000"/>
          <w:szCs w:val="22"/>
          <w:lang w:val="sr-Latn-ME"/>
        </w:rPr>
        <w:t>eliti za onaj sa najmanjim mogućim negativnim inotropnim dejstvom. Prim</w:t>
      </w:r>
      <w:r w:rsidR="00723F9E" w:rsidRPr="00A259FB">
        <w:rPr>
          <w:color w:val="000000"/>
          <w:szCs w:val="22"/>
          <w:lang w:val="sr-Latn-ME"/>
        </w:rPr>
        <w:t>j</w:t>
      </w:r>
      <w:r w:rsidRPr="00A259FB">
        <w:rPr>
          <w:color w:val="000000"/>
          <w:szCs w:val="22"/>
          <w:lang w:val="sr-Latn-ME"/>
        </w:rPr>
        <w:t xml:space="preserve">ena </w:t>
      </w:r>
      <w:r w:rsidR="00F32529" w:rsidRPr="00A259FB">
        <w:rPr>
          <w:color w:val="000000"/>
          <w:szCs w:val="22"/>
          <w:lang w:val="sr-Latn-ME"/>
        </w:rPr>
        <w:t>beta</w:t>
      </w:r>
      <w:r w:rsidR="00116CCF" w:rsidRPr="00A259FB">
        <w:rPr>
          <w:color w:val="000000"/>
          <w:szCs w:val="22"/>
          <w:lang w:val="sr-Latn-ME"/>
        </w:rPr>
        <w:t>-</w:t>
      </w:r>
      <w:r w:rsidRPr="00A259FB">
        <w:rPr>
          <w:color w:val="000000"/>
          <w:szCs w:val="22"/>
          <w:lang w:val="sr-Latn-ME"/>
        </w:rPr>
        <w:t xml:space="preserve">blokatora sa anesteticima može rezultirati slabljenjem refleksne tahikardije i povećanjem rizika od pojave </w:t>
      </w:r>
      <w:r w:rsidRPr="00A259FB">
        <w:rPr>
          <w:szCs w:val="22"/>
          <w:lang w:val="sr-Latn-ME"/>
        </w:rPr>
        <w:t>hipotenzije.</w:t>
      </w:r>
      <w:r w:rsidR="000335E4" w:rsidRPr="00A259FB">
        <w:rPr>
          <w:szCs w:val="22"/>
          <w:lang w:val="sr-Latn-ME"/>
        </w:rPr>
        <w:t xml:space="preserve"> </w:t>
      </w:r>
      <w:r w:rsidRPr="00A259FB">
        <w:rPr>
          <w:szCs w:val="22"/>
          <w:lang w:val="sr-Latn-ME"/>
        </w:rPr>
        <w:t>Prim</w:t>
      </w:r>
      <w:r w:rsidR="00723F9E" w:rsidRPr="00A259FB">
        <w:rPr>
          <w:szCs w:val="22"/>
          <w:lang w:val="sr-Latn-ME"/>
        </w:rPr>
        <w:t>j</w:t>
      </w:r>
      <w:r w:rsidRPr="00A259FB">
        <w:rPr>
          <w:szCs w:val="22"/>
          <w:lang w:val="sr-Latn-ME"/>
        </w:rPr>
        <w:t>enu anestetika koji uzrokuju depresiju miokarda treba izb</w:t>
      </w:r>
      <w:r w:rsidR="00723F9E" w:rsidRPr="00A259FB">
        <w:rPr>
          <w:szCs w:val="22"/>
          <w:lang w:val="sr-Latn-ME"/>
        </w:rPr>
        <w:t>j</w:t>
      </w:r>
      <w:r w:rsidRPr="00A259FB">
        <w:rPr>
          <w:szCs w:val="22"/>
          <w:lang w:val="sr-Latn-ME"/>
        </w:rPr>
        <w:t>egavati.</w:t>
      </w:r>
    </w:p>
    <w:p w14:paraId="3DF94197" w14:textId="77777777" w:rsidR="00FD06C2" w:rsidRPr="00A259FB" w:rsidRDefault="00FD06C2" w:rsidP="00767CD8">
      <w:pPr>
        <w:rPr>
          <w:iCs/>
          <w:color w:val="000000"/>
          <w:szCs w:val="22"/>
          <w:lang w:val="sr-Latn-ME"/>
        </w:rPr>
      </w:pPr>
    </w:p>
    <w:p w14:paraId="2A9DC021" w14:textId="0076927C" w:rsidR="00E90FE8" w:rsidRPr="00A259FB" w:rsidRDefault="00E90FE8" w:rsidP="00767CD8">
      <w:pPr>
        <w:rPr>
          <w:b/>
          <w:bCs/>
          <w:szCs w:val="22"/>
          <w:lang w:val="sr-Latn-ME"/>
        </w:rPr>
      </w:pPr>
      <w:r w:rsidRPr="00A259FB">
        <w:rPr>
          <w:b/>
          <w:bCs/>
          <w:szCs w:val="22"/>
          <w:lang w:val="sr-Latn-ME"/>
        </w:rPr>
        <w:t>4.6. Plodnost, trudnoća i dojenje</w:t>
      </w:r>
    </w:p>
    <w:p w14:paraId="5FDE4988" w14:textId="77777777" w:rsidR="00FD06C2" w:rsidRPr="00A259FB" w:rsidRDefault="00FD06C2" w:rsidP="00767CD8">
      <w:pPr>
        <w:rPr>
          <w:b/>
          <w:bCs/>
          <w:szCs w:val="22"/>
          <w:lang w:val="sr-Latn-ME"/>
        </w:rPr>
      </w:pPr>
    </w:p>
    <w:p w14:paraId="2A9DC023" w14:textId="543567D4" w:rsidR="00E90FE8" w:rsidRPr="00A259FB" w:rsidRDefault="00E90FE8" w:rsidP="00767CD8">
      <w:pPr>
        <w:pStyle w:val="Header"/>
        <w:tabs>
          <w:tab w:val="clear" w:pos="4536"/>
          <w:tab w:val="clear" w:pos="9072"/>
          <w:tab w:val="left" w:pos="284"/>
        </w:tabs>
        <w:rPr>
          <w:color w:val="000000"/>
          <w:szCs w:val="22"/>
          <w:lang w:val="sr-Latn-ME"/>
        </w:rPr>
      </w:pPr>
      <w:r w:rsidRPr="00A259FB">
        <w:rPr>
          <w:color w:val="000000"/>
          <w:szCs w:val="22"/>
          <w:lang w:val="sr-Latn-ME"/>
        </w:rPr>
        <w:t>Neophodan je oprez kada se atenolol prim</w:t>
      </w:r>
      <w:r w:rsidR="00723F9E" w:rsidRPr="00A259FB">
        <w:rPr>
          <w:color w:val="000000"/>
          <w:szCs w:val="22"/>
          <w:lang w:val="sr-Latn-ME"/>
        </w:rPr>
        <w:t>j</w:t>
      </w:r>
      <w:r w:rsidRPr="00A259FB">
        <w:rPr>
          <w:color w:val="000000"/>
          <w:szCs w:val="22"/>
          <w:lang w:val="sr-Latn-ME"/>
        </w:rPr>
        <w:t xml:space="preserve">enjuje kod </w:t>
      </w:r>
      <w:r w:rsidR="000335E4" w:rsidRPr="00A259FB">
        <w:rPr>
          <w:color w:val="000000"/>
          <w:szCs w:val="22"/>
          <w:lang w:val="sr-Latn-ME"/>
        </w:rPr>
        <w:t>trudnica ili dojilja</w:t>
      </w:r>
      <w:r w:rsidRPr="00A259FB">
        <w:rPr>
          <w:color w:val="000000"/>
          <w:szCs w:val="22"/>
          <w:lang w:val="sr-Latn-ME"/>
        </w:rPr>
        <w:t>.</w:t>
      </w:r>
    </w:p>
    <w:p w14:paraId="1FDD060E" w14:textId="77777777" w:rsidR="00FD06C2" w:rsidRPr="00A259FB" w:rsidRDefault="00FD06C2" w:rsidP="00767CD8">
      <w:pPr>
        <w:pStyle w:val="Header"/>
        <w:tabs>
          <w:tab w:val="clear" w:pos="4536"/>
          <w:tab w:val="clear" w:pos="9072"/>
          <w:tab w:val="left" w:pos="284"/>
        </w:tabs>
        <w:rPr>
          <w:color w:val="000000"/>
          <w:szCs w:val="22"/>
          <w:lang w:val="sr-Latn-ME"/>
        </w:rPr>
      </w:pPr>
    </w:p>
    <w:p w14:paraId="2A9DC024" w14:textId="77777777" w:rsidR="00E90FE8" w:rsidRPr="00A259FB" w:rsidRDefault="00E90FE8" w:rsidP="00767CD8">
      <w:pPr>
        <w:pStyle w:val="Header"/>
        <w:tabs>
          <w:tab w:val="clear" w:pos="4536"/>
          <w:tab w:val="clear" w:pos="9072"/>
          <w:tab w:val="left" w:pos="284"/>
        </w:tabs>
        <w:rPr>
          <w:b/>
          <w:color w:val="000000"/>
          <w:szCs w:val="22"/>
          <w:lang w:val="sr-Latn-ME"/>
        </w:rPr>
      </w:pPr>
      <w:r w:rsidRPr="00A259FB">
        <w:rPr>
          <w:b/>
          <w:color w:val="000000"/>
          <w:szCs w:val="22"/>
          <w:lang w:val="sr-Latn-ME"/>
        </w:rPr>
        <w:t>Trudnoća</w:t>
      </w:r>
    </w:p>
    <w:p w14:paraId="2A9DC027" w14:textId="0F21EEA9" w:rsidR="00E90FE8" w:rsidRPr="00A259FB" w:rsidRDefault="00E90FE8" w:rsidP="00767CD8">
      <w:pPr>
        <w:pStyle w:val="Header"/>
        <w:tabs>
          <w:tab w:val="clear" w:pos="4536"/>
          <w:tab w:val="clear" w:pos="9072"/>
          <w:tab w:val="left" w:pos="284"/>
        </w:tabs>
        <w:rPr>
          <w:color w:val="000000"/>
          <w:szCs w:val="22"/>
          <w:lang w:val="sr-Latn-ME"/>
        </w:rPr>
      </w:pPr>
      <w:r w:rsidRPr="00A259FB">
        <w:rPr>
          <w:color w:val="000000"/>
          <w:szCs w:val="22"/>
          <w:lang w:val="sr-Latn-ME"/>
        </w:rPr>
        <w:t>Atenolol prolazi kroz placentnu barijeru i pojavljuje se u krvi pupčane vrpce. Ni</w:t>
      </w:r>
      <w:r w:rsidR="00195994" w:rsidRPr="00A259FB">
        <w:rPr>
          <w:color w:val="000000"/>
          <w:szCs w:val="22"/>
          <w:lang w:val="sr-Latn-ME"/>
        </w:rPr>
        <w:t>je</w:t>
      </w:r>
      <w:r w:rsidRPr="00A259FB">
        <w:rPr>
          <w:color w:val="000000"/>
          <w:szCs w:val="22"/>
          <w:lang w:val="sr-Latn-ME"/>
        </w:rPr>
        <w:t>su sprovedene studije prim</w:t>
      </w:r>
      <w:r w:rsidR="00723F9E" w:rsidRPr="00A259FB">
        <w:rPr>
          <w:color w:val="000000"/>
          <w:szCs w:val="22"/>
          <w:lang w:val="sr-Latn-ME"/>
        </w:rPr>
        <w:t>j</w:t>
      </w:r>
      <w:r w:rsidRPr="00A259FB">
        <w:rPr>
          <w:color w:val="000000"/>
          <w:szCs w:val="22"/>
          <w:lang w:val="sr-Latn-ME"/>
        </w:rPr>
        <w:t>ene atenolola</w:t>
      </w:r>
      <w:r w:rsidR="00047F95" w:rsidRPr="00A259FB">
        <w:rPr>
          <w:color w:val="000000"/>
          <w:szCs w:val="22"/>
          <w:lang w:val="sr-Latn-ME"/>
        </w:rPr>
        <w:t xml:space="preserve"> tokom</w:t>
      </w:r>
      <w:r w:rsidRPr="00A259FB">
        <w:rPr>
          <w:color w:val="000000"/>
          <w:szCs w:val="22"/>
          <w:lang w:val="sr-Latn-ME"/>
        </w:rPr>
        <w:t xml:space="preserve"> prvog trimestra trudnoće, pa se ne može isključiti mogućnost štetnog dejstva na fetus.</w:t>
      </w:r>
      <w:r w:rsidR="00047F95" w:rsidRPr="00A259FB">
        <w:rPr>
          <w:color w:val="000000"/>
          <w:szCs w:val="22"/>
          <w:lang w:val="sr-Latn-ME"/>
        </w:rPr>
        <w:t xml:space="preserve"> </w:t>
      </w:r>
      <w:r w:rsidRPr="00A259FB">
        <w:rPr>
          <w:color w:val="000000"/>
          <w:szCs w:val="22"/>
          <w:lang w:val="sr-Latn-ME"/>
        </w:rPr>
        <w:t xml:space="preserve">Atenolol se pod stalnim medicinskim nadzorom koristio u terapiji hipertenzije </w:t>
      </w:r>
      <w:r w:rsidR="0069132C" w:rsidRPr="00A259FB">
        <w:rPr>
          <w:color w:val="000000"/>
          <w:szCs w:val="22"/>
          <w:lang w:val="sr-Latn-ME"/>
        </w:rPr>
        <w:t>tokom</w:t>
      </w:r>
      <w:r w:rsidRPr="00A259FB">
        <w:rPr>
          <w:color w:val="000000"/>
          <w:szCs w:val="22"/>
          <w:lang w:val="sr-Latn-ME"/>
        </w:rPr>
        <w:t xml:space="preserve"> treće</w:t>
      </w:r>
      <w:r w:rsidR="0069132C" w:rsidRPr="00A259FB">
        <w:rPr>
          <w:color w:val="000000"/>
          <w:szCs w:val="22"/>
          <w:lang w:val="sr-Latn-ME"/>
        </w:rPr>
        <w:t>g</w:t>
      </w:r>
      <w:r w:rsidRPr="00A259FB">
        <w:rPr>
          <w:color w:val="000000"/>
          <w:szCs w:val="22"/>
          <w:lang w:val="sr-Latn-ME"/>
        </w:rPr>
        <w:t xml:space="preserve"> trimestr</w:t>
      </w:r>
      <w:r w:rsidR="0069132C" w:rsidRPr="00A259FB">
        <w:rPr>
          <w:color w:val="000000"/>
          <w:szCs w:val="22"/>
          <w:lang w:val="sr-Latn-ME"/>
        </w:rPr>
        <w:t>a</w:t>
      </w:r>
      <w:r w:rsidRPr="00A259FB">
        <w:rPr>
          <w:color w:val="000000"/>
          <w:szCs w:val="22"/>
          <w:lang w:val="sr-Latn-ME"/>
        </w:rPr>
        <w:t xml:space="preserve"> trudnoće.</w:t>
      </w:r>
      <w:r w:rsidR="00047F95" w:rsidRPr="00A259FB">
        <w:rPr>
          <w:color w:val="000000"/>
          <w:szCs w:val="22"/>
          <w:lang w:val="sr-Latn-ME"/>
        </w:rPr>
        <w:t xml:space="preserve"> </w:t>
      </w:r>
      <w:r w:rsidRPr="00A259FB">
        <w:rPr>
          <w:color w:val="000000"/>
          <w:szCs w:val="22"/>
          <w:lang w:val="sr-Latn-ME"/>
        </w:rPr>
        <w:t>Prim</w:t>
      </w:r>
      <w:r w:rsidR="00723F9E" w:rsidRPr="00A259FB">
        <w:rPr>
          <w:color w:val="000000"/>
          <w:szCs w:val="22"/>
          <w:lang w:val="sr-Latn-ME"/>
        </w:rPr>
        <w:t>j</w:t>
      </w:r>
      <w:r w:rsidRPr="00A259FB">
        <w:rPr>
          <w:color w:val="000000"/>
          <w:szCs w:val="22"/>
          <w:lang w:val="sr-Latn-ME"/>
        </w:rPr>
        <w:t>ena atenolola kod trudnica u l</w:t>
      </w:r>
      <w:r w:rsidR="00723F9E" w:rsidRPr="00A259FB">
        <w:rPr>
          <w:color w:val="000000"/>
          <w:szCs w:val="22"/>
          <w:lang w:val="sr-Latn-ME"/>
        </w:rPr>
        <w:t>ij</w:t>
      </w:r>
      <w:r w:rsidRPr="00A259FB">
        <w:rPr>
          <w:color w:val="000000"/>
          <w:szCs w:val="22"/>
          <w:lang w:val="sr-Latn-ME"/>
        </w:rPr>
        <w:t>e</w:t>
      </w:r>
      <w:r w:rsidRPr="00A259FB">
        <w:rPr>
          <w:rFonts w:eastAsia="TimesNewRoman"/>
          <w:color w:val="000000"/>
          <w:szCs w:val="22"/>
          <w:lang w:val="sr-Latn-ME"/>
        </w:rPr>
        <w:t>č</w:t>
      </w:r>
      <w:r w:rsidRPr="00A259FB">
        <w:rPr>
          <w:color w:val="000000"/>
          <w:szCs w:val="22"/>
          <w:lang w:val="sr-Latn-ME"/>
        </w:rPr>
        <w:t>enju blage do um</w:t>
      </w:r>
      <w:r w:rsidR="00723F9E" w:rsidRPr="00A259FB">
        <w:rPr>
          <w:color w:val="000000"/>
          <w:szCs w:val="22"/>
          <w:lang w:val="sr-Latn-ME"/>
        </w:rPr>
        <w:t>j</w:t>
      </w:r>
      <w:r w:rsidRPr="00A259FB">
        <w:rPr>
          <w:color w:val="000000"/>
          <w:szCs w:val="22"/>
          <w:lang w:val="sr-Latn-ME"/>
        </w:rPr>
        <w:t>erene hipertenzije je bila udružena sa pojavom usporenog intrauterinog rasta.</w:t>
      </w:r>
    </w:p>
    <w:p w14:paraId="23CD76BA" w14:textId="77777777" w:rsidR="00FD06C2" w:rsidRPr="00A259FB" w:rsidRDefault="00FD06C2" w:rsidP="00767CD8">
      <w:pPr>
        <w:pStyle w:val="Header"/>
        <w:tabs>
          <w:tab w:val="clear" w:pos="4536"/>
          <w:tab w:val="clear" w:pos="9072"/>
          <w:tab w:val="left" w:pos="284"/>
        </w:tabs>
        <w:rPr>
          <w:color w:val="000000"/>
          <w:szCs w:val="22"/>
          <w:lang w:val="sr-Latn-ME"/>
        </w:rPr>
      </w:pPr>
    </w:p>
    <w:p w14:paraId="2A9DC028" w14:textId="425E05CC" w:rsidR="00E90FE8" w:rsidRPr="00A259FB" w:rsidRDefault="00E90FE8" w:rsidP="00767CD8">
      <w:pPr>
        <w:rPr>
          <w:color w:val="000000"/>
          <w:szCs w:val="22"/>
          <w:lang w:val="sr-Latn-ME"/>
        </w:rPr>
      </w:pPr>
      <w:r w:rsidRPr="00A259FB">
        <w:rPr>
          <w:color w:val="000000"/>
          <w:szCs w:val="22"/>
          <w:lang w:val="sr-Latn-ME"/>
        </w:rPr>
        <w:t>Prim</w:t>
      </w:r>
      <w:r w:rsidR="00723F9E" w:rsidRPr="00A259FB">
        <w:rPr>
          <w:color w:val="000000"/>
          <w:szCs w:val="22"/>
          <w:lang w:val="sr-Latn-ME"/>
        </w:rPr>
        <w:t>j</w:t>
      </w:r>
      <w:r w:rsidRPr="00A259FB">
        <w:rPr>
          <w:color w:val="000000"/>
          <w:szCs w:val="22"/>
          <w:lang w:val="sr-Latn-ME"/>
        </w:rPr>
        <w:t xml:space="preserve">ena atenolola kod trudnica ili žena </w:t>
      </w:r>
      <w:r w:rsidR="00047F95" w:rsidRPr="00A259FB">
        <w:rPr>
          <w:color w:val="000000"/>
          <w:szCs w:val="22"/>
          <w:lang w:val="sr-Latn-ME"/>
        </w:rPr>
        <w:t>u reproduktivnom periodu</w:t>
      </w:r>
      <w:r w:rsidRPr="00A259FB">
        <w:rPr>
          <w:color w:val="000000"/>
          <w:szCs w:val="22"/>
          <w:lang w:val="sr-Latn-ME"/>
        </w:rPr>
        <w:t xml:space="preserve"> zaht</w:t>
      </w:r>
      <w:r w:rsidR="00723F9E" w:rsidRPr="00A259FB">
        <w:rPr>
          <w:color w:val="000000"/>
          <w:szCs w:val="22"/>
          <w:lang w:val="sr-Latn-ME"/>
        </w:rPr>
        <w:t>ij</w:t>
      </w:r>
      <w:r w:rsidRPr="00A259FB">
        <w:rPr>
          <w:color w:val="000000"/>
          <w:szCs w:val="22"/>
          <w:lang w:val="sr-Latn-ME"/>
        </w:rPr>
        <w:t>eva proc</w:t>
      </w:r>
      <w:r w:rsidR="00723F9E" w:rsidRPr="00A259FB">
        <w:rPr>
          <w:color w:val="000000"/>
          <w:szCs w:val="22"/>
          <w:lang w:val="sr-Latn-ME"/>
        </w:rPr>
        <w:t>j</w:t>
      </w:r>
      <w:r w:rsidRPr="00A259FB">
        <w:rPr>
          <w:color w:val="000000"/>
          <w:szCs w:val="22"/>
          <w:lang w:val="sr-Latn-ME"/>
        </w:rPr>
        <w:t xml:space="preserve">enu očekivane koristi terapije naspram mogućih rizika, naročito </w:t>
      </w:r>
      <w:r w:rsidR="0069132C" w:rsidRPr="00A259FB">
        <w:rPr>
          <w:color w:val="000000"/>
          <w:szCs w:val="22"/>
          <w:lang w:val="sr-Latn-ME"/>
        </w:rPr>
        <w:t>tokom</w:t>
      </w:r>
      <w:r w:rsidRPr="00A259FB">
        <w:rPr>
          <w:color w:val="000000"/>
          <w:szCs w:val="22"/>
          <w:lang w:val="sr-Latn-ME"/>
        </w:rPr>
        <w:t xml:space="preserve"> prvo</w:t>
      </w:r>
      <w:r w:rsidR="0069132C" w:rsidRPr="00A259FB">
        <w:rPr>
          <w:color w:val="000000"/>
          <w:szCs w:val="22"/>
          <w:lang w:val="sr-Latn-ME"/>
        </w:rPr>
        <w:t>g</w:t>
      </w:r>
      <w:r w:rsidRPr="00A259FB">
        <w:rPr>
          <w:color w:val="000000"/>
          <w:szCs w:val="22"/>
          <w:lang w:val="sr-Latn-ME"/>
        </w:rPr>
        <w:t xml:space="preserve"> i drugo</w:t>
      </w:r>
      <w:r w:rsidR="0069132C" w:rsidRPr="00A259FB">
        <w:rPr>
          <w:color w:val="000000"/>
          <w:szCs w:val="22"/>
          <w:lang w:val="sr-Latn-ME"/>
        </w:rPr>
        <w:t>g</w:t>
      </w:r>
      <w:r w:rsidRPr="00A259FB">
        <w:rPr>
          <w:color w:val="000000"/>
          <w:szCs w:val="22"/>
          <w:lang w:val="sr-Latn-ME"/>
        </w:rPr>
        <w:t xml:space="preserve"> trimestr</w:t>
      </w:r>
      <w:r w:rsidR="0069132C" w:rsidRPr="00A259FB">
        <w:rPr>
          <w:color w:val="000000"/>
          <w:szCs w:val="22"/>
          <w:lang w:val="sr-Latn-ME"/>
        </w:rPr>
        <w:t>a</w:t>
      </w:r>
      <w:r w:rsidRPr="00A259FB">
        <w:rPr>
          <w:color w:val="000000"/>
          <w:szCs w:val="22"/>
          <w:lang w:val="sr-Latn-ME"/>
        </w:rPr>
        <w:t xml:space="preserve">, </w:t>
      </w:r>
      <w:r w:rsidR="0069132C" w:rsidRPr="00A259FB">
        <w:rPr>
          <w:color w:val="000000"/>
          <w:szCs w:val="22"/>
          <w:lang w:val="sr-Latn-ME"/>
        </w:rPr>
        <w:t xml:space="preserve">s </w:t>
      </w:r>
      <w:r w:rsidRPr="00A259FB">
        <w:rPr>
          <w:color w:val="000000"/>
          <w:szCs w:val="22"/>
          <w:lang w:val="sr-Latn-ME"/>
        </w:rPr>
        <w:t xml:space="preserve">obzirom </w:t>
      </w:r>
      <w:r w:rsidR="0069132C" w:rsidRPr="00A259FB">
        <w:rPr>
          <w:color w:val="000000"/>
          <w:szCs w:val="22"/>
          <w:lang w:val="sr-Latn-ME"/>
        </w:rPr>
        <w:t xml:space="preserve">na to </w:t>
      </w:r>
      <w:r w:rsidRPr="00A259FB">
        <w:rPr>
          <w:color w:val="000000"/>
          <w:szCs w:val="22"/>
          <w:lang w:val="sr-Latn-ME"/>
        </w:rPr>
        <w:t xml:space="preserve">da se </w:t>
      </w:r>
      <w:r w:rsidR="0069132C" w:rsidRPr="00A259FB">
        <w:rPr>
          <w:color w:val="000000"/>
          <w:szCs w:val="22"/>
          <w:lang w:val="sr-Latn-ME"/>
        </w:rPr>
        <w:t>beta</w:t>
      </w:r>
      <w:r w:rsidR="00116CCF" w:rsidRPr="00A259FB">
        <w:rPr>
          <w:color w:val="000000"/>
          <w:szCs w:val="22"/>
          <w:lang w:val="sr-Latn-ME"/>
        </w:rPr>
        <w:t>-</w:t>
      </w:r>
      <w:r w:rsidRPr="00A259FB">
        <w:rPr>
          <w:color w:val="000000"/>
          <w:szCs w:val="22"/>
          <w:lang w:val="sr-Latn-ME"/>
        </w:rPr>
        <w:t>blokatori generalno dovode u vez</w:t>
      </w:r>
      <w:r w:rsidR="00286AAC" w:rsidRPr="00A259FB">
        <w:rPr>
          <w:color w:val="000000"/>
          <w:szCs w:val="22"/>
          <w:lang w:val="sr-Latn-ME"/>
        </w:rPr>
        <w:t>u</w:t>
      </w:r>
      <w:r w:rsidRPr="00A259FB">
        <w:rPr>
          <w:color w:val="000000"/>
          <w:szCs w:val="22"/>
          <w:lang w:val="sr-Latn-ME"/>
        </w:rPr>
        <w:t xml:space="preserve"> sa smanjenjem placentalne perfuzije, što može dovesti do </w:t>
      </w:r>
      <w:r w:rsidR="00286AAC" w:rsidRPr="00A259FB">
        <w:rPr>
          <w:color w:val="000000"/>
          <w:szCs w:val="22"/>
          <w:lang w:val="sr-Latn-ME"/>
        </w:rPr>
        <w:t xml:space="preserve">usporenog rasta, </w:t>
      </w:r>
      <w:r w:rsidRPr="00A259FB">
        <w:rPr>
          <w:color w:val="000000"/>
          <w:szCs w:val="22"/>
          <w:lang w:val="sr-Latn-ME"/>
        </w:rPr>
        <w:t>intrauterine smrti ploda</w:t>
      </w:r>
      <w:r w:rsidR="00556E0B" w:rsidRPr="00A259FB">
        <w:rPr>
          <w:color w:val="000000"/>
          <w:szCs w:val="22"/>
          <w:lang w:val="sr-Latn-ME"/>
        </w:rPr>
        <w:t>, pobačaja</w:t>
      </w:r>
      <w:r w:rsidRPr="00A259FB">
        <w:rPr>
          <w:color w:val="000000"/>
          <w:szCs w:val="22"/>
          <w:lang w:val="sr-Latn-ME"/>
        </w:rPr>
        <w:t xml:space="preserve"> ili pr</w:t>
      </w:r>
      <w:r w:rsidR="00723F9E" w:rsidRPr="00A259FB">
        <w:rPr>
          <w:color w:val="000000"/>
          <w:szCs w:val="22"/>
          <w:lang w:val="sr-Latn-ME"/>
        </w:rPr>
        <w:t>ij</w:t>
      </w:r>
      <w:r w:rsidRPr="00A259FB">
        <w:rPr>
          <w:color w:val="000000"/>
          <w:szCs w:val="22"/>
          <w:lang w:val="sr-Latn-ME"/>
        </w:rPr>
        <w:t>evremenog porođaja.</w:t>
      </w:r>
    </w:p>
    <w:p w14:paraId="56534927" w14:textId="56766413" w:rsidR="0013144A" w:rsidRPr="00A259FB" w:rsidRDefault="0013144A" w:rsidP="00767CD8">
      <w:pPr>
        <w:rPr>
          <w:b/>
          <w:bCs/>
          <w:color w:val="000000"/>
          <w:szCs w:val="22"/>
          <w:lang w:val="sr-Latn-ME"/>
        </w:rPr>
      </w:pPr>
      <w:r w:rsidRPr="00A259FB">
        <w:rPr>
          <w:b/>
          <w:bCs/>
          <w:color w:val="000000"/>
          <w:szCs w:val="22"/>
          <w:lang w:val="sr-Latn-ME"/>
        </w:rPr>
        <w:lastRenderedPageBreak/>
        <w:t>Dojenje</w:t>
      </w:r>
    </w:p>
    <w:p w14:paraId="2A9DC029" w14:textId="04F9C306" w:rsidR="00E90FE8" w:rsidRPr="00A259FB" w:rsidRDefault="00E90FE8" w:rsidP="00767CD8">
      <w:pPr>
        <w:rPr>
          <w:color w:val="000000"/>
          <w:szCs w:val="22"/>
          <w:lang w:val="sr-Latn-ME"/>
        </w:rPr>
      </w:pPr>
      <w:r w:rsidRPr="00A259FB">
        <w:rPr>
          <w:color w:val="000000"/>
          <w:szCs w:val="22"/>
          <w:lang w:val="sr-Latn-ME"/>
        </w:rPr>
        <w:t>Atenolol se u značajnoj m</w:t>
      </w:r>
      <w:r w:rsidR="00723F9E" w:rsidRPr="00A259FB">
        <w:rPr>
          <w:color w:val="000000"/>
          <w:szCs w:val="22"/>
          <w:lang w:val="sr-Latn-ME"/>
        </w:rPr>
        <w:t>j</w:t>
      </w:r>
      <w:r w:rsidRPr="00A259FB">
        <w:rPr>
          <w:color w:val="000000"/>
          <w:szCs w:val="22"/>
          <w:lang w:val="sr-Latn-ME"/>
        </w:rPr>
        <w:t>eri izlučuje u majčino ml</w:t>
      </w:r>
      <w:r w:rsidR="00723F9E" w:rsidRPr="00A259FB">
        <w:rPr>
          <w:color w:val="000000"/>
          <w:szCs w:val="22"/>
          <w:lang w:val="sr-Latn-ME"/>
        </w:rPr>
        <w:t>ij</w:t>
      </w:r>
      <w:r w:rsidRPr="00A259FB">
        <w:rPr>
          <w:color w:val="000000"/>
          <w:szCs w:val="22"/>
          <w:lang w:val="sr-Latn-ME"/>
        </w:rPr>
        <w:t>eko.</w:t>
      </w:r>
    </w:p>
    <w:p w14:paraId="2A9DC02A" w14:textId="309EE180" w:rsidR="00E90FE8" w:rsidRPr="00A259FB" w:rsidRDefault="00E90FE8" w:rsidP="00767CD8">
      <w:pPr>
        <w:rPr>
          <w:color w:val="000000"/>
          <w:szCs w:val="22"/>
          <w:lang w:val="sr-Latn-ME"/>
        </w:rPr>
      </w:pPr>
      <w:r w:rsidRPr="00A259FB">
        <w:rPr>
          <w:color w:val="000000"/>
          <w:szCs w:val="22"/>
          <w:lang w:val="sr-Latn-ME"/>
        </w:rPr>
        <w:t>Kod odojčadi majki koje uzimaju atenolol tokom porođaja ili dojenja, povećan je rizik od nastanka bradikardije i hipoglikemije.</w:t>
      </w:r>
    </w:p>
    <w:p w14:paraId="5A3DBB13" w14:textId="77777777" w:rsidR="00FD06C2" w:rsidRPr="00A259FB" w:rsidRDefault="00FD06C2" w:rsidP="00767CD8">
      <w:pPr>
        <w:rPr>
          <w:szCs w:val="22"/>
          <w:lang w:val="sr-Latn-ME"/>
        </w:rPr>
      </w:pPr>
    </w:p>
    <w:p w14:paraId="2A9DC02C" w14:textId="2EE6094E" w:rsidR="00E90FE8" w:rsidRPr="00A259FB" w:rsidRDefault="00E90FE8" w:rsidP="00767CD8">
      <w:pPr>
        <w:rPr>
          <w:b/>
          <w:bCs/>
          <w:spacing w:val="-8"/>
          <w:szCs w:val="22"/>
          <w:lang w:val="sr-Latn-ME"/>
        </w:rPr>
      </w:pPr>
      <w:r w:rsidRPr="00A259FB">
        <w:rPr>
          <w:b/>
          <w:bCs/>
          <w:spacing w:val="-8"/>
          <w:szCs w:val="22"/>
          <w:lang w:val="sr-Latn-ME"/>
        </w:rPr>
        <w:t>4.7. Uticaj l</w:t>
      </w:r>
      <w:r w:rsidR="00723F9E" w:rsidRPr="00A259FB">
        <w:rPr>
          <w:b/>
          <w:bCs/>
          <w:spacing w:val="-8"/>
          <w:szCs w:val="22"/>
          <w:lang w:val="sr-Latn-ME"/>
        </w:rPr>
        <w:t>ij</w:t>
      </w:r>
      <w:r w:rsidRPr="00A259FB">
        <w:rPr>
          <w:b/>
          <w:bCs/>
          <w:spacing w:val="-8"/>
          <w:szCs w:val="22"/>
          <w:lang w:val="sr-Latn-ME"/>
        </w:rPr>
        <w:t>eka na sposobnost upravljanja vozilima i rukovanja mašinama</w:t>
      </w:r>
    </w:p>
    <w:p w14:paraId="49FFB28D" w14:textId="77777777" w:rsidR="00FD06C2" w:rsidRPr="00A259FB" w:rsidRDefault="00FD06C2" w:rsidP="00767CD8">
      <w:pPr>
        <w:rPr>
          <w:b/>
          <w:bCs/>
          <w:spacing w:val="-8"/>
          <w:szCs w:val="22"/>
          <w:lang w:val="sr-Latn-ME"/>
        </w:rPr>
      </w:pPr>
    </w:p>
    <w:p w14:paraId="2A9DC02E" w14:textId="19A004F5" w:rsidR="00E90FE8" w:rsidRPr="00A259FB" w:rsidRDefault="00286AAC" w:rsidP="00767CD8">
      <w:pPr>
        <w:rPr>
          <w:szCs w:val="22"/>
          <w:lang w:val="sr-Latn-ME"/>
        </w:rPr>
      </w:pPr>
      <w:r w:rsidRPr="00A259FB">
        <w:rPr>
          <w:szCs w:val="22"/>
          <w:lang w:val="sr-Latn-ME"/>
        </w:rPr>
        <w:t xml:space="preserve">Atenolol </w:t>
      </w:r>
      <w:r w:rsidR="00AB513D" w:rsidRPr="00A259FB">
        <w:rPr>
          <w:szCs w:val="22"/>
          <w:lang w:val="sr-Latn-ME"/>
        </w:rPr>
        <w:t>nema ili ima zanemarljiv uticaj</w:t>
      </w:r>
      <w:r w:rsidR="00AB513D" w:rsidRPr="00A259FB" w:rsidDel="00AB513D">
        <w:rPr>
          <w:szCs w:val="22"/>
          <w:lang w:val="sr-Latn-ME"/>
        </w:rPr>
        <w:t xml:space="preserve"> </w:t>
      </w:r>
      <w:r w:rsidR="00E90FE8" w:rsidRPr="00A259FB">
        <w:rPr>
          <w:szCs w:val="22"/>
          <w:lang w:val="sr-Latn-ME"/>
        </w:rPr>
        <w:t>na sposobnost upravljanja vozil</w:t>
      </w:r>
      <w:r w:rsidR="00AB513D" w:rsidRPr="00A259FB">
        <w:rPr>
          <w:szCs w:val="22"/>
          <w:lang w:val="sr-Latn-ME"/>
        </w:rPr>
        <w:t>ima</w:t>
      </w:r>
      <w:r w:rsidR="00E90FE8" w:rsidRPr="00A259FB">
        <w:rPr>
          <w:szCs w:val="22"/>
          <w:lang w:val="sr-Latn-ME"/>
        </w:rPr>
        <w:t xml:space="preserve"> i rukovanja mašinama</w:t>
      </w:r>
      <w:r w:rsidRPr="00A259FB">
        <w:rPr>
          <w:szCs w:val="22"/>
          <w:lang w:val="sr-Latn-ME"/>
        </w:rPr>
        <w:t>.</w:t>
      </w:r>
      <w:r w:rsidR="00E90FE8" w:rsidRPr="00A259FB">
        <w:rPr>
          <w:szCs w:val="22"/>
          <w:lang w:val="sr-Latn-ME"/>
        </w:rPr>
        <w:t xml:space="preserve"> Ipak, treba uzeti u obzir da se povremeno mogu javiti </w:t>
      </w:r>
      <w:r w:rsidR="00AB513D" w:rsidRPr="00A259FB">
        <w:rPr>
          <w:szCs w:val="22"/>
          <w:lang w:val="sr-Latn-ME"/>
        </w:rPr>
        <w:t>vrtoglavica</w:t>
      </w:r>
      <w:r w:rsidR="00E90FE8" w:rsidRPr="00A259FB">
        <w:rPr>
          <w:szCs w:val="22"/>
          <w:lang w:val="sr-Latn-ME"/>
        </w:rPr>
        <w:t xml:space="preserve"> i </w:t>
      </w:r>
      <w:r w:rsidR="000C49D0" w:rsidRPr="00A259FB">
        <w:rPr>
          <w:szCs w:val="22"/>
          <w:lang w:val="sr-Latn-ME"/>
        </w:rPr>
        <w:t>zamor</w:t>
      </w:r>
      <w:r w:rsidR="00E90FE8" w:rsidRPr="00A259FB">
        <w:rPr>
          <w:szCs w:val="22"/>
          <w:lang w:val="sr-Latn-ME"/>
        </w:rPr>
        <w:t>.</w:t>
      </w:r>
    </w:p>
    <w:p w14:paraId="2AEAF9C1" w14:textId="77777777" w:rsidR="00FD06C2" w:rsidRPr="00A259FB" w:rsidRDefault="00FD06C2" w:rsidP="00767CD8">
      <w:pPr>
        <w:rPr>
          <w:szCs w:val="22"/>
          <w:lang w:val="sr-Latn-ME"/>
        </w:rPr>
      </w:pPr>
    </w:p>
    <w:p w14:paraId="2A9DC030" w14:textId="0AA9938E" w:rsidR="00E90FE8" w:rsidRPr="00A259FB" w:rsidRDefault="00E90FE8" w:rsidP="00767CD8">
      <w:pPr>
        <w:rPr>
          <w:b/>
          <w:bCs/>
          <w:szCs w:val="22"/>
          <w:lang w:val="sr-Latn-ME"/>
        </w:rPr>
      </w:pPr>
      <w:r w:rsidRPr="00A259FB">
        <w:rPr>
          <w:b/>
          <w:bCs/>
          <w:szCs w:val="22"/>
          <w:lang w:val="sr-Latn-ME"/>
        </w:rPr>
        <w:t>4.8. Neželjena dejstva</w:t>
      </w:r>
    </w:p>
    <w:p w14:paraId="268E5EB1" w14:textId="77777777" w:rsidR="00FD06C2" w:rsidRPr="00A259FB" w:rsidRDefault="00FD06C2" w:rsidP="00767CD8">
      <w:pPr>
        <w:rPr>
          <w:b/>
          <w:bCs/>
          <w:szCs w:val="22"/>
          <w:lang w:val="sr-Latn-ME"/>
        </w:rPr>
      </w:pPr>
    </w:p>
    <w:p w14:paraId="2A9DC031" w14:textId="7E230878" w:rsidR="00E90FE8" w:rsidRPr="00A259FB" w:rsidRDefault="00E90FE8" w:rsidP="00767CD8">
      <w:pPr>
        <w:rPr>
          <w:color w:val="000000"/>
          <w:szCs w:val="22"/>
          <w:lang w:val="sr-Latn-ME"/>
        </w:rPr>
      </w:pPr>
      <w:r w:rsidRPr="00A259FB">
        <w:rPr>
          <w:color w:val="000000"/>
          <w:szCs w:val="22"/>
          <w:lang w:val="sr-Latn-ME"/>
        </w:rPr>
        <w:t>Atenolol je l</w:t>
      </w:r>
      <w:r w:rsidR="00723F9E" w:rsidRPr="00A259FB">
        <w:rPr>
          <w:color w:val="000000"/>
          <w:szCs w:val="22"/>
          <w:lang w:val="sr-Latn-ME"/>
        </w:rPr>
        <w:t>ij</w:t>
      </w:r>
      <w:r w:rsidRPr="00A259FB">
        <w:rPr>
          <w:color w:val="000000"/>
          <w:szCs w:val="22"/>
          <w:lang w:val="sr-Latn-ME"/>
        </w:rPr>
        <w:t>ek koji se dobro podnosi. Prijavljeni neželjeni događaji u kliničkim studijama bili su uglavnom posl</w:t>
      </w:r>
      <w:r w:rsidR="00723F9E" w:rsidRPr="00A259FB">
        <w:rPr>
          <w:color w:val="000000"/>
          <w:szCs w:val="22"/>
          <w:lang w:val="sr-Latn-ME"/>
        </w:rPr>
        <w:t>j</w:t>
      </w:r>
      <w:r w:rsidRPr="00A259FB">
        <w:rPr>
          <w:color w:val="000000"/>
          <w:szCs w:val="22"/>
          <w:lang w:val="sr-Latn-ME"/>
        </w:rPr>
        <w:t>edica njegovog farmakološkog dejstva.</w:t>
      </w:r>
    </w:p>
    <w:p w14:paraId="2108DC9B" w14:textId="77777777" w:rsidR="00FD06C2" w:rsidRPr="00A259FB" w:rsidRDefault="00FD06C2" w:rsidP="00767CD8">
      <w:pPr>
        <w:rPr>
          <w:color w:val="000000"/>
          <w:szCs w:val="22"/>
          <w:lang w:val="sr-Latn-ME"/>
        </w:rPr>
      </w:pPr>
    </w:p>
    <w:p w14:paraId="2A9DC033" w14:textId="55EC9CB7" w:rsidR="00E90FE8" w:rsidRPr="00A259FB" w:rsidRDefault="00BC4A49" w:rsidP="00767CD8">
      <w:pPr>
        <w:pStyle w:val="Header"/>
        <w:tabs>
          <w:tab w:val="clear" w:pos="4536"/>
          <w:tab w:val="clear" w:pos="9072"/>
          <w:tab w:val="left" w:pos="540"/>
        </w:tabs>
        <w:rPr>
          <w:color w:val="000000"/>
          <w:szCs w:val="22"/>
          <w:lang w:val="sr-Latn-ME"/>
        </w:rPr>
      </w:pPr>
      <w:r w:rsidRPr="00A259FB">
        <w:rPr>
          <w:color w:val="000000"/>
          <w:szCs w:val="22"/>
          <w:lang w:val="sr-Latn-ME"/>
        </w:rPr>
        <w:t>Prijavljena</w:t>
      </w:r>
      <w:r w:rsidR="00E90FE8" w:rsidRPr="00A259FB">
        <w:rPr>
          <w:color w:val="000000"/>
          <w:szCs w:val="22"/>
          <w:lang w:val="sr-Latn-ME"/>
        </w:rPr>
        <w:t xml:space="preserve"> su sl</w:t>
      </w:r>
      <w:r w:rsidR="00723F9E" w:rsidRPr="00A259FB">
        <w:rPr>
          <w:color w:val="000000"/>
          <w:szCs w:val="22"/>
          <w:lang w:val="sr-Latn-ME"/>
        </w:rPr>
        <w:t>j</w:t>
      </w:r>
      <w:r w:rsidR="00E90FE8" w:rsidRPr="00A259FB">
        <w:rPr>
          <w:color w:val="000000"/>
          <w:szCs w:val="22"/>
          <w:lang w:val="sr-Latn-ME"/>
        </w:rPr>
        <w:t>edeća neželjena dejstva tokom prim</w:t>
      </w:r>
      <w:r w:rsidR="00723F9E" w:rsidRPr="00A259FB">
        <w:rPr>
          <w:color w:val="000000"/>
          <w:szCs w:val="22"/>
          <w:lang w:val="sr-Latn-ME"/>
        </w:rPr>
        <w:t>j</w:t>
      </w:r>
      <w:r w:rsidR="00E90FE8" w:rsidRPr="00A259FB">
        <w:rPr>
          <w:color w:val="000000"/>
          <w:szCs w:val="22"/>
          <w:lang w:val="sr-Latn-ME"/>
        </w:rPr>
        <w:t>ene atenolola, klasifikovana po sistemima</w:t>
      </w:r>
      <w:r w:rsidR="00AB513D" w:rsidRPr="00A259FB">
        <w:rPr>
          <w:color w:val="000000"/>
          <w:szCs w:val="22"/>
          <w:lang w:val="sr-Latn-ME"/>
        </w:rPr>
        <w:t xml:space="preserve"> organa</w:t>
      </w:r>
      <w:r w:rsidR="00E90FE8" w:rsidRPr="00A259FB">
        <w:rPr>
          <w:color w:val="000000"/>
          <w:szCs w:val="22"/>
          <w:lang w:val="sr-Latn-ME"/>
        </w:rPr>
        <w:t>, sa sl</w:t>
      </w:r>
      <w:r w:rsidR="00723F9E" w:rsidRPr="00A259FB">
        <w:rPr>
          <w:color w:val="000000"/>
          <w:szCs w:val="22"/>
          <w:lang w:val="sr-Latn-ME"/>
        </w:rPr>
        <w:t>j</w:t>
      </w:r>
      <w:r w:rsidR="00E90FE8" w:rsidRPr="00A259FB">
        <w:rPr>
          <w:color w:val="000000"/>
          <w:szCs w:val="22"/>
          <w:lang w:val="sr-Latn-ME"/>
        </w:rPr>
        <w:t>edećom frekvencom javljanja: veoma često (≥ 1/10); često (≥ 1/100 do &lt; 1/10); povremeno (≥ 1/1000 do &lt; 1/100); r</w:t>
      </w:r>
      <w:r w:rsidR="00723F9E" w:rsidRPr="00A259FB">
        <w:rPr>
          <w:color w:val="000000"/>
          <w:szCs w:val="22"/>
          <w:lang w:val="sr-Latn-ME"/>
        </w:rPr>
        <w:t>ij</w:t>
      </w:r>
      <w:r w:rsidR="00E90FE8" w:rsidRPr="00A259FB">
        <w:rPr>
          <w:color w:val="000000"/>
          <w:szCs w:val="22"/>
          <w:lang w:val="sr-Latn-ME"/>
        </w:rPr>
        <w:t>etko (≥ 1/10000 do &lt; 1/1000), veoma r</w:t>
      </w:r>
      <w:r w:rsidR="00723F9E" w:rsidRPr="00A259FB">
        <w:rPr>
          <w:color w:val="000000"/>
          <w:szCs w:val="22"/>
          <w:lang w:val="sr-Latn-ME"/>
        </w:rPr>
        <w:t>ij</w:t>
      </w:r>
      <w:r w:rsidR="00E90FE8" w:rsidRPr="00A259FB">
        <w:rPr>
          <w:color w:val="000000"/>
          <w:szCs w:val="22"/>
          <w:lang w:val="sr-Latn-ME"/>
        </w:rPr>
        <w:t>etko (&lt; 1/10000) i nepoznat</w:t>
      </w:r>
      <w:r w:rsidR="00FC399D" w:rsidRPr="00A259FB">
        <w:rPr>
          <w:color w:val="000000"/>
          <w:szCs w:val="22"/>
          <w:lang w:val="sr-Latn-ME"/>
        </w:rPr>
        <w:t>a učestalost</w:t>
      </w:r>
      <w:r w:rsidR="00E90FE8" w:rsidRPr="00A259FB">
        <w:rPr>
          <w:color w:val="000000"/>
          <w:szCs w:val="22"/>
          <w:lang w:val="sr-Latn-ME"/>
        </w:rPr>
        <w:t xml:space="preserve"> (ne može se proc</w:t>
      </w:r>
      <w:r w:rsidR="00723F9E" w:rsidRPr="00A259FB">
        <w:rPr>
          <w:color w:val="000000"/>
          <w:szCs w:val="22"/>
          <w:lang w:val="sr-Latn-ME"/>
        </w:rPr>
        <w:t>ij</w:t>
      </w:r>
      <w:r w:rsidR="00E90FE8" w:rsidRPr="00A259FB">
        <w:rPr>
          <w:color w:val="000000"/>
          <w:szCs w:val="22"/>
          <w:lang w:val="sr-Latn-ME"/>
        </w:rPr>
        <w:t xml:space="preserve">eniti na osnovu </w:t>
      </w:r>
      <w:r w:rsidR="00AB513D" w:rsidRPr="00A259FB">
        <w:rPr>
          <w:color w:val="000000"/>
          <w:szCs w:val="22"/>
          <w:lang w:val="sr-Latn-ME"/>
        </w:rPr>
        <w:t>dostupnih</w:t>
      </w:r>
      <w:r w:rsidR="00E90FE8" w:rsidRPr="00A259FB">
        <w:rPr>
          <w:color w:val="000000"/>
          <w:szCs w:val="22"/>
          <w:lang w:val="sr-Latn-ME"/>
        </w:rPr>
        <w:t xml:space="preserve"> podataka).</w:t>
      </w:r>
    </w:p>
    <w:p w14:paraId="7144F52A" w14:textId="77777777" w:rsidR="00FD06C2" w:rsidRPr="00A259FB" w:rsidRDefault="00FD06C2" w:rsidP="00767CD8">
      <w:pPr>
        <w:pStyle w:val="Header"/>
        <w:tabs>
          <w:tab w:val="clear" w:pos="4536"/>
          <w:tab w:val="clear" w:pos="9072"/>
          <w:tab w:val="left" w:pos="540"/>
        </w:tabs>
        <w:rPr>
          <w:szCs w:val="22"/>
          <w:lang w:val="sr-Latn-ME"/>
        </w:rPr>
      </w:pPr>
    </w:p>
    <w:tbl>
      <w:tblPr>
        <w:tblW w:w="9720" w:type="dxa"/>
        <w:tblCellSpacing w:w="0"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000" w:firstRow="0" w:lastRow="0" w:firstColumn="0" w:lastColumn="0" w:noHBand="0" w:noVBand="0"/>
      </w:tblPr>
      <w:tblGrid>
        <w:gridCol w:w="3484"/>
        <w:gridCol w:w="2850"/>
        <w:gridCol w:w="3386"/>
      </w:tblGrid>
      <w:tr w:rsidR="00E90FE8" w:rsidRPr="00A259FB" w14:paraId="2A9DC037" w14:textId="77777777" w:rsidTr="00D35F0F">
        <w:trPr>
          <w:tblCellSpacing w:w="0" w:type="dxa"/>
        </w:trPr>
        <w:tc>
          <w:tcPr>
            <w:tcW w:w="1792" w:type="pct"/>
            <w:vAlign w:val="center"/>
          </w:tcPr>
          <w:p w14:paraId="2A9DC034" w14:textId="77777777" w:rsidR="00E90FE8" w:rsidRPr="00A259FB" w:rsidRDefault="00E90FE8" w:rsidP="00767CD8">
            <w:pPr>
              <w:tabs>
                <w:tab w:val="clear" w:pos="284"/>
              </w:tabs>
              <w:jc w:val="left"/>
              <w:rPr>
                <w:szCs w:val="22"/>
                <w:lang w:val="sr-Latn-ME"/>
              </w:rPr>
            </w:pPr>
            <w:r w:rsidRPr="00A259FB">
              <w:rPr>
                <w:b/>
                <w:bCs/>
                <w:szCs w:val="22"/>
                <w:lang w:val="sr-Latn-ME"/>
              </w:rPr>
              <w:t>Klasa sistem organa</w:t>
            </w:r>
          </w:p>
        </w:tc>
        <w:tc>
          <w:tcPr>
            <w:tcW w:w="1466" w:type="pct"/>
            <w:vAlign w:val="center"/>
          </w:tcPr>
          <w:p w14:paraId="2A9DC035" w14:textId="77777777" w:rsidR="00E90FE8" w:rsidRPr="00A259FB" w:rsidRDefault="00E90FE8" w:rsidP="00767CD8">
            <w:pPr>
              <w:tabs>
                <w:tab w:val="clear" w:pos="284"/>
              </w:tabs>
              <w:jc w:val="left"/>
              <w:rPr>
                <w:szCs w:val="22"/>
                <w:lang w:val="sr-Latn-ME"/>
              </w:rPr>
            </w:pPr>
            <w:r w:rsidRPr="00A259FB">
              <w:rPr>
                <w:b/>
                <w:bCs/>
                <w:szCs w:val="22"/>
                <w:lang w:val="sr-Latn-ME"/>
              </w:rPr>
              <w:t>Učestalost</w:t>
            </w:r>
          </w:p>
        </w:tc>
        <w:tc>
          <w:tcPr>
            <w:tcW w:w="1742" w:type="pct"/>
            <w:vAlign w:val="center"/>
          </w:tcPr>
          <w:p w14:paraId="2A9DC036" w14:textId="77777777" w:rsidR="00E90FE8" w:rsidRPr="00A259FB" w:rsidRDefault="00E90FE8" w:rsidP="00767CD8">
            <w:pPr>
              <w:tabs>
                <w:tab w:val="clear" w:pos="284"/>
              </w:tabs>
              <w:jc w:val="left"/>
              <w:rPr>
                <w:szCs w:val="22"/>
                <w:lang w:val="sr-Latn-ME"/>
              </w:rPr>
            </w:pPr>
            <w:r w:rsidRPr="00A259FB">
              <w:rPr>
                <w:b/>
                <w:bCs/>
                <w:szCs w:val="22"/>
                <w:lang w:val="sr-Latn-ME"/>
              </w:rPr>
              <w:t>Neželjena dejstva</w:t>
            </w:r>
          </w:p>
        </w:tc>
      </w:tr>
      <w:tr w:rsidR="00E90FE8" w:rsidRPr="00A259FB" w14:paraId="2A9DC03B" w14:textId="77777777" w:rsidTr="00D35F0F">
        <w:trPr>
          <w:trHeight w:val="441"/>
          <w:tblCellSpacing w:w="0" w:type="dxa"/>
        </w:trPr>
        <w:tc>
          <w:tcPr>
            <w:tcW w:w="1792" w:type="pct"/>
            <w:vAlign w:val="center"/>
          </w:tcPr>
          <w:p w14:paraId="2A9DC038"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t>Poremećaji krvi i limfnog sistema</w:t>
            </w:r>
          </w:p>
        </w:tc>
        <w:tc>
          <w:tcPr>
            <w:tcW w:w="1466" w:type="pct"/>
            <w:vAlign w:val="center"/>
          </w:tcPr>
          <w:p w14:paraId="2A9DC039" w14:textId="123B4052" w:rsidR="00E90FE8" w:rsidRPr="00A259FB" w:rsidRDefault="00E90FE8" w:rsidP="00767CD8">
            <w:pPr>
              <w:tabs>
                <w:tab w:val="clear" w:pos="284"/>
              </w:tabs>
              <w:jc w:val="left"/>
              <w:rPr>
                <w:szCs w:val="22"/>
                <w:lang w:val="sr-Latn-ME"/>
              </w:rPr>
            </w:pPr>
            <w:r w:rsidRPr="00A259FB">
              <w:rPr>
                <w:szCs w:val="22"/>
                <w:lang w:val="sr-Latn-ME"/>
              </w:rPr>
              <w:t>R</w:t>
            </w:r>
            <w:r w:rsidR="00723F9E" w:rsidRPr="00A259FB">
              <w:rPr>
                <w:szCs w:val="22"/>
                <w:lang w:val="sr-Latn-ME"/>
              </w:rPr>
              <w:t>ij</w:t>
            </w:r>
            <w:r w:rsidRPr="00A259FB">
              <w:rPr>
                <w:szCs w:val="22"/>
                <w:lang w:val="sr-Latn-ME"/>
              </w:rPr>
              <w:t>etko</w:t>
            </w:r>
          </w:p>
        </w:tc>
        <w:tc>
          <w:tcPr>
            <w:tcW w:w="1742" w:type="pct"/>
            <w:vAlign w:val="center"/>
          </w:tcPr>
          <w:p w14:paraId="2A9DC03A" w14:textId="77777777" w:rsidR="00E90FE8" w:rsidRPr="00A259FB" w:rsidRDefault="00E90FE8" w:rsidP="00767CD8">
            <w:pPr>
              <w:tabs>
                <w:tab w:val="clear" w:pos="284"/>
              </w:tabs>
              <w:jc w:val="left"/>
              <w:rPr>
                <w:szCs w:val="22"/>
                <w:lang w:val="sr-Latn-ME"/>
              </w:rPr>
            </w:pPr>
            <w:r w:rsidRPr="00A259FB">
              <w:rPr>
                <w:szCs w:val="22"/>
                <w:lang w:val="sr-Latn-ME"/>
              </w:rPr>
              <w:t xml:space="preserve">Purpura, trombocitopenija  </w:t>
            </w:r>
          </w:p>
        </w:tc>
      </w:tr>
      <w:tr w:rsidR="00E90FE8" w:rsidRPr="00A259FB" w14:paraId="2A9DC03F" w14:textId="77777777" w:rsidTr="00D35F0F">
        <w:trPr>
          <w:trHeight w:val="603"/>
          <w:tblCellSpacing w:w="0" w:type="dxa"/>
        </w:trPr>
        <w:tc>
          <w:tcPr>
            <w:tcW w:w="1792" w:type="pct"/>
            <w:vMerge w:val="restart"/>
            <w:vAlign w:val="center"/>
          </w:tcPr>
          <w:p w14:paraId="2A9DC03C"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t>Psihijatrijski poremećaji</w:t>
            </w:r>
          </w:p>
        </w:tc>
        <w:tc>
          <w:tcPr>
            <w:tcW w:w="1466" w:type="pct"/>
            <w:vAlign w:val="center"/>
          </w:tcPr>
          <w:p w14:paraId="2A9DC03D" w14:textId="77777777" w:rsidR="00E90FE8" w:rsidRPr="00A259FB" w:rsidRDefault="00E90FE8" w:rsidP="00767CD8">
            <w:pPr>
              <w:tabs>
                <w:tab w:val="clear" w:pos="284"/>
              </w:tabs>
              <w:jc w:val="left"/>
              <w:rPr>
                <w:szCs w:val="22"/>
                <w:lang w:val="sr-Latn-ME"/>
              </w:rPr>
            </w:pPr>
            <w:r w:rsidRPr="00A259FB">
              <w:rPr>
                <w:szCs w:val="22"/>
                <w:lang w:val="sr-Latn-ME"/>
              </w:rPr>
              <w:t>Povremeno</w:t>
            </w:r>
          </w:p>
        </w:tc>
        <w:tc>
          <w:tcPr>
            <w:tcW w:w="1742" w:type="pct"/>
            <w:vAlign w:val="center"/>
          </w:tcPr>
          <w:p w14:paraId="2A9DC03E" w14:textId="056EEF17" w:rsidR="00E90FE8" w:rsidRPr="00A259FB" w:rsidRDefault="00E90FE8" w:rsidP="00767CD8">
            <w:pPr>
              <w:tabs>
                <w:tab w:val="clear" w:pos="284"/>
              </w:tabs>
              <w:jc w:val="left"/>
              <w:rPr>
                <w:szCs w:val="22"/>
                <w:lang w:val="sr-Latn-ME"/>
              </w:rPr>
            </w:pPr>
            <w:r w:rsidRPr="00A259FB">
              <w:rPr>
                <w:szCs w:val="22"/>
                <w:lang w:val="sr-Latn-ME"/>
              </w:rPr>
              <w:t>Poremećaj</w:t>
            </w:r>
            <w:r w:rsidR="00864926" w:rsidRPr="00A259FB">
              <w:rPr>
                <w:szCs w:val="22"/>
                <w:lang w:val="sr-Latn-ME"/>
              </w:rPr>
              <w:t>i</w:t>
            </w:r>
            <w:r w:rsidRPr="00A259FB">
              <w:rPr>
                <w:szCs w:val="22"/>
                <w:lang w:val="sr-Latn-ME"/>
              </w:rPr>
              <w:t xml:space="preserve"> spavanja istog tipa kao što je zab</w:t>
            </w:r>
            <w:r w:rsidR="00556E0B" w:rsidRPr="00A259FB">
              <w:rPr>
                <w:szCs w:val="22"/>
                <w:lang w:val="sr-Latn-ME"/>
              </w:rPr>
              <w:t>i</w:t>
            </w:r>
            <w:r w:rsidRPr="00A259FB">
              <w:rPr>
                <w:szCs w:val="22"/>
                <w:lang w:val="sr-Latn-ME"/>
              </w:rPr>
              <w:t>l</w:t>
            </w:r>
            <w:r w:rsidR="00556E0B" w:rsidRPr="00A259FB">
              <w:rPr>
                <w:szCs w:val="22"/>
                <w:lang w:val="sr-Latn-ME"/>
              </w:rPr>
              <w:t>j</w:t>
            </w:r>
            <w:r w:rsidRPr="00A259FB">
              <w:rPr>
                <w:szCs w:val="22"/>
                <w:lang w:val="sr-Latn-ME"/>
              </w:rPr>
              <w:t xml:space="preserve">eženo </w:t>
            </w:r>
            <w:r w:rsidR="00355ACF" w:rsidRPr="00A259FB">
              <w:rPr>
                <w:szCs w:val="22"/>
                <w:lang w:val="sr-Latn-ME"/>
              </w:rPr>
              <w:t xml:space="preserve">kod </w:t>
            </w:r>
            <w:r w:rsidRPr="00A259FB">
              <w:rPr>
                <w:szCs w:val="22"/>
                <w:lang w:val="sr-Latn-ME"/>
              </w:rPr>
              <w:t>drugi</w:t>
            </w:r>
            <w:r w:rsidR="00355ACF" w:rsidRPr="00A259FB">
              <w:rPr>
                <w:szCs w:val="22"/>
                <w:lang w:val="sr-Latn-ME"/>
              </w:rPr>
              <w:t>h</w:t>
            </w:r>
            <w:r w:rsidRPr="00A259FB">
              <w:rPr>
                <w:szCs w:val="22"/>
                <w:lang w:val="sr-Latn-ME"/>
              </w:rPr>
              <w:t xml:space="preserve"> </w:t>
            </w:r>
            <w:r w:rsidR="00AB513D" w:rsidRPr="00A259FB">
              <w:rPr>
                <w:szCs w:val="22"/>
                <w:lang w:val="sr-Latn-ME"/>
              </w:rPr>
              <w:t>beta</w:t>
            </w:r>
            <w:r w:rsidR="00893D51" w:rsidRPr="00A259FB">
              <w:rPr>
                <w:szCs w:val="22"/>
                <w:lang w:val="sr-Latn-ME"/>
              </w:rPr>
              <w:t>-</w:t>
            </w:r>
            <w:r w:rsidRPr="00A259FB">
              <w:rPr>
                <w:szCs w:val="22"/>
                <w:lang w:val="sr-Latn-ME"/>
              </w:rPr>
              <w:t>blokatora</w:t>
            </w:r>
          </w:p>
        </w:tc>
      </w:tr>
      <w:tr w:rsidR="0013144A" w:rsidRPr="00A259FB" w14:paraId="2ECDA1E5" w14:textId="77777777" w:rsidTr="00D35F0F">
        <w:trPr>
          <w:trHeight w:val="603"/>
          <w:tblCellSpacing w:w="0" w:type="dxa"/>
        </w:trPr>
        <w:tc>
          <w:tcPr>
            <w:tcW w:w="1792" w:type="pct"/>
            <w:vMerge/>
            <w:vAlign w:val="center"/>
          </w:tcPr>
          <w:p w14:paraId="5C1E00C2" w14:textId="77777777" w:rsidR="0013144A" w:rsidRPr="00A259FB" w:rsidRDefault="0013144A" w:rsidP="00767CD8">
            <w:pPr>
              <w:tabs>
                <w:tab w:val="clear" w:pos="284"/>
              </w:tabs>
              <w:jc w:val="left"/>
              <w:rPr>
                <w:color w:val="000000"/>
                <w:szCs w:val="22"/>
                <w:lang w:val="sr-Latn-ME"/>
              </w:rPr>
            </w:pPr>
          </w:p>
        </w:tc>
        <w:tc>
          <w:tcPr>
            <w:tcW w:w="1466" w:type="pct"/>
            <w:vAlign w:val="center"/>
          </w:tcPr>
          <w:p w14:paraId="06100772" w14:textId="7B46EE28" w:rsidR="0013144A" w:rsidRPr="00A259FB" w:rsidRDefault="0013144A" w:rsidP="00767CD8">
            <w:pPr>
              <w:tabs>
                <w:tab w:val="clear" w:pos="284"/>
              </w:tabs>
              <w:jc w:val="left"/>
              <w:rPr>
                <w:szCs w:val="22"/>
                <w:lang w:val="sr-Latn-ME"/>
              </w:rPr>
            </w:pPr>
            <w:r w:rsidRPr="00A259FB">
              <w:rPr>
                <w:szCs w:val="22"/>
                <w:lang w:val="sr-Latn-ME"/>
              </w:rPr>
              <w:t>R</w:t>
            </w:r>
            <w:r w:rsidR="00723F9E" w:rsidRPr="00A259FB">
              <w:rPr>
                <w:szCs w:val="22"/>
                <w:lang w:val="sr-Latn-ME"/>
              </w:rPr>
              <w:t>ij</w:t>
            </w:r>
            <w:r w:rsidRPr="00A259FB">
              <w:rPr>
                <w:szCs w:val="22"/>
                <w:lang w:val="sr-Latn-ME"/>
              </w:rPr>
              <w:t>etko</w:t>
            </w:r>
          </w:p>
        </w:tc>
        <w:tc>
          <w:tcPr>
            <w:tcW w:w="1742" w:type="pct"/>
            <w:vAlign w:val="center"/>
          </w:tcPr>
          <w:p w14:paraId="2FFA4248" w14:textId="6B2B6F9E" w:rsidR="0013144A" w:rsidRPr="00A259FB" w:rsidRDefault="0013144A" w:rsidP="00767CD8">
            <w:pPr>
              <w:tabs>
                <w:tab w:val="clear" w:pos="284"/>
              </w:tabs>
              <w:jc w:val="left"/>
              <w:rPr>
                <w:szCs w:val="22"/>
                <w:lang w:val="sr-Latn-ME"/>
              </w:rPr>
            </w:pPr>
            <w:r w:rsidRPr="00A259FB">
              <w:rPr>
                <w:szCs w:val="22"/>
                <w:lang w:val="sr-Latn-ME"/>
              </w:rPr>
              <w:t>Prom</w:t>
            </w:r>
            <w:r w:rsidR="00723F9E" w:rsidRPr="00A259FB">
              <w:rPr>
                <w:szCs w:val="22"/>
                <w:lang w:val="sr-Latn-ME"/>
              </w:rPr>
              <w:t>j</w:t>
            </w:r>
            <w:r w:rsidRPr="00A259FB">
              <w:rPr>
                <w:szCs w:val="22"/>
                <w:lang w:val="sr-Latn-ME"/>
              </w:rPr>
              <w:t>ene raspoloženja, noćne more, konfuzija, psihoze i  halucinacije</w:t>
            </w:r>
          </w:p>
        </w:tc>
      </w:tr>
      <w:tr w:rsidR="00E90FE8" w:rsidRPr="00A259FB" w14:paraId="2A9DC043" w14:textId="77777777" w:rsidTr="00D35F0F">
        <w:trPr>
          <w:trHeight w:val="585"/>
          <w:tblCellSpacing w:w="0" w:type="dxa"/>
        </w:trPr>
        <w:tc>
          <w:tcPr>
            <w:tcW w:w="1792" w:type="pct"/>
            <w:vMerge/>
            <w:vAlign w:val="center"/>
          </w:tcPr>
          <w:p w14:paraId="2A9DC040" w14:textId="77777777" w:rsidR="00E90FE8" w:rsidRPr="00A259FB" w:rsidRDefault="00E90FE8" w:rsidP="00767CD8">
            <w:pPr>
              <w:tabs>
                <w:tab w:val="clear" w:pos="284"/>
              </w:tabs>
              <w:jc w:val="left"/>
              <w:rPr>
                <w:szCs w:val="22"/>
                <w:lang w:val="sr-Latn-ME"/>
              </w:rPr>
            </w:pPr>
          </w:p>
        </w:tc>
        <w:tc>
          <w:tcPr>
            <w:tcW w:w="1466" w:type="pct"/>
            <w:vAlign w:val="center"/>
          </w:tcPr>
          <w:p w14:paraId="2A9DC041" w14:textId="53603DA4" w:rsidR="00E90FE8" w:rsidRPr="00A259FB" w:rsidRDefault="0013144A" w:rsidP="00767CD8">
            <w:pPr>
              <w:tabs>
                <w:tab w:val="clear" w:pos="284"/>
              </w:tabs>
              <w:jc w:val="left"/>
              <w:rPr>
                <w:szCs w:val="22"/>
                <w:lang w:val="sr-Latn-ME"/>
              </w:rPr>
            </w:pPr>
            <w:r w:rsidRPr="00A259FB">
              <w:rPr>
                <w:szCs w:val="22"/>
                <w:lang w:val="sr-Latn-ME"/>
              </w:rPr>
              <w:t>Nepoznato</w:t>
            </w:r>
          </w:p>
        </w:tc>
        <w:tc>
          <w:tcPr>
            <w:tcW w:w="1742" w:type="pct"/>
            <w:vAlign w:val="center"/>
          </w:tcPr>
          <w:p w14:paraId="2A9DC042" w14:textId="18B533BC" w:rsidR="00E90FE8" w:rsidRPr="00A259FB" w:rsidRDefault="0013144A" w:rsidP="00767CD8">
            <w:pPr>
              <w:tabs>
                <w:tab w:val="clear" w:pos="284"/>
              </w:tabs>
              <w:jc w:val="left"/>
              <w:rPr>
                <w:szCs w:val="22"/>
                <w:lang w:val="sr-Latn-ME"/>
              </w:rPr>
            </w:pPr>
            <w:r w:rsidRPr="00A259FB">
              <w:rPr>
                <w:szCs w:val="22"/>
                <w:lang w:val="sr-Latn-ME"/>
              </w:rPr>
              <w:t>Depresija</w:t>
            </w:r>
          </w:p>
        </w:tc>
      </w:tr>
      <w:tr w:rsidR="00E90FE8" w:rsidRPr="00A259FB" w14:paraId="2A9DC047" w14:textId="77777777" w:rsidTr="00D35F0F">
        <w:trPr>
          <w:trHeight w:val="531"/>
          <w:tblCellSpacing w:w="0" w:type="dxa"/>
        </w:trPr>
        <w:tc>
          <w:tcPr>
            <w:tcW w:w="1792" w:type="pct"/>
            <w:vAlign w:val="center"/>
          </w:tcPr>
          <w:p w14:paraId="2A9DC044"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t>Poremećaji nervnog sistema</w:t>
            </w:r>
          </w:p>
        </w:tc>
        <w:tc>
          <w:tcPr>
            <w:tcW w:w="1466" w:type="pct"/>
            <w:vAlign w:val="center"/>
          </w:tcPr>
          <w:p w14:paraId="2A9DC045" w14:textId="6E20FD7C" w:rsidR="00E90FE8" w:rsidRPr="00A259FB" w:rsidRDefault="00E90FE8" w:rsidP="00767CD8">
            <w:pPr>
              <w:tabs>
                <w:tab w:val="clear" w:pos="284"/>
              </w:tabs>
              <w:jc w:val="left"/>
              <w:rPr>
                <w:szCs w:val="22"/>
                <w:lang w:val="sr-Latn-ME"/>
              </w:rPr>
            </w:pPr>
            <w:r w:rsidRPr="00A259FB">
              <w:rPr>
                <w:szCs w:val="22"/>
                <w:lang w:val="sr-Latn-ME"/>
              </w:rPr>
              <w:t>R</w:t>
            </w:r>
            <w:r w:rsidR="00723F9E" w:rsidRPr="00A259FB">
              <w:rPr>
                <w:szCs w:val="22"/>
                <w:lang w:val="sr-Latn-ME"/>
              </w:rPr>
              <w:t>ij</w:t>
            </w:r>
            <w:r w:rsidRPr="00A259FB">
              <w:rPr>
                <w:szCs w:val="22"/>
                <w:lang w:val="sr-Latn-ME"/>
              </w:rPr>
              <w:t xml:space="preserve">etko </w:t>
            </w:r>
          </w:p>
        </w:tc>
        <w:tc>
          <w:tcPr>
            <w:tcW w:w="1742" w:type="pct"/>
            <w:vAlign w:val="center"/>
          </w:tcPr>
          <w:p w14:paraId="2A9DC046" w14:textId="77777777" w:rsidR="00E90FE8" w:rsidRPr="00A259FB" w:rsidRDefault="00E90FE8" w:rsidP="00767CD8">
            <w:pPr>
              <w:tabs>
                <w:tab w:val="clear" w:pos="284"/>
              </w:tabs>
              <w:jc w:val="left"/>
              <w:rPr>
                <w:szCs w:val="22"/>
                <w:lang w:val="sr-Latn-ME"/>
              </w:rPr>
            </w:pPr>
            <w:r w:rsidRPr="00A259FB">
              <w:rPr>
                <w:szCs w:val="22"/>
                <w:lang w:val="sr-Latn-ME"/>
              </w:rPr>
              <w:t xml:space="preserve">Vrtoglavica, glavobolja, parestezije </w:t>
            </w:r>
          </w:p>
        </w:tc>
      </w:tr>
      <w:tr w:rsidR="00E90FE8" w:rsidRPr="00A259FB" w14:paraId="2A9DC04B" w14:textId="77777777" w:rsidTr="00D35F0F">
        <w:trPr>
          <w:trHeight w:val="531"/>
          <w:tblCellSpacing w:w="0" w:type="dxa"/>
        </w:trPr>
        <w:tc>
          <w:tcPr>
            <w:tcW w:w="1792" w:type="pct"/>
            <w:vAlign w:val="center"/>
          </w:tcPr>
          <w:p w14:paraId="2A9DC048"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t>Poremećaji oka</w:t>
            </w:r>
          </w:p>
        </w:tc>
        <w:tc>
          <w:tcPr>
            <w:tcW w:w="1466" w:type="pct"/>
            <w:vAlign w:val="center"/>
          </w:tcPr>
          <w:p w14:paraId="2A9DC049" w14:textId="3B013323" w:rsidR="00E90FE8" w:rsidRPr="00A259FB" w:rsidRDefault="00E90FE8" w:rsidP="00767CD8">
            <w:pPr>
              <w:tabs>
                <w:tab w:val="clear" w:pos="284"/>
              </w:tabs>
              <w:jc w:val="left"/>
              <w:rPr>
                <w:szCs w:val="22"/>
                <w:lang w:val="sr-Latn-ME"/>
              </w:rPr>
            </w:pPr>
            <w:r w:rsidRPr="00A259FB">
              <w:rPr>
                <w:szCs w:val="22"/>
                <w:lang w:val="sr-Latn-ME"/>
              </w:rPr>
              <w:t>R</w:t>
            </w:r>
            <w:r w:rsidR="00723F9E" w:rsidRPr="00A259FB">
              <w:rPr>
                <w:szCs w:val="22"/>
                <w:lang w:val="sr-Latn-ME"/>
              </w:rPr>
              <w:t>ij</w:t>
            </w:r>
            <w:r w:rsidRPr="00A259FB">
              <w:rPr>
                <w:szCs w:val="22"/>
                <w:lang w:val="sr-Latn-ME"/>
              </w:rPr>
              <w:t xml:space="preserve">etko </w:t>
            </w:r>
          </w:p>
        </w:tc>
        <w:tc>
          <w:tcPr>
            <w:tcW w:w="1742" w:type="pct"/>
            <w:vAlign w:val="center"/>
          </w:tcPr>
          <w:p w14:paraId="2A9DC04A" w14:textId="77777777" w:rsidR="00E90FE8" w:rsidRPr="00A259FB" w:rsidRDefault="00E90FE8" w:rsidP="00767CD8">
            <w:pPr>
              <w:tabs>
                <w:tab w:val="clear" w:pos="284"/>
              </w:tabs>
              <w:jc w:val="left"/>
              <w:rPr>
                <w:szCs w:val="22"/>
                <w:lang w:val="sr-Latn-ME"/>
              </w:rPr>
            </w:pPr>
            <w:r w:rsidRPr="00A259FB">
              <w:rPr>
                <w:szCs w:val="22"/>
                <w:lang w:val="sr-Latn-ME"/>
              </w:rPr>
              <w:t>Suve oči, poremećaji vida</w:t>
            </w:r>
          </w:p>
        </w:tc>
      </w:tr>
      <w:tr w:rsidR="00E90FE8" w:rsidRPr="00A259FB" w14:paraId="2A9DC04F" w14:textId="77777777" w:rsidTr="00D35F0F">
        <w:trPr>
          <w:trHeight w:val="405"/>
          <w:tblCellSpacing w:w="0" w:type="dxa"/>
        </w:trPr>
        <w:tc>
          <w:tcPr>
            <w:tcW w:w="1792" w:type="pct"/>
            <w:vMerge w:val="restart"/>
            <w:vAlign w:val="center"/>
          </w:tcPr>
          <w:p w14:paraId="2A9DC04C"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t>Kardiološki poremećaji</w:t>
            </w:r>
          </w:p>
        </w:tc>
        <w:tc>
          <w:tcPr>
            <w:tcW w:w="1466" w:type="pct"/>
            <w:vAlign w:val="center"/>
          </w:tcPr>
          <w:p w14:paraId="2A9DC04D" w14:textId="77777777" w:rsidR="00E90FE8" w:rsidRPr="00A259FB" w:rsidRDefault="00E90FE8" w:rsidP="00767CD8">
            <w:pPr>
              <w:tabs>
                <w:tab w:val="clear" w:pos="284"/>
              </w:tabs>
              <w:jc w:val="left"/>
              <w:rPr>
                <w:szCs w:val="22"/>
                <w:lang w:val="sr-Latn-ME"/>
              </w:rPr>
            </w:pPr>
            <w:r w:rsidRPr="00A259FB">
              <w:rPr>
                <w:szCs w:val="22"/>
                <w:lang w:val="sr-Latn-ME"/>
              </w:rPr>
              <w:t>Često</w:t>
            </w:r>
          </w:p>
        </w:tc>
        <w:tc>
          <w:tcPr>
            <w:tcW w:w="1742" w:type="pct"/>
            <w:vAlign w:val="center"/>
          </w:tcPr>
          <w:p w14:paraId="2A9DC04E" w14:textId="77777777" w:rsidR="00E90FE8" w:rsidRPr="00A259FB" w:rsidRDefault="00E90FE8" w:rsidP="00767CD8">
            <w:pPr>
              <w:tabs>
                <w:tab w:val="clear" w:pos="284"/>
              </w:tabs>
              <w:jc w:val="left"/>
              <w:rPr>
                <w:szCs w:val="22"/>
                <w:lang w:val="sr-Latn-ME"/>
              </w:rPr>
            </w:pPr>
            <w:r w:rsidRPr="00A259FB">
              <w:rPr>
                <w:szCs w:val="22"/>
                <w:lang w:val="sr-Latn-ME"/>
              </w:rPr>
              <w:t>Bradikardija</w:t>
            </w:r>
          </w:p>
        </w:tc>
      </w:tr>
      <w:tr w:rsidR="00E90FE8" w:rsidRPr="00A259FB" w14:paraId="2A9DC053" w14:textId="77777777" w:rsidTr="00D35F0F">
        <w:trPr>
          <w:trHeight w:val="666"/>
          <w:tblCellSpacing w:w="0" w:type="dxa"/>
        </w:trPr>
        <w:tc>
          <w:tcPr>
            <w:tcW w:w="1792" w:type="pct"/>
            <w:vMerge/>
            <w:vAlign w:val="center"/>
          </w:tcPr>
          <w:p w14:paraId="2A9DC050" w14:textId="77777777" w:rsidR="00E90FE8" w:rsidRPr="00A259FB" w:rsidRDefault="00E90FE8" w:rsidP="00767CD8">
            <w:pPr>
              <w:tabs>
                <w:tab w:val="clear" w:pos="284"/>
              </w:tabs>
              <w:jc w:val="left"/>
              <w:rPr>
                <w:szCs w:val="22"/>
                <w:lang w:val="sr-Latn-ME"/>
              </w:rPr>
            </w:pPr>
          </w:p>
        </w:tc>
        <w:tc>
          <w:tcPr>
            <w:tcW w:w="1466" w:type="pct"/>
            <w:vAlign w:val="center"/>
          </w:tcPr>
          <w:p w14:paraId="2A9DC051" w14:textId="619B2D41" w:rsidR="00E90FE8" w:rsidRPr="00A259FB" w:rsidRDefault="00E90FE8" w:rsidP="00767CD8">
            <w:pPr>
              <w:tabs>
                <w:tab w:val="clear" w:pos="284"/>
              </w:tabs>
              <w:jc w:val="left"/>
              <w:rPr>
                <w:szCs w:val="22"/>
                <w:lang w:val="sr-Latn-ME"/>
              </w:rPr>
            </w:pPr>
            <w:r w:rsidRPr="00A259FB">
              <w:rPr>
                <w:szCs w:val="22"/>
                <w:lang w:val="sr-Latn-ME"/>
              </w:rPr>
              <w:t>R</w:t>
            </w:r>
            <w:r w:rsidR="00723F9E" w:rsidRPr="00A259FB">
              <w:rPr>
                <w:szCs w:val="22"/>
                <w:lang w:val="sr-Latn-ME"/>
              </w:rPr>
              <w:t>ij</w:t>
            </w:r>
            <w:r w:rsidRPr="00A259FB">
              <w:rPr>
                <w:szCs w:val="22"/>
                <w:lang w:val="sr-Latn-ME"/>
              </w:rPr>
              <w:t>etko</w:t>
            </w:r>
          </w:p>
        </w:tc>
        <w:tc>
          <w:tcPr>
            <w:tcW w:w="1742" w:type="pct"/>
            <w:vAlign w:val="center"/>
          </w:tcPr>
          <w:p w14:paraId="2A9DC052" w14:textId="77777777" w:rsidR="00E90FE8" w:rsidRPr="00A259FB" w:rsidRDefault="00E90FE8" w:rsidP="00767CD8">
            <w:pPr>
              <w:tabs>
                <w:tab w:val="clear" w:pos="284"/>
              </w:tabs>
              <w:jc w:val="left"/>
              <w:rPr>
                <w:szCs w:val="22"/>
                <w:lang w:val="sr-Latn-ME"/>
              </w:rPr>
            </w:pPr>
            <w:r w:rsidRPr="00A259FB">
              <w:rPr>
                <w:szCs w:val="22"/>
                <w:lang w:val="sr-Latn-ME"/>
              </w:rPr>
              <w:t xml:space="preserve">Pogoršanje srčane insuficijencije, precipitacija srčanog bloka </w:t>
            </w:r>
          </w:p>
        </w:tc>
      </w:tr>
      <w:tr w:rsidR="00E90FE8" w:rsidRPr="00A259FB" w14:paraId="2A9DC057" w14:textId="77777777" w:rsidTr="00D35F0F">
        <w:trPr>
          <w:trHeight w:val="513"/>
          <w:tblCellSpacing w:w="0" w:type="dxa"/>
        </w:trPr>
        <w:tc>
          <w:tcPr>
            <w:tcW w:w="1792" w:type="pct"/>
            <w:vMerge w:val="restart"/>
            <w:vAlign w:val="center"/>
          </w:tcPr>
          <w:p w14:paraId="2A9DC054"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t>Vaskularni poremećaji</w:t>
            </w:r>
          </w:p>
        </w:tc>
        <w:tc>
          <w:tcPr>
            <w:tcW w:w="1466" w:type="pct"/>
            <w:vAlign w:val="center"/>
          </w:tcPr>
          <w:p w14:paraId="2A9DC055" w14:textId="77777777" w:rsidR="00E90FE8" w:rsidRPr="00A259FB" w:rsidRDefault="00E90FE8" w:rsidP="00767CD8">
            <w:pPr>
              <w:tabs>
                <w:tab w:val="clear" w:pos="284"/>
              </w:tabs>
              <w:jc w:val="left"/>
              <w:rPr>
                <w:szCs w:val="22"/>
                <w:lang w:val="sr-Latn-ME"/>
              </w:rPr>
            </w:pPr>
            <w:r w:rsidRPr="00A259FB">
              <w:rPr>
                <w:szCs w:val="22"/>
                <w:lang w:val="sr-Latn-ME"/>
              </w:rPr>
              <w:t>Često</w:t>
            </w:r>
          </w:p>
        </w:tc>
        <w:tc>
          <w:tcPr>
            <w:tcW w:w="1742" w:type="pct"/>
            <w:vAlign w:val="center"/>
          </w:tcPr>
          <w:p w14:paraId="2A9DC056" w14:textId="77777777" w:rsidR="00E90FE8" w:rsidRPr="00A259FB" w:rsidRDefault="00E90FE8" w:rsidP="00767CD8">
            <w:pPr>
              <w:tabs>
                <w:tab w:val="clear" w:pos="284"/>
              </w:tabs>
              <w:jc w:val="left"/>
              <w:rPr>
                <w:szCs w:val="22"/>
                <w:lang w:val="sr-Latn-ME"/>
              </w:rPr>
            </w:pPr>
            <w:r w:rsidRPr="00A259FB">
              <w:rPr>
                <w:szCs w:val="22"/>
                <w:lang w:val="sr-Latn-ME"/>
              </w:rPr>
              <w:t>Hladni ekstremiteti</w:t>
            </w:r>
          </w:p>
        </w:tc>
      </w:tr>
      <w:tr w:rsidR="00E90FE8" w:rsidRPr="00A259FB" w14:paraId="2A9DC05B" w14:textId="77777777" w:rsidTr="00D35F0F">
        <w:trPr>
          <w:trHeight w:val="1503"/>
          <w:tblCellSpacing w:w="0" w:type="dxa"/>
        </w:trPr>
        <w:tc>
          <w:tcPr>
            <w:tcW w:w="1792" w:type="pct"/>
            <w:vMerge/>
            <w:vAlign w:val="center"/>
          </w:tcPr>
          <w:p w14:paraId="2A9DC058" w14:textId="77777777" w:rsidR="00E90FE8" w:rsidRPr="00A259FB" w:rsidRDefault="00E90FE8" w:rsidP="00767CD8">
            <w:pPr>
              <w:tabs>
                <w:tab w:val="clear" w:pos="284"/>
              </w:tabs>
              <w:jc w:val="left"/>
              <w:rPr>
                <w:szCs w:val="22"/>
                <w:lang w:val="sr-Latn-ME"/>
              </w:rPr>
            </w:pPr>
          </w:p>
        </w:tc>
        <w:tc>
          <w:tcPr>
            <w:tcW w:w="1466" w:type="pct"/>
            <w:vAlign w:val="center"/>
          </w:tcPr>
          <w:p w14:paraId="2A9DC059" w14:textId="14C64D0E" w:rsidR="00E90FE8" w:rsidRPr="00A259FB" w:rsidRDefault="00E90FE8" w:rsidP="00767CD8">
            <w:pPr>
              <w:tabs>
                <w:tab w:val="clear" w:pos="284"/>
              </w:tabs>
              <w:jc w:val="left"/>
              <w:rPr>
                <w:szCs w:val="22"/>
                <w:lang w:val="sr-Latn-ME"/>
              </w:rPr>
            </w:pPr>
            <w:r w:rsidRPr="00A259FB">
              <w:rPr>
                <w:szCs w:val="22"/>
                <w:lang w:val="sr-Latn-ME"/>
              </w:rPr>
              <w:t>R</w:t>
            </w:r>
            <w:r w:rsidR="00723F9E" w:rsidRPr="00A259FB">
              <w:rPr>
                <w:szCs w:val="22"/>
                <w:lang w:val="sr-Latn-ME"/>
              </w:rPr>
              <w:t>ij</w:t>
            </w:r>
            <w:r w:rsidRPr="00A259FB">
              <w:rPr>
                <w:szCs w:val="22"/>
                <w:lang w:val="sr-Latn-ME"/>
              </w:rPr>
              <w:t>etko</w:t>
            </w:r>
          </w:p>
        </w:tc>
        <w:tc>
          <w:tcPr>
            <w:tcW w:w="1742" w:type="pct"/>
            <w:vAlign w:val="center"/>
          </w:tcPr>
          <w:p w14:paraId="2A9DC05A" w14:textId="1686C8B6" w:rsidR="00E90FE8" w:rsidRPr="00A259FB" w:rsidRDefault="00E90FE8" w:rsidP="00767CD8">
            <w:pPr>
              <w:ind w:right="232"/>
              <w:jc w:val="left"/>
              <w:rPr>
                <w:color w:val="000000"/>
                <w:szCs w:val="22"/>
                <w:lang w:val="sr-Latn-ME"/>
              </w:rPr>
            </w:pPr>
            <w:r w:rsidRPr="00A259FB">
              <w:rPr>
                <w:color w:val="000000"/>
                <w:szCs w:val="22"/>
                <w:lang w:val="sr-Latn-ME"/>
              </w:rPr>
              <w:t>Posturalna hipotenzija koja može biti praćena sinkopom, pogoršanjem postojećih intermitentnih klaudikacija, kod os</w:t>
            </w:r>
            <w:r w:rsidR="00723F9E" w:rsidRPr="00A259FB">
              <w:rPr>
                <w:color w:val="000000"/>
                <w:szCs w:val="22"/>
                <w:lang w:val="sr-Latn-ME"/>
              </w:rPr>
              <w:t>j</w:t>
            </w:r>
            <w:r w:rsidRPr="00A259FB">
              <w:rPr>
                <w:color w:val="000000"/>
                <w:szCs w:val="22"/>
                <w:lang w:val="sr-Latn-ME"/>
              </w:rPr>
              <w:t xml:space="preserve">etljivih pacijenata </w:t>
            </w:r>
            <w:r w:rsidRPr="00A259FB">
              <w:rPr>
                <w:i/>
                <w:color w:val="000000"/>
                <w:szCs w:val="22"/>
                <w:lang w:val="sr-Latn-ME"/>
              </w:rPr>
              <w:t>Raynaud</w:t>
            </w:r>
            <w:r w:rsidRPr="00A259FB">
              <w:rPr>
                <w:color w:val="000000"/>
                <w:szCs w:val="22"/>
                <w:lang w:val="sr-Latn-ME"/>
              </w:rPr>
              <w:t>-ov fenomen</w:t>
            </w:r>
          </w:p>
        </w:tc>
      </w:tr>
      <w:tr w:rsidR="00E90FE8" w:rsidRPr="00A259FB" w14:paraId="2A9DC05F" w14:textId="77777777" w:rsidTr="00D35F0F">
        <w:trPr>
          <w:trHeight w:val="1071"/>
          <w:tblCellSpacing w:w="0" w:type="dxa"/>
        </w:trPr>
        <w:tc>
          <w:tcPr>
            <w:tcW w:w="1792" w:type="pct"/>
            <w:vAlign w:val="center"/>
          </w:tcPr>
          <w:p w14:paraId="2A9DC05C"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t xml:space="preserve">Respiratorni, torakalni i medijastinalni poremećaji </w:t>
            </w:r>
          </w:p>
        </w:tc>
        <w:tc>
          <w:tcPr>
            <w:tcW w:w="1466" w:type="pct"/>
            <w:vAlign w:val="center"/>
          </w:tcPr>
          <w:p w14:paraId="2A9DC05D" w14:textId="537E5A58" w:rsidR="00E90FE8" w:rsidRPr="00A259FB" w:rsidRDefault="00E90FE8" w:rsidP="00767CD8">
            <w:pPr>
              <w:tabs>
                <w:tab w:val="clear" w:pos="284"/>
              </w:tabs>
              <w:jc w:val="left"/>
              <w:rPr>
                <w:szCs w:val="22"/>
                <w:lang w:val="sr-Latn-ME"/>
              </w:rPr>
            </w:pPr>
            <w:r w:rsidRPr="00A259FB">
              <w:rPr>
                <w:szCs w:val="22"/>
                <w:lang w:val="sr-Latn-ME"/>
              </w:rPr>
              <w:t>R</w:t>
            </w:r>
            <w:r w:rsidR="00723F9E" w:rsidRPr="00A259FB">
              <w:rPr>
                <w:szCs w:val="22"/>
                <w:lang w:val="sr-Latn-ME"/>
              </w:rPr>
              <w:t>ij</w:t>
            </w:r>
            <w:r w:rsidRPr="00A259FB">
              <w:rPr>
                <w:szCs w:val="22"/>
                <w:lang w:val="sr-Latn-ME"/>
              </w:rPr>
              <w:t>etko</w:t>
            </w:r>
          </w:p>
        </w:tc>
        <w:tc>
          <w:tcPr>
            <w:tcW w:w="1742" w:type="pct"/>
            <w:vAlign w:val="center"/>
          </w:tcPr>
          <w:p w14:paraId="2A9DC05E" w14:textId="2CCDA076" w:rsidR="00E90FE8" w:rsidRPr="00A259FB" w:rsidRDefault="00E90FE8" w:rsidP="00767CD8">
            <w:pPr>
              <w:ind w:right="232"/>
              <w:jc w:val="left"/>
              <w:rPr>
                <w:color w:val="000000"/>
                <w:szCs w:val="22"/>
                <w:lang w:val="sr-Latn-ME"/>
              </w:rPr>
            </w:pPr>
            <w:r w:rsidRPr="00A259FB">
              <w:rPr>
                <w:color w:val="000000"/>
                <w:szCs w:val="22"/>
                <w:lang w:val="sr-Latn-ME"/>
              </w:rPr>
              <w:t>Bronhospazam (kod pacijenata sa bronhijalnom astmom</w:t>
            </w:r>
            <w:r w:rsidRPr="00A259FB">
              <w:rPr>
                <w:szCs w:val="22"/>
                <w:lang w:val="sr-Latn-ME"/>
              </w:rPr>
              <w:t xml:space="preserve"> ili </w:t>
            </w:r>
            <w:r w:rsidR="00B32C83" w:rsidRPr="00A259FB">
              <w:rPr>
                <w:szCs w:val="22"/>
                <w:lang w:val="sr-Latn-ME"/>
              </w:rPr>
              <w:t xml:space="preserve">astmatičnim </w:t>
            </w:r>
            <w:r w:rsidR="00895FF4" w:rsidRPr="00A259FB">
              <w:rPr>
                <w:szCs w:val="22"/>
                <w:lang w:val="sr-Latn-ME"/>
              </w:rPr>
              <w:t>tegobama u anamnezi</w:t>
            </w:r>
            <w:r w:rsidRPr="00A259FB">
              <w:rPr>
                <w:color w:val="000000"/>
                <w:szCs w:val="22"/>
                <w:lang w:val="sr-Latn-ME"/>
              </w:rPr>
              <w:t>)</w:t>
            </w:r>
          </w:p>
        </w:tc>
      </w:tr>
      <w:tr w:rsidR="00E90FE8" w:rsidRPr="00A259FB" w14:paraId="2A9DC063" w14:textId="77777777" w:rsidTr="00D35F0F">
        <w:trPr>
          <w:trHeight w:val="549"/>
          <w:tblCellSpacing w:w="0" w:type="dxa"/>
        </w:trPr>
        <w:tc>
          <w:tcPr>
            <w:tcW w:w="1792" w:type="pct"/>
            <w:vMerge w:val="restart"/>
            <w:vAlign w:val="center"/>
          </w:tcPr>
          <w:p w14:paraId="2A9DC060"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lastRenderedPageBreak/>
              <w:t>Gastrointestinalni poremećaji</w:t>
            </w:r>
          </w:p>
        </w:tc>
        <w:tc>
          <w:tcPr>
            <w:tcW w:w="1466" w:type="pct"/>
            <w:vAlign w:val="center"/>
          </w:tcPr>
          <w:p w14:paraId="2A9DC061" w14:textId="77777777" w:rsidR="00E90FE8" w:rsidRPr="00A259FB" w:rsidRDefault="00E90FE8" w:rsidP="00767CD8">
            <w:pPr>
              <w:tabs>
                <w:tab w:val="clear" w:pos="284"/>
              </w:tabs>
              <w:jc w:val="left"/>
              <w:rPr>
                <w:szCs w:val="22"/>
                <w:lang w:val="sr-Latn-ME"/>
              </w:rPr>
            </w:pPr>
            <w:r w:rsidRPr="00A259FB">
              <w:rPr>
                <w:szCs w:val="22"/>
                <w:lang w:val="sr-Latn-ME"/>
              </w:rPr>
              <w:t xml:space="preserve">Često </w:t>
            </w:r>
          </w:p>
        </w:tc>
        <w:tc>
          <w:tcPr>
            <w:tcW w:w="1742" w:type="pct"/>
            <w:vAlign w:val="center"/>
          </w:tcPr>
          <w:p w14:paraId="2A9DC062" w14:textId="77777777" w:rsidR="00E90FE8" w:rsidRPr="00A259FB" w:rsidRDefault="00E90FE8" w:rsidP="00767CD8">
            <w:pPr>
              <w:tabs>
                <w:tab w:val="clear" w:pos="284"/>
              </w:tabs>
              <w:jc w:val="left"/>
              <w:rPr>
                <w:szCs w:val="22"/>
                <w:lang w:val="sr-Latn-ME"/>
              </w:rPr>
            </w:pPr>
            <w:r w:rsidRPr="00A259FB">
              <w:rPr>
                <w:szCs w:val="22"/>
                <w:lang w:val="sr-Latn-ME"/>
              </w:rPr>
              <w:t>Gastrointestinalne tegobe</w:t>
            </w:r>
          </w:p>
        </w:tc>
      </w:tr>
      <w:tr w:rsidR="00E90FE8" w:rsidRPr="00A259FB" w14:paraId="2A9DC067" w14:textId="77777777" w:rsidTr="00D35F0F">
        <w:trPr>
          <w:trHeight w:val="639"/>
          <w:tblCellSpacing w:w="0" w:type="dxa"/>
        </w:trPr>
        <w:tc>
          <w:tcPr>
            <w:tcW w:w="1792" w:type="pct"/>
            <w:vMerge/>
            <w:vAlign w:val="center"/>
          </w:tcPr>
          <w:p w14:paraId="2A9DC064" w14:textId="77777777" w:rsidR="00E90FE8" w:rsidRPr="00A259FB" w:rsidRDefault="00E90FE8" w:rsidP="00767CD8">
            <w:pPr>
              <w:tabs>
                <w:tab w:val="clear" w:pos="284"/>
              </w:tabs>
              <w:jc w:val="left"/>
              <w:rPr>
                <w:szCs w:val="22"/>
                <w:lang w:val="sr-Latn-ME"/>
              </w:rPr>
            </w:pPr>
          </w:p>
        </w:tc>
        <w:tc>
          <w:tcPr>
            <w:tcW w:w="1466" w:type="pct"/>
            <w:vAlign w:val="center"/>
          </w:tcPr>
          <w:p w14:paraId="2A9DC065" w14:textId="4E3BDEC2" w:rsidR="00E90FE8" w:rsidRPr="00A259FB" w:rsidRDefault="00E90FE8" w:rsidP="00767CD8">
            <w:pPr>
              <w:tabs>
                <w:tab w:val="clear" w:pos="284"/>
              </w:tabs>
              <w:jc w:val="left"/>
              <w:rPr>
                <w:szCs w:val="22"/>
                <w:lang w:val="sr-Latn-ME"/>
              </w:rPr>
            </w:pPr>
            <w:r w:rsidRPr="00A259FB">
              <w:rPr>
                <w:szCs w:val="22"/>
                <w:lang w:val="sr-Latn-ME"/>
              </w:rPr>
              <w:t>R</w:t>
            </w:r>
            <w:r w:rsidR="00723F9E" w:rsidRPr="00A259FB">
              <w:rPr>
                <w:szCs w:val="22"/>
                <w:lang w:val="sr-Latn-ME"/>
              </w:rPr>
              <w:t>ij</w:t>
            </w:r>
            <w:r w:rsidRPr="00A259FB">
              <w:rPr>
                <w:szCs w:val="22"/>
                <w:lang w:val="sr-Latn-ME"/>
              </w:rPr>
              <w:t>etko</w:t>
            </w:r>
          </w:p>
        </w:tc>
        <w:tc>
          <w:tcPr>
            <w:tcW w:w="1742" w:type="pct"/>
            <w:vAlign w:val="center"/>
          </w:tcPr>
          <w:p w14:paraId="2A9DC066" w14:textId="77777777" w:rsidR="00E90FE8" w:rsidRPr="00A259FB" w:rsidRDefault="00E90FE8" w:rsidP="00767CD8">
            <w:pPr>
              <w:tabs>
                <w:tab w:val="clear" w:pos="284"/>
              </w:tabs>
              <w:jc w:val="left"/>
              <w:rPr>
                <w:szCs w:val="22"/>
                <w:lang w:val="sr-Latn-ME"/>
              </w:rPr>
            </w:pPr>
            <w:r w:rsidRPr="00A259FB">
              <w:rPr>
                <w:szCs w:val="22"/>
                <w:lang w:val="sr-Latn-ME"/>
              </w:rPr>
              <w:t>Suva usta</w:t>
            </w:r>
          </w:p>
        </w:tc>
      </w:tr>
      <w:tr w:rsidR="00E90FE8" w:rsidRPr="00A259FB" w14:paraId="2A9DC06B" w14:textId="77777777" w:rsidTr="00D35F0F">
        <w:trPr>
          <w:trHeight w:val="558"/>
          <w:tblCellSpacing w:w="0" w:type="dxa"/>
        </w:trPr>
        <w:tc>
          <w:tcPr>
            <w:tcW w:w="1792" w:type="pct"/>
            <w:vMerge w:val="restart"/>
            <w:vAlign w:val="center"/>
          </w:tcPr>
          <w:p w14:paraId="2A9DC068"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t>Hepatobilijarni poremećaji</w:t>
            </w:r>
          </w:p>
        </w:tc>
        <w:tc>
          <w:tcPr>
            <w:tcW w:w="1466" w:type="pct"/>
            <w:vAlign w:val="center"/>
          </w:tcPr>
          <w:p w14:paraId="2A9DC069" w14:textId="77777777" w:rsidR="00E90FE8" w:rsidRPr="00A259FB" w:rsidRDefault="00E90FE8" w:rsidP="00767CD8">
            <w:pPr>
              <w:tabs>
                <w:tab w:val="clear" w:pos="284"/>
              </w:tabs>
              <w:jc w:val="left"/>
              <w:rPr>
                <w:szCs w:val="22"/>
                <w:lang w:val="sr-Latn-ME"/>
              </w:rPr>
            </w:pPr>
            <w:r w:rsidRPr="00A259FB">
              <w:rPr>
                <w:szCs w:val="22"/>
                <w:lang w:val="sr-Latn-ME"/>
              </w:rPr>
              <w:t>Povremeno</w:t>
            </w:r>
          </w:p>
        </w:tc>
        <w:tc>
          <w:tcPr>
            <w:tcW w:w="1742" w:type="pct"/>
            <w:vAlign w:val="center"/>
          </w:tcPr>
          <w:p w14:paraId="2A9DC06A" w14:textId="74B8D9CB" w:rsidR="00E90FE8" w:rsidRPr="00A259FB" w:rsidRDefault="00E90FE8" w:rsidP="00767CD8">
            <w:pPr>
              <w:tabs>
                <w:tab w:val="clear" w:pos="284"/>
              </w:tabs>
              <w:jc w:val="left"/>
              <w:rPr>
                <w:szCs w:val="22"/>
                <w:lang w:val="sr-Latn-ME"/>
              </w:rPr>
            </w:pPr>
            <w:r w:rsidRPr="00A259FB">
              <w:rPr>
                <w:szCs w:val="22"/>
                <w:lang w:val="sr-Latn-ME"/>
              </w:rPr>
              <w:t>Povećane vr</w:t>
            </w:r>
            <w:r w:rsidR="00723F9E" w:rsidRPr="00A259FB">
              <w:rPr>
                <w:szCs w:val="22"/>
                <w:lang w:val="sr-Latn-ME"/>
              </w:rPr>
              <w:t>ij</w:t>
            </w:r>
            <w:r w:rsidRPr="00A259FB">
              <w:rPr>
                <w:szCs w:val="22"/>
                <w:lang w:val="sr-Latn-ME"/>
              </w:rPr>
              <w:t>ednosti transaminaza</w:t>
            </w:r>
          </w:p>
        </w:tc>
      </w:tr>
      <w:tr w:rsidR="00E90FE8" w:rsidRPr="00A259FB" w14:paraId="2A9DC06F" w14:textId="77777777" w:rsidTr="00D35F0F">
        <w:trPr>
          <w:trHeight w:val="585"/>
          <w:tblCellSpacing w:w="0" w:type="dxa"/>
        </w:trPr>
        <w:tc>
          <w:tcPr>
            <w:tcW w:w="1792" w:type="pct"/>
            <w:vMerge/>
            <w:vAlign w:val="center"/>
          </w:tcPr>
          <w:p w14:paraId="2A9DC06C" w14:textId="77777777" w:rsidR="00E90FE8" w:rsidRPr="00A259FB" w:rsidRDefault="00E90FE8" w:rsidP="00767CD8">
            <w:pPr>
              <w:tabs>
                <w:tab w:val="clear" w:pos="284"/>
              </w:tabs>
              <w:jc w:val="left"/>
              <w:rPr>
                <w:szCs w:val="22"/>
                <w:lang w:val="sr-Latn-ME"/>
              </w:rPr>
            </w:pPr>
          </w:p>
        </w:tc>
        <w:tc>
          <w:tcPr>
            <w:tcW w:w="1466" w:type="pct"/>
            <w:vAlign w:val="center"/>
          </w:tcPr>
          <w:p w14:paraId="2A9DC06D" w14:textId="6DCC37A5" w:rsidR="00E90FE8" w:rsidRPr="00A259FB" w:rsidRDefault="00E90FE8" w:rsidP="00767CD8">
            <w:pPr>
              <w:tabs>
                <w:tab w:val="clear" w:pos="284"/>
              </w:tabs>
              <w:jc w:val="left"/>
              <w:rPr>
                <w:szCs w:val="22"/>
                <w:lang w:val="sr-Latn-ME"/>
              </w:rPr>
            </w:pPr>
            <w:r w:rsidRPr="00A259FB">
              <w:rPr>
                <w:szCs w:val="22"/>
                <w:lang w:val="sr-Latn-ME"/>
              </w:rPr>
              <w:t>R</w:t>
            </w:r>
            <w:r w:rsidR="00723F9E" w:rsidRPr="00A259FB">
              <w:rPr>
                <w:szCs w:val="22"/>
                <w:lang w:val="sr-Latn-ME"/>
              </w:rPr>
              <w:t>ij</w:t>
            </w:r>
            <w:r w:rsidRPr="00A259FB">
              <w:rPr>
                <w:szCs w:val="22"/>
                <w:lang w:val="sr-Latn-ME"/>
              </w:rPr>
              <w:t xml:space="preserve">etko  </w:t>
            </w:r>
          </w:p>
        </w:tc>
        <w:tc>
          <w:tcPr>
            <w:tcW w:w="1742" w:type="pct"/>
            <w:vAlign w:val="center"/>
          </w:tcPr>
          <w:p w14:paraId="2A9DC06E" w14:textId="66C42261" w:rsidR="00E90FE8" w:rsidRPr="00A259FB" w:rsidRDefault="00E90FE8" w:rsidP="00767CD8">
            <w:pPr>
              <w:tabs>
                <w:tab w:val="clear" w:pos="284"/>
              </w:tabs>
              <w:jc w:val="left"/>
              <w:rPr>
                <w:szCs w:val="22"/>
                <w:lang w:val="sr-Latn-ME"/>
              </w:rPr>
            </w:pPr>
            <w:r w:rsidRPr="00A259FB">
              <w:rPr>
                <w:szCs w:val="22"/>
                <w:lang w:val="sr-Latn-ME"/>
              </w:rPr>
              <w:t>Hepatotoksičnost</w:t>
            </w:r>
            <w:r w:rsidR="00A01CBD" w:rsidRPr="00A259FB">
              <w:rPr>
                <w:szCs w:val="22"/>
                <w:lang w:val="sr-Latn-ME"/>
              </w:rPr>
              <w:t>,</w:t>
            </w:r>
            <w:r w:rsidRPr="00A259FB">
              <w:rPr>
                <w:szCs w:val="22"/>
                <w:lang w:val="sr-Latn-ME"/>
              </w:rPr>
              <w:t xml:space="preserve"> uključujući i intrahepatičnu holestazu</w:t>
            </w:r>
          </w:p>
        </w:tc>
      </w:tr>
      <w:tr w:rsidR="00E90FE8" w:rsidRPr="00A259FB" w14:paraId="2A9DC073" w14:textId="77777777" w:rsidTr="00D35F0F">
        <w:trPr>
          <w:trHeight w:val="918"/>
          <w:tblCellSpacing w:w="0" w:type="dxa"/>
        </w:trPr>
        <w:tc>
          <w:tcPr>
            <w:tcW w:w="1792" w:type="pct"/>
            <w:vMerge w:val="restart"/>
            <w:vAlign w:val="center"/>
          </w:tcPr>
          <w:p w14:paraId="2A9DC070" w14:textId="0D67CE77" w:rsidR="00E90FE8" w:rsidRPr="00A259FB" w:rsidRDefault="00E90FE8" w:rsidP="00767CD8">
            <w:pPr>
              <w:tabs>
                <w:tab w:val="clear" w:pos="284"/>
              </w:tabs>
              <w:jc w:val="left"/>
              <w:rPr>
                <w:color w:val="000000"/>
                <w:szCs w:val="22"/>
                <w:lang w:val="sr-Latn-ME"/>
              </w:rPr>
            </w:pPr>
            <w:r w:rsidRPr="00A259FB">
              <w:rPr>
                <w:color w:val="000000"/>
                <w:szCs w:val="22"/>
                <w:lang w:val="sr-Latn-ME"/>
              </w:rPr>
              <w:t>Poremećaj</w:t>
            </w:r>
            <w:r w:rsidR="00A01CBD" w:rsidRPr="00A259FB">
              <w:rPr>
                <w:color w:val="000000"/>
                <w:szCs w:val="22"/>
                <w:lang w:val="sr-Latn-ME"/>
              </w:rPr>
              <w:t>i</w:t>
            </w:r>
            <w:r w:rsidRPr="00A259FB">
              <w:rPr>
                <w:color w:val="000000"/>
                <w:szCs w:val="22"/>
                <w:lang w:val="sr-Latn-ME"/>
              </w:rPr>
              <w:t xml:space="preserve"> kože i potkožnog tkiva</w:t>
            </w:r>
          </w:p>
        </w:tc>
        <w:tc>
          <w:tcPr>
            <w:tcW w:w="1466" w:type="pct"/>
            <w:vAlign w:val="center"/>
          </w:tcPr>
          <w:p w14:paraId="2A9DC071" w14:textId="0FEE50E3" w:rsidR="00E90FE8" w:rsidRPr="00A259FB" w:rsidRDefault="00E90FE8" w:rsidP="00767CD8">
            <w:pPr>
              <w:tabs>
                <w:tab w:val="clear" w:pos="284"/>
              </w:tabs>
              <w:jc w:val="left"/>
              <w:rPr>
                <w:szCs w:val="22"/>
                <w:lang w:val="sr-Latn-ME"/>
              </w:rPr>
            </w:pPr>
            <w:r w:rsidRPr="00A259FB">
              <w:rPr>
                <w:szCs w:val="22"/>
                <w:lang w:val="sr-Latn-ME"/>
              </w:rPr>
              <w:t>R</w:t>
            </w:r>
            <w:r w:rsidR="00723F9E" w:rsidRPr="00A259FB">
              <w:rPr>
                <w:szCs w:val="22"/>
                <w:lang w:val="sr-Latn-ME"/>
              </w:rPr>
              <w:t>ij</w:t>
            </w:r>
            <w:r w:rsidRPr="00A259FB">
              <w:rPr>
                <w:szCs w:val="22"/>
                <w:lang w:val="sr-Latn-ME"/>
              </w:rPr>
              <w:t>etko</w:t>
            </w:r>
          </w:p>
        </w:tc>
        <w:tc>
          <w:tcPr>
            <w:tcW w:w="1742" w:type="pct"/>
            <w:vAlign w:val="center"/>
          </w:tcPr>
          <w:p w14:paraId="2A9DC072" w14:textId="0D2C55EB" w:rsidR="00E90FE8" w:rsidRPr="00A259FB" w:rsidRDefault="00E90FE8">
            <w:pPr>
              <w:tabs>
                <w:tab w:val="clear" w:pos="284"/>
              </w:tabs>
              <w:jc w:val="left"/>
              <w:rPr>
                <w:szCs w:val="22"/>
                <w:lang w:val="sr-Latn-ME"/>
              </w:rPr>
            </w:pPr>
            <w:r w:rsidRPr="00A259FB">
              <w:rPr>
                <w:szCs w:val="22"/>
                <w:lang w:val="sr-Latn-ME"/>
              </w:rPr>
              <w:t xml:space="preserve">Alopecija, </w:t>
            </w:r>
            <w:r w:rsidR="00CF719E" w:rsidRPr="00A259FB">
              <w:rPr>
                <w:szCs w:val="22"/>
                <w:lang w:val="sr-Latn-ME"/>
              </w:rPr>
              <w:t>prom</w:t>
            </w:r>
            <w:r w:rsidR="00723F9E" w:rsidRPr="00A259FB">
              <w:rPr>
                <w:szCs w:val="22"/>
                <w:lang w:val="sr-Latn-ME"/>
              </w:rPr>
              <w:t>j</w:t>
            </w:r>
            <w:r w:rsidR="00CF719E" w:rsidRPr="00A259FB">
              <w:rPr>
                <w:szCs w:val="22"/>
                <w:lang w:val="sr-Latn-ME"/>
              </w:rPr>
              <w:t>ene kože</w:t>
            </w:r>
            <w:r w:rsidRPr="00A259FB">
              <w:rPr>
                <w:szCs w:val="22"/>
                <w:lang w:val="sr-Latn-ME"/>
              </w:rPr>
              <w:t xml:space="preserve"> koje pods</w:t>
            </w:r>
            <w:r w:rsidR="00723F9E" w:rsidRPr="00A259FB">
              <w:rPr>
                <w:szCs w:val="22"/>
                <w:lang w:val="sr-Latn-ME"/>
              </w:rPr>
              <w:t>j</w:t>
            </w:r>
            <w:r w:rsidRPr="00A259FB">
              <w:rPr>
                <w:szCs w:val="22"/>
                <w:lang w:val="sr-Latn-ME"/>
              </w:rPr>
              <w:t>ećaju na psorijazu, egzarcerbacija psorijaze, osip</w:t>
            </w:r>
            <w:r w:rsidR="00A01CBD" w:rsidRPr="00A259FB">
              <w:rPr>
                <w:szCs w:val="22"/>
                <w:lang w:val="sr-Latn-ME"/>
              </w:rPr>
              <w:t>i</w:t>
            </w:r>
            <w:r w:rsidR="00CF719E" w:rsidRPr="00A259FB">
              <w:rPr>
                <w:szCs w:val="22"/>
                <w:lang w:val="sr-Latn-ME"/>
              </w:rPr>
              <w:t xml:space="preserve"> kože</w:t>
            </w:r>
          </w:p>
        </w:tc>
      </w:tr>
      <w:tr w:rsidR="00E90FE8" w:rsidRPr="00A259FB" w14:paraId="2A9DC077" w14:textId="77777777" w:rsidTr="00D35F0F">
        <w:trPr>
          <w:trHeight w:val="630"/>
          <w:tblCellSpacing w:w="0" w:type="dxa"/>
        </w:trPr>
        <w:tc>
          <w:tcPr>
            <w:tcW w:w="1792" w:type="pct"/>
            <w:vMerge/>
            <w:vAlign w:val="center"/>
          </w:tcPr>
          <w:p w14:paraId="2A9DC074" w14:textId="77777777" w:rsidR="00E90FE8" w:rsidRPr="00A259FB" w:rsidRDefault="00E90FE8" w:rsidP="00767CD8">
            <w:pPr>
              <w:tabs>
                <w:tab w:val="clear" w:pos="284"/>
              </w:tabs>
              <w:jc w:val="left"/>
              <w:rPr>
                <w:szCs w:val="22"/>
                <w:lang w:val="sr-Latn-ME"/>
              </w:rPr>
            </w:pPr>
          </w:p>
        </w:tc>
        <w:tc>
          <w:tcPr>
            <w:tcW w:w="1466" w:type="pct"/>
            <w:vAlign w:val="center"/>
          </w:tcPr>
          <w:p w14:paraId="2A9DC075" w14:textId="77777777" w:rsidR="00E90FE8" w:rsidRPr="00A259FB" w:rsidRDefault="00E90FE8" w:rsidP="00767CD8">
            <w:pPr>
              <w:tabs>
                <w:tab w:val="clear" w:pos="284"/>
              </w:tabs>
              <w:jc w:val="left"/>
              <w:rPr>
                <w:szCs w:val="22"/>
                <w:lang w:val="sr-Latn-ME"/>
              </w:rPr>
            </w:pPr>
            <w:r w:rsidRPr="00A259FB">
              <w:rPr>
                <w:szCs w:val="22"/>
                <w:lang w:val="sr-Latn-ME"/>
              </w:rPr>
              <w:t xml:space="preserve">Nepoznato </w:t>
            </w:r>
          </w:p>
        </w:tc>
        <w:tc>
          <w:tcPr>
            <w:tcW w:w="1742" w:type="pct"/>
            <w:vAlign w:val="center"/>
          </w:tcPr>
          <w:p w14:paraId="2A9DC076" w14:textId="249B9C77" w:rsidR="00E90FE8" w:rsidRPr="00A259FB" w:rsidRDefault="00E90FE8" w:rsidP="00767CD8">
            <w:pPr>
              <w:tabs>
                <w:tab w:val="clear" w:pos="284"/>
              </w:tabs>
              <w:jc w:val="left"/>
              <w:rPr>
                <w:szCs w:val="22"/>
                <w:lang w:val="sr-Latn-ME"/>
              </w:rPr>
            </w:pPr>
            <w:r w:rsidRPr="00A259FB">
              <w:rPr>
                <w:szCs w:val="22"/>
                <w:lang w:val="sr-Latn-ME"/>
              </w:rPr>
              <w:t>Reakcije preos</w:t>
            </w:r>
            <w:r w:rsidR="00723F9E" w:rsidRPr="00A259FB">
              <w:rPr>
                <w:szCs w:val="22"/>
                <w:lang w:val="sr-Latn-ME"/>
              </w:rPr>
              <w:t>j</w:t>
            </w:r>
            <w:r w:rsidRPr="00A259FB">
              <w:rPr>
                <w:szCs w:val="22"/>
                <w:lang w:val="sr-Latn-ME"/>
              </w:rPr>
              <w:t>etljivosti, uključujući angiodem i urtikariju</w:t>
            </w:r>
          </w:p>
        </w:tc>
      </w:tr>
      <w:tr w:rsidR="00E90FE8" w:rsidRPr="00A259FB" w14:paraId="2A9DC07B" w14:textId="77777777" w:rsidTr="00D35F0F">
        <w:trPr>
          <w:trHeight w:val="720"/>
          <w:tblCellSpacing w:w="0" w:type="dxa"/>
        </w:trPr>
        <w:tc>
          <w:tcPr>
            <w:tcW w:w="1792" w:type="pct"/>
            <w:vAlign w:val="center"/>
          </w:tcPr>
          <w:p w14:paraId="2A9DC078"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t>Poremećaji mišićno-koštanog sistema i vezivnog tkiva</w:t>
            </w:r>
          </w:p>
        </w:tc>
        <w:tc>
          <w:tcPr>
            <w:tcW w:w="1466" w:type="pct"/>
            <w:vAlign w:val="center"/>
          </w:tcPr>
          <w:p w14:paraId="2A9DC079" w14:textId="77777777" w:rsidR="00E90FE8" w:rsidRPr="00A259FB" w:rsidRDefault="00E90FE8" w:rsidP="00767CD8">
            <w:pPr>
              <w:tabs>
                <w:tab w:val="clear" w:pos="284"/>
              </w:tabs>
              <w:jc w:val="left"/>
              <w:rPr>
                <w:szCs w:val="22"/>
                <w:lang w:val="sr-Latn-ME"/>
              </w:rPr>
            </w:pPr>
            <w:r w:rsidRPr="00A259FB">
              <w:rPr>
                <w:szCs w:val="22"/>
                <w:lang w:val="sr-Latn-ME"/>
              </w:rPr>
              <w:t>Nepoznato</w:t>
            </w:r>
          </w:p>
        </w:tc>
        <w:tc>
          <w:tcPr>
            <w:tcW w:w="1742" w:type="pct"/>
            <w:vAlign w:val="center"/>
          </w:tcPr>
          <w:p w14:paraId="2A9DC07A" w14:textId="5D9A7CF1" w:rsidR="00E90FE8" w:rsidRPr="00A259FB" w:rsidRDefault="00A01CBD" w:rsidP="00767CD8">
            <w:pPr>
              <w:tabs>
                <w:tab w:val="clear" w:pos="284"/>
              </w:tabs>
              <w:jc w:val="left"/>
              <w:rPr>
                <w:szCs w:val="22"/>
                <w:lang w:val="sr-Latn-ME"/>
              </w:rPr>
            </w:pPr>
            <w:r w:rsidRPr="00A259FB">
              <w:rPr>
                <w:szCs w:val="22"/>
                <w:lang w:val="sr-Latn-ME"/>
              </w:rPr>
              <w:t>Sindrom sličan lupusu</w:t>
            </w:r>
          </w:p>
        </w:tc>
      </w:tr>
      <w:tr w:rsidR="00E90FE8" w:rsidRPr="00A259FB" w14:paraId="2A9DC07F" w14:textId="77777777" w:rsidTr="00D35F0F">
        <w:trPr>
          <w:trHeight w:val="693"/>
          <w:tblCellSpacing w:w="0" w:type="dxa"/>
        </w:trPr>
        <w:tc>
          <w:tcPr>
            <w:tcW w:w="1792" w:type="pct"/>
            <w:vAlign w:val="center"/>
          </w:tcPr>
          <w:p w14:paraId="2A9DC07C"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t>Poremećaji reproduktivnog sistema i dojki</w:t>
            </w:r>
          </w:p>
        </w:tc>
        <w:tc>
          <w:tcPr>
            <w:tcW w:w="1466" w:type="pct"/>
            <w:vAlign w:val="center"/>
          </w:tcPr>
          <w:p w14:paraId="2A9DC07D" w14:textId="0252CF39" w:rsidR="00E90FE8" w:rsidRPr="00A259FB" w:rsidRDefault="00E90FE8" w:rsidP="00767CD8">
            <w:pPr>
              <w:tabs>
                <w:tab w:val="clear" w:pos="284"/>
              </w:tabs>
              <w:jc w:val="left"/>
              <w:rPr>
                <w:szCs w:val="22"/>
                <w:lang w:val="sr-Latn-ME"/>
              </w:rPr>
            </w:pPr>
            <w:r w:rsidRPr="00A259FB">
              <w:rPr>
                <w:szCs w:val="22"/>
                <w:lang w:val="sr-Latn-ME"/>
              </w:rPr>
              <w:t>R</w:t>
            </w:r>
            <w:r w:rsidR="00723F9E" w:rsidRPr="00A259FB">
              <w:rPr>
                <w:szCs w:val="22"/>
                <w:lang w:val="sr-Latn-ME"/>
              </w:rPr>
              <w:t>ij</w:t>
            </w:r>
            <w:r w:rsidRPr="00A259FB">
              <w:rPr>
                <w:szCs w:val="22"/>
                <w:lang w:val="sr-Latn-ME"/>
              </w:rPr>
              <w:t xml:space="preserve">etko </w:t>
            </w:r>
          </w:p>
        </w:tc>
        <w:tc>
          <w:tcPr>
            <w:tcW w:w="1742" w:type="pct"/>
            <w:vAlign w:val="center"/>
          </w:tcPr>
          <w:p w14:paraId="2A9DC07E" w14:textId="77777777" w:rsidR="00E90FE8" w:rsidRPr="00A259FB" w:rsidRDefault="00E90FE8" w:rsidP="00767CD8">
            <w:pPr>
              <w:tabs>
                <w:tab w:val="clear" w:pos="284"/>
              </w:tabs>
              <w:jc w:val="left"/>
              <w:rPr>
                <w:szCs w:val="22"/>
                <w:lang w:val="sr-Latn-ME"/>
              </w:rPr>
            </w:pPr>
            <w:r w:rsidRPr="00A259FB">
              <w:rPr>
                <w:szCs w:val="22"/>
                <w:lang w:val="sr-Latn-ME"/>
              </w:rPr>
              <w:t xml:space="preserve">Impotencija </w:t>
            </w:r>
          </w:p>
        </w:tc>
      </w:tr>
      <w:tr w:rsidR="00E90FE8" w:rsidRPr="00A259FB" w14:paraId="2A9DC083" w14:textId="77777777" w:rsidTr="00D35F0F">
        <w:trPr>
          <w:trHeight w:val="657"/>
          <w:tblCellSpacing w:w="0" w:type="dxa"/>
        </w:trPr>
        <w:tc>
          <w:tcPr>
            <w:tcW w:w="1792" w:type="pct"/>
            <w:vAlign w:val="center"/>
          </w:tcPr>
          <w:p w14:paraId="2A9DC080" w14:textId="7EDFC05D" w:rsidR="00E90FE8" w:rsidRPr="00A259FB" w:rsidRDefault="00E90FE8" w:rsidP="00767CD8">
            <w:pPr>
              <w:tabs>
                <w:tab w:val="clear" w:pos="284"/>
              </w:tabs>
              <w:jc w:val="left"/>
              <w:rPr>
                <w:color w:val="000000"/>
                <w:szCs w:val="22"/>
                <w:lang w:val="sr-Latn-ME"/>
              </w:rPr>
            </w:pPr>
            <w:r w:rsidRPr="00A259FB">
              <w:rPr>
                <w:color w:val="000000"/>
                <w:szCs w:val="22"/>
                <w:lang w:val="sr-Latn-ME"/>
              </w:rPr>
              <w:t>Opšti poremećaji i reakcije na m</w:t>
            </w:r>
            <w:r w:rsidR="00723F9E" w:rsidRPr="00A259FB">
              <w:rPr>
                <w:color w:val="000000"/>
                <w:szCs w:val="22"/>
                <w:lang w:val="sr-Latn-ME"/>
              </w:rPr>
              <w:t>j</w:t>
            </w:r>
            <w:r w:rsidRPr="00A259FB">
              <w:rPr>
                <w:color w:val="000000"/>
                <w:szCs w:val="22"/>
                <w:lang w:val="sr-Latn-ME"/>
              </w:rPr>
              <w:t>estu prim</w:t>
            </w:r>
            <w:r w:rsidR="00723F9E" w:rsidRPr="00A259FB">
              <w:rPr>
                <w:color w:val="000000"/>
                <w:szCs w:val="22"/>
                <w:lang w:val="sr-Latn-ME"/>
              </w:rPr>
              <w:t>j</w:t>
            </w:r>
            <w:r w:rsidRPr="00A259FB">
              <w:rPr>
                <w:color w:val="000000"/>
                <w:szCs w:val="22"/>
                <w:lang w:val="sr-Latn-ME"/>
              </w:rPr>
              <w:t>ene</w:t>
            </w:r>
          </w:p>
        </w:tc>
        <w:tc>
          <w:tcPr>
            <w:tcW w:w="1466" w:type="pct"/>
            <w:vAlign w:val="center"/>
          </w:tcPr>
          <w:p w14:paraId="2A9DC081" w14:textId="77777777" w:rsidR="00E90FE8" w:rsidRPr="00A259FB" w:rsidRDefault="00E90FE8" w:rsidP="00767CD8">
            <w:pPr>
              <w:tabs>
                <w:tab w:val="clear" w:pos="284"/>
              </w:tabs>
              <w:jc w:val="left"/>
              <w:rPr>
                <w:szCs w:val="22"/>
                <w:lang w:val="sr-Latn-ME"/>
              </w:rPr>
            </w:pPr>
            <w:r w:rsidRPr="00A259FB">
              <w:rPr>
                <w:szCs w:val="22"/>
                <w:lang w:val="sr-Latn-ME"/>
              </w:rPr>
              <w:t>Često</w:t>
            </w:r>
          </w:p>
        </w:tc>
        <w:tc>
          <w:tcPr>
            <w:tcW w:w="1742" w:type="pct"/>
            <w:vAlign w:val="center"/>
          </w:tcPr>
          <w:p w14:paraId="2A9DC082" w14:textId="68E3B05C" w:rsidR="00E90FE8" w:rsidRPr="00A259FB" w:rsidRDefault="00E90FE8" w:rsidP="00767CD8">
            <w:pPr>
              <w:tabs>
                <w:tab w:val="clear" w:pos="284"/>
              </w:tabs>
              <w:jc w:val="left"/>
              <w:rPr>
                <w:szCs w:val="22"/>
                <w:lang w:val="sr-Latn-ME"/>
              </w:rPr>
            </w:pPr>
            <w:r w:rsidRPr="00A259FB">
              <w:rPr>
                <w:szCs w:val="22"/>
                <w:lang w:val="sr-Latn-ME"/>
              </w:rPr>
              <w:t>Os</w:t>
            </w:r>
            <w:r w:rsidR="00723F9E" w:rsidRPr="00A259FB">
              <w:rPr>
                <w:szCs w:val="22"/>
                <w:lang w:val="sr-Latn-ME"/>
              </w:rPr>
              <w:t>j</w:t>
            </w:r>
            <w:r w:rsidRPr="00A259FB">
              <w:rPr>
                <w:szCs w:val="22"/>
                <w:lang w:val="sr-Latn-ME"/>
              </w:rPr>
              <w:t>ećaj umora</w:t>
            </w:r>
          </w:p>
        </w:tc>
      </w:tr>
      <w:tr w:rsidR="00E90FE8" w:rsidRPr="00A259FB" w14:paraId="2A9DC087" w14:textId="77777777" w:rsidTr="00D35F0F">
        <w:trPr>
          <w:trHeight w:val="846"/>
          <w:tblCellSpacing w:w="0" w:type="dxa"/>
        </w:trPr>
        <w:tc>
          <w:tcPr>
            <w:tcW w:w="1792" w:type="pct"/>
            <w:vAlign w:val="center"/>
          </w:tcPr>
          <w:p w14:paraId="2A9DC084" w14:textId="77777777" w:rsidR="00E90FE8" w:rsidRPr="00A259FB" w:rsidRDefault="00E90FE8" w:rsidP="00767CD8">
            <w:pPr>
              <w:tabs>
                <w:tab w:val="clear" w:pos="284"/>
              </w:tabs>
              <w:jc w:val="left"/>
              <w:rPr>
                <w:color w:val="000000"/>
                <w:szCs w:val="22"/>
                <w:lang w:val="sr-Latn-ME"/>
              </w:rPr>
            </w:pPr>
            <w:r w:rsidRPr="00A259FB">
              <w:rPr>
                <w:color w:val="000000"/>
                <w:szCs w:val="22"/>
                <w:lang w:val="sr-Latn-ME"/>
              </w:rPr>
              <w:t>Ispitivanja</w:t>
            </w:r>
          </w:p>
        </w:tc>
        <w:tc>
          <w:tcPr>
            <w:tcW w:w="1466" w:type="pct"/>
            <w:vAlign w:val="center"/>
          </w:tcPr>
          <w:p w14:paraId="2A9DC085" w14:textId="2FAA94F9" w:rsidR="00E90FE8" w:rsidRPr="00A259FB" w:rsidRDefault="00E90FE8" w:rsidP="00767CD8">
            <w:pPr>
              <w:tabs>
                <w:tab w:val="clear" w:pos="284"/>
              </w:tabs>
              <w:jc w:val="left"/>
              <w:rPr>
                <w:szCs w:val="22"/>
                <w:lang w:val="sr-Latn-ME"/>
              </w:rPr>
            </w:pPr>
            <w:r w:rsidRPr="00A259FB">
              <w:rPr>
                <w:szCs w:val="22"/>
                <w:lang w:val="sr-Latn-ME"/>
              </w:rPr>
              <w:t>Veoma r</w:t>
            </w:r>
            <w:r w:rsidR="00723F9E" w:rsidRPr="00A259FB">
              <w:rPr>
                <w:szCs w:val="22"/>
                <w:lang w:val="sr-Latn-ME"/>
              </w:rPr>
              <w:t>ij</w:t>
            </w:r>
            <w:r w:rsidRPr="00A259FB">
              <w:rPr>
                <w:szCs w:val="22"/>
                <w:lang w:val="sr-Latn-ME"/>
              </w:rPr>
              <w:t>etko</w:t>
            </w:r>
          </w:p>
        </w:tc>
        <w:tc>
          <w:tcPr>
            <w:tcW w:w="1742" w:type="pct"/>
            <w:vAlign w:val="center"/>
          </w:tcPr>
          <w:p w14:paraId="2A9DC086" w14:textId="59DDB689" w:rsidR="00E90FE8" w:rsidRPr="00A259FB" w:rsidRDefault="00E90FE8" w:rsidP="00767CD8">
            <w:pPr>
              <w:tabs>
                <w:tab w:val="clear" w:pos="284"/>
              </w:tabs>
              <w:ind w:right="232"/>
              <w:jc w:val="left"/>
              <w:rPr>
                <w:szCs w:val="22"/>
                <w:lang w:val="sr-Latn-ME"/>
              </w:rPr>
            </w:pPr>
            <w:r w:rsidRPr="00A259FB">
              <w:rPr>
                <w:szCs w:val="22"/>
                <w:lang w:val="sr-Latn-ME"/>
              </w:rPr>
              <w:t>Povećane vr</w:t>
            </w:r>
            <w:r w:rsidR="00723F9E" w:rsidRPr="00A259FB">
              <w:rPr>
                <w:szCs w:val="22"/>
                <w:lang w:val="sr-Latn-ME"/>
              </w:rPr>
              <w:t>ij</w:t>
            </w:r>
            <w:r w:rsidRPr="00A259FB">
              <w:rPr>
                <w:szCs w:val="22"/>
                <w:lang w:val="sr-Latn-ME"/>
              </w:rPr>
              <w:t>ednosti ANA (antinuklearna antit</w:t>
            </w:r>
            <w:r w:rsidR="00901148" w:rsidRPr="00A259FB">
              <w:rPr>
                <w:szCs w:val="22"/>
                <w:lang w:val="sr-Latn-ME"/>
              </w:rPr>
              <w:t>ij</w:t>
            </w:r>
            <w:r w:rsidRPr="00A259FB">
              <w:rPr>
                <w:szCs w:val="22"/>
                <w:lang w:val="sr-Latn-ME"/>
              </w:rPr>
              <w:t xml:space="preserve">ela), ali nije ustanovljen klinički značaj </w:t>
            </w:r>
          </w:p>
        </w:tc>
      </w:tr>
    </w:tbl>
    <w:p w14:paraId="2A9DC089" w14:textId="306E6B7B" w:rsidR="00E90FE8" w:rsidRPr="00A259FB" w:rsidRDefault="005B1F54" w:rsidP="00767CD8">
      <w:pPr>
        <w:autoSpaceDE w:val="0"/>
        <w:autoSpaceDN w:val="0"/>
        <w:adjustRightInd w:val="0"/>
        <w:rPr>
          <w:szCs w:val="22"/>
          <w:lang w:val="sr-Latn-ME"/>
        </w:rPr>
      </w:pPr>
      <w:r w:rsidRPr="00A259FB">
        <w:rPr>
          <w:szCs w:val="22"/>
          <w:lang w:val="sr-Latn-ME"/>
        </w:rPr>
        <w:t>Obustavu</w:t>
      </w:r>
      <w:r w:rsidR="00E90FE8" w:rsidRPr="00A259FB">
        <w:rPr>
          <w:szCs w:val="22"/>
          <w:lang w:val="sr-Latn-ME"/>
        </w:rPr>
        <w:t xml:space="preserve"> l</w:t>
      </w:r>
      <w:r w:rsidR="00901148" w:rsidRPr="00A259FB">
        <w:rPr>
          <w:szCs w:val="22"/>
          <w:lang w:val="sr-Latn-ME"/>
        </w:rPr>
        <w:t>ij</w:t>
      </w:r>
      <w:r w:rsidR="00E90FE8" w:rsidRPr="00A259FB">
        <w:rPr>
          <w:szCs w:val="22"/>
          <w:lang w:val="sr-Latn-ME"/>
        </w:rPr>
        <w:t>ek</w:t>
      </w:r>
      <w:r w:rsidRPr="00A259FB">
        <w:rPr>
          <w:szCs w:val="22"/>
          <w:lang w:val="sr-Latn-ME"/>
        </w:rPr>
        <w:t>a</w:t>
      </w:r>
      <w:r w:rsidR="00E90FE8" w:rsidRPr="00A259FB">
        <w:rPr>
          <w:szCs w:val="22"/>
          <w:lang w:val="sr-Latn-ME"/>
        </w:rPr>
        <w:t xml:space="preserve"> treba razmotriti ukoliko je</w:t>
      </w:r>
      <w:r w:rsidRPr="00A259FB">
        <w:rPr>
          <w:szCs w:val="22"/>
          <w:lang w:val="sr-Latn-ME"/>
        </w:rPr>
        <w:t>,</w:t>
      </w:r>
      <w:r w:rsidR="00E90FE8" w:rsidRPr="00A259FB">
        <w:rPr>
          <w:szCs w:val="22"/>
          <w:lang w:val="sr-Latn-ME"/>
        </w:rPr>
        <w:t xml:space="preserve"> prema kliničkoj proc</w:t>
      </w:r>
      <w:r w:rsidR="00901148" w:rsidRPr="00A259FB">
        <w:rPr>
          <w:szCs w:val="22"/>
          <w:lang w:val="sr-Latn-ME"/>
        </w:rPr>
        <w:t>j</w:t>
      </w:r>
      <w:r w:rsidR="00E90FE8" w:rsidRPr="00A259FB">
        <w:rPr>
          <w:szCs w:val="22"/>
          <w:lang w:val="sr-Latn-ME"/>
        </w:rPr>
        <w:t>eni</w:t>
      </w:r>
      <w:r w:rsidRPr="00A259FB">
        <w:rPr>
          <w:szCs w:val="22"/>
          <w:lang w:val="sr-Latn-ME"/>
        </w:rPr>
        <w:t>,</w:t>
      </w:r>
      <w:r w:rsidR="00E90FE8" w:rsidRPr="00A259FB">
        <w:rPr>
          <w:szCs w:val="22"/>
          <w:lang w:val="sr-Latn-ME"/>
        </w:rPr>
        <w:t xml:space="preserve"> dobrobit pacijenta ugrožena nekim od nabrojanih neželjenih dejstava.</w:t>
      </w:r>
    </w:p>
    <w:p w14:paraId="171E183D" w14:textId="77777777" w:rsidR="00FD06C2" w:rsidRPr="00A259FB" w:rsidRDefault="00FD06C2" w:rsidP="00767CD8">
      <w:pPr>
        <w:autoSpaceDE w:val="0"/>
        <w:autoSpaceDN w:val="0"/>
        <w:adjustRightInd w:val="0"/>
        <w:rPr>
          <w:szCs w:val="22"/>
          <w:lang w:val="sr-Latn-ME"/>
        </w:rPr>
      </w:pPr>
    </w:p>
    <w:p w14:paraId="64DD7EE9" w14:textId="77777777" w:rsidR="00725EA9" w:rsidRPr="00A259FB" w:rsidRDefault="00725EA9" w:rsidP="00767CD8">
      <w:pPr>
        <w:tabs>
          <w:tab w:val="clear" w:pos="284"/>
        </w:tabs>
        <w:jc w:val="left"/>
        <w:rPr>
          <w:rFonts w:eastAsia="Calibri"/>
          <w:szCs w:val="22"/>
          <w:u w:val="single"/>
          <w:lang w:val="sr-Latn-ME"/>
        </w:rPr>
      </w:pPr>
      <w:r w:rsidRPr="00A259FB">
        <w:rPr>
          <w:rFonts w:eastAsia="Calibri"/>
          <w:szCs w:val="22"/>
          <w:u w:val="single"/>
          <w:lang w:val="sr-Latn-ME"/>
        </w:rPr>
        <w:t>Prijavljivanje sumnji na neželjena dejstva</w:t>
      </w:r>
    </w:p>
    <w:p w14:paraId="205A9F3E" w14:textId="13AB96E3" w:rsidR="00725EA9" w:rsidRPr="00A259FB" w:rsidRDefault="00725EA9" w:rsidP="00767CD8">
      <w:pPr>
        <w:tabs>
          <w:tab w:val="clear" w:pos="284"/>
        </w:tabs>
        <w:rPr>
          <w:rFonts w:eastAsia="Calibri"/>
          <w:szCs w:val="22"/>
          <w:lang w:val="sr-Latn-ME"/>
        </w:rPr>
      </w:pPr>
      <w:r w:rsidRPr="00A259FB">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8C83BA3" w14:textId="77777777" w:rsidR="00FD06C2" w:rsidRPr="00A259FB" w:rsidRDefault="00FD06C2" w:rsidP="00767CD8">
      <w:pPr>
        <w:tabs>
          <w:tab w:val="clear" w:pos="284"/>
        </w:tabs>
        <w:rPr>
          <w:rFonts w:eastAsia="Calibri"/>
          <w:szCs w:val="22"/>
          <w:lang w:val="sr-Latn-ME"/>
        </w:rPr>
      </w:pPr>
    </w:p>
    <w:p w14:paraId="4F9BC4E5" w14:textId="77777777" w:rsidR="00725EA9" w:rsidRPr="00A259FB" w:rsidRDefault="00725EA9" w:rsidP="00767CD8">
      <w:pPr>
        <w:tabs>
          <w:tab w:val="clear" w:pos="284"/>
        </w:tabs>
        <w:rPr>
          <w:rFonts w:eastAsia="Calibri"/>
          <w:szCs w:val="22"/>
          <w:lang w:val="sr-Latn-ME"/>
        </w:rPr>
      </w:pPr>
      <w:r w:rsidRPr="00A259FB">
        <w:rPr>
          <w:rFonts w:eastAsia="Calibri"/>
          <w:szCs w:val="22"/>
          <w:lang w:val="sr-Latn-ME"/>
        </w:rPr>
        <w:t xml:space="preserve">Institut za ljekove i medicinska sredstva </w:t>
      </w:r>
    </w:p>
    <w:p w14:paraId="25DD67F3" w14:textId="77777777" w:rsidR="00725EA9" w:rsidRPr="00A259FB" w:rsidRDefault="00725EA9" w:rsidP="00767CD8">
      <w:pPr>
        <w:tabs>
          <w:tab w:val="clear" w:pos="284"/>
        </w:tabs>
        <w:rPr>
          <w:rFonts w:eastAsia="Calibri"/>
          <w:szCs w:val="22"/>
          <w:lang w:val="sr-Latn-ME"/>
        </w:rPr>
      </w:pPr>
      <w:r w:rsidRPr="00A259FB">
        <w:rPr>
          <w:rFonts w:eastAsia="Calibri"/>
          <w:szCs w:val="22"/>
          <w:lang w:val="sr-Latn-ME"/>
        </w:rPr>
        <w:t>Odjeljenje za farmakovigilancu</w:t>
      </w:r>
    </w:p>
    <w:p w14:paraId="39E99830" w14:textId="77777777" w:rsidR="00725EA9" w:rsidRPr="00A259FB" w:rsidRDefault="00725EA9" w:rsidP="00767CD8">
      <w:pPr>
        <w:tabs>
          <w:tab w:val="clear" w:pos="284"/>
        </w:tabs>
        <w:rPr>
          <w:rFonts w:eastAsia="Calibri"/>
          <w:szCs w:val="22"/>
          <w:lang w:val="sr-Latn-ME"/>
        </w:rPr>
      </w:pPr>
      <w:r w:rsidRPr="00A259FB">
        <w:rPr>
          <w:rFonts w:eastAsia="Calibri"/>
          <w:szCs w:val="22"/>
          <w:lang w:val="sr-Latn-ME"/>
        </w:rPr>
        <w:t>Bulevar Ivana Crnojevića 64a, 81000 Podgorica</w:t>
      </w:r>
    </w:p>
    <w:p w14:paraId="51804B25" w14:textId="77777777" w:rsidR="00725EA9" w:rsidRPr="00A259FB" w:rsidRDefault="00725EA9" w:rsidP="00767CD8">
      <w:pPr>
        <w:tabs>
          <w:tab w:val="clear" w:pos="284"/>
        </w:tabs>
        <w:jc w:val="left"/>
        <w:rPr>
          <w:rFonts w:eastAsia="Calibri"/>
          <w:szCs w:val="22"/>
          <w:lang w:val="sr-Latn-ME"/>
        </w:rPr>
      </w:pPr>
    </w:p>
    <w:p w14:paraId="41CF9EE3" w14:textId="77777777" w:rsidR="00725EA9" w:rsidRPr="00A259FB" w:rsidRDefault="00725EA9" w:rsidP="00767CD8">
      <w:pPr>
        <w:tabs>
          <w:tab w:val="clear" w:pos="284"/>
        </w:tabs>
        <w:rPr>
          <w:rFonts w:eastAsia="Calibri"/>
          <w:szCs w:val="22"/>
          <w:lang w:val="sr-Latn-ME"/>
        </w:rPr>
      </w:pPr>
      <w:r w:rsidRPr="00A259FB">
        <w:rPr>
          <w:rFonts w:eastAsia="Calibri"/>
          <w:szCs w:val="22"/>
          <w:lang w:val="sr-Latn-ME"/>
        </w:rPr>
        <w:t>tel: +382 (0) 20 310 280</w:t>
      </w:r>
    </w:p>
    <w:p w14:paraId="550F3923" w14:textId="77777777" w:rsidR="00725EA9" w:rsidRPr="00A259FB" w:rsidRDefault="00725EA9" w:rsidP="00767CD8">
      <w:pPr>
        <w:tabs>
          <w:tab w:val="clear" w:pos="284"/>
          <w:tab w:val="left" w:pos="6720"/>
        </w:tabs>
        <w:rPr>
          <w:rFonts w:eastAsia="Calibri"/>
          <w:szCs w:val="22"/>
          <w:lang w:val="sr-Latn-ME"/>
        </w:rPr>
      </w:pPr>
      <w:r w:rsidRPr="00A259FB">
        <w:rPr>
          <w:rFonts w:eastAsia="Calibri"/>
          <w:szCs w:val="22"/>
          <w:lang w:val="sr-Latn-ME"/>
        </w:rPr>
        <w:t>fax: +382 (0) 20 310 581</w:t>
      </w:r>
      <w:r w:rsidRPr="00A259FB">
        <w:rPr>
          <w:rFonts w:eastAsia="Calibri"/>
          <w:szCs w:val="22"/>
          <w:lang w:val="sr-Latn-ME"/>
        </w:rPr>
        <w:tab/>
      </w:r>
    </w:p>
    <w:p w14:paraId="440FE947" w14:textId="77777777" w:rsidR="00725EA9" w:rsidRPr="00A259FB" w:rsidRDefault="00544D39" w:rsidP="00767CD8">
      <w:pPr>
        <w:tabs>
          <w:tab w:val="clear" w:pos="284"/>
        </w:tabs>
        <w:rPr>
          <w:rFonts w:eastAsia="Calibri"/>
          <w:szCs w:val="22"/>
          <w:lang w:val="sr-Latn-ME"/>
        </w:rPr>
      </w:pPr>
      <w:hyperlink r:id="rId11" w:history="1">
        <w:r w:rsidR="00725EA9" w:rsidRPr="00A259FB">
          <w:rPr>
            <w:rFonts w:eastAsia="Calibri"/>
            <w:color w:val="0563C1"/>
            <w:szCs w:val="22"/>
            <w:u w:val="single"/>
            <w:lang w:val="sr-Latn-ME"/>
          </w:rPr>
          <w:t>www.cinmed.me</w:t>
        </w:r>
      </w:hyperlink>
    </w:p>
    <w:p w14:paraId="31752269" w14:textId="77777777" w:rsidR="00725EA9" w:rsidRPr="00A259FB" w:rsidRDefault="00544D39" w:rsidP="00767CD8">
      <w:pPr>
        <w:tabs>
          <w:tab w:val="clear" w:pos="284"/>
        </w:tabs>
        <w:rPr>
          <w:rFonts w:eastAsia="Calibri"/>
          <w:color w:val="0000FF"/>
          <w:szCs w:val="22"/>
          <w:u w:val="single"/>
          <w:lang w:val="sr-Latn-ME"/>
        </w:rPr>
      </w:pPr>
      <w:hyperlink r:id="rId12" w:history="1">
        <w:r w:rsidR="00725EA9" w:rsidRPr="00A259FB">
          <w:rPr>
            <w:rFonts w:eastAsia="Calibri"/>
            <w:color w:val="0563C1"/>
            <w:szCs w:val="22"/>
            <w:u w:val="single"/>
            <w:lang w:val="sr-Latn-ME"/>
          </w:rPr>
          <w:t>nezeljenadejstva@cinmed.me</w:t>
        </w:r>
      </w:hyperlink>
    </w:p>
    <w:p w14:paraId="75B5D2E9" w14:textId="77777777" w:rsidR="00725EA9" w:rsidRPr="00A259FB" w:rsidRDefault="00725EA9" w:rsidP="00767CD8">
      <w:pPr>
        <w:tabs>
          <w:tab w:val="clear" w:pos="284"/>
        </w:tabs>
        <w:rPr>
          <w:rFonts w:eastAsia="Calibri"/>
          <w:szCs w:val="22"/>
          <w:lang w:val="sr-Latn-ME"/>
        </w:rPr>
      </w:pPr>
      <w:r w:rsidRPr="00A259FB">
        <w:rPr>
          <w:rFonts w:eastAsia="Calibri"/>
          <w:szCs w:val="22"/>
          <w:lang w:val="sr-Latn-ME"/>
        </w:rPr>
        <w:t>putem IS zdravstvene zaštite</w:t>
      </w:r>
    </w:p>
    <w:p w14:paraId="5B691A65" w14:textId="77777777" w:rsidR="00725EA9" w:rsidRPr="00A259FB" w:rsidRDefault="00725EA9" w:rsidP="00767CD8">
      <w:pPr>
        <w:tabs>
          <w:tab w:val="clear" w:pos="284"/>
        </w:tabs>
        <w:rPr>
          <w:rFonts w:eastAsia="Calibri"/>
          <w:szCs w:val="22"/>
          <w:lang w:val="sr-Latn-ME"/>
        </w:rPr>
      </w:pPr>
      <w:r w:rsidRPr="00A259FB">
        <w:rPr>
          <w:rFonts w:eastAsia="Calibri"/>
          <w:szCs w:val="22"/>
          <w:lang w:val="sr-Latn-ME"/>
        </w:rPr>
        <w:t>QR kod za online prijavu sumnje na neželjeno dejstvo lijeka:</w:t>
      </w:r>
    </w:p>
    <w:p w14:paraId="6A26884E" w14:textId="77777777" w:rsidR="00725EA9" w:rsidRPr="00A259FB" w:rsidRDefault="00725EA9" w:rsidP="00767CD8">
      <w:pPr>
        <w:tabs>
          <w:tab w:val="clear" w:pos="284"/>
        </w:tabs>
        <w:jc w:val="left"/>
        <w:rPr>
          <w:rFonts w:eastAsia="Calibri"/>
          <w:szCs w:val="22"/>
          <w:lang w:val="sr-Latn-ME"/>
        </w:rPr>
      </w:pPr>
    </w:p>
    <w:p w14:paraId="6347FC97" w14:textId="77777777" w:rsidR="00725EA9" w:rsidRPr="00A259FB" w:rsidRDefault="00725EA9" w:rsidP="00767CD8">
      <w:pPr>
        <w:tabs>
          <w:tab w:val="clear" w:pos="284"/>
          <w:tab w:val="left" w:pos="540"/>
          <w:tab w:val="left" w:pos="569"/>
        </w:tabs>
        <w:jc w:val="left"/>
        <w:rPr>
          <w:b/>
          <w:bCs/>
          <w:szCs w:val="22"/>
          <w:lang w:val="sr-Latn-ME"/>
        </w:rPr>
      </w:pPr>
      <w:r w:rsidRPr="00A259FB">
        <w:rPr>
          <w:b/>
          <w:bCs/>
          <w:noProof/>
          <w:szCs w:val="22"/>
          <w:lang w:val="sr-Latn-ME"/>
        </w:rPr>
        <w:drawing>
          <wp:inline distT="0" distB="0" distL="0" distR="0" wp14:anchorId="5BB2080B" wp14:editId="279E5AAE">
            <wp:extent cx="980796" cy="972000"/>
            <wp:effectExtent l="0" t="0" r="0" b="0"/>
            <wp:docPr id="10" name="Picture 9" descr="A qr code on a white background&#10;&#10;AI-generated content may be incorrect.">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AI-generated content may be incorrect.">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660E2B16" w14:textId="77777777" w:rsidR="00725EA9" w:rsidRPr="00A259FB" w:rsidRDefault="00725EA9" w:rsidP="00767CD8">
      <w:pPr>
        <w:rPr>
          <w:b/>
          <w:bCs/>
          <w:szCs w:val="22"/>
          <w:lang w:val="sr-Latn-ME"/>
        </w:rPr>
      </w:pPr>
    </w:p>
    <w:p w14:paraId="2A9DC096" w14:textId="11B883D4" w:rsidR="00E90FE8" w:rsidRPr="00A259FB" w:rsidRDefault="00E90FE8" w:rsidP="00767CD8">
      <w:pPr>
        <w:rPr>
          <w:b/>
          <w:bCs/>
          <w:szCs w:val="22"/>
          <w:lang w:val="sr-Latn-ME"/>
        </w:rPr>
      </w:pPr>
      <w:r w:rsidRPr="00A259FB">
        <w:rPr>
          <w:b/>
          <w:bCs/>
          <w:szCs w:val="22"/>
          <w:lang w:val="sr-Latn-ME"/>
        </w:rPr>
        <w:lastRenderedPageBreak/>
        <w:t>4.9. Predoziranje</w:t>
      </w:r>
    </w:p>
    <w:p w14:paraId="6EA6170E" w14:textId="77777777" w:rsidR="00FD06C2" w:rsidRPr="00A259FB" w:rsidRDefault="00FD06C2" w:rsidP="00767CD8">
      <w:pPr>
        <w:rPr>
          <w:b/>
          <w:bCs/>
          <w:szCs w:val="22"/>
          <w:lang w:val="sr-Latn-ME"/>
        </w:rPr>
      </w:pPr>
    </w:p>
    <w:p w14:paraId="2A9DC098" w14:textId="17513448" w:rsidR="00E90FE8" w:rsidRPr="00A259FB" w:rsidRDefault="00E90FE8" w:rsidP="00767CD8">
      <w:pPr>
        <w:rPr>
          <w:szCs w:val="22"/>
          <w:lang w:val="sr-Latn-ME"/>
        </w:rPr>
      </w:pPr>
      <w:r w:rsidRPr="00A259FB">
        <w:rPr>
          <w:szCs w:val="22"/>
          <w:lang w:val="sr-Latn-ME"/>
        </w:rPr>
        <w:t>Simptomi predoziranja su: bradikardija, hipotenzija, akutna srčana insuficijencija i bronhospazam.</w:t>
      </w:r>
    </w:p>
    <w:p w14:paraId="214F7018" w14:textId="77777777" w:rsidR="00FD06C2" w:rsidRPr="00A259FB" w:rsidRDefault="00FD06C2" w:rsidP="00767CD8">
      <w:pPr>
        <w:rPr>
          <w:szCs w:val="22"/>
          <w:lang w:val="sr-Latn-ME"/>
        </w:rPr>
      </w:pPr>
    </w:p>
    <w:p w14:paraId="2A9DC099" w14:textId="2219B5B1" w:rsidR="00E90FE8" w:rsidRPr="00A259FB" w:rsidRDefault="00E90FE8" w:rsidP="00767CD8">
      <w:pPr>
        <w:rPr>
          <w:szCs w:val="22"/>
          <w:lang w:val="sr-Latn-ME"/>
        </w:rPr>
      </w:pPr>
      <w:r w:rsidRPr="00A259FB">
        <w:rPr>
          <w:szCs w:val="22"/>
          <w:lang w:val="sr-Latn-ME"/>
        </w:rPr>
        <w:t>Opšte m</w:t>
      </w:r>
      <w:r w:rsidR="00901148" w:rsidRPr="00A259FB">
        <w:rPr>
          <w:szCs w:val="22"/>
          <w:lang w:val="sr-Latn-ME"/>
        </w:rPr>
        <w:t>j</w:t>
      </w:r>
      <w:r w:rsidRPr="00A259FB">
        <w:rPr>
          <w:szCs w:val="22"/>
          <w:lang w:val="sr-Latn-ME"/>
        </w:rPr>
        <w:t>ere l</w:t>
      </w:r>
      <w:r w:rsidR="00901148" w:rsidRPr="00A259FB">
        <w:rPr>
          <w:szCs w:val="22"/>
          <w:lang w:val="sr-Latn-ME"/>
        </w:rPr>
        <w:t>ij</w:t>
      </w:r>
      <w:r w:rsidRPr="00A259FB">
        <w:rPr>
          <w:szCs w:val="22"/>
          <w:lang w:val="sr-Latn-ME"/>
        </w:rPr>
        <w:t>ečenja treba sprovoditi na od</w:t>
      </w:r>
      <w:r w:rsidR="00901148" w:rsidRPr="00A259FB">
        <w:rPr>
          <w:szCs w:val="22"/>
          <w:lang w:val="sr-Latn-ME"/>
        </w:rPr>
        <w:t>j</w:t>
      </w:r>
      <w:r w:rsidRPr="00A259FB">
        <w:rPr>
          <w:szCs w:val="22"/>
          <w:lang w:val="sr-Latn-ME"/>
        </w:rPr>
        <w:t>eljenjima intenzivne n</w:t>
      </w:r>
      <w:r w:rsidR="00901148" w:rsidRPr="00A259FB">
        <w:rPr>
          <w:szCs w:val="22"/>
          <w:lang w:val="sr-Latn-ME"/>
        </w:rPr>
        <w:t>j</w:t>
      </w:r>
      <w:r w:rsidRPr="00A259FB">
        <w:rPr>
          <w:szCs w:val="22"/>
          <w:lang w:val="sr-Latn-ME"/>
        </w:rPr>
        <w:t>ege, uz stalan medicinski nadzor. U cilju prekida resorpcije l</w:t>
      </w:r>
      <w:r w:rsidR="00901148" w:rsidRPr="00A259FB">
        <w:rPr>
          <w:szCs w:val="22"/>
          <w:lang w:val="sr-Latn-ME"/>
        </w:rPr>
        <w:t>ij</w:t>
      </w:r>
      <w:r w:rsidRPr="00A259FB">
        <w:rPr>
          <w:szCs w:val="22"/>
          <w:lang w:val="sr-Latn-ME"/>
        </w:rPr>
        <w:t>eka iz gastrointestinalnog trakta</w:t>
      </w:r>
      <w:r w:rsidR="00895FF4" w:rsidRPr="00A259FB">
        <w:rPr>
          <w:szCs w:val="22"/>
          <w:lang w:val="sr-Latn-ME"/>
        </w:rPr>
        <w:t>,</w:t>
      </w:r>
      <w:r w:rsidRPr="00A259FB">
        <w:rPr>
          <w:szCs w:val="22"/>
          <w:lang w:val="sr-Latn-ME"/>
        </w:rPr>
        <w:t xml:space="preserve"> indikovana je gastrična lavaža, prim</w:t>
      </w:r>
      <w:r w:rsidR="00901148" w:rsidRPr="00A259FB">
        <w:rPr>
          <w:szCs w:val="22"/>
          <w:lang w:val="sr-Latn-ME"/>
        </w:rPr>
        <w:t>j</w:t>
      </w:r>
      <w:r w:rsidRPr="00A259FB">
        <w:rPr>
          <w:szCs w:val="22"/>
          <w:lang w:val="sr-Latn-ME"/>
        </w:rPr>
        <w:t>ena medicinskog uglja i laksativa, dok se u terapiji hipotenzije i šoka mogu prim</w:t>
      </w:r>
      <w:r w:rsidR="00901148" w:rsidRPr="00A259FB">
        <w:rPr>
          <w:szCs w:val="22"/>
          <w:lang w:val="sr-Latn-ME"/>
        </w:rPr>
        <w:t>ij</w:t>
      </w:r>
      <w:r w:rsidRPr="00A259FB">
        <w:rPr>
          <w:szCs w:val="22"/>
          <w:lang w:val="sr-Latn-ME"/>
        </w:rPr>
        <w:t>eniti plazma ili plazma ekspanderi. U odre</w:t>
      </w:r>
      <w:r w:rsidRPr="00A259FB">
        <w:rPr>
          <w:rFonts w:eastAsia="TimesNewRoman"/>
          <w:szCs w:val="22"/>
          <w:lang w:val="sr-Latn-ME"/>
        </w:rPr>
        <w:t>đ</w:t>
      </w:r>
      <w:r w:rsidRPr="00A259FB">
        <w:rPr>
          <w:szCs w:val="22"/>
          <w:lang w:val="sr-Latn-ME"/>
        </w:rPr>
        <w:t>enim slu</w:t>
      </w:r>
      <w:r w:rsidRPr="00A259FB">
        <w:rPr>
          <w:rFonts w:eastAsia="TimesNewRoman"/>
          <w:szCs w:val="22"/>
          <w:lang w:val="sr-Latn-ME"/>
        </w:rPr>
        <w:t>č</w:t>
      </w:r>
      <w:r w:rsidRPr="00A259FB">
        <w:rPr>
          <w:szCs w:val="22"/>
          <w:lang w:val="sr-Latn-ME"/>
        </w:rPr>
        <w:t>ajevima, može se razmotriti i prim</w:t>
      </w:r>
      <w:r w:rsidR="00901148" w:rsidRPr="00A259FB">
        <w:rPr>
          <w:szCs w:val="22"/>
          <w:lang w:val="sr-Latn-ME"/>
        </w:rPr>
        <w:t>j</w:t>
      </w:r>
      <w:r w:rsidRPr="00A259FB">
        <w:rPr>
          <w:szCs w:val="22"/>
          <w:lang w:val="sr-Latn-ME"/>
        </w:rPr>
        <w:t>ena hemodijalize i hemoperfuzije.</w:t>
      </w:r>
    </w:p>
    <w:p w14:paraId="4F5C16E0" w14:textId="77777777" w:rsidR="00FD06C2" w:rsidRPr="00A259FB" w:rsidRDefault="00FD06C2" w:rsidP="00767CD8">
      <w:pPr>
        <w:rPr>
          <w:szCs w:val="22"/>
          <w:lang w:val="sr-Latn-ME"/>
        </w:rPr>
      </w:pPr>
    </w:p>
    <w:p w14:paraId="2A9DC09C" w14:textId="0540F59B" w:rsidR="00E90FE8" w:rsidRPr="00A259FB" w:rsidRDefault="00E90FE8" w:rsidP="00767CD8">
      <w:pPr>
        <w:pStyle w:val="Header"/>
        <w:tabs>
          <w:tab w:val="clear" w:pos="4536"/>
          <w:tab w:val="clear" w:pos="9072"/>
          <w:tab w:val="left" w:pos="284"/>
        </w:tabs>
        <w:rPr>
          <w:color w:val="000000"/>
          <w:szCs w:val="22"/>
          <w:lang w:val="sr-Latn-ME"/>
        </w:rPr>
      </w:pPr>
      <w:r w:rsidRPr="00A259FB">
        <w:rPr>
          <w:color w:val="000000"/>
          <w:szCs w:val="22"/>
          <w:lang w:val="sr-Latn-ME"/>
        </w:rPr>
        <w:t>Izražena bradikardija se može otkloniti i.v. prim</w:t>
      </w:r>
      <w:r w:rsidR="00901148" w:rsidRPr="00A259FB">
        <w:rPr>
          <w:color w:val="000000"/>
          <w:szCs w:val="22"/>
          <w:lang w:val="sr-Latn-ME"/>
        </w:rPr>
        <w:t>j</w:t>
      </w:r>
      <w:r w:rsidRPr="00A259FB">
        <w:rPr>
          <w:color w:val="000000"/>
          <w:szCs w:val="22"/>
          <w:lang w:val="sr-Latn-ME"/>
        </w:rPr>
        <w:t xml:space="preserve">enom 1 - 2 mg atropina i/ili pejsmejkera. Po potrebi se može aplikovati bolus doza od 10 mg glukagona i.v. koja se, u zavisnosti od terapijskog </w:t>
      </w:r>
      <w:r w:rsidR="0089007F" w:rsidRPr="00A259FB">
        <w:rPr>
          <w:color w:val="000000"/>
          <w:szCs w:val="22"/>
          <w:lang w:val="sr-Latn-ME"/>
        </w:rPr>
        <w:t>dejstva</w:t>
      </w:r>
      <w:r w:rsidRPr="00A259FB">
        <w:rPr>
          <w:color w:val="000000"/>
          <w:szCs w:val="22"/>
          <w:lang w:val="sr-Latn-ME"/>
        </w:rPr>
        <w:t>, može ponoviti ili se l</w:t>
      </w:r>
      <w:r w:rsidR="00901148" w:rsidRPr="00A259FB">
        <w:rPr>
          <w:color w:val="000000"/>
          <w:szCs w:val="22"/>
          <w:lang w:val="sr-Latn-ME"/>
        </w:rPr>
        <w:t>ij</w:t>
      </w:r>
      <w:r w:rsidRPr="00A259FB">
        <w:rPr>
          <w:color w:val="000000"/>
          <w:szCs w:val="22"/>
          <w:lang w:val="sr-Latn-ME"/>
        </w:rPr>
        <w:t xml:space="preserve">ečenje može nastaviti sporom intravenskom infuzijom </w:t>
      </w:r>
      <w:r w:rsidR="00223562" w:rsidRPr="00A259FB">
        <w:rPr>
          <w:color w:val="000000"/>
          <w:szCs w:val="22"/>
          <w:lang w:val="sr-Latn-ME"/>
        </w:rPr>
        <w:t xml:space="preserve">glukagona </w:t>
      </w:r>
      <w:r w:rsidRPr="00A259FB">
        <w:rPr>
          <w:color w:val="000000"/>
          <w:szCs w:val="22"/>
          <w:lang w:val="sr-Latn-ME"/>
        </w:rPr>
        <w:t>1 - 10 mg/sat. U slučaju izostanka terapijskog odgovora na glukagon, ili ukoliko glukagon nije dostupan, može se prim</w:t>
      </w:r>
      <w:r w:rsidR="00901148" w:rsidRPr="00A259FB">
        <w:rPr>
          <w:color w:val="000000"/>
          <w:szCs w:val="22"/>
          <w:lang w:val="sr-Latn-ME"/>
        </w:rPr>
        <w:t>ij</w:t>
      </w:r>
      <w:r w:rsidRPr="00A259FB">
        <w:rPr>
          <w:color w:val="000000"/>
          <w:szCs w:val="22"/>
          <w:lang w:val="sr-Latn-ME"/>
        </w:rPr>
        <w:t xml:space="preserve">eniti neki od stimulatora  </w:t>
      </w:r>
      <w:r w:rsidR="0089007F" w:rsidRPr="00A259FB">
        <w:rPr>
          <w:color w:val="000000"/>
          <w:szCs w:val="22"/>
          <w:lang w:val="sr-Latn-ME"/>
        </w:rPr>
        <w:t>beta</w:t>
      </w:r>
      <w:r w:rsidR="00893D51" w:rsidRPr="00A259FB">
        <w:rPr>
          <w:color w:val="000000"/>
          <w:szCs w:val="22"/>
          <w:lang w:val="sr-Latn-ME"/>
        </w:rPr>
        <w:t>-</w:t>
      </w:r>
      <w:r w:rsidRPr="00A259FB">
        <w:rPr>
          <w:color w:val="000000"/>
          <w:szCs w:val="22"/>
          <w:lang w:val="sr-Latn-ME"/>
        </w:rPr>
        <w:t xml:space="preserve">adrenergičkih receptora kao što je dobutamin, u dozi od 2,5 </w:t>
      </w:r>
      <w:r w:rsidR="00F1080E" w:rsidRPr="00A259FB">
        <w:rPr>
          <w:color w:val="000000"/>
          <w:szCs w:val="22"/>
          <w:lang w:val="sr-Latn-ME"/>
        </w:rPr>
        <w:t xml:space="preserve">do </w:t>
      </w:r>
      <w:r w:rsidRPr="00A259FB">
        <w:rPr>
          <w:color w:val="000000"/>
          <w:szCs w:val="22"/>
          <w:lang w:val="sr-Latn-ME"/>
        </w:rPr>
        <w:t>10 mikrograma/kg/min, putem intravenske infuzije.</w:t>
      </w:r>
      <w:r w:rsidR="00223562" w:rsidRPr="00A259FB">
        <w:rPr>
          <w:color w:val="000000"/>
          <w:szCs w:val="22"/>
          <w:lang w:val="sr-Latn-ME"/>
        </w:rPr>
        <w:t xml:space="preserve"> </w:t>
      </w:r>
      <w:r w:rsidRPr="00A259FB">
        <w:rPr>
          <w:color w:val="000000"/>
          <w:szCs w:val="22"/>
          <w:lang w:val="sr-Latn-ME"/>
        </w:rPr>
        <w:t xml:space="preserve">Dobutamin, zbog svog pozitivnog inotropnog </w:t>
      </w:r>
      <w:r w:rsidR="0089007F" w:rsidRPr="00A259FB">
        <w:rPr>
          <w:color w:val="000000"/>
          <w:szCs w:val="22"/>
          <w:lang w:val="sr-Latn-ME"/>
        </w:rPr>
        <w:t>dejstva</w:t>
      </w:r>
      <w:r w:rsidRPr="00A259FB">
        <w:rPr>
          <w:color w:val="000000"/>
          <w:szCs w:val="22"/>
          <w:lang w:val="sr-Latn-ME"/>
        </w:rPr>
        <w:t xml:space="preserve">, se može koristiti i u </w:t>
      </w:r>
      <w:r w:rsidR="00223562" w:rsidRPr="00A259FB">
        <w:rPr>
          <w:color w:val="000000"/>
          <w:szCs w:val="22"/>
          <w:lang w:val="sr-Latn-ME"/>
        </w:rPr>
        <w:t>terapiji</w:t>
      </w:r>
      <w:r w:rsidRPr="00A259FB">
        <w:rPr>
          <w:color w:val="000000"/>
          <w:szCs w:val="22"/>
          <w:lang w:val="sr-Latn-ME"/>
        </w:rPr>
        <w:t xml:space="preserve"> hipotenzije i akutne sr</w:t>
      </w:r>
      <w:r w:rsidRPr="00A259FB">
        <w:rPr>
          <w:rFonts w:eastAsia="TimesNewRoman"/>
          <w:color w:val="000000"/>
          <w:szCs w:val="22"/>
          <w:lang w:val="sr-Latn-ME"/>
        </w:rPr>
        <w:t>č</w:t>
      </w:r>
      <w:r w:rsidRPr="00A259FB">
        <w:rPr>
          <w:color w:val="000000"/>
          <w:szCs w:val="22"/>
          <w:lang w:val="sr-Latn-ME"/>
        </w:rPr>
        <w:t>ane insuficijencije. Malo je v</w:t>
      </w:r>
      <w:r w:rsidR="00901148" w:rsidRPr="00A259FB">
        <w:rPr>
          <w:color w:val="000000"/>
          <w:szCs w:val="22"/>
          <w:lang w:val="sr-Latn-ME"/>
        </w:rPr>
        <w:t>j</w:t>
      </w:r>
      <w:r w:rsidRPr="00A259FB">
        <w:rPr>
          <w:color w:val="000000"/>
          <w:szCs w:val="22"/>
          <w:lang w:val="sr-Latn-ME"/>
        </w:rPr>
        <w:t xml:space="preserve">erovatno da će navedene doze moći da neutrališu </w:t>
      </w:r>
      <w:r w:rsidR="0089007F" w:rsidRPr="00A259FB">
        <w:rPr>
          <w:color w:val="000000"/>
          <w:szCs w:val="22"/>
          <w:lang w:val="sr-Latn-ME"/>
        </w:rPr>
        <w:t>uticaj</w:t>
      </w:r>
      <w:r w:rsidRPr="00A259FB">
        <w:rPr>
          <w:color w:val="000000"/>
          <w:szCs w:val="22"/>
          <w:lang w:val="sr-Latn-ME"/>
        </w:rPr>
        <w:t xml:space="preserve"> blokade beta</w:t>
      </w:r>
      <w:r w:rsidR="00893D51" w:rsidRPr="00A259FB">
        <w:rPr>
          <w:color w:val="000000"/>
          <w:szCs w:val="22"/>
          <w:lang w:val="sr-Latn-ME"/>
        </w:rPr>
        <w:t>-</w:t>
      </w:r>
      <w:r w:rsidRPr="00A259FB">
        <w:rPr>
          <w:color w:val="000000"/>
          <w:szCs w:val="22"/>
          <w:lang w:val="sr-Latn-ME"/>
        </w:rPr>
        <w:t>adrenoreceptora ukoliko je predoziranje teže.</w:t>
      </w:r>
      <w:r w:rsidR="004A5E1B" w:rsidRPr="00A259FB">
        <w:rPr>
          <w:color w:val="000000"/>
          <w:szCs w:val="22"/>
          <w:lang w:val="sr-Latn-ME"/>
        </w:rPr>
        <w:t xml:space="preserve"> </w:t>
      </w:r>
      <w:r w:rsidRPr="00A259FB">
        <w:rPr>
          <w:color w:val="000000"/>
          <w:szCs w:val="22"/>
          <w:lang w:val="sr-Latn-ME"/>
        </w:rPr>
        <w:t xml:space="preserve">Doza dobutamina zato treba da se poveća ukoliko je potrebno, </w:t>
      </w:r>
      <w:r w:rsidR="004A5E1B" w:rsidRPr="00A259FB">
        <w:rPr>
          <w:color w:val="000000"/>
          <w:szCs w:val="22"/>
          <w:lang w:val="sr-Latn-ME"/>
        </w:rPr>
        <w:t>kako</w:t>
      </w:r>
      <w:r w:rsidRPr="00A259FB">
        <w:rPr>
          <w:color w:val="000000"/>
          <w:szCs w:val="22"/>
          <w:lang w:val="sr-Latn-ME"/>
        </w:rPr>
        <w:t xml:space="preserve"> bi se </w:t>
      </w:r>
      <w:r w:rsidR="004A5E1B" w:rsidRPr="00A259FB">
        <w:rPr>
          <w:color w:val="000000"/>
          <w:szCs w:val="22"/>
          <w:lang w:val="sr-Latn-ME"/>
        </w:rPr>
        <w:t>postigao</w:t>
      </w:r>
      <w:r w:rsidRPr="00A259FB">
        <w:rPr>
          <w:color w:val="000000"/>
          <w:szCs w:val="22"/>
          <w:lang w:val="sr-Latn-ME"/>
        </w:rPr>
        <w:t xml:space="preserve"> potreban odgovor u skladu sa kliničkim stanjem pacijenta.</w:t>
      </w:r>
    </w:p>
    <w:p w14:paraId="281AFED2" w14:textId="77777777" w:rsidR="00FD06C2" w:rsidRPr="00A259FB" w:rsidRDefault="00FD06C2" w:rsidP="00767CD8">
      <w:pPr>
        <w:pStyle w:val="Header"/>
        <w:tabs>
          <w:tab w:val="clear" w:pos="4536"/>
          <w:tab w:val="clear" w:pos="9072"/>
          <w:tab w:val="left" w:pos="284"/>
        </w:tabs>
        <w:rPr>
          <w:color w:val="000000"/>
          <w:szCs w:val="22"/>
          <w:lang w:val="sr-Latn-ME"/>
        </w:rPr>
      </w:pPr>
    </w:p>
    <w:p w14:paraId="2181C54E" w14:textId="79907CB8" w:rsidR="00556E0B" w:rsidRPr="00A259FB" w:rsidRDefault="00E90FE8" w:rsidP="00767CD8">
      <w:pPr>
        <w:pStyle w:val="Header"/>
        <w:tabs>
          <w:tab w:val="clear" w:pos="4536"/>
          <w:tab w:val="clear" w:pos="9072"/>
          <w:tab w:val="left" w:pos="284"/>
        </w:tabs>
        <w:rPr>
          <w:szCs w:val="22"/>
          <w:lang w:val="sr-Latn-ME"/>
        </w:rPr>
      </w:pPr>
      <w:r w:rsidRPr="00A259FB">
        <w:rPr>
          <w:color w:val="000000"/>
          <w:szCs w:val="22"/>
          <w:lang w:val="sr-Latn-ME"/>
        </w:rPr>
        <w:t>Bronhospazam se može o</w:t>
      </w:r>
      <w:r w:rsidRPr="00A259FB">
        <w:rPr>
          <w:szCs w:val="22"/>
          <w:lang w:val="sr-Latn-ME"/>
        </w:rPr>
        <w:t>tkloniti prim</w:t>
      </w:r>
      <w:r w:rsidR="00901148" w:rsidRPr="00A259FB">
        <w:rPr>
          <w:szCs w:val="22"/>
          <w:lang w:val="sr-Latn-ME"/>
        </w:rPr>
        <w:t>j</w:t>
      </w:r>
      <w:r w:rsidRPr="00A259FB">
        <w:rPr>
          <w:szCs w:val="22"/>
          <w:lang w:val="sr-Latn-ME"/>
        </w:rPr>
        <w:t>enom bronhodilatatora.</w:t>
      </w:r>
    </w:p>
    <w:p w14:paraId="370D9382" w14:textId="77777777" w:rsidR="00FD06C2" w:rsidRPr="00A259FB" w:rsidRDefault="00FD06C2" w:rsidP="00767CD8">
      <w:pPr>
        <w:pStyle w:val="Header"/>
        <w:tabs>
          <w:tab w:val="clear" w:pos="4536"/>
          <w:tab w:val="clear" w:pos="9072"/>
          <w:tab w:val="left" w:pos="284"/>
        </w:tabs>
        <w:rPr>
          <w:szCs w:val="22"/>
          <w:lang w:val="sr-Latn-ME"/>
        </w:rPr>
      </w:pPr>
    </w:p>
    <w:p w14:paraId="28A4D5EF" w14:textId="77777777" w:rsidR="00804F27" w:rsidRPr="00A259FB" w:rsidRDefault="00804F27" w:rsidP="00767CD8">
      <w:pPr>
        <w:pStyle w:val="Header"/>
        <w:tabs>
          <w:tab w:val="clear" w:pos="4536"/>
          <w:tab w:val="clear" w:pos="9072"/>
          <w:tab w:val="left" w:pos="284"/>
        </w:tabs>
        <w:rPr>
          <w:szCs w:val="22"/>
          <w:lang w:val="sr-Latn-ME"/>
        </w:rPr>
      </w:pPr>
    </w:p>
    <w:p w14:paraId="2A9DC09E" w14:textId="388D9F76" w:rsidR="00E90FE8" w:rsidRPr="00A259FB" w:rsidRDefault="00E90FE8" w:rsidP="00767CD8">
      <w:pPr>
        <w:pStyle w:val="NASLOV123"/>
        <w:spacing w:before="0" w:after="0"/>
        <w:jc w:val="both"/>
        <w:rPr>
          <w:lang w:val="sr-Latn-ME"/>
        </w:rPr>
      </w:pPr>
      <w:r w:rsidRPr="00A259FB">
        <w:rPr>
          <w:lang w:val="sr-Latn-ME"/>
        </w:rPr>
        <w:t>5. FARMAKOLOŠKI PODACI</w:t>
      </w:r>
    </w:p>
    <w:p w14:paraId="2C2B3827" w14:textId="77777777" w:rsidR="00FD06C2" w:rsidRPr="00A259FB" w:rsidRDefault="00FD06C2" w:rsidP="00767CD8">
      <w:pPr>
        <w:pStyle w:val="NASLOV123"/>
        <w:spacing w:before="0" w:after="0"/>
        <w:jc w:val="both"/>
        <w:rPr>
          <w:lang w:val="sr-Latn-ME"/>
        </w:rPr>
      </w:pPr>
    </w:p>
    <w:p w14:paraId="2A9DC09F" w14:textId="544370DB" w:rsidR="00E90FE8" w:rsidRPr="00A259FB" w:rsidRDefault="00E90FE8" w:rsidP="00767CD8">
      <w:pPr>
        <w:rPr>
          <w:b/>
          <w:bCs/>
          <w:szCs w:val="22"/>
          <w:lang w:val="sr-Latn-ME"/>
        </w:rPr>
      </w:pPr>
      <w:r w:rsidRPr="00A259FB">
        <w:rPr>
          <w:b/>
          <w:bCs/>
          <w:szCs w:val="22"/>
          <w:lang w:val="sr-Latn-ME"/>
        </w:rPr>
        <w:t>5.1. Farmakodinamski podaci</w:t>
      </w:r>
    </w:p>
    <w:p w14:paraId="3A4D6D9B" w14:textId="77777777" w:rsidR="00FD06C2" w:rsidRPr="00A259FB" w:rsidRDefault="00FD06C2" w:rsidP="00767CD8">
      <w:pPr>
        <w:rPr>
          <w:b/>
          <w:bCs/>
          <w:szCs w:val="22"/>
          <w:lang w:val="sr-Latn-ME"/>
        </w:rPr>
      </w:pPr>
    </w:p>
    <w:p w14:paraId="2A9DC0A1" w14:textId="232AAC90" w:rsidR="00E90FE8" w:rsidRPr="00A259FB" w:rsidRDefault="00E90FE8" w:rsidP="00767CD8">
      <w:pPr>
        <w:ind w:left="2880" w:hanging="2880"/>
        <w:rPr>
          <w:szCs w:val="22"/>
          <w:lang w:val="sr-Latn-ME"/>
        </w:rPr>
      </w:pPr>
      <w:r w:rsidRPr="00A259FB">
        <w:rPr>
          <w:szCs w:val="22"/>
          <w:lang w:val="sr-Latn-ME"/>
        </w:rPr>
        <w:t xml:space="preserve">Farmakoterapijska grupa: </w:t>
      </w:r>
      <w:bookmarkStart w:id="0" w:name="_GoBack"/>
      <w:bookmarkEnd w:id="0"/>
      <w:r w:rsidRPr="00A259FB">
        <w:rPr>
          <w:szCs w:val="22"/>
          <w:lang w:val="sr-Latn-ME"/>
        </w:rPr>
        <w:t>Blokatori beta adrenergičkih receptora, selektivni</w:t>
      </w:r>
    </w:p>
    <w:p w14:paraId="09B212B3" w14:textId="77777777" w:rsidR="00FD06C2" w:rsidRPr="00A259FB" w:rsidRDefault="00FD06C2" w:rsidP="00767CD8">
      <w:pPr>
        <w:ind w:left="2880" w:hanging="2880"/>
        <w:rPr>
          <w:szCs w:val="22"/>
          <w:lang w:val="sr-Latn-ME"/>
        </w:rPr>
      </w:pPr>
    </w:p>
    <w:p w14:paraId="2A9DC0A3" w14:textId="6DED4AE6" w:rsidR="00E90FE8" w:rsidRPr="00A259FB" w:rsidRDefault="00E90FE8" w:rsidP="00767CD8">
      <w:pPr>
        <w:rPr>
          <w:szCs w:val="22"/>
          <w:lang w:val="sr-Latn-ME"/>
        </w:rPr>
      </w:pPr>
      <w:r w:rsidRPr="00A259FB">
        <w:rPr>
          <w:szCs w:val="22"/>
          <w:lang w:val="sr-Latn-ME"/>
        </w:rPr>
        <w:t xml:space="preserve">ATC </w:t>
      </w:r>
      <w:r w:rsidR="00901148" w:rsidRPr="00A259FB">
        <w:rPr>
          <w:szCs w:val="22"/>
          <w:lang w:val="sr-Latn-ME"/>
        </w:rPr>
        <w:t>kod</w:t>
      </w:r>
      <w:r w:rsidRPr="00A259FB">
        <w:rPr>
          <w:szCs w:val="22"/>
          <w:lang w:val="sr-Latn-ME"/>
        </w:rPr>
        <w:t>: C07AB03</w:t>
      </w:r>
    </w:p>
    <w:p w14:paraId="435F4706" w14:textId="77777777" w:rsidR="00FD06C2" w:rsidRPr="00A259FB" w:rsidRDefault="00FD06C2" w:rsidP="00767CD8">
      <w:pPr>
        <w:rPr>
          <w:szCs w:val="22"/>
          <w:lang w:val="sr-Latn-ME"/>
        </w:rPr>
      </w:pPr>
    </w:p>
    <w:p w14:paraId="2A9DC0A5" w14:textId="77777777" w:rsidR="00E90FE8" w:rsidRPr="00A259FB" w:rsidRDefault="00E90FE8" w:rsidP="00767CD8">
      <w:pPr>
        <w:pStyle w:val="Header"/>
        <w:tabs>
          <w:tab w:val="clear" w:pos="4536"/>
          <w:tab w:val="clear" w:pos="9072"/>
          <w:tab w:val="left" w:pos="284"/>
        </w:tabs>
        <w:rPr>
          <w:color w:val="000000"/>
          <w:szCs w:val="22"/>
          <w:u w:val="single"/>
          <w:lang w:val="sr-Latn-ME"/>
        </w:rPr>
      </w:pPr>
      <w:r w:rsidRPr="00A259FB">
        <w:rPr>
          <w:color w:val="000000"/>
          <w:szCs w:val="22"/>
          <w:u w:val="single"/>
          <w:lang w:val="sr-Latn-ME"/>
        </w:rPr>
        <w:t>Mehanizam dejstva</w:t>
      </w:r>
    </w:p>
    <w:p w14:paraId="2A9DC0A7" w14:textId="48D8ED51" w:rsidR="00E90FE8" w:rsidRPr="00A259FB" w:rsidRDefault="00E90FE8" w:rsidP="00767CD8">
      <w:pPr>
        <w:pStyle w:val="Header"/>
        <w:tabs>
          <w:tab w:val="clear" w:pos="4536"/>
          <w:tab w:val="clear" w:pos="9072"/>
          <w:tab w:val="left" w:pos="284"/>
        </w:tabs>
        <w:rPr>
          <w:color w:val="000000"/>
          <w:szCs w:val="22"/>
          <w:lang w:val="sr-Latn-ME"/>
        </w:rPr>
      </w:pPr>
      <w:r w:rsidRPr="00A259FB">
        <w:rPr>
          <w:color w:val="000000"/>
          <w:szCs w:val="22"/>
          <w:lang w:val="sr-Latn-ME"/>
        </w:rPr>
        <w:t>Atenolol je l</w:t>
      </w:r>
      <w:r w:rsidR="00901148" w:rsidRPr="00A259FB">
        <w:rPr>
          <w:color w:val="000000"/>
          <w:szCs w:val="22"/>
          <w:lang w:val="sr-Latn-ME"/>
        </w:rPr>
        <w:t>ij</w:t>
      </w:r>
      <w:r w:rsidRPr="00A259FB">
        <w:rPr>
          <w:color w:val="000000"/>
          <w:szCs w:val="22"/>
          <w:lang w:val="sr-Latn-ME"/>
        </w:rPr>
        <w:t xml:space="preserve">ek iz grupe </w:t>
      </w:r>
      <w:r w:rsidR="00AE45DF" w:rsidRPr="00A259FB">
        <w:rPr>
          <w:color w:val="000000"/>
          <w:szCs w:val="22"/>
          <w:lang w:val="sr-Latn-ME"/>
        </w:rPr>
        <w:t>beta</w:t>
      </w:r>
      <w:r w:rsidR="00893D51" w:rsidRPr="00A259FB">
        <w:rPr>
          <w:color w:val="000000"/>
          <w:szCs w:val="22"/>
          <w:lang w:val="sr-Latn-ME"/>
        </w:rPr>
        <w:t>-</w:t>
      </w:r>
      <w:r w:rsidRPr="00A259FB">
        <w:rPr>
          <w:color w:val="000000"/>
          <w:szCs w:val="22"/>
          <w:lang w:val="sr-Latn-ME"/>
        </w:rPr>
        <w:t xml:space="preserve">blokatora koji selektivno blokira </w:t>
      </w:r>
      <w:r w:rsidR="00AE45DF" w:rsidRPr="00A259FB">
        <w:rPr>
          <w:color w:val="000000"/>
          <w:szCs w:val="22"/>
          <w:lang w:val="sr-Latn-ME"/>
        </w:rPr>
        <w:t>beta-1</w:t>
      </w:r>
      <w:r w:rsidR="00895FF4" w:rsidRPr="00A259FB">
        <w:rPr>
          <w:color w:val="000000"/>
          <w:szCs w:val="22"/>
          <w:lang w:val="sr-Latn-ME"/>
        </w:rPr>
        <w:t>-</w:t>
      </w:r>
      <w:r w:rsidRPr="00A259FB">
        <w:rPr>
          <w:color w:val="000000"/>
          <w:szCs w:val="22"/>
          <w:lang w:val="sr-Latn-ME"/>
        </w:rPr>
        <w:t>adrenergičke receptore (tj. predominantno d</w:t>
      </w:r>
      <w:r w:rsidR="00901148" w:rsidRPr="00A259FB">
        <w:rPr>
          <w:color w:val="000000"/>
          <w:szCs w:val="22"/>
          <w:lang w:val="sr-Latn-ME"/>
        </w:rPr>
        <w:t>j</w:t>
      </w:r>
      <w:r w:rsidRPr="00A259FB">
        <w:rPr>
          <w:color w:val="000000"/>
          <w:szCs w:val="22"/>
          <w:lang w:val="sr-Latn-ME"/>
        </w:rPr>
        <w:t xml:space="preserve">eluje na </w:t>
      </w:r>
      <w:r w:rsidR="00F86445" w:rsidRPr="00A259FB">
        <w:rPr>
          <w:color w:val="000000"/>
          <w:szCs w:val="22"/>
          <w:lang w:val="sr-Latn-ME"/>
        </w:rPr>
        <w:t>beta-1</w:t>
      </w:r>
      <w:r w:rsidR="00895FF4" w:rsidRPr="00A259FB">
        <w:rPr>
          <w:color w:val="000000"/>
          <w:szCs w:val="22"/>
          <w:lang w:val="sr-Latn-ME"/>
        </w:rPr>
        <w:t>-</w:t>
      </w:r>
      <w:r w:rsidRPr="00A259FB">
        <w:rPr>
          <w:color w:val="000000"/>
          <w:szCs w:val="22"/>
          <w:lang w:val="sr-Latn-ME"/>
        </w:rPr>
        <w:t>adrenergičke receptore</w:t>
      </w:r>
      <w:r w:rsidR="004A5E1B" w:rsidRPr="00A259FB">
        <w:rPr>
          <w:color w:val="000000"/>
          <w:szCs w:val="22"/>
          <w:lang w:val="sr-Latn-ME"/>
        </w:rPr>
        <w:t xml:space="preserve"> lokalizovane</w:t>
      </w:r>
      <w:r w:rsidRPr="00A259FB">
        <w:rPr>
          <w:color w:val="000000"/>
          <w:szCs w:val="22"/>
          <w:lang w:val="sr-Latn-ME"/>
        </w:rPr>
        <w:t xml:space="preserve"> u srcu). Selektivnost se smanjuje sa povećanjem doze. </w:t>
      </w:r>
    </w:p>
    <w:p w14:paraId="451519A3" w14:textId="77777777" w:rsidR="00FD06C2" w:rsidRPr="00A259FB" w:rsidRDefault="00FD06C2" w:rsidP="00767CD8">
      <w:pPr>
        <w:pStyle w:val="Header"/>
        <w:tabs>
          <w:tab w:val="clear" w:pos="4536"/>
          <w:tab w:val="clear" w:pos="9072"/>
          <w:tab w:val="left" w:pos="284"/>
        </w:tabs>
        <w:rPr>
          <w:color w:val="000000"/>
          <w:szCs w:val="22"/>
          <w:lang w:val="sr-Latn-ME"/>
        </w:rPr>
      </w:pPr>
    </w:p>
    <w:p w14:paraId="2A9DC0A8" w14:textId="7C7354AD" w:rsidR="00E90FE8" w:rsidRPr="00A259FB" w:rsidRDefault="00E90FE8" w:rsidP="00767CD8">
      <w:pPr>
        <w:pStyle w:val="Header"/>
        <w:tabs>
          <w:tab w:val="clear" w:pos="4536"/>
          <w:tab w:val="clear" w:pos="9072"/>
          <w:tab w:val="left" w:pos="284"/>
        </w:tabs>
        <w:rPr>
          <w:color w:val="000000"/>
          <w:szCs w:val="22"/>
          <w:lang w:val="sr-Latn-ME"/>
        </w:rPr>
      </w:pPr>
      <w:r w:rsidRPr="00A259FB">
        <w:rPr>
          <w:color w:val="000000"/>
          <w:szCs w:val="22"/>
          <w:lang w:val="sr-Latn-ME"/>
        </w:rPr>
        <w:t>Atenolol ne pos</w:t>
      </w:r>
      <w:r w:rsidR="00901148" w:rsidRPr="00A259FB">
        <w:rPr>
          <w:color w:val="000000"/>
          <w:szCs w:val="22"/>
          <w:lang w:val="sr-Latn-ME"/>
        </w:rPr>
        <w:t>j</w:t>
      </w:r>
      <w:r w:rsidRPr="00A259FB">
        <w:rPr>
          <w:color w:val="000000"/>
          <w:szCs w:val="22"/>
          <w:lang w:val="sr-Latn-ME"/>
        </w:rPr>
        <w:t xml:space="preserve">eduje </w:t>
      </w:r>
      <w:r w:rsidRPr="00A259FB">
        <w:rPr>
          <w:szCs w:val="22"/>
          <w:lang w:val="sr-Latn-ME"/>
        </w:rPr>
        <w:t>intrinzič</w:t>
      </w:r>
      <w:r w:rsidR="004A5E1B" w:rsidRPr="00A259FB">
        <w:rPr>
          <w:szCs w:val="22"/>
          <w:lang w:val="sr-Latn-ME"/>
        </w:rPr>
        <w:t>n</w:t>
      </w:r>
      <w:r w:rsidRPr="00A259FB">
        <w:rPr>
          <w:szCs w:val="22"/>
          <w:lang w:val="sr-Latn-ME"/>
        </w:rPr>
        <w:t>a simpatomimetska svojstva</w:t>
      </w:r>
      <w:r w:rsidRPr="00A259FB" w:rsidDel="00CC53E3">
        <w:rPr>
          <w:color w:val="000000"/>
          <w:szCs w:val="22"/>
          <w:lang w:val="sr-Latn-ME"/>
        </w:rPr>
        <w:t xml:space="preserve"> </w:t>
      </w:r>
      <w:r w:rsidRPr="00A259FB">
        <w:rPr>
          <w:color w:val="000000"/>
          <w:szCs w:val="22"/>
          <w:lang w:val="sr-Latn-ME"/>
        </w:rPr>
        <w:t xml:space="preserve">i ne dovodi do stabilizacije ćelijske membrane. Kao i ostali </w:t>
      </w:r>
      <w:r w:rsidR="005721EA" w:rsidRPr="00A259FB">
        <w:rPr>
          <w:color w:val="000000"/>
          <w:szCs w:val="22"/>
          <w:lang w:val="sr-Latn-ME"/>
        </w:rPr>
        <w:t>beta</w:t>
      </w:r>
      <w:r w:rsidR="00893D51" w:rsidRPr="00A259FB">
        <w:rPr>
          <w:color w:val="000000"/>
          <w:szCs w:val="22"/>
          <w:lang w:val="sr-Latn-ME"/>
        </w:rPr>
        <w:t>-</w:t>
      </w:r>
      <w:r w:rsidRPr="00A259FB">
        <w:rPr>
          <w:color w:val="000000"/>
          <w:szCs w:val="22"/>
          <w:lang w:val="sr-Latn-ME"/>
        </w:rPr>
        <w:t>blokatori, i</w:t>
      </w:r>
      <w:r w:rsidR="004A5E1B" w:rsidRPr="00A259FB">
        <w:rPr>
          <w:color w:val="000000"/>
          <w:szCs w:val="22"/>
          <w:lang w:val="sr-Latn-ME"/>
        </w:rPr>
        <w:t>ma</w:t>
      </w:r>
      <w:r w:rsidRPr="00A259FB">
        <w:rPr>
          <w:color w:val="000000"/>
          <w:szCs w:val="22"/>
          <w:lang w:val="sr-Latn-ME"/>
        </w:rPr>
        <w:t xml:space="preserve"> negativno inotropno dejstvo, pa je kontraindikovan kod pacijenata sa </w:t>
      </w:r>
      <w:r w:rsidR="00895FF4" w:rsidRPr="00A259FB">
        <w:rPr>
          <w:color w:val="000000"/>
          <w:szCs w:val="22"/>
          <w:lang w:val="sr-Latn-ME"/>
        </w:rPr>
        <w:t>dekompenzovanom</w:t>
      </w:r>
      <w:r w:rsidRPr="00A259FB">
        <w:rPr>
          <w:color w:val="000000"/>
          <w:szCs w:val="22"/>
          <w:lang w:val="sr-Latn-ME"/>
        </w:rPr>
        <w:t xml:space="preserve"> srčanom insuficijencijom.</w:t>
      </w:r>
    </w:p>
    <w:p w14:paraId="6F846CED" w14:textId="77777777" w:rsidR="00FD06C2" w:rsidRPr="00A259FB" w:rsidRDefault="00FD06C2" w:rsidP="00767CD8">
      <w:pPr>
        <w:pStyle w:val="Header"/>
        <w:tabs>
          <w:tab w:val="clear" w:pos="4536"/>
          <w:tab w:val="clear" w:pos="9072"/>
          <w:tab w:val="left" w:pos="284"/>
        </w:tabs>
        <w:rPr>
          <w:color w:val="000000"/>
          <w:szCs w:val="22"/>
          <w:lang w:val="sr-Latn-ME"/>
        </w:rPr>
      </w:pPr>
    </w:p>
    <w:p w14:paraId="2A9DC0A9" w14:textId="34F379B6" w:rsidR="00E90FE8" w:rsidRPr="00A259FB" w:rsidRDefault="00E90FE8" w:rsidP="00767CD8">
      <w:pPr>
        <w:pStyle w:val="Header"/>
        <w:tabs>
          <w:tab w:val="clear" w:pos="4536"/>
          <w:tab w:val="clear" w:pos="9072"/>
          <w:tab w:val="left" w:pos="284"/>
        </w:tabs>
        <w:rPr>
          <w:color w:val="000000"/>
          <w:szCs w:val="22"/>
          <w:lang w:val="sr-Latn-ME"/>
        </w:rPr>
      </w:pPr>
      <w:r w:rsidRPr="00A259FB">
        <w:rPr>
          <w:szCs w:val="22"/>
          <w:lang w:val="sr-Latn-ME"/>
        </w:rPr>
        <w:t xml:space="preserve">Kao i kod ostalih </w:t>
      </w:r>
      <w:r w:rsidR="005721EA" w:rsidRPr="00A259FB">
        <w:rPr>
          <w:szCs w:val="22"/>
          <w:lang w:val="sr-Latn-ME"/>
        </w:rPr>
        <w:t>beta</w:t>
      </w:r>
      <w:r w:rsidR="00893D51" w:rsidRPr="00A259FB">
        <w:rPr>
          <w:szCs w:val="22"/>
          <w:lang w:val="sr-Latn-ME"/>
        </w:rPr>
        <w:t>-</w:t>
      </w:r>
      <w:r w:rsidRPr="00A259FB">
        <w:rPr>
          <w:szCs w:val="22"/>
          <w:lang w:val="sr-Latn-ME"/>
        </w:rPr>
        <w:t>blokatora, mehanizam dejstva atenolola u terapiji hipetenzije je nejasan</w:t>
      </w:r>
      <w:r w:rsidRPr="00A259FB">
        <w:rPr>
          <w:color w:val="000000"/>
          <w:szCs w:val="22"/>
          <w:lang w:val="sr-Latn-ME"/>
        </w:rPr>
        <w:t>.</w:t>
      </w:r>
    </w:p>
    <w:p w14:paraId="7B910D16" w14:textId="77777777" w:rsidR="00FD06C2" w:rsidRPr="00A259FB" w:rsidRDefault="00FD06C2" w:rsidP="00767CD8">
      <w:pPr>
        <w:pStyle w:val="Header"/>
        <w:tabs>
          <w:tab w:val="clear" w:pos="4536"/>
          <w:tab w:val="clear" w:pos="9072"/>
          <w:tab w:val="left" w:pos="284"/>
        </w:tabs>
        <w:rPr>
          <w:color w:val="000000"/>
          <w:szCs w:val="22"/>
          <w:lang w:val="sr-Latn-ME"/>
        </w:rPr>
      </w:pPr>
    </w:p>
    <w:p w14:paraId="2A9DC0AA" w14:textId="691BF5CB" w:rsidR="00E90FE8" w:rsidRPr="00A259FB" w:rsidRDefault="00E90FE8" w:rsidP="00767CD8">
      <w:pPr>
        <w:pStyle w:val="Header"/>
        <w:tabs>
          <w:tab w:val="clear" w:pos="4536"/>
          <w:tab w:val="clear" w:pos="9072"/>
          <w:tab w:val="left" w:pos="284"/>
        </w:tabs>
        <w:rPr>
          <w:color w:val="000000"/>
          <w:szCs w:val="22"/>
          <w:lang w:val="sr-Latn-ME"/>
        </w:rPr>
      </w:pPr>
      <w:r w:rsidRPr="00A259FB">
        <w:rPr>
          <w:color w:val="000000"/>
          <w:szCs w:val="22"/>
          <w:lang w:val="sr-Latn-ME"/>
        </w:rPr>
        <w:t>Atenolol smanj</w:t>
      </w:r>
      <w:r w:rsidR="004A5E1B" w:rsidRPr="00A259FB">
        <w:rPr>
          <w:color w:val="000000"/>
          <w:szCs w:val="22"/>
          <w:lang w:val="sr-Latn-ME"/>
        </w:rPr>
        <w:t>uje</w:t>
      </w:r>
      <w:r w:rsidRPr="00A259FB">
        <w:rPr>
          <w:color w:val="000000"/>
          <w:szCs w:val="22"/>
          <w:lang w:val="sr-Latn-ME"/>
        </w:rPr>
        <w:t xml:space="preserve"> brzin</w:t>
      </w:r>
      <w:r w:rsidR="004A5E1B" w:rsidRPr="00A259FB">
        <w:rPr>
          <w:color w:val="000000"/>
          <w:szCs w:val="22"/>
          <w:lang w:val="sr-Latn-ME"/>
        </w:rPr>
        <w:t>u</w:t>
      </w:r>
      <w:r w:rsidRPr="00A259FB">
        <w:rPr>
          <w:color w:val="000000"/>
          <w:szCs w:val="22"/>
          <w:lang w:val="sr-Latn-ME"/>
        </w:rPr>
        <w:t xml:space="preserve"> srčanog rada i kontraktilnost srca, što g</w:t>
      </w:r>
      <w:r w:rsidR="004A5E1B" w:rsidRPr="00A259FB">
        <w:rPr>
          <w:color w:val="000000"/>
          <w:szCs w:val="22"/>
          <w:lang w:val="sr-Latn-ME"/>
        </w:rPr>
        <w:t xml:space="preserve">a </w:t>
      </w:r>
      <w:r w:rsidRPr="00A259FB">
        <w:rPr>
          <w:color w:val="000000"/>
          <w:szCs w:val="22"/>
          <w:lang w:val="sr-Latn-ME"/>
        </w:rPr>
        <w:t>čini ef</w:t>
      </w:r>
      <w:r w:rsidR="00C67C8E" w:rsidRPr="00A259FB">
        <w:rPr>
          <w:color w:val="000000"/>
          <w:szCs w:val="22"/>
          <w:lang w:val="sr-Latn-ME"/>
        </w:rPr>
        <w:t>ektivnim</w:t>
      </w:r>
      <w:r w:rsidRPr="00A259FB">
        <w:rPr>
          <w:color w:val="000000"/>
          <w:szCs w:val="22"/>
          <w:lang w:val="sr-Latn-ME"/>
        </w:rPr>
        <w:t xml:space="preserve"> u smanjenju ili eliminaciji simptoma angine pektoris.</w:t>
      </w:r>
    </w:p>
    <w:p w14:paraId="70B16348" w14:textId="77777777" w:rsidR="00FD06C2" w:rsidRPr="00A259FB" w:rsidRDefault="00FD06C2" w:rsidP="00767CD8">
      <w:pPr>
        <w:pStyle w:val="Header"/>
        <w:tabs>
          <w:tab w:val="clear" w:pos="4536"/>
          <w:tab w:val="clear" w:pos="9072"/>
          <w:tab w:val="left" w:pos="284"/>
        </w:tabs>
        <w:rPr>
          <w:color w:val="000000"/>
          <w:szCs w:val="22"/>
          <w:lang w:val="sr-Latn-ME"/>
        </w:rPr>
      </w:pPr>
    </w:p>
    <w:p w14:paraId="2EA7C3A1" w14:textId="34D09041" w:rsidR="005C5258" w:rsidRPr="00A259FB" w:rsidRDefault="005C5258" w:rsidP="00767CD8">
      <w:pPr>
        <w:pStyle w:val="Header"/>
        <w:tabs>
          <w:tab w:val="clear" w:pos="4536"/>
          <w:tab w:val="clear" w:pos="9072"/>
          <w:tab w:val="left" w:pos="284"/>
        </w:tabs>
        <w:rPr>
          <w:color w:val="000000"/>
          <w:szCs w:val="22"/>
          <w:lang w:val="sr-Latn-ME"/>
        </w:rPr>
      </w:pPr>
      <w:r w:rsidRPr="00A259FB">
        <w:rPr>
          <w:color w:val="000000"/>
          <w:szCs w:val="22"/>
          <w:lang w:val="sr-Latn-ME"/>
        </w:rPr>
        <w:t>Ne očekuje se da će S (-) atenolol imati bilo kakva dodatna prateća terapijska dejstva, u poređenju sa racemskom sm</w:t>
      </w:r>
      <w:r w:rsidR="00901148" w:rsidRPr="00A259FB">
        <w:rPr>
          <w:color w:val="000000"/>
          <w:szCs w:val="22"/>
          <w:lang w:val="sr-Latn-ME"/>
        </w:rPr>
        <w:t>j</w:t>
      </w:r>
      <w:r w:rsidRPr="00A259FB">
        <w:rPr>
          <w:color w:val="000000"/>
          <w:szCs w:val="22"/>
          <w:lang w:val="sr-Latn-ME"/>
        </w:rPr>
        <w:t>ešom atenolola, koja bi dovela do drugačijih terapijskih efekata.</w:t>
      </w:r>
    </w:p>
    <w:p w14:paraId="403ADC10" w14:textId="77777777" w:rsidR="00FD06C2" w:rsidRPr="00A259FB" w:rsidRDefault="00FD06C2" w:rsidP="00767CD8">
      <w:pPr>
        <w:pStyle w:val="Header"/>
        <w:tabs>
          <w:tab w:val="clear" w:pos="4536"/>
          <w:tab w:val="clear" w:pos="9072"/>
          <w:tab w:val="left" w:pos="284"/>
        </w:tabs>
        <w:rPr>
          <w:color w:val="000000"/>
          <w:szCs w:val="22"/>
          <w:lang w:val="sr-Latn-ME"/>
        </w:rPr>
      </w:pPr>
    </w:p>
    <w:p w14:paraId="2A9DC0AD" w14:textId="3F526A4A" w:rsidR="00E90FE8" w:rsidRPr="00A259FB" w:rsidRDefault="00E90FE8" w:rsidP="00767CD8">
      <w:pPr>
        <w:pStyle w:val="Header"/>
        <w:tabs>
          <w:tab w:val="clear" w:pos="4536"/>
          <w:tab w:val="clear" w:pos="9072"/>
          <w:tab w:val="left" w:pos="284"/>
        </w:tabs>
        <w:rPr>
          <w:color w:val="000000"/>
          <w:szCs w:val="22"/>
          <w:u w:val="single"/>
          <w:lang w:val="sr-Latn-ME"/>
        </w:rPr>
      </w:pPr>
      <w:r w:rsidRPr="00A259FB">
        <w:rPr>
          <w:color w:val="000000"/>
          <w:szCs w:val="22"/>
          <w:u w:val="single"/>
          <w:lang w:val="sr-Latn-ME"/>
        </w:rPr>
        <w:t>Klinička efikasnost i bezb</w:t>
      </w:r>
      <w:r w:rsidR="00901148" w:rsidRPr="00A259FB">
        <w:rPr>
          <w:color w:val="000000"/>
          <w:szCs w:val="22"/>
          <w:u w:val="single"/>
          <w:lang w:val="sr-Latn-ME"/>
        </w:rPr>
        <w:t>j</w:t>
      </w:r>
      <w:r w:rsidRPr="00A259FB">
        <w:rPr>
          <w:color w:val="000000"/>
          <w:szCs w:val="22"/>
          <w:u w:val="single"/>
          <w:lang w:val="sr-Latn-ME"/>
        </w:rPr>
        <w:t>ednost</w:t>
      </w:r>
    </w:p>
    <w:p w14:paraId="2A9DC0AF" w14:textId="1389241E" w:rsidR="00E90FE8" w:rsidRPr="00A259FB" w:rsidRDefault="00E90FE8" w:rsidP="00767CD8">
      <w:pPr>
        <w:pStyle w:val="Header"/>
        <w:tabs>
          <w:tab w:val="clear" w:pos="4536"/>
          <w:tab w:val="clear" w:pos="9072"/>
          <w:tab w:val="left" w:pos="284"/>
        </w:tabs>
        <w:rPr>
          <w:color w:val="000000"/>
          <w:szCs w:val="22"/>
          <w:lang w:val="sr-Latn-ME"/>
        </w:rPr>
      </w:pPr>
      <w:r w:rsidRPr="00A259FB">
        <w:rPr>
          <w:color w:val="000000"/>
          <w:szCs w:val="22"/>
          <w:lang w:val="sr-Latn-ME"/>
        </w:rPr>
        <w:t>Atenolol je ef</w:t>
      </w:r>
      <w:r w:rsidR="00C67C8E" w:rsidRPr="00A259FB">
        <w:rPr>
          <w:color w:val="000000"/>
          <w:szCs w:val="22"/>
          <w:lang w:val="sr-Latn-ME"/>
        </w:rPr>
        <w:t>ektivan</w:t>
      </w:r>
      <w:r w:rsidRPr="00A259FB">
        <w:rPr>
          <w:color w:val="000000"/>
          <w:szCs w:val="22"/>
          <w:lang w:val="sr-Latn-ME"/>
        </w:rPr>
        <w:t xml:space="preserve"> i dobro se </w:t>
      </w:r>
      <w:r w:rsidR="00256E49" w:rsidRPr="00A259FB">
        <w:rPr>
          <w:color w:val="000000"/>
          <w:szCs w:val="22"/>
          <w:lang w:val="sr-Latn-ME"/>
        </w:rPr>
        <w:t>podnosi</w:t>
      </w:r>
      <w:r w:rsidRPr="00A259FB">
        <w:rPr>
          <w:color w:val="000000"/>
          <w:szCs w:val="22"/>
          <w:lang w:val="sr-Latn-ME"/>
        </w:rPr>
        <w:t xml:space="preserve"> u većini etničkih populacija, mada odgovor može biti slabiji kod pacijenata crne rase.</w:t>
      </w:r>
    </w:p>
    <w:p w14:paraId="0F3B41A8" w14:textId="77777777" w:rsidR="00FD06C2" w:rsidRPr="00A259FB" w:rsidRDefault="00FD06C2" w:rsidP="00767CD8">
      <w:pPr>
        <w:pStyle w:val="Header"/>
        <w:tabs>
          <w:tab w:val="clear" w:pos="4536"/>
          <w:tab w:val="clear" w:pos="9072"/>
          <w:tab w:val="left" w:pos="284"/>
        </w:tabs>
        <w:rPr>
          <w:color w:val="000000"/>
          <w:szCs w:val="22"/>
          <w:lang w:val="sr-Latn-ME"/>
        </w:rPr>
      </w:pPr>
    </w:p>
    <w:p w14:paraId="2A9DC0B0" w14:textId="7503475E" w:rsidR="00E90FE8" w:rsidRPr="00A259FB" w:rsidRDefault="00E90FE8" w:rsidP="00767CD8">
      <w:pPr>
        <w:pStyle w:val="Header"/>
        <w:tabs>
          <w:tab w:val="clear" w:pos="4536"/>
          <w:tab w:val="clear" w:pos="9072"/>
          <w:tab w:val="left" w:pos="284"/>
        </w:tabs>
        <w:rPr>
          <w:color w:val="000000"/>
          <w:szCs w:val="22"/>
          <w:lang w:val="sr-Latn-ME"/>
        </w:rPr>
      </w:pPr>
      <w:r w:rsidRPr="00A259FB">
        <w:rPr>
          <w:color w:val="000000"/>
          <w:szCs w:val="22"/>
          <w:lang w:val="sr-Latn-ME"/>
        </w:rPr>
        <w:t>Nakon prim</w:t>
      </w:r>
      <w:r w:rsidR="00901148" w:rsidRPr="00A259FB">
        <w:rPr>
          <w:color w:val="000000"/>
          <w:szCs w:val="22"/>
          <w:lang w:val="sr-Latn-ME"/>
        </w:rPr>
        <w:t>j</w:t>
      </w:r>
      <w:r w:rsidRPr="00A259FB">
        <w:rPr>
          <w:color w:val="000000"/>
          <w:szCs w:val="22"/>
          <w:lang w:val="sr-Latn-ME"/>
        </w:rPr>
        <w:t>ene pojedinačne doze</w:t>
      </w:r>
      <w:r w:rsidR="00256E49" w:rsidRPr="00A259FB">
        <w:rPr>
          <w:color w:val="000000"/>
          <w:szCs w:val="22"/>
          <w:lang w:val="sr-Latn-ME"/>
        </w:rPr>
        <w:t>,</w:t>
      </w:r>
      <w:r w:rsidRPr="00A259FB">
        <w:rPr>
          <w:color w:val="000000"/>
          <w:szCs w:val="22"/>
          <w:lang w:val="sr-Latn-ME"/>
        </w:rPr>
        <w:t xml:space="preserve"> dejstvo atenolola se održava najmanje 24 sata. Jednostavnost doziranja omogućava dobru komplijansu. Uzak terapijski indeks i brz nastanak terapijskog odgovora, omogućavaju brzo ispoljavanje efekata terapije. Atenolol se može prim</w:t>
      </w:r>
      <w:r w:rsidR="00901148" w:rsidRPr="00A259FB">
        <w:rPr>
          <w:color w:val="000000"/>
          <w:szCs w:val="22"/>
          <w:lang w:val="sr-Latn-ME"/>
        </w:rPr>
        <w:t>j</w:t>
      </w:r>
      <w:r w:rsidRPr="00A259FB">
        <w:rPr>
          <w:color w:val="000000"/>
          <w:szCs w:val="22"/>
          <w:lang w:val="sr-Latn-ME"/>
        </w:rPr>
        <w:t xml:space="preserve">enjivati u </w:t>
      </w:r>
      <w:r w:rsidR="00256E49" w:rsidRPr="00A259FB">
        <w:rPr>
          <w:color w:val="000000"/>
          <w:szCs w:val="22"/>
          <w:lang w:val="sr-Latn-ME"/>
        </w:rPr>
        <w:t>okviru</w:t>
      </w:r>
      <w:r w:rsidRPr="00A259FB">
        <w:rPr>
          <w:color w:val="000000"/>
          <w:szCs w:val="22"/>
          <w:lang w:val="sr-Latn-ME"/>
        </w:rPr>
        <w:t xml:space="preserve"> kombinovane terapije sa diureticima, kao i drugim antihipertenzivnim i antian</w:t>
      </w:r>
      <w:r w:rsidR="00256E49" w:rsidRPr="00A259FB">
        <w:rPr>
          <w:color w:val="000000"/>
          <w:szCs w:val="22"/>
          <w:lang w:val="sr-Latn-ME"/>
        </w:rPr>
        <w:t>ginoznim</w:t>
      </w:r>
      <w:r w:rsidRPr="00A259FB">
        <w:rPr>
          <w:color w:val="000000"/>
          <w:szCs w:val="22"/>
          <w:lang w:val="sr-Latn-ME"/>
        </w:rPr>
        <w:t xml:space="preserve"> l</w:t>
      </w:r>
      <w:r w:rsidR="00901148" w:rsidRPr="00A259FB">
        <w:rPr>
          <w:color w:val="000000"/>
          <w:szCs w:val="22"/>
          <w:lang w:val="sr-Latn-ME"/>
        </w:rPr>
        <w:t>j</w:t>
      </w:r>
      <w:r w:rsidRPr="00A259FB">
        <w:rPr>
          <w:color w:val="000000"/>
          <w:szCs w:val="22"/>
          <w:lang w:val="sr-Latn-ME"/>
        </w:rPr>
        <w:t>ekovima (vid</w:t>
      </w:r>
      <w:r w:rsidR="00901148" w:rsidRPr="00A259FB">
        <w:rPr>
          <w:color w:val="000000"/>
          <w:szCs w:val="22"/>
          <w:lang w:val="sr-Latn-ME"/>
        </w:rPr>
        <w:t>j</w:t>
      </w:r>
      <w:r w:rsidRPr="00A259FB">
        <w:rPr>
          <w:color w:val="000000"/>
          <w:szCs w:val="22"/>
          <w:lang w:val="sr-Latn-ME"/>
        </w:rPr>
        <w:t xml:space="preserve">eti </w:t>
      </w:r>
      <w:r w:rsidR="00901148" w:rsidRPr="00A259FB">
        <w:rPr>
          <w:color w:val="000000"/>
          <w:szCs w:val="22"/>
          <w:lang w:val="sr-Latn-ME"/>
        </w:rPr>
        <w:t>dio</w:t>
      </w:r>
      <w:r w:rsidRPr="00A259FB">
        <w:rPr>
          <w:color w:val="000000"/>
          <w:szCs w:val="22"/>
          <w:lang w:val="sr-Latn-ME"/>
        </w:rPr>
        <w:t xml:space="preserve"> 4.5). Zbog predominantnog dejstva </w:t>
      </w:r>
      <w:r w:rsidRPr="00A259FB">
        <w:rPr>
          <w:color w:val="000000"/>
          <w:szCs w:val="22"/>
          <w:lang w:val="sr-Latn-ME"/>
        </w:rPr>
        <w:lastRenderedPageBreak/>
        <w:t xml:space="preserve">na </w:t>
      </w:r>
      <w:r w:rsidR="008711B9" w:rsidRPr="00A259FB">
        <w:rPr>
          <w:color w:val="000000"/>
          <w:szCs w:val="22"/>
          <w:lang w:val="sr-Latn-ME"/>
        </w:rPr>
        <w:t>beta</w:t>
      </w:r>
      <w:r w:rsidR="00893D51" w:rsidRPr="00A259FB">
        <w:rPr>
          <w:color w:val="000000"/>
          <w:szCs w:val="22"/>
          <w:lang w:val="sr-Latn-ME"/>
        </w:rPr>
        <w:t>-</w:t>
      </w:r>
      <w:r w:rsidRPr="00A259FB">
        <w:rPr>
          <w:color w:val="000000"/>
          <w:szCs w:val="22"/>
          <w:lang w:val="sr-Latn-ME"/>
        </w:rPr>
        <w:t>receptore u srcu, može se, uz oprez, prim</w:t>
      </w:r>
      <w:r w:rsidR="00901148" w:rsidRPr="00A259FB">
        <w:rPr>
          <w:color w:val="000000"/>
          <w:szCs w:val="22"/>
          <w:lang w:val="sr-Latn-ME"/>
        </w:rPr>
        <w:t>j</w:t>
      </w:r>
      <w:r w:rsidRPr="00A259FB">
        <w:rPr>
          <w:color w:val="000000"/>
          <w:szCs w:val="22"/>
          <w:lang w:val="sr-Latn-ME"/>
        </w:rPr>
        <w:t xml:space="preserve">enjivati u </w:t>
      </w:r>
      <w:r w:rsidR="00256E49" w:rsidRPr="00A259FB">
        <w:rPr>
          <w:color w:val="000000"/>
          <w:szCs w:val="22"/>
          <w:lang w:val="sr-Latn-ME"/>
        </w:rPr>
        <w:t>terapiji kod</w:t>
      </w:r>
      <w:r w:rsidRPr="00A259FB">
        <w:rPr>
          <w:color w:val="000000"/>
          <w:szCs w:val="22"/>
          <w:lang w:val="sr-Latn-ME"/>
        </w:rPr>
        <w:t xml:space="preserve"> pacijenata sa respiratornim bolestima kod kojih postoji netolerancija na neselektivne </w:t>
      </w:r>
      <w:r w:rsidR="008711B9" w:rsidRPr="00A259FB">
        <w:rPr>
          <w:color w:val="000000"/>
          <w:szCs w:val="22"/>
          <w:lang w:val="sr-Latn-ME"/>
        </w:rPr>
        <w:t>beta</w:t>
      </w:r>
      <w:r w:rsidR="00893D51" w:rsidRPr="00A259FB">
        <w:rPr>
          <w:color w:val="000000"/>
          <w:szCs w:val="22"/>
          <w:lang w:val="sr-Latn-ME"/>
        </w:rPr>
        <w:t>-</w:t>
      </w:r>
      <w:r w:rsidRPr="00A259FB">
        <w:rPr>
          <w:color w:val="000000"/>
          <w:szCs w:val="22"/>
          <w:lang w:val="sr-Latn-ME"/>
        </w:rPr>
        <w:t>blokatore.</w:t>
      </w:r>
    </w:p>
    <w:p w14:paraId="19D5CE19" w14:textId="77777777" w:rsidR="00FD06C2" w:rsidRPr="00A259FB" w:rsidRDefault="00FD06C2" w:rsidP="00767CD8">
      <w:pPr>
        <w:pStyle w:val="Header"/>
        <w:tabs>
          <w:tab w:val="clear" w:pos="4536"/>
          <w:tab w:val="clear" w:pos="9072"/>
          <w:tab w:val="left" w:pos="284"/>
        </w:tabs>
        <w:rPr>
          <w:color w:val="000000"/>
          <w:szCs w:val="22"/>
          <w:lang w:val="sr-Latn-ME"/>
        </w:rPr>
      </w:pPr>
    </w:p>
    <w:p w14:paraId="2A9DC0B1" w14:textId="3F7C756D" w:rsidR="00E90FE8" w:rsidRPr="00A259FB" w:rsidRDefault="00E90FE8" w:rsidP="00767CD8">
      <w:pPr>
        <w:rPr>
          <w:color w:val="000000"/>
          <w:szCs w:val="22"/>
          <w:lang w:val="sr-Latn-ME"/>
        </w:rPr>
      </w:pPr>
      <w:r w:rsidRPr="00A259FB">
        <w:rPr>
          <w:color w:val="000000"/>
          <w:szCs w:val="22"/>
          <w:lang w:val="sr-Latn-ME"/>
        </w:rPr>
        <w:t>Prim</w:t>
      </w:r>
      <w:r w:rsidR="00901148" w:rsidRPr="00A259FB">
        <w:rPr>
          <w:color w:val="000000"/>
          <w:szCs w:val="22"/>
          <w:lang w:val="sr-Latn-ME"/>
        </w:rPr>
        <w:t>j</w:t>
      </w:r>
      <w:r w:rsidRPr="00A259FB">
        <w:rPr>
          <w:color w:val="000000"/>
          <w:szCs w:val="22"/>
          <w:lang w:val="sr-Latn-ME"/>
        </w:rPr>
        <w:t>enom atenolola u ranoj fazi akutnog infarkta miokarda</w:t>
      </w:r>
      <w:r w:rsidR="00776EB5" w:rsidRPr="00A259FB">
        <w:rPr>
          <w:color w:val="000000"/>
          <w:szCs w:val="22"/>
          <w:lang w:val="sr-Latn-ME"/>
        </w:rPr>
        <w:t>,</w:t>
      </w:r>
      <w:r w:rsidRPr="00A259FB">
        <w:rPr>
          <w:color w:val="000000"/>
          <w:szCs w:val="22"/>
          <w:lang w:val="sr-Latn-ME"/>
        </w:rPr>
        <w:t xml:space="preserve"> smanjuje se veličina infarkta, morbiditet i mortalitet, a kod manjeg broja pacijenata dolazi do progresije pr</w:t>
      </w:r>
      <w:r w:rsidR="008D29FB" w:rsidRPr="00A259FB">
        <w:rPr>
          <w:color w:val="000000"/>
          <w:szCs w:val="22"/>
          <w:lang w:val="sr-Latn-ME"/>
        </w:rPr>
        <w:t>ij</w:t>
      </w:r>
      <w:r w:rsidRPr="00A259FB">
        <w:rPr>
          <w:color w:val="000000"/>
          <w:szCs w:val="22"/>
          <w:lang w:val="sr-Latn-ME"/>
        </w:rPr>
        <w:t>etećeg infarkta. Atenolol smanjuje incidencu ventrikularnih aritmija i značajno ublažava bol, čime se smanjuje potreba za opioidnim analgeticima. Mortalitet u ranoj fazi je smanjen. Atenolol se prim</w:t>
      </w:r>
      <w:r w:rsidR="00901148" w:rsidRPr="00A259FB">
        <w:rPr>
          <w:color w:val="000000"/>
          <w:szCs w:val="22"/>
          <w:lang w:val="sr-Latn-ME"/>
        </w:rPr>
        <w:t>j</w:t>
      </w:r>
      <w:r w:rsidRPr="00A259FB">
        <w:rPr>
          <w:color w:val="000000"/>
          <w:szCs w:val="22"/>
          <w:lang w:val="sr-Latn-ME"/>
        </w:rPr>
        <w:t>enjuje kao dopuna standardnom l</w:t>
      </w:r>
      <w:r w:rsidR="00901148" w:rsidRPr="00A259FB">
        <w:rPr>
          <w:color w:val="000000"/>
          <w:szCs w:val="22"/>
          <w:lang w:val="sr-Latn-ME"/>
        </w:rPr>
        <w:t>ij</w:t>
      </w:r>
      <w:r w:rsidRPr="00A259FB">
        <w:rPr>
          <w:color w:val="000000"/>
          <w:szCs w:val="22"/>
          <w:lang w:val="sr-Latn-ME"/>
        </w:rPr>
        <w:t>ečenju koronarnih bolesti.</w:t>
      </w:r>
    </w:p>
    <w:p w14:paraId="24B1B11D" w14:textId="77777777" w:rsidR="00FD06C2" w:rsidRPr="00A259FB" w:rsidRDefault="00FD06C2" w:rsidP="00767CD8">
      <w:pPr>
        <w:rPr>
          <w:szCs w:val="22"/>
          <w:lang w:val="sr-Latn-ME"/>
        </w:rPr>
      </w:pPr>
    </w:p>
    <w:p w14:paraId="2A9DC0B3" w14:textId="2EF4C943" w:rsidR="00E90FE8" w:rsidRPr="00A259FB" w:rsidRDefault="00E90FE8" w:rsidP="00767CD8">
      <w:pPr>
        <w:rPr>
          <w:b/>
          <w:bCs/>
          <w:szCs w:val="22"/>
          <w:lang w:val="sr-Latn-ME"/>
        </w:rPr>
      </w:pPr>
      <w:r w:rsidRPr="00A259FB">
        <w:rPr>
          <w:b/>
          <w:bCs/>
          <w:szCs w:val="22"/>
          <w:lang w:val="sr-Latn-ME"/>
        </w:rPr>
        <w:t>5.2. Farmakokinetički podaci</w:t>
      </w:r>
    </w:p>
    <w:p w14:paraId="7FD9DE3C" w14:textId="77777777" w:rsidR="00FD06C2" w:rsidRPr="00A259FB" w:rsidRDefault="00FD06C2" w:rsidP="00767CD8">
      <w:pPr>
        <w:rPr>
          <w:b/>
          <w:bCs/>
          <w:szCs w:val="22"/>
          <w:lang w:val="sr-Latn-ME"/>
        </w:rPr>
      </w:pPr>
    </w:p>
    <w:p w14:paraId="2A9DC0B5" w14:textId="77777777" w:rsidR="00E90FE8" w:rsidRPr="00A259FB" w:rsidRDefault="00E90FE8" w:rsidP="00767CD8">
      <w:pPr>
        <w:pStyle w:val="Header"/>
        <w:tabs>
          <w:tab w:val="clear" w:pos="4536"/>
          <w:tab w:val="clear" w:pos="9072"/>
          <w:tab w:val="left" w:pos="284"/>
        </w:tabs>
        <w:rPr>
          <w:color w:val="000000"/>
          <w:szCs w:val="22"/>
          <w:u w:val="single"/>
          <w:lang w:val="sr-Latn-ME"/>
        </w:rPr>
      </w:pPr>
      <w:r w:rsidRPr="00A259FB">
        <w:rPr>
          <w:color w:val="000000"/>
          <w:szCs w:val="22"/>
          <w:u w:val="single"/>
          <w:lang w:val="sr-Latn-ME"/>
        </w:rPr>
        <w:t>Resorpcija</w:t>
      </w:r>
    </w:p>
    <w:p w14:paraId="2A9DC0B7" w14:textId="2473DE10" w:rsidR="00E90FE8" w:rsidRPr="00A259FB" w:rsidRDefault="00E90FE8" w:rsidP="00767CD8">
      <w:pPr>
        <w:pStyle w:val="Header"/>
        <w:tabs>
          <w:tab w:val="clear" w:pos="4536"/>
          <w:tab w:val="clear" w:pos="9072"/>
          <w:tab w:val="left" w:pos="284"/>
        </w:tabs>
        <w:rPr>
          <w:szCs w:val="22"/>
          <w:lang w:val="sr-Latn-ME"/>
        </w:rPr>
      </w:pPr>
      <w:r w:rsidRPr="00A259FB">
        <w:rPr>
          <w:szCs w:val="22"/>
          <w:lang w:val="sr-Latn-ME"/>
        </w:rPr>
        <w:t>Resorpcija atenolola nakon oralne prim</w:t>
      </w:r>
      <w:r w:rsidR="00901148" w:rsidRPr="00A259FB">
        <w:rPr>
          <w:szCs w:val="22"/>
          <w:lang w:val="sr-Latn-ME"/>
        </w:rPr>
        <w:t>j</w:t>
      </w:r>
      <w:r w:rsidRPr="00A259FB">
        <w:rPr>
          <w:szCs w:val="22"/>
          <w:lang w:val="sr-Latn-ME"/>
        </w:rPr>
        <w:t>ene je konzistentna, ali nekompletna (</w:t>
      </w:r>
      <w:r w:rsidR="00AB2352" w:rsidRPr="00A259FB">
        <w:rPr>
          <w:szCs w:val="22"/>
          <w:lang w:val="sr-Latn-ME"/>
        </w:rPr>
        <w:t>približno</w:t>
      </w:r>
      <w:r w:rsidRPr="00A259FB">
        <w:rPr>
          <w:szCs w:val="22"/>
          <w:lang w:val="sr-Latn-ME"/>
        </w:rPr>
        <w:t xml:space="preserve"> 40 - 50%). Maksimalna koncentracija u plazmi se postiže 2 - 4 sata nakon prim</w:t>
      </w:r>
      <w:r w:rsidR="00901148" w:rsidRPr="00A259FB">
        <w:rPr>
          <w:szCs w:val="22"/>
          <w:lang w:val="sr-Latn-ME"/>
        </w:rPr>
        <w:t>j</w:t>
      </w:r>
      <w:r w:rsidRPr="00A259FB">
        <w:rPr>
          <w:szCs w:val="22"/>
          <w:lang w:val="sr-Latn-ME"/>
        </w:rPr>
        <w:t>ene. Koncentracija atenolola u krvi je podložna malim varijacijama. Zbog neznatnog metabolizma u jetri</w:t>
      </w:r>
      <w:r w:rsidR="00776EB5" w:rsidRPr="00A259FB">
        <w:rPr>
          <w:szCs w:val="22"/>
          <w:lang w:val="sr-Latn-ME"/>
        </w:rPr>
        <w:t>,</w:t>
      </w:r>
      <w:r w:rsidRPr="00A259FB">
        <w:rPr>
          <w:szCs w:val="22"/>
          <w:lang w:val="sr-Latn-ME"/>
        </w:rPr>
        <w:t xml:space="preserve"> više od 90% resorbovanog l</w:t>
      </w:r>
      <w:r w:rsidR="00901148" w:rsidRPr="00A259FB">
        <w:rPr>
          <w:szCs w:val="22"/>
          <w:lang w:val="sr-Latn-ME"/>
        </w:rPr>
        <w:t>ij</w:t>
      </w:r>
      <w:r w:rsidRPr="00A259FB">
        <w:rPr>
          <w:szCs w:val="22"/>
          <w:lang w:val="sr-Latn-ME"/>
        </w:rPr>
        <w:t>eka stiže neprom</w:t>
      </w:r>
      <w:r w:rsidR="00901148" w:rsidRPr="00A259FB">
        <w:rPr>
          <w:szCs w:val="22"/>
          <w:lang w:val="sr-Latn-ME"/>
        </w:rPr>
        <w:t>ij</w:t>
      </w:r>
      <w:r w:rsidRPr="00A259FB">
        <w:rPr>
          <w:szCs w:val="22"/>
          <w:lang w:val="sr-Latn-ME"/>
        </w:rPr>
        <w:t>enjeno u cirkulaciju.</w:t>
      </w:r>
    </w:p>
    <w:p w14:paraId="0C1AD446" w14:textId="77777777" w:rsidR="00FD06C2" w:rsidRPr="00A259FB" w:rsidRDefault="00FD06C2" w:rsidP="00767CD8">
      <w:pPr>
        <w:pStyle w:val="Header"/>
        <w:tabs>
          <w:tab w:val="clear" w:pos="4536"/>
          <w:tab w:val="clear" w:pos="9072"/>
          <w:tab w:val="left" w:pos="284"/>
        </w:tabs>
        <w:rPr>
          <w:szCs w:val="22"/>
          <w:lang w:val="sr-Latn-ME"/>
        </w:rPr>
      </w:pPr>
    </w:p>
    <w:p w14:paraId="2A9DC0B9" w14:textId="77777777" w:rsidR="00E90FE8" w:rsidRPr="00A259FB" w:rsidRDefault="00E90FE8" w:rsidP="00767CD8">
      <w:pPr>
        <w:pStyle w:val="Header"/>
        <w:tabs>
          <w:tab w:val="clear" w:pos="4536"/>
          <w:tab w:val="clear" w:pos="9072"/>
          <w:tab w:val="left" w:pos="284"/>
        </w:tabs>
        <w:rPr>
          <w:szCs w:val="22"/>
          <w:u w:val="single"/>
          <w:lang w:val="sr-Latn-ME"/>
        </w:rPr>
      </w:pPr>
      <w:r w:rsidRPr="00A259FB">
        <w:rPr>
          <w:szCs w:val="22"/>
          <w:u w:val="single"/>
          <w:lang w:val="sr-Latn-ME"/>
        </w:rPr>
        <w:t>Distribucija</w:t>
      </w:r>
    </w:p>
    <w:p w14:paraId="2A9DC0BB" w14:textId="3F72E5A5" w:rsidR="00E90FE8" w:rsidRPr="00A259FB" w:rsidRDefault="00E90FE8" w:rsidP="00767CD8">
      <w:pPr>
        <w:pStyle w:val="Header"/>
        <w:tabs>
          <w:tab w:val="clear" w:pos="4536"/>
          <w:tab w:val="clear" w:pos="9072"/>
          <w:tab w:val="left" w:pos="284"/>
        </w:tabs>
        <w:rPr>
          <w:szCs w:val="22"/>
          <w:lang w:val="sr-Latn-ME"/>
        </w:rPr>
      </w:pPr>
      <w:r w:rsidRPr="00A259FB">
        <w:rPr>
          <w:szCs w:val="22"/>
          <w:lang w:val="sr-Latn-ME"/>
        </w:rPr>
        <w:t xml:space="preserve">Zbog male liposolubilnosti, atenolol slabo prodire u tkiva, i koncentracija u moždanom tkivu je </w:t>
      </w:r>
      <w:r w:rsidR="00AB2352" w:rsidRPr="00A259FB">
        <w:rPr>
          <w:szCs w:val="22"/>
          <w:lang w:val="sr-Latn-ME"/>
        </w:rPr>
        <w:t>mala</w:t>
      </w:r>
      <w:r w:rsidRPr="00A259FB">
        <w:rPr>
          <w:szCs w:val="22"/>
          <w:lang w:val="sr-Latn-ME"/>
        </w:rPr>
        <w:t>. Slabo se vezuje za proteine plazme (</w:t>
      </w:r>
      <w:r w:rsidR="00AB2352" w:rsidRPr="00A259FB">
        <w:rPr>
          <w:szCs w:val="22"/>
          <w:lang w:val="sr-Latn-ME"/>
        </w:rPr>
        <w:t>približno</w:t>
      </w:r>
      <w:r w:rsidRPr="00A259FB">
        <w:rPr>
          <w:szCs w:val="22"/>
          <w:lang w:val="sr-Latn-ME"/>
        </w:rPr>
        <w:t xml:space="preserve"> 3%).</w:t>
      </w:r>
    </w:p>
    <w:p w14:paraId="35E0CA1A" w14:textId="77777777" w:rsidR="00FD06C2" w:rsidRPr="00A259FB" w:rsidRDefault="00FD06C2" w:rsidP="00767CD8">
      <w:pPr>
        <w:pStyle w:val="Header"/>
        <w:tabs>
          <w:tab w:val="clear" w:pos="4536"/>
          <w:tab w:val="clear" w:pos="9072"/>
          <w:tab w:val="left" w:pos="284"/>
        </w:tabs>
        <w:rPr>
          <w:szCs w:val="22"/>
          <w:lang w:val="sr-Latn-ME"/>
        </w:rPr>
      </w:pPr>
    </w:p>
    <w:p w14:paraId="2A9DC0BD" w14:textId="77777777" w:rsidR="00E90FE8" w:rsidRPr="00A259FB" w:rsidRDefault="00E90FE8" w:rsidP="00767CD8">
      <w:pPr>
        <w:pStyle w:val="Header"/>
        <w:tabs>
          <w:tab w:val="clear" w:pos="4536"/>
          <w:tab w:val="clear" w:pos="9072"/>
          <w:tab w:val="left" w:pos="284"/>
        </w:tabs>
        <w:rPr>
          <w:szCs w:val="22"/>
          <w:u w:val="single"/>
          <w:lang w:val="sr-Latn-ME"/>
        </w:rPr>
      </w:pPr>
      <w:r w:rsidRPr="00A259FB">
        <w:rPr>
          <w:szCs w:val="22"/>
          <w:u w:val="single"/>
          <w:lang w:val="sr-Latn-ME"/>
        </w:rPr>
        <w:t>Eliminacija</w:t>
      </w:r>
    </w:p>
    <w:p w14:paraId="09492350" w14:textId="4FF2821D" w:rsidR="005873E7" w:rsidRPr="00A259FB" w:rsidRDefault="00E90FE8" w:rsidP="00767CD8">
      <w:pPr>
        <w:rPr>
          <w:szCs w:val="22"/>
          <w:lang w:val="sr-Latn-ME"/>
        </w:rPr>
      </w:pPr>
      <w:r w:rsidRPr="00A259FB">
        <w:rPr>
          <w:szCs w:val="22"/>
          <w:lang w:val="sr-Latn-ME"/>
        </w:rPr>
        <w:t>Poluvr</w:t>
      </w:r>
      <w:r w:rsidR="00901148" w:rsidRPr="00A259FB">
        <w:rPr>
          <w:szCs w:val="22"/>
          <w:lang w:val="sr-Latn-ME"/>
        </w:rPr>
        <w:t>ij</w:t>
      </w:r>
      <w:r w:rsidRPr="00A259FB">
        <w:rPr>
          <w:szCs w:val="22"/>
          <w:lang w:val="sr-Latn-ME"/>
        </w:rPr>
        <w:t xml:space="preserve">eme eliminacije atenolola je 6 sati, </w:t>
      </w:r>
      <w:r w:rsidR="001E5E07" w:rsidRPr="00A259FB">
        <w:rPr>
          <w:szCs w:val="22"/>
          <w:lang w:val="sr-Latn-ME"/>
        </w:rPr>
        <w:t>međutim,</w:t>
      </w:r>
      <w:r w:rsidRPr="00A259FB">
        <w:rPr>
          <w:szCs w:val="22"/>
          <w:lang w:val="sr-Latn-ME"/>
        </w:rPr>
        <w:t xml:space="preserve"> s obzirom </w:t>
      </w:r>
      <w:r w:rsidR="00AB2352" w:rsidRPr="00A259FB">
        <w:rPr>
          <w:szCs w:val="22"/>
          <w:lang w:val="sr-Latn-ME"/>
        </w:rPr>
        <w:t xml:space="preserve">na to </w:t>
      </w:r>
      <w:r w:rsidRPr="00A259FB">
        <w:rPr>
          <w:szCs w:val="22"/>
          <w:lang w:val="sr-Latn-ME"/>
        </w:rPr>
        <w:t>da se eliminiše iz organizma uglavnom putem bubrega, može biti povećano kod pacijenata sa teškim oštećenjem funkcije</w:t>
      </w:r>
      <w:r w:rsidR="00AB2352" w:rsidRPr="00A259FB">
        <w:rPr>
          <w:szCs w:val="22"/>
          <w:lang w:val="sr-Latn-ME"/>
        </w:rPr>
        <w:t xml:space="preserve"> bubrega</w:t>
      </w:r>
      <w:r w:rsidRPr="00A259FB">
        <w:rPr>
          <w:szCs w:val="22"/>
          <w:lang w:val="sr-Latn-ME"/>
        </w:rPr>
        <w:t>.</w:t>
      </w:r>
    </w:p>
    <w:p w14:paraId="535CD799" w14:textId="77777777" w:rsidR="00F56B2A" w:rsidRPr="00A259FB" w:rsidRDefault="00F56B2A" w:rsidP="00767CD8">
      <w:pPr>
        <w:rPr>
          <w:szCs w:val="22"/>
          <w:lang w:val="sr-Latn-ME"/>
        </w:rPr>
      </w:pPr>
    </w:p>
    <w:p w14:paraId="2A9DC0C1" w14:textId="27B709DB" w:rsidR="00E90FE8" w:rsidRPr="00A259FB" w:rsidRDefault="00E90FE8" w:rsidP="00767CD8">
      <w:pPr>
        <w:rPr>
          <w:b/>
          <w:bCs/>
          <w:szCs w:val="22"/>
          <w:lang w:val="sr-Latn-ME"/>
        </w:rPr>
      </w:pPr>
      <w:r w:rsidRPr="00A259FB">
        <w:rPr>
          <w:b/>
          <w:bCs/>
          <w:szCs w:val="22"/>
          <w:lang w:val="sr-Latn-ME"/>
        </w:rPr>
        <w:t>5.3. Pretklinički podaci o bezb</w:t>
      </w:r>
      <w:r w:rsidR="00901148" w:rsidRPr="00A259FB">
        <w:rPr>
          <w:b/>
          <w:bCs/>
          <w:szCs w:val="22"/>
          <w:lang w:val="sr-Latn-ME"/>
        </w:rPr>
        <w:t>j</w:t>
      </w:r>
      <w:r w:rsidRPr="00A259FB">
        <w:rPr>
          <w:b/>
          <w:bCs/>
          <w:szCs w:val="22"/>
          <w:lang w:val="sr-Latn-ME"/>
        </w:rPr>
        <w:t xml:space="preserve">ednosti </w:t>
      </w:r>
    </w:p>
    <w:p w14:paraId="3401EFA6" w14:textId="77777777" w:rsidR="00F56B2A" w:rsidRPr="00A259FB" w:rsidRDefault="00F56B2A" w:rsidP="00767CD8">
      <w:pPr>
        <w:rPr>
          <w:szCs w:val="22"/>
          <w:lang w:val="sr-Latn-ME"/>
        </w:rPr>
      </w:pPr>
    </w:p>
    <w:p w14:paraId="7DB67F4C" w14:textId="25766628" w:rsidR="00F56B2A" w:rsidRPr="00A259FB" w:rsidRDefault="00E90FE8" w:rsidP="00767CD8">
      <w:pPr>
        <w:pStyle w:val="NASLOV123"/>
        <w:spacing w:before="0" w:after="0"/>
        <w:jc w:val="both"/>
        <w:rPr>
          <w:b w:val="0"/>
          <w:lang w:val="sr-Latn-ME"/>
        </w:rPr>
      </w:pPr>
      <w:r w:rsidRPr="00A259FB">
        <w:rPr>
          <w:b w:val="0"/>
          <w:lang w:val="sr-Latn-ME"/>
        </w:rPr>
        <w:t>Kliničko iskustvo u prim</w:t>
      </w:r>
      <w:r w:rsidR="00901148" w:rsidRPr="00A259FB">
        <w:rPr>
          <w:b w:val="0"/>
          <w:lang w:val="sr-Latn-ME"/>
        </w:rPr>
        <w:t>j</w:t>
      </w:r>
      <w:r w:rsidRPr="00A259FB">
        <w:rPr>
          <w:b w:val="0"/>
          <w:lang w:val="sr-Latn-ME"/>
        </w:rPr>
        <w:t>eni atenolola je veliko. Nema zna</w:t>
      </w:r>
      <w:r w:rsidRPr="00A259FB">
        <w:rPr>
          <w:rFonts w:eastAsia="TimesNewRoman"/>
          <w:b w:val="0"/>
          <w:lang w:val="sr-Latn-ME"/>
        </w:rPr>
        <w:t>č</w:t>
      </w:r>
      <w:r w:rsidRPr="00A259FB">
        <w:rPr>
          <w:b w:val="0"/>
          <w:lang w:val="sr-Latn-ME"/>
        </w:rPr>
        <w:t>ajnih pretklini</w:t>
      </w:r>
      <w:r w:rsidRPr="00A259FB">
        <w:rPr>
          <w:rFonts w:eastAsia="TimesNewRoman"/>
          <w:b w:val="0"/>
          <w:lang w:val="sr-Latn-ME"/>
        </w:rPr>
        <w:t>č</w:t>
      </w:r>
      <w:r w:rsidRPr="00A259FB">
        <w:rPr>
          <w:b w:val="0"/>
          <w:lang w:val="sr-Latn-ME"/>
        </w:rPr>
        <w:t>kih podataka o bezb</w:t>
      </w:r>
      <w:r w:rsidR="00901148" w:rsidRPr="00A259FB">
        <w:rPr>
          <w:b w:val="0"/>
          <w:lang w:val="sr-Latn-ME"/>
        </w:rPr>
        <w:t>j</w:t>
      </w:r>
      <w:r w:rsidRPr="00A259FB">
        <w:rPr>
          <w:b w:val="0"/>
          <w:lang w:val="sr-Latn-ME"/>
        </w:rPr>
        <w:t>ednosti l</w:t>
      </w:r>
      <w:r w:rsidR="00901148" w:rsidRPr="00A259FB">
        <w:rPr>
          <w:b w:val="0"/>
          <w:lang w:val="sr-Latn-ME"/>
        </w:rPr>
        <w:t>ij</w:t>
      </w:r>
      <w:r w:rsidRPr="00A259FB">
        <w:rPr>
          <w:b w:val="0"/>
          <w:lang w:val="sr-Latn-ME"/>
        </w:rPr>
        <w:t xml:space="preserve">eka koji bi se mogli dodati infomacijama sadržanim u ostalim </w:t>
      </w:r>
      <w:r w:rsidR="00901148" w:rsidRPr="00A259FB">
        <w:rPr>
          <w:b w:val="0"/>
          <w:lang w:val="sr-Latn-ME"/>
        </w:rPr>
        <w:t>djelovima</w:t>
      </w:r>
      <w:r w:rsidRPr="00A259FB">
        <w:rPr>
          <w:b w:val="0"/>
          <w:lang w:val="sr-Latn-ME"/>
        </w:rPr>
        <w:t xml:space="preserve"> Sažetka karakteristika l</w:t>
      </w:r>
      <w:r w:rsidR="00901148" w:rsidRPr="00A259FB">
        <w:rPr>
          <w:b w:val="0"/>
          <w:lang w:val="sr-Latn-ME"/>
        </w:rPr>
        <w:t>ij</w:t>
      </w:r>
      <w:r w:rsidRPr="00A259FB">
        <w:rPr>
          <w:b w:val="0"/>
          <w:lang w:val="sr-Latn-ME"/>
        </w:rPr>
        <w:t>eka.</w:t>
      </w:r>
    </w:p>
    <w:p w14:paraId="67240B23" w14:textId="513EC32F" w:rsidR="00F56B2A" w:rsidRPr="00A259FB" w:rsidRDefault="00F56B2A" w:rsidP="00767CD8">
      <w:pPr>
        <w:pStyle w:val="NASLOV123"/>
        <w:spacing w:before="0" w:after="0"/>
        <w:jc w:val="both"/>
        <w:rPr>
          <w:b w:val="0"/>
          <w:lang w:val="sr-Latn-ME"/>
        </w:rPr>
      </w:pPr>
    </w:p>
    <w:p w14:paraId="6FD2BB03" w14:textId="77777777" w:rsidR="00FD06C2" w:rsidRPr="00A259FB" w:rsidRDefault="00FD06C2" w:rsidP="00767CD8">
      <w:pPr>
        <w:pStyle w:val="NASLOV123"/>
        <w:spacing w:before="0" w:after="0"/>
        <w:jc w:val="both"/>
        <w:rPr>
          <w:b w:val="0"/>
          <w:lang w:val="sr-Latn-ME"/>
        </w:rPr>
      </w:pPr>
    </w:p>
    <w:p w14:paraId="2A9DC0C4" w14:textId="3CD230B1" w:rsidR="00E90FE8" w:rsidRPr="00A259FB" w:rsidRDefault="00E90FE8" w:rsidP="00767CD8">
      <w:pPr>
        <w:pStyle w:val="NASLOV123"/>
        <w:spacing w:before="0" w:after="0"/>
        <w:jc w:val="both"/>
        <w:rPr>
          <w:lang w:val="sr-Latn-ME"/>
        </w:rPr>
      </w:pPr>
      <w:r w:rsidRPr="00A259FB">
        <w:rPr>
          <w:lang w:val="sr-Latn-ME"/>
        </w:rPr>
        <w:t>6. FARMACEUTSKI PODACI</w:t>
      </w:r>
    </w:p>
    <w:p w14:paraId="66A2D801" w14:textId="77777777" w:rsidR="00F56B2A" w:rsidRPr="00A259FB" w:rsidRDefault="00F56B2A" w:rsidP="00767CD8">
      <w:pPr>
        <w:pStyle w:val="NASLOV123"/>
        <w:spacing w:before="0" w:after="0"/>
        <w:jc w:val="both"/>
        <w:rPr>
          <w:lang w:val="sr-Latn-ME"/>
        </w:rPr>
      </w:pPr>
    </w:p>
    <w:p w14:paraId="2A9DC0C5" w14:textId="6462B730" w:rsidR="00E90FE8" w:rsidRPr="00A259FB" w:rsidRDefault="00E90FE8" w:rsidP="00767CD8">
      <w:pPr>
        <w:rPr>
          <w:b/>
          <w:bCs/>
          <w:szCs w:val="22"/>
          <w:lang w:val="sr-Latn-ME"/>
        </w:rPr>
      </w:pPr>
      <w:r w:rsidRPr="00A259FB">
        <w:rPr>
          <w:b/>
          <w:bCs/>
          <w:szCs w:val="22"/>
          <w:lang w:val="sr-Latn-ME"/>
        </w:rPr>
        <w:t>6.1. Lista pomoćnih supstanci</w:t>
      </w:r>
    </w:p>
    <w:p w14:paraId="3A1A8D52" w14:textId="77777777" w:rsidR="00F56B2A" w:rsidRPr="00A259FB" w:rsidRDefault="00F56B2A" w:rsidP="00767CD8">
      <w:pPr>
        <w:rPr>
          <w:b/>
          <w:bCs/>
          <w:szCs w:val="22"/>
          <w:lang w:val="sr-Latn-ME"/>
        </w:rPr>
      </w:pPr>
    </w:p>
    <w:p w14:paraId="2A9DC0C7" w14:textId="172E8681" w:rsidR="00E90FE8" w:rsidRPr="00A259FB" w:rsidRDefault="00FD06C2" w:rsidP="00767CD8">
      <w:pPr>
        <w:contextualSpacing/>
        <w:rPr>
          <w:szCs w:val="22"/>
          <w:lang w:val="sr-Latn-ME"/>
        </w:rPr>
      </w:pPr>
      <w:r w:rsidRPr="00A259FB">
        <w:rPr>
          <w:szCs w:val="22"/>
          <w:lang w:val="sr-Latn-ME"/>
        </w:rPr>
        <w:t>K</w:t>
      </w:r>
      <w:r w:rsidR="00F56B2A" w:rsidRPr="00A259FB">
        <w:rPr>
          <w:szCs w:val="22"/>
          <w:lang w:val="sr-Latn-ME"/>
        </w:rPr>
        <w:t>alcijum hidrogen</w:t>
      </w:r>
      <w:r w:rsidRPr="00A259FB">
        <w:rPr>
          <w:szCs w:val="22"/>
          <w:lang w:val="sr-Latn-ME"/>
        </w:rPr>
        <w:t xml:space="preserve"> </w:t>
      </w:r>
      <w:r w:rsidR="00F56B2A" w:rsidRPr="00A259FB">
        <w:rPr>
          <w:szCs w:val="22"/>
          <w:lang w:val="sr-Latn-ME"/>
        </w:rPr>
        <w:t xml:space="preserve">fosfat dihidrat; </w:t>
      </w:r>
    </w:p>
    <w:p w14:paraId="2A9DC0C8" w14:textId="406FD61A" w:rsidR="00E90FE8" w:rsidRPr="00A259FB" w:rsidRDefault="00FD06C2" w:rsidP="00767CD8">
      <w:pPr>
        <w:contextualSpacing/>
        <w:rPr>
          <w:szCs w:val="22"/>
          <w:lang w:val="sr-Latn-ME"/>
        </w:rPr>
      </w:pPr>
      <w:r w:rsidRPr="00A259FB">
        <w:rPr>
          <w:szCs w:val="22"/>
          <w:lang w:val="sr-Latn-ME"/>
        </w:rPr>
        <w:t>S</w:t>
      </w:r>
      <w:r w:rsidR="00F56B2A" w:rsidRPr="00A259FB">
        <w:rPr>
          <w:szCs w:val="22"/>
          <w:lang w:val="sr-Latn-ME"/>
        </w:rPr>
        <w:t>krob, preželatinizovan</w:t>
      </w:r>
      <w:r w:rsidRPr="00A259FB">
        <w:rPr>
          <w:szCs w:val="22"/>
          <w:lang w:val="sr-Latn-ME"/>
        </w:rPr>
        <w:t>i</w:t>
      </w:r>
      <w:r w:rsidR="00F56B2A" w:rsidRPr="00A259FB">
        <w:rPr>
          <w:szCs w:val="22"/>
          <w:lang w:val="sr-Latn-ME"/>
        </w:rPr>
        <w:t xml:space="preserve">; </w:t>
      </w:r>
    </w:p>
    <w:p w14:paraId="2A9DC0C9" w14:textId="3E06BA32" w:rsidR="00E90FE8" w:rsidRPr="00A259FB" w:rsidRDefault="00FD06C2" w:rsidP="00767CD8">
      <w:pPr>
        <w:contextualSpacing/>
        <w:rPr>
          <w:szCs w:val="22"/>
          <w:lang w:val="sr-Latn-ME"/>
        </w:rPr>
      </w:pPr>
      <w:r w:rsidRPr="00A259FB">
        <w:rPr>
          <w:szCs w:val="22"/>
          <w:lang w:val="sr-Latn-ME"/>
        </w:rPr>
        <w:t>K</w:t>
      </w:r>
      <w:r w:rsidR="00F56B2A" w:rsidRPr="00A259FB">
        <w:rPr>
          <w:szCs w:val="22"/>
          <w:lang w:val="sr-Latn-ME"/>
        </w:rPr>
        <w:t xml:space="preserve">roskarmeloza natrijum; </w:t>
      </w:r>
    </w:p>
    <w:p w14:paraId="2A9DC0CA" w14:textId="63F05E81" w:rsidR="00E90FE8" w:rsidRPr="00A259FB" w:rsidRDefault="00FD06C2" w:rsidP="00767CD8">
      <w:pPr>
        <w:contextualSpacing/>
        <w:rPr>
          <w:szCs w:val="22"/>
          <w:lang w:val="sr-Latn-ME"/>
        </w:rPr>
      </w:pPr>
      <w:r w:rsidRPr="00A259FB">
        <w:rPr>
          <w:szCs w:val="22"/>
          <w:lang w:val="sr-Latn-ME"/>
        </w:rPr>
        <w:t>C</w:t>
      </w:r>
      <w:r w:rsidR="00F56B2A" w:rsidRPr="00A259FB">
        <w:rPr>
          <w:szCs w:val="22"/>
          <w:lang w:val="sr-Latn-ME"/>
        </w:rPr>
        <w:t xml:space="preserve">eluloza, mikrokristalna; </w:t>
      </w:r>
    </w:p>
    <w:p w14:paraId="2A9DC0CB" w14:textId="4D6A3C70" w:rsidR="00E90FE8" w:rsidRPr="00A259FB" w:rsidRDefault="00FD06C2" w:rsidP="00767CD8">
      <w:pPr>
        <w:contextualSpacing/>
        <w:rPr>
          <w:szCs w:val="22"/>
          <w:lang w:val="sr-Latn-ME"/>
        </w:rPr>
      </w:pPr>
      <w:r w:rsidRPr="00A259FB">
        <w:rPr>
          <w:szCs w:val="22"/>
          <w:lang w:val="sr-Latn-ME"/>
        </w:rPr>
        <w:t>N</w:t>
      </w:r>
      <w:r w:rsidR="00F56B2A" w:rsidRPr="00A259FB">
        <w:rPr>
          <w:szCs w:val="22"/>
          <w:lang w:val="sr-Latn-ME"/>
        </w:rPr>
        <w:t>atrijum laurilsulfat;</w:t>
      </w:r>
    </w:p>
    <w:p w14:paraId="2A9DC0CC" w14:textId="58A2A050" w:rsidR="00E90FE8" w:rsidRPr="00A259FB" w:rsidRDefault="00FD06C2" w:rsidP="00767CD8">
      <w:pPr>
        <w:rPr>
          <w:szCs w:val="22"/>
          <w:lang w:val="sr-Latn-ME"/>
        </w:rPr>
      </w:pPr>
      <w:r w:rsidRPr="00A259FB">
        <w:rPr>
          <w:szCs w:val="22"/>
          <w:lang w:val="sr-Latn-ME"/>
        </w:rPr>
        <w:t>M</w:t>
      </w:r>
      <w:r w:rsidR="00F56B2A" w:rsidRPr="00A259FB">
        <w:rPr>
          <w:szCs w:val="22"/>
          <w:lang w:val="sr-Latn-ME"/>
        </w:rPr>
        <w:t>agnezijum stearat.</w:t>
      </w:r>
    </w:p>
    <w:p w14:paraId="618DD48A" w14:textId="77777777" w:rsidR="00F56B2A" w:rsidRPr="00A259FB" w:rsidRDefault="00F56B2A" w:rsidP="00767CD8">
      <w:pPr>
        <w:rPr>
          <w:szCs w:val="22"/>
          <w:lang w:val="sr-Latn-ME"/>
        </w:rPr>
      </w:pPr>
    </w:p>
    <w:p w14:paraId="2A9DC0CE" w14:textId="3A23D9C1" w:rsidR="00E90FE8" w:rsidRPr="00A259FB" w:rsidRDefault="00E90FE8" w:rsidP="00767CD8">
      <w:pPr>
        <w:rPr>
          <w:b/>
          <w:bCs/>
          <w:szCs w:val="22"/>
          <w:lang w:val="sr-Latn-ME"/>
        </w:rPr>
      </w:pPr>
      <w:r w:rsidRPr="00A259FB">
        <w:rPr>
          <w:b/>
          <w:bCs/>
          <w:szCs w:val="22"/>
          <w:lang w:val="sr-Latn-ME"/>
        </w:rPr>
        <w:t>6.2. Inkompatibilnost</w:t>
      </w:r>
      <w:r w:rsidR="00901148" w:rsidRPr="00A259FB">
        <w:rPr>
          <w:b/>
          <w:bCs/>
          <w:szCs w:val="22"/>
          <w:lang w:val="sr-Latn-ME"/>
        </w:rPr>
        <w:t>i</w:t>
      </w:r>
    </w:p>
    <w:p w14:paraId="0C659A5B" w14:textId="77777777" w:rsidR="00F56B2A" w:rsidRPr="00A259FB" w:rsidRDefault="00F56B2A" w:rsidP="00767CD8">
      <w:pPr>
        <w:rPr>
          <w:b/>
          <w:bCs/>
          <w:szCs w:val="22"/>
          <w:lang w:val="sr-Latn-ME"/>
        </w:rPr>
      </w:pPr>
    </w:p>
    <w:p w14:paraId="2A9DC0D0" w14:textId="53F4BE30" w:rsidR="00E90FE8" w:rsidRPr="00A259FB" w:rsidRDefault="004355F9" w:rsidP="00767CD8">
      <w:pPr>
        <w:rPr>
          <w:szCs w:val="22"/>
          <w:lang w:val="sr-Latn-ME"/>
        </w:rPr>
      </w:pPr>
      <w:r w:rsidRPr="00A259FB">
        <w:rPr>
          <w:szCs w:val="22"/>
          <w:lang w:val="sr-Latn-ME"/>
        </w:rPr>
        <w:t>Nije prim</w:t>
      </w:r>
      <w:r w:rsidR="00901148" w:rsidRPr="00A259FB">
        <w:rPr>
          <w:szCs w:val="22"/>
          <w:lang w:val="sr-Latn-ME"/>
        </w:rPr>
        <w:t>j</w:t>
      </w:r>
      <w:r w:rsidRPr="00A259FB">
        <w:rPr>
          <w:szCs w:val="22"/>
          <w:lang w:val="sr-Latn-ME"/>
        </w:rPr>
        <w:t>enljivo</w:t>
      </w:r>
      <w:r w:rsidR="00E90FE8" w:rsidRPr="00A259FB">
        <w:rPr>
          <w:szCs w:val="22"/>
          <w:lang w:val="sr-Latn-ME"/>
        </w:rPr>
        <w:t>.</w:t>
      </w:r>
    </w:p>
    <w:p w14:paraId="6F310E21" w14:textId="77777777" w:rsidR="00F56B2A" w:rsidRPr="00A259FB" w:rsidRDefault="00F56B2A" w:rsidP="00767CD8">
      <w:pPr>
        <w:rPr>
          <w:szCs w:val="22"/>
          <w:lang w:val="sr-Latn-ME"/>
        </w:rPr>
      </w:pPr>
    </w:p>
    <w:p w14:paraId="2A9DC0D2" w14:textId="42E8C116" w:rsidR="00E90FE8" w:rsidRPr="00A259FB" w:rsidRDefault="00E90FE8" w:rsidP="00767CD8">
      <w:pPr>
        <w:rPr>
          <w:b/>
          <w:bCs/>
          <w:szCs w:val="22"/>
          <w:lang w:val="sr-Latn-ME"/>
        </w:rPr>
      </w:pPr>
      <w:r w:rsidRPr="00A259FB">
        <w:rPr>
          <w:b/>
          <w:bCs/>
          <w:szCs w:val="22"/>
          <w:lang w:val="sr-Latn-ME"/>
        </w:rPr>
        <w:t>6.3. Rok upotrebe</w:t>
      </w:r>
    </w:p>
    <w:p w14:paraId="76443830" w14:textId="77777777" w:rsidR="00F56B2A" w:rsidRPr="00A259FB" w:rsidRDefault="00F56B2A" w:rsidP="00767CD8">
      <w:pPr>
        <w:rPr>
          <w:b/>
          <w:bCs/>
          <w:szCs w:val="22"/>
          <w:lang w:val="sr-Latn-ME"/>
        </w:rPr>
      </w:pPr>
    </w:p>
    <w:p w14:paraId="2A9DC0D4" w14:textId="79987021" w:rsidR="00E90FE8" w:rsidRPr="00A259FB" w:rsidRDefault="00E90FE8" w:rsidP="00767CD8">
      <w:pPr>
        <w:pStyle w:val="Header"/>
        <w:tabs>
          <w:tab w:val="clear" w:pos="4536"/>
          <w:tab w:val="clear" w:pos="9072"/>
          <w:tab w:val="left" w:pos="284"/>
        </w:tabs>
        <w:rPr>
          <w:szCs w:val="22"/>
          <w:lang w:val="sr-Latn-ME"/>
        </w:rPr>
      </w:pPr>
      <w:r w:rsidRPr="00A259FB">
        <w:rPr>
          <w:szCs w:val="22"/>
          <w:lang w:val="sr-Latn-ME"/>
        </w:rPr>
        <w:t>4 godine</w:t>
      </w:r>
      <w:r w:rsidR="00313697" w:rsidRPr="00A259FB">
        <w:rPr>
          <w:szCs w:val="22"/>
          <w:lang w:val="sr-Latn-ME"/>
        </w:rPr>
        <w:t>.</w:t>
      </w:r>
    </w:p>
    <w:p w14:paraId="6812ABA1" w14:textId="77777777" w:rsidR="00F56B2A" w:rsidRPr="00A259FB" w:rsidRDefault="00F56B2A" w:rsidP="00767CD8">
      <w:pPr>
        <w:pStyle w:val="Header"/>
        <w:tabs>
          <w:tab w:val="clear" w:pos="4536"/>
          <w:tab w:val="clear" w:pos="9072"/>
          <w:tab w:val="left" w:pos="284"/>
        </w:tabs>
        <w:rPr>
          <w:szCs w:val="22"/>
          <w:lang w:val="sr-Latn-ME"/>
        </w:rPr>
      </w:pPr>
    </w:p>
    <w:p w14:paraId="2A9DC0D7" w14:textId="71865945" w:rsidR="00E90FE8" w:rsidRPr="00A259FB" w:rsidRDefault="00E90FE8" w:rsidP="00767CD8">
      <w:pPr>
        <w:rPr>
          <w:b/>
          <w:bCs/>
          <w:szCs w:val="22"/>
          <w:lang w:val="sr-Latn-ME"/>
        </w:rPr>
      </w:pPr>
      <w:r w:rsidRPr="00A259FB">
        <w:rPr>
          <w:b/>
          <w:bCs/>
          <w:szCs w:val="22"/>
          <w:lang w:val="sr-Latn-ME"/>
        </w:rPr>
        <w:t>6.4. Posebne m</w:t>
      </w:r>
      <w:r w:rsidR="00901148" w:rsidRPr="00A259FB">
        <w:rPr>
          <w:b/>
          <w:bCs/>
          <w:szCs w:val="22"/>
          <w:lang w:val="sr-Latn-ME"/>
        </w:rPr>
        <w:t>j</w:t>
      </w:r>
      <w:r w:rsidRPr="00A259FB">
        <w:rPr>
          <w:b/>
          <w:bCs/>
          <w:szCs w:val="22"/>
          <w:lang w:val="sr-Latn-ME"/>
        </w:rPr>
        <w:t>ere opreza pri čuvanju</w:t>
      </w:r>
      <w:r w:rsidR="00901148" w:rsidRPr="00A259FB">
        <w:rPr>
          <w:b/>
          <w:bCs/>
          <w:szCs w:val="22"/>
          <w:lang w:val="sr-Latn-ME"/>
        </w:rPr>
        <w:t xml:space="preserve"> lijeka</w:t>
      </w:r>
    </w:p>
    <w:p w14:paraId="4A1B91F8" w14:textId="77777777" w:rsidR="00F56B2A" w:rsidRPr="00A259FB" w:rsidRDefault="00F56B2A" w:rsidP="00767CD8">
      <w:pPr>
        <w:rPr>
          <w:b/>
          <w:bCs/>
          <w:szCs w:val="22"/>
          <w:lang w:val="sr-Latn-ME"/>
        </w:rPr>
      </w:pPr>
    </w:p>
    <w:p w14:paraId="2A9DC0D9" w14:textId="2D2A322D" w:rsidR="00E90FE8" w:rsidRPr="00A259FB" w:rsidRDefault="00E90FE8" w:rsidP="00767CD8">
      <w:pPr>
        <w:rPr>
          <w:szCs w:val="22"/>
          <w:lang w:val="sr-Latn-ME"/>
        </w:rPr>
      </w:pPr>
      <w:r w:rsidRPr="00A259FB">
        <w:rPr>
          <w:color w:val="000000"/>
          <w:szCs w:val="22"/>
          <w:lang w:val="sr-Latn-ME"/>
        </w:rPr>
        <w:t>Čuvati na temperaturi do 25</w:t>
      </w:r>
      <w:r w:rsidRPr="00A259FB">
        <w:rPr>
          <w:color w:val="000000"/>
          <w:szCs w:val="22"/>
          <w:lang w:val="sr-Latn-ME"/>
        </w:rPr>
        <w:sym w:font="Symbol" w:char="F0B0"/>
      </w:r>
      <w:r w:rsidRPr="00A259FB">
        <w:rPr>
          <w:color w:val="000000"/>
          <w:szCs w:val="22"/>
          <w:lang w:val="sr-Latn-ME"/>
        </w:rPr>
        <w:t xml:space="preserve">C, u originalnom pakovanju, </w:t>
      </w:r>
      <w:r w:rsidRPr="00A259FB">
        <w:rPr>
          <w:szCs w:val="22"/>
          <w:lang w:val="sr-Latn-ME"/>
        </w:rPr>
        <w:t>radi zaštite od sv</w:t>
      </w:r>
      <w:r w:rsidR="00901148" w:rsidRPr="00A259FB">
        <w:rPr>
          <w:szCs w:val="22"/>
          <w:lang w:val="sr-Latn-ME"/>
        </w:rPr>
        <w:t>j</w:t>
      </w:r>
      <w:r w:rsidRPr="00A259FB">
        <w:rPr>
          <w:szCs w:val="22"/>
          <w:lang w:val="sr-Latn-ME"/>
        </w:rPr>
        <w:t xml:space="preserve">etlosti </w:t>
      </w:r>
      <w:r w:rsidR="00E8247C" w:rsidRPr="00A259FB">
        <w:rPr>
          <w:szCs w:val="22"/>
          <w:lang w:val="sr-Latn-ME"/>
        </w:rPr>
        <w:t xml:space="preserve">i </w:t>
      </w:r>
      <w:r w:rsidRPr="00A259FB">
        <w:rPr>
          <w:szCs w:val="22"/>
          <w:lang w:val="sr-Latn-ME"/>
        </w:rPr>
        <w:t>vlage.</w:t>
      </w:r>
    </w:p>
    <w:p w14:paraId="296FAE42" w14:textId="77777777" w:rsidR="00F56B2A" w:rsidRPr="00A259FB" w:rsidRDefault="00F56B2A" w:rsidP="00767CD8">
      <w:pPr>
        <w:rPr>
          <w:szCs w:val="22"/>
          <w:lang w:val="sr-Latn-ME"/>
        </w:rPr>
      </w:pPr>
    </w:p>
    <w:p w14:paraId="2A9DC0DB" w14:textId="793C2767" w:rsidR="00E90FE8" w:rsidRPr="00A259FB" w:rsidRDefault="00E90FE8" w:rsidP="00767CD8">
      <w:pPr>
        <w:rPr>
          <w:b/>
          <w:bCs/>
          <w:szCs w:val="22"/>
          <w:lang w:val="sr-Latn-ME"/>
        </w:rPr>
      </w:pPr>
      <w:r w:rsidRPr="00A259FB">
        <w:rPr>
          <w:b/>
          <w:bCs/>
          <w:szCs w:val="22"/>
          <w:lang w:val="sr-Latn-ME"/>
        </w:rPr>
        <w:t xml:space="preserve">6.5. </w:t>
      </w:r>
      <w:r w:rsidR="00901148" w:rsidRPr="00A259FB">
        <w:rPr>
          <w:b/>
          <w:bCs/>
          <w:szCs w:val="22"/>
          <w:lang w:val="sr-Latn-ME"/>
        </w:rPr>
        <w:t>Vrsta</w:t>
      </w:r>
      <w:r w:rsidRPr="00A259FB">
        <w:rPr>
          <w:b/>
          <w:bCs/>
          <w:szCs w:val="22"/>
          <w:lang w:val="sr-Latn-ME"/>
        </w:rPr>
        <w:t xml:space="preserve"> i sadržaj pakovanja</w:t>
      </w:r>
    </w:p>
    <w:p w14:paraId="13C09108" w14:textId="77777777" w:rsidR="00F56B2A" w:rsidRPr="00A259FB" w:rsidRDefault="00F56B2A" w:rsidP="00767CD8">
      <w:pPr>
        <w:rPr>
          <w:b/>
          <w:bCs/>
          <w:szCs w:val="22"/>
          <w:lang w:val="sr-Latn-ME"/>
        </w:rPr>
      </w:pPr>
    </w:p>
    <w:p w14:paraId="7F2CC971" w14:textId="46D3A437" w:rsidR="003544CC" w:rsidRPr="00A259FB" w:rsidRDefault="003544CC" w:rsidP="00767CD8">
      <w:pPr>
        <w:rPr>
          <w:szCs w:val="22"/>
          <w:lang w:val="sr-Latn-ME"/>
        </w:rPr>
      </w:pPr>
      <w:r w:rsidRPr="00A259FB">
        <w:rPr>
          <w:szCs w:val="22"/>
          <w:lang w:val="sr-Latn-ME"/>
        </w:rPr>
        <w:lastRenderedPageBreak/>
        <w:t xml:space="preserve">Unutrašnje pakovanje </w:t>
      </w:r>
      <w:r w:rsidR="00735EA4" w:rsidRPr="00A259FB">
        <w:rPr>
          <w:szCs w:val="22"/>
          <w:lang w:val="sr-Latn-ME"/>
        </w:rPr>
        <w:t xml:space="preserve">lijeka </w:t>
      </w:r>
      <w:r w:rsidRPr="00A259FB">
        <w:rPr>
          <w:szCs w:val="22"/>
          <w:lang w:val="sr-Latn-ME"/>
        </w:rPr>
        <w:t xml:space="preserve">je </w:t>
      </w:r>
      <w:r w:rsidR="00735EA4" w:rsidRPr="00A259FB">
        <w:rPr>
          <w:szCs w:val="22"/>
          <w:lang w:val="sr-Latn-ME"/>
        </w:rPr>
        <w:t xml:space="preserve">PVC/Alu </w:t>
      </w:r>
      <w:r w:rsidR="00E90FE8" w:rsidRPr="00A259FB">
        <w:rPr>
          <w:szCs w:val="22"/>
          <w:lang w:val="sr-Latn-ME"/>
        </w:rPr>
        <w:t>blister</w:t>
      </w:r>
      <w:r w:rsidRPr="00A259FB">
        <w:rPr>
          <w:szCs w:val="22"/>
          <w:lang w:val="sr-Latn-ME"/>
        </w:rPr>
        <w:t xml:space="preserve"> koji sadrži 7 tableta</w:t>
      </w:r>
      <w:r w:rsidR="00E90FE8" w:rsidRPr="00A259FB">
        <w:rPr>
          <w:szCs w:val="22"/>
          <w:lang w:val="sr-Latn-ME"/>
        </w:rPr>
        <w:t xml:space="preserve">. </w:t>
      </w:r>
    </w:p>
    <w:p w14:paraId="15A96B46" w14:textId="77777777" w:rsidR="00F56B2A" w:rsidRPr="00A259FB" w:rsidRDefault="00F56B2A" w:rsidP="00767CD8">
      <w:pPr>
        <w:rPr>
          <w:szCs w:val="22"/>
          <w:lang w:val="sr-Latn-ME"/>
        </w:rPr>
      </w:pPr>
    </w:p>
    <w:p w14:paraId="2A9DC0DD" w14:textId="404FB0D7" w:rsidR="00E90FE8" w:rsidRPr="00A259FB" w:rsidRDefault="003544CC" w:rsidP="00767CD8">
      <w:pPr>
        <w:rPr>
          <w:szCs w:val="22"/>
          <w:lang w:val="sr-Latn-ME"/>
        </w:rPr>
      </w:pPr>
      <w:r w:rsidRPr="00A259FB">
        <w:rPr>
          <w:szCs w:val="22"/>
          <w:lang w:val="sr-Latn-ME"/>
        </w:rPr>
        <w:t xml:space="preserve">Spoljašnje pakovanje </w:t>
      </w:r>
      <w:r w:rsidR="00735EA4" w:rsidRPr="00A259FB">
        <w:rPr>
          <w:szCs w:val="22"/>
          <w:lang w:val="sr-Latn-ME"/>
        </w:rPr>
        <w:t xml:space="preserve">lijeka </w:t>
      </w:r>
      <w:r w:rsidRPr="00A259FB">
        <w:rPr>
          <w:szCs w:val="22"/>
          <w:lang w:val="sr-Latn-ME"/>
        </w:rPr>
        <w:t>je</w:t>
      </w:r>
      <w:r w:rsidR="00E90FE8" w:rsidRPr="00A259FB">
        <w:rPr>
          <w:szCs w:val="22"/>
          <w:lang w:val="sr-Latn-ME"/>
        </w:rPr>
        <w:t xml:space="preserve"> složiv</w:t>
      </w:r>
      <w:r w:rsidRPr="00A259FB">
        <w:rPr>
          <w:szCs w:val="22"/>
          <w:lang w:val="sr-Latn-ME"/>
        </w:rPr>
        <w:t>a</w:t>
      </w:r>
      <w:r w:rsidR="00E90FE8" w:rsidRPr="00A259FB">
        <w:rPr>
          <w:szCs w:val="22"/>
          <w:lang w:val="sr-Latn-ME"/>
        </w:rPr>
        <w:t xml:space="preserve"> kartonsk</w:t>
      </w:r>
      <w:r w:rsidRPr="00A259FB">
        <w:rPr>
          <w:szCs w:val="22"/>
          <w:lang w:val="sr-Latn-ME"/>
        </w:rPr>
        <w:t>a</w:t>
      </w:r>
      <w:r w:rsidR="00E90FE8" w:rsidRPr="00A259FB">
        <w:rPr>
          <w:szCs w:val="22"/>
          <w:lang w:val="sr-Latn-ME"/>
        </w:rPr>
        <w:t xml:space="preserve"> kutij</w:t>
      </w:r>
      <w:r w:rsidRPr="00A259FB">
        <w:rPr>
          <w:szCs w:val="22"/>
          <w:lang w:val="sr-Latn-ME"/>
        </w:rPr>
        <w:t>a u kojoj se nalaz</w:t>
      </w:r>
      <w:r w:rsidR="00735EA4" w:rsidRPr="00A259FB">
        <w:rPr>
          <w:szCs w:val="22"/>
          <w:lang w:val="sr-Latn-ME"/>
        </w:rPr>
        <w:t>e</w:t>
      </w:r>
      <w:r w:rsidRPr="00A259FB">
        <w:rPr>
          <w:szCs w:val="22"/>
          <w:lang w:val="sr-Latn-ME"/>
        </w:rPr>
        <w:t xml:space="preserve"> </w:t>
      </w:r>
      <w:r w:rsidR="00E90FE8" w:rsidRPr="00A259FB">
        <w:rPr>
          <w:szCs w:val="22"/>
          <w:lang w:val="sr-Latn-ME"/>
        </w:rPr>
        <w:t>2 blistera sa po 7 tableta</w:t>
      </w:r>
      <w:r w:rsidRPr="00A259FB">
        <w:rPr>
          <w:szCs w:val="22"/>
          <w:lang w:val="sr-Latn-ME"/>
        </w:rPr>
        <w:t xml:space="preserve"> (ukupno 14 tableta) i Uputstvo za l</w:t>
      </w:r>
      <w:r w:rsidR="00901148" w:rsidRPr="00A259FB">
        <w:rPr>
          <w:szCs w:val="22"/>
          <w:lang w:val="sr-Latn-ME"/>
        </w:rPr>
        <w:t>ij</w:t>
      </w:r>
      <w:r w:rsidRPr="00A259FB">
        <w:rPr>
          <w:szCs w:val="22"/>
          <w:lang w:val="sr-Latn-ME"/>
        </w:rPr>
        <w:t>ek</w:t>
      </w:r>
      <w:r w:rsidR="00E90FE8" w:rsidRPr="00A259FB">
        <w:rPr>
          <w:szCs w:val="22"/>
          <w:lang w:val="sr-Latn-ME"/>
        </w:rPr>
        <w:t>.</w:t>
      </w:r>
    </w:p>
    <w:p w14:paraId="4D386B2D" w14:textId="77777777" w:rsidR="00F56B2A" w:rsidRPr="00A259FB" w:rsidRDefault="00F56B2A" w:rsidP="00767CD8">
      <w:pPr>
        <w:rPr>
          <w:szCs w:val="22"/>
          <w:lang w:val="sr-Latn-ME"/>
        </w:rPr>
      </w:pPr>
    </w:p>
    <w:p w14:paraId="2A9DC0DF" w14:textId="72EEB79C" w:rsidR="00E90FE8" w:rsidRPr="00A259FB" w:rsidRDefault="00E90FE8" w:rsidP="00767CD8">
      <w:pPr>
        <w:rPr>
          <w:b/>
          <w:bCs/>
          <w:szCs w:val="22"/>
          <w:lang w:val="sr-Latn-ME"/>
        </w:rPr>
      </w:pPr>
      <w:r w:rsidRPr="00A259FB">
        <w:rPr>
          <w:b/>
          <w:bCs/>
          <w:szCs w:val="22"/>
          <w:lang w:val="sr-Latn-ME"/>
        </w:rPr>
        <w:t>6.6. Posebne m</w:t>
      </w:r>
      <w:r w:rsidR="00901148" w:rsidRPr="00A259FB">
        <w:rPr>
          <w:b/>
          <w:bCs/>
          <w:szCs w:val="22"/>
          <w:lang w:val="sr-Latn-ME"/>
        </w:rPr>
        <w:t>j</w:t>
      </w:r>
      <w:r w:rsidRPr="00A259FB">
        <w:rPr>
          <w:b/>
          <w:bCs/>
          <w:szCs w:val="22"/>
          <w:lang w:val="sr-Latn-ME"/>
        </w:rPr>
        <w:t>ere opreza pri odlaganju materijala koji treba odbaciti nakon prim</w:t>
      </w:r>
      <w:r w:rsidR="00901148" w:rsidRPr="00A259FB">
        <w:rPr>
          <w:b/>
          <w:bCs/>
          <w:szCs w:val="22"/>
          <w:lang w:val="sr-Latn-ME"/>
        </w:rPr>
        <w:t>j</w:t>
      </w:r>
      <w:r w:rsidRPr="00A259FB">
        <w:rPr>
          <w:b/>
          <w:bCs/>
          <w:szCs w:val="22"/>
          <w:lang w:val="sr-Latn-ME"/>
        </w:rPr>
        <w:t>ene l</w:t>
      </w:r>
      <w:r w:rsidR="00901148" w:rsidRPr="00A259FB">
        <w:rPr>
          <w:b/>
          <w:bCs/>
          <w:szCs w:val="22"/>
          <w:lang w:val="sr-Latn-ME"/>
        </w:rPr>
        <w:t>ij</w:t>
      </w:r>
      <w:r w:rsidRPr="00A259FB">
        <w:rPr>
          <w:b/>
          <w:bCs/>
          <w:szCs w:val="22"/>
          <w:lang w:val="sr-Latn-ME"/>
        </w:rPr>
        <w:t>eka (i druga uputstva za rukovanje l</w:t>
      </w:r>
      <w:r w:rsidR="00901148" w:rsidRPr="00A259FB">
        <w:rPr>
          <w:b/>
          <w:bCs/>
          <w:szCs w:val="22"/>
          <w:lang w:val="sr-Latn-ME"/>
        </w:rPr>
        <w:t>ij</w:t>
      </w:r>
      <w:r w:rsidRPr="00A259FB">
        <w:rPr>
          <w:b/>
          <w:bCs/>
          <w:szCs w:val="22"/>
          <w:lang w:val="sr-Latn-ME"/>
        </w:rPr>
        <w:t>ekom)</w:t>
      </w:r>
    </w:p>
    <w:p w14:paraId="4B06CD1D" w14:textId="77777777" w:rsidR="00F56B2A" w:rsidRPr="00A259FB" w:rsidRDefault="00F56B2A" w:rsidP="00767CD8">
      <w:pPr>
        <w:rPr>
          <w:b/>
          <w:bCs/>
          <w:szCs w:val="22"/>
          <w:lang w:val="sr-Latn-ME"/>
        </w:rPr>
      </w:pPr>
    </w:p>
    <w:p w14:paraId="4CE21FC8" w14:textId="754254EB" w:rsidR="00D35F0F" w:rsidRPr="00A259FB" w:rsidRDefault="00D35F0F" w:rsidP="00767CD8">
      <w:pPr>
        <w:rPr>
          <w:szCs w:val="22"/>
          <w:lang w:val="sr-Latn-ME"/>
        </w:rPr>
      </w:pPr>
      <w:r w:rsidRPr="00A259FB">
        <w:rPr>
          <w:szCs w:val="22"/>
          <w:lang w:val="sr-Latn-ME"/>
        </w:rPr>
        <w:t>Svu neiskorišćenu količinu l</w:t>
      </w:r>
      <w:r w:rsidR="00901148" w:rsidRPr="00A259FB">
        <w:rPr>
          <w:szCs w:val="22"/>
          <w:lang w:val="sr-Latn-ME"/>
        </w:rPr>
        <w:t>ij</w:t>
      </w:r>
      <w:r w:rsidRPr="00A259FB">
        <w:rPr>
          <w:szCs w:val="22"/>
          <w:lang w:val="sr-Latn-ME"/>
        </w:rPr>
        <w:t>eka ili otpadnog materijala nakon njegove upotrebe treba ukloniti, u skladu sa važećim propisima.</w:t>
      </w:r>
    </w:p>
    <w:p w14:paraId="0CC0A1BA" w14:textId="27692996" w:rsidR="00F56B2A" w:rsidRPr="00A259FB" w:rsidRDefault="00F56B2A" w:rsidP="00767CD8">
      <w:pPr>
        <w:rPr>
          <w:szCs w:val="22"/>
          <w:lang w:val="sr-Latn-ME"/>
        </w:rPr>
      </w:pPr>
    </w:p>
    <w:p w14:paraId="086D1E83" w14:textId="77777777" w:rsidR="00F56B2A" w:rsidRPr="00A259FB" w:rsidRDefault="00F56B2A" w:rsidP="00767CD8">
      <w:pPr>
        <w:rPr>
          <w:szCs w:val="22"/>
          <w:lang w:val="sr-Latn-ME"/>
        </w:rPr>
      </w:pPr>
    </w:p>
    <w:p w14:paraId="2A9DC0E1" w14:textId="7C32519B" w:rsidR="00E90FE8" w:rsidRPr="00A259FB" w:rsidRDefault="00E90FE8" w:rsidP="00767CD8">
      <w:pPr>
        <w:pStyle w:val="NASLOV123"/>
        <w:spacing w:before="0" w:after="0"/>
        <w:jc w:val="both"/>
        <w:rPr>
          <w:lang w:val="sr-Latn-ME"/>
        </w:rPr>
      </w:pPr>
      <w:r w:rsidRPr="00A259FB">
        <w:rPr>
          <w:lang w:val="sr-Latn-ME"/>
        </w:rPr>
        <w:t xml:space="preserve">7. NOSILAC DOZVOLE </w:t>
      </w:r>
    </w:p>
    <w:p w14:paraId="133DD4B0" w14:textId="77777777" w:rsidR="00F56B2A" w:rsidRPr="00A259FB" w:rsidRDefault="00F56B2A" w:rsidP="00767CD8">
      <w:pPr>
        <w:rPr>
          <w:bCs/>
          <w:szCs w:val="22"/>
          <w:lang w:val="sr-Latn-ME"/>
        </w:rPr>
      </w:pPr>
    </w:p>
    <w:p w14:paraId="6FEB29E7" w14:textId="77777777" w:rsidR="00735EA4" w:rsidRPr="00A259FB" w:rsidRDefault="00DD0ADF" w:rsidP="00767CD8">
      <w:pPr>
        <w:rPr>
          <w:bCs/>
          <w:szCs w:val="22"/>
          <w:lang w:val="sr-Latn-ME"/>
        </w:rPr>
      </w:pPr>
      <w:r w:rsidRPr="00A259FB">
        <w:rPr>
          <w:bCs/>
          <w:szCs w:val="22"/>
          <w:lang w:val="sr-Latn-ME"/>
        </w:rPr>
        <w:t>G</w:t>
      </w:r>
      <w:r w:rsidR="00901148" w:rsidRPr="00A259FB">
        <w:rPr>
          <w:bCs/>
          <w:szCs w:val="22"/>
          <w:lang w:val="sr-Latn-ME"/>
        </w:rPr>
        <w:t xml:space="preserve">LK pharma d.o.o. Podgorica, </w:t>
      </w:r>
    </w:p>
    <w:p w14:paraId="2A9DC0E4" w14:textId="4C40004C" w:rsidR="00E90FE8" w:rsidRPr="00A259FB" w:rsidRDefault="00901148" w:rsidP="00767CD8">
      <w:pPr>
        <w:rPr>
          <w:bCs/>
          <w:szCs w:val="22"/>
          <w:lang w:val="sr-Latn-ME"/>
        </w:rPr>
      </w:pPr>
      <w:r w:rsidRPr="00A259FB">
        <w:rPr>
          <w:bCs/>
          <w:szCs w:val="22"/>
          <w:lang w:val="sr-Latn-ME"/>
        </w:rPr>
        <w:t>Svetozara Markovića</w:t>
      </w:r>
      <w:r w:rsidR="00735EA4" w:rsidRPr="00A259FB">
        <w:rPr>
          <w:bCs/>
          <w:szCs w:val="22"/>
          <w:lang w:val="sr-Latn-ME"/>
        </w:rPr>
        <w:t xml:space="preserve"> </w:t>
      </w:r>
      <w:r w:rsidRPr="00A259FB">
        <w:rPr>
          <w:bCs/>
          <w:szCs w:val="22"/>
          <w:lang w:val="sr-Latn-ME"/>
        </w:rPr>
        <w:t>46, 81000 Podgorica, Crna Gora</w:t>
      </w:r>
    </w:p>
    <w:p w14:paraId="5AA9F432" w14:textId="1AE76158" w:rsidR="00F56B2A" w:rsidRPr="00A259FB" w:rsidRDefault="00F56B2A" w:rsidP="00767CD8">
      <w:pPr>
        <w:rPr>
          <w:szCs w:val="22"/>
          <w:lang w:val="sr-Latn-ME"/>
        </w:rPr>
      </w:pPr>
    </w:p>
    <w:p w14:paraId="398E1F19" w14:textId="77777777" w:rsidR="00F56B2A" w:rsidRPr="00A259FB" w:rsidRDefault="00F56B2A" w:rsidP="00767CD8">
      <w:pPr>
        <w:rPr>
          <w:szCs w:val="22"/>
          <w:lang w:val="sr-Latn-ME"/>
        </w:rPr>
      </w:pPr>
    </w:p>
    <w:p w14:paraId="2A9DC0E6" w14:textId="0E1A8602" w:rsidR="00E90FE8" w:rsidRPr="00A259FB" w:rsidRDefault="00E90FE8" w:rsidP="00767CD8">
      <w:pPr>
        <w:pStyle w:val="NASLOV123"/>
        <w:spacing w:before="0" w:after="0"/>
        <w:jc w:val="both"/>
        <w:rPr>
          <w:lang w:val="sr-Latn-ME"/>
        </w:rPr>
      </w:pPr>
      <w:r w:rsidRPr="00A259FB">
        <w:rPr>
          <w:lang w:val="sr-Latn-ME"/>
        </w:rPr>
        <w:t>8. BROJ</w:t>
      </w:r>
      <w:r w:rsidR="007E47F7" w:rsidRPr="00A259FB">
        <w:rPr>
          <w:lang w:val="sr-Latn-ME"/>
        </w:rPr>
        <w:t xml:space="preserve"> </w:t>
      </w:r>
      <w:r w:rsidRPr="00A259FB">
        <w:rPr>
          <w:lang w:val="sr-Latn-ME"/>
        </w:rPr>
        <w:t xml:space="preserve"> DOZVOLE</w:t>
      </w:r>
      <w:r w:rsidR="007E47F7" w:rsidRPr="00A259FB">
        <w:rPr>
          <w:lang w:val="sr-Latn-ME"/>
        </w:rPr>
        <w:t xml:space="preserve"> </w:t>
      </w:r>
      <w:r w:rsidRPr="00A259FB">
        <w:rPr>
          <w:lang w:val="sr-Latn-ME"/>
        </w:rPr>
        <w:t>ZA STAVLJANJE L</w:t>
      </w:r>
      <w:r w:rsidR="00901148" w:rsidRPr="00A259FB">
        <w:rPr>
          <w:lang w:val="sr-Latn-ME"/>
        </w:rPr>
        <w:t>IJ</w:t>
      </w:r>
      <w:r w:rsidRPr="00A259FB">
        <w:rPr>
          <w:lang w:val="sr-Latn-ME"/>
        </w:rPr>
        <w:t>EKA U PROMET</w:t>
      </w:r>
    </w:p>
    <w:p w14:paraId="010A15FC" w14:textId="185F7604" w:rsidR="00901148" w:rsidRPr="00A259FB" w:rsidRDefault="00901148" w:rsidP="00767CD8">
      <w:pPr>
        <w:pStyle w:val="NASLOV123"/>
        <w:spacing w:before="0" w:after="0"/>
        <w:jc w:val="both"/>
        <w:rPr>
          <w:lang w:val="sr-Latn-ME"/>
        </w:rPr>
      </w:pPr>
    </w:p>
    <w:p w14:paraId="27385734" w14:textId="3A9074B6" w:rsidR="00F56B2A" w:rsidRPr="00A259FB" w:rsidRDefault="00A259FB" w:rsidP="00767CD8">
      <w:pPr>
        <w:pStyle w:val="NASLOV123"/>
        <w:spacing w:before="0" w:after="0"/>
        <w:jc w:val="both"/>
        <w:rPr>
          <w:b w:val="0"/>
          <w:lang w:val="sr-Latn-ME"/>
        </w:rPr>
      </w:pPr>
      <w:r w:rsidRPr="00A259FB">
        <w:rPr>
          <w:b w:val="0"/>
          <w:lang w:val="sr-Latn-ME"/>
        </w:rPr>
        <w:t xml:space="preserve">2030/25/2649 – 6375 </w:t>
      </w:r>
    </w:p>
    <w:p w14:paraId="52DA4F1F" w14:textId="11115E79" w:rsidR="00A259FB" w:rsidRPr="00A259FB" w:rsidRDefault="00A259FB" w:rsidP="00767CD8">
      <w:pPr>
        <w:pStyle w:val="NASLOV123"/>
        <w:spacing w:before="0" w:after="0"/>
        <w:jc w:val="both"/>
        <w:rPr>
          <w:b w:val="0"/>
          <w:lang w:val="sr-Latn-ME"/>
        </w:rPr>
      </w:pPr>
    </w:p>
    <w:p w14:paraId="626213EF" w14:textId="77777777" w:rsidR="00A259FB" w:rsidRPr="00A259FB" w:rsidRDefault="00A259FB" w:rsidP="00767CD8">
      <w:pPr>
        <w:pStyle w:val="NASLOV123"/>
        <w:spacing w:before="0" w:after="0"/>
        <w:jc w:val="both"/>
        <w:rPr>
          <w:b w:val="0"/>
          <w:lang w:val="sr-Latn-ME"/>
        </w:rPr>
      </w:pPr>
    </w:p>
    <w:p w14:paraId="2A9DC0EB" w14:textId="14144334" w:rsidR="00E90FE8" w:rsidRPr="00A259FB" w:rsidRDefault="00E90FE8" w:rsidP="00767CD8">
      <w:pPr>
        <w:pStyle w:val="NASLOV123"/>
        <w:spacing w:before="0" w:after="0"/>
        <w:jc w:val="both"/>
        <w:rPr>
          <w:lang w:val="sr-Latn-ME"/>
        </w:rPr>
      </w:pPr>
      <w:r w:rsidRPr="00A259FB">
        <w:rPr>
          <w:lang w:val="sr-Latn-ME"/>
        </w:rPr>
        <w:t>9. DATUM PRVE DOZVOLE</w:t>
      </w:r>
      <w:r w:rsidR="00901148" w:rsidRPr="00A259FB">
        <w:rPr>
          <w:lang w:val="sr-Latn-ME"/>
        </w:rPr>
        <w:t>/</w:t>
      </w:r>
      <w:r w:rsidRPr="00A259FB">
        <w:rPr>
          <w:lang w:val="sr-Latn-ME"/>
        </w:rPr>
        <w:t>OBNOVE DOZVOLE ZA STAVLJANJE L</w:t>
      </w:r>
      <w:r w:rsidR="00901148" w:rsidRPr="00A259FB">
        <w:rPr>
          <w:lang w:val="sr-Latn-ME"/>
        </w:rPr>
        <w:t>IJ</w:t>
      </w:r>
      <w:r w:rsidRPr="00A259FB">
        <w:rPr>
          <w:lang w:val="sr-Latn-ME"/>
        </w:rPr>
        <w:t>EKA U PROMET</w:t>
      </w:r>
    </w:p>
    <w:p w14:paraId="2D4E570C" w14:textId="77777777" w:rsidR="00F56B2A" w:rsidRPr="00A259FB" w:rsidRDefault="00F56B2A" w:rsidP="00767CD8">
      <w:pPr>
        <w:pStyle w:val="NASLOV123"/>
        <w:spacing w:before="0" w:after="0"/>
        <w:jc w:val="both"/>
        <w:rPr>
          <w:b w:val="0"/>
          <w:lang w:val="sr-Latn-ME"/>
        </w:rPr>
      </w:pPr>
    </w:p>
    <w:p w14:paraId="332A429D" w14:textId="4A571D37" w:rsidR="00901148" w:rsidRPr="00A259FB" w:rsidRDefault="00735EA4" w:rsidP="00767CD8">
      <w:pPr>
        <w:pStyle w:val="NASLOV123"/>
        <w:spacing w:before="0" w:after="0"/>
        <w:jc w:val="both"/>
        <w:rPr>
          <w:b w:val="0"/>
          <w:lang w:val="sr-Latn-ME"/>
        </w:rPr>
      </w:pPr>
      <w:r w:rsidRPr="00A259FB">
        <w:rPr>
          <w:b w:val="0"/>
          <w:lang w:val="sr-Latn-ME"/>
        </w:rPr>
        <w:t xml:space="preserve">Datum prve dozvole: </w:t>
      </w:r>
      <w:r w:rsidR="00F56B2A" w:rsidRPr="00A259FB">
        <w:rPr>
          <w:b w:val="0"/>
          <w:lang w:val="sr-Latn-ME"/>
        </w:rPr>
        <w:t>23.06.2016. godine</w:t>
      </w:r>
    </w:p>
    <w:p w14:paraId="0B089908" w14:textId="71115A41" w:rsidR="00735EA4" w:rsidRPr="00A259FB" w:rsidRDefault="00735EA4" w:rsidP="00767CD8">
      <w:pPr>
        <w:pStyle w:val="NASLOV123"/>
        <w:spacing w:before="0" w:after="0"/>
        <w:jc w:val="both"/>
        <w:rPr>
          <w:b w:val="0"/>
          <w:lang w:val="sr-Latn-ME"/>
        </w:rPr>
      </w:pPr>
      <w:r w:rsidRPr="00A259FB">
        <w:rPr>
          <w:b w:val="0"/>
          <w:lang w:val="sr-Latn-ME"/>
        </w:rPr>
        <w:t>Datum posljednje obnove dozvole:</w:t>
      </w:r>
      <w:r w:rsidR="00A259FB" w:rsidRPr="00A259FB">
        <w:rPr>
          <w:b w:val="0"/>
          <w:lang w:val="sr-Latn-ME"/>
        </w:rPr>
        <w:t xml:space="preserve"> </w:t>
      </w:r>
      <w:r w:rsidR="00A259FB" w:rsidRPr="00A259FB">
        <w:rPr>
          <w:b w:val="0"/>
          <w:lang w:val="sr-Latn-ME"/>
        </w:rPr>
        <w:t>18.07.2025. godine</w:t>
      </w:r>
    </w:p>
    <w:p w14:paraId="70592550" w14:textId="5A2B7792" w:rsidR="00F56B2A" w:rsidRPr="00A259FB" w:rsidRDefault="00F56B2A" w:rsidP="00767CD8">
      <w:pPr>
        <w:pStyle w:val="NASLOV123"/>
        <w:spacing w:before="0" w:after="0"/>
        <w:jc w:val="both"/>
        <w:rPr>
          <w:b w:val="0"/>
          <w:lang w:val="sr-Latn-ME"/>
        </w:rPr>
      </w:pPr>
    </w:p>
    <w:p w14:paraId="50970B9B" w14:textId="77777777" w:rsidR="00F56B2A" w:rsidRPr="00A259FB" w:rsidRDefault="00F56B2A" w:rsidP="00767CD8">
      <w:pPr>
        <w:pStyle w:val="NASLOV123"/>
        <w:spacing w:before="0" w:after="0"/>
        <w:jc w:val="both"/>
        <w:rPr>
          <w:b w:val="0"/>
          <w:lang w:val="sr-Latn-ME"/>
        </w:rPr>
      </w:pPr>
    </w:p>
    <w:p w14:paraId="2A9DC0F1" w14:textId="7ACCADF7" w:rsidR="00E90FE8" w:rsidRPr="00A259FB" w:rsidRDefault="00E90FE8" w:rsidP="00767CD8">
      <w:pPr>
        <w:pStyle w:val="NASLOV123"/>
        <w:spacing w:before="0" w:after="0"/>
        <w:jc w:val="both"/>
        <w:rPr>
          <w:lang w:val="sr-Latn-ME"/>
        </w:rPr>
      </w:pPr>
      <w:r w:rsidRPr="00A259FB">
        <w:rPr>
          <w:lang w:val="sr-Latn-ME"/>
        </w:rPr>
        <w:t>10. DATUM REVIZIJE TEKSTA</w:t>
      </w:r>
    </w:p>
    <w:p w14:paraId="193AD9CA" w14:textId="77777777" w:rsidR="00F56B2A" w:rsidRPr="00A259FB" w:rsidRDefault="00F56B2A" w:rsidP="00767CD8">
      <w:pPr>
        <w:pStyle w:val="NASLOV123"/>
        <w:spacing w:before="0" w:after="0"/>
        <w:jc w:val="both"/>
        <w:rPr>
          <w:lang w:val="sr-Latn-ME"/>
        </w:rPr>
      </w:pPr>
    </w:p>
    <w:p w14:paraId="42CB94CD" w14:textId="4B48F547" w:rsidR="00756A26" w:rsidRPr="00A259FB" w:rsidRDefault="00A259FB" w:rsidP="00767CD8">
      <w:pPr>
        <w:rPr>
          <w:bCs/>
          <w:szCs w:val="22"/>
          <w:lang w:val="sr-Latn-ME"/>
        </w:rPr>
      </w:pPr>
      <w:r w:rsidRPr="00A259FB">
        <w:rPr>
          <w:bCs/>
          <w:szCs w:val="22"/>
          <w:lang w:val="sr-Latn-ME"/>
        </w:rPr>
        <w:t>Jul, 2025. godine</w:t>
      </w:r>
    </w:p>
    <w:p w14:paraId="17186779" w14:textId="77777777" w:rsidR="00756A26" w:rsidRPr="00A259FB" w:rsidRDefault="00756A26" w:rsidP="00767CD8">
      <w:pPr>
        <w:rPr>
          <w:szCs w:val="22"/>
          <w:lang w:val="sr-Latn-ME"/>
        </w:rPr>
      </w:pPr>
    </w:p>
    <w:p w14:paraId="1E464F1F" w14:textId="77777777" w:rsidR="00756A26" w:rsidRPr="00A259FB" w:rsidRDefault="00756A26" w:rsidP="00767CD8">
      <w:pPr>
        <w:rPr>
          <w:b/>
          <w:szCs w:val="22"/>
          <w:lang w:val="sr-Latn-ME"/>
        </w:rPr>
      </w:pPr>
    </w:p>
    <w:p w14:paraId="0A561AA7" w14:textId="77777777" w:rsidR="00756A26" w:rsidRPr="00A259FB" w:rsidRDefault="00756A26" w:rsidP="00767CD8">
      <w:pPr>
        <w:rPr>
          <w:bCs/>
          <w:szCs w:val="22"/>
          <w:lang w:val="sr-Latn-ME"/>
        </w:rPr>
      </w:pPr>
    </w:p>
    <w:p w14:paraId="2A9DC0F3" w14:textId="77777777" w:rsidR="00E90FE8" w:rsidRPr="00A259FB" w:rsidRDefault="00E90FE8" w:rsidP="00767CD8">
      <w:pPr>
        <w:rPr>
          <w:bCs/>
          <w:szCs w:val="22"/>
          <w:lang w:val="sr-Latn-ME"/>
        </w:rPr>
      </w:pPr>
    </w:p>
    <w:sectPr w:rsidR="00E90FE8" w:rsidRPr="00A259FB" w:rsidSect="00A259FB">
      <w:headerReference w:type="even" r:id="rId15"/>
      <w:footerReference w:type="even" r:id="rId16"/>
      <w:footerReference w:type="default" r:id="rId17"/>
      <w:headerReference w:type="first" r:id="rId18"/>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113BC" w14:textId="77777777" w:rsidR="00544D39" w:rsidRDefault="00544D39">
      <w:r>
        <w:separator/>
      </w:r>
    </w:p>
  </w:endnote>
  <w:endnote w:type="continuationSeparator" w:id="0">
    <w:p w14:paraId="48F3F159" w14:textId="77777777" w:rsidR="00544D39" w:rsidRDefault="00544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Tahoma"/>
    <w:panose1 w:val="00000000000000000000"/>
    <w:charset w:val="EE"/>
    <w:family w:val="swiss"/>
    <w:notTrueType/>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Lucida Sans Unicode"/>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DC0F8" w14:textId="77777777" w:rsidR="00E90FE8" w:rsidRDefault="00E90FE8"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A9DC0F9" w14:textId="77777777" w:rsidR="00E90FE8" w:rsidRDefault="00E90FE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DC0FA" w14:textId="19EB96C9" w:rsidR="00E90FE8" w:rsidRPr="00A259FB" w:rsidRDefault="00E90FE8" w:rsidP="00CE09F3">
    <w:pPr>
      <w:pStyle w:val="Footer"/>
      <w:tabs>
        <w:tab w:val="left" w:pos="5448"/>
      </w:tabs>
      <w:spacing w:before="360"/>
      <w:jc w:val="center"/>
      <w:rPr>
        <w:szCs w:val="22"/>
      </w:rPr>
    </w:pPr>
    <w:r w:rsidRPr="00A259FB">
      <w:rPr>
        <w:szCs w:val="22"/>
      </w:rPr>
      <w:fldChar w:fldCharType="begin"/>
    </w:r>
    <w:r w:rsidRPr="00A259FB">
      <w:rPr>
        <w:szCs w:val="22"/>
      </w:rPr>
      <w:instrText xml:space="preserve"> PAGE </w:instrText>
    </w:r>
    <w:r w:rsidRPr="00A259FB">
      <w:rPr>
        <w:szCs w:val="22"/>
      </w:rPr>
      <w:fldChar w:fldCharType="separate"/>
    </w:r>
    <w:r w:rsidR="00A259FB">
      <w:rPr>
        <w:noProof/>
        <w:szCs w:val="22"/>
      </w:rPr>
      <w:t>9</w:t>
    </w:r>
    <w:r w:rsidRPr="00A259FB">
      <w:rPr>
        <w:szCs w:val="22"/>
      </w:rPr>
      <w:fldChar w:fldCharType="end"/>
    </w:r>
    <w:r w:rsidRPr="00A259FB">
      <w:rPr>
        <w:szCs w:val="22"/>
      </w:rPr>
      <w:t xml:space="preserve"> </w:t>
    </w:r>
    <w:r w:rsidR="00FD06C2" w:rsidRPr="00A259FB">
      <w:rPr>
        <w:szCs w:val="22"/>
      </w:rPr>
      <w:t>/</w:t>
    </w:r>
    <w:r w:rsidRPr="00A259FB">
      <w:rPr>
        <w:szCs w:val="22"/>
      </w:rPr>
      <w:t xml:space="preserve"> </w:t>
    </w:r>
    <w:r w:rsidRPr="00A259FB">
      <w:rPr>
        <w:szCs w:val="22"/>
      </w:rPr>
      <w:fldChar w:fldCharType="begin"/>
    </w:r>
    <w:r w:rsidRPr="00A259FB">
      <w:rPr>
        <w:szCs w:val="22"/>
      </w:rPr>
      <w:instrText xml:space="preserve"> NUMPAGES  </w:instrText>
    </w:r>
    <w:r w:rsidRPr="00A259FB">
      <w:rPr>
        <w:szCs w:val="22"/>
      </w:rPr>
      <w:fldChar w:fldCharType="separate"/>
    </w:r>
    <w:r w:rsidR="00A259FB">
      <w:rPr>
        <w:noProof/>
        <w:szCs w:val="22"/>
      </w:rPr>
      <w:t>9</w:t>
    </w:r>
    <w:r w:rsidRPr="00A259FB">
      <w:rPr>
        <w:szCs w:val="22"/>
      </w:rPr>
      <w:fldChar w:fldCharType="end"/>
    </w:r>
  </w:p>
  <w:p w14:paraId="2A9DC0FB" w14:textId="77777777" w:rsidR="00E90FE8" w:rsidRPr="00C536C2" w:rsidRDefault="00E90FE8"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5C20F" w14:textId="77777777" w:rsidR="00544D39" w:rsidRDefault="00544D39">
      <w:r>
        <w:separator/>
      </w:r>
    </w:p>
  </w:footnote>
  <w:footnote w:type="continuationSeparator" w:id="0">
    <w:p w14:paraId="2A8374DC" w14:textId="77777777" w:rsidR="00544D39" w:rsidRDefault="00544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CE723" w14:textId="129ADE8E" w:rsidR="00725EA9" w:rsidRDefault="00725EA9">
    <w:pPr>
      <w:pStyle w:val="Header"/>
    </w:pPr>
    <w:r>
      <w:rPr>
        <w:noProof/>
      </w:rPr>
      <mc:AlternateContent>
        <mc:Choice Requires="wps">
          <w:drawing>
            <wp:anchor distT="0" distB="0" distL="0" distR="0" simplePos="0" relativeHeight="251659264" behindDoc="0" locked="0" layoutInCell="1" allowOverlap="1" wp14:anchorId="5A589A8B" wp14:editId="518D223C">
              <wp:simplePos x="635" y="635"/>
              <wp:positionH relativeFrom="page">
                <wp:align>right</wp:align>
              </wp:positionH>
              <wp:positionV relativeFrom="page">
                <wp:align>top</wp:align>
              </wp:positionV>
              <wp:extent cx="1190625" cy="361315"/>
              <wp:effectExtent l="0" t="0" r="0" b="635"/>
              <wp:wrapNone/>
              <wp:docPr id="505912906"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8FD9F46" w14:textId="74D40BA8" w:rsidR="00725EA9" w:rsidRPr="00725EA9" w:rsidRDefault="00725EA9" w:rsidP="00725EA9">
                          <w:pPr>
                            <w:rPr>
                              <w:rFonts w:ascii="Calibri" w:eastAsia="Calibri" w:hAnsi="Calibri" w:cs="Calibri"/>
                              <w:noProof/>
                              <w:color w:val="008000"/>
                              <w:szCs w:val="22"/>
                            </w:rPr>
                          </w:pPr>
                          <w:r w:rsidRPr="00725EA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A589A8B"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" filled="f" stroked="f">
              <v:textbox style="mso-fit-shape-to-text:t" inset="0,15pt,20pt,0">
                <w:txbxContent>
                  <w:p w14:paraId="38FD9F46" w14:textId="74D40BA8" w:rsidR="00725EA9" w:rsidRPr="00725EA9" w:rsidRDefault="00725EA9" w:rsidP="00725EA9">
                    <w:pPr>
                      <w:rPr>
                        <w:rFonts w:ascii="Calibri" w:eastAsia="Calibri" w:hAnsi="Calibri" w:cs="Calibri"/>
                        <w:noProof/>
                        <w:color w:val="008000"/>
                        <w:szCs w:val="22"/>
                      </w:rPr>
                    </w:pPr>
                    <w:r w:rsidRPr="00725EA9">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0125C" w14:textId="3F4941B5" w:rsidR="00725EA9" w:rsidRDefault="00725EA9">
    <w:pPr>
      <w:pStyle w:val="Header"/>
    </w:pPr>
    <w:r>
      <w:rPr>
        <w:noProof/>
      </w:rPr>
      <mc:AlternateContent>
        <mc:Choice Requires="wps">
          <w:drawing>
            <wp:anchor distT="0" distB="0" distL="0" distR="0" simplePos="0" relativeHeight="251658240" behindDoc="0" locked="0" layoutInCell="1" allowOverlap="1" wp14:anchorId="786AA2BA" wp14:editId="4E0BAA2D">
              <wp:simplePos x="635" y="635"/>
              <wp:positionH relativeFrom="page">
                <wp:align>right</wp:align>
              </wp:positionH>
              <wp:positionV relativeFrom="page">
                <wp:align>top</wp:align>
              </wp:positionV>
              <wp:extent cx="1190625" cy="361315"/>
              <wp:effectExtent l="0" t="0" r="0" b="635"/>
              <wp:wrapNone/>
              <wp:docPr id="436810721"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4B7BAD6B" w14:textId="62B8B291" w:rsidR="00725EA9" w:rsidRPr="00725EA9" w:rsidRDefault="00725EA9" w:rsidP="00725EA9">
                          <w:pPr>
                            <w:rPr>
                              <w:rFonts w:ascii="Calibri" w:eastAsia="Calibri" w:hAnsi="Calibri" w:cs="Calibri"/>
                              <w:noProof/>
                              <w:color w:val="008000"/>
                              <w:szCs w:val="22"/>
                            </w:rPr>
                          </w:pPr>
                          <w:r w:rsidRPr="00725EA9">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786AA2BA"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Lvskn52AgAAvQQAAA4AAAAA&#10;AAAAAAAAAAAALgIAAGRycy9lMm9Eb2MueG1sUEsBAi0AFAAGAAgAAAAhAB31uxfdAAAABAEAAA8A&#10;AAAAAAAAAAAAAAAA0AQAAGRycy9kb3ducmV2LnhtbFBLBQYAAAAABAAEAPMAAADaBQAAAAA=&#10;" filled="f" stroked="f">
              <v:textbox style="mso-fit-shape-to-text:t" inset="0,15pt,20pt,0">
                <w:txbxContent>
                  <w:p w14:paraId="4B7BAD6B" w14:textId="62B8B291" w:rsidR="00725EA9" w:rsidRPr="00725EA9" w:rsidRDefault="00725EA9" w:rsidP="00725EA9">
                    <w:pPr>
                      <w:rPr>
                        <w:rFonts w:ascii="Calibri" w:eastAsia="Calibri" w:hAnsi="Calibri" w:cs="Calibri"/>
                        <w:noProof/>
                        <w:color w:val="008000"/>
                        <w:szCs w:val="22"/>
                      </w:rPr>
                    </w:pPr>
                    <w:r w:rsidRPr="00725EA9">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4C0"/>
    <w:multiLevelType w:val="hybridMultilevel"/>
    <w:tmpl w:val="37F64FAE"/>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4667A4F"/>
    <w:multiLevelType w:val="hybridMultilevel"/>
    <w:tmpl w:val="50089492"/>
    <w:lvl w:ilvl="0" w:tplc="17A6A65A">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8623D5"/>
    <w:multiLevelType w:val="hybridMultilevel"/>
    <w:tmpl w:val="6ADE21CE"/>
    <w:lvl w:ilvl="0" w:tplc="1F2AF7B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4" w15:restartNumberingAfterBreak="0">
    <w:nsid w:val="13EC7793"/>
    <w:multiLevelType w:val="hybridMultilevel"/>
    <w:tmpl w:val="2ADCB91E"/>
    <w:lvl w:ilvl="0" w:tplc="CA20DB98">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 w15:restartNumberingAfterBreak="0">
    <w:nsid w:val="25572441"/>
    <w:multiLevelType w:val="hybridMultilevel"/>
    <w:tmpl w:val="F3AA54E6"/>
    <w:lvl w:ilvl="0" w:tplc="17A6A65A">
      <w:start w:val="1"/>
      <w:numFmt w:val="bullet"/>
      <w:lvlText w:val=""/>
      <w:lvlJc w:val="left"/>
      <w:pPr>
        <w:tabs>
          <w:tab w:val="num" w:pos="1080"/>
        </w:tabs>
        <w:ind w:left="108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8296DF7"/>
    <w:multiLevelType w:val="hybridMultilevel"/>
    <w:tmpl w:val="E89A240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B07788B"/>
    <w:multiLevelType w:val="hybridMultilevel"/>
    <w:tmpl w:val="65E8ED30"/>
    <w:lvl w:ilvl="0" w:tplc="405EA51A">
      <w:start w:val="1"/>
      <w:numFmt w:val="bullet"/>
      <w:lvlText w:val=""/>
      <w:lvlJc w:val="left"/>
      <w:pPr>
        <w:tabs>
          <w:tab w:val="num" w:pos="2497"/>
        </w:tabs>
        <w:ind w:left="2497" w:hanging="360"/>
      </w:pPr>
      <w:rPr>
        <w:rFonts w:ascii="Symbol" w:hAnsi="Symbol" w:hint="default"/>
        <w:sz w:val="18"/>
      </w:rPr>
    </w:lvl>
    <w:lvl w:ilvl="1" w:tplc="04090003" w:tentative="1">
      <w:start w:val="1"/>
      <w:numFmt w:val="bullet"/>
      <w:lvlText w:val="o"/>
      <w:lvlJc w:val="left"/>
      <w:pPr>
        <w:tabs>
          <w:tab w:val="num" w:pos="2137"/>
        </w:tabs>
        <w:ind w:left="2137" w:hanging="360"/>
      </w:pPr>
      <w:rPr>
        <w:rFonts w:ascii="Courier New" w:hAnsi="Courier New" w:hint="default"/>
      </w:rPr>
    </w:lvl>
    <w:lvl w:ilvl="2" w:tplc="04090005" w:tentative="1">
      <w:start w:val="1"/>
      <w:numFmt w:val="bullet"/>
      <w:lvlText w:val=""/>
      <w:lvlJc w:val="left"/>
      <w:pPr>
        <w:tabs>
          <w:tab w:val="num" w:pos="2857"/>
        </w:tabs>
        <w:ind w:left="2857" w:hanging="360"/>
      </w:pPr>
      <w:rPr>
        <w:rFonts w:ascii="Wingdings" w:hAnsi="Wingdings" w:hint="default"/>
      </w:rPr>
    </w:lvl>
    <w:lvl w:ilvl="3" w:tplc="04090001" w:tentative="1">
      <w:start w:val="1"/>
      <w:numFmt w:val="bullet"/>
      <w:lvlText w:val=""/>
      <w:lvlJc w:val="left"/>
      <w:pPr>
        <w:tabs>
          <w:tab w:val="num" w:pos="3577"/>
        </w:tabs>
        <w:ind w:left="3577" w:hanging="360"/>
      </w:pPr>
      <w:rPr>
        <w:rFonts w:ascii="Symbol" w:hAnsi="Symbol" w:hint="default"/>
      </w:rPr>
    </w:lvl>
    <w:lvl w:ilvl="4" w:tplc="04090003" w:tentative="1">
      <w:start w:val="1"/>
      <w:numFmt w:val="bullet"/>
      <w:lvlText w:val="o"/>
      <w:lvlJc w:val="left"/>
      <w:pPr>
        <w:tabs>
          <w:tab w:val="num" w:pos="4297"/>
        </w:tabs>
        <w:ind w:left="4297" w:hanging="360"/>
      </w:pPr>
      <w:rPr>
        <w:rFonts w:ascii="Courier New" w:hAnsi="Courier New" w:hint="default"/>
      </w:rPr>
    </w:lvl>
    <w:lvl w:ilvl="5" w:tplc="04090005" w:tentative="1">
      <w:start w:val="1"/>
      <w:numFmt w:val="bullet"/>
      <w:lvlText w:val=""/>
      <w:lvlJc w:val="left"/>
      <w:pPr>
        <w:tabs>
          <w:tab w:val="num" w:pos="5017"/>
        </w:tabs>
        <w:ind w:left="5017" w:hanging="360"/>
      </w:pPr>
      <w:rPr>
        <w:rFonts w:ascii="Wingdings" w:hAnsi="Wingdings" w:hint="default"/>
      </w:rPr>
    </w:lvl>
    <w:lvl w:ilvl="6" w:tplc="04090001" w:tentative="1">
      <w:start w:val="1"/>
      <w:numFmt w:val="bullet"/>
      <w:lvlText w:val=""/>
      <w:lvlJc w:val="left"/>
      <w:pPr>
        <w:tabs>
          <w:tab w:val="num" w:pos="5737"/>
        </w:tabs>
        <w:ind w:left="5737" w:hanging="360"/>
      </w:pPr>
      <w:rPr>
        <w:rFonts w:ascii="Symbol" w:hAnsi="Symbol" w:hint="default"/>
      </w:rPr>
    </w:lvl>
    <w:lvl w:ilvl="7" w:tplc="04090003" w:tentative="1">
      <w:start w:val="1"/>
      <w:numFmt w:val="bullet"/>
      <w:lvlText w:val="o"/>
      <w:lvlJc w:val="left"/>
      <w:pPr>
        <w:tabs>
          <w:tab w:val="num" w:pos="6457"/>
        </w:tabs>
        <w:ind w:left="6457" w:hanging="360"/>
      </w:pPr>
      <w:rPr>
        <w:rFonts w:ascii="Courier New" w:hAnsi="Courier New" w:hint="default"/>
      </w:rPr>
    </w:lvl>
    <w:lvl w:ilvl="8" w:tplc="04090005" w:tentative="1">
      <w:start w:val="1"/>
      <w:numFmt w:val="bullet"/>
      <w:lvlText w:val=""/>
      <w:lvlJc w:val="left"/>
      <w:pPr>
        <w:tabs>
          <w:tab w:val="num" w:pos="7177"/>
        </w:tabs>
        <w:ind w:left="7177" w:hanging="360"/>
      </w:pPr>
      <w:rPr>
        <w:rFonts w:ascii="Wingdings" w:hAnsi="Wingdings" w:hint="default"/>
      </w:rPr>
    </w:lvl>
  </w:abstractNum>
  <w:abstractNum w:abstractNumId="9" w15:restartNumberingAfterBreak="0">
    <w:nsid w:val="2E9557A0"/>
    <w:multiLevelType w:val="hybridMultilevel"/>
    <w:tmpl w:val="9F3E827E"/>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4056799"/>
    <w:multiLevelType w:val="hybridMultilevel"/>
    <w:tmpl w:val="E76A4D96"/>
    <w:lvl w:ilvl="0" w:tplc="CC86E3A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CD65FD"/>
    <w:multiLevelType w:val="hybridMultilevel"/>
    <w:tmpl w:val="4762D9CA"/>
    <w:lvl w:ilvl="0" w:tplc="CFDCC996">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92F0FB4"/>
    <w:multiLevelType w:val="hybridMultilevel"/>
    <w:tmpl w:val="BDA4D7E8"/>
    <w:lvl w:ilvl="0" w:tplc="8B968E24">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3844B8"/>
    <w:multiLevelType w:val="hybridMultilevel"/>
    <w:tmpl w:val="088E8B60"/>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AE90866"/>
    <w:multiLevelType w:val="hybridMultilevel"/>
    <w:tmpl w:val="D784A1A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50371F58"/>
    <w:multiLevelType w:val="hybridMultilevel"/>
    <w:tmpl w:val="4272763A"/>
    <w:lvl w:ilvl="0" w:tplc="1F2AF7B6">
      <w:start w:val="1"/>
      <w:numFmt w:val="bullet"/>
      <w:lvlText w:val=""/>
      <w:lvlJc w:val="left"/>
      <w:pPr>
        <w:tabs>
          <w:tab w:val="num" w:pos="1352"/>
        </w:tabs>
        <w:ind w:left="1352" w:hanging="360"/>
      </w:pPr>
      <w:rPr>
        <w:rFonts w:ascii="Symbol" w:hAnsi="Symbol" w:hint="default"/>
        <w:sz w:val="18"/>
      </w:rPr>
    </w:lvl>
    <w:lvl w:ilvl="1" w:tplc="04090003" w:tentative="1">
      <w:start w:val="1"/>
      <w:numFmt w:val="bullet"/>
      <w:lvlText w:val="o"/>
      <w:lvlJc w:val="left"/>
      <w:pPr>
        <w:tabs>
          <w:tab w:val="num" w:pos="2072"/>
        </w:tabs>
        <w:ind w:left="2072" w:hanging="360"/>
      </w:pPr>
      <w:rPr>
        <w:rFonts w:ascii="Courier New" w:hAnsi="Courier New" w:hint="default"/>
      </w:rPr>
    </w:lvl>
    <w:lvl w:ilvl="2" w:tplc="04090005" w:tentative="1">
      <w:start w:val="1"/>
      <w:numFmt w:val="bullet"/>
      <w:lvlText w:val=""/>
      <w:lvlJc w:val="left"/>
      <w:pPr>
        <w:tabs>
          <w:tab w:val="num" w:pos="2792"/>
        </w:tabs>
        <w:ind w:left="2792" w:hanging="360"/>
      </w:pPr>
      <w:rPr>
        <w:rFonts w:ascii="Wingdings" w:hAnsi="Wingdings" w:hint="default"/>
      </w:rPr>
    </w:lvl>
    <w:lvl w:ilvl="3" w:tplc="04090001" w:tentative="1">
      <w:start w:val="1"/>
      <w:numFmt w:val="bullet"/>
      <w:lvlText w:val=""/>
      <w:lvlJc w:val="left"/>
      <w:pPr>
        <w:tabs>
          <w:tab w:val="num" w:pos="3512"/>
        </w:tabs>
        <w:ind w:left="3512" w:hanging="360"/>
      </w:pPr>
      <w:rPr>
        <w:rFonts w:ascii="Symbol" w:hAnsi="Symbol" w:hint="default"/>
      </w:rPr>
    </w:lvl>
    <w:lvl w:ilvl="4" w:tplc="04090003" w:tentative="1">
      <w:start w:val="1"/>
      <w:numFmt w:val="bullet"/>
      <w:lvlText w:val="o"/>
      <w:lvlJc w:val="left"/>
      <w:pPr>
        <w:tabs>
          <w:tab w:val="num" w:pos="4232"/>
        </w:tabs>
        <w:ind w:left="4232" w:hanging="360"/>
      </w:pPr>
      <w:rPr>
        <w:rFonts w:ascii="Courier New" w:hAnsi="Courier New" w:hint="default"/>
      </w:rPr>
    </w:lvl>
    <w:lvl w:ilvl="5" w:tplc="04090005" w:tentative="1">
      <w:start w:val="1"/>
      <w:numFmt w:val="bullet"/>
      <w:lvlText w:val=""/>
      <w:lvlJc w:val="left"/>
      <w:pPr>
        <w:tabs>
          <w:tab w:val="num" w:pos="4952"/>
        </w:tabs>
        <w:ind w:left="4952" w:hanging="360"/>
      </w:pPr>
      <w:rPr>
        <w:rFonts w:ascii="Wingdings" w:hAnsi="Wingdings" w:hint="default"/>
      </w:rPr>
    </w:lvl>
    <w:lvl w:ilvl="6" w:tplc="04090001" w:tentative="1">
      <w:start w:val="1"/>
      <w:numFmt w:val="bullet"/>
      <w:lvlText w:val=""/>
      <w:lvlJc w:val="left"/>
      <w:pPr>
        <w:tabs>
          <w:tab w:val="num" w:pos="5672"/>
        </w:tabs>
        <w:ind w:left="5672" w:hanging="360"/>
      </w:pPr>
      <w:rPr>
        <w:rFonts w:ascii="Symbol" w:hAnsi="Symbol" w:hint="default"/>
      </w:rPr>
    </w:lvl>
    <w:lvl w:ilvl="7" w:tplc="04090003" w:tentative="1">
      <w:start w:val="1"/>
      <w:numFmt w:val="bullet"/>
      <w:lvlText w:val="o"/>
      <w:lvlJc w:val="left"/>
      <w:pPr>
        <w:tabs>
          <w:tab w:val="num" w:pos="6392"/>
        </w:tabs>
        <w:ind w:left="6392" w:hanging="360"/>
      </w:pPr>
      <w:rPr>
        <w:rFonts w:ascii="Courier New" w:hAnsi="Courier New" w:hint="default"/>
      </w:rPr>
    </w:lvl>
    <w:lvl w:ilvl="8" w:tplc="04090005" w:tentative="1">
      <w:start w:val="1"/>
      <w:numFmt w:val="bullet"/>
      <w:lvlText w:val=""/>
      <w:lvlJc w:val="left"/>
      <w:pPr>
        <w:tabs>
          <w:tab w:val="num" w:pos="7112"/>
        </w:tabs>
        <w:ind w:left="7112" w:hanging="360"/>
      </w:pPr>
      <w:rPr>
        <w:rFonts w:ascii="Wingdings" w:hAnsi="Wingdings" w:hint="default"/>
      </w:rPr>
    </w:lvl>
  </w:abstractNum>
  <w:abstractNum w:abstractNumId="16" w15:restartNumberingAfterBreak="0">
    <w:nsid w:val="561B041F"/>
    <w:multiLevelType w:val="hybridMultilevel"/>
    <w:tmpl w:val="934411F0"/>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3B5290"/>
    <w:multiLevelType w:val="hybridMultilevel"/>
    <w:tmpl w:val="436864DC"/>
    <w:lvl w:ilvl="0" w:tplc="405EA51A">
      <w:start w:val="1"/>
      <w:numFmt w:val="bullet"/>
      <w:lvlText w:val=""/>
      <w:lvlJc w:val="left"/>
      <w:pPr>
        <w:tabs>
          <w:tab w:val="num" w:pos="2160"/>
        </w:tabs>
        <w:ind w:left="2160" w:hanging="360"/>
      </w:pPr>
      <w:rPr>
        <w:rFonts w:ascii="Symbol" w:hAnsi="Symbol" w:hint="default"/>
        <w:sz w:val="18"/>
      </w:rPr>
    </w:lvl>
    <w:lvl w:ilvl="1" w:tplc="424E0416">
      <w:start w:val="4"/>
      <w:numFmt w:val="bullet"/>
      <w:lvlText w:val="-"/>
      <w:lvlJc w:val="left"/>
      <w:pPr>
        <w:tabs>
          <w:tab w:val="num" w:pos="1800"/>
        </w:tabs>
        <w:ind w:left="1800" w:hanging="360"/>
      </w:pPr>
      <w:rPr>
        <w:rFonts w:ascii="Arial" w:eastAsia="Times New Roman" w:hAnsi="Arial" w:hint="default"/>
        <w:sz w:val="18"/>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650E19C6"/>
    <w:multiLevelType w:val="hybridMultilevel"/>
    <w:tmpl w:val="DE0AAFA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568245A"/>
    <w:multiLevelType w:val="hybridMultilevel"/>
    <w:tmpl w:val="A032457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668E108B"/>
    <w:multiLevelType w:val="hybridMultilevel"/>
    <w:tmpl w:val="97DC390C"/>
    <w:lvl w:ilvl="0" w:tplc="405EA51A">
      <w:start w:val="1"/>
      <w:numFmt w:val="bullet"/>
      <w:lvlText w:val=""/>
      <w:lvlJc w:val="left"/>
      <w:pPr>
        <w:tabs>
          <w:tab w:val="num" w:pos="2160"/>
        </w:tabs>
        <w:ind w:left="2160" w:hanging="360"/>
      </w:pPr>
      <w:rPr>
        <w:rFonts w:ascii="Symbol" w:hAnsi="Symbol" w:hint="default"/>
        <w:sz w:val="18"/>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DB623FF"/>
    <w:multiLevelType w:val="hybridMultilevel"/>
    <w:tmpl w:val="6A3CF1DA"/>
    <w:lvl w:ilvl="0" w:tplc="405EA51A">
      <w:start w:val="1"/>
      <w:numFmt w:val="bullet"/>
      <w:lvlText w:val=""/>
      <w:lvlJc w:val="left"/>
      <w:pPr>
        <w:tabs>
          <w:tab w:val="num" w:pos="1800"/>
        </w:tabs>
        <w:ind w:left="180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4F0A43"/>
    <w:multiLevelType w:val="hybridMultilevel"/>
    <w:tmpl w:val="040C8628"/>
    <w:lvl w:ilvl="0" w:tplc="345C26A2">
      <w:start w:val="1"/>
      <w:numFmt w:val="bullet"/>
      <w:lvlText w:val=""/>
      <w:lvlJc w:val="left"/>
      <w:pPr>
        <w:tabs>
          <w:tab w:val="num" w:pos="720"/>
        </w:tabs>
        <w:ind w:left="720" w:hanging="360"/>
      </w:pPr>
      <w:rPr>
        <w:rFonts w:ascii="Symbol" w:hAnsi="Symbol" w:hint="default"/>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5"/>
  </w:num>
  <w:num w:numId="2">
    <w:abstractNumId w:val="3"/>
    <w:lvlOverride w:ilvl="0">
      <w:startOverride w:val="7"/>
    </w:lvlOverride>
  </w:num>
  <w:num w:numId="3">
    <w:abstractNumId w:val="23"/>
  </w:num>
  <w:num w:numId="4">
    <w:abstractNumId w:val="12"/>
  </w:num>
  <w:num w:numId="5">
    <w:abstractNumId w:val="10"/>
  </w:num>
  <w:num w:numId="6">
    <w:abstractNumId w:val="2"/>
  </w:num>
  <w:num w:numId="7">
    <w:abstractNumId w:val="15"/>
  </w:num>
  <w:num w:numId="8">
    <w:abstractNumId w:val="0"/>
  </w:num>
  <w:num w:numId="9">
    <w:abstractNumId w:val="8"/>
  </w:num>
  <w:num w:numId="10">
    <w:abstractNumId w:val="20"/>
  </w:num>
  <w:num w:numId="11">
    <w:abstractNumId w:val="19"/>
  </w:num>
  <w:num w:numId="12">
    <w:abstractNumId w:val="21"/>
  </w:num>
  <w:num w:numId="13">
    <w:abstractNumId w:val="7"/>
  </w:num>
  <w:num w:numId="14">
    <w:abstractNumId w:val="13"/>
  </w:num>
  <w:num w:numId="15">
    <w:abstractNumId w:val="14"/>
  </w:num>
  <w:num w:numId="16">
    <w:abstractNumId w:val="16"/>
  </w:num>
  <w:num w:numId="17">
    <w:abstractNumId w:val="17"/>
  </w:num>
  <w:num w:numId="18">
    <w:abstractNumId w:val="22"/>
  </w:num>
  <w:num w:numId="19">
    <w:abstractNumId w:val="18"/>
  </w:num>
  <w:num w:numId="20">
    <w:abstractNumId w:val="9"/>
  </w:num>
  <w:num w:numId="21">
    <w:abstractNumId w:val="1"/>
  </w:num>
  <w:num w:numId="22">
    <w:abstractNumId w:val="4"/>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147C"/>
    <w:rsid w:val="00006C03"/>
    <w:rsid w:val="00007E3E"/>
    <w:rsid w:val="00007EF9"/>
    <w:rsid w:val="00017801"/>
    <w:rsid w:val="00025C2C"/>
    <w:rsid w:val="000335E4"/>
    <w:rsid w:val="00035F51"/>
    <w:rsid w:val="00035F8C"/>
    <w:rsid w:val="000416E6"/>
    <w:rsid w:val="00045D16"/>
    <w:rsid w:val="00045DE8"/>
    <w:rsid w:val="00047F95"/>
    <w:rsid w:val="0005798D"/>
    <w:rsid w:val="00057ECA"/>
    <w:rsid w:val="00064273"/>
    <w:rsid w:val="00064B70"/>
    <w:rsid w:val="00083BE0"/>
    <w:rsid w:val="00092C14"/>
    <w:rsid w:val="00094066"/>
    <w:rsid w:val="00095FB6"/>
    <w:rsid w:val="0009758B"/>
    <w:rsid w:val="000A0F4A"/>
    <w:rsid w:val="000A2D5E"/>
    <w:rsid w:val="000A7AD1"/>
    <w:rsid w:val="000B68DE"/>
    <w:rsid w:val="000C49D0"/>
    <w:rsid w:val="000C55FA"/>
    <w:rsid w:val="000D497E"/>
    <w:rsid w:val="000D5631"/>
    <w:rsid w:val="000E2386"/>
    <w:rsid w:val="000E457F"/>
    <w:rsid w:val="000E75C0"/>
    <w:rsid w:val="000F28FD"/>
    <w:rsid w:val="000F4141"/>
    <w:rsid w:val="00110C24"/>
    <w:rsid w:val="00112E93"/>
    <w:rsid w:val="00115319"/>
    <w:rsid w:val="00116CCF"/>
    <w:rsid w:val="00123AC9"/>
    <w:rsid w:val="00125A9B"/>
    <w:rsid w:val="001267B9"/>
    <w:rsid w:val="001267CF"/>
    <w:rsid w:val="00127B49"/>
    <w:rsid w:val="0013144A"/>
    <w:rsid w:val="00140A21"/>
    <w:rsid w:val="00141639"/>
    <w:rsid w:val="0014180A"/>
    <w:rsid w:val="00143B54"/>
    <w:rsid w:val="0015595C"/>
    <w:rsid w:val="00157089"/>
    <w:rsid w:val="0016119A"/>
    <w:rsid w:val="00161E01"/>
    <w:rsid w:val="0016624B"/>
    <w:rsid w:val="00166563"/>
    <w:rsid w:val="001705C1"/>
    <w:rsid w:val="00172B24"/>
    <w:rsid w:val="00173D18"/>
    <w:rsid w:val="001742B3"/>
    <w:rsid w:val="00175772"/>
    <w:rsid w:val="00175A7E"/>
    <w:rsid w:val="00176188"/>
    <w:rsid w:val="00181469"/>
    <w:rsid w:val="0018601D"/>
    <w:rsid w:val="00191EA4"/>
    <w:rsid w:val="00192C27"/>
    <w:rsid w:val="00195994"/>
    <w:rsid w:val="001A09F2"/>
    <w:rsid w:val="001A4304"/>
    <w:rsid w:val="001B3F77"/>
    <w:rsid w:val="001B48E3"/>
    <w:rsid w:val="001B706A"/>
    <w:rsid w:val="001C2B52"/>
    <w:rsid w:val="001C38C8"/>
    <w:rsid w:val="001C3E49"/>
    <w:rsid w:val="001C4FD2"/>
    <w:rsid w:val="001C5AFB"/>
    <w:rsid w:val="001D10C9"/>
    <w:rsid w:val="001D6BDA"/>
    <w:rsid w:val="001E0A07"/>
    <w:rsid w:val="001E587D"/>
    <w:rsid w:val="001E5E07"/>
    <w:rsid w:val="001E6145"/>
    <w:rsid w:val="001F0E2E"/>
    <w:rsid w:val="001F2D4E"/>
    <w:rsid w:val="001F39B6"/>
    <w:rsid w:val="00200006"/>
    <w:rsid w:val="00205937"/>
    <w:rsid w:val="002124F5"/>
    <w:rsid w:val="00214A8A"/>
    <w:rsid w:val="002204ED"/>
    <w:rsid w:val="0022218E"/>
    <w:rsid w:val="0022223A"/>
    <w:rsid w:val="00223562"/>
    <w:rsid w:val="00224A0D"/>
    <w:rsid w:val="00233088"/>
    <w:rsid w:val="0024132F"/>
    <w:rsid w:val="00242DCD"/>
    <w:rsid w:val="00245C96"/>
    <w:rsid w:val="00246ECC"/>
    <w:rsid w:val="00247C5C"/>
    <w:rsid w:val="00250488"/>
    <w:rsid w:val="002540F0"/>
    <w:rsid w:val="00255C55"/>
    <w:rsid w:val="00256E49"/>
    <w:rsid w:val="002647B6"/>
    <w:rsid w:val="00264A90"/>
    <w:rsid w:val="00264D0D"/>
    <w:rsid w:val="002655BE"/>
    <w:rsid w:val="00273BE0"/>
    <w:rsid w:val="00277A63"/>
    <w:rsid w:val="00283C59"/>
    <w:rsid w:val="00286AAC"/>
    <w:rsid w:val="00287C25"/>
    <w:rsid w:val="002931F4"/>
    <w:rsid w:val="002B6F6A"/>
    <w:rsid w:val="002B7790"/>
    <w:rsid w:val="002C0FBF"/>
    <w:rsid w:val="002C1F2C"/>
    <w:rsid w:val="002C57D9"/>
    <w:rsid w:val="002C6B7A"/>
    <w:rsid w:val="002D2AC0"/>
    <w:rsid w:val="002E4EC4"/>
    <w:rsid w:val="002E7684"/>
    <w:rsid w:val="002F1494"/>
    <w:rsid w:val="002F5E2F"/>
    <w:rsid w:val="002F7B97"/>
    <w:rsid w:val="00305D3B"/>
    <w:rsid w:val="00313697"/>
    <w:rsid w:val="00316FC0"/>
    <w:rsid w:val="003210D1"/>
    <w:rsid w:val="003324FB"/>
    <w:rsid w:val="00335707"/>
    <w:rsid w:val="00336F77"/>
    <w:rsid w:val="00341C7D"/>
    <w:rsid w:val="003447AE"/>
    <w:rsid w:val="003452C0"/>
    <w:rsid w:val="00352FB7"/>
    <w:rsid w:val="003544CC"/>
    <w:rsid w:val="00355ACF"/>
    <w:rsid w:val="003576E3"/>
    <w:rsid w:val="00357CE6"/>
    <w:rsid w:val="00366240"/>
    <w:rsid w:val="00367B83"/>
    <w:rsid w:val="003708AC"/>
    <w:rsid w:val="00375176"/>
    <w:rsid w:val="00381F2B"/>
    <w:rsid w:val="00383195"/>
    <w:rsid w:val="00383FAF"/>
    <w:rsid w:val="003930AC"/>
    <w:rsid w:val="003A2DF8"/>
    <w:rsid w:val="003A2F71"/>
    <w:rsid w:val="003B2082"/>
    <w:rsid w:val="003B6837"/>
    <w:rsid w:val="003C18A4"/>
    <w:rsid w:val="003C6E3E"/>
    <w:rsid w:val="003E3EC7"/>
    <w:rsid w:val="003E41A2"/>
    <w:rsid w:val="003F0774"/>
    <w:rsid w:val="003F2591"/>
    <w:rsid w:val="003F4CEC"/>
    <w:rsid w:val="00400BCC"/>
    <w:rsid w:val="00401439"/>
    <w:rsid w:val="00404D73"/>
    <w:rsid w:val="004100DE"/>
    <w:rsid w:val="004121DD"/>
    <w:rsid w:val="004123CD"/>
    <w:rsid w:val="00414383"/>
    <w:rsid w:val="00416597"/>
    <w:rsid w:val="004234ED"/>
    <w:rsid w:val="00427D41"/>
    <w:rsid w:val="004328E4"/>
    <w:rsid w:val="004355F9"/>
    <w:rsid w:val="00443A9A"/>
    <w:rsid w:val="00446461"/>
    <w:rsid w:val="00457222"/>
    <w:rsid w:val="00462C33"/>
    <w:rsid w:val="00464F5F"/>
    <w:rsid w:val="00466247"/>
    <w:rsid w:val="004678D0"/>
    <w:rsid w:val="004723C5"/>
    <w:rsid w:val="00483E04"/>
    <w:rsid w:val="004847E4"/>
    <w:rsid w:val="00492248"/>
    <w:rsid w:val="00495297"/>
    <w:rsid w:val="00497648"/>
    <w:rsid w:val="004A5E1B"/>
    <w:rsid w:val="004A5E5C"/>
    <w:rsid w:val="004B5A11"/>
    <w:rsid w:val="004B7A50"/>
    <w:rsid w:val="004C26EB"/>
    <w:rsid w:val="004C4B63"/>
    <w:rsid w:val="004D230F"/>
    <w:rsid w:val="004D4A75"/>
    <w:rsid w:val="004D4AE7"/>
    <w:rsid w:val="004D5337"/>
    <w:rsid w:val="004D6190"/>
    <w:rsid w:val="004D68F5"/>
    <w:rsid w:val="004E4D3B"/>
    <w:rsid w:val="004E7E6F"/>
    <w:rsid w:val="004F7509"/>
    <w:rsid w:val="004F7EC6"/>
    <w:rsid w:val="005004C7"/>
    <w:rsid w:val="00503974"/>
    <w:rsid w:val="00516F31"/>
    <w:rsid w:val="0052230B"/>
    <w:rsid w:val="00522B7C"/>
    <w:rsid w:val="00524CEA"/>
    <w:rsid w:val="00525A8A"/>
    <w:rsid w:val="005276F0"/>
    <w:rsid w:val="00527F5D"/>
    <w:rsid w:val="00530909"/>
    <w:rsid w:val="0053148B"/>
    <w:rsid w:val="00533EA3"/>
    <w:rsid w:val="00537B72"/>
    <w:rsid w:val="00543BEE"/>
    <w:rsid w:val="00544D39"/>
    <w:rsid w:val="00552F21"/>
    <w:rsid w:val="00553A42"/>
    <w:rsid w:val="00556E0B"/>
    <w:rsid w:val="005721EA"/>
    <w:rsid w:val="0057498A"/>
    <w:rsid w:val="00577C2E"/>
    <w:rsid w:val="00580587"/>
    <w:rsid w:val="005873E7"/>
    <w:rsid w:val="00591EF6"/>
    <w:rsid w:val="00595D75"/>
    <w:rsid w:val="005A4234"/>
    <w:rsid w:val="005A4448"/>
    <w:rsid w:val="005A4504"/>
    <w:rsid w:val="005B1F54"/>
    <w:rsid w:val="005B3388"/>
    <w:rsid w:val="005B3892"/>
    <w:rsid w:val="005B5734"/>
    <w:rsid w:val="005C3F73"/>
    <w:rsid w:val="005C5258"/>
    <w:rsid w:val="005C77D5"/>
    <w:rsid w:val="005C7891"/>
    <w:rsid w:val="005D0E1F"/>
    <w:rsid w:val="005D190F"/>
    <w:rsid w:val="005D20EE"/>
    <w:rsid w:val="005D313E"/>
    <w:rsid w:val="005D5568"/>
    <w:rsid w:val="005F5846"/>
    <w:rsid w:val="005F5DF6"/>
    <w:rsid w:val="00601BF7"/>
    <w:rsid w:val="00601C55"/>
    <w:rsid w:val="00603302"/>
    <w:rsid w:val="00604E4F"/>
    <w:rsid w:val="006054EE"/>
    <w:rsid w:val="006118B6"/>
    <w:rsid w:val="00615BC8"/>
    <w:rsid w:val="00621E00"/>
    <w:rsid w:val="0062210A"/>
    <w:rsid w:val="006254AB"/>
    <w:rsid w:val="006270C0"/>
    <w:rsid w:val="00630195"/>
    <w:rsid w:val="00636C2B"/>
    <w:rsid w:val="00640817"/>
    <w:rsid w:val="00645884"/>
    <w:rsid w:val="006559AF"/>
    <w:rsid w:val="00660ED5"/>
    <w:rsid w:val="00661770"/>
    <w:rsid w:val="00664CAF"/>
    <w:rsid w:val="00665610"/>
    <w:rsid w:val="006666F0"/>
    <w:rsid w:val="00681363"/>
    <w:rsid w:val="006848EE"/>
    <w:rsid w:val="00685C0D"/>
    <w:rsid w:val="0069132C"/>
    <w:rsid w:val="006934E5"/>
    <w:rsid w:val="00693874"/>
    <w:rsid w:val="00693F46"/>
    <w:rsid w:val="006A3526"/>
    <w:rsid w:val="006B2DC1"/>
    <w:rsid w:val="006B5C4B"/>
    <w:rsid w:val="006D2EB8"/>
    <w:rsid w:val="006E0FBB"/>
    <w:rsid w:val="006E21B6"/>
    <w:rsid w:val="006E26E1"/>
    <w:rsid w:val="006E55E2"/>
    <w:rsid w:val="006F158F"/>
    <w:rsid w:val="007053FC"/>
    <w:rsid w:val="00721AF4"/>
    <w:rsid w:val="0072241F"/>
    <w:rsid w:val="00722FFD"/>
    <w:rsid w:val="00723F9E"/>
    <w:rsid w:val="00725EA9"/>
    <w:rsid w:val="00731C51"/>
    <w:rsid w:val="00734320"/>
    <w:rsid w:val="00735EA4"/>
    <w:rsid w:val="007512A9"/>
    <w:rsid w:val="00756A26"/>
    <w:rsid w:val="00764081"/>
    <w:rsid w:val="00764648"/>
    <w:rsid w:val="007672F3"/>
    <w:rsid w:val="00767CD8"/>
    <w:rsid w:val="00770213"/>
    <w:rsid w:val="00770B65"/>
    <w:rsid w:val="00776EB5"/>
    <w:rsid w:val="00785D98"/>
    <w:rsid w:val="0079342D"/>
    <w:rsid w:val="00796211"/>
    <w:rsid w:val="007A1D5E"/>
    <w:rsid w:val="007A2CB8"/>
    <w:rsid w:val="007B16C4"/>
    <w:rsid w:val="007B1A88"/>
    <w:rsid w:val="007C070A"/>
    <w:rsid w:val="007C1181"/>
    <w:rsid w:val="007C2D7E"/>
    <w:rsid w:val="007C44FF"/>
    <w:rsid w:val="007D17FD"/>
    <w:rsid w:val="007D48C5"/>
    <w:rsid w:val="007E065B"/>
    <w:rsid w:val="007E06F0"/>
    <w:rsid w:val="007E47F7"/>
    <w:rsid w:val="007E6D84"/>
    <w:rsid w:val="007F05C9"/>
    <w:rsid w:val="007F7154"/>
    <w:rsid w:val="00801995"/>
    <w:rsid w:val="00802DFC"/>
    <w:rsid w:val="00804F27"/>
    <w:rsid w:val="00807824"/>
    <w:rsid w:val="00811AAE"/>
    <w:rsid w:val="00812C22"/>
    <w:rsid w:val="00814781"/>
    <w:rsid w:val="00814A83"/>
    <w:rsid w:val="00820088"/>
    <w:rsid w:val="008240F8"/>
    <w:rsid w:val="00831190"/>
    <w:rsid w:val="00833FA1"/>
    <w:rsid w:val="00834DBB"/>
    <w:rsid w:val="00836B2D"/>
    <w:rsid w:val="00841AD6"/>
    <w:rsid w:val="00842FFB"/>
    <w:rsid w:val="00843366"/>
    <w:rsid w:val="00847044"/>
    <w:rsid w:val="0086351A"/>
    <w:rsid w:val="00864926"/>
    <w:rsid w:val="008711B9"/>
    <w:rsid w:val="00873654"/>
    <w:rsid w:val="008744ED"/>
    <w:rsid w:val="00874B61"/>
    <w:rsid w:val="00875CD1"/>
    <w:rsid w:val="00875D10"/>
    <w:rsid w:val="00883AAD"/>
    <w:rsid w:val="0088420D"/>
    <w:rsid w:val="008851E3"/>
    <w:rsid w:val="0089007F"/>
    <w:rsid w:val="00893D51"/>
    <w:rsid w:val="00895FF4"/>
    <w:rsid w:val="00897E41"/>
    <w:rsid w:val="008A42C2"/>
    <w:rsid w:val="008A48B7"/>
    <w:rsid w:val="008A7F10"/>
    <w:rsid w:val="008A7FFE"/>
    <w:rsid w:val="008B12E1"/>
    <w:rsid w:val="008B3EB5"/>
    <w:rsid w:val="008B65CF"/>
    <w:rsid w:val="008C04A0"/>
    <w:rsid w:val="008C31D9"/>
    <w:rsid w:val="008C5809"/>
    <w:rsid w:val="008C6F47"/>
    <w:rsid w:val="008D05EF"/>
    <w:rsid w:val="008D29FB"/>
    <w:rsid w:val="008D78C9"/>
    <w:rsid w:val="008E0FC9"/>
    <w:rsid w:val="008E3278"/>
    <w:rsid w:val="008F2388"/>
    <w:rsid w:val="008F3A2B"/>
    <w:rsid w:val="00901148"/>
    <w:rsid w:val="009029F5"/>
    <w:rsid w:val="00913684"/>
    <w:rsid w:val="00922848"/>
    <w:rsid w:val="0092363B"/>
    <w:rsid w:val="00923865"/>
    <w:rsid w:val="0093016E"/>
    <w:rsid w:val="00934B4D"/>
    <w:rsid w:val="00942B5E"/>
    <w:rsid w:val="00955C75"/>
    <w:rsid w:val="009576C3"/>
    <w:rsid w:val="00960CB8"/>
    <w:rsid w:val="009623F6"/>
    <w:rsid w:val="009677DF"/>
    <w:rsid w:val="0097004D"/>
    <w:rsid w:val="00991367"/>
    <w:rsid w:val="009946F8"/>
    <w:rsid w:val="00996684"/>
    <w:rsid w:val="00996E6B"/>
    <w:rsid w:val="009A1D64"/>
    <w:rsid w:val="009A49CE"/>
    <w:rsid w:val="009A6FF9"/>
    <w:rsid w:val="009A7B02"/>
    <w:rsid w:val="009B1292"/>
    <w:rsid w:val="009B2430"/>
    <w:rsid w:val="009B338B"/>
    <w:rsid w:val="009B58AD"/>
    <w:rsid w:val="009B7935"/>
    <w:rsid w:val="009C7BA2"/>
    <w:rsid w:val="009D1161"/>
    <w:rsid w:val="009D3773"/>
    <w:rsid w:val="009D47D8"/>
    <w:rsid w:val="009D667B"/>
    <w:rsid w:val="009D678F"/>
    <w:rsid w:val="009F4449"/>
    <w:rsid w:val="00A0008A"/>
    <w:rsid w:val="00A016E0"/>
    <w:rsid w:val="00A01CBD"/>
    <w:rsid w:val="00A02252"/>
    <w:rsid w:val="00A0312A"/>
    <w:rsid w:val="00A127F1"/>
    <w:rsid w:val="00A17C49"/>
    <w:rsid w:val="00A259FB"/>
    <w:rsid w:val="00A27130"/>
    <w:rsid w:val="00A46321"/>
    <w:rsid w:val="00A508A7"/>
    <w:rsid w:val="00A52F86"/>
    <w:rsid w:val="00A53DC8"/>
    <w:rsid w:val="00A645D1"/>
    <w:rsid w:val="00A67A72"/>
    <w:rsid w:val="00A7008D"/>
    <w:rsid w:val="00A70D47"/>
    <w:rsid w:val="00A7147C"/>
    <w:rsid w:val="00A7660B"/>
    <w:rsid w:val="00A81B47"/>
    <w:rsid w:val="00A82D64"/>
    <w:rsid w:val="00A854DB"/>
    <w:rsid w:val="00A86897"/>
    <w:rsid w:val="00A95733"/>
    <w:rsid w:val="00A9639F"/>
    <w:rsid w:val="00AB2352"/>
    <w:rsid w:val="00AB513D"/>
    <w:rsid w:val="00AB5465"/>
    <w:rsid w:val="00AB5C2E"/>
    <w:rsid w:val="00AB5E60"/>
    <w:rsid w:val="00AD5199"/>
    <w:rsid w:val="00AD6E30"/>
    <w:rsid w:val="00AE45DF"/>
    <w:rsid w:val="00B00996"/>
    <w:rsid w:val="00B02665"/>
    <w:rsid w:val="00B032C9"/>
    <w:rsid w:val="00B057D0"/>
    <w:rsid w:val="00B26FAC"/>
    <w:rsid w:val="00B273C5"/>
    <w:rsid w:val="00B27BAB"/>
    <w:rsid w:val="00B318C3"/>
    <w:rsid w:val="00B31AA2"/>
    <w:rsid w:val="00B32C83"/>
    <w:rsid w:val="00B33039"/>
    <w:rsid w:val="00B34BA2"/>
    <w:rsid w:val="00B40DBA"/>
    <w:rsid w:val="00B43EEA"/>
    <w:rsid w:val="00B46F62"/>
    <w:rsid w:val="00B74C0B"/>
    <w:rsid w:val="00B74D3B"/>
    <w:rsid w:val="00B82021"/>
    <w:rsid w:val="00B8400D"/>
    <w:rsid w:val="00B86224"/>
    <w:rsid w:val="00B90D26"/>
    <w:rsid w:val="00B93780"/>
    <w:rsid w:val="00B93A37"/>
    <w:rsid w:val="00B94E95"/>
    <w:rsid w:val="00BA1819"/>
    <w:rsid w:val="00BA5A22"/>
    <w:rsid w:val="00BB2A9E"/>
    <w:rsid w:val="00BB55E5"/>
    <w:rsid w:val="00BB61BB"/>
    <w:rsid w:val="00BC305B"/>
    <w:rsid w:val="00BC3B0C"/>
    <w:rsid w:val="00BC4A49"/>
    <w:rsid w:val="00BC4CA4"/>
    <w:rsid w:val="00BD30A7"/>
    <w:rsid w:val="00BD725A"/>
    <w:rsid w:val="00BE1329"/>
    <w:rsid w:val="00BF3717"/>
    <w:rsid w:val="00BF3750"/>
    <w:rsid w:val="00C0124A"/>
    <w:rsid w:val="00C06244"/>
    <w:rsid w:val="00C102C2"/>
    <w:rsid w:val="00C209B5"/>
    <w:rsid w:val="00C243B9"/>
    <w:rsid w:val="00C30651"/>
    <w:rsid w:val="00C42109"/>
    <w:rsid w:val="00C42DBB"/>
    <w:rsid w:val="00C4673A"/>
    <w:rsid w:val="00C4737C"/>
    <w:rsid w:val="00C50F15"/>
    <w:rsid w:val="00C513C6"/>
    <w:rsid w:val="00C51DB1"/>
    <w:rsid w:val="00C536C2"/>
    <w:rsid w:val="00C55F47"/>
    <w:rsid w:val="00C56E2E"/>
    <w:rsid w:val="00C64A31"/>
    <w:rsid w:val="00C65041"/>
    <w:rsid w:val="00C67C8E"/>
    <w:rsid w:val="00C7017F"/>
    <w:rsid w:val="00C708F1"/>
    <w:rsid w:val="00C70C12"/>
    <w:rsid w:val="00C72FEC"/>
    <w:rsid w:val="00C80B7D"/>
    <w:rsid w:val="00C82E8B"/>
    <w:rsid w:val="00C91CC7"/>
    <w:rsid w:val="00C9379A"/>
    <w:rsid w:val="00CA1BD0"/>
    <w:rsid w:val="00CA26DA"/>
    <w:rsid w:val="00CB0935"/>
    <w:rsid w:val="00CB2DB5"/>
    <w:rsid w:val="00CC0B43"/>
    <w:rsid w:val="00CC4C88"/>
    <w:rsid w:val="00CC52C8"/>
    <w:rsid w:val="00CC53E3"/>
    <w:rsid w:val="00CC5BD9"/>
    <w:rsid w:val="00CD0B1F"/>
    <w:rsid w:val="00CD3F96"/>
    <w:rsid w:val="00CD4F28"/>
    <w:rsid w:val="00CD7B2C"/>
    <w:rsid w:val="00CE09F3"/>
    <w:rsid w:val="00CE1780"/>
    <w:rsid w:val="00CE22D9"/>
    <w:rsid w:val="00CE5619"/>
    <w:rsid w:val="00CE76DA"/>
    <w:rsid w:val="00CF2B09"/>
    <w:rsid w:val="00CF719E"/>
    <w:rsid w:val="00D018C8"/>
    <w:rsid w:val="00D11E94"/>
    <w:rsid w:val="00D1590C"/>
    <w:rsid w:val="00D224C9"/>
    <w:rsid w:val="00D22A43"/>
    <w:rsid w:val="00D30389"/>
    <w:rsid w:val="00D337F6"/>
    <w:rsid w:val="00D35F0F"/>
    <w:rsid w:val="00D37E28"/>
    <w:rsid w:val="00D43ECA"/>
    <w:rsid w:val="00D45644"/>
    <w:rsid w:val="00D52CDB"/>
    <w:rsid w:val="00D538E3"/>
    <w:rsid w:val="00D54F5B"/>
    <w:rsid w:val="00D56858"/>
    <w:rsid w:val="00D6046D"/>
    <w:rsid w:val="00D61710"/>
    <w:rsid w:val="00D61F25"/>
    <w:rsid w:val="00D6611E"/>
    <w:rsid w:val="00D731A5"/>
    <w:rsid w:val="00D75869"/>
    <w:rsid w:val="00D803B7"/>
    <w:rsid w:val="00D84D7F"/>
    <w:rsid w:val="00D85C74"/>
    <w:rsid w:val="00D85F37"/>
    <w:rsid w:val="00DB060D"/>
    <w:rsid w:val="00DB17B5"/>
    <w:rsid w:val="00DB3437"/>
    <w:rsid w:val="00DB4534"/>
    <w:rsid w:val="00DB73DC"/>
    <w:rsid w:val="00DB7D78"/>
    <w:rsid w:val="00DC0297"/>
    <w:rsid w:val="00DD0ADF"/>
    <w:rsid w:val="00DD2A82"/>
    <w:rsid w:val="00DD42BB"/>
    <w:rsid w:val="00DE19F7"/>
    <w:rsid w:val="00DE5663"/>
    <w:rsid w:val="00DF0D6C"/>
    <w:rsid w:val="00DF46E4"/>
    <w:rsid w:val="00DF5124"/>
    <w:rsid w:val="00DF6C8E"/>
    <w:rsid w:val="00E02CE4"/>
    <w:rsid w:val="00E04856"/>
    <w:rsid w:val="00E14DC9"/>
    <w:rsid w:val="00E233EB"/>
    <w:rsid w:val="00E23B11"/>
    <w:rsid w:val="00E417BD"/>
    <w:rsid w:val="00E41AD2"/>
    <w:rsid w:val="00E50CD3"/>
    <w:rsid w:val="00E56089"/>
    <w:rsid w:val="00E614F0"/>
    <w:rsid w:val="00E647E5"/>
    <w:rsid w:val="00E6643B"/>
    <w:rsid w:val="00E67453"/>
    <w:rsid w:val="00E74271"/>
    <w:rsid w:val="00E8247C"/>
    <w:rsid w:val="00E82509"/>
    <w:rsid w:val="00E84FEA"/>
    <w:rsid w:val="00E87BE1"/>
    <w:rsid w:val="00E90FE8"/>
    <w:rsid w:val="00EA020F"/>
    <w:rsid w:val="00EA1F85"/>
    <w:rsid w:val="00EA7DD6"/>
    <w:rsid w:val="00EB1D5F"/>
    <w:rsid w:val="00EB3031"/>
    <w:rsid w:val="00EB36C4"/>
    <w:rsid w:val="00EB5363"/>
    <w:rsid w:val="00EB5CA3"/>
    <w:rsid w:val="00EB6656"/>
    <w:rsid w:val="00EC187D"/>
    <w:rsid w:val="00ED0C25"/>
    <w:rsid w:val="00ED3260"/>
    <w:rsid w:val="00ED4585"/>
    <w:rsid w:val="00ED61A2"/>
    <w:rsid w:val="00ED735F"/>
    <w:rsid w:val="00EE2C5F"/>
    <w:rsid w:val="00EF0F6C"/>
    <w:rsid w:val="00F05349"/>
    <w:rsid w:val="00F07F7D"/>
    <w:rsid w:val="00F1080E"/>
    <w:rsid w:val="00F116F6"/>
    <w:rsid w:val="00F12770"/>
    <w:rsid w:val="00F12A5D"/>
    <w:rsid w:val="00F13B16"/>
    <w:rsid w:val="00F14FE4"/>
    <w:rsid w:val="00F238BA"/>
    <w:rsid w:val="00F32529"/>
    <w:rsid w:val="00F328A9"/>
    <w:rsid w:val="00F35444"/>
    <w:rsid w:val="00F42610"/>
    <w:rsid w:val="00F44973"/>
    <w:rsid w:val="00F449AA"/>
    <w:rsid w:val="00F51FCF"/>
    <w:rsid w:val="00F52F85"/>
    <w:rsid w:val="00F53674"/>
    <w:rsid w:val="00F55E03"/>
    <w:rsid w:val="00F56B2A"/>
    <w:rsid w:val="00F5775F"/>
    <w:rsid w:val="00F63F24"/>
    <w:rsid w:val="00F65DE0"/>
    <w:rsid w:val="00F6666B"/>
    <w:rsid w:val="00F71E05"/>
    <w:rsid w:val="00F75F7F"/>
    <w:rsid w:val="00F764C7"/>
    <w:rsid w:val="00F843AC"/>
    <w:rsid w:val="00F85491"/>
    <w:rsid w:val="00F86445"/>
    <w:rsid w:val="00F92678"/>
    <w:rsid w:val="00FB076B"/>
    <w:rsid w:val="00FB3151"/>
    <w:rsid w:val="00FC399D"/>
    <w:rsid w:val="00FC3B36"/>
    <w:rsid w:val="00FC3EEC"/>
    <w:rsid w:val="00FC7BA3"/>
    <w:rsid w:val="00FD06C2"/>
    <w:rsid w:val="00FE234F"/>
    <w:rsid w:val="00FE73CF"/>
    <w:rsid w:val="00FF0D13"/>
    <w:rsid w:val="00FF6DAB"/>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A9DBFA9"/>
  <w15:docId w15:val="{363E7CD0-F113-4B75-BB57-EC7FFF6C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447AE"/>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3447AE"/>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3447AE"/>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447AE"/>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basedOn w:val="DefaultParagraphFont"/>
    <w:link w:val="Header"/>
    <w:uiPriority w:val="99"/>
    <w:semiHidden/>
    <w:locked/>
    <w:rsid w:val="003447AE"/>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basedOn w:val="DefaultParagraphFont"/>
    <w:link w:val="Footer"/>
    <w:uiPriority w:val="99"/>
    <w:locked/>
    <w:rsid w:val="00C536C2"/>
    <w:rPr>
      <w:rFonts w:ascii="Humanist777" w:hAnsi="Humanist777" w:cs="Times New Roman"/>
      <w:sz w:val="24"/>
      <w:szCs w:val="24"/>
    </w:rPr>
  </w:style>
  <w:style w:type="character" w:styleId="PageNumber">
    <w:name w:val="page number"/>
    <w:basedOn w:val="DefaultParagraphFont"/>
    <w:uiPriority w:val="99"/>
    <w:rsid w:val="00175A7E"/>
    <w:rPr>
      <w:rFonts w:cs="Times New Roman"/>
    </w:rPr>
  </w:style>
  <w:style w:type="character" w:styleId="CommentReference">
    <w:name w:val="annotation reference"/>
    <w:basedOn w:val="DefaultParagraphFont"/>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basedOn w:val="DefaultParagraphFont"/>
    <w:link w:val="CommentText"/>
    <w:uiPriority w:val="99"/>
    <w:semiHidden/>
    <w:locked/>
    <w:rsid w:val="003447AE"/>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basedOn w:val="CommentTextChar"/>
    <w:link w:val="CommentSubject"/>
    <w:uiPriority w:val="99"/>
    <w:semiHidden/>
    <w:locked/>
    <w:rsid w:val="003447AE"/>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447AE"/>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paragraph" w:styleId="NormalWeb">
    <w:name w:val="Normal (Web)"/>
    <w:basedOn w:val="Normal"/>
    <w:uiPriority w:val="99"/>
    <w:rsid w:val="00F53674"/>
    <w:pPr>
      <w:tabs>
        <w:tab w:val="clear" w:pos="284"/>
      </w:tabs>
      <w:spacing w:before="100" w:beforeAutospacing="1" w:after="75"/>
      <w:jc w:val="left"/>
    </w:pPr>
    <w:rPr>
      <w:color w:val="000000"/>
      <w:sz w:val="24"/>
    </w:rPr>
  </w:style>
  <w:style w:type="paragraph" w:customStyle="1" w:styleId="paragraph1">
    <w:name w:val="paragraph1"/>
    <w:basedOn w:val="Normal"/>
    <w:uiPriority w:val="99"/>
    <w:rsid w:val="00416597"/>
    <w:pPr>
      <w:tabs>
        <w:tab w:val="clear" w:pos="284"/>
      </w:tabs>
      <w:jc w:val="left"/>
    </w:pPr>
    <w:rPr>
      <w:color w:val="000000"/>
      <w:sz w:val="24"/>
    </w:rPr>
  </w:style>
  <w:style w:type="table" w:styleId="TableGrid">
    <w:name w:val="Table Grid"/>
    <w:basedOn w:val="TableNormal"/>
    <w:uiPriority w:val="99"/>
    <w:locked/>
    <w:rsid w:val="001C4FD2"/>
    <w:pPr>
      <w:tabs>
        <w:tab w:val="left" w:pos="284"/>
      </w:tabs>
      <w:jc w:val="both"/>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basedOn w:val="DefaultParagraphFont"/>
    <w:uiPriority w:val="99"/>
    <w:locked/>
    <w:rsid w:val="001C4FD2"/>
    <w:rPr>
      <w:rFonts w:ascii="Humanist777" w:hAnsi="Humanist777" w:cs="Times New Roman"/>
      <w:sz w:val="24"/>
      <w:szCs w:val="24"/>
      <w:lang w:val="en-US" w:eastAsia="en-US" w:bidi="ar-SA"/>
    </w:rPr>
  </w:style>
  <w:style w:type="paragraph" w:styleId="NoSpacing">
    <w:name w:val="No Spacing"/>
    <w:uiPriority w:val="99"/>
    <w:qFormat/>
    <w:rsid w:val="00A645D1"/>
    <w:rPr>
      <w:rFonts w:ascii="Calibri" w:hAnsi="Calibri"/>
    </w:rPr>
  </w:style>
  <w:style w:type="paragraph" w:customStyle="1" w:styleId="Default">
    <w:name w:val="Default"/>
    <w:uiPriority w:val="99"/>
    <w:rsid w:val="0092363B"/>
    <w:pPr>
      <w:autoSpaceDE w:val="0"/>
      <w:autoSpaceDN w:val="0"/>
      <w:adjustRightInd w:val="0"/>
    </w:pPr>
    <w:rPr>
      <w:color w:val="000000"/>
      <w:sz w:val="24"/>
      <w:szCs w:val="24"/>
    </w:rPr>
  </w:style>
  <w:style w:type="character" w:customStyle="1" w:styleId="CharChar3">
    <w:name w:val="Char Char3"/>
    <w:uiPriority w:val="99"/>
    <w:rsid w:val="001A09F2"/>
    <w:rPr>
      <w:rFonts w:ascii="Humanist777" w:hAnsi="Humanist777"/>
      <w:sz w:val="24"/>
    </w:rPr>
  </w:style>
  <w:style w:type="character" w:customStyle="1" w:styleId="CharChar2">
    <w:name w:val="Char Char2"/>
    <w:basedOn w:val="DefaultParagraphFont"/>
    <w:uiPriority w:val="99"/>
    <w:rsid w:val="00400BCC"/>
    <w:rPr>
      <w:rFonts w:ascii="Humanist777" w:hAnsi="Humanist777" w:cs="Times New Roman"/>
      <w:sz w:val="24"/>
      <w:szCs w:val="24"/>
      <w:lang w:val="en-US" w:eastAsia="en-US" w:bidi="ar-SA"/>
    </w:rPr>
  </w:style>
  <w:style w:type="character" w:customStyle="1" w:styleId="CharChar4">
    <w:name w:val="Char Char4"/>
    <w:basedOn w:val="DefaultParagraphFont"/>
    <w:uiPriority w:val="99"/>
    <w:rsid w:val="0097004D"/>
    <w:rPr>
      <w:rFonts w:ascii="Humanist777" w:hAnsi="Humanist777" w:cs="Times New Roman"/>
      <w:sz w:val="24"/>
      <w:szCs w:val="24"/>
      <w:lang w:val="en-US" w:eastAsia="en-US" w:bidi="ar-SA"/>
    </w:rPr>
  </w:style>
  <w:style w:type="paragraph" w:styleId="ListParagraph">
    <w:name w:val="List Paragraph"/>
    <w:basedOn w:val="Normal"/>
    <w:uiPriority w:val="34"/>
    <w:qFormat/>
    <w:rsid w:val="00025C2C"/>
    <w:pPr>
      <w:ind w:left="720"/>
      <w:contextualSpacing/>
    </w:pPr>
  </w:style>
  <w:style w:type="character" w:styleId="Hyperlink">
    <w:name w:val="Hyperlink"/>
    <w:basedOn w:val="DefaultParagraphFont"/>
    <w:uiPriority w:val="99"/>
    <w:unhideWhenUsed/>
    <w:rsid w:val="001B48E3"/>
    <w:rPr>
      <w:color w:val="0000FF" w:themeColor="hyperlink"/>
      <w:u w:val="single"/>
    </w:rPr>
  </w:style>
  <w:style w:type="paragraph" w:styleId="Revision">
    <w:name w:val="Revision"/>
    <w:hidden/>
    <w:uiPriority w:val="99"/>
    <w:semiHidden/>
    <w:rsid w:val="00404D73"/>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9313330">
      <w:bodyDiv w:val="1"/>
      <w:marLeft w:val="0"/>
      <w:marRight w:val="0"/>
      <w:marTop w:val="0"/>
      <w:marBottom w:val="0"/>
      <w:divBdr>
        <w:top w:val="none" w:sz="0" w:space="0" w:color="auto"/>
        <w:left w:val="none" w:sz="0" w:space="0" w:color="auto"/>
        <w:bottom w:val="none" w:sz="0" w:space="0" w:color="auto"/>
        <w:right w:val="none" w:sz="0" w:space="0" w:color="auto"/>
      </w:divBdr>
    </w:div>
    <w:div w:id="1816339704">
      <w:marLeft w:val="0"/>
      <w:marRight w:val="0"/>
      <w:marTop w:val="0"/>
      <w:marBottom w:val="0"/>
      <w:divBdr>
        <w:top w:val="none" w:sz="0" w:space="0" w:color="auto"/>
        <w:left w:val="none" w:sz="0" w:space="0" w:color="auto"/>
        <w:bottom w:val="none" w:sz="0" w:space="0" w:color="auto"/>
        <w:right w:val="none" w:sz="0" w:space="0" w:color="auto"/>
      </w:divBdr>
    </w:div>
    <w:div w:id="1816339705">
      <w:marLeft w:val="0"/>
      <w:marRight w:val="0"/>
      <w:marTop w:val="0"/>
      <w:marBottom w:val="0"/>
      <w:divBdr>
        <w:top w:val="none" w:sz="0" w:space="0" w:color="auto"/>
        <w:left w:val="none" w:sz="0" w:space="0" w:color="auto"/>
        <w:bottom w:val="none" w:sz="0" w:space="0" w:color="auto"/>
        <w:right w:val="none" w:sz="0" w:space="0" w:color="auto"/>
      </w:divBdr>
    </w:div>
    <w:div w:id="181633970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ct:contentTypeSchema xmlns:ct="http://schemas.microsoft.com/office/2006/metadata/contentType" xmlns:ma="http://schemas.microsoft.com/office/2006/metadata/properties/metaAttributes" ct:_="" ma:_="" ma:contentTypeName="Document" ma:contentTypeID="0x010100CCBE9FD1C53E35438C7A9669A8044429" ma:contentTypeVersion="17" ma:contentTypeDescription="Create a new document." ma:contentTypeScope="" ma:versionID="7ec6d1dcfd78af7c5867f973431a93f8">
  <xsd:schema xmlns:xsd="http://www.w3.org/2001/XMLSchema" xmlns:xs="http://www.w3.org/2001/XMLSchema" xmlns:p="http://schemas.microsoft.com/office/2006/metadata/properties" xmlns:ns2="12a5d3b2-884a-452c-a3ce-6c7caf240f58" xmlns:ns3="16b5af92-3337-4aab-aaa2-18764cb258e9" targetNamespace="http://schemas.microsoft.com/office/2006/metadata/properties" ma:root="true" ma:fieldsID="9499d3803f79a4177162cca7092b1611" ns2:_="" ns3:_="">
    <xsd:import namespace="12a5d3b2-884a-452c-a3ce-6c7caf240f58"/>
    <xsd:import namespace="16b5af92-3337-4aab-aaa2-18764cb258e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SearchProperties" minOccurs="0"/>
                <xsd:element ref="ns3:MediaLengthInSeconds" minOccurs="0"/>
                <xsd:element ref="ns3:Size" minOccurs="0"/>
                <xsd:element ref="ns3:MediaServiceLocation"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5d3b2-884a-452c-a3ce-6c7caf240f5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5974f49e-171d-441d-a206-0b7511a91abb}" ma:internalName="TaxCatchAll" ma:showField="CatchAllData" ma:web="12a5d3b2-884a-452c-a3ce-6c7caf240f5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6b5af92-3337-4aab-aaa2-18764cb258e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02a2283-e719-49bb-86f7-d9f5b7e31b2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descriptio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Size" ma:index="25" nillable="true" ma:displayName="Size" ma:format="Dropdown" ma:internalName="Size" ma:percentage="FALSE">
      <xsd:simpleType>
        <xsd:restriction base="dms:Number"/>
      </xsd:simpleType>
    </xsd:element>
    <xsd:element name="MediaServiceLocation" ma:index="26" nillable="true" ma:displayName="Location" ma:description="" ma:indexed="true" ma:internalName="MediaServiceLocation" ma:readOnly="true">
      <xsd:simpleType>
        <xsd:restriction base="dms:Text"/>
      </xsd:simpleType>
    </xsd:element>
    <xsd:element name="_Flow_SignoffStatus" ma:index="27"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ize xmlns="16b5af92-3337-4aab-aaa2-18764cb258e9" xsi:nil="true"/>
    <lcf76f155ced4ddcb4097134ff3c332f xmlns="16b5af92-3337-4aab-aaa2-18764cb258e9">
      <Terms xmlns="http://schemas.microsoft.com/office/infopath/2007/PartnerControls"/>
    </lcf76f155ced4ddcb4097134ff3c332f>
    <TaxCatchAll xmlns="12a5d3b2-884a-452c-a3ce-6c7caf240f58" xsi:nil="true"/>
    <_Flow_SignoffStatus xmlns="16b5af92-3337-4aab-aaa2-18764cb258e9" xsi:nil="true"/>
  </documentManagement>
</p:properties>
</file>

<file path=customXml/itemProps1.xml><?xml version="1.0" encoding="utf-8"?>
<ds:datastoreItem xmlns:ds="http://schemas.openxmlformats.org/officeDocument/2006/customXml" ds:itemID="{31BE58CE-D0E9-4698-980A-FE67519CACAC}">
  <ds:schemaRefs>
    <ds:schemaRef ds:uri="http://schemas.microsoft.com/sharepoint/v3/contenttype/forms"/>
  </ds:schemaRefs>
</ds:datastoreItem>
</file>

<file path=customXml/itemProps2.xml><?xml version="1.0" encoding="utf-8"?>
<ds:datastoreItem xmlns:ds="http://schemas.openxmlformats.org/officeDocument/2006/customXml" ds:itemID="{D552EDFA-AD71-4D0C-9633-E68021154A62}">
  <ds:schemaRefs>
    <ds:schemaRef ds:uri="http://schemas.microsoft.com/sharepoint/events"/>
  </ds:schemaRefs>
</ds:datastoreItem>
</file>

<file path=customXml/itemProps3.xml><?xml version="1.0" encoding="utf-8"?>
<ds:datastoreItem xmlns:ds="http://schemas.openxmlformats.org/officeDocument/2006/customXml" ds:itemID="{4C3FDD49-E4F9-4B0A-91C5-80490853EB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5d3b2-884a-452c-a3ce-6c7caf240f58"/>
    <ds:schemaRef ds:uri="16b5af92-3337-4aab-aaa2-18764cb258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AB0E9D4-ECD1-49C3-B873-0BFD227FDFA7}">
  <ds:schemaRefs>
    <ds:schemaRef ds:uri="http://schemas.microsoft.com/office/2006/metadata/properties"/>
    <ds:schemaRef ds:uri="http://schemas.microsoft.com/office/infopath/2007/PartnerControls"/>
    <ds:schemaRef ds:uri="16b5af92-3337-4aab-aaa2-18764cb258e9"/>
    <ds:schemaRef ds:uri="12a5d3b2-884a-452c-a3ce-6c7caf240f58"/>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3228</Words>
  <Characters>18404</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Ninoslava Lalatović</cp:lastModifiedBy>
  <cp:revision>11</cp:revision>
  <cp:lastPrinted>2022-08-09T12:43:00Z</cp:lastPrinted>
  <dcterms:created xsi:type="dcterms:W3CDTF">2025-05-05T14:30:00Z</dcterms:created>
  <dcterms:modified xsi:type="dcterms:W3CDTF">2025-07-18T10:54:00Z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0x010100CCBE9FD1C53E35438C7A9669A8044429</vt:lpwstr>
  </property>
  <property fmtid="{D5CDD505-2E9C-101B-9397-08002B2CF9AE}" pid="3" name="ClassificationContentMarkingHeaderShapeIds">
    <vt:lpwstr>1a0933e1,1e279e4a,792cf95a</vt:lpwstr>
  </property>
  <property fmtid="{D5CDD505-2E9C-101B-9397-08002B2CF9AE}" pid="4" name="ClassificationContentMarkingHeaderFontProps">
    <vt:lpwstr>#008000,11,Calibri</vt:lpwstr>
  </property>
  <property fmtid="{D5CDD505-2E9C-101B-9397-08002B2CF9AE}" pid="5" name="ClassificationContentMarkingHeaderText">
    <vt:lpwstr>Interno_Internal</vt:lpwstr>
  </property>
  <property fmtid="{D5CDD505-2E9C-101B-9397-08002B2CF9AE}" pid="6" name="MSIP_Label_80e91ba7-203e-4ac0-a045-4c37ad0b383b_Enabled">
    <vt:lpwstr>true</vt:lpwstr>
  </property>
  <property fmtid="{D5CDD505-2E9C-101B-9397-08002B2CF9AE}" pid="7" name="MSIP_Label_80e91ba7-203e-4ac0-a045-4c37ad0b383b_SetDate">
    <vt:lpwstr>2025-02-19T13:56:21Z</vt:lpwstr>
  </property>
  <property fmtid="{D5CDD505-2E9C-101B-9397-08002B2CF9AE}" pid="8" name="MSIP_Label_80e91ba7-203e-4ac0-a045-4c37ad0b383b_Method">
    <vt:lpwstr>Standard</vt:lpwstr>
  </property>
  <property fmtid="{D5CDD505-2E9C-101B-9397-08002B2CF9AE}" pid="9" name="MSIP_Label_80e91ba7-203e-4ac0-a045-4c37ad0b383b_Name">
    <vt:lpwstr>Interno_Internal</vt:lpwstr>
  </property>
  <property fmtid="{D5CDD505-2E9C-101B-9397-08002B2CF9AE}" pid="10" name="MSIP_Label_80e91ba7-203e-4ac0-a045-4c37ad0b383b_SiteId">
    <vt:lpwstr>61d5927c-a4d9-4b92-8821-c13225cc56bc</vt:lpwstr>
  </property>
  <property fmtid="{D5CDD505-2E9C-101B-9397-08002B2CF9AE}" pid="11" name="MSIP_Label_80e91ba7-203e-4ac0-a045-4c37ad0b383b_ActionId">
    <vt:lpwstr>651c2294-d910-433a-a129-339fe80ee803</vt:lpwstr>
  </property>
  <property fmtid="{D5CDD505-2E9C-101B-9397-08002B2CF9AE}" pid="12" name="MSIP_Label_80e91ba7-203e-4ac0-a045-4c37ad0b383b_ContentBits">
    <vt:lpwstr>1</vt:lpwstr>
  </property>
  <property fmtid="{D5CDD505-2E9C-101B-9397-08002B2CF9AE}" pid="13" name="MSIP_Label_80e91ba7-203e-4ac0-a045-4c37ad0b383b_Tag">
    <vt:lpwstr>10, 3, 0, 1</vt:lpwstr>
  </property>
</Properties>
</file>