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2C2D8" w14:textId="77777777" w:rsidR="002510A5" w:rsidRPr="00F16B0C" w:rsidRDefault="002510A5" w:rsidP="00F16B0C">
      <w:pPr>
        <w:widowControl w:val="0"/>
        <w:jc w:val="center"/>
        <w:rPr>
          <w:b/>
          <w:bCs/>
          <w:iCs/>
          <w:sz w:val="22"/>
          <w:szCs w:val="22"/>
          <w:u w:val="single"/>
          <w:lang w:val="sr-Latn-ME"/>
        </w:rPr>
      </w:pPr>
      <w:r w:rsidRPr="00F16B0C">
        <w:rPr>
          <w:b/>
          <w:bCs/>
          <w:iCs/>
          <w:sz w:val="22"/>
          <w:szCs w:val="22"/>
          <w:u w:val="single"/>
          <w:lang w:val="sr-Latn-ME"/>
        </w:rPr>
        <w:t>SAŽETAK KARAKTERISTIKA LIJEKA</w:t>
      </w:r>
    </w:p>
    <w:p w14:paraId="6FCC22C7" w14:textId="77777777" w:rsidR="003C17AB" w:rsidRPr="00F16B0C" w:rsidRDefault="003C17AB" w:rsidP="00F16B0C">
      <w:pPr>
        <w:widowControl w:val="0"/>
        <w:jc w:val="both"/>
        <w:rPr>
          <w:sz w:val="22"/>
          <w:szCs w:val="22"/>
          <w:lang w:val="sr-Latn-ME"/>
        </w:rPr>
      </w:pPr>
    </w:p>
    <w:p w14:paraId="055F17AB" w14:textId="77777777" w:rsidR="00C37FD7" w:rsidRPr="00F16B0C" w:rsidRDefault="00C37FD7" w:rsidP="00F16B0C">
      <w:pPr>
        <w:widowControl w:val="0"/>
        <w:tabs>
          <w:tab w:val="left" w:pos="540"/>
          <w:tab w:val="left" w:pos="569"/>
        </w:tabs>
        <w:jc w:val="both"/>
        <w:rPr>
          <w:bCs/>
          <w:sz w:val="22"/>
          <w:szCs w:val="22"/>
          <w:lang w:val="sr-Latn-ME"/>
        </w:rPr>
      </w:pPr>
    </w:p>
    <w:p w14:paraId="2C1BB9D6" w14:textId="77777777" w:rsidR="00411B4B" w:rsidRPr="00F16B0C" w:rsidRDefault="00411B4B" w:rsidP="00F16B0C">
      <w:pPr>
        <w:widowControl w:val="0"/>
        <w:tabs>
          <w:tab w:val="left" w:pos="540"/>
          <w:tab w:val="left" w:pos="569"/>
        </w:tabs>
        <w:jc w:val="both"/>
        <w:rPr>
          <w:b/>
          <w:bCs/>
          <w:sz w:val="22"/>
          <w:szCs w:val="22"/>
          <w:lang w:val="sr-Latn-ME"/>
        </w:rPr>
      </w:pPr>
      <w:r w:rsidRPr="00F16B0C">
        <w:rPr>
          <w:b/>
          <w:bCs/>
          <w:sz w:val="22"/>
          <w:szCs w:val="22"/>
          <w:lang w:val="sr-Latn-ME"/>
        </w:rPr>
        <w:t>1.</w:t>
      </w:r>
      <w:r w:rsidR="00F5167F" w:rsidRPr="00F16B0C">
        <w:rPr>
          <w:b/>
          <w:bCs/>
          <w:sz w:val="22"/>
          <w:szCs w:val="22"/>
          <w:lang w:val="sr-Latn-ME"/>
        </w:rPr>
        <w:tab/>
      </w:r>
      <w:r w:rsidR="002846DB" w:rsidRPr="00F16B0C">
        <w:rPr>
          <w:b/>
          <w:bCs/>
          <w:sz w:val="22"/>
          <w:szCs w:val="22"/>
          <w:lang w:val="sr-Latn-ME"/>
        </w:rPr>
        <w:t xml:space="preserve">NAZIV </w:t>
      </w:r>
      <w:r w:rsidRPr="00F16B0C">
        <w:rPr>
          <w:b/>
          <w:bCs/>
          <w:sz w:val="22"/>
          <w:szCs w:val="22"/>
          <w:lang w:val="sr-Latn-ME"/>
        </w:rPr>
        <w:t>LIJEKA</w:t>
      </w:r>
    </w:p>
    <w:p w14:paraId="3EB521DB" w14:textId="77777777" w:rsidR="00EC2532" w:rsidRPr="00F16B0C" w:rsidRDefault="00EC2532" w:rsidP="00F16B0C">
      <w:pPr>
        <w:widowControl w:val="0"/>
        <w:jc w:val="both"/>
        <w:rPr>
          <w:sz w:val="22"/>
          <w:szCs w:val="22"/>
          <w:lang w:val="sr-Latn-ME"/>
        </w:rPr>
      </w:pPr>
    </w:p>
    <w:p w14:paraId="45E0A39A" w14:textId="77777777" w:rsidR="000D425A" w:rsidRPr="00F16B0C" w:rsidRDefault="00906190" w:rsidP="00F16B0C">
      <w:pPr>
        <w:widowControl w:val="0"/>
        <w:jc w:val="both"/>
        <w:rPr>
          <w:bCs/>
          <w:sz w:val="22"/>
          <w:szCs w:val="22"/>
          <w:lang w:val="sr-Latn-ME"/>
        </w:rPr>
      </w:pPr>
      <w:r w:rsidRPr="00F16B0C">
        <w:rPr>
          <w:sz w:val="22"/>
          <w:szCs w:val="22"/>
          <w:lang w:val="sr-Latn-ME"/>
        </w:rPr>
        <w:t>POTELIGEO, 4 mg/ml, koncentrat za rastvor za infuziju</w:t>
      </w:r>
    </w:p>
    <w:p w14:paraId="55F12B01" w14:textId="77777777" w:rsidR="00906190" w:rsidRPr="00F16B0C" w:rsidRDefault="00906190" w:rsidP="00F16B0C">
      <w:pPr>
        <w:widowControl w:val="0"/>
        <w:jc w:val="both"/>
        <w:rPr>
          <w:sz w:val="22"/>
          <w:szCs w:val="22"/>
          <w:lang w:val="sr-Latn-ME"/>
        </w:rPr>
      </w:pPr>
    </w:p>
    <w:p w14:paraId="200B99F6" w14:textId="77777777" w:rsidR="006D20A5" w:rsidRPr="00F16B0C" w:rsidRDefault="006D20A5" w:rsidP="00F16B0C">
      <w:pPr>
        <w:widowControl w:val="0"/>
        <w:jc w:val="both"/>
        <w:rPr>
          <w:sz w:val="22"/>
          <w:szCs w:val="22"/>
          <w:lang w:val="sr-Latn-ME"/>
        </w:rPr>
      </w:pPr>
      <w:r w:rsidRPr="00F16B0C">
        <w:rPr>
          <w:sz w:val="22"/>
          <w:szCs w:val="22"/>
          <w:lang w:val="sr-Latn-ME"/>
        </w:rPr>
        <w:t>INN:</w:t>
      </w:r>
      <w:r w:rsidR="00027F40" w:rsidRPr="00F16B0C">
        <w:rPr>
          <w:sz w:val="22"/>
          <w:szCs w:val="22"/>
          <w:lang w:val="sr-Latn-ME"/>
        </w:rPr>
        <w:t xml:space="preserve"> </w:t>
      </w:r>
      <w:r w:rsidR="00906190" w:rsidRPr="00F16B0C">
        <w:rPr>
          <w:sz w:val="22"/>
          <w:szCs w:val="22"/>
          <w:lang w:val="sr-Latn-ME"/>
        </w:rPr>
        <w:t>mogamulizumab</w:t>
      </w:r>
    </w:p>
    <w:p w14:paraId="781E289D" w14:textId="77777777" w:rsidR="006D20A5" w:rsidRPr="00F16B0C" w:rsidRDefault="006D20A5" w:rsidP="00F16B0C">
      <w:pPr>
        <w:widowControl w:val="0"/>
        <w:jc w:val="both"/>
        <w:rPr>
          <w:bCs/>
          <w:sz w:val="22"/>
          <w:szCs w:val="22"/>
          <w:lang w:val="sr-Latn-ME"/>
        </w:rPr>
      </w:pPr>
    </w:p>
    <w:p w14:paraId="3808FC5B" w14:textId="77777777" w:rsidR="00530BD7" w:rsidRPr="00F16B0C" w:rsidRDefault="00530BD7" w:rsidP="00F16B0C">
      <w:pPr>
        <w:widowControl w:val="0"/>
        <w:jc w:val="both"/>
        <w:rPr>
          <w:bCs/>
          <w:sz w:val="22"/>
          <w:szCs w:val="22"/>
          <w:lang w:val="sr-Latn-ME"/>
        </w:rPr>
      </w:pPr>
    </w:p>
    <w:p w14:paraId="4BC6097F" w14:textId="77777777" w:rsidR="00411B4B" w:rsidRPr="00F16B0C" w:rsidRDefault="00411B4B" w:rsidP="00F16B0C">
      <w:pPr>
        <w:widowControl w:val="0"/>
        <w:tabs>
          <w:tab w:val="left" w:pos="540"/>
          <w:tab w:val="left" w:pos="569"/>
        </w:tabs>
        <w:jc w:val="both"/>
        <w:rPr>
          <w:b/>
          <w:bCs/>
          <w:sz w:val="22"/>
          <w:szCs w:val="22"/>
          <w:lang w:val="sr-Latn-ME"/>
        </w:rPr>
      </w:pPr>
      <w:r w:rsidRPr="00F16B0C">
        <w:rPr>
          <w:b/>
          <w:bCs/>
          <w:sz w:val="22"/>
          <w:szCs w:val="22"/>
          <w:lang w:val="sr-Latn-ME"/>
        </w:rPr>
        <w:t xml:space="preserve">2. </w:t>
      </w:r>
      <w:r w:rsidR="00F5167F" w:rsidRPr="00F16B0C">
        <w:rPr>
          <w:b/>
          <w:bCs/>
          <w:sz w:val="22"/>
          <w:szCs w:val="22"/>
          <w:lang w:val="sr-Latn-ME"/>
        </w:rPr>
        <w:tab/>
      </w:r>
      <w:r w:rsidRPr="00F16B0C">
        <w:rPr>
          <w:b/>
          <w:bCs/>
          <w:sz w:val="22"/>
          <w:szCs w:val="22"/>
          <w:lang w:val="sr-Latn-ME"/>
        </w:rPr>
        <w:t>KVALITATIVNI I KVANTITATIVNI SASTAV</w:t>
      </w:r>
    </w:p>
    <w:p w14:paraId="07673032" w14:textId="77777777" w:rsidR="00906190" w:rsidRPr="00F16B0C" w:rsidRDefault="00906190" w:rsidP="00F16B0C">
      <w:pPr>
        <w:widowControl w:val="0"/>
        <w:jc w:val="both"/>
        <w:rPr>
          <w:sz w:val="22"/>
          <w:szCs w:val="22"/>
          <w:lang w:val="sr-Latn-ME"/>
        </w:rPr>
      </w:pPr>
    </w:p>
    <w:p w14:paraId="1CB0A696" w14:textId="77777777" w:rsidR="00027F40" w:rsidRPr="00F16B0C" w:rsidRDefault="00906190" w:rsidP="00F16B0C">
      <w:pPr>
        <w:widowControl w:val="0"/>
        <w:jc w:val="both"/>
        <w:rPr>
          <w:sz w:val="22"/>
          <w:szCs w:val="22"/>
          <w:lang w:val="sr-Latn-ME"/>
        </w:rPr>
      </w:pPr>
      <w:r w:rsidRPr="00F16B0C">
        <w:rPr>
          <w:sz w:val="22"/>
          <w:szCs w:val="22"/>
          <w:lang w:val="sr-Latn-ME"/>
        </w:rPr>
        <w:t>Svaka bočica sadrži 20 mg mogamulizumaba u 5 ml</w:t>
      </w:r>
      <w:r w:rsidR="00027F40" w:rsidRPr="00F16B0C">
        <w:rPr>
          <w:sz w:val="22"/>
          <w:szCs w:val="22"/>
          <w:lang w:val="sr-Latn-ME"/>
        </w:rPr>
        <w:t xml:space="preserve"> koncentrata</w:t>
      </w:r>
      <w:r w:rsidRPr="00F16B0C">
        <w:rPr>
          <w:sz w:val="22"/>
          <w:szCs w:val="22"/>
          <w:lang w:val="sr-Latn-ME"/>
        </w:rPr>
        <w:t xml:space="preserve">, što odgovara 4 mg/ml. </w:t>
      </w:r>
    </w:p>
    <w:p w14:paraId="3FF399B7" w14:textId="77777777" w:rsidR="00027F40" w:rsidRPr="00F16B0C" w:rsidRDefault="00027F40" w:rsidP="00F16B0C">
      <w:pPr>
        <w:widowControl w:val="0"/>
        <w:jc w:val="both"/>
        <w:rPr>
          <w:sz w:val="22"/>
          <w:szCs w:val="22"/>
          <w:lang w:val="sr-Latn-ME"/>
        </w:rPr>
      </w:pPr>
    </w:p>
    <w:p w14:paraId="7F5CD76B" w14:textId="77777777" w:rsidR="00906190" w:rsidRPr="00F16B0C" w:rsidRDefault="00906190" w:rsidP="00F16B0C">
      <w:pPr>
        <w:widowControl w:val="0"/>
        <w:jc w:val="both"/>
        <w:rPr>
          <w:sz w:val="22"/>
          <w:szCs w:val="22"/>
          <w:lang w:val="sr-Latn-ME"/>
        </w:rPr>
      </w:pPr>
      <w:r w:rsidRPr="00F16B0C">
        <w:rPr>
          <w:sz w:val="22"/>
          <w:szCs w:val="22"/>
          <w:lang w:val="sr-Latn-ME"/>
        </w:rPr>
        <w:t>Mogamulizumab se proizvodi u ćelijama jajnika kineskog hrčka tehnologijom rekombinantne DNK.</w:t>
      </w:r>
    </w:p>
    <w:p w14:paraId="27C13130" w14:textId="77777777" w:rsidR="00906190" w:rsidRPr="00F16B0C" w:rsidRDefault="00906190" w:rsidP="00F16B0C">
      <w:pPr>
        <w:widowControl w:val="0"/>
        <w:jc w:val="both"/>
        <w:rPr>
          <w:sz w:val="22"/>
          <w:szCs w:val="22"/>
          <w:lang w:val="sr-Latn-ME"/>
        </w:rPr>
      </w:pPr>
    </w:p>
    <w:p w14:paraId="3988C818" w14:textId="77777777" w:rsidR="0003793F" w:rsidRPr="00F16B0C" w:rsidRDefault="0003793F" w:rsidP="00F16B0C">
      <w:pPr>
        <w:widowControl w:val="0"/>
        <w:jc w:val="both"/>
        <w:rPr>
          <w:sz w:val="22"/>
          <w:szCs w:val="22"/>
          <w:lang w:val="sr-Latn-ME"/>
        </w:rPr>
      </w:pPr>
      <w:r w:rsidRPr="00F16B0C">
        <w:rPr>
          <w:sz w:val="22"/>
          <w:szCs w:val="22"/>
          <w:lang w:val="sr-Latn-ME"/>
        </w:rPr>
        <w:t>Za spisak svih ekscipijenasa, pogledati dio 6.1.</w:t>
      </w:r>
    </w:p>
    <w:p w14:paraId="4F710966" w14:textId="77777777" w:rsidR="0003793F" w:rsidRPr="00F16B0C" w:rsidRDefault="0003793F" w:rsidP="00F16B0C">
      <w:pPr>
        <w:widowControl w:val="0"/>
        <w:jc w:val="both"/>
        <w:rPr>
          <w:sz w:val="22"/>
          <w:szCs w:val="22"/>
          <w:lang w:val="sr-Latn-ME"/>
        </w:rPr>
      </w:pPr>
    </w:p>
    <w:p w14:paraId="3E826F3D" w14:textId="77777777" w:rsidR="00C37FD7" w:rsidRPr="00F16B0C" w:rsidRDefault="00C37FD7" w:rsidP="00F16B0C">
      <w:pPr>
        <w:widowControl w:val="0"/>
        <w:jc w:val="both"/>
        <w:rPr>
          <w:sz w:val="22"/>
          <w:szCs w:val="22"/>
          <w:lang w:val="sr-Latn-ME"/>
        </w:rPr>
      </w:pPr>
    </w:p>
    <w:p w14:paraId="2CF24131" w14:textId="77777777" w:rsidR="00411B4B" w:rsidRPr="00F16B0C" w:rsidRDefault="00411B4B" w:rsidP="00F16B0C">
      <w:pPr>
        <w:widowControl w:val="0"/>
        <w:tabs>
          <w:tab w:val="left" w:pos="540"/>
          <w:tab w:val="left" w:pos="569"/>
        </w:tabs>
        <w:jc w:val="both"/>
        <w:rPr>
          <w:b/>
          <w:bCs/>
          <w:sz w:val="22"/>
          <w:szCs w:val="22"/>
          <w:lang w:val="sr-Latn-ME"/>
        </w:rPr>
      </w:pPr>
      <w:r w:rsidRPr="00F16B0C">
        <w:rPr>
          <w:b/>
          <w:bCs/>
          <w:sz w:val="22"/>
          <w:szCs w:val="22"/>
          <w:lang w:val="sr-Latn-ME"/>
        </w:rPr>
        <w:t xml:space="preserve">3. </w:t>
      </w:r>
      <w:r w:rsidR="00F5167F" w:rsidRPr="00F16B0C">
        <w:rPr>
          <w:b/>
          <w:bCs/>
          <w:sz w:val="22"/>
          <w:szCs w:val="22"/>
          <w:lang w:val="sr-Latn-ME"/>
        </w:rPr>
        <w:tab/>
      </w:r>
      <w:r w:rsidRPr="00F16B0C">
        <w:rPr>
          <w:b/>
          <w:bCs/>
          <w:sz w:val="22"/>
          <w:szCs w:val="22"/>
          <w:lang w:val="sr-Latn-ME"/>
        </w:rPr>
        <w:t>FARMACEUTSKI OBLIK</w:t>
      </w:r>
      <w:r w:rsidR="009F2D23" w:rsidRPr="00F16B0C">
        <w:rPr>
          <w:b/>
          <w:bCs/>
          <w:sz w:val="22"/>
          <w:szCs w:val="22"/>
          <w:lang w:val="sr-Latn-ME"/>
        </w:rPr>
        <w:t xml:space="preserve"> </w:t>
      </w:r>
    </w:p>
    <w:p w14:paraId="64BBB9F5" w14:textId="77777777" w:rsidR="00411B4B" w:rsidRPr="00F16B0C" w:rsidRDefault="00411B4B" w:rsidP="00F16B0C">
      <w:pPr>
        <w:widowControl w:val="0"/>
        <w:jc w:val="both"/>
        <w:rPr>
          <w:bCs/>
          <w:sz w:val="22"/>
          <w:szCs w:val="22"/>
          <w:lang w:val="sr-Latn-ME"/>
        </w:rPr>
      </w:pPr>
    </w:p>
    <w:p w14:paraId="10D9DEF2" w14:textId="77777777" w:rsidR="00906190" w:rsidRPr="00F16B0C" w:rsidRDefault="00906190" w:rsidP="00F16B0C">
      <w:pPr>
        <w:widowControl w:val="0"/>
        <w:jc w:val="both"/>
        <w:rPr>
          <w:bCs/>
          <w:sz w:val="22"/>
          <w:szCs w:val="22"/>
          <w:lang w:val="sr-Latn-ME"/>
        </w:rPr>
      </w:pPr>
      <w:r w:rsidRPr="00F16B0C">
        <w:rPr>
          <w:bCs/>
          <w:sz w:val="22"/>
          <w:szCs w:val="22"/>
          <w:lang w:val="sr-Latn-ME"/>
        </w:rPr>
        <w:t>Koncentrat za rastvor za infuziju.</w:t>
      </w:r>
    </w:p>
    <w:p w14:paraId="114AB5D2" w14:textId="77777777" w:rsidR="00F10956" w:rsidRPr="00F16B0C" w:rsidRDefault="00F10956" w:rsidP="00F16B0C">
      <w:pPr>
        <w:widowControl w:val="0"/>
        <w:jc w:val="both"/>
        <w:rPr>
          <w:bCs/>
          <w:sz w:val="22"/>
          <w:szCs w:val="22"/>
          <w:lang w:val="sr-Latn-ME"/>
        </w:rPr>
      </w:pPr>
    </w:p>
    <w:p w14:paraId="7A2DECD6" w14:textId="77777777" w:rsidR="00906190" w:rsidRPr="00F16B0C" w:rsidRDefault="00906190" w:rsidP="00F16B0C">
      <w:pPr>
        <w:widowControl w:val="0"/>
        <w:jc w:val="both"/>
        <w:rPr>
          <w:bCs/>
          <w:sz w:val="22"/>
          <w:szCs w:val="22"/>
          <w:lang w:val="sr-Latn-ME"/>
        </w:rPr>
      </w:pPr>
      <w:r w:rsidRPr="00F16B0C">
        <w:rPr>
          <w:bCs/>
          <w:sz w:val="22"/>
          <w:szCs w:val="22"/>
          <w:lang w:val="sr-Latn-ME"/>
        </w:rPr>
        <w:t>Bistar do blago opalescentan, bezbojni rastvor.</w:t>
      </w:r>
    </w:p>
    <w:p w14:paraId="4EE3CCBF" w14:textId="77777777" w:rsidR="00EC2532" w:rsidRPr="00F16B0C" w:rsidRDefault="00EC2532" w:rsidP="00F16B0C">
      <w:pPr>
        <w:widowControl w:val="0"/>
        <w:jc w:val="both"/>
        <w:rPr>
          <w:bCs/>
          <w:sz w:val="22"/>
          <w:szCs w:val="22"/>
          <w:lang w:val="sr-Latn-ME"/>
        </w:rPr>
      </w:pPr>
    </w:p>
    <w:p w14:paraId="143290BC" w14:textId="77777777" w:rsidR="00027F40" w:rsidRPr="00F16B0C" w:rsidRDefault="00027F40" w:rsidP="00F16B0C">
      <w:pPr>
        <w:widowControl w:val="0"/>
        <w:jc w:val="both"/>
        <w:rPr>
          <w:bCs/>
          <w:sz w:val="22"/>
          <w:szCs w:val="22"/>
          <w:lang w:val="sr-Latn-ME"/>
        </w:rPr>
      </w:pPr>
    </w:p>
    <w:p w14:paraId="72E72B80" w14:textId="77777777" w:rsidR="00411B4B" w:rsidRPr="00F16B0C" w:rsidRDefault="00411B4B" w:rsidP="00F16B0C">
      <w:pPr>
        <w:widowControl w:val="0"/>
        <w:tabs>
          <w:tab w:val="left" w:pos="540"/>
          <w:tab w:val="left" w:pos="569"/>
        </w:tabs>
        <w:jc w:val="both"/>
        <w:rPr>
          <w:b/>
          <w:bCs/>
          <w:sz w:val="22"/>
          <w:szCs w:val="22"/>
          <w:lang w:val="sr-Latn-ME"/>
        </w:rPr>
      </w:pPr>
      <w:r w:rsidRPr="00F16B0C">
        <w:rPr>
          <w:b/>
          <w:bCs/>
          <w:sz w:val="22"/>
          <w:szCs w:val="22"/>
          <w:lang w:val="sr-Latn-ME"/>
        </w:rPr>
        <w:t xml:space="preserve">4. </w:t>
      </w:r>
      <w:r w:rsidR="00480FB1" w:rsidRPr="00F16B0C">
        <w:rPr>
          <w:b/>
          <w:bCs/>
          <w:sz w:val="22"/>
          <w:szCs w:val="22"/>
          <w:lang w:val="sr-Latn-ME"/>
        </w:rPr>
        <w:tab/>
      </w:r>
      <w:r w:rsidRPr="00F16B0C">
        <w:rPr>
          <w:b/>
          <w:bCs/>
          <w:sz w:val="22"/>
          <w:szCs w:val="22"/>
          <w:lang w:val="sr-Latn-ME"/>
        </w:rPr>
        <w:t>KLINIČKI PODACI</w:t>
      </w:r>
    </w:p>
    <w:p w14:paraId="297CB7FA" w14:textId="77777777" w:rsidR="00CD6F02" w:rsidRPr="00F16B0C" w:rsidRDefault="00CD6F02" w:rsidP="00F16B0C">
      <w:pPr>
        <w:widowControl w:val="0"/>
        <w:tabs>
          <w:tab w:val="left" w:pos="540"/>
          <w:tab w:val="left" w:pos="569"/>
        </w:tabs>
        <w:jc w:val="both"/>
        <w:rPr>
          <w:bCs/>
          <w:sz w:val="22"/>
          <w:szCs w:val="22"/>
          <w:lang w:val="sr-Latn-ME"/>
        </w:rPr>
      </w:pPr>
    </w:p>
    <w:p w14:paraId="30AAA9A5" w14:textId="77777777" w:rsidR="00411B4B" w:rsidRPr="00F16B0C" w:rsidRDefault="00411B4B" w:rsidP="00F16B0C">
      <w:pPr>
        <w:widowControl w:val="0"/>
        <w:tabs>
          <w:tab w:val="left" w:pos="540"/>
          <w:tab w:val="left" w:pos="569"/>
        </w:tabs>
        <w:jc w:val="both"/>
        <w:rPr>
          <w:b/>
          <w:bCs/>
          <w:sz w:val="22"/>
          <w:szCs w:val="22"/>
          <w:lang w:val="sr-Latn-ME"/>
        </w:rPr>
      </w:pPr>
      <w:r w:rsidRPr="00F16B0C">
        <w:rPr>
          <w:b/>
          <w:bCs/>
          <w:sz w:val="22"/>
          <w:szCs w:val="22"/>
          <w:lang w:val="sr-Latn-ME"/>
        </w:rPr>
        <w:t xml:space="preserve">4.1. </w:t>
      </w:r>
      <w:r w:rsidR="00480FB1" w:rsidRPr="00F16B0C">
        <w:rPr>
          <w:b/>
          <w:bCs/>
          <w:sz w:val="22"/>
          <w:szCs w:val="22"/>
          <w:lang w:val="sr-Latn-ME"/>
        </w:rPr>
        <w:tab/>
      </w:r>
      <w:r w:rsidRPr="00F16B0C">
        <w:rPr>
          <w:b/>
          <w:bCs/>
          <w:sz w:val="22"/>
          <w:szCs w:val="22"/>
          <w:lang w:val="sr-Latn-ME"/>
        </w:rPr>
        <w:t>Terapijske indikacije</w:t>
      </w:r>
    </w:p>
    <w:p w14:paraId="1E3ADEC8" w14:textId="77777777" w:rsidR="00906190" w:rsidRPr="00F16B0C" w:rsidRDefault="00906190" w:rsidP="00F16B0C">
      <w:pPr>
        <w:widowControl w:val="0"/>
        <w:tabs>
          <w:tab w:val="left" w:pos="540"/>
          <w:tab w:val="left" w:pos="569"/>
        </w:tabs>
        <w:jc w:val="both"/>
        <w:rPr>
          <w:b/>
          <w:bCs/>
          <w:sz w:val="22"/>
          <w:szCs w:val="22"/>
          <w:lang w:val="sr-Latn-ME"/>
        </w:rPr>
      </w:pPr>
    </w:p>
    <w:p w14:paraId="53816F34" w14:textId="77777777" w:rsidR="00411B4B" w:rsidRPr="00F16B0C" w:rsidRDefault="00906190" w:rsidP="00F16B0C">
      <w:pPr>
        <w:widowControl w:val="0"/>
        <w:tabs>
          <w:tab w:val="left" w:pos="540"/>
          <w:tab w:val="left" w:pos="569"/>
        </w:tabs>
        <w:jc w:val="both"/>
        <w:rPr>
          <w:bCs/>
          <w:sz w:val="22"/>
          <w:szCs w:val="22"/>
          <w:lang w:val="sr-Latn-ME"/>
        </w:rPr>
      </w:pPr>
      <w:r w:rsidRPr="00F16B0C">
        <w:rPr>
          <w:bCs/>
          <w:sz w:val="22"/>
          <w:szCs w:val="22"/>
          <w:lang w:val="sr-Latn-ME"/>
        </w:rPr>
        <w:t>Lijek POTELIGEO je indikovan u liječenju odraslih pacijenata sa mycosis fungoides (MF) ili Sezarijevim sindromom (SS) koji su primili najmanje jednu prethodnu sistemsku terapiju.</w:t>
      </w:r>
    </w:p>
    <w:p w14:paraId="279401D9" w14:textId="77777777" w:rsidR="00906190" w:rsidRPr="00F16B0C" w:rsidRDefault="00906190" w:rsidP="00F16B0C">
      <w:pPr>
        <w:widowControl w:val="0"/>
        <w:tabs>
          <w:tab w:val="left" w:pos="540"/>
          <w:tab w:val="left" w:pos="569"/>
        </w:tabs>
        <w:jc w:val="both"/>
        <w:rPr>
          <w:bCs/>
          <w:sz w:val="22"/>
          <w:szCs w:val="22"/>
          <w:lang w:val="sr-Latn-ME"/>
        </w:rPr>
      </w:pPr>
    </w:p>
    <w:p w14:paraId="7417A125" w14:textId="77777777" w:rsidR="00411B4B" w:rsidRPr="00F16B0C" w:rsidRDefault="00411B4B" w:rsidP="00F16B0C">
      <w:pPr>
        <w:widowControl w:val="0"/>
        <w:tabs>
          <w:tab w:val="left" w:pos="540"/>
          <w:tab w:val="left" w:pos="569"/>
        </w:tabs>
        <w:jc w:val="both"/>
        <w:rPr>
          <w:b/>
          <w:bCs/>
          <w:sz w:val="22"/>
          <w:szCs w:val="22"/>
          <w:lang w:val="sr-Latn-ME"/>
        </w:rPr>
      </w:pPr>
      <w:r w:rsidRPr="00F16B0C">
        <w:rPr>
          <w:b/>
          <w:bCs/>
          <w:sz w:val="22"/>
          <w:szCs w:val="22"/>
          <w:lang w:val="sr-Latn-ME"/>
        </w:rPr>
        <w:t xml:space="preserve">4.2. </w:t>
      </w:r>
      <w:r w:rsidR="00480FB1" w:rsidRPr="00F16B0C">
        <w:rPr>
          <w:b/>
          <w:bCs/>
          <w:sz w:val="22"/>
          <w:szCs w:val="22"/>
          <w:lang w:val="sr-Latn-ME"/>
        </w:rPr>
        <w:tab/>
      </w:r>
      <w:r w:rsidRPr="00F16B0C">
        <w:rPr>
          <w:b/>
          <w:bCs/>
          <w:sz w:val="22"/>
          <w:szCs w:val="22"/>
          <w:lang w:val="sr-Latn-ME"/>
        </w:rPr>
        <w:t>Doziranje i način primjene</w:t>
      </w:r>
    </w:p>
    <w:p w14:paraId="498DF4F0" w14:textId="77777777" w:rsidR="00906190" w:rsidRPr="00F16B0C" w:rsidRDefault="00906190" w:rsidP="00F16B0C">
      <w:pPr>
        <w:widowControl w:val="0"/>
        <w:tabs>
          <w:tab w:val="left" w:pos="540"/>
          <w:tab w:val="left" w:pos="569"/>
        </w:tabs>
        <w:jc w:val="both"/>
        <w:rPr>
          <w:b/>
          <w:bCs/>
          <w:sz w:val="22"/>
          <w:szCs w:val="22"/>
          <w:lang w:val="sr-Latn-ME"/>
        </w:rPr>
      </w:pPr>
    </w:p>
    <w:p w14:paraId="65FA75A0" w14:textId="77777777" w:rsidR="00906190" w:rsidRPr="00F16B0C" w:rsidRDefault="00FD2DB5" w:rsidP="00F16B0C">
      <w:pPr>
        <w:widowControl w:val="0"/>
        <w:tabs>
          <w:tab w:val="left" w:pos="540"/>
          <w:tab w:val="left" w:pos="569"/>
        </w:tabs>
        <w:jc w:val="both"/>
        <w:rPr>
          <w:bCs/>
          <w:sz w:val="22"/>
          <w:szCs w:val="22"/>
          <w:lang w:val="sr-Latn-ME"/>
        </w:rPr>
      </w:pPr>
      <w:r w:rsidRPr="00F16B0C">
        <w:rPr>
          <w:bCs/>
          <w:sz w:val="22"/>
          <w:szCs w:val="22"/>
          <w:lang w:val="sr-Latn-ME"/>
        </w:rPr>
        <w:t>Liječ</w:t>
      </w:r>
      <w:r w:rsidR="00906190" w:rsidRPr="00F16B0C">
        <w:rPr>
          <w:bCs/>
          <w:sz w:val="22"/>
          <w:szCs w:val="22"/>
          <w:lang w:val="sr-Latn-ME"/>
        </w:rPr>
        <w:t xml:space="preserve">enje moraju da započnu i nadgledaju ljekari sa iskustvom u </w:t>
      </w:r>
      <w:r w:rsidRPr="00F16B0C">
        <w:rPr>
          <w:bCs/>
          <w:sz w:val="22"/>
          <w:szCs w:val="22"/>
          <w:lang w:val="sr-Latn-ME"/>
        </w:rPr>
        <w:t>liječ</w:t>
      </w:r>
      <w:r w:rsidR="00906190" w:rsidRPr="00F16B0C">
        <w:rPr>
          <w:bCs/>
          <w:sz w:val="22"/>
          <w:szCs w:val="22"/>
          <w:lang w:val="sr-Latn-ME"/>
        </w:rPr>
        <w:t>enju karcinoma, a treba da ga primjenjuju samo zdravstveni radnici u uslovima u kojima je dostupna oprema za reanimaciju.</w:t>
      </w:r>
    </w:p>
    <w:p w14:paraId="547F5E2E" w14:textId="77777777" w:rsidR="0072020E" w:rsidRPr="00F16B0C" w:rsidRDefault="0072020E" w:rsidP="00F16B0C">
      <w:pPr>
        <w:widowControl w:val="0"/>
        <w:tabs>
          <w:tab w:val="left" w:pos="540"/>
          <w:tab w:val="left" w:pos="569"/>
        </w:tabs>
        <w:jc w:val="both"/>
        <w:rPr>
          <w:bCs/>
          <w:sz w:val="22"/>
          <w:szCs w:val="22"/>
          <w:lang w:val="sr-Latn-ME"/>
        </w:rPr>
      </w:pPr>
    </w:p>
    <w:p w14:paraId="354CE97F" w14:textId="77777777" w:rsidR="00452E9D" w:rsidRPr="00F16B0C" w:rsidRDefault="00452E9D" w:rsidP="00F16B0C">
      <w:pPr>
        <w:widowControl w:val="0"/>
        <w:tabs>
          <w:tab w:val="left" w:pos="540"/>
          <w:tab w:val="left" w:pos="569"/>
        </w:tabs>
        <w:jc w:val="both"/>
        <w:rPr>
          <w:bCs/>
          <w:sz w:val="22"/>
          <w:szCs w:val="22"/>
          <w:u w:val="single"/>
          <w:lang w:val="sr-Latn-ME"/>
        </w:rPr>
      </w:pPr>
      <w:r w:rsidRPr="00F16B0C">
        <w:rPr>
          <w:bCs/>
          <w:sz w:val="22"/>
          <w:szCs w:val="22"/>
          <w:u w:val="single"/>
          <w:lang w:val="sr-Latn-ME"/>
        </w:rPr>
        <w:t>Doziranje</w:t>
      </w:r>
    </w:p>
    <w:p w14:paraId="62A67E5B" w14:textId="77777777" w:rsidR="00906190" w:rsidRPr="00F16B0C" w:rsidRDefault="00906190" w:rsidP="00F16B0C">
      <w:pPr>
        <w:pStyle w:val="C-BodyText"/>
        <w:widowControl w:val="0"/>
        <w:spacing w:before="0" w:after="0" w:line="240" w:lineRule="auto"/>
        <w:jc w:val="both"/>
        <w:rPr>
          <w:sz w:val="22"/>
          <w:szCs w:val="22"/>
          <w:lang w:val="sr-Latn-ME"/>
        </w:rPr>
      </w:pPr>
      <w:r w:rsidRPr="00F16B0C">
        <w:rPr>
          <w:sz w:val="22"/>
          <w:szCs w:val="22"/>
          <w:lang w:val="sr-Latn-ME"/>
        </w:rPr>
        <w:t>Preporučena doza mogamulizumaba je 1 mg/kg primjenjena u obliku intravenske infuzije tokom najmanje 60 minuta. Primjenjuje se jednom nedeljno 1., 8., 15. i 22. dana u prvom ciklusu od 28 dana, nakon čega sl</w:t>
      </w:r>
      <w:r w:rsidR="00C70E57" w:rsidRPr="00F16B0C">
        <w:rPr>
          <w:sz w:val="22"/>
          <w:szCs w:val="22"/>
          <w:lang w:val="sr-Latn-ME"/>
        </w:rPr>
        <w:t>ij</w:t>
      </w:r>
      <w:r w:rsidRPr="00F16B0C">
        <w:rPr>
          <w:sz w:val="22"/>
          <w:szCs w:val="22"/>
          <w:lang w:val="sr-Latn-ME"/>
        </w:rPr>
        <w:t>edi infuzija svake dvije nedjelje 1. i 15. dana svakog sl</w:t>
      </w:r>
      <w:r w:rsidR="00C70E57" w:rsidRPr="00F16B0C">
        <w:rPr>
          <w:sz w:val="22"/>
          <w:szCs w:val="22"/>
          <w:lang w:val="sr-Latn-ME"/>
        </w:rPr>
        <w:t>j</w:t>
      </w:r>
      <w:r w:rsidRPr="00F16B0C">
        <w:rPr>
          <w:sz w:val="22"/>
          <w:szCs w:val="22"/>
          <w:lang w:val="sr-Latn-ME"/>
        </w:rPr>
        <w:t>edećeg ciklusa od 28 dana do progresije bolesti ili do pojave neprihvatljive toksičnosti.</w:t>
      </w:r>
    </w:p>
    <w:p w14:paraId="284A655E" w14:textId="77777777" w:rsidR="00906190" w:rsidRPr="00F16B0C" w:rsidRDefault="00906190" w:rsidP="00F16B0C">
      <w:pPr>
        <w:pStyle w:val="C-BodyText"/>
        <w:widowControl w:val="0"/>
        <w:spacing w:before="0" w:after="0" w:line="240" w:lineRule="auto"/>
        <w:jc w:val="both"/>
        <w:rPr>
          <w:sz w:val="22"/>
          <w:szCs w:val="22"/>
          <w:lang w:val="sr-Latn-ME"/>
        </w:rPr>
      </w:pPr>
    </w:p>
    <w:p w14:paraId="491F87BD" w14:textId="77777777" w:rsidR="00906190" w:rsidRPr="00F16B0C" w:rsidRDefault="00DE65CE" w:rsidP="00F16B0C">
      <w:pPr>
        <w:pStyle w:val="C-BodyText"/>
        <w:widowControl w:val="0"/>
        <w:spacing w:before="0" w:after="0" w:line="240" w:lineRule="auto"/>
        <w:jc w:val="both"/>
        <w:rPr>
          <w:sz w:val="22"/>
          <w:szCs w:val="22"/>
          <w:lang w:val="sr-Latn-ME"/>
        </w:rPr>
      </w:pPr>
      <w:r w:rsidRPr="00F16B0C">
        <w:rPr>
          <w:sz w:val="22"/>
          <w:szCs w:val="22"/>
          <w:lang w:val="sr-Latn-ME"/>
        </w:rPr>
        <w:t xml:space="preserve">Lijek </w:t>
      </w:r>
      <w:r w:rsidR="00906190" w:rsidRPr="00F16B0C">
        <w:rPr>
          <w:sz w:val="22"/>
          <w:szCs w:val="22"/>
          <w:lang w:val="sr-Latn-ME"/>
        </w:rPr>
        <w:t>POTELIGEO treba primjenjivati u roku od 2 dana od zakazanog dana. Ukoliko se doza propusti za više od 2 dana, sljedeću dozu treba primjeniti što je prije moguće, nakon čega je potrebno nastaviti režim doziranja uz primjenu doza na osnovu novih predviđenih dana.</w:t>
      </w:r>
    </w:p>
    <w:p w14:paraId="59A7272A" w14:textId="77777777" w:rsidR="00906190" w:rsidRPr="00F16B0C" w:rsidRDefault="00906190" w:rsidP="00F16B0C">
      <w:pPr>
        <w:pStyle w:val="C-BodyText"/>
        <w:widowControl w:val="0"/>
        <w:spacing w:before="0" w:after="0" w:line="240" w:lineRule="auto"/>
        <w:jc w:val="both"/>
        <w:rPr>
          <w:sz w:val="22"/>
          <w:szCs w:val="22"/>
          <w:lang w:val="sr-Latn-ME"/>
        </w:rPr>
      </w:pPr>
    </w:p>
    <w:p w14:paraId="7C96575D" w14:textId="77777777" w:rsidR="00906190" w:rsidRPr="00F16B0C" w:rsidRDefault="00906190" w:rsidP="00F16B0C">
      <w:pPr>
        <w:pStyle w:val="C-BodyText"/>
        <w:widowControl w:val="0"/>
        <w:spacing w:before="0" w:after="0" w:line="240" w:lineRule="auto"/>
        <w:jc w:val="both"/>
        <w:rPr>
          <w:sz w:val="22"/>
          <w:szCs w:val="22"/>
          <w:lang w:val="sr-Latn-ME"/>
        </w:rPr>
      </w:pPr>
      <w:r w:rsidRPr="00F16B0C">
        <w:rPr>
          <w:sz w:val="22"/>
          <w:szCs w:val="22"/>
          <w:lang w:val="sr-Latn-ME"/>
        </w:rPr>
        <w:t>Preporučuje se premedikacija antipireticima ili antihistaminicima prilikom prve infuzije lijeka POTELIGEO. Ako se javi reakcija na infuziju, primjenite premedikaciju prilikom sljedećih infuzija lijeka POTELIGEO.</w:t>
      </w:r>
    </w:p>
    <w:p w14:paraId="2EA27436" w14:textId="77777777" w:rsidR="00906190" w:rsidRPr="00F16B0C" w:rsidRDefault="00906190" w:rsidP="00F16B0C">
      <w:pPr>
        <w:pStyle w:val="C-BodyText"/>
        <w:widowControl w:val="0"/>
        <w:spacing w:before="0" w:after="0" w:line="240" w:lineRule="auto"/>
        <w:jc w:val="both"/>
        <w:rPr>
          <w:sz w:val="22"/>
          <w:szCs w:val="22"/>
          <w:lang w:val="sr-Latn-ME"/>
        </w:rPr>
      </w:pPr>
    </w:p>
    <w:p w14:paraId="295104F9" w14:textId="77777777" w:rsidR="00906190" w:rsidRPr="00F16B0C" w:rsidRDefault="00906190" w:rsidP="00F16B0C">
      <w:pPr>
        <w:pStyle w:val="C-BodyText"/>
        <w:widowControl w:val="0"/>
        <w:spacing w:before="0" w:after="0" w:line="240" w:lineRule="auto"/>
        <w:jc w:val="both"/>
        <w:rPr>
          <w:sz w:val="22"/>
          <w:szCs w:val="22"/>
          <w:lang w:val="sr-Latn-ME"/>
        </w:rPr>
      </w:pPr>
      <w:r w:rsidRPr="00F16B0C">
        <w:rPr>
          <w:sz w:val="22"/>
          <w:szCs w:val="22"/>
          <w:u w:val="single"/>
          <w:lang w:val="sr-Latn-ME"/>
        </w:rPr>
        <w:t>Modifikacija doze</w:t>
      </w:r>
    </w:p>
    <w:p w14:paraId="243897A1" w14:textId="77777777" w:rsidR="00906190" w:rsidRPr="00F16B0C" w:rsidRDefault="00906190" w:rsidP="00F16B0C">
      <w:pPr>
        <w:pStyle w:val="C-BodyText"/>
        <w:widowControl w:val="0"/>
        <w:spacing w:before="0" w:after="0" w:line="240" w:lineRule="auto"/>
        <w:jc w:val="both"/>
        <w:rPr>
          <w:i/>
          <w:sz w:val="22"/>
          <w:szCs w:val="22"/>
          <w:lang w:val="sr-Latn-ME"/>
        </w:rPr>
      </w:pPr>
      <w:r w:rsidRPr="00F16B0C">
        <w:rPr>
          <w:i/>
          <w:iCs/>
          <w:sz w:val="22"/>
          <w:szCs w:val="22"/>
          <w:lang w:val="sr-Latn-ME"/>
        </w:rPr>
        <w:t>Dermatološke reakcije</w:t>
      </w:r>
    </w:p>
    <w:p w14:paraId="2A1DC6CB" w14:textId="77777777" w:rsidR="00906190" w:rsidRPr="00F16B0C" w:rsidRDefault="00906190" w:rsidP="00F16B0C">
      <w:pPr>
        <w:pStyle w:val="C-BodyText"/>
        <w:widowControl w:val="0"/>
        <w:spacing w:before="0" w:after="0" w:line="240" w:lineRule="auto"/>
        <w:jc w:val="both"/>
        <w:rPr>
          <w:sz w:val="22"/>
          <w:szCs w:val="22"/>
          <w:lang w:val="sr-Latn-ME"/>
        </w:rPr>
      </w:pPr>
      <w:r w:rsidRPr="00F16B0C">
        <w:rPr>
          <w:sz w:val="22"/>
          <w:szCs w:val="22"/>
          <w:lang w:val="sr-Latn-ME"/>
        </w:rPr>
        <w:t>Pacijenti koji primaju mogamulizumab dobili su osip uzrokovan lijekom (izbijanje kožnih promjena uzrokovanih lijekom) koji je u nekim slučajevima bio težak i/ili ozbiljan.</w:t>
      </w:r>
    </w:p>
    <w:p w14:paraId="53602247" w14:textId="77777777" w:rsidR="00906190" w:rsidRPr="00F16B0C" w:rsidRDefault="00906190" w:rsidP="00F16B0C">
      <w:pPr>
        <w:pStyle w:val="C-BodyText"/>
        <w:widowControl w:val="0"/>
        <w:numPr>
          <w:ilvl w:val="0"/>
          <w:numId w:val="12"/>
        </w:numPr>
        <w:spacing w:before="0" w:after="0" w:line="240" w:lineRule="auto"/>
        <w:jc w:val="both"/>
        <w:rPr>
          <w:sz w:val="22"/>
          <w:szCs w:val="22"/>
          <w:lang w:val="sr-Latn-ME"/>
        </w:rPr>
      </w:pPr>
      <w:r w:rsidRPr="00F16B0C">
        <w:rPr>
          <w:sz w:val="22"/>
          <w:szCs w:val="22"/>
          <w:lang w:val="sr-Latn-ME"/>
        </w:rPr>
        <w:t xml:space="preserve">U slučaju pojave osipa (povezanog sa lijekom) težine 2. ili 3. gradusa (umjeren ili težak), potrebno je prekinuti </w:t>
      </w:r>
      <w:r w:rsidR="00FD2DB5" w:rsidRPr="00F16B0C">
        <w:rPr>
          <w:sz w:val="22"/>
          <w:szCs w:val="22"/>
          <w:lang w:val="sr-Latn-ME"/>
        </w:rPr>
        <w:t>liječ</w:t>
      </w:r>
      <w:r w:rsidRPr="00F16B0C">
        <w:rPr>
          <w:sz w:val="22"/>
          <w:szCs w:val="22"/>
          <w:lang w:val="sr-Latn-ME"/>
        </w:rPr>
        <w:t>enje mogamulizumabom i na odgovarajući način r</w:t>
      </w:r>
      <w:r w:rsidR="00C70E57" w:rsidRPr="00F16B0C">
        <w:rPr>
          <w:sz w:val="22"/>
          <w:szCs w:val="22"/>
          <w:lang w:val="sr-Latn-ME"/>
        </w:rPr>
        <w:t>j</w:t>
      </w:r>
      <w:r w:rsidRPr="00F16B0C">
        <w:rPr>
          <w:sz w:val="22"/>
          <w:szCs w:val="22"/>
          <w:lang w:val="sr-Latn-ME"/>
        </w:rPr>
        <w:t xml:space="preserve">ešavati osip dok se osip ne poboljša do težine 1. gradusa ili manje (blagi), a tada se </w:t>
      </w:r>
      <w:r w:rsidR="00FD2DB5" w:rsidRPr="00F16B0C">
        <w:rPr>
          <w:sz w:val="22"/>
          <w:szCs w:val="22"/>
          <w:lang w:val="sr-Latn-ME"/>
        </w:rPr>
        <w:t>liječ</w:t>
      </w:r>
      <w:r w:rsidRPr="00F16B0C">
        <w:rPr>
          <w:sz w:val="22"/>
          <w:szCs w:val="22"/>
          <w:lang w:val="sr-Latn-ME"/>
        </w:rPr>
        <w:t xml:space="preserve">enje mogamulizumabom </w:t>
      </w:r>
      <w:r w:rsidRPr="00F16B0C">
        <w:rPr>
          <w:sz w:val="22"/>
          <w:szCs w:val="22"/>
          <w:lang w:val="sr-Latn-ME"/>
        </w:rPr>
        <w:lastRenderedPageBreak/>
        <w:t>može nastaviti.</w:t>
      </w:r>
    </w:p>
    <w:p w14:paraId="2A0FD10A" w14:textId="77777777" w:rsidR="00906190" w:rsidRPr="00F16B0C" w:rsidRDefault="00906190" w:rsidP="00F16B0C">
      <w:pPr>
        <w:pStyle w:val="C-BodyText"/>
        <w:widowControl w:val="0"/>
        <w:numPr>
          <w:ilvl w:val="0"/>
          <w:numId w:val="12"/>
        </w:numPr>
        <w:spacing w:before="0" w:after="0" w:line="240" w:lineRule="auto"/>
        <w:jc w:val="both"/>
        <w:rPr>
          <w:sz w:val="22"/>
          <w:szCs w:val="22"/>
          <w:lang w:val="sr-Latn-ME"/>
        </w:rPr>
      </w:pPr>
      <w:r w:rsidRPr="00F16B0C">
        <w:rPr>
          <w:sz w:val="22"/>
          <w:szCs w:val="22"/>
          <w:lang w:val="sr-Latn-ME"/>
        </w:rPr>
        <w:t>Primenu lijeka POTELIGEO treba trajno prekinuti ako se pojavi po život opasan osip (4. gradusa) (vidjeti dio 4.4).</w:t>
      </w:r>
    </w:p>
    <w:p w14:paraId="3BD33EE8" w14:textId="77777777" w:rsidR="00906190" w:rsidRPr="00F16B0C" w:rsidRDefault="00906190" w:rsidP="00F16B0C">
      <w:pPr>
        <w:pStyle w:val="C-BodyText"/>
        <w:widowControl w:val="0"/>
        <w:spacing w:before="0" w:after="0" w:line="240" w:lineRule="auto"/>
        <w:jc w:val="both"/>
        <w:rPr>
          <w:sz w:val="22"/>
          <w:szCs w:val="22"/>
          <w:lang w:val="sr-Latn-ME"/>
        </w:rPr>
      </w:pPr>
    </w:p>
    <w:p w14:paraId="32210EB1" w14:textId="77777777" w:rsidR="00906190" w:rsidRPr="00F16B0C" w:rsidRDefault="00906190" w:rsidP="00F16B0C">
      <w:pPr>
        <w:pStyle w:val="C-BodyText"/>
        <w:widowControl w:val="0"/>
        <w:spacing w:before="0" w:after="0" w:line="240" w:lineRule="auto"/>
        <w:jc w:val="both"/>
        <w:rPr>
          <w:i/>
          <w:sz w:val="22"/>
          <w:szCs w:val="22"/>
          <w:lang w:val="sr-Latn-ME"/>
        </w:rPr>
      </w:pPr>
      <w:r w:rsidRPr="00F16B0C">
        <w:rPr>
          <w:i/>
          <w:iCs/>
          <w:sz w:val="22"/>
          <w:szCs w:val="22"/>
          <w:lang w:val="sr-Latn-ME"/>
        </w:rPr>
        <w:t>Reakcije povezane sa infuzijom</w:t>
      </w:r>
    </w:p>
    <w:p w14:paraId="393D6FEC" w14:textId="77777777" w:rsidR="00906190" w:rsidRPr="00F16B0C" w:rsidRDefault="00906190" w:rsidP="00F16B0C">
      <w:pPr>
        <w:pStyle w:val="C-BodyText"/>
        <w:widowControl w:val="0"/>
        <w:numPr>
          <w:ilvl w:val="0"/>
          <w:numId w:val="12"/>
        </w:numPr>
        <w:spacing w:before="0" w:after="0" w:line="240" w:lineRule="auto"/>
        <w:jc w:val="both"/>
        <w:rPr>
          <w:sz w:val="22"/>
          <w:szCs w:val="22"/>
          <w:lang w:val="sr-Latn-ME"/>
        </w:rPr>
      </w:pPr>
      <w:r w:rsidRPr="00F16B0C">
        <w:rPr>
          <w:sz w:val="22"/>
          <w:szCs w:val="22"/>
          <w:lang w:val="sr-Latn-ME"/>
        </w:rPr>
        <w:t xml:space="preserve">Infuziju lijeka POTELIGEO treba privremeno prekinuti zbog blagih do teških (1. do 3. gradusa) reakcija povezanih sa infuzijom, a simptome treba </w:t>
      </w:r>
      <w:r w:rsidR="00FD2DB5" w:rsidRPr="00F16B0C">
        <w:rPr>
          <w:sz w:val="22"/>
          <w:szCs w:val="22"/>
          <w:lang w:val="sr-Latn-ME"/>
        </w:rPr>
        <w:t>liječ</w:t>
      </w:r>
      <w:r w:rsidRPr="00F16B0C">
        <w:rPr>
          <w:sz w:val="22"/>
          <w:szCs w:val="22"/>
          <w:lang w:val="sr-Latn-ME"/>
        </w:rPr>
        <w:t>iti. Brzinu infuzije treba smanjiti za barem 50% prilikom ponovnog započinjanja infuzije nakon povlačenja simptoma. Ako se reakcija ponovno pojavi, treba razmisliti o prekidu primjene infuzija (vidjeti dio 4.4).</w:t>
      </w:r>
    </w:p>
    <w:p w14:paraId="04FB7F7D" w14:textId="77777777" w:rsidR="00906190" w:rsidRPr="00F16B0C" w:rsidRDefault="00906190" w:rsidP="00F16B0C">
      <w:pPr>
        <w:pStyle w:val="C-BodyText"/>
        <w:widowControl w:val="0"/>
        <w:numPr>
          <w:ilvl w:val="0"/>
          <w:numId w:val="12"/>
        </w:numPr>
        <w:spacing w:before="0" w:after="0" w:line="240" w:lineRule="auto"/>
        <w:jc w:val="both"/>
        <w:rPr>
          <w:sz w:val="22"/>
          <w:szCs w:val="22"/>
          <w:lang w:val="sr-Latn-ME"/>
        </w:rPr>
      </w:pPr>
      <w:r w:rsidRPr="00F16B0C">
        <w:rPr>
          <w:sz w:val="22"/>
          <w:szCs w:val="22"/>
          <w:lang w:val="sr-Latn-ME"/>
        </w:rPr>
        <w:t>Primjenu lijeka POTELIGEO treba trajno prekinuti ako se pojavi po život opasna reakcija povezana sa infuzijom (4. gradusa) (vidjeti dio 4.4).</w:t>
      </w:r>
    </w:p>
    <w:p w14:paraId="3F568E37" w14:textId="77777777" w:rsidR="00906190" w:rsidRPr="00F16B0C" w:rsidRDefault="00906190" w:rsidP="00F16B0C">
      <w:pPr>
        <w:pStyle w:val="C-BodyText"/>
        <w:widowControl w:val="0"/>
        <w:spacing w:before="0" w:after="0" w:line="240" w:lineRule="auto"/>
        <w:jc w:val="both"/>
        <w:rPr>
          <w:sz w:val="22"/>
          <w:szCs w:val="22"/>
          <w:lang w:val="sr-Latn-ME"/>
        </w:rPr>
      </w:pPr>
    </w:p>
    <w:p w14:paraId="769AA978" w14:textId="77777777" w:rsidR="00906190" w:rsidRPr="00F16B0C" w:rsidRDefault="00906190" w:rsidP="00F16B0C">
      <w:pPr>
        <w:pStyle w:val="C-BodyText"/>
        <w:widowControl w:val="0"/>
        <w:spacing w:before="0" w:after="0" w:line="240" w:lineRule="auto"/>
        <w:jc w:val="both"/>
        <w:rPr>
          <w:sz w:val="22"/>
          <w:szCs w:val="22"/>
          <w:lang w:val="sr-Latn-ME"/>
        </w:rPr>
      </w:pPr>
      <w:r w:rsidRPr="00F16B0C">
        <w:rPr>
          <w:sz w:val="22"/>
          <w:szCs w:val="22"/>
          <w:u w:val="single"/>
          <w:lang w:val="sr-Latn-ME"/>
        </w:rPr>
        <w:t>Posebne populacije</w:t>
      </w:r>
    </w:p>
    <w:p w14:paraId="26646A77" w14:textId="77777777" w:rsidR="00906190" w:rsidRPr="00F16B0C" w:rsidRDefault="00906190" w:rsidP="00F16B0C">
      <w:pPr>
        <w:pStyle w:val="C-BodyText"/>
        <w:widowControl w:val="0"/>
        <w:spacing w:before="0" w:after="0" w:line="240" w:lineRule="auto"/>
        <w:jc w:val="both"/>
        <w:rPr>
          <w:sz w:val="22"/>
          <w:szCs w:val="22"/>
          <w:lang w:val="sr-Latn-ME"/>
        </w:rPr>
      </w:pPr>
    </w:p>
    <w:p w14:paraId="75551318" w14:textId="77777777" w:rsidR="00906190" w:rsidRPr="00F16B0C" w:rsidRDefault="00906190" w:rsidP="00F16B0C">
      <w:pPr>
        <w:pStyle w:val="C-BodyText"/>
        <w:widowControl w:val="0"/>
        <w:spacing w:before="0" w:after="0" w:line="240" w:lineRule="auto"/>
        <w:jc w:val="both"/>
        <w:rPr>
          <w:i/>
          <w:sz w:val="22"/>
          <w:szCs w:val="22"/>
          <w:lang w:val="sr-Latn-ME"/>
        </w:rPr>
      </w:pPr>
      <w:r w:rsidRPr="00F16B0C">
        <w:rPr>
          <w:i/>
          <w:iCs/>
          <w:sz w:val="22"/>
          <w:szCs w:val="22"/>
          <w:lang w:val="sr-Latn-ME"/>
        </w:rPr>
        <w:t>Pedijatrijska populacija</w:t>
      </w:r>
    </w:p>
    <w:p w14:paraId="5BCA84F1" w14:textId="77777777" w:rsidR="00906190" w:rsidRPr="00F16B0C" w:rsidRDefault="00906190" w:rsidP="00F16B0C">
      <w:pPr>
        <w:pStyle w:val="C-BodyText"/>
        <w:widowControl w:val="0"/>
        <w:spacing w:before="0" w:after="0" w:line="240" w:lineRule="auto"/>
        <w:jc w:val="both"/>
        <w:rPr>
          <w:sz w:val="22"/>
          <w:szCs w:val="22"/>
          <w:lang w:val="sr-Latn-ME"/>
        </w:rPr>
      </w:pPr>
      <w:r w:rsidRPr="00F16B0C">
        <w:rPr>
          <w:sz w:val="22"/>
          <w:szCs w:val="22"/>
          <w:lang w:val="sr-Latn-ME"/>
        </w:rPr>
        <w:t>Bezbjednost i efikasnost lijeka POTELIGEO kod djece i adolescenata mlađih od 18 godina nijesu utvrđene. Nema dostupnih podataka.</w:t>
      </w:r>
    </w:p>
    <w:p w14:paraId="035AE9E5" w14:textId="77777777" w:rsidR="00906190" w:rsidRPr="00F16B0C" w:rsidRDefault="00906190" w:rsidP="00F16B0C">
      <w:pPr>
        <w:pStyle w:val="C-BodyText"/>
        <w:widowControl w:val="0"/>
        <w:spacing w:before="0" w:after="0" w:line="240" w:lineRule="auto"/>
        <w:jc w:val="both"/>
        <w:rPr>
          <w:sz w:val="22"/>
          <w:szCs w:val="22"/>
          <w:lang w:val="sr-Latn-ME"/>
        </w:rPr>
      </w:pPr>
    </w:p>
    <w:p w14:paraId="51CBAF96" w14:textId="77777777" w:rsidR="00906190" w:rsidRPr="00F16B0C" w:rsidRDefault="00906190" w:rsidP="00F16B0C">
      <w:pPr>
        <w:pStyle w:val="C-BodyText"/>
        <w:widowControl w:val="0"/>
        <w:spacing w:before="0" w:after="0" w:line="240" w:lineRule="auto"/>
        <w:jc w:val="both"/>
        <w:rPr>
          <w:i/>
          <w:sz w:val="22"/>
          <w:szCs w:val="22"/>
          <w:lang w:val="sr-Latn-ME"/>
        </w:rPr>
      </w:pPr>
      <w:r w:rsidRPr="00F16B0C">
        <w:rPr>
          <w:i/>
          <w:iCs/>
          <w:sz w:val="22"/>
          <w:szCs w:val="22"/>
          <w:lang w:val="sr-Latn-ME"/>
        </w:rPr>
        <w:t>Starije osobe</w:t>
      </w:r>
    </w:p>
    <w:p w14:paraId="0E1BEC94" w14:textId="77777777" w:rsidR="00906190" w:rsidRPr="00F16B0C" w:rsidRDefault="00906190" w:rsidP="00F16B0C">
      <w:pPr>
        <w:pStyle w:val="C-BodyText"/>
        <w:widowControl w:val="0"/>
        <w:spacing w:before="0" w:after="0" w:line="240" w:lineRule="auto"/>
        <w:jc w:val="both"/>
        <w:rPr>
          <w:sz w:val="22"/>
          <w:szCs w:val="22"/>
          <w:lang w:val="sr-Latn-ME"/>
        </w:rPr>
      </w:pPr>
      <w:r w:rsidRPr="00F16B0C">
        <w:rPr>
          <w:sz w:val="22"/>
          <w:szCs w:val="22"/>
          <w:lang w:val="sr-Latn-ME"/>
        </w:rPr>
        <w:t>Nema prilagođavanja doze kod starijih pacijenata (vidjeti dio 5.2).</w:t>
      </w:r>
    </w:p>
    <w:p w14:paraId="604FB07F" w14:textId="77777777" w:rsidR="00906190" w:rsidRPr="00F16B0C" w:rsidRDefault="00906190" w:rsidP="00F16B0C">
      <w:pPr>
        <w:pStyle w:val="C-BodyText"/>
        <w:widowControl w:val="0"/>
        <w:spacing w:before="0" w:after="0" w:line="240" w:lineRule="auto"/>
        <w:jc w:val="both"/>
        <w:rPr>
          <w:sz w:val="22"/>
          <w:szCs w:val="22"/>
          <w:lang w:val="sr-Latn-ME"/>
        </w:rPr>
      </w:pPr>
    </w:p>
    <w:p w14:paraId="6C32E3F5" w14:textId="77777777" w:rsidR="00906190" w:rsidRPr="00F16B0C" w:rsidRDefault="00906190" w:rsidP="00F16B0C">
      <w:pPr>
        <w:pStyle w:val="C-BodyText"/>
        <w:widowControl w:val="0"/>
        <w:spacing w:before="0" w:after="0" w:line="240" w:lineRule="auto"/>
        <w:jc w:val="both"/>
        <w:rPr>
          <w:i/>
          <w:sz w:val="22"/>
          <w:szCs w:val="22"/>
          <w:lang w:val="sr-Latn-ME"/>
        </w:rPr>
      </w:pPr>
      <w:r w:rsidRPr="00F16B0C">
        <w:rPr>
          <w:i/>
          <w:iCs/>
          <w:sz w:val="22"/>
          <w:szCs w:val="22"/>
          <w:lang w:val="sr-Latn-ME"/>
        </w:rPr>
        <w:t>Oštećenje funkcije bubrega</w:t>
      </w:r>
    </w:p>
    <w:p w14:paraId="77601673" w14:textId="77777777" w:rsidR="00906190" w:rsidRPr="00F16B0C" w:rsidRDefault="00906190" w:rsidP="00F16B0C">
      <w:pPr>
        <w:pStyle w:val="C-BodyText"/>
        <w:widowControl w:val="0"/>
        <w:spacing w:before="0" w:after="0" w:line="240" w:lineRule="auto"/>
        <w:jc w:val="both"/>
        <w:rPr>
          <w:sz w:val="22"/>
          <w:szCs w:val="22"/>
          <w:lang w:val="sr-Latn-ME"/>
        </w:rPr>
      </w:pPr>
      <w:r w:rsidRPr="00F16B0C">
        <w:rPr>
          <w:sz w:val="22"/>
          <w:szCs w:val="22"/>
          <w:lang w:val="sr-Latn-ME"/>
        </w:rPr>
        <w:t>Na osnovu analize populacione farm</w:t>
      </w:r>
      <w:bookmarkStart w:id="0" w:name="_GoBack"/>
      <w:bookmarkEnd w:id="0"/>
      <w:r w:rsidRPr="00F16B0C">
        <w:rPr>
          <w:sz w:val="22"/>
          <w:szCs w:val="22"/>
          <w:lang w:val="sr-Latn-ME"/>
        </w:rPr>
        <w:t>akokinetike nije potrebno prilagođavanje doze kod pacijenata sa blagim do teškim oštećenjem funkcije bubrega (vidjeti dio 5.2).</w:t>
      </w:r>
    </w:p>
    <w:p w14:paraId="3C4A4213" w14:textId="77777777" w:rsidR="00906190" w:rsidRPr="00F16B0C" w:rsidRDefault="00906190" w:rsidP="00F16B0C">
      <w:pPr>
        <w:pStyle w:val="C-BodyText"/>
        <w:widowControl w:val="0"/>
        <w:spacing w:before="0" w:after="0" w:line="240" w:lineRule="auto"/>
        <w:jc w:val="both"/>
        <w:rPr>
          <w:sz w:val="22"/>
          <w:szCs w:val="22"/>
          <w:lang w:val="sr-Latn-ME"/>
        </w:rPr>
      </w:pPr>
    </w:p>
    <w:p w14:paraId="07D595F8" w14:textId="77777777" w:rsidR="00906190" w:rsidRPr="00F16B0C" w:rsidRDefault="00906190" w:rsidP="00F16B0C">
      <w:pPr>
        <w:pStyle w:val="C-BodyText"/>
        <w:widowControl w:val="0"/>
        <w:spacing w:before="0" w:after="0" w:line="240" w:lineRule="auto"/>
        <w:jc w:val="both"/>
        <w:rPr>
          <w:i/>
          <w:sz w:val="22"/>
          <w:szCs w:val="22"/>
          <w:lang w:val="sr-Latn-ME"/>
        </w:rPr>
      </w:pPr>
      <w:r w:rsidRPr="00F16B0C">
        <w:rPr>
          <w:i/>
          <w:iCs/>
          <w:sz w:val="22"/>
          <w:szCs w:val="22"/>
          <w:lang w:val="sr-Latn-ME"/>
        </w:rPr>
        <w:t>Oštećenje funkcije jetre</w:t>
      </w:r>
    </w:p>
    <w:p w14:paraId="27E6EE03" w14:textId="77777777" w:rsidR="00906190" w:rsidRPr="00F16B0C" w:rsidRDefault="00906190" w:rsidP="00F16B0C">
      <w:pPr>
        <w:pStyle w:val="C-BodyText"/>
        <w:widowControl w:val="0"/>
        <w:spacing w:before="0" w:after="0" w:line="240" w:lineRule="auto"/>
        <w:jc w:val="both"/>
        <w:rPr>
          <w:sz w:val="22"/>
          <w:szCs w:val="22"/>
          <w:lang w:val="sr-Latn-ME"/>
        </w:rPr>
      </w:pPr>
      <w:r w:rsidRPr="00F16B0C">
        <w:rPr>
          <w:sz w:val="22"/>
          <w:szCs w:val="22"/>
          <w:lang w:val="sr-Latn-ME"/>
        </w:rPr>
        <w:t>Na osnovu analize populacione farmakokinetike nije potrebno prilagođavanje doze kod pacijenata sa blagim do umjerenim oštećenjem funkcije jetre.</w:t>
      </w:r>
      <w:r w:rsidR="00467DA3" w:rsidRPr="00F16B0C">
        <w:rPr>
          <w:sz w:val="22"/>
          <w:szCs w:val="22"/>
          <w:lang w:val="sr-Latn-ME"/>
        </w:rPr>
        <w:t xml:space="preserve"> Lijek</w:t>
      </w:r>
      <w:r w:rsidRPr="00F16B0C">
        <w:rPr>
          <w:sz w:val="22"/>
          <w:szCs w:val="22"/>
          <w:lang w:val="sr-Latn-ME"/>
        </w:rPr>
        <w:t xml:space="preserve"> POTELIGEO nije </w:t>
      </w:r>
      <w:r w:rsidR="00B4081C" w:rsidRPr="00F16B0C">
        <w:rPr>
          <w:sz w:val="22"/>
          <w:szCs w:val="22"/>
          <w:lang w:val="sr-Latn-ME"/>
        </w:rPr>
        <w:t xml:space="preserve">ispitivan </w:t>
      </w:r>
      <w:r w:rsidRPr="00F16B0C">
        <w:rPr>
          <w:sz w:val="22"/>
          <w:szCs w:val="22"/>
          <w:lang w:val="sr-Latn-ME"/>
        </w:rPr>
        <w:t>kod pacijenata sa teškim oštećenjem funkcije jetre (vidjeti dio 5.2).</w:t>
      </w:r>
    </w:p>
    <w:p w14:paraId="6145B54A" w14:textId="77777777" w:rsidR="00906190" w:rsidRPr="00F16B0C" w:rsidRDefault="00906190" w:rsidP="00F16B0C">
      <w:pPr>
        <w:pStyle w:val="C-BodyText"/>
        <w:widowControl w:val="0"/>
        <w:spacing w:before="0" w:after="0" w:line="240" w:lineRule="auto"/>
        <w:jc w:val="both"/>
        <w:rPr>
          <w:sz w:val="22"/>
          <w:szCs w:val="22"/>
          <w:lang w:val="sr-Latn-ME"/>
        </w:rPr>
      </w:pPr>
    </w:p>
    <w:p w14:paraId="4A48CDAB" w14:textId="77777777" w:rsidR="00452E9D" w:rsidRPr="00F16B0C" w:rsidRDefault="00452E9D" w:rsidP="00F16B0C">
      <w:pPr>
        <w:widowControl w:val="0"/>
        <w:tabs>
          <w:tab w:val="left" w:pos="540"/>
          <w:tab w:val="left" w:pos="569"/>
        </w:tabs>
        <w:jc w:val="both"/>
        <w:rPr>
          <w:bCs/>
          <w:sz w:val="22"/>
          <w:szCs w:val="22"/>
          <w:u w:val="single"/>
          <w:lang w:val="sr-Latn-ME"/>
        </w:rPr>
      </w:pPr>
      <w:r w:rsidRPr="00F16B0C">
        <w:rPr>
          <w:bCs/>
          <w:sz w:val="22"/>
          <w:szCs w:val="22"/>
          <w:u w:val="single"/>
          <w:lang w:val="sr-Latn-ME"/>
        </w:rPr>
        <w:t>Način primjene</w:t>
      </w:r>
    </w:p>
    <w:p w14:paraId="660707A3" w14:textId="77777777" w:rsidR="00467DA3" w:rsidRPr="00F16B0C" w:rsidRDefault="00467DA3" w:rsidP="00F16B0C">
      <w:pPr>
        <w:widowControl w:val="0"/>
        <w:tabs>
          <w:tab w:val="left" w:pos="540"/>
          <w:tab w:val="left" w:pos="569"/>
        </w:tabs>
        <w:jc w:val="both"/>
        <w:rPr>
          <w:bCs/>
          <w:sz w:val="22"/>
          <w:szCs w:val="22"/>
          <w:lang w:val="sr-Latn-ME"/>
        </w:rPr>
      </w:pPr>
    </w:p>
    <w:p w14:paraId="36BCF559" w14:textId="77777777" w:rsidR="00467DA3" w:rsidRPr="00F16B0C" w:rsidRDefault="00467DA3" w:rsidP="00F16B0C">
      <w:pPr>
        <w:widowControl w:val="0"/>
        <w:tabs>
          <w:tab w:val="left" w:pos="540"/>
          <w:tab w:val="left" w:pos="569"/>
        </w:tabs>
        <w:jc w:val="both"/>
        <w:rPr>
          <w:bCs/>
          <w:sz w:val="22"/>
          <w:szCs w:val="22"/>
          <w:lang w:val="sr-Latn-ME"/>
        </w:rPr>
      </w:pPr>
      <w:r w:rsidRPr="00F16B0C">
        <w:rPr>
          <w:bCs/>
          <w:sz w:val="22"/>
          <w:szCs w:val="22"/>
          <w:lang w:val="sr-Latn-ME"/>
        </w:rPr>
        <w:t>Lijek POTELIGEO je namijenjen za intravensku upotrebu. Treba ga primjenjivati samo intravenskom infuzijom, tokom najmanje 60 minuta. Pogledajte preporuke iznad u slučaju reakcija povezanih sa infuzijom.</w:t>
      </w:r>
    </w:p>
    <w:p w14:paraId="0A1D17D9" w14:textId="77777777" w:rsidR="00467DA3" w:rsidRPr="00F16B0C" w:rsidRDefault="00467DA3" w:rsidP="00F16B0C">
      <w:pPr>
        <w:widowControl w:val="0"/>
        <w:tabs>
          <w:tab w:val="left" w:pos="540"/>
          <w:tab w:val="left" w:pos="569"/>
        </w:tabs>
        <w:jc w:val="both"/>
        <w:rPr>
          <w:bCs/>
          <w:sz w:val="22"/>
          <w:szCs w:val="22"/>
          <w:lang w:val="sr-Latn-ME"/>
        </w:rPr>
      </w:pPr>
    </w:p>
    <w:p w14:paraId="1928A25F" w14:textId="77777777" w:rsidR="00467DA3" w:rsidRPr="00F16B0C" w:rsidRDefault="00467DA3" w:rsidP="00F16B0C">
      <w:pPr>
        <w:widowControl w:val="0"/>
        <w:tabs>
          <w:tab w:val="left" w:pos="540"/>
          <w:tab w:val="left" w:pos="569"/>
        </w:tabs>
        <w:jc w:val="both"/>
        <w:rPr>
          <w:bCs/>
          <w:sz w:val="22"/>
          <w:szCs w:val="22"/>
          <w:lang w:val="sr-Latn-ME"/>
        </w:rPr>
      </w:pPr>
      <w:r w:rsidRPr="00F16B0C">
        <w:rPr>
          <w:bCs/>
          <w:sz w:val="22"/>
          <w:szCs w:val="22"/>
          <w:lang w:val="sr-Latn-ME"/>
        </w:rPr>
        <w:t>Za uputstva o razblaživanju lijeka prije primjene, vidjeti dio 6.6.</w:t>
      </w:r>
    </w:p>
    <w:p w14:paraId="46E9D560" w14:textId="77777777" w:rsidR="00452E9D" w:rsidRPr="00F16B0C" w:rsidRDefault="00452E9D" w:rsidP="00F16B0C">
      <w:pPr>
        <w:widowControl w:val="0"/>
        <w:tabs>
          <w:tab w:val="left" w:pos="540"/>
          <w:tab w:val="left" w:pos="569"/>
        </w:tabs>
        <w:jc w:val="both"/>
        <w:rPr>
          <w:bCs/>
          <w:sz w:val="22"/>
          <w:szCs w:val="22"/>
          <w:lang w:val="sr-Latn-ME"/>
        </w:rPr>
      </w:pPr>
    </w:p>
    <w:p w14:paraId="13ABACED" w14:textId="77777777" w:rsidR="00411B4B" w:rsidRPr="00F16B0C" w:rsidRDefault="00411B4B" w:rsidP="00F16B0C">
      <w:pPr>
        <w:widowControl w:val="0"/>
        <w:tabs>
          <w:tab w:val="left" w:pos="540"/>
          <w:tab w:val="left" w:pos="569"/>
        </w:tabs>
        <w:jc w:val="both"/>
        <w:rPr>
          <w:b/>
          <w:bCs/>
          <w:sz w:val="22"/>
          <w:szCs w:val="22"/>
          <w:lang w:val="sr-Latn-ME"/>
        </w:rPr>
      </w:pPr>
      <w:r w:rsidRPr="00F16B0C">
        <w:rPr>
          <w:b/>
          <w:bCs/>
          <w:sz w:val="22"/>
          <w:szCs w:val="22"/>
          <w:lang w:val="sr-Latn-ME"/>
        </w:rPr>
        <w:t xml:space="preserve">4.3. </w:t>
      </w:r>
      <w:r w:rsidR="00480FB1" w:rsidRPr="00F16B0C">
        <w:rPr>
          <w:b/>
          <w:bCs/>
          <w:sz w:val="22"/>
          <w:szCs w:val="22"/>
          <w:lang w:val="sr-Latn-ME"/>
        </w:rPr>
        <w:tab/>
      </w:r>
      <w:r w:rsidRPr="00F16B0C">
        <w:rPr>
          <w:b/>
          <w:bCs/>
          <w:sz w:val="22"/>
          <w:szCs w:val="22"/>
          <w:lang w:val="sr-Latn-ME"/>
        </w:rPr>
        <w:t>Kontraindikacije</w:t>
      </w:r>
    </w:p>
    <w:p w14:paraId="3C15CCE6" w14:textId="77777777" w:rsidR="00467DA3" w:rsidRPr="00F16B0C" w:rsidRDefault="00467DA3" w:rsidP="00F16B0C">
      <w:pPr>
        <w:widowControl w:val="0"/>
        <w:tabs>
          <w:tab w:val="left" w:pos="540"/>
          <w:tab w:val="left" w:pos="569"/>
        </w:tabs>
        <w:jc w:val="both"/>
        <w:rPr>
          <w:b/>
          <w:bCs/>
          <w:sz w:val="22"/>
          <w:szCs w:val="22"/>
          <w:lang w:val="sr-Latn-ME"/>
        </w:rPr>
      </w:pPr>
    </w:p>
    <w:p w14:paraId="2B62745D" w14:textId="77777777" w:rsidR="00467DA3" w:rsidRPr="00F16B0C" w:rsidRDefault="00467DA3" w:rsidP="00F16B0C">
      <w:pPr>
        <w:widowControl w:val="0"/>
        <w:tabs>
          <w:tab w:val="left" w:pos="540"/>
          <w:tab w:val="left" w:pos="567"/>
        </w:tabs>
        <w:jc w:val="both"/>
        <w:rPr>
          <w:bCs/>
          <w:sz w:val="22"/>
          <w:szCs w:val="22"/>
          <w:lang w:val="sr-Latn-ME"/>
        </w:rPr>
      </w:pPr>
      <w:r w:rsidRPr="00F16B0C">
        <w:rPr>
          <w:bCs/>
          <w:sz w:val="22"/>
          <w:szCs w:val="22"/>
          <w:lang w:val="sr-Latn-ME"/>
        </w:rPr>
        <w:t xml:space="preserve">Preosjetljivost na aktivnu supstancu ili bilo koju pomoćnu supstancu navedenu u dijelu 6.1. </w:t>
      </w:r>
    </w:p>
    <w:p w14:paraId="7B16E155" w14:textId="77777777" w:rsidR="0072020E" w:rsidRPr="00F16B0C" w:rsidRDefault="0072020E" w:rsidP="00F16B0C">
      <w:pPr>
        <w:widowControl w:val="0"/>
        <w:tabs>
          <w:tab w:val="left" w:pos="540"/>
          <w:tab w:val="left" w:pos="569"/>
        </w:tabs>
        <w:jc w:val="both"/>
        <w:rPr>
          <w:bCs/>
          <w:sz w:val="22"/>
          <w:szCs w:val="22"/>
          <w:lang w:val="sr-Latn-ME"/>
        </w:rPr>
      </w:pPr>
    </w:p>
    <w:p w14:paraId="37CF7A02" w14:textId="77777777" w:rsidR="00411B4B" w:rsidRPr="00F16B0C" w:rsidRDefault="00411B4B" w:rsidP="00F16B0C">
      <w:pPr>
        <w:widowControl w:val="0"/>
        <w:tabs>
          <w:tab w:val="left" w:pos="540"/>
          <w:tab w:val="left" w:pos="569"/>
        </w:tabs>
        <w:jc w:val="both"/>
        <w:rPr>
          <w:b/>
          <w:bCs/>
          <w:sz w:val="22"/>
          <w:szCs w:val="22"/>
          <w:lang w:val="sr-Latn-ME"/>
        </w:rPr>
      </w:pPr>
      <w:r w:rsidRPr="00F16B0C">
        <w:rPr>
          <w:b/>
          <w:bCs/>
          <w:sz w:val="22"/>
          <w:szCs w:val="22"/>
          <w:lang w:val="sr-Latn-ME"/>
        </w:rPr>
        <w:t xml:space="preserve">4.4. </w:t>
      </w:r>
      <w:r w:rsidR="00480FB1" w:rsidRPr="00F16B0C">
        <w:rPr>
          <w:b/>
          <w:bCs/>
          <w:sz w:val="22"/>
          <w:szCs w:val="22"/>
          <w:lang w:val="sr-Latn-ME"/>
        </w:rPr>
        <w:tab/>
      </w:r>
      <w:r w:rsidRPr="00F16B0C">
        <w:rPr>
          <w:b/>
          <w:bCs/>
          <w:sz w:val="22"/>
          <w:szCs w:val="22"/>
          <w:lang w:val="sr-Latn-ME"/>
        </w:rPr>
        <w:t>Posebna upozorenja i mjere opreza pri upotrebi lijeka</w:t>
      </w:r>
    </w:p>
    <w:p w14:paraId="2D886995" w14:textId="77777777" w:rsidR="006F5A13" w:rsidRPr="00F16B0C" w:rsidRDefault="006F5A13" w:rsidP="00F16B0C">
      <w:pPr>
        <w:widowControl w:val="0"/>
        <w:tabs>
          <w:tab w:val="left" w:pos="540"/>
          <w:tab w:val="left" w:pos="567"/>
        </w:tabs>
        <w:jc w:val="both"/>
        <w:rPr>
          <w:b/>
          <w:bCs/>
          <w:sz w:val="22"/>
          <w:szCs w:val="22"/>
          <w:lang w:val="sr-Latn-ME"/>
        </w:rPr>
      </w:pPr>
    </w:p>
    <w:p w14:paraId="65473E36" w14:textId="77777777" w:rsidR="006F5A13" w:rsidRPr="00F16B0C" w:rsidRDefault="006F5A13" w:rsidP="00F16B0C">
      <w:pPr>
        <w:widowControl w:val="0"/>
        <w:tabs>
          <w:tab w:val="left" w:pos="540"/>
          <w:tab w:val="left" w:pos="567"/>
        </w:tabs>
        <w:jc w:val="both"/>
        <w:rPr>
          <w:bCs/>
          <w:sz w:val="22"/>
          <w:szCs w:val="22"/>
          <w:u w:val="single"/>
          <w:lang w:val="sr-Latn-ME"/>
        </w:rPr>
      </w:pPr>
      <w:r w:rsidRPr="00F16B0C">
        <w:rPr>
          <w:bCs/>
          <w:sz w:val="22"/>
          <w:szCs w:val="22"/>
          <w:u w:val="single"/>
          <w:lang w:val="sr-Latn-ME"/>
        </w:rPr>
        <w:t>Sljedljivost</w:t>
      </w:r>
    </w:p>
    <w:p w14:paraId="792A8996" w14:textId="77777777" w:rsidR="006F5A13" w:rsidRPr="00F16B0C" w:rsidRDefault="006F5A13" w:rsidP="00F16B0C">
      <w:pPr>
        <w:widowControl w:val="0"/>
        <w:tabs>
          <w:tab w:val="left" w:pos="540"/>
          <w:tab w:val="left" w:pos="567"/>
        </w:tabs>
        <w:jc w:val="both"/>
        <w:rPr>
          <w:bCs/>
          <w:sz w:val="22"/>
          <w:szCs w:val="22"/>
          <w:lang w:val="sr-Latn-ME"/>
        </w:rPr>
      </w:pPr>
      <w:r w:rsidRPr="00F16B0C">
        <w:rPr>
          <w:bCs/>
          <w:sz w:val="22"/>
          <w:szCs w:val="22"/>
          <w:lang w:val="sr-Latn-ME"/>
        </w:rPr>
        <w:t>Da bi se poboljšala sl</w:t>
      </w:r>
      <w:r w:rsidR="00C70E57" w:rsidRPr="00F16B0C">
        <w:rPr>
          <w:bCs/>
          <w:sz w:val="22"/>
          <w:szCs w:val="22"/>
          <w:lang w:val="sr-Latn-ME"/>
        </w:rPr>
        <w:t>j</w:t>
      </w:r>
      <w:r w:rsidRPr="00F16B0C">
        <w:rPr>
          <w:bCs/>
          <w:sz w:val="22"/>
          <w:szCs w:val="22"/>
          <w:lang w:val="sr-Latn-ME"/>
        </w:rPr>
        <w:t>edljivost bioloških ljekova, naziv i broj serije primijenjenog proizvoda treba jasno zabilježiti.</w:t>
      </w:r>
    </w:p>
    <w:p w14:paraId="6FED35E0" w14:textId="77777777" w:rsidR="006F5A13" w:rsidRPr="00F16B0C" w:rsidRDefault="006F5A13" w:rsidP="00F16B0C">
      <w:pPr>
        <w:widowControl w:val="0"/>
        <w:tabs>
          <w:tab w:val="left" w:pos="540"/>
          <w:tab w:val="left" w:pos="567"/>
        </w:tabs>
        <w:jc w:val="both"/>
        <w:rPr>
          <w:bCs/>
          <w:sz w:val="22"/>
          <w:szCs w:val="22"/>
          <w:lang w:val="sr-Latn-ME"/>
        </w:rPr>
      </w:pPr>
    </w:p>
    <w:p w14:paraId="7A38D246" w14:textId="77777777" w:rsidR="006F5A13" w:rsidRPr="00F16B0C" w:rsidRDefault="006F5A13" w:rsidP="00F16B0C">
      <w:pPr>
        <w:widowControl w:val="0"/>
        <w:tabs>
          <w:tab w:val="left" w:pos="540"/>
          <w:tab w:val="left" w:pos="567"/>
        </w:tabs>
        <w:jc w:val="both"/>
        <w:rPr>
          <w:bCs/>
          <w:sz w:val="22"/>
          <w:szCs w:val="22"/>
          <w:u w:val="single"/>
          <w:lang w:val="sr-Latn-ME"/>
        </w:rPr>
      </w:pPr>
      <w:r w:rsidRPr="00F16B0C">
        <w:rPr>
          <w:bCs/>
          <w:sz w:val="22"/>
          <w:szCs w:val="22"/>
          <w:u w:val="single"/>
          <w:lang w:val="sr-Latn-ME"/>
        </w:rPr>
        <w:t>Dermatološke reakcije</w:t>
      </w:r>
    </w:p>
    <w:p w14:paraId="70E7CA07" w14:textId="77777777" w:rsidR="006F5A13" w:rsidRPr="00F16B0C" w:rsidRDefault="006F5A13" w:rsidP="00F16B0C">
      <w:pPr>
        <w:widowControl w:val="0"/>
        <w:tabs>
          <w:tab w:val="left" w:pos="540"/>
          <w:tab w:val="left" w:pos="567"/>
        </w:tabs>
        <w:jc w:val="both"/>
        <w:rPr>
          <w:bCs/>
          <w:sz w:val="22"/>
          <w:szCs w:val="22"/>
          <w:lang w:val="sr-Latn-ME"/>
        </w:rPr>
      </w:pPr>
      <w:r w:rsidRPr="00F16B0C">
        <w:rPr>
          <w:bCs/>
          <w:sz w:val="22"/>
          <w:szCs w:val="22"/>
          <w:lang w:val="sr-Latn-ME"/>
        </w:rPr>
        <w:t>Pacijenti koji primaju mogamulizumab dobili su osip uzrokovan lijekom (izbijanje kožnih promjena uzrokovanih lijekom) koji je u nekim slučajevima bio težak i/ili ozbiljan.</w:t>
      </w:r>
    </w:p>
    <w:p w14:paraId="073E5F77" w14:textId="77777777" w:rsidR="006F5A13" w:rsidRPr="00F16B0C" w:rsidRDefault="006F5A13" w:rsidP="00F16B0C">
      <w:pPr>
        <w:widowControl w:val="0"/>
        <w:tabs>
          <w:tab w:val="left" w:pos="540"/>
          <w:tab w:val="left" w:pos="567"/>
        </w:tabs>
        <w:jc w:val="both"/>
        <w:rPr>
          <w:bCs/>
          <w:sz w:val="22"/>
          <w:szCs w:val="22"/>
          <w:lang w:val="sr-Latn-ME"/>
        </w:rPr>
      </w:pPr>
    </w:p>
    <w:p w14:paraId="7EE10183" w14:textId="77777777" w:rsidR="006F5A13" w:rsidRPr="00F16B0C" w:rsidRDefault="006F5A13" w:rsidP="00F16B0C">
      <w:pPr>
        <w:widowControl w:val="0"/>
        <w:tabs>
          <w:tab w:val="left" w:pos="540"/>
          <w:tab w:val="left" w:pos="567"/>
        </w:tabs>
        <w:jc w:val="both"/>
        <w:rPr>
          <w:bCs/>
          <w:iCs/>
          <w:sz w:val="22"/>
          <w:szCs w:val="22"/>
          <w:lang w:val="sr-Latn-ME"/>
        </w:rPr>
      </w:pPr>
      <w:r w:rsidRPr="00F16B0C">
        <w:rPr>
          <w:bCs/>
          <w:sz w:val="22"/>
          <w:szCs w:val="22"/>
          <w:lang w:val="sr-Latn-ME"/>
        </w:rPr>
        <w:t>Kada je mogamulizumab primijenjen kod pacijenata sa limfomima T-ćelija koji nijesu MF ili SS, ozbiljne reakcije kože, uključujući Stivens-Džonsonov sindrom (SJS) i toksičnu epidermalnu nekrolizu (TEN), zabilježene su kod manje od 1% pacijenata tokom kliničkih ispitivanja i takođe su zab</w:t>
      </w:r>
      <w:r w:rsidR="007F0FF3" w:rsidRPr="00F16B0C">
        <w:rPr>
          <w:bCs/>
          <w:sz w:val="22"/>
          <w:szCs w:val="22"/>
          <w:lang w:val="sr-Latn-ME"/>
        </w:rPr>
        <w:t>i</w:t>
      </w:r>
      <w:r w:rsidRPr="00F16B0C">
        <w:rPr>
          <w:bCs/>
          <w:sz w:val="22"/>
          <w:szCs w:val="22"/>
          <w:lang w:val="sr-Latn-ME"/>
        </w:rPr>
        <w:t>l</w:t>
      </w:r>
      <w:r w:rsidR="007F0FF3" w:rsidRPr="00F16B0C">
        <w:rPr>
          <w:bCs/>
          <w:sz w:val="22"/>
          <w:szCs w:val="22"/>
          <w:lang w:val="sr-Latn-ME"/>
        </w:rPr>
        <w:t>j</w:t>
      </w:r>
      <w:r w:rsidRPr="00F16B0C">
        <w:rPr>
          <w:bCs/>
          <w:sz w:val="22"/>
          <w:szCs w:val="22"/>
          <w:lang w:val="sr-Latn-ME"/>
        </w:rPr>
        <w:t xml:space="preserve">ežene nakon stavljanja lijeka u promet; u nekim slučajevima zabilježeni su smrtni ishodi. Pacijente treba </w:t>
      </w:r>
      <w:r w:rsidRPr="00F16B0C">
        <w:rPr>
          <w:bCs/>
          <w:iCs/>
          <w:sz w:val="22"/>
          <w:szCs w:val="22"/>
          <w:lang w:val="sr-Latn-ME"/>
        </w:rPr>
        <w:t>pažljivo pratiti zbog simptoma ili znaka koji ukazuju na SJS ili TEN. Ako se pojave, potrebno je prekinuti primenu lijeka POTELIGEO i l</w:t>
      </w:r>
      <w:r w:rsidR="007F0FF3" w:rsidRPr="00F16B0C">
        <w:rPr>
          <w:bCs/>
          <w:iCs/>
          <w:sz w:val="22"/>
          <w:szCs w:val="22"/>
          <w:lang w:val="sr-Latn-ME"/>
        </w:rPr>
        <w:t>i</w:t>
      </w:r>
      <w:r w:rsidRPr="00F16B0C">
        <w:rPr>
          <w:bCs/>
          <w:iCs/>
          <w:sz w:val="22"/>
          <w:szCs w:val="22"/>
          <w:lang w:val="sr-Latn-ME"/>
        </w:rPr>
        <w:t xml:space="preserve">ječenje ne treba ponovno započinjati dok se SJS ili TEN ne isključe, a kožne reakcije ne povuku do 1. gradusa ili manje. Ako se pojavi SJS/TEN, potrebno je </w:t>
      </w:r>
      <w:r w:rsidRPr="00F16B0C">
        <w:rPr>
          <w:bCs/>
          <w:iCs/>
          <w:sz w:val="22"/>
          <w:szCs w:val="22"/>
          <w:lang w:val="sr-Latn-ME"/>
        </w:rPr>
        <w:lastRenderedPageBreak/>
        <w:t>prim</w:t>
      </w:r>
      <w:r w:rsidR="00C70E57" w:rsidRPr="00F16B0C">
        <w:rPr>
          <w:bCs/>
          <w:iCs/>
          <w:sz w:val="22"/>
          <w:szCs w:val="22"/>
          <w:lang w:val="sr-Latn-ME"/>
        </w:rPr>
        <w:t>ij</w:t>
      </w:r>
      <w:r w:rsidRPr="00F16B0C">
        <w:rPr>
          <w:bCs/>
          <w:iCs/>
          <w:sz w:val="22"/>
          <w:szCs w:val="22"/>
          <w:lang w:val="sr-Latn-ME"/>
        </w:rPr>
        <w:t>eniti prikladnu terapiju ljekovima. Pogledajte dio 4.2 za informacije o modifikaciji doze.</w:t>
      </w:r>
    </w:p>
    <w:p w14:paraId="19040204" w14:textId="77777777" w:rsidR="006F5A13" w:rsidRPr="00F16B0C" w:rsidRDefault="006F5A13" w:rsidP="00F16B0C">
      <w:pPr>
        <w:widowControl w:val="0"/>
        <w:tabs>
          <w:tab w:val="left" w:pos="540"/>
          <w:tab w:val="left" w:pos="567"/>
        </w:tabs>
        <w:jc w:val="both"/>
        <w:rPr>
          <w:bCs/>
          <w:sz w:val="22"/>
          <w:szCs w:val="22"/>
          <w:lang w:val="sr-Latn-ME"/>
        </w:rPr>
      </w:pPr>
    </w:p>
    <w:p w14:paraId="49CE1E02" w14:textId="77777777" w:rsidR="006F5A13" w:rsidRPr="00F16B0C" w:rsidRDefault="006F5A13" w:rsidP="00F16B0C">
      <w:pPr>
        <w:widowControl w:val="0"/>
        <w:tabs>
          <w:tab w:val="left" w:pos="540"/>
          <w:tab w:val="left" w:pos="567"/>
        </w:tabs>
        <w:jc w:val="both"/>
        <w:rPr>
          <w:bCs/>
          <w:sz w:val="22"/>
          <w:szCs w:val="22"/>
          <w:lang w:val="sr-Latn-ME"/>
        </w:rPr>
      </w:pPr>
      <w:r w:rsidRPr="00F16B0C">
        <w:rPr>
          <w:bCs/>
          <w:sz w:val="22"/>
          <w:szCs w:val="22"/>
          <w:u w:val="single"/>
          <w:lang w:val="sr-Latn-ME"/>
        </w:rPr>
        <w:t>Reakcije povezane sa infuzijom</w:t>
      </w:r>
    </w:p>
    <w:p w14:paraId="0362024E" w14:textId="77777777" w:rsidR="006F5A13" w:rsidRPr="00F16B0C" w:rsidRDefault="006F5A13" w:rsidP="00F16B0C">
      <w:pPr>
        <w:widowControl w:val="0"/>
        <w:tabs>
          <w:tab w:val="left" w:pos="540"/>
          <w:tab w:val="left" w:pos="567"/>
        </w:tabs>
        <w:jc w:val="both"/>
        <w:rPr>
          <w:bCs/>
          <w:sz w:val="22"/>
          <w:szCs w:val="22"/>
          <w:lang w:val="sr-Latn-ME"/>
        </w:rPr>
      </w:pPr>
      <w:r w:rsidRPr="00F16B0C">
        <w:rPr>
          <w:bCs/>
          <w:sz w:val="22"/>
          <w:szCs w:val="22"/>
          <w:lang w:val="sr-Latn-ME"/>
        </w:rPr>
        <w:t>Kod pacijenata l</w:t>
      </w:r>
      <w:r w:rsidR="007F0FF3" w:rsidRPr="00F16B0C">
        <w:rPr>
          <w:bCs/>
          <w:sz w:val="22"/>
          <w:szCs w:val="22"/>
          <w:lang w:val="sr-Latn-ME"/>
        </w:rPr>
        <w:t>i</w:t>
      </w:r>
      <w:r w:rsidRPr="00F16B0C">
        <w:rPr>
          <w:bCs/>
          <w:sz w:val="22"/>
          <w:szCs w:val="22"/>
          <w:lang w:val="sr-Latn-ME"/>
        </w:rPr>
        <w:t>ječenih mogamulizumabom zabilježene su akutne reakcije povezane sa infuzijom (IRR). Reakcije povezane sa infuzijom su bile blage ili umjerene, iako je zabilježeno nekoliko teških reakcija (3. gradusa). Većina reakcija povezanih sa infuzijom javlja se tokom ili ubrzo nakon prve infuzije (sve u roku od 24 časa od primjene), a incidenca se smanjuje u narednim primjenama.</w:t>
      </w:r>
    </w:p>
    <w:p w14:paraId="61FF1A10" w14:textId="77777777" w:rsidR="006F5A13" w:rsidRPr="00F16B0C" w:rsidRDefault="006F5A13" w:rsidP="00F16B0C">
      <w:pPr>
        <w:widowControl w:val="0"/>
        <w:tabs>
          <w:tab w:val="left" w:pos="540"/>
          <w:tab w:val="left" w:pos="567"/>
        </w:tabs>
        <w:jc w:val="both"/>
        <w:rPr>
          <w:bCs/>
          <w:sz w:val="22"/>
          <w:szCs w:val="22"/>
          <w:lang w:val="sr-Latn-ME"/>
        </w:rPr>
      </w:pPr>
    </w:p>
    <w:p w14:paraId="1297CCB4" w14:textId="77777777" w:rsidR="006F5A13" w:rsidRPr="00F16B0C" w:rsidRDefault="006F5A13" w:rsidP="00F16B0C">
      <w:pPr>
        <w:widowControl w:val="0"/>
        <w:tabs>
          <w:tab w:val="left" w:pos="540"/>
          <w:tab w:val="left" w:pos="567"/>
        </w:tabs>
        <w:jc w:val="both"/>
        <w:rPr>
          <w:bCs/>
          <w:sz w:val="22"/>
          <w:szCs w:val="22"/>
          <w:lang w:val="sr-Latn-ME"/>
        </w:rPr>
      </w:pPr>
      <w:r w:rsidRPr="00F16B0C">
        <w:rPr>
          <w:bCs/>
          <w:sz w:val="22"/>
          <w:szCs w:val="22"/>
          <w:lang w:val="sr-Latn-ME"/>
        </w:rPr>
        <w:t>Pacijente treba pažljivo pratiti tokom i nakon infuzije. Ukoliko se javi anafilaktička reakcija, primjenu mogamulizumaba treba odmah i trajno prekinuti i primjeniti odgovarajuću terapiju ljekovima.</w:t>
      </w:r>
    </w:p>
    <w:p w14:paraId="6494D6A7" w14:textId="77777777" w:rsidR="006F5A13" w:rsidRPr="00F16B0C" w:rsidRDefault="006F5A13" w:rsidP="00F16B0C">
      <w:pPr>
        <w:widowControl w:val="0"/>
        <w:tabs>
          <w:tab w:val="left" w:pos="540"/>
          <w:tab w:val="left" w:pos="567"/>
        </w:tabs>
        <w:jc w:val="both"/>
        <w:rPr>
          <w:bCs/>
          <w:sz w:val="22"/>
          <w:szCs w:val="22"/>
          <w:lang w:val="sr-Latn-ME"/>
        </w:rPr>
      </w:pPr>
    </w:p>
    <w:p w14:paraId="3CFBA686" w14:textId="77777777" w:rsidR="006F5A13" w:rsidRPr="00F16B0C" w:rsidRDefault="006F5A13" w:rsidP="00F16B0C">
      <w:pPr>
        <w:widowControl w:val="0"/>
        <w:tabs>
          <w:tab w:val="left" w:pos="540"/>
          <w:tab w:val="left" w:pos="567"/>
        </w:tabs>
        <w:jc w:val="both"/>
        <w:rPr>
          <w:bCs/>
          <w:sz w:val="22"/>
          <w:szCs w:val="22"/>
          <w:lang w:val="sr-Latn-ME"/>
        </w:rPr>
      </w:pPr>
      <w:r w:rsidRPr="00F16B0C">
        <w:rPr>
          <w:bCs/>
          <w:sz w:val="22"/>
          <w:szCs w:val="22"/>
          <w:lang w:val="sr-Latn-ME"/>
        </w:rPr>
        <w:t>Ukoliko se javi reakcija povezana sa infuzijom, infuziju treba prekinuti i treba uvesti odgovarajuće terapijsko zbrinjavanje. Infuzija se može ponovo započeti sporijom brzinom nakon povlačenja simptoma. Pogledajte dio 4.2 za informacije o premedikaciji i modifikaciji doze.</w:t>
      </w:r>
    </w:p>
    <w:p w14:paraId="1D304510" w14:textId="77777777" w:rsidR="006F5A13" w:rsidRPr="00F16B0C" w:rsidRDefault="006F5A13" w:rsidP="00F16B0C">
      <w:pPr>
        <w:widowControl w:val="0"/>
        <w:tabs>
          <w:tab w:val="left" w:pos="540"/>
          <w:tab w:val="left" w:pos="567"/>
        </w:tabs>
        <w:jc w:val="both"/>
        <w:rPr>
          <w:bCs/>
          <w:sz w:val="22"/>
          <w:szCs w:val="22"/>
          <w:lang w:val="sr-Latn-ME"/>
        </w:rPr>
      </w:pPr>
    </w:p>
    <w:p w14:paraId="5FD63D3E" w14:textId="77777777" w:rsidR="006F5A13" w:rsidRPr="00F16B0C" w:rsidRDefault="006F5A13" w:rsidP="00F16B0C">
      <w:pPr>
        <w:widowControl w:val="0"/>
        <w:tabs>
          <w:tab w:val="left" w:pos="540"/>
          <w:tab w:val="left" w:pos="567"/>
        </w:tabs>
        <w:jc w:val="both"/>
        <w:rPr>
          <w:bCs/>
          <w:sz w:val="22"/>
          <w:szCs w:val="22"/>
          <w:lang w:val="sr-Latn-ME"/>
        </w:rPr>
      </w:pPr>
      <w:r w:rsidRPr="00F16B0C">
        <w:rPr>
          <w:bCs/>
          <w:sz w:val="22"/>
          <w:szCs w:val="22"/>
          <w:u w:val="single"/>
          <w:lang w:val="sr-Latn-ME"/>
        </w:rPr>
        <w:t>Infekcije</w:t>
      </w:r>
    </w:p>
    <w:p w14:paraId="38F869D6" w14:textId="77777777" w:rsidR="006F5A13" w:rsidRPr="00F16B0C" w:rsidRDefault="006F5A13" w:rsidP="00F16B0C">
      <w:pPr>
        <w:widowControl w:val="0"/>
        <w:tabs>
          <w:tab w:val="left" w:pos="540"/>
          <w:tab w:val="left" w:pos="567"/>
        </w:tabs>
        <w:jc w:val="both"/>
        <w:rPr>
          <w:bCs/>
          <w:sz w:val="22"/>
          <w:szCs w:val="22"/>
          <w:lang w:val="sr-Latn-ME"/>
        </w:rPr>
      </w:pPr>
      <w:r w:rsidRPr="00F16B0C">
        <w:rPr>
          <w:bCs/>
          <w:sz w:val="22"/>
          <w:szCs w:val="22"/>
          <w:lang w:val="sr-Latn-ME"/>
        </w:rPr>
        <w:t>Ispitanici koji imaju MF ili SS l</w:t>
      </w:r>
      <w:r w:rsidR="007F0FF3" w:rsidRPr="00F16B0C">
        <w:rPr>
          <w:bCs/>
          <w:sz w:val="22"/>
          <w:szCs w:val="22"/>
          <w:lang w:val="sr-Latn-ME"/>
        </w:rPr>
        <w:t>i</w:t>
      </w:r>
      <w:r w:rsidRPr="00F16B0C">
        <w:rPr>
          <w:bCs/>
          <w:sz w:val="22"/>
          <w:szCs w:val="22"/>
          <w:lang w:val="sr-Latn-ME"/>
        </w:rPr>
        <w:t>ječeni mogamulizumabom imaju povećani rizik od ozbiljnih infekcija i/ili reaktivacije virusa. Kombinacija mogamulizumaba sa ljekovima za sistemsko imunsko modelovanje ili sa drugim odobrenim terapijama za MF ili SS nije ispitivana i stoga se ne preporučuje, naročito s obzirom na rizik od teških infekcija kod pacijenata l</w:t>
      </w:r>
      <w:r w:rsidR="007F0FF3" w:rsidRPr="00F16B0C">
        <w:rPr>
          <w:bCs/>
          <w:sz w:val="22"/>
          <w:szCs w:val="22"/>
          <w:lang w:val="sr-Latn-ME"/>
        </w:rPr>
        <w:t>i</w:t>
      </w:r>
      <w:r w:rsidRPr="00F16B0C">
        <w:rPr>
          <w:bCs/>
          <w:sz w:val="22"/>
          <w:szCs w:val="22"/>
          <w:lang w:val="sr-Latn-ME"/>
        </w:rPr>
        <w:t>ječenih mogamulizumabom. Topikalni steroidi ili niske doze sistemskih kortikosteroida mogu se koristiti tokom l</w:t>
      </w:r>
      <w:r w:rsidR="007F0FF3" w:rsidRPr="00F16B0C">
        <w:rPr>
          <w:bCs/>
          <w:sz w:val="22"/>
          <w:szCs w:val="22"/>
          <w:lang w:val="sr-Latn-ME"/>
        </w:rPr>
        <w:t>i</w:t>
      </w:r>
      <w:r w:rsidRPr="00F16B0C">
        <w:rPr>
          <w:bCs/>
          <w:sz w:val="22"/>
          <w:szCs w:val="22"/>
          <w:lang w:val="sr-Latn-ME"/>
        </w:rPr>
        <w:t>ječenja mogamulizumabom; ipak, rizik od ozbiljnih infekcija i/ili reaktivacije virusa može biti viši u slučaju istovremene primjene sistemskih imunosupresivnih ljekova. Stanje pacijenata treba pratiti zbog moguće pojave znaka i simptoma infekcije i odmah ih l</w:t>
      </w:r>
      <w:r w:rsidR="007F0FF3" w:rsidRPr="00F16B0C">
        <w:rPr>
          <w:bCs/>
          <w:sz w:val="22"/>
          <w:szCs w:val="22"/>
          <w:lang w:val="sr-Latn-ME"/>
        </w:rPr>
        <w:t>i</w:t>
      </w:r>
      <w:r w:rsidRPr="00F16B0C">
        <w:rPr>
          <w:bCs/>
          <w:sz w:val="22"/>
          <w:szCs w:val="22"/>
          <w:lang w:val="sr-Latn-ME"/>
        </w:rPr>
        <w:t>ječiti.</w:t>
      </w:r>
    </w:p>
    <w:p w14:paraId="2D010951" w14:textId="77777777" w:rsidR="006F5A13" w:rsidRPr="00F16B0C" w:rsidRDefault="006F5A13" w:rsidP="00F16B0C">
      <w:pPr>
        <w:widowControl w:val="0"/>
        <w:tabs>
          <w:tab w:val="left" w:pos="540"/>
          <w:tab w:val="left" w:pos="567"/>
        </w:tabs>
        <w:jc w:val="both"/>
        <w:rPr>
          <w:bCs/>
          <w:sz w:val="22"/>
          <w:szCs w:val="22"/>
          <w:lang w:val="sr-Latn-ME"/>
        </w:rPr>
      </w:pPr>
    </w:p>
    <w:p w14:paraId="1BCF2259" w14:textId="77777777" w:rsidR="006F5A13" w:rsidRPr="00F16B0C" w:rsidRDefault="006F5A13" w:rsidP="00F16B0C">
      <w:pPr>
        <w:widowControl w:val="0"/>
        <w:tabs>
          <w:tab w:val="left" w:pos="540"/>
          <w:tab w:val="left" w:pos="567"/>
        </w:tabs>
        <w:jc w:val="both"/>
        <w:rPr>
          <w:bCs/>
          <w:sz w:val="22"/>
          <w:szCs w:val="22"/>
          <w:lang w:val="sr-Latn-ME"/>
        </w:rPr>
      </w:pPr>
      <w:r w:rsidRPr="00F16B0C">
        <w:rPr>
          <w:bCs/>
          <w:sz w:val="22"/>
          <w:szCs w:val="22"/>
          <w:lang w:val="sr-Latn-ME"/>
        </w:rPr>
        <w:t>Pacijente treba testirati na infekciju hepatitisom B prije uvođenja terapije mogamulizumabom. Za pacijente koji su bili pozitivni na trenutnu/prethodnu infekciju hepatitisom B, preporučuje se konsultacija sa ljekarom sa stručnim znanjem o l</w:t>
      </w:r>
      <w:r w:rsidR="007F0FF3" w:rsidRPr="00F16B0C">
        <w:rPr>
          <w:bCs/>
          <w:sz w:val="22"/>
          <w:szCs w:val="22"/>
          <w:lang w:val="sr-Latn-ME"/>
        </w:rPr>
        <w:t>i</w:t>
      </w:r>
      <w:r w:rsidRPr="00F16B0C">
        <w:rPr>
          <w:bCs/>
          <w:sz w:val="22"/>
          <w:szCs w:val="22"/>
          <w:lang w:val="sr-Latn-ME"/>
        </w:rPr>
        <w:t>ječenju hepatitisa B radi savjeta o odgovarajućim mjerama protiv reaktivacije hepatitisa B.</w:t>
      </w:r>
    </w:p>
    <w:p w14:paraId="74657377" w14:textId="77777777" w:rsidR="006F5A13" w:rsidRPr="00F16B0C" w:rsidRDefault="006F5A13" w:rsidP="00F16B0C">
      <w:pPr>
        <w:widowControl w:val="0"/>
        <w:tabs>
          <w:tab w:val="left" w:pos="540"/>
          <w:tab w:val="left" w:pos="567"/>
        </w:tabs>
        <w:jc w:val="both"/>
        <w:rPr>
          <w:bCs/>
          <w:sz w:val="22"/>
          <w:szCs w:val="22"/>
          <w:lang w:val="sr-Latn-ME"/>
        </w:rPr>
      </w:pPr>
    </w:p>
    <w:p w14:paraId="730B92D7" w14:textId="77777777" w:rsidR="006F5A13" w:rsidRPr="00F16B0C" w:rsidRDefault="006F5A13" w:rsidP="00F16B0C">
      <w:pPr>
        <w:widowControl w:val="0"/>
        <w:tabs>
          <w:tab w:val="left" w:pos="540"/>
          <w:tab w:val="left" w:pos="567"/>
        </w:tabs>
        <w:jc w:val="both"/>
        <w:rPr>
          <w:bCs/>
          <w:sz w:val="22"/>
          <w:szCs w:val="22"/>
          <w:lang w:val="sr-Latn-ME"/>
        </w:rPr>
      </w:pPr>
      <w:r w:rsidRPr="00F16B0C">
        <w:rPr>
          <w:bCs/>
          <w:sz w:val="22"/>
          <w:szCs w:val="22"/>
          <w:u w:val="single"/>
          <w:lang w:val="sr-Latn-ME"/>
        </w:rPr>
        <w:t>Komplikacije alogene transplantacije hematopoetskih matičnih ćelija (HSCT) nakon mogamulizumaba</w:t>
      </w:r>
      <w:r w:rsidRPr="00F16B0C">
        <w:rPr>
          <w:bCs/>
          <w:sz w:val="22"/>
          <w:szCs w:val="22"/>
          <w:lang w:val="sr-Latn-ME"/>
        </w:rPr>
        <w:t xml:space="preserve"> Komplikacije, uključujući teške reakcije grafta protiv domaćina (GVHD), zabilježene su kod pacijenata sa limfomima T-ćelija koje nijesu MF ili SS koji su primili alogeni HSCT nakon mogamulizumaba.</w:t>
      </w:r>
    </w:p>
    <w:p w14:paraId="1E0D30A1" w14:textId="77777777" w:rsidR="006F5A13" w:rsidRPr="00F16B0C" w:rsidRDefault="006F5A13" w:rsidP="00F16B0C">
      <w:pPr>
        <w:widowControl w:val="0"/>
        <w:tabs>
          <w:tab w:val="left" w:pos="540"/>
          <w:tab w:val="left" w:pos="567"/>
        </w:tabs>
        <w:jc w:val="both"/>
        <w:rPr>
          <w:bCs/>
          <w:sz w:val="22"/>
          <w:szCs w:val="22"/>
          <w:lang w:val="sr-Latn-ME"/>
        </w:rPr>
      </w:pPr>
    </w:p>
    <w:p w14:paraId="7B0F40F7" w14:textId="77777777" w:rsidR="006F5A13" w:rsidRPr="00F16B0C" w:rsidRDefault="006F5A13" w:rsidP="00F16B0C">
      <w:pPr>
        <w:widowControl w:val="0"/>
        <w:tabs>
          <w:tab w:val="left" w:pos="540"/>
          <w:tab w:val="left" w:pos="567"/>
        </w:tabs>
        <w:jc w:val="both"/>
        <w:rPr>
          <w:bCs/>
          <w:sz w:val="22"/>
          <w:szCs w:val="22"/>
          <w:lang w:val="sr-Latn-ME"/>
        </w:rPr>
      </w:pPr>
      <w:r w:rsidRPr="00F16B0C">
        <w:rPr>
          <w:bCs/>
          <w:sz w:val="22"/>
          <w:szCs w:val="22"/>
          <w:lang w:val="sr-Latn-ME"/>
        </w:rPr>
        <w:t>Veći rizik komplikacija presađivanja prijavljen je ako se mogamulizumab daje u kratkom vremenskom periodu (približno 50 dana) prije HSCT. Pažljivo pratite pacijente zbog ranih znaka komplikacija povezanih sa presađivanjem.</w:t>
      </w:r>
    </w:p>
    <w:p w14:paraId="133C3194" w14:textId="77777777" w:rsidR="006F5A13" w:rsidRPr="00F16B0C" w:rsidRDefault="006F5A13" w:rsidP="00F16B0C">
      <w:pPr>
        <w:widowControl w:val="0"/>
        <w:tabs>
          <w:tab w:val="left" w:pos="540"/>
          <w:tab w:val="left" w:pos="567"/>
        </w:tabs>
        <w:jc w:val="both"/>
        <w:rPr>
          <w:bCs/>
          <w:sz w:val="22"/>
          <w:szCs w:val="22"/>
          <w:lang w:val="sr-Latn-ME"/>
        </w:rPr>
      </w:pPr>
    </w:p>
    <w:p w14:paraId="0746B956" w14:textId="77777777" w:rsidR="006F5A13" w:rsidRPr="00F16B0C" w:rsidRDefault="006F5A13" w:rsidP="00F16B0C">
      <w:pPr>
        <w:widowControl w:val="0"/>
        <w:tabs>
          <w:tab w:val="left" w:pos="540"/>
          <w:tab w:val="left" w:pos="567"/>
        </w:tabs>
        <w:jc w:val="both"/>
        <w:rPr>
          <w:bCs/>
          <w:sz w:val="22"/>
          <w:szCs w:val="22"/>
          <w:lang w:val="sr-Latn-ME"/>
        </w:rPr>
      </w:pPr>
      <w:r w:rsidRPr="00F16B0C">
        <w:rPr>
          <w:bCs/>
          <w:sz w:val="22"/>
          <w:szCs w:val="22"/>
          <w:lang w:val="sr-Latn-ME"/>
        </w:rPr>
        <w:t>Sigurnost l</w:t>
      </w:r>
      <w:r w:rsidR="007F0FF3" w:rsidRPr="00F16B0C">
        <w:rPr>
          <w:bCs/>
          <w:sz w:val="22"/>
          <w:szCs w:val="22"/>
          <w:lang w:val="sr-Latn-ME"/>
        </w:rPr>
        <w:t>i</w:t>
      </w:r>
      <w:r w:rsidRPr="00F16B0C">
        <w:rPr>
          <w:bCs/>
          <w:sz w:val="22"/>
          <w:szCs w:val="22"/>
          <w:lang w:val="sr-Latn-ME"/>
        </w:rPr>
        <w:t>ječenja mogamulizumabom nakon autolognog ili alogenog HSCT nije ispitana.</w:t>
      </w:r>
    </w:p>
    <w:p w14:paraId="3F40BF0E" w14:textId="77777777" w:rsidR="006F5A13" w:rsidRPr="00F16B0C" w:rsidRDefault="006F5A13" w:rsidP="00F16B0C">
      <w:pPr>
        <w:widowControl w:val="0"/>
        <w:tabs>
          <w:tab w:val="left" w:pos="540"/>
          <w:tab w:val="left" w:pos="567"/>
        </w:tabs>
        <w:jc w:val="both"/>
        <w:rPr>
          <w:bCs/>
          <w:sz w:val="22"/>
          <w:szCs w:val="22"/>
          <w:lang w:val="sr-Latn-ME"/>
        </w:rPr>
      </w:pPr>
    </w:p>
    <w:p w14:paraId="31EE595F" w14:textId="77777777" w:rsidR="006F5A13" w:rsidRPr="00F16B0C" w:rsidRDefault="006F5A13" w:rsidP="00F16B0C">
      <w:pPr>
        <w:widowControl w:val="0"/>
        <w:tabs>
          <w:tab w:val="left" w:pos="540"/>
          <w:tab w:val="left" w:pos="567"/>
        </w:tabs>
        <w:jc w:val="both"/>
        <w:rPr>
          <w:bCs/>
          <w:sz w:val="22"/>
          <w:szCs w:val="22"/>
          <w:lang w:val="sr-Latn-ME"/>
        </w:rPr>
      </w:pPr>
      <w:r w:rsidRPr="00F16B0C">
        <w:rPr>
          <w:bCs/>
          <w:sz w:val="22"/>
          <w:szCs w:val="22"/>
          <w:u w:val="single"/>
          <w:lang w:val="sr-Latn-ME"/>
        </w:rPr>
        <w:t>Sindrom lize tumora</w:t>
      </w:r>
    </w:p>
    <w:p w14:paraId="1FE770D3" w14:textId="77777777" w:rsidR="006F5A13" w:rsidRPr="00F16B0C" w:rsidRDefault="006F5A13" w:rsidP="00F16B0C">
      <w:pPr>
        <w:widowControl w:val="0"/>
        <w:tabs>
          <w:tab w:val="left" w:pos="540"/>
          <w:tab w:val="left" w:pos="567"/>
        </w:tabs>
        <w:jc w:val="both"/>
        <w:rPr>
          <w:bCs/>
          <w:sz w:val="22"/>
          <w:szCs w:val="22"/>
          <w:lang w:val="sr-Latn-ME"/>
        </w:rPr>
      </w:pPr>
      <w:r w:rsidRPr="00F16B0C">
        <w:rPr>
          <w:bCs/>
          <w:sz w:val="22"/>
          <w:szCs w:val="22"/>
          <w:lang w:val="sr-Latn-ME"/>
        </w:rPr>
        <w:t>Sindrom lize tumora (TLS) zabilježen je kod pacijenata koji primaju mogamulizumab. TSL je</w:t>
      </w:r>
      <w:r w:rsidR="00C70E57" w:rsidRPr="00F16B0C">
        <w:rPr>
          <w:bCs/>
          <w:sz w:val="22"/>
          <w:szCs w:val="22"/>
          <w:lang w:val="sr-Latn-ME"/>
        </w:rPr>
        <w:t xml:space="preserve"> zabilježen</w:t>
      </w:r>
      <w:r w:rsidRPr="00F16B0C">
        <w:rPr>
          <w:bCs/>
          <w:sz w:val="22"/>
          <w:szCs w:val="22"/>
          <w:lang w:val="sr-Latn-ME"/>
        </w:rPr>
        <w:t xml:space="preserve"> najčešće tokom prvog m</w:t>
      </w:r>
      <w:r w:rsidR="00C70E57" w:rsidRPr="00F16B0C">
        <w:rPr>
          <w:bCs/>
          <w:sz w:val="22"/>
          <w:szCs w:val="22"/>
          <w:lang w:val="sr-Latn-ME"/>
        </w:rPr>
        <w:t>j</w:t>
      </w:r>
      <w:r w:rsidRPr="00F16B0C">
        <w:rPr>
          <w:bCs/>
          <w:sz w:val="22"/>
          <w:szCs w:val="22"/>
          <w:lang w:val="sr-Latn-ME"/>
        </w:rPr>
        <w:t>eseca l</w:t>
      </w:r>
      <w:r w:rsidR="00804189" w:rsidRPr="00F16B0C">
        <w:rPr>
          <w:bCs/>
          <w:sz w:val="22"/>
          <w:szCs w:val="22"/>
          <w:lang w:val="sr-Latn-ME"/>
        </w:rPr>
        <w:t>i</w:t>
      </w:r>
      <w:r w:rsidRPr="00F16B0C">
        <w:rPr>
          <w:bCs/>
          <w:sz w:val="22"/>
          <w:szCs w:val="22"/>
          <w:lang w:val="sr-Latn-ME"/>
        </w:rPr>
        <w:t>ječenja. Kod pacijenata sa brzo proliferišućim tumorom i visokim tumorskim opterećenjem postoji rizik od TLS. Pacijente treba pažljivo pratiti odgovarajućim laboratorijskim i kliničkim testovima za status elektrolita, hidrataciju i funkciju bubrega, posebno u prvom mesecu l</w:t>
      </w:r>
      <w:r w:rsidR="00804189" w:rsidRPr="00F16B0C">
        <w:rPr>
          <w:bCs/>
          <w:sz w:val="22"/>
          <w:szCs w:val="22"/>
          <w:lang w:val="sr-Latn-ME"/>
        </w:rPr>
        <w:t>i</w:t>
      </w:r>
      <w:r w:rsidRPr="00F16B0C">
        <w:rPr>
          <w:bCs/>
          <w:sz w:val="22"/>
          <w:szCs w:val="22"/>
          <w:lang w:val="sr-Latn-ME"/>
        </w:rPr>
        <w:t>ječenja, i l</w:t>
      </w:r>
      <w:r w:rsidR="00804189" w:rsidRPr="00F16B0C">
        <w:rPr>
          <w:bCs/>
          <w:sz w:val="22"/>
          <w:szCs w:val="22"/>
          <w:lang w:val="sr-Latn-ME"/>
        </w:rPr>
        <w:t>i</w:t>
      </w:r>
      <w:r w:rsidRPr="00F16B0C">
        <w:rPr>
          <w:bCs/>
          <w:sz w:val="22"/>
          <w:szCs w:val="22"/>
          <w:lang w:val="sr-Latn-ME"/>
        </w:rPr>
        <w:t>ječiti u skladu sa najboljom medicinskom praksom. Zbrinjavanje TLS može da uključuje agresivnu hidrataciju, korekciju abnormalnosti elektrolita, terapiju protiv hiperurikemije i suportivno l</w:t>
      </w:r>
      <w:r w:rsidR="00804189" w:rsidRPr="00F16B0C">
        <w:rPr>
          <w:bCs/>
          <w:sz w:val="22"/>
          <w:szCs w:val="22"/>
          <w:lang w:val="sr-Latn-ME"/>
        </w:rPr>
        <w:t>i</w:t>
      </w:r>
      <w:r w:rsidRPr="00F16B0C">
        <w:rPr>
          <w:bCs/>
          <w:sz w:val="22"/>
          <w:szCs w:val="22"/>
          <w:lang w:val="sr-Latn-ME"/>
        </w:rPr>
        <w:t>ječenje.</w:t>
      </w:r>
    </w:p>
    <w:p w14:paraId="0CE003EE" w14:textId="77777777" w:rsidR="006F5A13" w:rsidRPr="00F16B0C" w:rsidRDefault="006F5A13" w:rsidP="00F16B0C">
      <w:pPr>
        <w:widowControl w:val="0"/>
        <w:tabs>
          <w:tab w:val="left" w:pos="540"/>
          <w:tab w:val="left" w:pos="567"/>
        </w:tabs>
        <w:jc w:val="both"/>
        <w:rPr>
          <w:bCs/>
          <w:sz w:val="22"/>
          <w:szCs w:val="22"/>
          <w:lang w:val="sr-Latn-ME"/>
        </w:rPr>
      </w:pPr>
    </w:p>
    <w:p w14:paraId="09037A8F" w14:textId="77777777" w:rsidR="006F5A13" w:rsidRPr="00F16B0C" w:rsidRDefault="006F5A13" w:rsidP="00F16B0C">
      <w:pPr>
        <w:widowControl w:val="0"/>
        <w:tabs>
          <w:tab w:val="left" w:pos="540"/>
          <w:tab w:val="left" w:pos="567"/>
        </w:tabs>
        <w:jc w:val="both"/>
        <w:rPr>
          <w:bCs/>
          <w:sz w:val="22"/>
          <w:szCs w:val="22"/>
          <w:lang w:val="sr-Latn-ME"/>
        </w:rPr>
      </w:pPr>
      <w:r w:rsidRPr="00F16B0C">
        <w:rPr>
          <w:bCs/>
          <w:sz w:val="22"/>
          <w:szCs w:val="22"/>
          <w:u w:val="single"/>
          <w:lang w:val="sr-Latn-ME"/>
        </w:rPr>
        <w:t>Kardiološki poremjećaji</w:t>
      </w:r>
    </w:p>
    <w:p w14:paraId="65818328" w14:textId="77777777" w:rsidR="006F5A13" w:rsidRPr="00F16B0C" w:rsidRDefault="006F5A13" w:rsidP="00F16B0C">
      <w:pPr>
        <w:widowControl w:val="0"/>
        <w:tabs>
          <w:tab w:val="left" w:pos="540"/>
          <w:tab w:val="left" w:pos="567"/>
        </w:tabs>
        <w:jc w:val="both"/>
        <w:rPr>
          <w:bCs/>
          <w:iCs/>
          <w:sz w:val="22"/>
          <w:szCs w:val="22"/>
          <w:lang w:val="sr-Latn-ME"/>
        </w:rPr>
      </w:pPr>
      <w:r w:rsidRPr="00F16B0C">
        <w:rPr>
          <w:bCs/>
          <w:sz w:val="22"/>
          <w:szCs w:val="22"/>
          <w:lang w:val="sr-Latn-ME"/>
        </w:rPr>
        <w:t xml:space="preserve">Jedan slučaj akutnog infarkta miokarda zabilježen je kod jednog pacijenta iz kliničkog ispitivanja koji je imao MF/SS i primao mogamulizumab. Kod pacijenata iz kliničkog ispitivanja koji su imali druge limfome T-ćelija </w:t>
      </w:r>
      <w:r w:rsidRPr="00F16B0C">
        <w:rPr>
          <w:bCs/>
          <w:iCs/>
          <w:sz w:val="22"/>
          <w:szCs w:val="22"/>
          <w:lang w:val="sr-Latn-ME"/>
        </w:rPr>
        <w:t>zabilježeni su stres kardiomiopatija (jedan slučaj) i akutni infarkt miokarda (jedan slučaj). Ispitanici su imali istoriju bolesti i razne faktore rizika. Pacijente koji imaju faktore rizika povezane sa bolešću srca treba pratiti i preduzeti odgovarajuće mjere opreza.</w:t>
      </w:r>
    </w:p>
    <w:p w14:paraId="3491931D" w14:textId="77777777" w:rsidR="006F5A13" w:rsidRPr="00F16B0C" w:rsidRDefault="006F5A13" w:rsidP="00F16B0C">
      <w:pPr>
        <w:widowControl w:val="0"/>
        <w:tabs>
          <w:tab w:val="left" w:pos="540"/>
          <w:tab w:val="left" w:pos="567"/>
        </w:tabs>
        <w:jc w:val="both"/>
        <w:rPr>
          <w:bCs/>
          <w:sz w:val="22"/>
          <w:szCs w:val="22"/>
          <w:lang w:val="sr-Latn-ME"/>
        </w:rPr>
      </w:pPr>
    </w:p>
    <w:p w14:paraId="4FC5837F" w14:textId="77777777" w:rsidR="006F5A13" w:rsidRPr="00F16B0C" w:rsidRDefault="006F5A13" w:rsidP="00F16B0C">
      <w:pPr>
        <w:widowControl w:val="0"/>
        <w:tabs>
          <w:tab w:val="left" w:pos="540"/>
          <w:tab w:val="left" w:pos="567"/>
        </w:tabs>
        <w:jc w:val="both"/>
        <w:rPr>
          <w:bCs/>
          <w:sz w:val="22"/>
          <w:szCs w:val="22"/>
          <w:lang w:val="sr-Latn-ME"/>
        </w:rPr>
      </w:pPr>
      <w:r w:rsidRPr="00F16B0C">
        <w:rPr>
          <w:bCs/>
          <w:sz w:val="22"/>
          <w:szCs w:val="22"/>
          <w:u w:val="single"/>
          <w:lang w:val="sr-Latn-ME"/>
        </w:rPr>
        <w:t>Transformacija velikih ćelija (LCT)</w:t>
      </w:r>
    </w:p>
    <w:p w14:paraId="67526F4F" w14:textId="77777777" w:rsidR="006F5A13" w:rsidRPr="00F16B0C" w:rsidRDefault="006F5A13" w:rsidP="00F16B0C">
      <w:pPr>
        <w:widowControl w:val="0"/>
        <w:tabs>
          <w:tab w:val="left" w:pos="540"/>
          <w:tab w:val="left" w:pos="567"/>
        </w:tabs>
        <w:jc w:val="both"/>
        <w:rPr>
          <w:bCs/>
          <w:sz w:val="22"/>
          <w:szCs w:val="22"/>
          <w:lang w:val="sr-Latn-ME"/>
        </w:rPr>
      </w:pPr>
      <w:r w:rsidRPr="00F16B0C">
        <w:rPr>
          <w:bCs/>
          <w:sz w:val="22"/>
          <w:szCs w:val="22"/>
          <w:lang w:val="sr-Latn-ME"/>
        </w:rPr>
        <w:t>Dostupni su ograničeni podaci o pacijentima sa transformacijom velikih ćelija.</w:t>
      </w:r>
    </w:p>
    <w:p w14:paraId="6085112C" w14:textId="77777777" w:rsidR="006F5A13" w:rsidRPr="00F16B0C" w:rsidRDefault="006F5A13" w:rsidP="00F16B0C">
      <w:pPr>
        <w:widowControl w:val="0"/>
        <w:tabs>
          <w:tab w:val="left" w:pos="540"/>
          <w:tab w:val="left" w:pos="567"/>
        </w:tabs>
        <w:jc w:val="both"/>
        <w:rPr>
          <w:bCs/>
          <w:sz w:val="22"/>
          <w:szCs w:val="22"/>
          <w:lang w:val="sr-Latn-ME"/>
        </w:rPr>
      </w:pPr>
    </w:p>
    <w:p w14:paraId="6BF0BF44" w14:textId="77777777" w:rsidR="006F5A13" w:rsidRPr="00F16B0C" w:rsidRDefault="006F5A13" w:rsidP="00F16B0C">
      <w:pPr>
        <w:widowControl w:val="0"/>
        <w:tabs>
          <w:tab w:val="left" w:pos="540"/>
          <w:tab w:val="left" w:pos="567"/>
        </w:tabs>
        <w:jc w:val="both"/>
        <w:rPr>
          <w:bCs/>
          <w:sz w:val="22"/>
          <w:szCs w:val="22"/>
          <w:lang w:val="sr-Latn-ME"/>
        </w:rPr>
      </w:pPr>
      <w:r w:rsidRPr="00F16B0C">
        <w:rPr>
          <w:bCs/>
          <w:sz w:val="22"/>
          <w:szCs w:val="22"/>
          <w:u w:val="single"/>
          <w:lang w:val="sr-Latn-ME"/>
        </w:rPr>
        <w:lastRenderedPageBreak/>
        <w:t>Ostalo</w:t>
      </w:r>
    </w:p>
    <w:p w14:paraId="0DE67E54" w14:textId="77777777" w:rsidR="006F5A13" w:rsidRPr="00F16B0C" w:rsidRDefault="006F5A13" w:rsidP="00F16B0C">
      <w:pPr>
        <w:widowControl w:val="0"/>
        <w:tabs>
          <w:tab w:val="left" w:pos="540"/>
          <w:tab w:val="left" w:pos="567"/>
        </w:tabs>
        <w:jc w:val="both"/>
        <w:rPr>
          <w:bCs/>
          <w:sz w:val="22"/>
          <w:szCs w:val="22"/>
          <w:lang w:val="sr-Latn-ME"/>
        </w:rPr>
      </w:pPr>
      <w:r w:rsidRPr="00F16B0C">
        <w:rPr>
          <w:bCs/>
          <w:sz w:val="22"/>
          <w:szCs w:val="22"/>
          <w:lang w:val="sr-Latn-ME"/>
        </w:rPr>
        <w:t>Mogamulizumab ne treba primjenjivati supkutano ili intramuskularno, brzom intravenskom primjenom, ili intravenskim bolusom.</w:t>
      </w:r>
    </w:p>
    <w:p w14:paraId="5E892246" w14:textId="77777777" w:rsidR="006F5A13" w:rsidRPr="00F16B0C" w:rsidRDefault="006F5A13" w:rsidP="00F16B0C">
      <w:pPr>
        <w:widowControl w:val="0"/>
        <w:tabs>
          <w:tab w:val="left" w:pos="540"/>
          <w:tab w:val="left" w:pos="567"/>
        </w:tabs>
        <w:jc w:val="both"/>
        <w:rPr>
          <w:bCs/>
          <w:sz w:val="22"/>
          <w:szCs w:val="22"/>
          <w:lang w:val="sr-Latn-ME"/>
        </w:rPr>
      </w:pPr>
    </w:p>
    <w:p w14:paraId="4DF4B564" w14:textId="77777777" w:rsidR="006F5A13" w:rsidRPr="00F16B0C" w:rsidRDefault="006F5A13" w:rsidP="00F16B0C">
      <w:pPr>
        <w:widowControl w:val="0"/>
        <w:tabs>
          <w:tab w:val="left" w:pos="540"/>
          <w:tab w:val="left" w:pos="567"/>
        </w:tabs>
        <w:jc w:val="both"/>
        <w:rPr>
          <w:bCs/>
          <w:sz w:val="22"/>
          <w:szCs w:val="22"/>
          <w:u w:val="single"/>
          <w:lang w:val="sr-Latn-ME"/>
        </w:rPr>
      </w:pPr>
      <w:r w:rsidRPr="00F16B0C">
        <w:rPr>
          <w:bCs/>
          <w:sz w:val="22"/>
          <w:szCs w:val="22"/>
          <w:lang w:val="sr-Latn-ME"/>
        </w:rPr>
        <w:t>Ovaj lijek sadrži manje od 1 mmol natrijuma po dozi, te je praktično „bez natrijuma”.</w:t>
      </w:r>
    </w:p>
    <w:p w14:paraId="3FDF8EA0" w14:textId="77777777" w:rsidR="006F5A13" w:rsidRPr="00F16B0C" w:rsidRDefault="006F5A13" w:rsidP="00F16B0C">
      <w:pPr>
        <w:widowControl w:val="0"/>
        <w:tabs>
          <w:tab w:val="left" w:pos="540"/>
          <w:tab w:val="left" w:pos="567"/>
        </w:tabs>
        <w:jc w:val="both"/>
        <w:rPr>
          <w:bCs/>
          <w:sz w:val="22"/>
          <w:szCs w:val="22"/>
          <w:lang w:val="sr-Latn-ME"/>
        </w:rPr>
      </w:pPr>
    </w:p>
    <w:p w14:paraId="7E6F6D08" w14:textId="77777777" w:rsidR="00411B4B" w:rsidRPr="00F16B0C" w:rsidRDefault="00411B4B" w:rsidP="00F16B0C">
      <w:pPr>
        <w:widowControl w:val="0"/>
        <w:tabs>
          <w:tab w:val="left" w:pos="540"/>
          <w:tab w:val="left" w:pos="569"/>
        </w:tabs>
        <w:jc w:val="both"/>
        <w:rPr>
          <w:b/>
          <w:bCs/>
          <w:sz w:val="22"/>
          <w:szCs w:val="22"/>
          <w:lang w:val="sr-Latn-ME"/>
        </w:rPr>
      </w:pPr>
      <w:r w:rsidRPr="00F16B0C">
        <w:rPr>
          <w:b/>
          <w:bCs/>
          <w:sz w:val="22"/>
          <w:szCs w:val="22"/>
          <w:lang w:val="sr-Latn-ME"/>
        </w:rPr>
        <w:t>4.5.</w:t>
      </w:r>
      <w:r w:rsidR="000D60CC" w:rsidRPr="00F16B0C">
        <w:rPr>
          <w:b/>
          <w:bCs/>
          <w:sz w:val="22"/>
          <w:szCs w:val="22"/>
          <w:lang w:val="sr-Latn-ME"/>
        </w:rPr>
        <w:tab/>
      </w:r>
      <w:r w:rsidRPr="00F16B0C">
        <w:rPr>
          <w:b/>
          <w:bCs/>
          <w:sz w:val="22"/>
          <w:szCs w:val="22"/>
          <w:lang w:val="sr-Latn-ME"/>
        </w:rPr>
        <w:t>Interakcije sa drugim ljekovima i druge vrste interakcija</w:t>
      </w:r>
    </w:p>
    <w:p w14:paraId="13B6D51A" w14:textId="77777777" w:rsidR="003C6204" w:rsidRPr="00F16B0C" w:rsidRDefault="003C6204" w:rsidP="00F16B0C">
      <w:pPr>
        <w:widowControl w:val="0"/>
        <w:tabs>
          <w:tab w:val="left" w:pos="540"/>
          <w:tab w:val="left" w:pos="567"/>
        </w:tabs>
        <w:jc w:val="both"/>
        <w:rPr>
          <w:bCs/>
          <w:sz w:val="22"/>
          <w:szCs w:val="22"/>
          <w:lang w:val="sr-Latn-ME"/>
        </w:rPr>
      </w:pPr>
    </w:p>
    <w:p w14:paraId="681A1066" w14:textId="77777777" w:rsidR="003C6204" w:rsidRPr="00F16B0C" w:rsidRDefault="003C6204" w:rsidP="00F16B0C">
      <w:pPr>
        <w:widowControl w:val="0"/>
        <w:tabs>
          <w:tab w:val="left" w:pos="540"/>
          <w:tab w:val="left" w:pos="567"/>
        </w:tabs>
        <w:jc w:val="both"/>
        <w:rPr>
          <w:b/>
          <w:bCs/>
          <w:sz w:val="22"/>
          <w:szCs w:val="22"/>
          <w:lang w:val="sr-Latn-ME"/>
        </w:rPr>
      </w:pPr>
      <w:r w:rsidRPr="00F16B0C">
        <w:rPr>
          <w:bCs/>
          <w:sz w:val="22"/>
          <w:szCs w:val="22"/>
          <w:lang w:val="sr-Latn-ME"/>
        </w:rPr>
        <w:t>Ni</w:t>
      </w:r>
      <w:r w:rsidR="00C70E57" w:rsidRPr="00F16B0C">
        <w:rPr>
          <w:bCs/>
          <w:sz w:val="22"/>
          <w:szCs w:val="22"/>
          <w:lang w:val="sr-Latn-ME"/>
        </w:rPr>
        <w:t>je</w:t>
      </w:r>
      <w:r w:rsidRPr="00F16B0C">
        <w:rPr>
          <w:bCs/>
          <w:sz w:val="22"/>
          <w:szCs w:val="22"/>
          <w:lang w:val="sr-Latn-ME"/>
        </w:rPr>
        <w:t>su sprovedene studije interakcije.</w:t>
      </w:r>
    </w:p>
    <w:p w14:paraId="4AF3FD9C" w14:textId="77777777" w:rsidR="003C6204" w:rsidRPr="00F16B0C" w:rsidRDefault="003C6204" w:rsidP="00F16B0C">
      <w:pPr>
        <w:widowControl w:val="0"/>
        <w:tabs>
          <w:tab w:val="left" w:pos="540"/>
          <w:tab w:val="left" w:pos="569"/>
        </w:tabs>
        <w:jc w:val="both"/>
        <w:rPr>
          <w:bCs/>
          <w:sz w:val="22"/>
          <w:szCs w:val="22"/>
          <w:lang w:val="sr-Latn-ME"/>
        </w:rPr>
      </w:pPr>
    </w:p>
    <w:p w14:paraId="0D551A60" w14:textId="77777777" w:rsidR="0072020E" w:rsidRPr="00F16B0C" w:rsidRDefault="0072020E" w:rsidP="00F16B0C">
      <w:pPr>
        <w:widowControl w:val="0"/>
        <w:tabs>
          <w:tab w:val="left" w:pos="540"/>
          <w:tab w:val="left" w:pos="569"/>
        </w:tabs>
        <w:jc w:val="both"/>
        <w:rPr>
          <w:b/>
          <w:sz w:val="22"/>
          <w:szCs w:val="22"/>
          <w:lang w:val="sr-Latn-ME"/>
        </w:rPr>
      </w:pPr>
      <w:r w:rsidRPr="00F16B0C">
        <w:rPr>
          <w:b/>
          <w:bCs/>
          <w:sz w:val="22"/>
          <w:szCs w:val="22"/>
          <w:lang w:val="sr-Latn-ME"/>
        </w:rPr>
        <w:t xml:space="preserve">4.6. </w:t>
      </w:r>
      <w:r w:rsidR="00480FB1" w:rsidRPr="00F16B0C">
        <w:rPr>
          <w:b/>
          <w:bCs/>
          <w:sz w:val="22"/>
          <w:szCs w:val="22"/>
          <w:lang w:val="sr-Latn-ME"/>
        </w:rPr>
        <w:tab/>
      </w:r>
      <w:r w:rsidR="006D20A5" w:rsidRPr="00F16B0C">
        <w:rPr>
          <w:b/>
          <w:sz w:val="22"/>
          <w:szCs w:val="22"/>
          <w:lang w:val="sr-Latn-ME"/>
        </w:rPr>
        <w:t>Plodnost, trudnoća i dojenje</w:t>
      </w:r>
    </w:p>
    <w:p w14:paraId="14E17A0B" w14:textId="77777777" w:rsidR="003C6204" w:rsidRPr="00F16B0C" w:rsidRDefault="003C6204" w:rsidP="00F16B0C">
      <w:pPr>
        <w:widowControl w:val="0"/>
        <w:tabs>
          <w:tab w:val="left" w:pos="540"/>
          <w:tab w:val="left" w:pos="567"/>
        </w:tabs>
        <w:jc w:val="both"/>
        <w:rPr>
          <w:sz w:val="22"/>
          <w:szCs w:val="22"/>
          <w:u w:val="single"/>
          <w:lang w:val="sr-Latn-ME"/>
        </w:rPr>
      </w:pPr>
    </w:p>
    <w:p w14:paraId="2913AF12" w14:textId="77777777" w:rsidR="003C6204" w:rsidRPr="00F16B0C" w:rsidRDefault="003C6204" w:rsidP="00F16B0C">
      <w:pPr>
        <w:widowControl w:val="0"/>
        <w:tabs>
          <w:tab w:val="left" w:pos="540"/>
          <w:tab w:val="left" w:pos="567"/>
        </w:tabs>
        <w:jc w:val="both"/>
        <w:rPr>
          <w:sz w:val="22"/>
          <w:szCs w:val="22"/>
          <w:u w:val="single"/>
          <w:lang w:val="sr-Latn-ME"/>
        </w:rPr>
      </w:pPr>
      <w:r w:rsidRPr="00F16B0C">
        <w:rPr>
          <w:sz w:val="22"/>
          <w:szCs w:val="22"/>
          <w:u w:val="single"/>
          <w:lang w:val="sr-Latn-ME"/>
        </w:rPr>
        <w:t>Žene u reproduktivnom periodu / kontracepcija kod žena</w:t>
      </w:r>
    </w:p>
    <w:p w14:paraId="73300C6B" w14:textId="77777777" w:rsidR="003C6204" w:rsidRPr="00F16B0C" w:rsidRDefault="003C6204" w:rsidP="00F16B0C">
      <w:pPr>
        <w:widowControl w:val="0"/>
        <w:tabs>
          <w:tab w:val="left" w:pos="540"/>
          <w:tab w:val="left" w:pos="567"/>
        </w:tabs>
        <w:jc w:val="both"/>
        <w:rPr>
          <w:sz w:val="22"/>
          <w:szCs w:val="22"/>
          <w:lang w:val="sr-Latn-ME"/>
        </w:rPr>
      </w:pPr>
      <w:r w:rsidRPr="00F16B0C">
        <w:rPr>
          <w:sz w:val="22"/>
          <w:szCs w:val="22"/>
          <w:lang w:val="sr-Latn-ME"/>
        </w:rPr>
        <w:t>Žene u reproduktivnom periodu moraju da koristite djelotvornu kontracepciju tokom liječenja lijekom POTELIGEO i najmanje 6 mjeseci nakon liječenja.</w:t>
      </w:r>
    </w:p>
    <w:p w14:paraId="15595EA2" w14:textId="77777777" w:rsidR="003C6204" w:rsidRPr="00F16B0C" w:rsidRDefault="003C6204" w:rsidP="00F16B0C">
      <w:pPr>
        <w:widowControl w:val="0"/>
        <w:tabs>
          <w:tab w:val="left" w:pos="540"/>
          <w:tab w:val="left" w:pos="569"/>
        </w:tabs>
        <w:jc w:val="both"/>
        <w:rPr>
          <w:sz w:val="22"/>
          <w:szCs w:val="22"/>
          <w:u w:val="single"/>
          <w:lang w:val="sr-Latn-ME"/>
        </w:rPr>
      </w:pPr>
    </w:p>
    <w:p w14:paraId="209026C6" w14:textId="77777777" w:rsidR="002031B3" w:rsidRPr="00F16B0C" w:rsidRDefault="002031B3" w:rsidP="00F16B0C">
      <w:pPr>
        <w:widowControl w:val="0"/>
        <w:tabs>
          <w:tab w:val="left" w:pos="540"/>
          <w:tab w:val="left" w:pos="569"/>
        </w:tabs>
        <w:jc w:val="both"/>
        <w:rPr>
          <w:sz w:val="22"/>
          <w:szCs w:val="22"/>
          <w:u w:val="single"/>
          <w:lang w:val="sr-Latn-ME"/>
        </w:rPr>
      </w:pPr>
      <w:r w:rsidRPr="00F16B0C">
        <w:rPr>
          <w:sz w:val="22"/>
          <w:szCs w:val="22"/>
          <w:u w:val="single"/>
          <w:lang w:val="sr-Latn-ME"/>
        </w:rPr>
        <w:t>Plodnost</w:t>
      </w:r>
    </w:p>
    <w:p w14:paraId="552C3D11" w14:textId="77777777" w:rsidR="003C6204" w:rsidRPr="00F16B0C" w:rsidRDefault="003C6204" w:rsidP="00F16B0C">
      <w:pPr>
        <w:widowControl w:val="0"/>
        <w:tabs>
          <w:tab w:val="left" w:pos="540"/>
          <w:tab w:val="left" w:pos="567"/>
        </w:tabs>
        <w:jc w:val="both"/>
        <w:rPr>
          <w:sz w:val="22"/>
          <w:szCs w:val="22"/>
          <w:lang w:val="sr-Latn-ME"/>
        </w:rPr>
      </w:pPr>
      <w:r w:rsidRPr="00F16B0C">
        <w:rPr>
          <w:sz w:val="22"/>
          <w:szCs w:val="22"/>
          <w:lang w:val="sr-Latn-ME"/>
        </w:rPr>
        <w:t>Nema dostupnih kliničkih podataka o dejstvima mogamulizumaba na plodnost kod ljudi. Ni</w:t>
      </w:r>
      <w:r w:rsidR="00C70E57" w:rsidRPr="00F16B0C">
        <w:rPr>
          <w:sz w:val="22"/>
          <w:szCs w:val="22"/>
          <w:lang w:val="sr-Latn-ME"/>
        </w:rPr>
        <w:t>je</w:t>
      </w:r>
      <w:r w:rsidRPr="00F16B0C">
        <w:rPr>
          <w:sz w:val="22"/>
          <w:szCs w:val="22"/>
          <w:lang w:val="sr-Latn-ME"/>
        </w:rPr>
        <w:t>su sprovedena posebna ispitivanja na životinjama kojima bi se procijenilo dejstvo mogamulizumaba na plodnost. Nisu zabilježena štetna dejstva na reproduktivne organe mužjaka i ženki u ispitivanjima toksičnosti ponovljenih doza kod makaki majmuna (pogledati dio 5.3).</w:t>
      </w:r>
    </w:p>
    <w:p w14:paraId="1D2F856D" w14:textId="77777777" w:rsidR="003C6204" w:rsidRPr="00F16B0C" w:rsidRDefault="003C6204" w:rsidP="00F16B0C">
      <w:pPr>
        <w:widowControl w:val="0"/>
        <w:tabs>
          <w:tab w:val="left" w:pos="540"/>
          <w:tab w:val="left" w:pos="569"/>
        </w:tabs>
        <w:jc w:val="both"/>
        <w:rPr>
          <w:sz w:val="22"/>
          <w:szCs w:val="22"/>
          <w:lang w:val="sr-Latn-ME"/>
        </w:rPr>
      </w:pPr>
    </w:p>
    <w:p w14:paraId="431E6EAE" w14:textId="77777777" w:rsidR="007A3ECB" w:rsidRPr="00F16B0C" w:rsidRDefault="007A3ECB" w:rsidP="00F16B0C">
      <w:pPr>
        <w:widowControl w:val="0"/>
        <w:tabs>
          <w:tab w:val="left" w:pos="540"/>
          <w:tab w:val="left" w:pos="569"/>
        </w:tabs>
        <w:jc w:val="both"/>
        <w:rPr>
          <w:sz w:val="22"/>
          <w:szCs w:val="22"/>
          <w:u w:val="single"/>
          <w:lang w:val="sr-Latn-ME"/>
        </w:rPr>
      </w:pPr>
      <w:r w:rsidRPr="00F16B0C">
        <w:rPr>
          <w:sz w:val="22"/>
          <w:szCs w:val="22"/>
          <w:u w:val="single"/>
          <w:lang w:val="sr-Latn-ME"/>
        </w:rPr>
        <w:t>Trudnoća</w:t>
      </w:r>
    </w:p>
    <w:p w14:paraId="0188D904" w14:textId="77777777" w:rsidR="003C6204" w:rsidRPr="00F16B0C" w:rsidRDefault="003C6204" w:rsidP="00F16B0C">
      <w:pPr>
        <w:widowControl w:val="0"/>
        <w:tabs>
          <w:tab w:val="left" w:pos="540"/>
          <w:tab w:val="left" w:pos="569"/>
        </w:tabs>
        <w:jc w:val="both"/>
        <w:rPr>
          <w:sz w:val="22"/>
          <w:szCs w:val="22"/>
          <w:lang w:val="sr-Latn-ME"/>
        </w:rPr>
      </w:pPr>
      <w:r w:rsidRPr="00F16B0C">
        <w:rPr>
          <w:sz w:val="22"/>
          <w:szCs w:val="22"/>
          <w:lang w:val="sr-Latn-ME"/>
        </w:rPr>
        <w:t>Ne postoje odgovarajući podaci o primjeni mogamulizumaba kod trudnica. Iako mogamulizumab prolazi placentarnu barijeru kod makaki majmuna, osim farmakološkog dejstva kod fetusa, ispitivanja na životinjama ne ukazuju na direktno ili indirektno štetno dejstvo na reprodukciju (pogledati dio 5.3). Kao mjera predostrožnosti, preporučuje se izbjegavanje primjene mogamulizumaba u trudnoći.</w:t>
      </w:r>
    </w:p>
    <w:p w14:paraId="79FA0CB9" w14:textId="77777777" w:rsidR="002031B3" w:rsidRPr="00F16B0C" w:rsidRDefault="002031B3" w:rsidP="00F16B0C">
      <w:pPr>
        <w:widowControl w:val="0"/>
        <w:tabs>
          <w:tab w:val="left" w:pos="540"/>
          <w:tab w:val="left" w:pos="569"/>
        </w:tabs>
        <w:jc w:val="both"/>
        <w:rPr>
          <w:sz w:val="22"/>
          <w:szCs w:val="22"/>
          <w:u w:val="single"/>
          <w:lang w:val="sr-Latn-ME"/>
        </w:rPr>
      </w:pPr>
    </w:p>
    <w:p w14:paraId="08C6FDBD" w14:textId="77777777" w:rsidR="0072020E" w:rsidRPr="00F16B0C" w:rsidRDefault="007A3ECB" w:rsidP="00F16B0C">
      <w:pPr>
        <w:widowControl w:val="0"/>
        <w:tabs>
          <w:tab w:val="left" w:pos="540"/>
          <w:tab w:val="left" w:pos="569"/>
        </w:tabs>
        <w:jc w:val="both"/>
        <w:rPr>
          <w:b/>
          <w:bCs/>
          <w:sz w:val="22"/>
          <w:szCs w:val="22"/>
          <w:lang w:val="sr-Latn-ME"/>
        </w:rPr>
      </w:pPr>
      <w:r w:rsidRPr="00F16B0C">
        <w:rPr>
          <w:sz w:val="22"/>
          <w:szCs w:val="22"/>
          <w:u w:val="single"/>
          <w:lang w:val="sr-Latn-ME"/>
        </w:rPr>
        <w:t xml:space="preserve">Dojenje </w:t>
      </w:r>
    </w:p>
    <w:p w14:paraId="5500E34C" w14:textId="77777777" w:rsidR="003C6204" w:rsidRPr="00F16B0C" w:rsidRDefault="003C6204" w:rsidP="00F16B0C">
      <w:pPr>
        <w:widowControl w:val="0"/>
        <w:tabs>
          <w:tab w:val="left" w:pos="567"/>
        </w:tabs>
        <w:jc w:val="both"/>
        <w:rPr>
          <w:sz w:val="22"/>
          <w:szCs w:val="22"/>
          <w:lang w:val="sr-Latn-ME"/>
        </w:rPr>
      </w:pPr>
      <w:r w:rsidRPr="00F16B0C">
        <w:rPr>
          <w:sz w:val="22"/>
          <w:szCs w:val="22"/>
          <w:lang w:val="sr-Latn-ME"/>
        </w:rPr>
        <w:t xml:space="preserve">Nije poznato da li se mogamulizumab izlučuje u majčino mlijeko. Poznato je da se </w:t>
      </w:r>
      <w:r w:rsidR="00A14243" w:rsidRPr="00F16B0C">
        <w:rPr>
          <w:sz w:val="22"/>
          <w:szCs w:val="22"/>
          <w:lang w:val="sr-Latn-ME"/>
        </w:rPr>
        <w:t xml:space="preserve">humani </w:t>
      </w:r>
      <w:r w:rsidRPr="00F16B0C">
        <w:rPr>
          <w:sz w:val="22"/>
          <w:szCs w:val="22"/>
          <w:lang w:val="sr-Latn-ME"/>
        </w:rPr>
        <w:t>IgG izlučuje u majčino mlijeko prvih dana nakon rođenja, te se smanjuje do niskih koncentracija odmah nakon toga; zbog toga se ne može isključiti rizik za dojeno dijete tokom tog kratkog perioda. Nakon toga se POTELIGEO može koristiti tokom dojenja ako je klinički potrebno.</w:t>
      </w:r>
    </w:p>
    <w:p w14:paraId="1E1CB7D3" w14:textId="77777777" w:rsidR="00227BDB" w:rsidRPr="00F16B0C" w:rsidRDefault="00227BDB" w:rsidP="00F16B0C">
      <w:pPr>
        <w:widowControl w:val="0"/>
        <w:tabs>
          <w:tab w:val="left" w:pos="540"/>
          <w:tab w:val="left" w:pos="569"/>
        </w:tabs>
        <w:ind w:left="540" w:hanging="540"/>
        <w:jc w:val="both"/>
        <w:rPr>
          <w:b/>
          <w:bCs/>
          <w:sz w:val="22"/>
          <w:szCs w:val="22"/>
          <w:lang w:val="sr-Latn-ME"/>
        </w:rPr>
      </w:pPr>
    </w:p>
    <w:p w14:paraId="4EC4CBA1" w14:textId="77777777" w:rsidR="0072020E" w:rsidRPr="00F16B0C" w:rsidRDefault="0072020E" w:rsidP="00F16B0C">
      <w:pPr>
        <w:widowControl w:val="0"/>
        <w:tabs>
          <w:tab w:val="left" w:pos="540"/>
          <w:tab w:val="left" w:pos="569"/>
        </w:tabs>
        <w:ind w:left="540" w:hanging="540"/>
        <w:jc w:val="both"/>
        <w:rPr>
          <w:b/>
          <w:bCs/>
          <w:sz w:val="22"/>
          <w:szCs w:val="22"/>
          <w:lang w:val="sr-Latn-ME"/>
        </w:rPr>
      </w:pPr>
      <w:r w:rsidRPr="00F16B0C">
        <w:rPr>
          <w:b/>
          <w:bCs/>
          <w:sz w:val="22"/>
          <w:szCs w:val="22"/>
          <w:lang w:val="sr-Latn-ME"/>
        </w:rPr>
        <w:t xml:space="preserve">4.7. </w:t>
      </w:r>
      <w:r w:rsidR="00480FB1" w:rsidRPr="00F16B0C">
        <w:rPr>
          <w:b/>
          <w:bCs/>
          <w:sz w:val="22"/>
          <w:szCs w:val="22"/>
          <w:lang w:val="sr-Latn-ME"/>
        </w:rPr>
        <w:tab/>
      </w:r>
      <w:r w:rsidRPr="00F16B0C">
        <w:rPr>
          <w:b/>
          <w:bCs/>
          <w:sz w:val="22"/>
          <w:szCs w:val="22"/>
          <w:lang w:val="sr-Latn-ME"/>
        </w:rPr>
        <w:t xml:space="preserve">Uticaj na </w:t>
      </w:r>
      <w:r w:rsidR="002031B3" w:rsidRPr="00F16B0C">
        <w:rPr>
          <w:b/>
          <w:bCs/>
          <w:sz w:val="22"/>
          <w:szCs w:val="22"/>
          <w:lang w:val="sr-Latn-ME"/>
        </w:rPr>
        <w:t xml:space="preserve">sposobnost </w:t>
      </w:r>
      <w:r w:rsidR="00F34554" w:rsidRPr="00F16B0C">
        <w:rPr>
          <w:b/>
          <w:bCs/>
          <w:sz w:val="22"/>
          <w:szCs w:val="22"/>
          <w:lang w:val="sr-Latn-ME"/>
        </w:rPr>
        <w:t>upravljanja vozili</w:t>
      </w:r>
      <w:r w:rsidRPr="00F16B0C">
        <w:rPr>
          <w:b/>
          <w:bCs/>
          <w:sz w:val="22"/>
          <w:szCs w:val="22"/>
          <w:lang w:val="sr-Latn-ME"/>
        </w:rPr>
        <w:t>m</w:t>
      </w:r>
      <w:r w:rsidR="00F34554" w:rsidRPr="00F16B0C">
        <w:rPr>
          <w:b/>
          <w:bCs/>
          <w:sz w:val="22"/>
          <w:szCs w:val="22"/>
          <w:lang w:val="sr-Latn-ME"/>
        </w:rPr>
        <w:t>a</w:t>
      </w:r>
      <w:r w:rsidRPr="00F16B0C">
        <w:rPr>
          <w:b/>
          <w:bCs/>
          <w:sz w:val="22"/>
          <w:szCs w:val="22"/>
          <w:lang w:val="sr-Latn-ME"/>
        </w:rPr>
        <w:t xml:space="preserve"> i </w:t>
      </w:r>
      <w:r w:rsidR="000D3449" w:rsidRPr="00F16B0C">
        <w:rPr>
          <w:b/>
          <w:bCs/>
          <w:sz w:val="22"/>
          <w:szCs w:val="22"/>
          <w:lang w:val="sr-Latn-ME"/>
        </w:rPr>
        <w:t xml:space="preserve">rukovanje </w:t>
      </w:r>
      <w:r w:rsidRPr="00F16B0C">
        <w:rPr>
          <w:b/>
          <w:bCs/>
          <w:sz w:val="22"/>
          <w:szCs w:val="22"/>
          <w:lang w:val="sr-Latn-ME"/>
        </w:rPr>
        <w:t>mašinama</w:t>
      </w:r>
    </w:p>
    <w:p w14:paraId="6EC4BF3E" w14:textId="77777777" w:rsidR="003C6204" w:rsidRPr="00F16B0C" w:rsidRDefault="003C6204" w:rsidP="00F16B0C">
      <w:pPr>
        <w:widowControl w:val="0"/>
        <w:tabs>
          <w:tab w:val="left" w:pos="540"/>
          <w:tab w:val="left" w:pos="567"/>
        </w:tabs>
        <w:jc w:val="both"/>
        <w:rPr>
          <w:sz w:val="22"/>
          <w:szCs w:val="22"/>
          <w:lang w:val="sr-Latn-ME"/>
        </w:rPr>
      </w:pPr>
    </w:p>
    <w:p w14:paraId="0CE9B2F9" w14:textId="77777777" w:rsidR="003C6204" w:rsidRPr="00F16B0C" w:rsidRDefault="003C6204" w:rsidP="00F16B0C">
      <w:pPr>
        <w:widowControl w:val="0"/>
        <w:tabs>
          <w:tab w:val="left" w:pos="540"/>
          <w:tab w:val="left" w:pos="567"/>
        </w:tabs>
        <w:jc w:val="both"/>
        <w:rPr>
          <w:sz w:val="22"/>
          <w:szCs w:val="22"/>
          <w:lang w:val="sr-Latn-ME"/>
        </w:rPr>
      </w:pPr>
      <w:r w:rsidRPr="00F16B0C">
        <w:rPr>
          <w:sz w:val="22"/>
          <w:szCs w:val="22"/>
          <w:lang w:val="sr-Latn-ME"/>
        </w:rPr>
        <w:t>Mogamulizumab ima mali uticaj na sposobnost upravljanja vozilima i rukovanja mašinama. Nakon primjene mogamulizumaba može se javiti umor (vidjeti dio 4.8).</w:t>
      </w:r>
    </w:p>
    <w:p w14:paraId="7C83C143" w14:textId="77777777" w:rsidR="0072020E" w:rsidRPr="00F16B0C" w:rsidRDefault="0072020E" w:rsidP="00F16B0C">
      <w:pPr>
        <w:widowControl w:val="0"/>
        <w:tabs>
          <w:tab w:val="left" w:pos="540"/>
          <w:tab w:val="left" w:pos="569"/>
        </w:tabs>
        <w:jc w:val="both"/>
        <w:rPr>
          <w:b/>
          <w:bCs/>
          <w:sz w:val="22"/>
          <w:szCs w:val="22"/>
          <w:lang w:val="sr-Latn-ME"/>
        </w:rPr>
      </w:pPr>
    </w:p>
    <w:p w14:paraId="659A1A21" w14:textId="77777777" w:rsidR="0072020E" w:rsidRPr="00F16B0C" w:rsidRDefault="0072020E" w:rsidP="00F16B0C">
      <w:pPr>
        <w:widowControl w:val="0"/>
        <w:tabs>
          <w:tab w:val="left" w:pos="540"/>
          <w:tab w:val="left" w:pos="569"/>
        </w:tabs>
        <w:jc w:val="both"/>
        <w:rPr>
          <w:b/>
          <w:bCs/>
          <w:sz w:val="22"/>
          <w:szCs w:val="22"/>
          <w:lang w:val="sr-Latn-ME"/>
        </w:rPr>
      </w:pPr>
      <w:r w:rsidRPr="00F16B0C">
        <w:rPr>
          <w:b/>
          <w:bCs/>
          <w:sz w:val="22"/>
          <w:szCs w:val="22"/>
          <w:lang w:val="sr-Latn-ME"/>
        </w:rPr>
        <w:t xml:space="preserve">4.8. </w:t>
      </w:r>
      <w:r w:rsidR="00480FB1" w:rsidRPr="00F16B0C">
        <w:rPr>
          <w:b/>
          <w:bCs/>
          <w:sz w:val="22"/>
          <w:szCs w:val="22"/>
          <w:lang w:val="sr-Latn-ME"/>
        </w:rPr>
        <w:tab/>
      </w:r>
      <w:r w:rsidRPr="00F16B0C">
        <w:rPr>
          <w:b/>
          <w:bCs/>
          <w:sz w:val="22"/>
          <w:szCs w:val="22"/>
          <w:lang w:val="sr-Latn-ME"/>
        </w:rPr>
        <w:t>Neželjena dejstva</w:t>
      </w:r>
    </w:p>
    <w:p w14:paraId="63E94851" w14:textId="77777777" w:rsidR="003C6204" w:rsidRPr="00F16B0C" w:rsidRDefault="003C6204" w:rsidP="00F16B0C">
      <w:pPr>
        <w:widowControl w:val="0"/>
        <w:tabs>
          <w:tab w:val="left" w:pos="284"/>
        </w:tabs>
        <w:autoSpaceDE w:val="0"/>
        <w:autoSpaceDN w:val="0"/>
        <w:adjustRightInd w:val="0"/>
        <w:jc w:val="both"/>
        <w:rPr>
          <w:sz w:val="22"/>
          <w:szCs w:val="22"/>
          <w:u w:val="single"/>
          <w:lang w:val="sr-Latn-ME"/>
        </w:rPr>
      </w:pPr>
    </w:p>
    <w:p w14:paraId="07882D96" w14:textId="77777777" w:rsidR="003C6204" w:rsidRPr="00F16B0C" w:rsidRDefault="003C6204" w:rsidP="00F16B0C">
      <w:pPr>
        <w:widowControl w:val="0"/>
        <w:tabs>
          <w:tab w:val="left" w:pos="284"/>
        </w:tabs>
        <w:autoSpaceDE w:val="0"/>
        <w:autoSpaceDN w:val="0"/>
        <w:adjustRightInd w:val="0"/>
        <w:jc w:val="both"/>
        <w:rPr>
          <w:sz w:val="22"/>
          <w:szCs w:val="22"/>
          <w:u w:val="single"/>
          <w:lang w:val="sr-Latn-ME"/>
        </w:rPr>
      </w:pPr>
      <w:r w:rsidRPr="00F16B0C">
        <w:rPr>
          <w:sz w:val="22"/>
          <w:szCs w:val="22"/>
          <w:u w:val="single"/>
          <w:lang w:val="sr-Latn-ME"/>
        </w:rPr>
        <w:t>Sažetak bezbjednosnog profila</w:t>
      </w:r>
    </w:p>
    <w:p w14:paraId="0E498506" w14:textId="77777777" w:rsidR="003C6204" w:rsidRPr="00F16B0C" w:rsidRDefault="003C6204" w:rsidP="00F16B0C">
      <w:pPr>
        <w:widowControl w:val="0"/>
        <w:autoSpaceDE w:val="0"/>
        <w:autoSpaceDN w:val="0"/>
        <w:jc w:val="both"/>
        <w:rPr>
          <w:sz w:val="22"/>
          <w:szCs w:val="22"/>
          <w:lang w:val="sr-Latn-ME"/>
        </w:rPr>
      </w:pPr>
      <w:r w:rsidRPr="00F16B0C">
        <w:rPr>
          <w:sz w:val="22"/>
          <w:szCs w:val="22"/>
          <w:lang w:val="sr-Latn-ME"/>
        </w:rPr>
        <w:t>Najčešće prijavljivane ozbiljne neželjene reakcije bile su upala pluća, pireksija, reakcije povezane sa infuzijom i celulitis.</w:t>
      </w:r>
    </w:p>
    <w:p w14:paraId="3580ED21" w14:textId="77777777" w:rsidR="003C6204" w:rsidRPr="00F16B0C" w:rsidRDefault="003C6204" w:rsidP="00F16B0C">
      <w:pPr>
        <w:widowControl w:val="0"/>
        <w:autoSpaceDE w:val="0"/>
        <w:autoSpaceDN w:val="0"/>
        <w:jc w:val="both"/>
        <w:rPr>
          <w:sz w:val="22"/>
          <w:szCs w:val="22"/>
          <w:lang w:val="sr-Latn-ME"/>
        </w:rPr>
      </w:pPr>
    </w:p>
    <w:p w14:paraId="2E15DC70" w14:textId="77777777" w:rsidR="003C6204" w:rsidRPr="00F16B0C" w:rsidRDefault="003C6204" w:rsidP="00F16B0C">
      <w:pPr>
        <w:widowControl w:val="0"/>
        <w:tabs>
          <w:tab w:val="left" w:pos="284"/>
        </w:tabs>
        <w:autoSpaceDE w:val="0"/>
        <w:autoSpaceDN w:val="0"/>
        <w:adjustRightInd w:val="0"/>
        <w:jc w:val="both"/>
        <w:rPr>
          <w:sz w:val="22"/>
          <w:szCs w:val="22"/>
          <w:lang w:val="sr-Latn-ME"/>
        </w:rPr>
      </w:pPr>
      <w:r w:rsidRPr="00F16B0C">
        <w:rPr>
          <w:sz w:val="22"/>
          <w:szCs w:val="22"/>
          <w:lang w:val="sr-Latn-ME"/>
        </w:rPr>
        <w:t>Najčešće prijavljivane neželjene reakcije bile su reakcije povezane sa infuzijom i osip (izbijanje kožnih promjena uzrokovano lijekom); većina tih reakcija nije bila ozbiljna i bile su 1. ili 2. gradusa.</w:t>
      </w:r>
    </w:p>
    <w:p w14:paraId="17B6792D" w14:textId="77777777" w:rsidR="003C6204" w:rsidRPr="00F16B0C" w:rsidRDefault="003C6204" w:rsidP="00F16B0C">
      <w:pPr>
        <w:widowControl w:val="0"/>
        <w:tabs>
          <w:tab w:val="left" w:pos="284"/>
        </w:tabs>
        <w:autoSpaceDE w:val="0"/>
        <w:autoSpaceDN w:val="0"/>
        <w:adjustRightInd w:val="0"/>
        <w:jc w:val="both"/>
        <w:rPr>
          <w:sz w:val="22"/>
          <w:szCs w:val="22"/>
          <w:lang w:val="sr-Latn-ME"/>
        </w:rPr>
      </w:pPr>
    </w:p>
    <w:p w14:paraId="4E536792" w14:textId="36D8F351" w:rsidR="003C6204" w:rsidRPr="00F16B0C" w:rsidRDefault="003C6204" w:rsidP="00F16B0C">
      <w:pPr>
        <w:widowControl w:val="0"/>
        <w:tabs>
          <w:tab w:val="left" w:pos="284"/>
        </w:tabs>
        <w:autoSpaceDE w:val="0"/>
        <w:autoSpaceDN w:val="0"/>
        <w:adjustRightInd w:val="0"/>
        <w:jc w:val="both"/>
        <w:rPr>
          <w:sz w:val="22"/>
          <w:szCs w:val="22"/>
          <w:u w:val="single"/>
          <w:lang w:val="sr-Latn-ME"/>
        </w:rPr>
      </w:pPr>
      <w:r w:rsidRPr="00F16B0C">
        <w:rPr>
          <w:sz w:val="22"/>
          <w:szCs w:val="22"/>
          <w:lang w:val="sr-Latn-ME"/>
        </w:rPr>
        <w:t>Teške neželjene reakcije uključivale su respiratornu insuficijenciju 4. gradusa (1,1</w:t>
      </w:r>
      <w:r w:rsidR="00F03056" w:rsidRPr="00F16B0C">
        <w:rPr>
          <w:sz w:val="22"/>
          <w:szCs w:val="22"/>
          <w:lang w:val="sr-Latn-ME"/>
        </w:rPr>
        <w:t xml:space="preserve"> </w:t>
      </w:r>
      <w:r w:rsidRPr="00F16B0C">
        <w:rPr>
          <w:sz w:val="22"/>
          <w:szCs w:val="22"/>
          <w:lang w:val="sr-Latn-ME"/>
        </w:rPr>
        <w:t>%), a reakcije 5. gradusa bile su polimiozitis i sepsa (po 0,5</w:t>
      </w:r>
      <w:r w:rsidR="00F03056" w:rsidRPr="00F16B0C">
        <w:rPr>
          <w:sz w:val="22"/>
          <w:szCs w:val="22"/>
          <w:lang w:val="sr-Latn-ME"/>
        </w:rPr>
        <w:t xml:space="preserve"> </w:t>
      </w:r>
      <w:r w:rsidRPr="00F16B0C">
        <w:rPr>
          <w:sz w:val="22"/>
          <w:szCs w:val="22"/>
          <w:lang w:val="sr-Latn-ME"/>
        </w:rPr>
        <w:t>%).</w:t>
      </w:r>
    </w:p>
    <w:p w14:paraId="70B93D07" w14:textId="77777777" w:rsidR="003C6204" w:rsidRPr="00F16B0C" w:rsidRDefault="003C6204" w:rsidP="00F16B0C">
      <w:pPr>
        <w:widowControl w:val="0"/>
        <w:jc w:val="both"/>
        <w:rPr>
          <w:sz w:val="22"/>
          <w:szCs w:val="22"/>
          <w:lang w:val="sr-Latn-ME"/>
        </w:rPr>
      </w:pPr>
    </w:p>
    <w:p w14:paraId="0D673274" w14:textId="77777777" w:rsidR="003C6204" w:rsidRPr="00F16B0C" w:rsidRDefault="003C6204" w:rsidP="00F16B0C">
      <w:pPr>
        <w:widowControl w:val="0"/>
        <w:tabs>
          <w:tab w:val="left" w:pos="284"/>
        </w:tabs>
        <w:autoSpaceDE w:val="0"/>
        <w:autoSpaceDN w:val="0"/>
        <w:adjustRightInd w:val="0"/>
        <w:jc w:val="both"/>
        <w:rPr>
          <w:sz w:val="22"/>
          <w:szCs w:val="22"/>
          <w:u w:val="single"/>
          <w:lang w:val="sr-Latn-ME"/>
        </w:rPr>
      </w:pPr>
      <w:r w:rsidRPr="00F16B0C">
        <w:rPr>
          <w:sz w:val="22"/>
          <w:szCs w:val="22"/>
          <w:u w:val="single"/>
          <w:lang w:val="sr-Latn-ME"/>
        </w:rPr>
        <w:t xml:space="preserve">Tabelarni prikaz neželjenih reakcija </w:t>
      </w:r>
    </w:p>
    <w:p w14:paraId="4B0737D3" w14:textId="77777777" w:rsidR="003C6204" w:rsidRPr="00F16B0C" w:rsidRDefault="003C6204" w:rsidP="00F16B0C">
      <w:pPr>
        <w:widowControl w:val="0"/>
        <w:autoSpaceDE w:val="0"/>
        <w:autoSpaceDN w:val="0"/>
        <w:jc w:val="both"/>
        <w:rPr>
          <w:sz w:val="22"/>
          <w:szCs w:val="22"/>
          <w:lang w:val="sr-Latn-ME"/>
        </w:rPr>
      </w:pPr>
      <w:r w:rsidRPr="00F16B0C">
        <w:rPr>
          <w:sz w:val="22"/>
          <w:szCs w:val="22"/>
          <w:lang w:val="sr-Latn-ME"/>
        </w:rPr>
        <w:t>Neželjene reakcije prikazane su prema klasi sistema organa i kategorijama učestalosti definisanim prema sljedećoj konvenciji: veomo često (≥ 1/10); često (≥ 1/100 do &lt; 1/10); povremeno (≥ 1/1,000 do &lt; 1/100); rijetko (≥ 1/10.000 do &lt; 1/1000); veoma rijetko (&lt; 1/10.000), nepoznato (ne može se procijeniti iz raspoloživih podataka). U okviru svake grupe učestalosti, neželjena dejstva su navedena u opadajućem nizu prema ozbiljnosti.</w:t>
      </w:r>
    </w:p>
    <w:p w14:paraId="6EF56F85" w14:textId="77777777" w:rsidR="003C6204" w:rsidRPr="00F16B0C" w:rsidRDefault="003C6204" w:rsidP="00F16B0C">
      <w:pPr>
        <w:widowControl w:val="0"/>
        <w:autoSpaceDE w:val="0"/>
        <w:autoSpaceDN w:val="0"/>
        <w:jc w:val="both"/>
        <w:rPr>
          <w:sz w:val="21"/>
          <w:szCs w:val="22"/>
          <w:lang w:val="sr-Latn-ME"/>
        </w:rPr>
      </w:pPr>
    </w:p>
    <w:p w14:paraId="58C4214C" w14:textId="0D425105" w:rsidR="003C6204" w:rsidRPr="00F16B0C" w:rsidRDefault="003C6204" w:rsidP="00F16B0C">
      <w:pPr>
        <w:widowControl w:val="0"/>
        <w:autoSpaceDE w:val="0"/>
        <w:autoSpaceDN w:val="0"/>
        <w:jc w:val="both"/>
        <w:outlineLvl w:val="0"/>
        <w:rPr>
          <w:b/>
          <w:bCs/>
          <w:sz w:val="22"/>
          <w:szCs w:val="22"/>
          <w:lang w:val="sr-Latn-ME"/>
        </w:rPr>
      </w:pPr>
      <w:r w:rsidRPr="00F16B0C">
        <w:rPr>
          <w:b/>
          <w:bCs/>
          <w:sz w:val="22"/>
          <w:szCs w:val="22"/>
          <w:lang w:val="sr-Latn-ME"/>
        </w:rPr>
        <w:t xml:space="preserve">Tabela 1: Neželjene reakcije na lijek </w:t>
      </w:r>
      <w:r w:rsidR="00D603DB" w:rsidRPr="00F16B0C">
        <w:rPr>
          <w:b/>
          <w:bCs/>
          <w:sz w:val="22"/>
          <w:szCs w:val="22"/>
          <w:lang w:val="sr-Latn-ME"/>
        </w:rPr>
        <w:t xml:space="preserve">Poteligeo </w:t>
      </w:r>
      <w:r w:rsidR="00DB6849" w:rsidRPr="00F16B0C">
        <w:rPr>
          <w:b/>
          <w:bCs/>
          <w:sz w:val="22"/>
          <w:szCs w:val="22"/>
          <w:lang w:val="sr-Latn-ME"/>
        </w:rPr>
        <w:t xml:space="preserve">identifikovane kod </w:t>
      </w:r>
      <w:r w:rsidR="00D603DB" w:rsidRPr="00F16B0C">
        <w:rPr>
          <w:b/>
          <w:bCs/>
          <w:sz w:val="22"/>
          <w:szCs w:val="22"/>
          <w:lang w:val="sr-Latn-ME"/>
        </w:rPr>
        <w:t xml:space="preserve">pacijenata </w:t>
      </w:r>
    </w:p>
    <w:p w14:paraId="67D98B52" w14:textId="77777777" w:rsidR="00333C95" w:rsidRPr="00F16B0C" w:rsidRDefault="00333C95" w:rsidP="00F16B0C">
      <w:pPr>
        <w:widowControl w:val="0"/>
        <w:autoSpaceDE w:val="0"/>
        <w:autoSpaceDN w:val="0"/>
        <w:jc w:val="both"/>
        <w:outlineLvl w:val="0"/>
        <w:rPr>
          <w:b/>
          <w:bCs/>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76"/>
        <w:gridCol w:w="1531"/>
        <w:gridCol w:w="3556"/>
      </w:tblGrid>
      <w:tr w:rsidR="003C6204" w:rsidRPr="00F16B0C" w14:paraId="5B2CDED0" w14:textId="77777777" w:rsidTr="00F16B0C">
        <w:trPr>
          <w:trHeight w:val="252"/>
        </w:trPr>
        <w:tc>
          <w:tcPr>
            <w:tcW w:w="2193" w:type="pct"/>
          </w:tcPr>
          <w:p w14:paraId="773E54AC" w14:textId="77777777" w:rsidR="003C6204" w:rsidRPr="00F16B0C" w:rsidRDefault="003C6204" w:rsidP="00F16B0C">
            <w:pPr>
              <w:widowControl w:val="0"/>
              <w:autoSpaceDE w:val="0"/>
              <w:autoSpaceDN w:val="0"/>
              <w:ind w:left="38"/>
              <w:rPr>
                <w:b/>
                <w:sz w:val="22"/>
                <w:szCs w:val="22"/>
                <w:lang w:val="sr-Latn-ME"/>
              </w:rPr>
            </w:pPr>
            <w:r w:rsidRPr="00F16B0C">
              <w:rPr>
                <w:b/>
                <w:bCs/>
                <w:sz w:val="22"/>
                <w:szCs w:val="22"/>
                <w:lang w:val="sr-Latn-ME"/>
              </w:rPr>
              <w:t>Klasa sistema organa (SOC)</w:t>
            </w:r>
          </w:p>
        </w:tc>
        <w:tc>
          <w:tcPr>
            <w:tcW w:w="844" w:type="pct"/>
          </w:tcPr>
          <w:p w14:paraId="2D433230" w14:textId="77777777" w:rsidR="003C6204" w:rsidRPr="00F16B0C" w:rsidRDefault="003C6204" w:rsidP="00F16B0C">
            <w:pPr>
              <w:widowControl w:val="0"/>
              <w:autoSpaceDE w:val="0"/>
              <w:autoSpaceDN w:val="0"/>
              <w:ind w:left="5"/>
              <w:rPr>
                <w:b/>
                <w:sz w:val="22"/>
                <w:szCs w:val="22"/>
                <w:lang w:val="sr-Latn-ME"/>
              </w:rPr>
            </w:pPr>
            <w:r w:rsidRPr="00F16B0C">
              <w:rPr>
                <w:b/>
                <w:bCs/>
                <w:sz w:val="22"/>
                <w:szCs w:val="22"/>
                <w:lang w:val="sr-Latn-ME"/>
              </w:rPr>
              <w:t>Učestalost</w:t>
            </w:r>
          </w:p>
        </w:tc>
        <w:tc>
          <w:tcPr>
            <w:tcW w:w="1962" w:type="pct"/>
          </w:tcPr>
          <w:p w14:paraId="05E91DE7" w14:textId="77777777" w:rsidR="003C6204" w:rsidRPr="00F16B0C" w:rsidRDefault="003C6204" w:rsidP="00F16B0C">
            <w:pPr>
              <w:widowControl w:val="0"/>
              <w:autoSpaceDE w:val="0"/>
              <w:autoSpaceDN w:val="0"/>
              <w:ind w:left="38"/>
              <w:rPr>
                <w:b/>
                <w:sz w:val="22"/>
                <w:szCs w:val="22"/>
                <w:lang w:val="sr-Latn-ME"/>
              </w:rPr>
            </w:pPr>
            <w:r w:rsidRPr="00F16B0C">
              <w:rPr>
                <w:b/>
                <w:bCs/>
                <w:sz w:val="22"/>
                <w:szCs w:val="22"/>
                <w:lang w:val="sr-Latn-ME"/>
              </w:rPr>
              <w:t>Neželjena reakcija</w:t>
            </w:r>
          </w:p>
        </w:tc>
      </w:tr>
      <w:tr w:rsidR="003C6204" w:rsidRPr="00F16B0C" w14:paraId="1A02E0EE" w14:textId="77777777" w:rsidTr="00F16B0C">
        <w:trPr>
          <w:trHeight w:val="505"/>
        </w:trPr>
        <w:tc>
          <w:tcPr>
            <w:tcW w:w="2193" w:type="pct"/>
          </w:tcPr>
          <w:p w14:paraId="636CBEBB" w14:textId="77777777" w:rsidR="003C6204" w:rsidRPr="00F16B0C" w:rsidRDefault="003C6204" w:rsidP="00F16B0C">
            <w:pPr>
              <w:widowControl w:val="0"/>
              <w:autoSpaceDE w:val="0"/>
              <w:autoSpaceDN w:val="0"/>
              <w:ind w:left="38"/>
              <w:rPr>
                <w:sz w:val="22"/>
                <w:szCs w:val="22"/>
                <w:lang w:val="sr-Latn-ME"/>
              </w:rPr>
            </w:pPr>
            <w:r w:rsidRPr="00F16B0C">
              <w:rPr>
                <w:sz w:val="22"/>
                <w:szCs w:val="22"/>
                <w:lang w:val="sr-Latn-ME"/>
              </w:rPr>
              <w:t>Poremjećaji krvi i limfnog sistema</w:t>
            </w:r>
          </w:p>
        </w:tc>
        <w:tc>
          <w:tcPr>
            <w:tcW w:w="844" w:type="pct"/>
          </w:tcPr>
          <w:p w14:paraId="5DDDFEB9" w14:textId="77777777" w:rsidR="003C6204" w:rsidRPr="00F16B0C" w:rsidRDefault="003C6204" w:rsidP="00F16B0C">
            <w:pPr>
              <w:widowControl w:val="0"/>
              <w:autoSpaceDE w:val="0"/>
              <w:autoSpaceDN w:val="0"/>
              <w:ind w:left="5"/>
              <w:rPr>
                <w:sz w:val="22"/>
                <w:szCs w:val="22"/>
                <w:lang w:val="sr-Latn-ME"/>
              </w:rPr>
            </w:pPr>
            <w:r w:rsidRPr="00F16B0C">
              <w:rPr>
                <w:sz w:val="22"/>
                <w:szCs w:val="22"/>
                <w:lang w:val="sr-Latn-ME"/>
              </w:rPr>
              <w:t>Često</w:t>
            </w:r>
          </w:p>
        </w:tc>
        <w:tc>
          <w:tcPr>
            <w:tcW w:w="1962" w:type="pct"/>
          </w:tcPr>
          <w:p w14:paraId="2881E38A" w14:textId="77777777" w:rsidR="003C6204" w:rsidRPr="00F16B0C" w:rsidRDefault="003C6204" w:rsidP="00F16B0C">
            <w:pPr>
              <w:widowControl w:val="0"/>
              <w:autoSpaceDE w:val="0"/>
              <w:autoSpaceDN w:val="0"/>
              <w:ind w:left="38"/>
              <w:rPr>
                <w:sz w:val="22"/>
                <w:szCs w:val="22"/>
                <w:lang w:val="sr-Latn-ME"/>
              </w:rPr>
            </w:pPr>
            <w:r w:rsidRPr="00F16B0C">
              <w:rPr>
                <w:sz w:val="22"/>
                <w:szCs w:val="22"/>
                <w:lang w:val="sr-Latn-ME"/>
              </w:rPr>
              <w:t>Anemija, neutropenija, leukopenija, trombocitopenija</w:t>
            </w:r>
          </w:p>
        </w:tc>
      </w:tr>
      <w:tr w:rsidR="003C6204" w:rsidRPr="00F16B0C" w14:paraId="630B4C04" w14:textId="77777777" w:rsidTr="00F16B0C">
        <w:trPr>
          <w:trHeight w:val="250"/>
        </w:trPr>
        <w:tc>
          <w:tcPr>
            <w:tcW w:w="2193" w:type="pct"/>
          </w:tcPr>
          <w:p w14:paraId="7B7BBBFC" w14:textId="77777777" w:rsidR="003C6204" w:rsidRPr="00F16B0C" w:rsidRDefault="003C6204" w:rsidP="00F16B0C">
            <w:pPr>
              <w:widowControl w:val="0"/>
              <w:autoSpaceDE w:val="0"/>
              <w:autoSpaceDN w:val="0"/>
              <w:ind w:left="38"/>
              <w:rPr>
                <w:sz w:val="22"/>
                <w:szCs w:val="22"/>
                <w:lang w:val="sr-Latn-ME"/>
              </w:rPr>
            </w:pPr>
            <w:r w:rsidRPr="00F16B0C">
              <w:rPr>
                <w:sz w:val="22"/>
                <w:szCs w:val="22"/>
                <w:lang w:val="sr-Latn-ME"/>
              </w:rPr>
              <w:t>Endokrini poremjećaji</w:t>
            </w:r>
          </w:p>
        </w:tc>
        <w:tc>
          <w:tcPr>
            <w:tcW w:w="844" w:type="pct"/>
          </w:tcPr>
          <w:p w14:paraId="54E7B539" w14:textId="77777777" w:rsidR="003C6204" w:rsidRPr="00F16B0C" w:rsidRDefault="003C6204" w:rsidP="00F16B0C">
            <w:pPr>
              <w:widowControl w:val="0"/>
              <w:autoSpaceDE w:val="0"/>
              <w:autoSpaceDN w:val="0"/>
              <w:ind w:left="5"/>
              <w:rPr>
                <w:sz w:val="22"/>
                <w:szCs w:val="22"/>
                <w:lang w:val="sr-Latn-ME"/>
              </w:rPr>
            </w:pPr>
            <w:r w:rsidRPr="00F16B0C">
              <w:rPr>
                <w:sz w:val="22"/>
                <w:szCs w:val="22"/>
                <w:lang w:val="sr-Latn-ME"/>
              </w:rPr>
              <w:t>Često</w:t>
            </w:r>
          </w:p>
        </w:tc>
        <w:tc>
          <w:tcPr>
            <w:tcW w:w="1962" w:type="pct"/>
          </w:tcPr>
          <w:p w14:paraId="58201D27" w14:textId="77777777" w:rsidR="003C6204" w:rsidRPr="00F16B0C" w:rsidRDefault="003C6204" w:rsidP="00F16B0C">
            <w:pPr>
              <w:widowControl w:val="0"/>
              <w:autoSpaceDE w:val="0"/>
              <w:autoSpaceDN w:val="0"/>
              <w:ind w:left="38"/>
              <w:rPr>
                <w:sz w:val="22"/>
                <w:szCs w:val="22"/>
                <w:lang w:val="sr-Latn-ME"/>
              </w:rPr>
            </w:pPr>
            <w:r w:rsidRPr="00F16B0C">
              <w:rPr>
                <w:sz w:val="22"/>
                <w:szCs w:val="22"/>
                <w:lang w:val="sr-Latn-ME"/>
              </w:rPr>
              <w:t>Hipotireoidizam</w:t>
            </w:r>
          </w:p>
        </w:tc>
      </w:tr>
      <w:tr w:rsidR="003C6204" w:rsidRPr="00F16B0C" w14:paraId="1E20619F" w14:textId="77777777" w:rsidTr="00F16B0C">
        <w:trPr>
          <w:trHeight w:val="506"/>
        </w:trPr>
        <w:tc>
          <w:tcPr>
            <w:tcW w:w="2193" w:type="pct"/>
            <w:vMerge w:val="restart"/>
          </w:tcPr>
          <w:p w14:paraId="4370100B" w14:textId="77777777" w:rsidR="003C6204" w:rsidRPr="00F16B0C" w:rsidRDefault="003C6204" w:rsidP="00F16B0C">
            <w:pPr>
              <w:widowControl w:val="0"/>
              <w:autoSpaceDE w:val="0"/>
              <w:autoSpaceDN w:val="0"/>
              <w:rPr>
                <w:b/>
                <w:sz w:val="22"/>
                <w:szCs w:val="22"/>
                <w:lang w:val="sr-Latn-ME"/>
              </w:rPr>
            </w:pPr>
          </w:p>
          <w:p w14:paraId="3D2440A0" w14:textId="77777777" w:rsidR="003C6204" w:rsidRPr="00F16B0C" w:rsidRDefault="003C6204" w:rsidP="00F16B0C">
            <w:pPr>
              <w:widowControl w:val="0"/>
              <w:autoSpaceDE w:val="0"/>
              <w:autoSpaceDN w:val="0"/>
              <w:ind w:left="38"/>
              <w:rPr>
                <w:sz w:val="22"/>
                <w:szCs w:val="22"/>
                <w:lang w:val="sr-Latn-ME"/>
              </w:rPr>
            </w:pPr>
            <w:r w:rsidRPr="00F16B0C">
              <w:rPr>
                <w:sz w:val="22"/>
                <w:szCs w:val="22"/>
                <w:lang w:val="sr-Latn-ME"/>
              </w:rPr>
              <w:t>Gastrointestinalni poremjećaji</w:t>
            </w:r>
          </w:p>
        </w:tc>
        <w:tc>
          <w:tcPr>
            <w:tcW w:w="844" w:type="pct"/>
          </w:tcPr>
          <w:p w14:paraId="32D010AB" w14:textId="77777777" w:rsidR="003C6204" w:rsidRPr="00F16B0C" w:rsidRDefault="003C6204" w:rsidP="00F16B0C">
            <w:pPr>
              <w:widowControl w:val="0"/>
              <w:autoSpaceDE w:val="0"/>
              <w:autoSpaceDN w:val="0"/>
              <w:ind w:left="5"/>
              <w:rPr>
                <w:sz w:val="22"/>
                <w:szCs w:val="22"/>
                <w:lang w:val="sr-Latn-ME"/>
              </w:rPr>
            </w:pPr>
            <w:r w:rsidRPr="00F16B0C">
              <w:rPr>
                <w:sz w:val="22"/>
                <w:szCs w:val="22"/>
                <w:lang w:val="sr-Latn-ME"/>
              </w:rPr>
              <w:t>Veoma često</w:t>
            </w:r>
          </w:p>
        </w:tc>
        <w:tc>
          <w:tcPr>
            <w:tcW w:w="1962" w:type="pct"/>
          </w:tcPr>
          <w:p w14:paraId="731C4217" w14:textId="77777777" w:rsidR="003C6204" w:rsidRPr="00F16B0C" w:rsidRDefault="003C6204" w:rsidP="00F16B0C">
            <w:pPr>
              <w:widowControl w:val="0"/>
              <w:autoSpaceDE w:val="0"/>
              <w:autoSpaceDN w:val="0"/>
              <w:ind w:left="38"/>
              <w:rPr>
                <w:sz w:val="22"/>
                <w:szCs w:val="22"/>
                <w:lang w:val="sr-Latn-ME"/>
              </w:rPr>
            </w:pPr>
            <w:r w:rsidRPr="00F16B0C">
              <w:rPr>
                <w:sz w:val="22"/>
                <w:szCs w:val="22"/>
                <w:lang w:val="sr-Latn-ME"/>
              </w:rPr>
              <w:t>Konstipacija, proliv, mučnina, stomatitis</w:t>
            </w:r>
          </w:p>
        </w:tc>
      </w:tr>
      <w:tr w:rsidR="003C6204" w:rsidRPr="00F16B0C" w14:paraId="416BF4C6" w14:textId="77777777" w:rsidTr="00F16B0C">
        <w:trPr>
          <w:trHeight w:val="250"/>
        </w:trPr>
        <w:tc>
          <w:tcPr>
            <w:tcW w:w="2193" w:type="pct"/>
            <w:vMerge/>
            <w:tcBorders>
              <w:top w:val="nil"/>
            </w:tcBorders>
          </w:tcPr>
          <w:p w14:paraId="5B4DCE94" w14:textId="77777777" w:rsidR="003C6204" w:rsidRPr="00F16B0C" w:rsidRDefault="003C6204" w:rsidP="00F16B0C">
            <w:pPr>
              <w:widowControl w:val="0"/>
              <w:autoSpaceDE w:val="0"/>
              <w:autoSpaceDN w:val="0"/>
              <w:rPr>
                <w:sz w:val="22"/>
                <w:szCs w:val="22"/>
                <w:lang w:val="sr-Latn-ME"/>
              </w:rPr>
            </w:pPr>
          </w:p>
        </w:tc>
        <w:tc>
          <w:tcPr>
            <w:tcW w:w="844" w:type="pct"/>
          </w:tcPr>
          <w:p w14:paraId="52FAD7FC" w14:textId="77777777" w:rsidR="003C6204" w:rsidRPr="00F16B0C" w:rsidRDefault="003C6204" w:rsidP="00F16B0C">
            <w:pPr>
              <w:widowControl w:val="0"/>
              <w:autoSpaceDE w:val="0"/>
              <w:autoSpaceDN w:val="0"/>
              <w:ind w:left="5"/>
              <w:rPr>
                <w:sz w:val="22"/>
                <w:szCs w:val="22"/>
                <w:lang w:val="sr-Latn-ME"/>
              </w:rPr>
            </w:pPr>
            <w:r w:rsidRPr="00F16B0C">
              <w:rPr>
                <w:sz w:val="22"/>
                <w:szCs w:val="22"/>
                <w:lang w:val="sr-Latn-ME"/>
              </w:rPr>
              <w:t>Često</w:t>
            </w:r>
          </w:p>
        </w:tc>
        <w:tc>
          <w:tcPr>
            <w:tcW w:w="1962" w:type="pct"/>
          </w:tcPr>
          <w:p w14:paraId="7C3CBEAD" w14:textId="77777777" w:rsidR="003C6204" w:rsidRPr="00F16B0C" w:rsidRDefault="003C6204" w:rsidP="00F16B0C">
            <w:pPr>
              <w:widowControl w:val="0"/>
              <w:autoSpaceDE w:val="0"/>
              <w:autoSpaceDN w:val="0"/>
              <w:ind w:left="38"/>
              <w:rPr>
                <w:sz w:val="22"/>
                <w:szCs w:val="22"/>
                <w:lang w:val="sr-Latn-ME"/>
              </w:rPr>
            </w:pPr>
            <w:r w:rsidRPr="00F16B0C">
              <w:rPr>
                <w:sz w:val="22"/>
                <w:szCs w:val="22"/>
                <w:lang w:val="sr-Latn-ME"/>
              </w:rPr>
              <w:t>Povraćanje</w:t>
            </w:r>
          </w:p>
        </w:tc>
      </w:tr>
      <w:tr w:rsidR="003C6204" w:rsidRPr="00F16B0C" w14:paraId="376BF134" w14:textId="77777777" w:rsidTr="00F16B0C">
        <w:trPr>
          <w:trHeight w:val="516"/>
        </w:trPr>
        <w:tc>
          <w:tcPr>
            <w:tcW w:w="2193" w:type="pct"/>
          </w:tcPr>
          <w:p w14:paraId="659A2891" w14:textId="77777777" w:rsidR="003C6204" w:rsidRPr="00F16B0C" w:rsidRDefault="003C6204" w:rsidP="00F16B0C">
            <w:pPr>
              <w:widowControl w:val="0"/>
              <w:autoSpaceDE w:val="0"/>
              <w:autoSpaceDN w:val="0"/>
              <w:ind w:left="38"/>
              <w:rPr>
                <w:sz w:val="22"/>
                <w:szCs w:val="22"/>
                <w:lang w:val="sr-Latn-ME"/>
              </w:rPr>
            </w:pPr>
            <w:r w:rsidRPr="00F16B0C">
              <w:rPr>
                <w:sz w:val="22"/>
                <w:szCs w:val="22"/>
                <w:lang w:val="sr-Latn-ME"/>
              </w:rPr>
              <w:t>Opšti poremjećaji i stanja na mjestu primjene</w:t>
            </w:r>
          </w:p>
        </w:tc>
        <w:tc>
          <w:tcPr>
            <w:tcW w:w="844" w:type="pct"/>
          </w:tcPr>
          <w:p w14:paraId="66133E4E" w14:textId="77777777" w:rsidR="003C6204" w:rsidRPr="00F16B0C" w:rsidRDefault="003C6204" w:rsidP="00F16B0C">
            <w:pPr>
              <w:widowControl w:val="0"/>
              <w:autoSpaceDE w:val="0"/>
              <w:autoSpaceDN w:val="0"/>
              <w:ind w:left="5"/>
              <w:rPr>
                <w:sz w:val="22"/>
                <w:szCs w:val="22"/>
                <w:lang w:val="sr-Latn-ME"/>
              </w:rPr>
            </w:pPr>
            <w:r w:rsidRPr="00F16B0C">
              <w:rPr>
                <w:sz w:val="22"/>
                <w:szCs w:val="22"/>
                <w:lang w:val="sr-Latn-ME"/>
              </w:rPr>
              <w:t>Veoma često</w:t>
            </w:r>
          </w:p>
        </w:tc>
        <w:tc>
          <w:tcPr>
            <w:tcW w:w="1962" w:type="pct"/>
          </w:tcPr>
          <w:p w14:paraId="0B4A2B4D" w14:textId="77777777" w:rsidR="003C6204" w:rsidRPr="00F16B0C" w:rsidRDefault="003C6204" w:rsidP="00F16B0C">
            <w:pPr>
              <w:widowControl w:val="0"/>
              <w:autoSpaceDE w:val="0"/>
              <w:autoSpaceDN w:val="0"/>
              <w:ind w:left="38"/>
              <w:rPr>
                <w:sz w:val="22"/>
                <w:szCs w:val="22"/>
                <w:lang w:val="sr-Latn-ME"/>
              </w:rPr>
            </w:pPr>
            <w:r w:rsidRPr="00F16B0C">
              <w:rPr>
                <w:sz w:val="22"/>
                <w:szCs w:val="22"/>
                <w:lang w:val="sr-Latn-ME"/>
              </w:rPr>
              <w:t>Umor, periferni edem, pireksija</w:t>
            </w:r>
          </w:p>
        </w:tc>
      </w:tr>
      <w:tr w:rsidR="003C6204" w:rsidRPr="00F16B0C" w14:paraId="00FE96CD" w14:textId="77777777" w:rsidTr="00F16B0C">
        <w:trPr>
          <w:trHeight w:val="252"/>
        </w:trPr>
        <w:tc>
          <w:tcPr>
            <w:tcW w:w="2193" w:type="pct"/>
          </w:tcPr>
          <w:p w14:paraId="431135A0" w14:textId="77777777" w:rsidR="003C6204" w:rsidRPr="00F16B0C" w:rsidRDefault="003C6204" w:rsidP="00F16B0C">
            <w:pPr>
              <w:widowControl w:val="0"/>
              <w:autoSpaceDE w:val="0"/>
              <w:autoSpaceDN w:val="0"/>
              <w:ind w:left="38"/>
              <w:rPr>
                <w:sz w:val="22"/>
                <w:szCs w:val="22"/>
                <w:lang w:val="sr-Latn-ME"/>
              </w:rPr>
            </w:pPr>
            <w:r w:rsidRPr="00F16B0C">
              <w:rPr>
                <w:sz w:val="22"/>
                <w:szCs w:val="22"/>
                <w:lang w:val="sr-Latn-ME"/>
              </w:rPr>
              <w:t>Hepatobilijarni poremjećaji</w:t>
            </w:r>
          </w:p>
        </w:tc>
        <w:tc>
          <w:tcPr>
            <w:tcW w:w="844" w:type="pct"/>
          </w:tcPr>
          <w:p w14:paraId="06431DE2" w14:textId="77777777" w:rsidR="003C6204" w:rsidRPr="00F16B0C" w:rsidRDefault="003C6204" w:rsidP="00F16B0C">
            <w:pPr>
              <w:widowControl w:val="0"/>
              <w:autoSpaceDE w:val="0"/>
              <w:autoSpaceDN w:val="0"/>
              <w:ind w:left="5"/>
              <w:rPr>
                <w:sz w:val="22"/>
                <w:szCs w:val="22"/>
                <w:lang w:val="sr-Latn-ME"/>
              </w:rPr>
            </w:pPr>
            <w:r w:rsidRPr="00F16B0C">
              <w:rPr>
                <w:sz w:val="22"/>
                <w:szCs w:val="22"/>
                <w:lang w:val="sr-Latn-ME"/>
              </w:rPr>
              <w:t>Povremeno</w:t>
            </w:r>
          </w:p>
        </w:tc>
        <w:tc>
          <w:tcPr>
            <w:tcW w:w="1962" w:type="pct"/>
          </w:tcPr>
          <w:p w14:paraId="57DE2A03" w14:textId="77777777" w:rsidR="003C6204" w:rsidRPr="00F16B0C" w:rsidRDefault="003C6204" w:rsidP="00F16B0C">
            <w:pPr>
              <w:widowControl w:val="0"/>
              <w:autoSpaceDE w:val="0"/>
              <w:autoSpaceDN w:val="0"/>
              <w:ind w:left="38"/>
              <w:rPr>
                <w:sz w:val="22"/>
                <w:szCs w:val="22"/>
                <w:lang w:val="sr-Latn-ME"/>
              </w:rPr>
            </w:pPr>
            <w:r w:rsidRPr="00F16B0C">
              <w:rPr>
                <w:sz w:val="22"/>
                <w:szCs w:val="22"/>
                <w:lang w:val="sr-Latn-ME"/>
              </w:rPr>
              <w:t>Akutni hepatitis, hepatitis</w:t>
            </w:r>
          </w:p>
        </w:tc>
      </w:tr>
      <w:tr w:rsidR="003C6204" w:rsidRPr="00F16B0C" w14:paraId="3A18E2F6" w14:textId="77777777" w:rsidTr="00F16B0C">
        <w:trPr>
          <w:trHeight w:val="252"/>
        </w:trPr>
        <w:tc>
          <w:tcPr>
            <w:tcW w:w="2193" w:type="pct"/>
            <w:vMerge w:val="restart"/>
          </w:tcPr>
          <w:p w14:paraId="41EBE48E" w14:textId="77777777" w:rsidR="003C6204" w:rsidRPr="00F16B0C" w:rsidRDefault="003C6204" w:rsidP="00F16B0C">
            <w:pPr>
              <w:widowControl w:val="0"/>
              <w:autoSpaceDE w:val="0"/>
              <w:autoSpaceDN w:val="0"/>
              <w:ind w:left="38"/>
              <w:rPr>
                <w:sz w:val="22"/>
                <w:szCs w:val="22"/>
                <w:lang w:val="sr-Latn-ME"/>
              </w:rPr>
            </w:pPr>
            <w:r w:rsidRPr="00F16B0C">
              <w:rPr>
                <w:sz w:val="22"/>
                <w:szCs w:val="22"/>
                <w:lang w:val="sr-Latn-ME"/>
              </w:rPr>
              <w:t>Infekcije i infestacije</w:t>
            </w:r>
          </w:p>
        </w:tc>
        <w:tc>
          <w:tcPr>
            <w:tcW w:w="844" w:type="pct"/>
          </w:tcPr>
          <w:p w14:paraId="11ABEA44" w14:textId="77777777" w:rsidR="003C6204" w:rsidRPr="00F16B0C" w:rsidRDefault="003C6204" w:rsidP="00F16B0C">
            <w:pPr>
              <w:widowControl w:val="0"/>
              <w:autoSpaceDE w:val="0"/>
              <w:autoSpaceDN w:val="0"/>
              <w:ind w:left="5"/>
              <w:rPr>
                <w:sz w:val="22"/>
                <w:szCs w:val="22"/>
                <w:lang w:val="sr-Latn-ME"/>
              </w:rPr>
            </w:pPr>
            <w:r w:rsidRPr="00F16B0C">
              <w:rPr>
                <w:sz w:val="22"/>
                <w:szCs w:val="22"/>
                <w:lang w:val="sr-Latn-ME"/>
              </w:rPr>
              <w:t>Veoma često</w:t>
            </w:r>
          </w:p>
        </w:tc>
        <w:tc>
          <w:tcPr>
            <w:tcW w:w="1962" w:type="pct"/>
          </w:tcPr>
          <w:p w14:paraId="0B46E702" w14:textId="77777777" w:rsidR="003C6204" w:rsidRPr="00F16B0C" w:rsidRDefault="003C6204" w:rsidP="00F16B0C">
            <w:pPr>
              <w:widowControl w:val="0"/>
              <w:autoSpaceDE w:val="0"/>
              <w:autoSpaceDN w:val="0"/>
              <w:ind w:left="38"/>
              <w:rPr>
                <w:sz w:val="22"/>
                <w:szCs w:val="22"/>
                <w:lang w:val="sr-Latn-ME"/>
              </w:rPr>
            </w:pPr>
            <w:r w:rsidRPr="00F16B0C">
              <w:rPr>
                <w:sz w:val="22"/>
                <w:szCs w:val="22"/>
                <w:lang w:val="sr-Latn-ME"/>
              </w:rPr>
              <w:t>Infekcije</w:t>
            </w:r>
            <w:r w:rsidRPr="00F16B0C">
              <w:rPr>
                <w:sz w:val="22"/>
                <w:szCs w:val="22"/>
                <w:vertAlign w:val="superscript"/>
                <w:lang w:val="sr-Latn-ME"/>
              </w:rPr>
              <w:t>a</w:t>
            </w:r>
          </w:p>
        </w:tc>
      </w:tr>
      <w:tr w:rsidR="003C6204" w:rsidRPr="00F16B0C" w14:paraId="1CB1B5B7" w14:textId="77777777" w:rsidTr="00F16B0C">
        <w:trPr>
          <w:trHeight w:val="252"/>
        </w:trPr>
        <w:tc>
          <w:tcPr>
            <w:tcW w:w="2193" w:type="pct"/>
            <w:vMerge/>
            <w:tcBorders>
              <w:top w:val="nil"/>
            </w:tcBorders>
          </w:tcPr>
          <w:p w14:paraId="67C7C9C9" w14:textId="77777777" w:rsidR="003C6204" w:rsidRPr="00F16B0C" w:rsidRDefault="003C6204" w:rsidP="00F16B0C">
            <w:pPr>
              <w:widowControl w:val="0"/>
              <w:autoSpaceDE w:val="0"/>
              <w:autoSpaceDN w:val="0"/>
              <w:rPr>
                <w:sz w:val="22"/>
                <w:szCs w:val="22"/>
                <w:lang w:val="sr-Latn-ME"/>
              </w:rPr>
            </w:pPr>
          </w:p>
        </w:tc>
        <w:tc>
          <w:tcPr>
            <w:tcW w:w="844" w:type="pct"/>
          </w:tcPr>
          <w:p w14:paraId="76951CBA" w14:textId="77777777" w:rsidR="003C6204" w:rsidRPr="00F16B0C" w:rsidRDefault="003C6204" w:rsidP="00F16B0C">
            <w:pPr>
              <w:widowControl w:val="0"/>
              <w:autoSpaceDE w:val="0"/>
              <w:autoSpaceDN w:val="0"/>
              <w:ind w:left="5"/>
              <w:rPr>
                <w:sz w:val="22"/>
                <w:szCs w:val="22"/>
                <w:lang w:val="sr-Latn-ME"/>
              </w:rPr>
            </w:pPr>
            <w:r w:rsidRPr="00F16B0C">
              <w:rPr>
                <w:sz w:val="22"/>
                <w:szCs w:val="22"/>
                <w:lang w:val="sr-Latn-ME"/>
              </w:rPr>
              <w:t>Često</w:t>
            </w:r>
          </w:p>
        </w:tc>
        <w:tc>
          <w:tcPr>
            <w:tcW w:w="1962" w:type="pct"/>
          </w:tcPr>
          <w:p w14:paraId="517BFD50" w14:textId="77777777" w:rsidR="003C6204" w:rsidRPr="00F16B0C" w:rsidRDefault="003C6204" w:rsidP="00F16B0C">
            <w:pPr>
              <w:widowControl w:val="0"/>
              <w:autoSpaceDE w:val="0"/>
              <w:autoSpaceDN w:val="0"/>
              <w:ind w:left="38"/>
              <w:rPr>
                <w:sz w:val="22"/>
                <w:szCs w:val="22"/>
                <w:lang w:val="sr-Latn-ME"/>
              </w:rPr>
            </w:pPr>
            <w:r w:rsidRPr="00F16B0C">
              <w:rPr>
                <w:sz w:val="22"/>
                <w:szCs w:val="22"/>
                <w:lang w:val="sr-Latn-ME"/>
              </w:rPr>
              <w:t>Infekcija gornjih disajnih puteva</w:t>
            </w:r>
          </w:p>
        </w:tc>
      </w:tr>
      <w:tr w:rsidR="003C6204" w:rsidRPr="00F16B0C" w14:paraId="2495811B" w14:textId="77777777" w:rsidTr="00F16B0C">
        <w:trPr>
          <w:trHeight w:val="505"/>
        </w:trPr>
        <w:tc>
          <w:tcPr>
            <w:tcW w:w="2193" w:type="pct"/>
          </w:tcPr>
          <w:p w14:paraId="6894E42D" w14:textId="77777777" w:rsidR="003C6204" w:rsidRPr="00F16B0C" w:rsidRDefault="003C6204" w:rsidP="00F16B0C">
            <w:pPr>
              <w:widowControl w:val="0"/>
              <w:autoSpaceDE w:val="0"/>
              <w:autoSpaceDN w:val="0"/>
              <w:ind w:left="38"/>
              <w:rPr>
                <w:sz w:val="22"/>
                <w:szCs w:val="22"/>
                <w:lang w:val="sr-Latn-ME"/>
              </w:rPr>
            </w:pPr>
            <w:r w:rsidRPr="00F16B0C">
              <w:rPr>
                <w:sz w:val="22"/>
                <w:szCs w:val="22"/>
                <w:lang w:val="sr-Latn-ME"/>
              </w:rPr>
              <w:t>Povreda, trovanje i proceduralne komplikacije</w:t>
            </w:r>
          </w:p>
        </w:tc>
        <w:tc>
          <w:tcPr>
            <w:tcW w:w="844" w:type="pct"/>
          </w:tcPr>
          <w:p w14:paraId="3302831E" w14:textId="77777777" w:rsidR="003C6204" w:rsidRPr="00F16B0C" w:rsidRDefault="003C6204" w:rsidP="00F16B0C">
            <w:pPr>
              <w:widowControl w:val="0"/>
              <w:autoSpaceDE w:val="0"/>
              <w:autoSpaceDN w:val="0"/>
              <w:ind w:left="5"/>
              <w:rPr>
                <w:sz w:val="22"/>
                <w:szCs w:val="22"/>
                <w:lang w:val="sr-Latn-ME"/>
              </w:rPr>
            </w:pPr>
            <w:r w:rsidRPr="00F16B0C">
              <w:rPr>
                <w:sz w:val="22"/>
                <w:szCs w:val="22"/>
                <w:lang w:val="sr-Latn-ME"/>
              </w:rPr>
              <w:t>Veoma često</w:t>
            </w:r>
          </w:p>
        </w:tc>
        <w:tc>
          <w:tcPr>
            <w:tcW w:w="1962" w:type="pct"/>
          </w:tcPr>
          <w:p w14:paraId="026CD78A" w14:textId="77777777" w:rsidR="003C6204" w:rsidRPr="00F16B0C" w:rsidRDefault="003C6204" w:rsidP="00F16B0C">
            <w:pPr>
              <w:widowControl w:val="0"/>
              <w:autoSpaceDE w:val="0"/>
              <w:autoSpaceDN w:val="0"/>
              <w:ind w:left="38"/>
              <w:rPr>
                <w:sz w:val="22"/>
                <w:szCs w:val="22"/>
                <w:lang w:val="sr-Latn-ME"/>
              </w:rPr>
            </w:pPr>
            <w:r w:rsidRPr="00F16B0C">
              <w:rPr>
                <w:sz w:val="22"/>
                <w:szCs w:val="22"/>
                <w:lang w:val="sr-Latn-ME"/>
              </w:rPr>
              <w:t>Reakcija povezana sa infuzijom</w:t>
            </w:r>
          </w:p>
        </w:tc>
      </w:tr>
      <w:tr w:rsidR="003C6204" w:rsidRPr="00F16B0C" w14:paraId="3DC6BE10" w14:textId="77777777" w:rsidTr="00F16B0C">
        <w:trPr>
          <w:trHeight w:val="1018"/>
        </w:trPr>
        <w:tc>
          <w:tcPr>
            <w:tcW w:w="2193" w:type="pct"/>
          </w:tcPr>
          <w:p w14:paraId="1686B697" w14:textId="77777777" w:rsidR="003C6204" w:rsidRPr="00F16B0C" w:rsidRDefault="003C6204" w:rsidP="00F16B0C">
            <w:pPr>
              <w:widowControl w:val="0"/>
              <w:autoSpaceDE w:val="0"/>
              <w:autoSpaceDN w:val="0"/>
              <w:ind w:left="38"/>
              <w:rPr>
                <w:sz w:val="22"/>
                <w:szCs w:val="22"/>
                <w:lang w:val="sr-Latn-ME"/>
              </w:rPr>
            </w:pPr>
            <w:r w:rsidRPr="00F16B0C">
              <w:rPr>
                <w:sz w:val="22"/>
                <w:szCs w:val="22"/>
                <w:lang w:val="sr-Latn-ME"/>
              </w:rPr>
              <w:t>Ispitivanja</w:t>
            </w:r>
          </w:p>
        </w:tc>
        <w:tc>
          <w:tcPr>
            <w:tcW w:w="844" w:type="pct"/>
          </w:tcPr>
          <w:p w14:paraId="491777CD" w14:textId="77777777" w:rsidR="003C6204" w:rsidRPr="00F16B0C" w:rsidRDefault="003C6204" w:rsidP="00F16B0C">
            <w:pPr>
              <w:widowControl w:val="0"/>
              <w:autoSpaceDE w:val="0"/>
              <w:autoSpaceDN w:val="0"/>
              <w:ind w:left="5"/>
              <w:rPr>
                <w:sz w:val="22"/>
                <w:szCs w:val="22"/>
                <w:lang w:val="sr-Latn-ME"/>
              </w:rPr>
            </w:pPr>
            <w:r w:rsidRPr="00F16B0C">
              <w:rPr>
                <w:sz w:val="22"/>
                <w:szCs w:val="22"/>
                <w:lang w:val="sr-Latn-ME"/>
              </w:rPr>
              <w:t>Često</w:t>
            </w:r>
          </w:p>
        </w:tc>
        <w:tc>
          <w:tcPr>
            <w:tcW w:w="1962" w:type="pct"/>
          </w:tcPr>
          <w:p w14:paraId="245BCF1D" w14:textId="77777777" w:rsidR="003C6204" w:rsidRPr="00F16B0C" w:rsidRDefault="003C6204" w:rsidP="00F16B0C">
            <w:pPr>
              <w:widowControl w:val="0"/>
              <w:autoSpaceDE w:val="0"/>
              <w:autoSpaceDN w:val="0"/>
              <w:ind w:left="38"/>
              <w:rPr>
                <w:sz w:val="22"/>
                <w:szCs w:val="22"/>
                <w:lang w:val="sr-Latn-ME"/>
              </w:rPr>
            </w:pPr>
            <w:r w:rsidRPr="00F16B0C">
              <w:rPr>
                <w:sz w:val="22"/>
                <w:szCs w:val="22"/>
                <w:lang w:val="sr-Latn-ME"/>
              </w:rPr>
              <w:t>Povišena alanin aminotransferaza, povišena aspartat aminotransferaza,</w:t>
            </w:r>
          </w:p>
          <w:p w14:paraId="712544A1" w14:textId="77777777" w:rsidR="003C6204" w:rsidRPr="00F16B0C" w:rsidRDefault="003C6204" w:rsidP="00F16B0C">
            <w:pPr>
              <w:widowControl w:val="0"/>
              <w:autoSpaceDE w:val="0"/>
              <w:autoSpaceDN w:val="0"/>
              <w:ind w:left="38"/>
              <w:rPr>
                <w:sz w:val="22"/>
                <w:szCs w:val="22"/>
                <w:lang w:val="sr-Latn-ME"/>
              </w:rPr>
            </w:pPr>
            <w:r w:rsidRPr="00F16B0C">
              <w:rPr>
                <w:sz w:val="22"/>
                <w:szCs w:val="22"/>
                <w:lang w:val="sr-Latn-ME"/>
              </w:rPr>
              <w:t>povišena alkalna fosfataza u krvi, smanjen broj limfocita</w:t>
            </w:r>
          </w:p>
        </w:tc>
      </w:tr>
      <w:tr w:rsidR="003C6204" w:rsidRPr="00F16B0C" w14:paraId="476968F8" w14:textId="77777777" w:rsidTr="00F16B0C">
        <w:trPr>
          <w:trHeight w:val="252"/>
        </w:trPr>
        <w:tc>
          <w:tcPr>
            <w:tcW w:w="2193" w:type="pct"/>
          </w:tcPr>
          <w:p w14:paraId="0C76431C" w14:textId="77777777" w:rsidR="003C6204" w:rsidRPr="00F16B0C" w:rsidRDefault="003C6204" w:rsidP="00F16B0C">
            <w:pPr>
              <w:widowControl w:val="0"/>
              <w:autoSpaceDE w:val="0"/>
              <w:autoSpaceDN w:val="0"/>
              <w:ind w:left="38"/>
              <w:rPr>
                <w:sz w:val="22"/>
                <w:szCs w:val="22"/>
                <w:lang w:val="sr-Latn-ME"/>
              </w:rPr>
            </w:pPr>
            <w:r w:rsidRPr="00F16B0C">
              <w:rPr>
                <w:sz w:val="22"/>
                <w:szCs w:val="22"/>
                <w:lang w:val="sr-Latn-ME"/>
              </w:rPr>
              <w:t>Poremjećaji metabolizma i ishrane</w:t>
            </w:r>
          </w:p>
        </w:tc>
        <w:tc>
          <w:tcPr>
            <w:tcW w:w="844" w:type="pct"/>
          </w:tcPr>
          <w:p w14:paraId="2FF92DBD" w14:textId="77777777" w:rsidR="003C6204" w:rsidRPr="00F16B0C" w:rsidRDefault="003C6204" w:rsidP="00F16B0C">
            <w:pPr>
              <w:widowControl w:val="0"/>
              <w:autoSpaceDE w:val="0"/>
              <w:autoSpaceDN w:val="0"/>
              <w:ind w:left="5"/>
              <w:rPr>
                <w:sz w:val="22"/>
                <w:szCs w:val="22"/>
                <w:lang w:val="sr-Latn-ME"/>
              </w:rPr>
            </w:pPr>
            <w:r w:rsidRPr="00F16B0C">
              <w:rPr>
                <w:sz w:val="22"/>
                <w:szCs w:val="22"/>
                <w:lang w:val="sr-Latn-ME"/>
              </w:rPr>
              <w:t>Povremeno</w:t>
            </w:r>
          </w:p>
        </w:tc>
        <w:tc>
          <w:tcPr>
            <w:tcW w:w="1962" w:type="pct"/>
          </w:tcPr>
          <w:p w14:paraId="055C77B7" w14:textId="77777777" w:rsidR="003C6204" w:rsidRPr="00F16B0C" w:rsidRDefault="003C6204" w:rsidP="00F16B0C">
            <w:pPr>
              <w:widowControl w:val="0"/>
              <w:autoSpaceDE w:val="0"/>
              <w:autoSpaceDN w:val="0"/>
              <w:ind w:left="38"/>
              <w:rPr>
                <w:sz w:val="22"/>
                <w:szCs w:val="22"/>
                <w:lang w:val="sr-Latn-ME"/>
              </w:rPr>
            </w:pPr>
            <w:r w:rsidRPr="00F16B0C">
              <w:rPr>
                <w:sz w:val="22"/>
                <w:szCs w:val="22"/>
                <w:lang w:val="sr-Latn-ME"/>
              </w:rPr>
              <w:t>Sindrom lize tumora</w:t>
            </w:r>
          </w:p>
        </w:tc>
      </w:tr>
      <w:tr w:rsidR="003C6204" w:rsidRPr="00F16B0C" w14:paraId="798D75B7" w14:textId="77777777" w:rsidTr="00F16B0C">
        <w:trPr>
          <w:trHeight w:val="253"/>
        </w:trPr>
        <w:tc>
          <w:tcPr>
            <w:tcW w:w="2193" w:type="pct"/>
          </w:tcPr>
          <w:p w14:paraId="31ECC27E" w14:textId="77777777" w:rsidR="003C6204" w:rsidRPr="00F16B0C" w:rsidRDefault="003C6204" w:rsidP="00F16B0C">
            <w:pPr>
              <w:widowControl w:val="0"/>
              <w:autoSpaceDE w:val="0"/>
              <w:autoSpaceDN w:val="0"/>
              <w:ind w:left="38"/>
              <w:rPr>
                <w:sz w:val="22"/>
                <w:szCs w:val="22"/>
                <w:lang w:val="sr-Latn-ME"/>
              </w:rPr>
            </w:pPr>
            <w:r w:rsidRPr="00F16B0C">
              <w:rPr>
                <w:sz w:val="22"/>
                <w:szCs w:val="22"/>
                <w:lang w:val="sr-Latn-ME"/>
              </w:rPr>
              <w:t>Poremjećaji nervnog sistema</w:t>
            </w:r>
          </w:p>
        </w:tc>
        <w:tc>
          <w:tcPr>
            <w:tcW w:w="844" w:type="pct"/>
          </w:tcPr>
          <w:p w14:paraId="62EE31CA" w14:textId="77777777" w:rsidR="003C6204" w:rsidRPr="00F16B0C" w:rsidRDefault="003C6204" w:rsidP="00F16B0C">
            <w:pPr>
              <w:widowControl w:val="0"/>
              <w:autoSpaceDE w:val="0"/>
              <w:autoSpaceDN w:val="0"/>
              <w:ind w:left="5"/>
              <w:rPr>
                <w:sz w:val="22"/>
                <w:szCs w:val="22"/>
                <w:lang w:val="sr-Latn-ME"/>
              </w:rPr>
            </w:pPr>
            <w:r w:rsidRPr="00F16B0C">
              <w:rPr>
                <w:sz w:val="22"/>
                <w:szCs w:val="22"/>
                <w:lang w:val="sr-Latn-ME"/>
              </w:rPr>
              <w:t>Veoma često</w:t>
            </w:r>
          </w:p>
        </w:tc>
        <w:tc>
          <w:tcPr>
            <w:tcW w:w="1962" w:type="pct"/>
          </w:tcPr>
          <w:p w14:paraId="66F9004D" w14:textId="77777777" w:rsidR="003C6204" w:rsidRPr="00F16B0C" w:rsidRDefault="003C6204" w:rsidP="00F16B0C">
            <w:pPr>
              <w:widowControl w:val="0"/>
              <w:autoSpaceDE w:val="0"/>
              <w:autoSpaceDN w:val="0"/>
              <w:ind w:left="38"/>
              <w:rPr>
                <w:sz w:val="22"/>
                <w:szCs w:val="22"/>
                <w:lang w:val="sr-Latn-ME"/>
              </w:rPr>
            </w:pPr>
            <w:r w:rsidRPr="00F16B0C">
              <w:rPr>
                <w:sz w:val="22"/>
                <w:szCs w:val="22"/>
                <w:lang w:val="sr-Latn-ME"/>
              </w:rPr>
              <w:t>Glavobolja</w:t>
            </w:r>
          </w:p>
        </w:tc>
      </w:tr>
      <w:tr w:rsidR="00DB6849" w:rsidRPr="00F16B0C" w14:paraId="7CB2E368" w14:textId="77777777" w:rsidTr="00F16B0C">
        <w:trPr>
          <w:trHeight w:val="252"/>
        </w:trPr>
        <w:tc>
          <w:tcPr>
            <w:tcW w:w="2193" w:type="pct"/>
            <w:vMerge w:val="restart"/>
          </w:tcPr>
          <w:p w14:paraId="42E9F553" w14:textId="77777777" w:rsidR="00DB6849" w:rsidRPr="00F16B0C" w:rsidRDefault="00DB6849" w:rsidP="00F16B0C">
            <w:pPr>
              <w:widowControl w:val="0"/>
              <w:autoSpaceDE w:val="0"/>
              <w:autoSpaceDN w:val="0"/>
              <w:ind w:left="38"/>
              <w:rPr>
                <w:sz w:val="22"/>
                <w:szCs w:val="22"/>
                <w:lang w:val="sr-Latn-ME"/>
              </w:rPr>
            </w:pPr>
          </w:p>
          <w:p w14:paraId="24755722" w14:textId="77777777" w:rsidR="00DB6849" w:rsidRPr="00F16B0C" w:rsidRDefault="00DB6849" w:rsidP="00F16B0C">
            <w:pPr>
              <w:widowControl w:val="0"/>
              <w:autoSpaceDE w:val="0"/>
              <w:autoSpaceDN w:val="0"/>
              <w:ind w:left="38"/>
              <w:rPr>
                <w:sz w:val="22"/>
                <w:szCs w:val="22"/>
                <w:lang w:val="sr-Latn-ME"/>
              </w:rPr>
            </w:pPr>
            <w:r w:rsidRPr="00F16B0C">
              <w:rPr>
                <w:sz w:val="22"/>
                <w:szCs w:val="22"/>
                <w:lang w:val="sr-Latn-ME"/>
              </w:rPr>
              <w:t>Poremjećaji kože i potkožnog tkiva</w:t>
            </w:r>
          </w:p>
        </w:tc>
        <w:tc>
          <w:tcPr>
            <w:tcW w:w="844" w:type="pct"/>
          </w:tcPr>
          <w:p w14:paraId="449C6EFF" w14:textId="77777777" w:rsidR="00DB6849" w:rsidRPr="00F16B0C" w:rsidRDefault="00DB6849" w:rsidP="00F16B0C">
            <w:pPr>
              <w:widowControl w:val="0"/>
              <w:autoSpaceDE w:val="0"/>
              <w:autoSpaceDN w:val="0"/>
              <w:ind w:left="5"/>
              <w:rPr>
                <w:sz w:val="22"/>
                <w:szCs w:val="22"/>
                <w:lang w:val="sr-Latn-ME"/>
              </w:rPr>
            </w:pPr>
            <w:r w:rsidRPr="00F16B0C">
              <w:rPr>
                <w:sz w:val="22"/>
                <w:szCs w:val="22"/>
                <w:lang w:val="sr-Latn-ME"/>
              </w:rPr>
              <w:t>Veoma često</w:t>
            </w:r>
          </w:p>
        </w:tc>
        <w:tc>
          <w:tcPr>
            <w:tcW w:w="1962" w:type="pct"/>
          </w:tcPr>
          <w:p w14:paraId="405AF697" w14:textId="77777777" w:rsidR="00DB6849" w:rsidRPr="00F16B0C" w:rsidRDefault="00DB6849" w:rsidP="00F16B0C">
            <w:pPr>
              <w:widowControl w:val="0"/>
              <w:autoSpaceDE w:val="0"/>
              <w:autoSpaceDN w:val="0"/>
              <w:ind w:left="38"/>
              <w:rPr>
                <w:sz w:val="22"/>
                <w:szCs w:val="22"/>
                <w:lang w:val="sr-Latn-ME"/>
              </w:rPr>
            </w:pPr>
            <w:r w:rsidRPr="00F16B0C">
              <w:rPr>
                <w:sz w:val="22"/>
                <w:szCs w:val="22"/>
                <w:lang w:val="sr-Latn-ME"/>
              </w:rPr>
              <w:t>Izbijanje kožnih promjena uzrokovano lijekom (uključujući osip kože)</w:t>
            </w:r>
          </w:p>
        </w:tc>
      </w:tr>
      <w:tr w:rsidR="00DB6849" w:rsidRPr="00F16B0C" w14:paraId="24E86D8C" w14:textId="77777777" w:rsidTr="00F16B0C">
        <w:trPr>
          <w:trHeight w:val="252"/>
        </w:trPr>
        <w:tc>
          <w:tcPr>
            <w:tcW w:w="2193" w:type="pct"/>
            <w:vMerge/>
          </w:tcPr>
          <w:p w14:paraId="75CB03D7" w14:textId="77777777" w:rsidR="00DB6849" w:rsidRPr="00F16B0C" w:rsidRDefault="00DB6849" w:rsidP="00F16B0C">
            <w:pPr>
              <w:widowControl w:val="0"/>
              <w:autoSpaceDE w:val="0"/>
              <w:autoSpaceDN w:val="0"/>
              <w:ind w:left="38"/>
              <w:jc w:val="both"/>
              <w:rPr>
                <w:sz w:val="22"/>
                <w:szCs w:val="22"/>
                <w:lang w:val="sr-Latn-ME"/>
              </w:rPr>
            </w:pPr>
          </w:p>
        </w:tc>
        <w:tc>
          <w:tcPr>
            <w:tcW w:w="844" w:type="pct"/>
          </w:tcPr>
          <w:p w14:paraId="085F4113" w14:textId="77777777" w:rsidR="00DB6849" w:rsidRPr="00F16B0C" w:rsidRDefault="00DB6849" w:rsidP="00F16B0C">
            <w:pPr>
              <w:widowControl w:val="0"/>
              <w:autoSpaceDE w:val="0"/>
              <w:autoSpaceDN w:val="0"/>
              <w:ind w:left="5"/>
              <w:jc w:val="both"/>
              <w:rPr>
                <w:sz w:val="22"/>
                <w:szCs w:val="22"/>
                <w:lang w:val="sr-Latn-ME"/>
              </w:rPr>
            </w:pPr>
            <w:r w:rsidRPr="00F16B0C">
              <w:rPr>
                <w:sz w:val="22"/>
                <w:szCs w:val="22"/>
                <w:lang w:val="sr-Latn-ME"/>
              </w:rPr>
              <w:t>nepoznata</w:t>
            </w:r>
          </w:p>
        </w:tc>
        <w:tc>
          <w:tcPr>
            <w:tcW w:w="1962" w:type="pct"/>
          </w:tcPr>
          <w:p w14:paraId="49503405" w14:textId="77777777" w:rsidR="00DB6849" w:rsidRPr="00F16B0C" w:rsidRDefault="00DB6849" w:rsidP="00F16B0C">
            <w:pPr>
              <w:widowControl w:val="0"/>
              <w:autoSpaceDE w:val="0"/>
              <w:autoSpaceDN w:val="0"/>
              <w:ind w:left="38"/>
              <w:jc w:val="both"/>
              <w:rPr>
                <w:sz w:val="22"/>
                <w:szCs w:val="22"/>
                <w:vertAlign w:val="superscript"/>
                <w:lang w:val="sr-Latn-ME"/>
              </w:rPr>
            </w:pPr>
            <w:r w:rsidRPr="00F16B0C">
              <w:rPr>
                <w:sz w:val="22"/>
                <w:szCs w:val="22"/>
                <w:lang w:val="sr-Latn-ME"/>
              </w:rPr>
              <w:t>Granulom</w:t>
            </w:r>
            <w:r w:rsidRPr="00F16B0C">
              <w:rPr>
                <w:sz w:val="22"/>
                <w:szCs w:val="22"/>
                <w:vertAlign w:val="superscript"/>
                <w:lang w:val="sr-Latn-ME"/>
              </w:rPr>
              <w:t>b</w:t>
            </w:r>
          </w:p>
        </w:tc>
      </w:tr>
    </w:tbl>
    <w:p w14:paraId="03BF6383" w14:textId="442AD919" w:rsidR="003C6204" w:rsidRPr="00F16B0C" w:rsidRDefault="003C6204" w:rsidP="00F16B0C">
      <w:pPr>
        <w:widowControl w:val="0"/>
        <w:autoSpaceDE w:val="0"/>
        <w:autoSpaceDN w:val="0"/>
        <w:ind w:left="360" w:hanging="162"/>
        <w:jc w:val="both"/>
        <w:rPr>
          <w:sz w:val="22"/>
          <w:szCs w:val="22"/>
          <w:lang w:val="sr-Latn-ME"/>
        </w:rPr>
      </w:pPr>
      <w:r w:rsidRPr="00F16B0C">
        <w:rPr>
          <w:sz w:val="22"/>
          <w:szCs w:val="22"/>
          <w:vertAlign w:val="superscript"/>
          <w:lang w:val="sr-Latn-ME"/>
        </w:rPr>
        <w:t>a</w:t>
      </w:r>
      <w:r w:rsidRPr="00F16B0C">
        <w:rPr>
          <w:sz w:val="22"/>
          <w:szCs w:val="22"/>
          <w:lang w:val="sr-Latn-ME"/>
        </w:rPr>
        <w:t xml:space="preserve"> Folikulitis, celulitis, kandidijaza, </w:t>
      </w:r>
      <w:r w:rsidR="00644A86" w:rsidRPr="00F16B0C">
        <w:rPr>
          <w:sz w:val="22"/>
          <w:szCs w:val="22"/>
          <w:lang w:val="sr-Latn-ME"/>
        </w:rPr>
        <w:t>pneumonija</w:t>
      </w:r>
      <w:r w:rsidRPr="00F16B0C">
        <w:rPr>
          <w:sz w:val="22"/>
          <w:szCs w:val="22"/>
          <w:lang w:val="sr-Latn-ME"/>
        </w:rPr>
        <w:t>, sepsa, kožna infekcija, otitis externa,</w:t>
      </w:r>
      <w:r w:rsidR="00C17776" w:rsidRPr="00F16B0C">
        <w:rPr>
          <w:sz w:val="22"/>
          <w:szCs w:val="22"/>
          <w:lang w:val="sr-Latn-ME"/>
        </w:rPr>
        <w:t xml:space="preserve"> </w:t>
      </w:r>
      <w:r w:rsidRPr="00F16B0C">
        <w:rPr>
          <w:sz w:val="22"/>
          <w:szCs w:val="22"/>
          <w:lang w:val="sr-Latn-ME"/>
        </w:rPr>
        <w:t>herpes zoster, stafilokokna kožna infekcija, infekcija urinarnog trakta, herpes simplex i citomegalovirus</w:t>
      </w:r>
    </w:p>
    <w:p w14:paraId="60594F49" w14:textId="77777777" w:rsidR="00DB6849" w:rsidRPr="00F16B0C" w:rsidRDefault="00DB6849" w:rsidP="00F16B0C">
      <w:pPr>
        <w:widowControl w:val="0"/>
        <w:autoSpaceDE w:val="0"/>
        <w:autoSpaceDN w:val="0"/>
        <w:ind w:left="198"/>
        <w:jc w:val="both"/>
        <w:rPr>
          <w:sz w:val="22"/>
          <w:szCs w:val="22"/>
          <w:lang w:val="sr-Latn-ME"/>
        </w:rPr>
      </w:pPr>
    </w:p>
    <w:p w14:paraId="5D439449" w14:textId="04527A70" w:rsidR="00DB6849" w:rsidRPr="00F16B0C" w:rsidRDefault="00DB6849" w:rsidP="00F16B0C">
      <w:pPr>
        <w:pStyle w:val="BodyText"/>
        <w:ind w:left="270" w:hanging="128"/>
        <w:jc w:val="both"/>
        <w:rPr>
          <w:lang w:val="sr-Latn-ME"/>
        </w:rPr>
      </w:pPr>
      <w:r w:rsidRPr="00F16B0C">
        <w:rPr>
          <w:vertAlign w:val="superscript"/>
          <w:lang w:val="sr-Latn-ME"/>
        </w:rPr>
        <w:t>b</w:t>
      </w:r>
      <w:r w:rsidRPr="00F16B0C">
        <w:rPr>
          <w:lang w:val="sr-Latn-ME"/>
        </w:rPr>
        <w:t>Uključujući slučajeve granuloma kože (t</w:t>
      </w:r>
      <w:r w:rsidR="00C17776" w:rsidRPr="00F16B0C">
        <w:rPr>
          <w:lang w:val="sr-Latn-ME"/>
        </w:rPr>
        <w:t>j</w:t>
      </w:r>
      <w:r w:rsidRPr="00F16B0C">
        <w:rPr>
          <w:lang w:val="sr-Latn-ME"/>
        </w:rPr>
        <w:t xml:space="preserve">eme glave, područje oko ušiju (engl. </w:t>
      </w:r>
      <w:r w:rsidRPr="00F16B0C">
        <w:rPr>
          <w:i/>
          <w:lang w:val="sr-Latn-ME"/>
        </w:rPr>
        <w:t>periauricular area</w:t>
      </w:r>
      <w:r w:rsidRPr="00F16B0C">
        <w:rPr>
          <w:lang w:val="sr-Latn-ME"/>
        </w:rPr>
        <w:t>) i trup) i kostiju (sternum, lobanja, kičma, rebra i karlica).</w:t>
      </w:r>
    </w:p>
    <w:p w14:paraId="072D78A8" w14:textId="77777777" w:rsidR="003C6204" w:rsidRPr="00F16B0C" w:rsidRDefault="003C6204" w:rsidP="00F16B0C">
      <w:pPr>
        <w:widowControl w:val="0"/>
        <w:autoSpaceDE w:val="0"/>
        <w:autoSpaceDN w:val="0"/>
        <w:jc w:val="both"/>
        <w:rPr>
          <w:sz w:val="22"/>
          <w:szCs w:val="22"/>
          <w:lang w:val="sr-Latn-ME"/>
        </w:rPr>
      </w:pPr>
    </w:p>
    <w:p w14:paraId="767A6C71" w14:textId="77777777" w:rsidR="003C6204" w:rsidRPr="00F16B0C" w:rsidRDefault="003C6204" w:rsidP="00F16B0C">
      <w:pPr>
        <w:widowControl w:val="0"/>
        <w:autoSpaceDE w:val="0"/>
        <w:autoSpaceDN w:val="0"/>
        <w:jc w:val="both"/>
        <w:rPr>
          <w:sz w:val="22"/>
          <w:szCs w:val="22"/>
          <w:lang w:val="sr-Latn-ME"/>
        </w:rPr>
      </w:pPr>
      <w:r w:rsidRPr="00F16B0C">
        <w:rPr>
          <w:sz w:val="22"/>
          <w:szCs w:val="22"/>
          <w:u w:val="single"/>
          <w:lang w:val="sr-Latn-ME"/>
        </w:rPr>
        <w:t>Opis odabranih neželjenih reakcija</w:t>
      </w:r>
    </w:p>
    <w:p w14:paraId="519F19B8" w14:textId="77777777" w:rsidR="003C6204" w:rsidRPr="00F16B0C" w:rsidRDefault="003C6204" w:rsidP="00F16B0C">
      <w:pPr>
        <w:widowControl w:val="0"/>
        <w:autoSpaceDE w:val="0"/>
        <w:autoSpaceDN w:val="0"/>
        <w:jc w:val="both"/>
        <w:rPr>
          <w:sz w:val="22"/>
          <w:szCs w:val="22"/>
          <w:lang w:val="sr-Latn-ME"/>
        </w:rPr>
      </w:pPr>
    </w:p>
    <w:p w14:paraId="5FAA8C9F" w14:textId="77777777" w:rsidR="003C6204" w:rsidRPr="00F16B0C" w:rsidRDefault="003C6204" w:rsidP="00F16B0C">
      <w:pPr>
        <w:widowControl w:val="0"/>
        <w:autoSpaceDE w:val="0"/>
        <w:autoSpaceDN w:val="0"/>
        <w:jc w:val="both"/>
        <w:rPr>
          <w:i/>
          <w:sz w:val="22"/>
          <w:szCs w:val="22"/>
          <w:lang w:val="sr-Latn-ME"/>
        </w:rPr>
      </w:pPr>
      <w:r w:rsidRPr="00F16B0C">
        <w:rPr>
          <w:i/>
          <w:iCs/>
          <w:sz w:val="22"/>
          <w:szCs w:val="22"/>
          <w:lang w:val="sr-Latn-ME"/>
        </w:rPr>
        <w:t>Dermatološke reakcije</w:t>
      </w:r>
    </w:p>
    <w:p w14:paraId="2CE1955E" w14:textId="77777777" w:rsidR="003C6204" w:rsidRPr="00F16B0C" w:rsidRDefault="003C6204" w:rsidP="00F16B0C">
      <w:pPr>
        <w:widowControl w:val="0"/>
        <w:autoSpaceDE w:val="0"/>
        <w:autoSpaceDN w:val="0"/>
        <w:jc w:val="both"/>
        <w:rPr>
          <w:sz w:val="22"/>
          <w:szCs w:val="22"/>
          <w:lang w:val="sr-Latn-ME"/>
        </w:rPr>
      </w:pPr>
      <w:r w:rsidRPr="00F16B0C">
        <w:rPr>
          <w:sz w:val="22"/>
          <w:szCs w:val="22"/>
          <w:lang w:val="sr-Latn-ME"/>
        </w:rPr>
        <w:t xml:space="preserve">Pacijenti koji primaju POTELIGEO dobili su osip uzrokovan lijekom (izbijanje kožnih promjena uzrokovanih lijekom) koji je u nekim slučajevima bio težak i/ili ozbiljan. Većina dermatoloških reakcija povezanih sa </w:t>
      </w:r>
      <w:r w:rsidR="00FD2DB5" w:rsidRPr="00F16B0C">
        <w:rPr>
          <w:sz w:val="22"/>
          <w:szCs w:val="22"/>
          <w:lang w:val="sr-Latn-ME"/>
        </w:rPr>
        <w:t>liječ</w:t>
      </w:r>
      <w:r w:rsidRPr="00F16B0C">
        <w:rPr>
          <w:sz w:val="22"/>
          <w:szCs w:val="22"/>
          <w:lang w:val="sr-Latn-ME"/>
        </w:rPr>
        <w:t>enjem bila je 1. ili 2. gradusa, a osip težine ≥ 3. gradusa javio se kod 4,3% pacijenata. Nije uočen trend u latenciji do početka događaja za kožne promjene izazvane lijekom i osip; došlo je i do rane i do kasne pojave događaja.</w:t>
      </w:r>
    </w:p>
    <w:p w14:paraId="652BF650" w14:textId="77777777" w:rsidR="003C6204" w:rsidRPr="00F16B0C" w:rsidRDefault="003C6204" w:rsidP="00F16B0C">
      <w:pPr>
        <w:widowControl w:val="0"/>
        <w:autoSpaceDE w:val="0"/>
        <w:autoSpaceDN w:val="0"/>
        <w:jc w:val="both"/>
        <w:rPr>
          <w:sz w:val="22"/>
          <w:szCs w:val="22"/>
          <w:lang w:val="sr-Latn-ME"/>
        </w:rPr>
      </w:pPr>
    </w:p>
    <w:p w14:paraId="6295399F" w14:textId="77777777" w:rsidR="003C6204" w:rsidRPr="00F16B0C" w:rsidRDefault="003C6204" w:rsidP="00F16B0C">
      <w:pPr>
        <w:widowControl w:val="0"/>
        <w:autoSpaceDE w:val="0"/>
        <w:autoSpaceDN w:val="0"/>
        <w:jc w:val="both"/>
        <w:rPr>
          <w:i/>
          <w:sz w:val="22"/>
          <w:szCs w:val="22"/>
          <w:lang w:val="sr-Latn-ME"/>
        </w:rPr>
      </w:pPr>
      <w:r w:rsidRPr="00F16B0C">
        <w:rPr>
          <w:i/>
          <w:iCs/>
          <w:sz w:val="22"/>
          <w:szCs w:val="22"/>
          <w:lang w:val="sr-Latn-ME"/>
        </w:rPr>
        <w:t>Reakcije povezane sa infuzijom</w:t>
      </w:r>
    </w:p>
    <w:p w14:paraId="11D06B72" w14:textId="14431EA7" w:rsidR="003C6204" w:rsidRPr="00F16B0C" w:rsidRDefault="003C6204" w:rsidP="00F16B0C">
      <w:pPr>
        <w:widowControl w:val="0"/>
        <w:autoSpaceDE w:val="0"/>
        <w:autoSpaceDN w:val="0"/>
        <w:jc w:val="both"/>
        <w:rPr>
          <w:sz w:val="22"/>
          <w:szCs w:val="22"/>
          <w:lang w:val="sr-Latn-ME"/>
        </w:rPr>
      </w:pPr>
      <w:r w:rsidRPr="00F16B0C">
        <w:rPr>
          <w:sz w:val="22"/>
          <w:szCs w:val="22"/>
          <w:lang w:val="sr-Latn-ME"/>
        </w:rPr>
        <w:t>Kod 33</w:t>
      </w:r>
      <w:r w:rsidR="00F03056" w:rsidRPr="00F16B0C">
        <w:rPr>
          <w:sz w:val="22"/>
          <w:szCs w:val="22"/>
          <w:lang w:val="sr-Latn-ME"/>
        </w:rPr>
        <w:t xml:space="preserve"> </w:t>
      </w:r>
      <w:r w:rsidRPr="00F16B0C">
        <w:rPr>
          <w:sz w:val="22"/>
          <w:szCs w:val="22"/>
          <w:lang w:val="sr-Latn-ME"/>
        </w:rPr>
        <w:t>% pacijenata l</w:t>
      </w:r>
      <w:r w:rsidR="00002079" w:rsidRPr="00F16B0C">
        <w:rPr>
          <w:sz w:val="22"/>
          <w:szCs w:val="22"/>
          <w:lang w:val="sr-Latn-ME"/>
        </w:rPr>
        <w:t>i</w:t>
      </w:r>
      <w:r w:rsidRPr="00F16B0C">
        <w:rPr>
          <w:sz w:val="22"/>
          <w:szCs w:val="22"/>
          <w:lang w:val="sr-Latn-ME"/>
        </w:rPr>
        <w:t>ječenih lijekom POTELIGEO zabilježene su reakcije povezane sa infuzijom. Većina reakcija povezanih sa infuzijom povezanih sa l</w:t>
      </w:r>
      <w:r w:rsidR="00002079" w:rsidRPr="00F16B0C">
        <w:rPr>
          <w:sz w:val="22"/>
          <w:szCs w:val="22"/>
          <w:lang w:val="sr-Latn-ME"/>
        </w:rPr>
        <w:t>i</w:t>
      </w:r>
      <w:r w:rsidRPr="00F16B0C">
        <w:rPr>
          <w:sz w:val="22"/>
          <w:szCs w:val="22"/>
          <w:lang w:val="sr-Latn-ME"/>
        </w:rPr>
        <w:t>ječenjem bile su 1. ili 2. gradusa i javile su se tokom ili neposredno nakon prve infuzije. Teške reakcije (3. gradusa) javile su se kod 4</w:t>
      </w:r>
      <w:r w:rsidR="00F03056" w:rsidRPr="00F16B0C">
        <w:rPr>
          <w:sz w:val="22"/>
          <w:szCs w:val="22"/>
          <w:lang w:val="sr-Latn-ME"/>
        </w:rPr>
        <w:t xml:space="preserve"> </w:t>
      </w:r>
      <w:r w:rsidRPr="00F16B0C">
        <w:rPr>
          <w:sz w:val="22"/>
          <w:szCs w:val="22"/>
          <w:lang w:val="sr-Latn-ME"/>
        </w:rPr>
        <w:t>% pacijenata.</w:t>
      </w:r>
    </w:p>
    <w:p w14:paraId="03B6B05C" w14:textId="77777777" w:rsidR="003C6204" w:rsidRPr="00F16B0C" w:rsidRDefault="003C6204" w:rsidP="00F16B0C">
      <w:pPr>
        <w:widowControl w:val="0"/>
        <w:autoSpaceDE w:val="0"/>
        <w:autoSpaceDN w:val="0"/>
        <w:jc w:val="both"/>
        <w:rPr>
          <w:sz w:val="22"/>
          <w:szCs w:val="22"/>
          <w:lang w:val="sr-Latn-ME"/>
        </w:rPr>
      </w:pPr>
    </w:p>
    <w:p w14:paraId="129878E4" w14:textId="682C6BDE" w:rsidR="003C6204" w:rsidRPr="00F16B0C" w:rsidRDefault="003C6204" w:rsidP="00F16B0C">
      <w:pPr>
        <w:widowControl w:val="0"/>
        <w:autoSpaceDE w:val="0"/>
        <w:autoSpaceDN w:val="0"/>
        <w:jc w:val="both"/>
        <w:rPr>
          <w:sz w:val="22"/>
          <w:szCs w:val="22"/>
          <w:lang w:val="sr-Latn-ME"/>
        </w:rPr>
      </w:pPr>
      <w:r w:rsidRPr="00F16B0C">
        <w:rPr>
          <w:sz w:val="22"/>
          <w:szCs w:val="22"/>
          <w:lang w:val="sr-Latn-ME"/>
        </w:rPr>
        <w:t>Incidenca reakcija povezanih sa infuzijom bila je najviša nakon prve infuzije (28,8</w:t>
      </w:r>
      <w:r w:rsidR="00F03056" w:rsidRPr="00F16B0C">
        <w:rPr>
          <w:sz w:val="22"/>
          <w:szCs w:val="22"/>
          <w:lang w:val="sr-Latn-ME"/>
        </w:rPr>
        <w:t xml:space="preserve"> </w:t>
      </w:r>
      <w:r w:rsidRPr="00F16B0C">
        <w:rPr>
          <w:sz w:val="22"/>
          <w:szCs w:val="22"/>
          <w:lang w:val="sr-Latn-ME"/>
        </w:rPr>
        <w:t>% ispitanika), smanjujući se do ≤ 3,8</w:t>
      </w:r>
      <w:r w:rsidR="00F03056" w:rsidRPr="00F16B0C">
        <w:rPr>
          <w:sz w:val="22"/>
          <w:szCs w:val="22"/>
          <w:lang w:val="sr-Latn-ME"/>
        </w:rPr>
        <w:t xml:space="preserve"> </w:t>
      </w:r>
      <w:r w:rsidRPr="00F16B0C">
        <w:rPr>
          <w:sz w:val="22"/>
          <w:szCs w:val="22"/>
          <w:lang w:val="sr-Latn-ME"/>
        </w:rPr>
        <w:t>% ispitanika nakon dvije ili više infuzija.</w:t>
      </w:r>
    </w:p>
    <w:p w14:paraId="7E627088" w14:textId="77777777" w:rsidR="003C6204" w:rsidRPr="00F16B0C" w:rsidRDefault="003C6204" w:rsidP="00F16B0C">
      <w:pPr>
        <w:widowControl w:val="0"/>
        <w:autoSpaceDE w:val="0"/>
        <w:autoSpaceDN w:val="0"/>
        <w:jc w:val="both"/>
        <w:rPr>
          <w:sz w:val="22"/>
          <w:szCs w:val="22"/>
          <w:lang w:val="sr-Latn-ME"/>
        </w:rPr>
      </w:pPr>
    </w:p>
    <w:p w14:paraId="218409F8" w14:textId="0AE3A59B" w:rsidR="003C6204" w:rsidRPr="00F16B0C" w:rsidRDefault="003C6204" w:rsidP="00F16B0C">
      <w:pPr>
        <w:widowControl w:val="0"/>
        <w:autoSpaceDE w:val="0"/>
        <w:autoSpaceDN w:val="0"/>
        <w:jc w:val="both"/>
        <w:rPr>
          <w:sz w:val="22"/>
          <w:szCs w:val="22"/>
          <w:lang w:val="sr-Latn-ME"/>
        </w:rPr>
      </w:pPr>
      <w:r w:rsidRPr="00F16B0C">
        <w:rPr>
          <w:sz w:val="22"/>
          <w:szCs w:val="22"/>
          <w:lang w:val="sr-Latn-ME"/>
        </w:rPr>
        <w:t>Infuzije su prekinute kod približno 6</w:t>
      </w:r>
      <w:r w:rsidR="00F03056" w:rsidRPr="00F16B0C">
        <w:rPr>
          <w:sz w:val="22"/>
          <w:szCs w:val="22"/>
          <w:lang w:val="sr-Latn-ME"/>
        </w:rPr>
        <w:t xml:space="preserve"> </w:t>
      </w:r>
      <w:r w:rsidRPr="00F16B0C">
        <w:rPr>
          <w:sz w:val="22"/>
          <w:szCs w:val="22"/>
          <w:lang w:val="sr-Latn-ME"/>
        </w:rPr>
        <w:t>% pacijenata, većina (približno 90</w:t>
      </w:r>
      <w:r w:rsidR="00F03056" w:rsidRPr="00F16B0C">
        <w:rPr>
          <w:sz w:val="22"/>
          <w:szCs w:val="22"/>
          <w:lang w:val="sr-Latn-ME"/>
        </w:rPr>
        <w:t xml:space="preserve"> </w:t>
      </w:r>
      <w:r w:rsidRPr="00F16B0C">
        <w:rPr>
          <w:sz w:val="22"/>
          <w:szCs w:val="22"/>
          <w:lang w:val="sr-Latn-ME"/>
        </w:rPr>
        <w:t xml:space="preserve">%) javila se tokom prvog ciklusa </w:t>
      </w:r>
      <w:r w:rsidR="00FD2DB5" w:rsidRPr="00F16B0C">
        <w:rPr>
          <w:sz w:val="22"/>
          <w:szCs w:val="22"/>
          <w:lang w:val="sr-Latn-ME"/>
        </w:rPr>
        <w:t>liječ</w:t>
      </w:r>
      <w:r w:rsidRPr="00F16B0C">
        <w:rPr>
          <w:sz w:val="22"/>
          <w:szCs w:val="22"/>
          <w:lang w:val="sr-Latn-ME"/>
        </w:rPr>
        <w:t>enja mogamulizumabom.</w:t>
      </w:r>
    </w:p>
    <w:p w14:paraId="617F2C9C" w14:textId="69E70BAB" w:rsidR="003C6204" w:rsidRPr="00F16B0C" w:rsidRDefault="003C6204" w:rsidP="00F16B0C">
      <w:pPr>
        <w:widowControl w:val="0"/>
        <w:autoSpaceDE w:val="0"/>
        <w:autoSpaceDN w:val="0"/>
        <w:jc w:val="both"/>
        <w:rPr>
          <w:sz w:val="22"/>
          <w:szCs w:val="22"/>
          <w:lang w:val="sr-Latn-ME"/>
        </w:rPr>
      </w:pPr>
      <w:r w:rsidRPr="00F16B0C">
        <w:rPr>
          <w:sz w:val="22"/>
          <w:szCs w:val="22"/>
          <w:lang w:val="sr-Latn-ME"/>
        </w:rPr>
        <w:t>Manje od 1</w:t>
      </w:r>
      <w:r w:rsidR="00F03056" w:rsidRPr="00F16B0C">
        <w:rPr>
          <w:sz w:val="22"/>
          <w:szCs w:val="22"/>
          <w:lang w:val="sr-Latn-ME"/>
        </w:rPr>
        <w:t xml:space="preserve"> </w:t>
      </w:r>
      <w:r w:rsidRPr="00F16B0C">
        <w:rPr>
          <w:sz w:val="22"/>
          <w:szCs w:val="22"/>
          <w:lang w:val="sr-Latn-ME"/>
        </w:rPr>
        <w:t xml:space="preserve">% pacijenata </w:t>
      </w:r>
      <w:r w:rsidR="00FD2DB5" w:rsidRPr="00F16B0C">
        <w:rPr>
          <w:sz w:val="22"/>
          <w:szCs w:val="22"/>
          <w:lang w:val="sr-Latn-ME"/>
        </w:rPr>
        <w:t>liječ</w:t>
      </w:r>
      <w:r w:rsidRPr="00F16B0C">
        <w:rPr>
          <w:sz w:val="22"/>
          <w:szCs w:val="22"/>
          <w:lang w:val="sr-Latn-ME"/>
        </w:rPr>
        <w:t xml:space="preserve">enih u Studiji 0761-010 prekinulo je </w:t>
      </w:r>
      <w:r w:rsidR="00FD2DB5" w:rsidRPr="00F16B0C">
        <w:rPr>
          <w:sz w:val="22"/>
          <w:szCs w:val="22"/>
          <w:lang w:val="sr-Latn-ME"/>
        </w:rPr>
        <w:t>liječ</w:t>
      </w:r>
      <w:r w:rsidRPr="00F16B0C">
        <w:rPr>
          <w:sz w:val="22"/>
          <w:szCs w:val="22"/>
          <w:lang w:val="sr-Latn-ME"/>
        </w:rPr>
        <w:t>enje zbog reakcija povezanih sa infuzijom.</w:t>
      </w:r>
    </w:p>
    <w:p w14:paraId="66DF3B61" w14:textId="77777777" w:rsidR="003C6204" w:rsidRPr="00F16B0C" w:rsidRDefault="003C6204" w:rsidP="00F16B0C">
      <w:pPr>
        <w:widowControl w:val="0"/>
        <w:autoSpaceDE w:val="0"/>
        <w:autoSpaceDN w:val="0"/>
        <w:jc w:val="both"/>
        <w:rPr>
          <w:sz w:val="22"/>
          <w:szCs w:val="22"/>
          <w:lang w:val="sr-Latn-ME"/>
        </w:rPr>
      </w:pPr>
    </w:p>
    <w:p w14:paraId="1CF5E8DC" w14:textId="77777777" w:rsidR="003C6204" w:rsidRPr="00F16B0C" w:rsidRDefault="003C6204" w:rsidP="00F16B0C">
      <w:pPr>
        <w:widowControl w:val="0"/>
        <w:autoSpaceDE w:val="0"/>
        <w:autoSpaceDN w:val="0"/>
        <w:jc w:val="both"/>
        <w:rPr>
          <w:i/>
          <w:sz w:val="22"/>
          <w:szCs w:val="22"/>
          <w:lang w:val="sr-Latn-ME"/>
        </w:rPr>
      </w:pPr>
      <w:r w:rsidRPr="00F16B0C">
        <w:rPr>
          <w:i/>
          <w:iCs/>
          <w:sz w:val="22"/>
          <w:szCs w:val="22"/>
          <w:lang w:val="sr-Latn-ME"/>
        </w:rPr>
        <w:t>Ozbiljne infekcije</w:t>
      </w:r>
    </w:p>
    <w:p w14:paraId="20F2F3A0" w14:textId="0089A741" w:rsidR="003C6204" w:rsidRPr="00F16B0C" w:rsidRDefault="003C6204" w:rsidP="00F16B0C">
      <w:pPr>
        <w:widowControl w:val="0"/>
        <w:autoSpaceDE w:val="0"/>
        <w:autoSpaceDN w:val="0"/>
        <w:jc w:val="both"/>
        <w:rPr>
          <w:sz w:val="22"/>
          <w:szCs w:val="22"/>
          <w:lang w:val="sr-Latn-ME"/>
        </w:rPr>
      </w:pPr>
      <w:r w:rsidRPr="00F16B0C">
        <w:rPr>
          <w:sz w:val="22"/>
          <w:szCs w:val="22"/>
          <w:lang w:val="sr-Latn-ME"/>
        </w:rPr>
        <w:t>Pacijenti sa MF ili SS imaju povećan rizik od ozbiljne infekcije zbog narušavanja dermalnog integriteta uzrokovanog kožnom bolešću, kao i imunosupresivnih dejstava ekstrakutane bolesti, a l</w:t>
      </w:r>
      <w:r w:rsidR="00002079" w:rsidRPr="00F16B0C">
        <w:rPr>
          <w:sz w:val="22"/>
          <w:szCs w:val="22"/>
          <w:lang w:val="sr-Latn-ME"/>
        </w:rPr>
        <w:t>i</w:t>
      </w:r>
      <w:r w:rsidRPr="00F16B0C">
        <w:rPr>
          <w:sz w:val="22"/>
          <w:szCs w:val="22"/>
          <w:lang w:val="sr-Latn-ME"/>
        </w:rPr>
        <w:t>ječenje mogamulizumabom može povećati taj rizik. Ozbiljne infekcije, uključujući sepsu, upalu pluća i kožne infekcije, javile su se kod 14,3</w:t>
      </w:r>
      <w:r w:rsidR="00543860" w:rsidRPr="00F16B0C">
        <w:rPr>
          <w:sz w:val="22"/>
          <w:szCs w:val="22"/>
          <w:lang w:val="sr-Latn-ME"/>
        </w:rPr>
        <w:t xml:space="preserve"> </w:t>
      </w:r>
      <w:r w:rsidRPr="00F16B0C">
        <w:rPr>
          <w:sz w:val="22"/>
          <w:szCs w:val="22"/>
          <w:lang w:val="sr-Latn-ME"/>
        </w:rPr>
        <w:t xml:space="preserve">% ispitanika koji su primali mogamulizumab. Latencija do pojave neželjenog dejstva nakon prve doze znatno je varirala. Većina pacijenata oporavila se od infekcije. U </w:t>
      </w:r>
      <w:r w:rsidRPr="00F16B0C">
        <w:rPr>
          <w:sz w:val="22"/>
          <w:szCs w:val="22"/>
          <w:lang w:val="sr-Latn-ME"/>
        </w:rPr>
        <w:lastRenderedPageBreak/>
        <w:t xml:space="preserve">kliničkom ispitivanju (0761-010) bila su dva izvještaja o respiratornoj insuficijenciji sa smrtnim ishodom kod pacijenata sa teškom upalom pluća koja se javila više od 9 mjeseci nakon početka </w:t>
      </w:r>
      <w:r w:rsidR="00FD2DB5" w:rsidRPr="00F16B0C">
        <w:rPr>
          <w:sz w:val="22"/>
          <w:szCs w:val="22"/>
          <w:lang w:val="sr-Latn-ME"/>
        </w:rPr>
        <w:t>liječ</w:t>
      </w:r>
      <w:r w:rsidRPr="00F16B0C">
        <w:rPr>
          <w:sz w:val="22"/>
          <w:szCs w:val="22"/>
          <w:lang w:val="sr-Latn-ME"/>
        </w:rPr>
        <w:t>enja mogamulizumabom.</w:t>
      </w:r>
    </w:p>
    <w:p w14:paraId="23790157" w14:textId="77777777" w:rsidR="003C6204" w:rsidRPr="00F16B0C" w:rsidRDefault="003C6204" w:rsidP="00F16B0C">
      <w:pPr>
        <w:widowControl w:val="0"/>
        <w:autoSpaceDE w:val="0"/>
        <w:autoSpaceDN w:val="0"/>
        <w:jc w:val="both"/>
        <w:rPr>
          <w:sz w:val="22"/>
          <w:szCs w:val="22"/>
          <w:lang w:val="sr-Latn-ME"/>
        </w:rPr>
      </w:pPr>
    </w:p>
    <w:p w14:paraId="743533A1" w14:textId="77777777" w:rsidR="003C6204" w:rsidRPr="00F16B0C" w:rsidRDefault="003C6204" w:rsidP="00F16B0C">
      <w:pPr>
        <w:widowControl w:val="0"/>
        <w:autoSpaceDE w:val="0"/>
        <w:autoSpaceDN w:val="0"/>
        <w:jc w:val="both"/>
        <w:rPr>
          <w:i/>
          <w:sz w:val="22"/>
          <w:szCs w:val="22"/>
          <w:lang w:val="sr-Latn-ME"/>
        </w:rPr>
      </w:pPr>
      <w:r w:rsidRPr="00F16B0C">
        <w:rPr>
          <w:i/>
          <w:iCs/>
          <w:sz w:val="22"/>
          <w:szCs w:val="22"/>
          <w:lang w:val="sr-Latn-ME"/>
        </w:rPr>
        <w:t>Imunogenost</w:t>
      </w:r>
    </w:p>
    <w:p w14:paraId="380A9D34" w14:textId="46A84D32" w:rsidR="003C6204" w:rsidRPr="00F16B0C" w:rsidRDefault="003C6204" w:rsidP="00F16B0C">
      <w:pPr>
        <w:widowControl w:val="0"/>
        <w:autoSpaceDE w:val="0"/>
        <w:autoSpaceDN w:val="0"/>
        <w:jc w:val="both"/>
        <w:rPr>
          <w:sz w:val="22"/>
          <w:szCs w:val="22"/>
          <w:lang w:val="sr-Latn-ME"/>
        </w:rPr>
      </w:pPr>
      <w:r w:rsidRPr="00F16B0C">
        <w:rPr>
          <w:sz w:val="22"/>
          <w:szCs w:val="22"/>
          <w:lang w:val="sr-Latn-ME"/>
        </w:rPr>
        <w:t>Nakon infuzije lijeka POTELIGEO tokom kliničkih ispitivanja prim</w:t>
      </w:r>
      <w:r w:rsidR="00543860" w:rsidRPr="00F16B0C">
        <w:rPr>
          <w:sz w:val="22"/>
          <w:szCs w:val="22"/>
          <w:lang w:val="sr-Latn-ME"/>
        </w:rPr>
        <w:t>j</w:t>
      </w:r>
      <w:r w:rsidRPr="00F16B0C">
        <w:rPr>
          <w:sz w:val="22"/>
          <w:szCs w:val="22"/>
          <w:lang w:val="sr-Latn-ME"/>
        </w:rPr>
        <w:t>ene lijeka POTELIGEO kod odraslih pacijenata sa leukemijom-limfomom T-ćelija ili kod pacijenata sa kožnim limfomom T-ćelija, približno 14</w:t>
      </w:r>
      <w:r w:rsidR="00543860" w:rsidRPr="00F16B0C">
        <w:rPr>
          <w:sz w:val="22"/>
          <w:szCs w:val="22"/>
          <w:lang w:val="sr-Latn-ME"/>
        </w:rPr>
        <w:t xml:space="preserve"> </w:t>
      </w:r>
      <w:r w:rsidRPr="00F16B0C">
        <w:rPr>
          <w:sz w:val="22"/>
          <w:szCs w:val="22"/>
          <w:lang w:val="sr-Latn-ME"/>
        </w:rPr>
        <w:t>% pacijenata (44 od 313 pacijenata koji su mogli da budu proc</w:t>
      </w:r>
      <w:r w:rsidR="00C70E57" w:rsidRPr="00F16B0C">
        <w:rPr>
          <w:sz w:val="22"/>
          <w:szCs w:val="22"/>
          <w:lang w:val="sr-Latn-ME"/>
        </w:rPr>
        <w:t>ij</w:t>
      </w:r>
      <w:r w:rsidRPr="00F16B0C">
        <w:rPr>
          <w:sz w:val="22"/>
          <w:szCs w:val="22"/>
          <w:lang w:val="sr-Latn-ME"/>
        </w:rPr>
        <w:t>enjeni) imalo je pozitivan test na antit</w:t>
      </w:r>
      <w:r w:rsidR="00C70E57" w:rsidRPr="00F16B0C">
        <w:rPr>
          <w:sz w:val="22"/>
          <w:szCs w:val="22"/>
          <w:lang w:val="sr-Latn-ME"/>
        </w:rPr>
        <w:t>ij</w:t>
      </w:r>
      <w:r w:rsidRPr="00F16B0C">
        <w:rPr>
          <w:sz w:val="22"/>
          <w:szCs w:val="22"/>
          <w:lang w:val="sr-Latn-ME"/>
        </w:rPr>
        <w:t>ela na mogamulizumab uzrokovana l</w:t>
      </w:r>
      <w:r w:rsidR="00002079" w:rsidRPr="00F16B0C">
        <w:rPr>
          <w:sz w:val="22"/>
          <w:szCs w:val="22"/>
          <w:lang w:val="sr-Latn-ME"/>
        </w:rPr>
        <w:t>i</w:t>
      </w:r>
      <w:r w:rsidRPr="00F16B0C">
        <w:rPr>
          <w:sz w:val="22"/>
          <w:szCs w:val="22"/>
          <w:lang w:val="sr-Latn-ME"/>
        </w:rPr>
        <w:t>ječenjem. Nije bilo pacijenata pozitivnih na neutrališuća antit</w:t>
      </w:r>
      <w:r w:rsidR="00C70E57" w:rsidRPr="00F16B0C">
        <w:rPr>
          <w:sz w:val="22"/>
          <w:szCs w:val="22"/>
          <w:lang w:val="sr-Latn-ME"/>
        </w:rPr>
        <w:t>ij</w:t>
      </w:r>
      <w:r w:rsidRPr="00F16B0C">
        <w:rPr>
          <w:sz w:val="22"/>
          <w:szCs w:val="22"/>
          <w:lang w:val="sr-Latn-ME"/>
        </w:rPr>
        <w:t>ela.</w:t>
      </w:r>
    </w:p>
    <w:p w14:paraId="0A3D9528" w14:textId="77777777" w:rsidR="003C6204" w:rsidRPr="00F16B0C" w:rsidRDefault="003C6204" w:rsidP="00F16B0C">
      <w:pPr>
        <w:widowControl w:val="0"/>
        <w:autoSpaceDE w:val="0"/>
        <w:autoSpaceDN w:val="0"/>
        <w:jc w:val="both"/>
        <w:rPr>
          <w:sz w:val="22"/>
          <w:szCs w:val="22"/>
          <w:lang w:val="sr-Latn-ME"/>
        </w:rPr>
      </w:pPr>
    </w:p>
    <w:p w14:paraId="778FDB05" w14:textId="480C2284" w:rsidR="003C6204" w:rsidRPr="00F16B0C" w:rsidRDefault="003C6204" w:rsidP="00F16B0C">
      <w:pPr>
        <w:widowControl w:val="0"/>
        <w:autoSpaceDE w:val="0"/>
        <w:autoSpaceDN w:val="0"/>
        <w:jc w:val="both"/>
        <w:rPr>
          <w:i/>
          <w:sz w:val="22"/>
          <w:szCs w:val="22"/>
          <w:lang w:val="sr-Latn-ME"/>
        </w:rPr>
      </w:pPr>
      <w:r w:rsidRPr="00F16B0C">
        <w:rPr>
          <w:i/>
          <w:iCs/>
          <w:sz w:val="22"/>
          <w:szCs w:val="22"/>
          <w:lang w:val="sr-Latn-ME"/>
        </w:rPr>
        <w:t>Bezbjednost nakon posl</w:t>
      </w:r>
      <w:r w:rsidR="00543860" w:rsidRPr="00F16B0C">
        <w:rPr>
          <w:i/>
          <w:iCs/>
          <w:sz w:val="22"/>
          <w:szCs w:val="22"/>
          <w:lang w:val="sr-Latn-ME"/>
        </w:rPr>
        <w:t>j</w:t>
      </w:r>
      <w:r w:rsidRPr="00F16B0C">
        <w:rPr>
          <w:i/>
          <w:iCs/>
          <w:sz w:val="22"/>
          <w:szCs w:val="22"/>
          <w:lang w:val="sr-Latn-ME"/>
        </w:rPr>
        <w:t>ednje doze</w:t>
      </w:r>
    </w:p>
    <w:p w14:paraId="64D2578F" w14:textId="43319959" w:rsidR="003C6204" w:rsidRPr="00F16B0C" w:rsidRDefault="003C6204" w:rsidP="00F16B0C">
      <w:pPr>
        <w:widowControl w:val="0"/>
        <w:autoSpaceDE w:val="0"/>
        <w:autoSpaceDN w:val="0"/>
        <w:jc w:val="both"/>
        <w:rPr>
          <w:sz w:val="22"/>
          <w:szCs w:val="22"/>
          <w:lang w:val="sr-Latn-ME"/>
        </w:rPr>
      </w:pPr>
      <w:r w:rsidRPr="00F16B0C">
        <w:rPr>
          <w:sz w:val="22"/>
          <w:szCs w:val="22"/>
          <w:lang w:val="sr-Latn-ME"/>
        </w:rPr>
        <w:t xml:space="preserve">Od 320 ispitanika izloženih mogamulizumabu u </w:t>
      </w:r>
      <w:r w:rsidR="00C70E57" w:rsidRPr="00F16B0C">
        <w:rPr>
          <w:sz w:val="22"/>
          <w:szCs w:val="22"/>
          <w:lang w:val="sr-Latn-ME"/>
        </w:rPr>
        <w:t>kliničkoj st</w:t>
      </w:r>
      <w:r w:rsidRPr="00F16B0C">
        <w:rPr>
          <w:sz w:val="22"/>
          <w:szCs w:val="22"/>
          <w:lang w:val="sr-Latn-ME"/>
        </w:rPr>
        <w:t>udiji 0761-010, 21 (6,6</w:t>
      </w:r>
      <w:r w:rsidR="00543860" w:rsidRPr="00F16B0C">
        <w:rPr>
          <w:sz w:val="22"/>
          <w:szCs w:val="22"/>
          <w:lang w:val="sr-Latn-ME"/>
        </w:rPr>
        <w:t xml:space="preserve"> </w:t>
      </w:r>
      <w:r w:rsidRPr="00F16B0C">
        <w:rPr>
          <w:sz w:val="22"/>
          <w:szCs w:val="22"/>
          <w:lang w:val="sr-Latn-ME"/>
        </w:rPr>
        <w:t>%) ispitanik doživ</w:t>
      </w:r>
      <w:r w:rsidR="00C70E57" w:rsidRPr="00F16B0C">
        <w:rPr>
          <w:sz w:val="22"/>
          <w:szCs w:val="22"/>
          <w:lang w:val="sr-Latn-ME"/>
        </w:rPr>
        <w:t>i</w:t>
      </w:r>
      <w:r w:rsidRPr="00F16B0C">
        <w:rPr>
          <w:sz w:val="22"/>
          <w:szCs w:val="22"/>
          <w:lang w:val="sr-Latn-ME"/>
        </w:rPr>
        <w:t xml:space="preserve">o je najmanje jednu ozbiljnu neželjenu reakciju na lijek (SADR) koja se javila tokom 90 dana od datuma zadnje primjene </w:t>
      </w:r>
      <w:r w:rsidR="00C70E57" w:rsidRPr="00F16B0C">
        <w:rPr>
          <w:sz w:val="22"/>
          <w:szCs w:val="22"/>
          <w:lang w:val="sr-Latn-ME"/>
        </w:rPr>
        <w:t xml:space="preserve">ispitivanog </w:t>
      </w:r>
      <w:r w:rsidRPr="00F16B0C">
        <w:rPr>
          <w:sz w:val="22"/>
          <w:szCs w:val="22"/>
          <w:lang w:val="sr-Latn-ME"/>
        </w:rPr>
        <w:t>lijeka.</w:t>
      </w:r>
    </w:p>
    <w:p w14:paraId="7475F5D1" w14:textId="77777777" w:rsidR="003C6204" w:rsidRPr="00F16B0C" w:rsidRDefault="003C6204" w:rsidP="00F16B0C">
      <w:pPr>
        <w:widowControl w:val="0"/>
        <w:autoSpaceDE w:val="0"/>
        <w:autoSpaceDN w:val="0"/>
        <w:jc w:val="both"/>
        <w:rPr>
          <w:sz w:val="22"/>
          <w:szCs w:val="22"/>
          <w:lang w:val="sr-Latn-ME"/>
        </w:rPr>
      </w:pPr>
    </w:p>
    <w:p w14:paraId="6C645034" w14:textId="3AD77B55" w:rsidR="003C6204" w:rsidRPr="00F16B0C" w:rsidRDefault="003C6204" w:rsidP="00F16B0C">
      <w:pPr>
        <w:widowControl w:val="0"/>
        <w:autoSpaceDE w:val="0"/>
        <w:autoSpaceDN w:val="0"/>
        <w:jc w:val="both"/>
        <w:rPr>
          <w:sz w:val="22"/>
          <w:szCs w:val="22"/>
          <w:lang w:val="sr-Latn-ME"/>
        </w:rPr>
      </w:pPr>
      <w:r w:rsidRPr="00F16B0C">
        <w:rPr>
          <w:sz w:val="22"/>
          <w:szCs w:val="22"/>
          <w:lang w:val="sr-Latn-ME"/>
        </w:rPr>
        <w:t>Od tih, ozbiljne neželjene reakcije zabilježene kod više od jednog pacijenta svrstane su u klasifikaciji sistema organa pod Infekcije i infestacije (7 [2,2</w:t>
      </w:r>
      <w:r w:rsidR="00543860" w:rsidRPr="00F16B0C">
        <w:rPr>
          <w:sz w:val="22"/>
          <w:szCs w:val="22"/>
          <w:lang w:val="sr-Latn-ME"/>
        </w:rPr>
        <w:t xml:space="preserve"> </w:t>
      </w:r>
      <w:r w:rsidRPr="00F16B0C">
        <w:rPr>
          <w:sz w:val="22"/>
          <w:szCs w:val="22"/>
          <w:lang w:val="sr-Latn-ME"/>
        </w:rPr>
        <w:t>%] pacijenata), Opšti poremećaji i reakcije na mjestu primjene (5 [1,6</w:t>
      </w:r>
      <w:r w:rsidR="00543860" w:rsidRPr="00F16B0C">
        <w:rPr>
          <w:sz w:val="22"/>
          <w:szCs w:val="22"/>
          <w:lang w:val="sr-Latn-ME"/>
        </w:rPr>
        <w:t xml:space="preserve"> </w:t>
      </w:r>
      <w:r w:rsidRPr="00F16B0C">
        <w:rPr>
          <w:sz w:val="22"/>
          <w:szCs w:val="22"/>
          <w:lang w:val="sr-Latn-ME"/>
        </w:rPr>
        <w:t>%] pacijenata), Respiratorni, torakalni i medijastinalni poremjećaji (4 [1,3</w:t>
      </w:r>
      <w:r w:rsidR="00543860" w:rsidRPr="00F16B0C">
        <w:rPr>
          <w:sz w:val="22"/>
          <w:szCs w:val="22"/>
          <w:lang w:val="sr-Latn-ME"/>
        </w:rPr>
        <w:t xml:space="preserve"> </w:t>
      </w:r>
      <w:r w:rsidRPr="00F16B0C">
        <w:rPr>
          <w:sz w:val="22"/>
          <w:szCs w:val="22"/>
          <w:lang w:val="sr-Latn-ME"/>
        </w:rPr>
        <w:t>%] pacijenta), Poremjećaji koštano-mišičnog i vezivnog tkiva (3 [0,9</w:t>
      </w:r>
      <w:r w:rsidR="00543860" w:rsidRPr="00F16B0C">
        <w:rPr>
          <w:sz w:val="22"/>
          <w:szCs w:val="22"/>
          <w:lang w:val="sr-Latn-ME"/>
        </w:rPr>
        <w:t xml:space="preserve"> </w:t>
      </w:r>
      <w:r w:rsidRPr="00F16B0C">
        <w:rPr>
          <w:sz w:val="22"/>
          <w:szCs w:val="22"/>
          <w:lang w:val="sr-Latn-ME"/>
        </w:rPr>
        <w:t>%] pacijenta), Hepatobilijarni poremjećaji (2 [0,6</w:t>
      </w:r>
      <w:r w:rsidR="00543860" w:rsidRPr="00F16B0C">
        <w:rPr>
          <w:sz w:val="22"/>
          <w:szCs w:val="22"/>
          <w:lang w:val="sr-Latn-ME"/>
        </w:rPr>
        <w:t xml:space="preserve"> </w:t>
      </w:r>
      <w:r w:rsidRPr="00F16B0C">
        <w:rPr>
          <w:sz w:val="22"/>
          <w:szCs w:val="22"/>
          <w:lang w:val="sr-Latn-ME"/>
        </w:rPr>
        <w:t>%] pacijenta) i Povrede, trovanje i proceduralne komplikacije (2 [0,6</w:t>
      </w:r>
      <w:r w:rsidR="00543860" w:rsidRPr="00F16B0C">
        <w:rPr>
          <w:sz w:val="22"/>
          <w:szCs w:val="22"/>
          <w:lang w:val="sr-Latn-ME"/>
        </w:rPr>
        <w:t xml:space="preserve"> </w:t>
      </w:r>
      <w:r w:rsidRPr="00F16B0C">
        <w:rPr>
          <w:sz w:val="22"/>
          <w:szCs w:val="22"/>
          <w:lang w:val="sr-Latn-ME"/>
        </w:rPr>
        <w:t>%] pacijenta). Za sve preostale sisteme organa u klasifikaciji prijavljene su ozbiljne neželjene reakcije kod jednog pacijenta (0,3</w:t>
      </w:r>
      <w:r w:rsidR="00543860" w:rsidRPr="00F16B0C">
        <w:rPr>
          <w:sz w:val="22"/>
          <w:szCs w:val="22"/>
          <w:lang w:val="sr-Latn-ME"/>
        </w:rPr>
        <w:t xml:space="preserve"> </w:t>
      </w:r>
      <w:r w:rsidRPr="00F16B0C">
        <w:rPr>
          <w:sz w:val="22"/>
          <w:szCs w:val="22"/>
          <w:lang w:val="sr-Latn-ME"/>
        </w:rPr>
        <w:t>%).</w:t>
      </w:r>
    </w:p>
    <w:p w14:paraId="5F65CFB4" w14:textId="6F0F3CC1" w:rsidR="003C6204" w:rsidRPr="00F16B0C" w:rsidRDefault="003C6204" w:rsidP="00F16B0C">
      <w:pPr>
        <w:widowControl w:val="0"/>
        <w:autoSpaceDE w:val="0"/>
        <w:autoSpaceDN w:val="0"/>
        <w:jc w:val="both"/>
        <w:rPr>
          <w:sz w:val="22"/>
          <w:szCs w:val="22"/>
          <w:lang w:val="sr-Latn-ME"/>
        </w:rPr>
      </w:pPr>
      <w:r w:rsidRPr="00F16B0C">
        <w:rPr>
          <w:sz w:val="22"/>
          <w:szCs w:val="22"/>
          <w:lang w:val="sr-Latn-ME"/>
        </w:rPr>
        <w:t>Bezbjednosni profil zabilježen tokom 90 dana nakon posl</w:t>
      </w:r>
      <w:r w:rsidR="00543860" w:rsidRPr="00F16B0C">
        <w:rPr>
          <w:sz w:val="22"/>
          <w:szCs w:val="22"/>
          <w:lang w:val="sr-Latn-ME"/>
        </w:rPr>
        <w:t>j</w:t>
      </w:r>
      <w:r w:rsidRPr="00F16B0C">
        <w:rPr>
          <w:sz w:val="22"/>
          <w:szCs w:val="22"/>
          <w:lang w:val="sr-Latn-ME"/>
        </w:rPr>
        <w:t>ednje doze mogamulizumaba je u skladu sa profilom bezbjednosti zabilježenim tokom perioda studijskog l</w:t>
      </w:r>
      <w:r w:rsidR="00002079" w:rsidRPr="00F16B0C">
        <w:rPr>
          <w:sz w:val="22"/>
          <w:szCs w:val="22"/>
          <w:lang w:val="sr-Latn-ME"/>
        </w:rPr>
        <w:t>i</w:t>
      </w:r>
      <w:r w:rsidRPr="00F16B0C">
        <w:rPr>
          <w:sz w:val="22"/>
          <w:szCs w:val="22"/>
          <w:lang w:val="sr-Latn-ME"/>
        </w:rPr>
        <w:t>ječenja.</w:t>
      </w:r>
    </w:p>
    <w:p w14:paraId="5FDE0D1F" w14:textId="77777777" w:rsidR="003C6204" w:rsidRPr="00F16B0C" w:rsidRDefault="003C6204" w:rsidP="00F16B0C">
      <w:pPr>
        <w:widowControl w:val="0"/>
        <w:autoSpaceDE w:val="0"/>
        <w:autoSpaceDN w:val="0"/>
        <w:jc w:val="both"/>
        <w:rPr>
          <w:sz w:val="22"/>
          <w:szCs w:val="22"/>
          <w:lang w:val="sr-Latn-ME"/>
        </w:rPr>
      </w:pPr>
    </w:p>
    <w:p w14:paraId="64AA4B35" w14:textId="77777777" w:rsidR="003C6204" w:rsidRPr="00F16B0C" w:rsidRDefault="003C6204" w:rsidP="00F16B0C">
      <w:pPr>
        <w:widowControl w:val="0"/>
        <w:autoSpaceDE w:val="0"/>
        <w:autoSpaceDN w:val="0"/>
        <w:jc w:val="both"/>
        <w:rPr>
          <w:i/>
          <w:sz w:val="22"/>
          <w:szCs w:val="22"/>
          <w:lang w:val="sr-Latn-ME"/>
        </w:rPr>
      </w:pPr>
      <w:r w:rsidRPr="00F16B0C">
        <w:rPr>
          <w:i/>
          <w:iCs/>
          <w:sz w:val="22"/>
          <w:szCs w:val="22"/>
          <w:lang w:val="sr-Latn-ME"/>
        </w:rPr>
        <w:t>Starija populacija</w:t>
      </w:r>
    </w:p>
    <w:p w14:paraId="74140E23" w14:textId="77777777" w:rsidR="003C6204" w:rsidRPr="00F16B0C" w:rsidRDefault="003C6204" w:rsidP="00F16B0C">
      <w:pPr>
        <w:widowControl w:val="0"/>
        <w:autoSpaceDE w:val="0"/>
        <w:autoSpaceDN w:val="0"/>
        <w:adjustRightInd w:val="0"/>
        <w:jc w:val="both"/>
        <w:rPr>
          <w:sz w:val="22"/>
          <w:szCs w:val="22"/>
          <w:u w:val="single"/>
          <w:lang w:val="sr-Latn-ME"/>
        </w:rPr>
      </w:pPr>
      <w:r w:rsidRPr="00F16B0C">
        <w:rPr>
          <w:sz w:val="22"/>
          <w:szCs w:val="22"/>
          <w:lang w:val="sr-Latn-ME"/>
        </w:rPr>
        <w:t>Bezbjednosni profil kod starijih pacijenata (≥ 65 godina) bio je generalno sličan onom kod odraslih pacijenata, izuzev dermatoloških reakcija i reakcija povezanih sa infuzijom koje su češće viđane kod starijih ispitanika.</w:t>
      </w:r>
    </w:p>
    <w:p w14:paraId="07C687D1" w14:textId="77777777" w:rsidR="004E70AD" w:rsidRPr="00F16B0C" w:rsidRDefault="004E70AD" w:rsidP="00F16B0C">
      <w:pPr>
        <w:widowControl w:val="0"/>
        <w:tabs>
          <w:tab w:val="left" w:pos="540"/>
          <w:tab w:val="left" w:pos="569"/>
        </w:tabs>
        <w:jc w:val="both"/>
        <w:rPr>
          <w:b/>
          <w:bCs/>
          <w:sz w:val="22"/>
          <w:szCs w:val="22"/>
          <w:lang w:val="sr-Latn-ME"/>
        </w:rPr>
      </w:pPr>
    </w:p>
    <w:p w14:paraId="66551904" w14:textId="77777777" w:rsidR="005A23D2" w:rsidRPr="00F16B0C" w:rsidRDefault="005A23D2" w:rsidP="00F16B0C">
      <w:pPr>
        <w:widowControl w:val="0"/>
        <w:jc w:val="both"/>
        <w:rPr>
          <w:rFonts w:eastAsia="Calibri"/>
          <w:sz w:val="22"/>
          <w:szCs w:val="22"/>
          <w:u w:val="single"/>
          <w:lang w:val="sr-Latn-ME"/>
        </w:rPr>
      </w:pPr>
      <w:r w:rsidRPr="00F16B0C">
        <w:rPr>
          <w:rFonts w:eastAsia="Calibri"/>
          <w:sz w:val="22"/>
          <w:szCs w:val="22"/>
          <w:u w:val="single"/>
          <w:lang w:val="sr-Latn-ME"/>
        </w:rPr>
        <w:t>Prijavljivanje sumnji na neželjena dejstva</w:t>
      </w:r>
    </w:p>
    <w:p w14:paraId="69ADA237" w14:textId="77777777" w:rsidR="005A23D2" w:rsidRPr="00F16B0C" w:rsidRDefault="005A23D2" w:rsidP="00F16B0C">
      <w:pPr>
        <w:widowControl w:val="0"/>
        <w:jc w:val="both"/>
        <w:rPr>
          <w:rFonts w:eastAsia="Calibri"/>
          <w:sz w:val="22"/>
          <w:szCs w:val="22"/>
          <w:lang w:val="sr-Latn-ME"/>
        </w:rPr>
      </w:pPr>
      <w:r w:rsidRPr="00F16B0C">
        <w:rPr>
          <w:rFonts w:eastAsia="Calibri"/>
          <w:sz w:val="22"/>
          <w:szCs w:val="22"/>
          <w:lang w:val="sr-Latn-ME"/>
        </w:rPr>
        <w:t>Prijavljivanje neželjenih dejstava nakon dobijanja dozvole</w:t>
      </w:r>
      <w:r w:rsidR="00C70E57" w:rsidRPr="00F16B0C">
        <w:rPr>
          <w:rFonts w:eastAsia="Calibri"/>
          <w:sz w:val="22"/>
          <w:szCs w:val="22"/>
          <w:lang w:val="sr-Latn-ME"/>
        </w:rPr>
        <w:t xml:space="preserve"> za lijek </w:t>
      </w:r>
      <w:r w:rsidRPr="00F16B0C">
        <w:rPr>
          <w:rFonts w:eastAsia="Calibri"/>
          <w:sz w:val="22"/>
          <w:szCs w:val="22"/>
          <w:lang w:val="sr-Latn-ME"/>
        </w:rPr>
        <w:t xml:space="preserve"> je od velikog značaja jer obezbjeđuje kont</w:t>
      </w:r>
      <w:r w:rsidR="00EA5765" w:rsidRPr="00F16B0C">
        <w:rPr>
          <w:rFonts w:eastAsia="Calibri"/>
          <w:sz w:val="22"/>
          <w:szCs w:val="22"/>
          <w:lang w:val="sr-Latn-ME"/>
        </w:rPr>
        <w:t>inuirano praćenje odnosa korist</w:t>
      </w:r>
      <w:r w:rsidRPr="00F16B0C">
        <w:rPr>
          <w:rFonts w:eastAsia="Calibri"/>
          <w:sz w:val="22"/>
          <w:szCs w:val="22"/>
          <w:lang w:val="sr-Latn-ME"/>
        </w:rPr>
        <w:t>/rizik primjene lijeka. Zdravstveni radnici treba da prijave svaku sumnju na neželjeno</w:t>
      </w:r>
      <w:r w:rsidR="009B062A" w:rsidRPr="00F16B0C">
        <w:rPr>
          <w:rFonts w:eastAsia="Calibri"/>
          <w:sz w:val="22"/>
          <w:szCs w:val="22"/>
          <w:lang w:val="sr-Latn-ME"/>
        </w:rPr>
        <w:t xml:space="preserve"> </w:t>
      </w:r>
      <w:r w:rsidRPr="00F16B0C">
        <w:rPr>
          <w:rFonts w:eastAsia="Calibri"/>
          <w:sz w:val="22"/>
          <w:szCs w:val="22"/>
          <w:lang w:val="sr-Latn-ME"/>
        </w:rPr>
        <w:t xml:space="preserve">dejstvo ovog lijeka </w:t>
      </w:r>
      <w:r w:rsidR="004E70AD" w:rsidRPr="00F16B0C">
        <w:rPr>
          <w:rFonts w:eastAsia="Calibri"/>
          <w:sz w:val="22"/>
          <w:szCs w:val="22"/>
          <w:lang w:val="sr-Latn-ME"/>
        </w:rPr>
        <w:t>Institutu</w:t>
      </w:r>
      <w:r w:rsidRPr="00F16B0C">
        <w:rPr>
          <w:rFonts w:eastAsia="Calibri"/>
          <w:sz w:val="22"/>
          <w:szCs w:val="22"/>
          <w:lang w:val="sr-Latn-ME"/>
        </w:rPr>
        <w:t xml:space="preserve"> za ljekove i medicinska sredstva</w:t>
      </w:r>
      <w:r w:rsidR="004E70AD" w:rsidRPr="00F16B0C">
        <w:rPr>
          <w:rFonts w:eastAsia="Calibri"/>
          <w:sz w:val="22"/>
          <w:szCs w:val="22"/>
          <w:lang w:val="sr-Latn-ME"/>
        </w:rPr>
        <w:t xml:space="preserve"> </w:t>
      </w:r>
      <w:r w:rsidRPr="00F16B0C">
        <w:rPr>
          <w:rFonts w:eastAsia="Calibri"/>
          <w:sz w:val="22"/>
          <w:szCs w:val="22"/>
          <w:lang w:val="sr-Latn-ME"/>
        </w:rPr>
        <w:t>(</w:t>
      </w:r>
      <w:r w:rsidR="004E70AD" w:rsidRPr="00F16B0C">
        <w:rPr>
          <w:rFonts w:eastAsia="Calibri"/>
          <w:sz w:val="22"/>
          <w:szCs w:val="22"/>
          <w:lang w:val="sr-Latn-ME"/>
        </w:rPr>
        <w:t>CInMED</w:t>
      </w:r>
      <w:r w:rsidRPr="00F16B0C">
        <w:rPr>
          <w:rFonts w:eastAsia="Calibri"/>
          <w:sz w:val="22"/>
          <w:szCs w:val="22"/>
          <w:lang w:val="sr-Latn-ME"/>
        </w:rPr>
        <w:t>):</w:t>
      </w:r>
    </w:p>
    <w:p w14:paraId="45350A2C" w14:textId="77777777" w:rsidR="005A23D2" w:rsidRPr="00F16B0C" w:rsidRDefault="004E70AD" w:rsidP="00F16B0C">
      <w:pPr>
        <w:pStyle w:val="NoSpacing"/>
        <w:widowControl w:val="0"/>
        <w:jc w:val="both"/>
        <w:rPr>
          <w:rFonts w:eastAsia="Calibri"/>
          <w:sz w:val="22"/>
          <w:szCs w:val="22"/>
          <w:lang w:val="sr-Latn-ME"/>
        </w:rPr>
      </w:pPr>
      <w:r w:rsidRPr="00F16B0C">
        <w:rPr>
          <w:rFonts w:eastAsia="Calibri"/>
          <w:sz w:val="22"/>
          <w:szCs w:val="22"/>
          <w:lang w:val="sr-Latn-ME"/>
        </w:rPr>
        <w:t xml:space="preserve">Institut </w:t>
      </w:r>
      <w:r w:rsidR="005A23D2" w:rsidRPr="00F16B0C">
        <w:rPr>
          <w:rFonts w:eastAsia="Calibri"/>
          <w:sz w:val="22"/>
          <w:szCs w:val="22"/>
          <w:lang w:val="sr-Latn-ME"/>
        </w:rPr>
        <w:t xml:space="preserve">za ljekove i medicinska sredstva </w:t>
      </w:r>
    </w:p>
    <w:p w14:paraId="1ED40CEF" w14:textId="77777777" w:rsidR="005A23D2" w:rsidRPr="00F16B0C" w:rsidRDefault="005A23D2" w:rsidP="00F16B0C">
      <w:pPr>
        <w:pStyle w:val="NoSpacing"/>
        <w:widowControl w:val="0"/>
        <w:jc w:val="both"/>
        <w:rPr>
          <w:rFonts w:eastAsia="Calibri"/>
          <w:sz w:val="22"/>
          <w:szCs w:val="22"/>
          <w:lang w:val="sr-Latn-ME"/>
        </w:rPr>
      </w:pPr>
      <w:r w:rsidRPr="00F16B0C">
        <w:rPr>
          <w:rFonts w:eastAsia="Calibri"/>
          <w:sz w:val="22"/>
          <w:szCs w:val="22"/>
          <w:lang w:val="sr-Latn-ME"/>
        </w:rPr>
        <w:t>Odjeljenje za farmakovigilancu</w:t>
      </w:r>
    </w:p>
    <w:p w14:paraId="4800E339" w14:textId="77777777" w:rsidR="00EA5765" w:rsidRPr="00F16B0C" w:rsidRDefault="005A23D2" w:rsidP="00F16B0C">
      <w:pPr>
        <w:pStyle w:val="NoSpacing"/>
        <w:widowControl w:val="0"/>
        <w:jc w:val="both"/>
        <w:rPr>
          <w:rFonts w:eastAsia="Calibri"/>
          <w:sz w:val="22"/>
          <w:szCs w:val="22"/>
          <w:lang w:val="sr-Latn-ME"/>
        </w:rPr>
      </w:pPr>
      <w:r w:rsidRPr="00F16B0C">
        <w:rPr>
          <w:rFonts w:eastAsia="Calibri"/>
          <w:sz w:val="22"/>
          <w:szCs w:val="22"/>
          <w:lang w:val="sr-Latn-ME"/>
        </w:rPr>
        <w:t>Bulevar Ivana Crnojevića 64a, 81000 Podgorica</w:t>
      </w:r>
    </w:p>
    <w:p w14:paraId="6519D699" w14:textId="77777777" w:rsidR="00EA5765" w:rsidRPr="00F16B0C" w:rsidRDefault="00EA5765" w:rsidP="00F16B0C">
      <w:pPr>
        <w:pStyle w:val="NoSpacing"/>
        <w:widowControl w:val="0"/>
        <w:jc w:val="both"/>
        <w:rPr>
          <w:rFonts w:eastAsia="Calibri"/>
          <w:sz w:val="22"/>
          <w:szCs w:val="22"/>
          <w:lang w:val="sr-Latn-ME"/>
        </w:rPr>
      </w:pPr>
    </w:p>
    <w:p w14:paraId="2B4AA411" w14:textId="77777777" w:rsidR="005A23D2" w:rsidRPr="00F16B0C" w:rsidRDefault="005A23D2" w:rsidP="00F16B0C">
      <w:pPr>
        <w:pStyle w:val="NoSpacing"/>
        <w:widowControl w:val="0"/>
        <w:jc w:val="both"/>
        <w:rPr>
          <w:rFonts w:eastAsia="Calibri"/>
          <w:sz w:val="22"/>
          <w:szCs w:val="22"/>
          <w:lang w:val="sr-Latn-ME"/>
        </w:rPr>
      </w:pPr>
      <w:r w:rsidRPr="00F16B0C">
        <w:rPr>
          <w:rFonts w:eastAsia="Calibri"/>
          <w:sz w:val="22"/>
          <w:szCs w:val="22"/>
          <w:lang w:val="sr-Latn-ME"/>
        </w:rPr>
        <w:t>tel: +382 (0) 20 310 280</w:t>
      </w:r>
    </w:p>
    <w:p w14:paraId="6984FD02" w14:textId="77777777" w:rsidR="00EA5765" w:rsidRPr="00F16B0C" w:rsidRDefault="005A23D2" w:rsidP="00F16B0C">
      <w:pPr>
        <w:pStyle w:val="NoSpacing"/>
        <w:widowControl w:val="0"/>
        <w:tabs>
          <w:tab w:val="left" w:pos="6720"/>
        </w:tabs>
        <w:jc w:val="both"/>
        <w:rPr>
          <w:rFonts w:eastAsia="Calibri"/>
          <w:sz w:val="22"/>
          <w:szCs w:val="22"/>
          <w:lang w:val="sr-Latn-ME"/>
        </w:rPr>
      </w:pPr>
      <w:r w:rsidRPr="00F16B0C">
        <w:rPr>
          <w:rFonts w:eastAsia="Calibri"/>
          <w:sz w:val="22"/>
          <w:szCs w:val="22"/>
          <w:lang w:val="sr-Latn-ME"/>
        </w:rPr>
        <w:t>fax:</w:t>
      </w:r>
      <w:r w:rsidR="00EA5765" w:rsidRPr="00F16B0C">
        <w:rPr>
          <w:rFonts w:eastAsia="Calibri"/>
          <w:sz w:val="22"/>
          <w:szCs w:val="22"/>
          <w:lang w:val="sr-Latn-ME"/>
        </w:rPr>
        <w:t xml:space="preserve"> </w:t>
      </w:r>
      <w:r w:rsidRPr="00F16B0C">
        <w:rPr>
          <w:rFonts w:eastAsia="Calibri"/>
          <w:sz w:val="22"/>
          <w:szCs w:val="22"/>
          <w:lang w:val="sr-Latn-ME"/>
        </w:rPr>
        <w:t>+382 (0) 20 310 581</w:t>
      </w:r>
      <w:r w:rsidR="00FF3EDF" w:rsidRPr="00F16B0C">
        <w:rPr>
          <w:rFonts w:eastAsia="Calibri"/>
          <w:sz w:val="22"/>
          <w:szCs w:val="22"/>
          <w:lang w:val="sr-Latn-ME"/>
        </w:rPr>
        <w:tab/>
      </w:r>
    </w:p>
    <w:p w14:paraId="2DEB37F4" w14:textId="77777777" w:rsidR="005A23D2" w:rsidRPr="00F16B0C" w:rsidRDefault="00C17776" w:rsidP="00F16B0C">
      <w:pPr>
        <w:pStyle w:val="NoSpacing"/>
        <w:widowControl w:val="0"/>
        <w:jc w:val="both"/>
        <w:rPr>
          <w:rFonts w:eastAsia="Calibri"/>
          <w:sz w:val="22"/>
          <w:szCs w:val="22"/>
          <w:lang w:val="sr-Latn-ME"/>
        </w:rPr>
      </w:pPr>
      <w:hyperlink r:id="rId8" w:history="1">
        <w:r w:rsidR="004E70AD" w:rsidRPr="00F16B0C">
          <w:rPr>
            <w:rStyle w:val="Hyperlink"/>
            <w:rFonts w:eastAsia="Calibri"/>
            <w:sz w:val="22"/>
            <w:szCs w:val="22"/>
            <w:lang w:val="sr-Latn-ME"/>
          </w:rPr>
          <w:t>www.cinmed.me</w:t>
        </w:r>
      </w:hyperlink>
    </w:p>
    <w:p w14:paraId="33CE59A4" w14:textId="77777777" w:rsidR="00EA5765" w:rsidRPr="00F16B0C" w:rsidRDefault="00C17776" w:rsidP="00F16B0C">
      <w:pPr>
        <w:pStyle w:val="NoSpacing"/>
        <w:widowControl w:val="0"/>
        <w:jc w:val="both"/>
        <w:rPr>
          <w:rFonts w:eastAsia="Calibri"/>
          <w:color w:val="0000FF"/>
          <w:sz w:val="22"/>
          <w:szCs w:val="22"/>
          <w:u w:val="single"/>
          <w:lang w:val="sr-Latn-ME"/>
        </w:rPr>
      </w:pPr>
      <w:hyperlink r:id="rId9" w:history="1">
        <w:r w:rsidR="004E70AD" w:rsidRPr="00F16B0C">
          <w:rPr>
            <w:rStyle w:val="Hyperlink"/>
            <w:rFonts w:eastAsia="Calibri"/>
            <w:sz w:val="22"/>
            <w:szCs w:val="22"/>
            <w:lang w:val="sr-Latn-ME"/>
          </w:rPr>
          <w:t>nezeljenadejstva@cinmed.me</w:t>
        </w:r>
      </w:hyperlink>
    </w:p>
    <w:p w14:paraId="0E51C5CB" w14:textId="77777777" w:rsidR="005A23D2" w:rsidRPr="00F16B0C" w:rsidRDefault="005A23D2" w:rsidP="00F16B0C">
      <w:pPr>
        <w:pStyle w:val="NoSpacing"/>
        <w:widowControl w:val="0"/>
        <w:jc w:val="both"/>
        <w:rPr>
          <w:rFonts w:eastAsia="Calibri"/>
          <w:sz w:val="22"/>
          <w:szCs w:val="22"/>
          <w:lang w:val="sr-Latn-ME"/>
        </w:rPr>
      </w:pPr>
      <w:r w:rsidRPr="00F16B0C">
        <w:rPr>
          <w:rFonts w:eastAsia="Calibri"/>
          <w:sz w:val="22"/>
          <w:szCs w:val="22"/>
          <w:lang w:val="sr-Latn-ME"/>
        </w:rPr>
        <w:t>putem IS zdravstvene zaštite</w:t>
      </w:r>
    </w:p>
    <w:p w14:paraId="721DAEB8" w14:textId="77777777" w:rsidR="007E31E9" w:rsidRPr="00F16B0C" w:rsidRDefault="007E31E9" w:rsidP="00F16B0C">
      <w:pPr>
        <w:pStyle w:val="NoSpacing"/>
        <w:widowControl w:val="0"/>
        <w:jc w:val="both"/>
        <w:rPr>
          <w:rFonts w:eastAsia="Calibri"/>
          <w:sz w:val="22"/>
          <w:szCs w:val="22"/>
          <w:lang w:val="sr-Latn-ME"/>
        </w:rPr>
      </w:pPr>
      <w:r w:rsidRPr="00F16B0C">
        <w:rPr>
          <w:rFonts w:eastAsia="Calibri"/>
          <w:sz w:val="22"/>
          <w:szCs w:val="22"/>
          <w:lang w:val="sr-Latn-ME"/>
        </w:rPr>
        <w:t>QR kod za online prijavu</w:t>
      </w:r>
      <w:r w:rsidR="00D74CD2" w:rsidRPr="00F16B0C">
        <w:rPr>
          <w:rFonts w:eastAsia="Calibri"/>
          <w:sz w:val="22"/>
          <w:szCs w:val="22"/>
          <w:lang w:val="sr-Latn-ME"/>
        </w:rPr>
        <w:t xml:space="preserve"> sumnje na neželjeno dejstvo lijeka</w:t>
      </w:r>
      <w:r w:rsidRPr="00F16B0C">
        <w:rPr>
          <w:rFonts w:eastAsia="Calibri"/>
          <w:sz w:val="22"/>
          <w:szCs w:val="22"/>
          <w:lang w:val="sr-Latn-ME"/>
        </w:rPr>
        <w:t>:</w:t>
      </w:r>
    </w:p>
    <w:p w14:paraId="77C4CEF6" w14:textId="77777777" w:rsidR="007E31E9" w:rsidRPr="00F16B0C" w:rsidRDefault="007E31E9" w:rsidP="00F16B0C">
      <w:pPr>
        <w:pStyle w:val="NoSpacing"/>
        <w:widowControl w:val="0"/>
        <w:jc w:val="both"/>
        <w:rPr>
          <w:rFonts w:eastAsia="Calibri"/>
          <w:sz w:val="22"/>
          <w:szCs w:val="22"/>
          <w:lang w:val="sr-Latn-ME"/>
        </w:rPr>
      </w:pPr>
    </w:p>
    <w:p w14:paraId="5444B8F7" w14:textId="77A35141" w:rsidR="004F17E2" w:rsidRPr="00F16B0C" w:rsidRDefault="002A0BAB" w:rsidP="00F16B0C">
      <w:pPr>
        <w:pStyle w:val="NoSpacing"/>
        <w:widowControl w:val="0"/>
        <w:jc w:val="both"/>
        <w:rPr>
          <w:rFonts w:eastAsia="Calibri"/>
          <w:sz w:val="22"/>
          <w:szCs w:val="22"/>
          <w:lang w:val="sr-Latn-ME"/>
        </w:rPr>
      </w:pPr>
      <w:r w:rsidRPr="00F16B0C">
        <w:rPr>
          <w:b/>
          <w:bCs/>
          <w:sz w:val="22"/>
          <w:szCs w:val="22"/>
          <w:lang w:val="sr-Latn-ME" w:eastAsia="sr-Latn-ME"/>
        </w:rPr>
        <w:drawing>
          <wp:inline distT="0" distB="0" distL="0" distR="0" wp14:anchorId="620A8703" wp14:editId="48EA6C16">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B78B079" w14:textId="77777777" w:rsidR="00836B35" w:rsidRPr="00F16B0C" w:rsidRDefault="00836B35" w:rsidP="00F16B0C">
      <w:pPr>
        <w:widowControl w:val="0"/>
        <w:tabs>
          <w:tab w:val="left" w:pos="540"/>
          <w:tab w:val="left" w:pos="569"/>
        </w:tabs>
        <w:jc w:val="both"/>
        <w:rPr>
          <w:b/>
          <w:bCs/>
          <w:sz w:val="22"/>
          <w:szCs w:val="22"/>
          <w:lang w:val="sr-Latn-ME"/>
        </w:rPr>
      </w:pPr>
    </w:p>
    <w:p w14:paraId="1016FC82" w14:textId="77777777" w:rsidR="00CD6F02" w:rsidRPr="00F16B0C" w:rsidRDefault="0072020E" w:rsidP="00F16B0C">
      <w:pPr>
        <w:widowControl w:val="0"/>
        <w:tabs>
          <w:tab w:val="left" w:pos="540"/>
          <w:tab w:val="left" w:pos="569"/>
        </w:tabs>
        <w:jc w:val="both"/>
        <w:rPr>
          <w:b/>
          <w:bCs/>
          <w:sz w:val="22"/>
          <w:szCs w:val="22"/>
          <w:lang w:val="sr-Latn-ME"/>
        </w:rPr>
      </w:pPr>
      <w:r w:rsidRPr="00F16B0C">
        <w:rPr>
          <w:b/>
          <w:bCs/>
          <w:sz w:val="22"/>
          <w:szCs w:val="22"/>
          <w:lang w:val="sr-Latn-ME"/>
        </w:rPr>
        <w:t xml:space="preserve">4.9. </w:t>
      </w:r>
      <w:r w:rsidR="00480FB1" w:rsidRPr="00F16B0C">
        <w:rPr>
          <w:b/>
          <w:bCs/>
          <w:sz w:val="22"/>
          <w:szCs w:val="22"/>
          <w:lang w:val="sr-Latn-ME"/>
        </w:rPr>
        <w:tab/>
      </w:r>
      <w:r w:rsidRPr="00F16B0C">
        <w:rPr>
          <w:b/>
          <w:bCs/>
          <w:sz w:val="22"/>
          <w:szCs w:val="22"/>
          <w:lang w:val="sr-Latn-ME"/>
        </w:rPr>
        <w:t>Predoziranje</w:t>
      </w:r>
      <w:r w:rsidR="002846DB" w:rsidRPr="00F16B0C">
        <w:rPr>
          <w:b/>
          <w:bCs/>
          <w:sz w:val="22"/>
          <w:szCs w:val="22"/>
          <w:lang w:val="sr-Latn-ME"/>
        </w:rPr>
        <w:t xml:space="preserve"> </w:t>
      </w:r>
    </w:p>
    <w:p w14:paraId="5CE1C617" w14:textId="77777777" w:rsidR="00CD6F02" w:rsidRPr="00F16B0C" w:rsidRDefault="00CD6F02" w:rsidP="00F16B0C">
      <w:pPr>
        <w:widowControl w:val="0"/>
        <w:tabs>
          <w:tab w:val="left" w:pos="540"/>
          <w:tab w:val="left" w:pos="569"/>
        </w:tabs>
        <w:jc w:val="both"/>
        <w:rPr>
          <w:b/>
          <w:bCs/>
          <w:sz w:val="22"/>
          <w:szCs w:val="22"/>
          <w:lang w:val="sr-Latn-ME"/>
        </w:rPr>
      </w:pPr>
    </w:p>
    <w:p w14:paraId="5C794967" w14:textId="77777777" w:rsidR="00FD2DB5" w:rsidRPr="00F16B0C" w:rsidRDefault="00FD2DB5" w:rsidP="00F16B0C">
      <w:pPr>
        <w:widowControl w:val="0"/>
        <w:jc w:val="both"/>
        <w:rPr>
          <w:sz w:val="22"/>
          <w:szCs w:val="22"/>
          <w:lang w:val="sr-Latn-ME"/>
        </w:rPr>
      </w:pPr>
      <w:r w:rsidRPr="00F16B0C">
        <w:rPr>
          <w:sz w:val="22"/>
          <w:szCs w:val="22"/>
          <w:lang w:val="sr-Latn-ME"/>
        </w:rPr>
        <w:t>Nema informacija o predoziranju mogamulizumabom. U slučaju predoziranja, potrebno je pažljivo pratiti pacijenta, uključujući njegove vitalne znake (najmanje 1 sat) i treba pružiti suportivno liječenje po potrebi.</w:t>
      </w:r>
    </w:p>
    <w:p w14:paraId="3401E795" w14:textId="77777777" w:rsidR="00FD2DB5" w:rsidRPr="00F16B0C" w:rsidRDefault="00FD2DB5" w:rsidP="00F16B0C">
      <w:pPr>
        <w:widowControl w:val="0"/>
        <w:tabs>
          <w:tab w:val="left" w:pos="540"/>
          <w:tab w:val="left" w:pos="569"/>
        </w:tabs>
        <w:jc w:val="both"/>
        <w:rPr>
          <w:b/>
          <w:bCs/>
          <w:sz w:val="22"/>
          <w:szCs w:val="22"/>
          <w:lang w:val="sr-Latn-ME"/>
        </w:rPr>
      </w:pPr>
    </w:p>
    <w:p w14:paraId="481E1FF0" w14:textId="77777777" w:rsidR="00227BDB" w:rsidRPr="00F16B0C" w:rsidRDefault="00227BDB" w:rsidP="00F16B0C">
      <w:pPr>
        <w:widowControl w:val="0"/>
        <w:tabs>
          <w:tab w:val="left" w:pos="540"/>
          <w:tab w:val="left" w:pos="569"/>
        </w:tabs>
        <w:jc w:val="both"/>
        <w:rPr>
          <w:b/>
          <w:bCs/>
          <w:sz w:val="22"/>
          <w:szCs w:val="22"/>
          <w:lang w:val="sr-Latn-ME"/>
        </w:rPr>
      </w:pPr>
    </w:p>
    <w:p w14:paraId="46BC07BD" w14:textId="77777777" w:rsidR="0072020E" w:rsidRPr="00F16B0C" w:rsidRDefault="0072020E" w:rsidP="00F16B0C">
      <w:pPr>
        <w:widowControl w:val="0"/>
        <w:tabs>
          <w:tab w:val="left" w:pos="540"/>
          <w:tab w:val="left" w:pos="569"/>
        </w:tabs>
        <w:jc w:val="both"/>
        <w:rPr>
          <w:b/>
          <w:bCs/>
          <w:sz w:val="22"/>
          <w:szCs w:val="22"/>
          <w:lang w:val="sr-Latn-ME"/>
        </w:rPr>
      </w:pPr>
      <w:r w:rsidRPr="00F16B0C">
        <w:rPr>
          <w:b/>
          <w:bCs/>
          <w:sz w:val="22"/>
          <w:szCs w:val="22"/>
          <w:lang w:val="sr-Latn-ME"/>
        </w:rPr>
        <w:t xml:space="preserve">5. </w:t>
      </w:r>
      <w:r w:rsidR="00480FB1" w:rsidRPr="00F16B0C">
        <w:rPr>
          <w:b/>
          <w:bCs/>
          <w:sz w:val="22"/>
          <w:szCs w:val="22"/>
          <w:lang w:val="sr-Latn-ME"/>
        </w:rPr>
        <w:tab/>
      </w:r>
      <w:r w:rsidRPr="00F16B0C">
        <w:rPr>
          <w:b/>
          <w:bCs/>
          <w:sz w:val="22"/>
          <w:szCs w:val="22"/>
          <w:lang w:val="sr-Latn-ME"/>
        </w:rPr>
        <w:t>FARMAKOLOŠK</w:t>
      </w:r>
      <w:r w:rsidR="000D425A" w:rsidRPr="00F16B0C">
        <w:rPr>
          <w:b/>
          <w:bCs/>
          <w:sz w:val="22"/>
          <w:szCs w:val="22"/>
          <w:lang w:val="sr-Latn-ME"/>
        </w:rPr>
        <w:t>I</w:t>
      </w:r>
      <w:r w:rsidRPr="00F16B0C">
        <w:rPr>
          <w:b/>
          <w:bCs/>
          <w:sz w:val="22"/>
          <w:szCs w:val="22"/>
          <w:lang w:val="sr-Latn-ME"/>
        </w:rPr>
        <w:t xml:space="preserve"> PODACI</w:t>
      </w:r>
    </w:p>
    <w:p w14:paraId="3681B76D" w14:textId="77777777" w:rsidR="0072020E" w:rsidRPr="00F16B0C" w:rsidRDefault="0072020E" w:rsidP="00F16B0C">
      <w:pPr>
        <w:widowControl w:val="0"/>
        <w:tabs>
          <w:tab w:val="left" w:pos="540"/>
          <w:tab w:val="left" w:pos="569"/>
        </w:tabs>
        <w:jc w:val="both"/>
        <w:rPr>
          <w:b/>
          <w:bCs/>
          <w:sz w:val="22"/>
          <w:szCs w:val="22"/>
          <w:lang w:val="sr-Latn-ME"/>
        </w:rPr>
      </w:pPr>
    </w:p>
    <w:p w14:paraId="29669B4E" w14:textId="77777777" w:rsidR="0072020E" w:rsidRPr="00F16B0C" w:rsidRDefault="0072020E" w:rsidP="00F16B0C">
      <w:pPr>
        <w:widowControl w:val="0"/>
        <w:tabs>
          <w:tab w:val="left" w:pos="540"/>
          <w:tab w:val="left" w:pos="569"/>
        </w:tabs>
        <w:jc w:val="both"/>
        <w:rPr>
          <w:b/>
          <w:bCs/>
          <w:sz w:val="22"/>
          <w:szCs w:val="22"/>
          <w:lang w:val="sr-Latn-ME"/>
        </w:rPr>
      </w:pPr>
      <w:r w:rsidRPr="00F16B0C">
        <w:rPr>
          <w:b/>
          <w:bCs/>
          <w:sz w:val="22"/>
          <w:szCs w:val="22"/>
          <w:lang w:val="sr-Latn-ME"/>
        </w:rPr>
        <w:t xml:space="preserve">5.1. </w:t>
      </w:r>
      <w:r w:rsidR="00480FB1" w:rsidRPr="00F16B0C">
        <w:rPr>
          <w:b/>
          <w:bCs/>
          <w:sz w:val="22"/>
          <w:szCs w:val="22"/>
          <w:lang w:val="sr-Latn-ME"/>
        </w:rPr>
        <w:tab/>
      </w:r>
      <w:r w:rsidRPr="00F16B0C">
        <w:rPr>
          <w:b/>
          <w:bCs/>
          <w:sz w:val="22"/>
          <w:szCs w:val="22"/>
          <w:lang w:val="sr-Latn-ME"/>
        </w:rPr>
        <w:t>Farmakodinamski podaci</w:t>
      </w:r>
      <w:r w:rsidR="003A7059" w:rsidRPr="00F16B0C">
        <w:rPr>
          <w:b/>
          <w:bCs/>
          <w:sz w:val="22"/>
          <w:szCs w:val="22"/>
          <w:lang w:val="sr-Latn-ME"/>
        </w:rPr>
        <w:t xml:space="preserve"> </w:t>
      </w:r>
    </w:p>
    <w:p w14:paraId="6060B67B" w14:textId="77777777" w:rsidR="00F45F77" w:rsidRPr="00F16B0C" w:rsidRDefault="00F45F77" w:rsidP="00F16B0C">
      <w:pPr>
        <w:widowControl w:val="0"/>
        <w:tabs>
          <w:tab w:val="left" w:pos="540"/>
          <w:tab w:val="left" w:pos="569"/>
        </w:tabs>
        <w:jc w:val="both"/>
        <w:rPr>
          <w:b/>
          <w:bCs/>
          <w:sz w:val="22"/>
          <w:szCs w:val="22"/>
          <w:lang w:val="sr-Latn-ME"/>
        </w:rPr>
      </w:pPr>
    </w:p>
    <w:p w14:paraId="794580E5" w14:textId="77777777" w:rsidR="0072020E" w:rsidRPr="00F16B0C" w:rsidRDefault="0072020E" w:rsidP="00F16B0C">
      <w:pPr>
        <w:widowControl w:val="0"/>
        <w:tabs>
          <w:tab w:val="left" w:pos="540"/>
          <w:tab w:val="left" w:pos="569"/>
        </w:tabs>
        <w:jc w:val="both"/>
        <w:rPr>
          <w:bCs/>
          <w:sz w:val="22"/>
          <w:szCs w:val="22"/>
          <w:lang w:val="sr-Latn-ME"/>
        </w:rPr>
      </w:pPr>
      <w:r w:rsidRPr="00F16B0C">
        <w:rPr>
          <w:bCs/>
          <w:sz w:val="22"/>
          <w:szCs w:val="22"/>
          <w:lang w:val="sr-Latn-ME"/>
        </w:rPr>
        <w:t>Farmakoterapijska grupa:</w:t>
      </w:r>
      <w:r w:rsidR="00FD2DB5" w:rsidRPr="00F16B0C">
        <w:rPr>
          <w:bCs/>
          <w:sz w:val="22"/>
          <w:szCs w:val="22"/>
          <w:lang w:val="sr-Latn-ME"/>
        </w:rPr>
        <w:t xml:space="preserve"> Antineoplastici i imunomodulišući agensi, monoklonska antitijela</w:t>
      </w:r>
    </w:p>
    <w:p w14:paraId="7A6EC6D3" w14:textId="77777777" w:rsidR="0072020E" w:rsidRPr="00F16B0C" w:rsidRDefault="0072020E" w:rsidP="00F16B0C">
      <w:pPr>
        <w:widowControl w:val="0"/>
        <w:tabs>
          <w:tab w:val="left" w:pos="540"/>
          <w:tab w:val="left" w:pos="569"/>
        </w:tabs>
        <w:jc w:val="both"/>
        <w:rPr>
          <w:bCs/>
          <w:sz w:val="22"/>
          <w:szCs w:val="22"/>
          <w:lang w:val="sr-Latn-ME"/>
        </w:rPr>
      </w:pPr>
    </w:p>
    <w:p w14:paraId="06CE93C0" w14:textId="77777777" w:rsidR="0072020E" w:rsidRPr="00F16B0C" w:rsidRDefault="0072020E" w:rsidP="00F16B0C">
      <w:pPr>
        <w:widowControl w:val="0"/>
        <w:tabs>
          <w:tab w:val="left" w:pos="540"/>
          <w:tab w:val="left" w:pos="569"/>
        </w:tabs>
        <w:jc w:val="both"/>
        <w:rPr>
          <w:bCs/>
          <w:sz w:val="22"/>
          <w:szCs w:val="22"/>
          <w:lang w:val="sr-Latn-ME"/>
        </w:rPr>
      </w:pPr>
      <w:r w:rsidRPr="00F16B0C">
        <w:rPr>
          <w:bCs/>
          <w:sz w:val="22"/>
          <w:szCs w:val="22"/>
          <w:lang w:val="sr-Latn-ME"/>
        </w:rPr>
        <w:t>ATC kod:</w:t>
      </w:r>
      <w:r w:rsidR="00FD2DB5" w:rsidRPr="00F16B0C">
        <w:rPr>
          <w:bCs/>
          <w:sz w:val="22"/>
          <w:szCs w:val="22"/>
          <w:lang w:val="sr-Latn-ME"/>
        </w:rPr>
        <w:t xml:space="preserve"> L01FX09</w:t>
      </w:r>
    </w:p>
    <w:p w14:paraId="3E06F368" w14:textId="77777777" w:rsidR="00FD2DB5" w:rsidRPr="00F16B0C" w:rsidRDefault="00FD2DB5" w:rsidP="00F16B0C">
      <w:pPr>
        <w:widowControl w:val="0"/>
        <w:tabs>
          <w:tab w:val="left" w:pos="540"/>
          <w:tab w:val="left" w:pos="569"/>
        </w:tabs>
        <w:jc w:val="both"/>
        <w:rPr>
          <w:bCs/>
          <w:sz w:val="22"/>
          <w:szCs w:val="22"/>
          <w:lang w:val="sr-Latn-ME"/>
        </w:rPr>
      </w:pPr>
    </w:p>
    <w:p w14:paraId="2BB4C1A3" w14:textId="77777777" w:rsidR="00FD2DB5" w:rsidRPr="00F16B0C" w:rsidRDefault="00FD2DB5" w:rsidP="00F16B0C">
      <w:pPr>
        <w:widowControl w:val="0"/>
        <w:jc w:val="both"/>
        <w:rPr>
          <w:sz w:val="22"/>
          <w:szCs w:val="22"/>
          <w:u w:val="single"/>
          <w:lang w:val="sr-Latn-ME"/>
        </w:rPr>
      </w:pPr>
      <w:r w:rsidRPr="00F16B0C">
        <w:rPr>
          <w:sz w:val="22"/>
          <w:szCs w:val="22"/>
          <w:u w:val="single"/>
          <w:lang w:val="sr-Latn-ME"/>
        </w:rPr>
        <w:t>Mehanizam dejstva</w:t>
      </w:r>
    </w:p>
    <w:p w14:paraId="5075506C" w14:textId="77777777" w:rsidR="00FD2DB5" w:rsidRPr="00F16B0C" w:rsidRDefault="00FD2DB5" w:rsidP="00F16B0C">
      <w:pPr>
        <w:widowControl w:val="0"/>
        <w:autoSpaceDE w:val="0"/>
        <w:autoSpaceDN w:val="0"/>
        <w:jc w:val="both"/>
        <w:rPr>
          <w:sz w:val="22"/>
          <w:szCs w:val="22"/>
          <w:lang w:val="sr-Latn-ME"/>
        </w:rPr>
      </w:pPr>
      <w:r w:rsidRPr="00F16B0C">
        <w:rPr>
          <w:sz w:val="22"/>
          <w:szCs w:val="22"/>
          <w:lang w:val="sr-Latn-ME"/>
        </w:rPr>
        <w:t>Mogamulizumab je defukozilirani, humanizovani IgG1 κ (kapa) imunoglobulin koji se selektivno veže za CCR4, receptor za CC hemokine spojen sa G proteinom, koji je uključen u procese migracije limfocita do raznih organa uključujući kožu, što dovodi do smanjenja ciljnih ćelija. CCR4 se eksprimira na površini određenih ćelija karcinoma uključujući maligne bolesti T-ćelija, kao što su MF i SS u kojima je ekspresija CCR4 inherentna.</w:t>
      </w:r>
    </w:p>
    <w:p w14:paraId="3F9B20A4" w14:textId="77777777" w:rsidR="00FD2DB5" w:rsidRPr="00F16B0C" w:rsidRDefault="00FD2DB5" w:rsidP="00F16B0C">
      <w:pPr>
        <w:widowControl w:val="0"/>
        <w:jc w:val="both"/>
        <w:rPr>
          <w:sz w:val="22"/>
          <w:szCs w:val="22"/>
          <w:lang w:val="sr-Latn-ME"/>
        </w:rPr>
      </w:pPr>
    </w:p>
    <w:p w14:paraId="3D401283" w14:textId="77777777" w:rsidR="00FD2DB5" w:rsidRPr="00F16B0C" w:rsidRDefault="00FD2DB5" w:rsidP="00F16B0C">
      <w:pPr>
        <w:widowControl w:val="0"/>
        <w:jc w:val="both"/>
        <w:rPr>
          <w:sz w:val="22"/>
          <w:szCs w:val="22"/>
          <w:lang w:val="sr-Latn-ME"/>
        </w:rPr>
      </w:pPr>
      <w:r w:rsidRPr="00F16B0C">
        <w:rPr>
          <w:sz w:val="22"/>
          <w:szCs w:val="22"/>
          <w:u w:val="single"/>
          <w:lang w:val="sr-Latn-ME"/>
        </w:rPr>
        <w:t>Klinička efikasnost i bezbjednost</w:t>
      </w:r>
    </w:p>
    <w:p w14:paraId="5E130ABF" w14:textId="77777777" w:rsidR="00FD2DB5" w:rsidRPr="00F16B0C" w:rsidRDefault="00FD2DB5" w:rsidP="00F16B0C">
      <w:pPr>
        <w:widowControl w:val="0"/>
        <w:autoSpaceDE w:val="0"/>
        <w:autoSpaceDN w:val="0"/>
        <w:jc w:val="both"/>
        <w:rPr>
          <w:sz w:val="22"/>
          <w:szCs w:val="22"/>
          <w:lang w:val="sr-Latn-ME"/>
        </w:rPr>
      </w:pPr>
      <w:r w:rsidRPr="00F16B0C">
        <w:rPr>
          <w:sz w:val="22"/>
          <w:szCs w:val="22"/>
          <w:lang w:val="sr-Latn-ME"/>
        </w:rPr>
        <w:t>Delotvornost mogamulizumaba u liječenju pacijenata sa mycosis fungoides (MF) ili Sezarijevim sindromom (SS) utvrđena je u fazi 3 multicentrične, otvorene studije (0761-010) sa 372 odrasla pacijenta koji su randomizovani 1 : 1 za liječenje mogamulizumabom ili vorinostatom. U svakoj grupi je bilo 186 pacijenata. Infuzija mogamulizumaba je primjenjivana u dozi od 1 mg/kg jednom nedjeljno u prvom ciklusu od 28 dana (1, 8, 15. i 22. dana), i 1. i 15. dana svakog sledećeg ciklusa od 28 dana.</w:t>
      </w:r>
    </w:p>
    <w:p w14:paraId="1B903574" w14:textId="77777777" w:rsidR="00FD2DB5" w:rsidRPr="00F16B0C" w:rsidRDefault="00FD2DB5" w:rsidP="00F16B0C">
      <w:pPr>
        <w:widowControl w:val="0"/>
        <w:autoSpaceDE w:val="0"/>
        <w:autoSpaceDN w:val="0"/>
        <w:ind w:firstLine="2"/>
        <w:jc w:val="both"/>
        <w:rPr>
          <w:sz w:val="22"/>
          <w:szCs w:val="22"/>
          <w:lang w:val="sr-Latn-ME"/>
        </w:rPr>
      </w:pPr>
      <w:r w:rsidRPr="00F16B0C">
        <w:rPr>
          <w:sz w:val="22"/>
          <w:szCs w:val="22"/>
          <w:lang w:val="sr-Latn-ME"/>
        </w:rPr>
        <w:t>Vorinostat je primjenjivan u početnoj dozi od 400 mg peroralno, jednom dnevno počev od 1. dana tokom ciklusa od 28 dana. Pacijentima na vorinostatu sa progresijom bolesti ili neprihvatljivim toksičnostima bio je dozvoljen prelazak na terapiju mogamulizumabom. Pacijenti koji su prešli primili su do 46 meseci terapije mogamulizumabom počev od pres</w:t>
      </w:r>
      <w:r w:rsidR="00C70E57" w:rsidRPr="00F16B0C">
        <w:rPr>
          <w:sz w:val="22"/>
          <w:szCs w:val="22"/>
          <w:lang w:val="sr-Latn-ME"/>
        </w:rPr>
        <w:t>j</w:t>
      </w:r>
      <w:r w:rsidRPr="00F16B0C">
        <w:rPr>
          <w:sz w:val="22"/>
          <w:szCs w:val="22"/>
          <w:lang w:val="sr-Latn-ME"/>
        </w:rPr>
        <w:t>eka podataka u decembru 2016. Terapija mogamulizumabom je nastavljena do progresije bolesti ili neprihvatljive toksičnosti. Iz ispitivanja su isključeni pacijenti sa aktivnim autoimunskim bolestima, metastazama centralnog nervnog sistema i zdravstvenim stanjima koja su zaht</w:t>
      </w:r>
      <w:r w:rsidR="00C70E57" w:rsidRPr="00F16B0C">
        <w:rPr>
          <w:sz w:val="22"/>
          <w:szCs w:val="22"/>
          <w:lang w:val="sr-Latn-ME"/>
        </w:rPr>
        <w:t>ij</w:t>
      </w:r>
      <w:r w:rsidRPr="00F16B0C">
        <w:rPr>
          <w:sz w:val="22"/>
          <w:szCs w:val="22"/>
          <w:lang w:val="sr-Latn-ME"/>
        </w:rPr>
        <w:t>evala sistemske kortikosteroide ili druge imunosupresivne l</w:t>
      </w:r>
      <w:r w:rsidR="00B17DD8" w:rsidRPr="00F16B0C">
        <w:rPr>
          <w:sz w:val="22"/>
          <w:szCs w:val="22"/>
          <w:lang w:val="sr-Latn-ME"/>
        </w:rPr>
        <w:t>j</w:t>
      </w:r>
      <w:r w:rsidRPr="00F16B0C">
        <w:rPr>
          <w:sz w:val="22"/>
          <w:szCs w:val="22"/>
          <w:lang w:val="sr-Latn-ME"/>
        </w:rPr>
        <w:t>ekove, ili sa aktivnim infekcijama koje su zahtevale liječenje, uključujući HIV, ili hepatitis B ili C. Isključeni su i pacijenti sa ECOG funkcionalnim statusom ≥ 2. Na početku studije, 38% je imalo bolest u fazi IB-II, 10% u fazi III, 52% u fazi IV. Studija je uključivala pacijente bez obzira na njihov početan nivo CCR4 ekspresije u biopsiji kože.</w:t>
      </w:r>
    </w:p>
    <w:p w14:paraId="065F647B" w14:textId="77777777" w:rsidR="00FD2DB5" w:rsidRPr="00F16B0C" w:rsidRDefault="00FD2DB5" w:rsidP="00F16B0C">
      <w:pPr>
        <w:widowControl w:val="0"/>
        <w:autoSpaceDE w:val="0"/>
        <w:autoSpaceDN w:val="0"/>
        <w:jc w:val="both"/>
        <w:rPr>
          <w:sz w:val="22"/>
          <w:szCs w:val="22"/>
          <w:lang w:val="sr-Latn-ME"/>
        </w:rPr>
      </w:pPr>
    </w:p>
    <w:p w14:paraId="149E8526" w14:textId="77777777" w:rsidR="00FD2DB5" w:rsidRPr="00F16B0C" w:rsidRDefault="00FD2DB5" w:rsidP="00F16B0C">
      <w:pPr>
        <w:widowControl w:val="0"/>
        <w:autoSpaceDE w:val="0"/>
        <w:autoSpaceDN w:val="0"/>
        <w:jc w:val="both"/>
        <w:rPr>
          <w:sz w:val="22"/>
          <w:szCs w:val="22"/>
          <w:lang w:val="sr-Latn-ME"/>
        </w:rPr>
      </w:pPr>
      <w:r w:rsidRPr="00F16B0C">
        <w:rPr>
          <w:sz w:val="22"/>
          <w:szCs w:val="22"/>
          <w:lang w:val="sr-Latn-ME"/>
        </w:rPr>
        <w:t>Primarna krajnja tačka efikasnosti bilo je preživljavanje bez progresije bolesti (PFS) na osnovu proc</w:t>
      </w:r>
      <w:r w:rsidR="00B17DD8" w:rsidRPr="00F16B0C">
        <w:rPr>
          <w:sz w:val="22"/>
          <w:szCs w:val="22"/>
          <w:lang w:val="sr-Latn-ME"/>
        </w:rPr>
        <w:t>j</w:t>
      </w:r>
      <w:r w:rsidRPr="00F16B0C">
        <w:rPr>
          <w:sz w:val="22"/>
          <w:szCs w:val="22"/>
          <w:lang w:val="sr-Latn-ME"/>
        </w:rPr>
        <w:t>ene istraživača koristeći kriterijum globalnog kompozitnog odgovora koji je uzeo u obzir sve sisteme organa koji mogu biti zahvaćeni bolešću (kožu, krv, limfne čvorove i unutrašnje organe). Odgovor na nivou kože i krvi proc</w:t>
      </w:r>
      <w:r w:rsidR="00B17DD8" w:rsidRPr="00F16B0C">
        <w:rPr>
          <w:sz w:val="22"/>
          <w:szCs w:val="22"/>
          <w:lang w:val="sr-Latn-ME"/>
        </w:rPr>
        <w:t>j</w:t>
      </w:r>
      <w:r w:rsidRPr="00F16B0C">
        <w:rPr>
          <w:sz w:val="22"/>
          <w:szCs w:val="22"/>
          <w:lang w:val="sr-Latn-ME"/>
        </w:rPr>
        <w:t>enjivan je svake 4 nedjelje. Odgovor na nivou limfnih čvorova i unutrašnjih organa procjenjivan je nakon 4 nedjelje, zatim svakih 8 nedjelja tokom prve godine, a nakon toga svakih 16 nedjelja.</w:t>
      </w:r>
    </w:p>
    <w:p w14:paraId="2066BAB4" w14:textId="77777777" w:rsidR="00FD2DB5" w:rsidRPr="00F16B0C" w:rsidRDefault="00FD2DB5" w:rsidP="00F16B0C">
      <w:pPr>
        <w:widowControl w:val="0"/>
        <w:autoSpaceDE w:val="0"/>
        <w:autoSpaceDN w:val="0"/>
        <w:jc w:val="both"/>
        <w:rPr>
          <w:sz w:val="22"/>
          <w:szCs w:val="22"/>
          <w:lang w:val="sr-Latn-ME"/>
        </w:rPr>
      </w:pPr>
    </w:p>
    <w:p w14:paraId="20155233" w14:textId="77777777" w:rsidR="00FD2DB5" w:rsidRPr="00F16B0C" w:rsidRDefault="00FD2DB5" w:rsidP="00F16B0C">
      <w:pPr>
        <w:widowControl w:val="0"/>
        <w:autoSpaceDE w:val="0"/>
        <w:autoSpaceDN w:val="0"/>
        <w:jc w:val="both"/>
        <w:rPr>
          <w:sz w:val="22"/>
          <w:szCs w:val="22"/>
          <w:lang w:val="sr-Latn-ME"/>
        </w:rPr>
      </w:pPr>
      <w:r w:rsidRPr="00F16B0C">
        <w:rPr>
          <w:sz w:val="22"/>
          <w:szCs w:val="22"/>
          <w:lang w:val="sr-Latn-ME"/>
        </w:rPr>
        <w:t>Svi pacijenti su imali histološki potvrđenu dijagnozu mycosis fungoides (MF), 56,5% odnosno 53,2%, ili Sezarijev sindrom (SS), 43,5% odnosno 46,8%, u grupi koja je primala mogamulizumab, odnosno vorinostat, i primili su najmanje jednu prethodnu sistemsku terapiju. Najčešće prethodne sistemske terapije koje su koristili ispitanici u Evropi bila su beksaroten (70%), interferon (59%), metotreksat (49%), ekstrakorporalna fotofereza (ECP) (31%) i režimi gemcitabin/gemcitabin (28%).</w:t>
      </w:r>
    </w:p>
    <w:p w14:paraId="6CFF3AF4" w14:textId="77777777" w:rsidR="00FD2DB5" w:rsidRPr="00F16B0C" w:rsidRDefault="00FD2DB5" w:rsidP="00F16B0C">
      <w:pPr>
        <w:widowControl w:val="0"/>
        <w:autoSpaceDE w:val="0"/>
        <w:autoSpaceDN w:val="0"/>
        <w:jc w:val="both"/>
        <w:rPr>
          <w:sz w:val="22"/>
          <w:szCs w:val="22"/>
          <w:lang w:val="sr-Latn-ME"/>
        </w:rPr>
      </w:pPr>
    </w:p>
    <w:p w14:paraId="168586F9" w14:textId="77777777" w:rsidR="00FD2DB5" w:rsidRPr="00F16B0C" w:rsidRDefault="00FD2DB5" w:rsidP="00F16B0C">
      <w:pPr>
        <w:widowControl w:val="0"/>
        <w:autoSpaceDE w:val="0"/>
        <w:autoSpaceDN w:val="0"/>
        <w:jc w:val="both"/>
        <w:rPr>
          <w:sz w:val="22"/>
          <w:szCs w:val="22"/>
          <w:lang w:val="sr-Latn-ME"/>
        </w:rPr>
      </w:pPr>
      <w:r w:rsidRPr="00F16B0C">
        <w:rPr>
          <w:sz w:val="22"/>
          <w:szCs w:val="22"/>
          <w:lang w:val="sr-Latn-ME"/>
        </w:rPr>
        <w:t>Medijana trajanja izlaganja sa mogamulizumabom bila je 5,6 m</w:t>
      </w:r>
      <w:r w:rsidR="00C70E57" w:rsidRPr="00F16B0C">
        <w:rPr>
          <w:sz w:val="22"/>
          <w:szCs w:val="22"/>
          <w:lang w:val="sr-Latn-ME"/>
        </w:rPr>
        <w:t>j</w:t>
      </w:r>
      <w:r w:rsidRPr="00F16B0C">
        <w:rPr>
          <w:sz w:val="22"/>
          <w:szCs w:val="22"/>
          <w:lang w:val="sr-Latn-ME"/>
        </w:rPr>
        <w:t>eseci (raspon: &lt; 1 do 45,3 m</w:t>
      </w:r>
      <w:r w:rsidR="00C70E57" w:rsidRPr="00F16B0C">
        <w:rPr>
          <w:sz w:val="22"/>
          <w:szCs w:val="22"/>
          <w:lang w:val="sr-Latn-ME"/>
        </w:rPr>
        <w:t>j</w:t>
      </w:r>
      <w:r w:rsidRPr="00F16B0C">
        <w:rPr>
          <w:sz w:val="22"/>
          <w:szCs w:val="22"/>
          <w:lang w:val="sr-Latn-ME"/>
        </w:rPr>
        <w:t>eseca). 56% pacijenata primilo je mogamulizumab tokom najmanje 6 ciklusa, a 25% pacijenata primilo je mogamulizumab tokom najmanje 12 ciklusa.</w:t>
      </w:r>
    </w:p>
    <w:p w14:paraId="1B97BA54" w14:textId="77777777" w:rsidR="00FD2DB5" w:rsidRPr="00F16B0C" w:rsidRDefault="00FD2DB5" w:rsidP="00F16B0C">
      <w:pPr>
        <w:widowControl w:val="0"/>
        <w:autoSpaceDE w:val="0"/>
        <w:autoSpaceDN w:val="0"/>
        <w:jc w:val="both"/>
        <w:rPr>
          <w:sz w:val="22"/>
          <w:szCs w:val="22"/>
          <w:lang w:val="sr-Latn-ME"/>
        </w:rPr>
      </w:pPr>
    </w:p>
    <w:p w14:paraId="26D3E103" w14:textId="77777777" w:rsidR="00FD2DB5" w:rsidRPr="00F16B0C" w:rsidRDefault="00FD2DB5" w:rsidP="00F16B0C">
      <w:pPr>
        <w:widowControl w:val="0"/>
        <w:autoSpaceDE w:val="0"/>
        <w:autoSpaceDN w:val="0"/>
        <w:jc w:val="both"/>
        <w:rPr>
          <w:sz w:val="22"/>
          <w:szCs w:val="22"/>
          <w:lang w:val="sr-Latn-ME"/>
        </w:rPr>
      </w:pPr>
      <w:r w:rsidRPr="00F16B0C">
        <w:rPr>
          <w:sz w:val="22"/>
          <w:szCs w:val="22"/>
          <w:lang w:val="sr-Latn-ME"/>
        </w:rPr>
        <w:t>Medijana starosti pacijenata bila je 64 godine u vr</w:t>
      </w:r>
      <w:r w:rsidR="00C70E57" w:rsidRPr="00F16B0C">
        <w:rPr>
          <w:sz w:val="22"/>
          <w:szCs w:val="22"/>
          <w:lang w:val="sr-Latn-ME"/>
        </w:rPr>
        <w:t>ij</w:t>
      </w:r>
      <w:r w:rsidRPr="00F16B0C">
        <w:rPr>
          <w:sz w:val="22"/>
          <w:szCs w:val="22"/>
          <w:lang w:val="sr-Latn-ME"/>
        </w:rPr>
        <w:t>eme skrininga (raspon 25 do 101 godine), 49,5% imalo je 65 godina ili više, a 58,1% su bili muškarci.</w:t>
      </w:r>
    </w:p>
    <w:p w14:paraId="296C0848" w14:textId="77777777" w:rsidR="00FD2DB5" w:rsidRPr="00F16B0C" w:rsidRDefault="00FD2DB5" w:rsidP="00F16B0C">
      <w:pPr>
        <w:widowControl w:val="0"/>
        <w:autoSpaceDE w:val="0"/>
        <w:autoSpaceDN w:val="0"/>
        <w:jc w:val="both"/>
        <w:rPr>
          <w:sz w:val="22"/>
          <w:szCs w:val="22"/>
          <w:lang w:val="sr-Latn-ME"/>
        </w:rPr>
      </w:pPr>
    </w:p>
    <w:p w14:paraId="308683FB" w14:textId="77777777" w:rsidR="00FD2DB5" w:rsidRPr="00F16B0C" w:rsidRDefault="00FD2DB5" w:rsidP="00F16B0C">
      <w:pPr>
        <w:widowControl w:val="0"/>
        <w:autoSpaceDE w:val="0"/>
        <w:autoSpaceDN w:val="0"/>
        <w:jc w:val="both"/>
        <w:rPr>
          <w:sz w:val="22"/>
          <w:szCs w:val="22"/>
          <w:lang w:val="sr-Latn-ME"/>
        </w:rPr>
      </w:pPr>
      <w:r w:rsidRPr="00F16B0C">
        <w:rPr>
          <w:sz w:val="22"/>
          <w:szCs w:val="22"/>
          <w:lang w:val="sr-Latn-ME"/>
        </w:rPr>
        <w:t>Ekspresija CCR4 bila je retrospektivno procjenjena na biopsijama kože prije liječenja (fiksiranim u formalinu i uklopljenim u parafin) koristeći imunohistohemiju. U grupi liječenoj mogamulizumabom, početni nivoi ekspresije CCR4 bili su dostupni kod 75% pacijenata (N = 140). CCR4 je otkriven u ≥ 1% limfocita kod 100% pacijenata, a kod 96% (134/140) pacijenata CCR4 je otkriven u ≥ 10% kožnih limfocita.</w:t>
      </w:r>
    </w:p>
    <w:p w14:paraId="3381F526" w14:textId="77777777" w:rsidR="00FD2DB5" w:rsidRPr="00F16B0C" w:rsidRDefault="00FD2DB5" w:rsidP="00F16B0C">
      <w:pPr>
        <w:widowControl w:val="0"/>
        <w:autoSpaceDE w:val="0"/>
        <w:autoSpaceDN w:val="0"/>
        <w:jc w:val="both"/>
        <w:rPr>
          <w:sz w:val="22"/>
          <w:szCs w:val="22"/>
          <w:lang w:val="sr-Latn-ME"/>
        </w:rPr>
      </w:pPr>
    </w:p>
    <w:p w14:paraId="1BA678CA" w14:textId="77777777" w:rsidR="00FD2DB5" w:rsidRPr="00F16B0C" w:rsidRDefault="00FD2DB5" w:rsidP="00F16B0C">
      <w:pPr>
        <w:widowControl w:val="0"/>
        <w:autoSpaceDE w:val="0"/>
        <w:autoSpaceDN w:val="0"/>
        <w:jc w:val="both"/>
        <w:rPr>
          <w:sz w:val="22"/>
          <w:szCs w:val="22"/>
          <w:lang w:val="sr-Latn-ME"/>
        </w:rPr>
      </w:pPr>
      <w:r w:rsidRPr="00F16B0C">
        <w:rPr>
          <w:sz w:val="22"/>
          <w:szCs w:val="22"/>
          <w:lang w:val="sr-Latn-ME"/>
        </w:rPr>
        <w:t>Od pacijenata randomizovanih u grupu koja je primala vorinostat, 136 pacijenata (73,1%) prešlo je u grupu koja je primala mogamulizumab tokom studije. Razlog za prelaz u grupu koja je primala mogamulizumab bio je progresija bolesti (109 pacijenata) i nepodnošenje liječenja (27 pacijenata). Broj infuzija mogamulizumaba primijenjenih kod pacijenata koji su prešli u drugu grupu varirao je od 1 do 94 (do 46 m</w:t>
      </w:r>
      <w:r w:rsidR="00C70E57" w:rsidRPr="00F16B0C">
        <w:rPr>
          <w:sz w:val="22"/>
          <w:szCs w:val="22"/>
          <w:lang w:val="sr-Latn-ME"/>
        </w:rPr>
        <w:t>j</w:t>
      </w:r>
      <w:r w:rsidRPr="00F16B0C">
        <w:rPr>
          <w:sz w:val="22"/>
          <w:szCs w:val="22"/>
          <w:lang w:val="sr-Latn-ME"/>
        </w:rPr>
        <w:t>eseci l</w:t>
      </w:r>
      <w:r w:rsidR="00C70E57" w:rsidRPr="00F16B0C">
        <w:rPr>
          <w:sz w:val="22"/>
          <w:szCs w:val="22"/>
          <w:lang w:val="sr-Latn-ME"/>
        </w:rPr>
        <w:t>ij</w:t>
      </w:r>
      <w:r w:rsidRPr="00F16B0C">
        <w:rPr>
          <w:sz w:val="22"/>
          <w:szCs w:val="22"/>
          <w:lang w:val="sr-Latn-ME"/>
        </w:rPr>
        <w:t>ečenja) počev od preseka podataka u decembru 2016.</w:t>
      </w:r>
    </w:p>
    <w:p w14:paraId="5C74A9E2" w14:textId="77777777" w:rsidR="00FD2DB5" w:rsidRPr="00F16B0C" w:rsidRDefault="00FD2DB5" w:rsidP="00F16B0C">
      <w:pPr>
        <w:widowControl w:val="0"/>
        <w:autoSpaceDE w:val="0"/>
        <w:autoSpaceDN w:val="0"/>
        <w:jc w:val="both"/>
        <w:rPr>
          <w:sz w:val="22"/>
          <w:szCs w:val="22"/>
          <w:lang w:val="sr-Latn-ME"/>
        </w:rPr>
      </w:pPr>
    </w:p>
    <w:p w14:paraId="02A62E67" w14:textId="77777777" w:rsidR="00FD2DB5" w:rsidRPr="00F16B0C" w:rsidRDefault="00FD2DB5" w:rsidP="00F16B0C">
      <w:pPr>
        <w:widowControl w:val="0"/>
        <w:autoSpaceDE w:val="0"/>
        <w:autoSpaceDN w:val="0"/>
        <w:jc w:val="both"/>
        <w:rPr>
          <w:sz w:val="22"/>
          <w:szCs w:val="22"/>
          <w:lang w:val="sr-Latn-ME"/>
        </w:rPr>
      </w:pPr>
      <w:r w:rsidRPr="00F16B0C">
        <w:rPr>
          <w:sz w:val="22"/>
          <w:szCs w:val="22"/>
          <w:lang w:val="sr-Latn-ME"/>
        </w:rPr>
        <w:t>Nakon 6, 12, 18 i 24 mjeseca od početka randomizovanog liječenja, procenat ispitanika koji su bili živi bez progresije bolesti bio je viši za mogamulizumab (55,3%, 38,3%, 28,0%, odnosno 14,1%) u poređenju sa vorinostatom (28,8%, 15,3%, odnosno 7,2%). Medijana PFS za grupu koja je primala mogamulizumab bila je 7,70 m</w:t>
      </w:r>
      <w:r w:rsidR="00C70E57" w:rsidRPr="00F16B0C">
        <w:rPr>
          <w:sz w:val="22"/>
          <w:szCs w:val="22"/>
          <w:lang w:val="sr-Latn-ME"/>
        </w:rPr>
        <w:t>j</w:t>
      </w:r>
      <w:r w:rsidRPr="00F16B0C">
        <w:rPr>
          <w:sz w:val="22"/>
          <w:szCs w:val="22"/>
          <w:lang w:val="sr-Latn-ME"/>
        </w:rPr>
        <w:t>eseci (95% CI: 5,67; 10,33) odnosno 3,10 m</w:t>
      </w:r>
      <w:r w:rsidR="00C70E57" w:rsidRPr="00F16B0C">
        <w:rPr>
          <w:sz w:val="22"/>
          <w:szCs w:val="22"/>
          <w:lang w:val="sr-Latn-ME"/>
        </w:rPr>
        <w:t>j</w:t>
      </w:r>
      <w:r w:rsidRPr="00F16B0C">
        <w:rPr>
          <w:sz w:val="22"/>
          <w:szCs w:val="22"/>
          <w:lang w:val="sr-Latn-ME"/>
        </w:rPr>
        <w:t>eseci (95% CI: 2,87, 4,07) za grupu koja je primala vorinostat sa rezultujućim odnosom rizika od 0,53 (95% CI: 0,41; 0,69), p &lt; 0,0001 2-strani, stratifikovani log rank test).</w:t>
      </w:r>
    </w:p>
    <w:p w14:paraId="3C4EDD17" w14:textId="77777777" w:rsidR="00FD2DB5" w:rsidRPr="00F16B0C" w:rsidRDefault="00FD2DB5" w:rsidP="00F16B0C">
      <w:pPr>
        <w:widowControl w:val="0"/>
        <w:autoSpaceDE w:val="0"/>
        <w:autoSpaceDN w:val="0"/>
        <w:jc w:val="both"/>
        <w:rPr>
          <w:sz w:val="22"/>
          <w:szCs w:val="22"/>
          <w:lang w:val="sr-Latn-ME"/>
        </w:rPr>
      </w:pPr>
    </w:p>
    <w:p w14:paraId="388493A0" w14:textId="77777777" w:rsidR="00FD2DB5" w:rsidRPr="00F16B0C" w:rsidRDefault="00FD2DB5" w:rsidP="00F16B0C">
      <w:pPr>
        <w:widowControl w:val="0"/>
        <w:autoSpaceDE w:val="0"/>
        <w:autoSpaceDN w:val="0"/>
        <w:jc w:val="both"/>
        <w:rPr>
          <w:sz w:val="22"/>
          <w:szCs w:val="22"/>
          <w:lang w:val="sr-Latn-ME"/>
        </w:rPr>
      </w:pPr>
      <w:r w:rsidRPr="00F16B0C">
        <w:rPr>
          <w:sz w:val="22"/>
          <w:szCs w:val="22"/>
          <w:lang w:val="sr-Latn-ME"/>
        </w:rPr>
        <w:t>Kaplan-Mejerova kriva za PFS prikazana je na slici 1.</w:t>
      </w:r>
    </w:p>
    <w:p w14:paraId="51202A8E" w14:textId="77777777" w:rsidR="00FD2DB5" w:rsidRPr="00F16B0C" w:rsidRDefault="00FD2DB5" w:rsidP="00F16B0C">
      <w:pPr>
        <w:widowControl w:val="0"/>
        <w:autoSpaceDE w:val="0"/>
        <w:autoSpaceDN w:val="0"/>
        <w:jc w:val="both"/>
        <w:rPr>
          <w:sz w:val="22"/>
          <w:szCs w:val="22"/>
          <w:lang w:val="sr-Latn-ME"/>
        </w:rPr>
      </w:pPr>
    </w:p>
    <w:p w14:paraId="5A0D63B9" w14:textId="77777777" w:rsidR="00FD2DB5" w:rsidRPr="00F16B0C" w:rsidRDefault="00FD2DB5" w:rsidP="00F16B0C">
      <w:pPr>
        <w:widowControl w:val="0"/>
        <w:autoSpaceDE w:val="0"/>
        <w:autoSpaceDN w:val="0"/>
        <w:ind w:hanging="1"/>
        <w:jc w:val="both"/>
        <w:outlineLvl w:val="0"/>
        <w:rPr>
          <w:b/>
          <w:bCs/>
          <w:sz w:val="22"/>
          <w:szCs w:val="22"/>
          <w:lang w:val="sr-Latn-ME"/>
        </w:rPr>
      </w:pPr>
      <w:r w:rsidRPr="00F16B0C">
        <w:rPr>
          <w:b/>
          <w:bCs/>
          <w:sz w:val="22"/>
          <w:szCs w:val="22"/>
          <w:lang w:val="sr-Latn-ME"/>
        </w:rPr>
        <w:t>Slika 1: Dijagram Kaplan-Mejerove krive preživljavanja bez progresije bolesti prema proc</w:t>
      </w:r>
      <w:r w:rsidR="00C70E57" w:rsidRPr="00F16B0C">
        <w:rPr>
          <w:b/>
          <w:bCs/>
          <w:sz w:val="22"/>
          <w:szCs w:val="22"/>
          <w:lang w:val="sr-Latn-ME"/>
        </w:rPr>
        <w:t>j</w:t>
      </w:r>
      <w:r w:rsidRPr="00F16B0C">
        <w:rPr>
          <w:b/>
          <w:bCs/>
          <w:sz w:val="22"/>
          <w:szCs w:val="22"/>
          <w:lang w:val="sr-Latn-ME"/>
        </w:rPr>
        <w:t>eni istraživača u (ITT) populaciji</w:t>
      </w:r>
    </w:p>
    <w:p w14:paraId="4EB79DC0" w14:textId="77777777" w:rsidR="00FD2DB5" w:rsidRPr="00F16B0C" w:rsidRDefault="00FD2DB5" w:rsidP="00F16B0C">
      <w:pPr>
        <w:widowControl w:val="0"/>
        <w:autoSpaceDE w:val="0"/>
        <w:autoSpaceDN w:val="0"/>
        <w:jc w:val="both"/>
        <w:rPr>
          <w:sz w:val="20"/>
          <w:szCs w:val="22"/>
          <w:lang w:val="sr-Latn-ME"/>
        </w:rPr>
      </w:pPr>
      <w:r w:rsidRPr="00F16B0C">
        <w:rPr>
          <w:lang w:val="sr-Latn-ME" w:eastAsia="sr-Latn-ME"/>
        </w:rPr>
        <w:drawing>
          <wp:anchor distT="0" distB="0" distL="114300" distR="114300" simplePos="0" relativeHeight="251661312" behindDoc="0" locked="0" layoutInCell="1" allowOverlap="1" wp14:anchorId="03D08740" wp14:editId="71E15499">
            <wp:simplePos x="0" y="0"/>
            <wp:positionH relativeFrom="column">
              <wp:posOffset>2609850</wp:posOffset>
            </wp:positionH>
            <wp:positionV relativeFrom="paragraph">
              <wp:posOffset>2847340</wp:posOffset>
            </wp:positionV>
            <wp:extent cx="829310" cy="217805"/>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9310" cy="217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6B0C">
        <w:rPr>
          <w:lang w:val="sr-Latn-ME" w:eastAsia="sr-Latn-ME"/>
        </w:rPr>
        <w:drawing>
          <wp:anchor distT="0" distB="0" distL="114300" distR="114300" simplePos="0" relativeHeight="251660288" behindDoc="0" locked="0" layoutInCell="1" allowOverlap="1" wp14:anchorId="6C77742E" wp14:editId="3DB0F9A1">
            <wp:simplePos x="0" y="0"/>
            <wp:positionH relativeFrom="column">
              <wp:posOffset>151130</wp:posOffset>
            </wp:positionH>
            <wp:positionV relativeFrom="paragraph">
              <wp:posOffset>274320</wp:posOffset>
            </wp:positionV>
            <wp:extent cx="235585" cy="19215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585" cy="1921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6B0C">
        <w:rPr>
          <w:lang w:val="sr-Latn-ME" w:eastAsia="sr-Latn-ME"/>
        </w:rPr>
        <w:drawing>
          <wp:anchor distT="0" distB="0" distL="114300" distR="114300" simplePos="0" relativeHeight="251659264" behindDoc="0" locked="0" layoutInCell="1" allowOverlap="1" wp14:anchorId="49656523" wp14:editId="51E5CCC6">
            <wp:simplePos x="0" y="0"/>
            <wp:positionH relativeFrom="column">
              <wp:posOffset>-197485</wp:posOffset>
            </wp:positionH>
            <wp:positionV relativeFrom="paragraph">
              <wp:posOffset>3008630</wp:posOffset>
            </wp:positionV>
            <wp:extent cx="775970" cy="245110"/>
            <wp:effectExtent l="0" t="0" r="508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5970" cy="24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6B0C">
        <w:rPr>
          <w:sz w:val="20"/>
          <w:szCs w:val="22"/>
          <w:lang w:val="sr-Latn-ME" w:eastAsia="sr-Latn-ME"/>
        </w:rPr>
        <w:drawing>
          <wp:inline distT="0" distB="0" distL="0" distR="0" wp14:anchorId="77EDB8B2" wp14:editId="399482E7">
            <wp:extent cx="5326380" cy="3305175"/>
            <wp:effectExtent l="0" t="0" r="7620" b="9525"/>
            <wp:docPr id="1224301281" name="Picture 122430128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noChangeArrowheads="1"/>
                    </pic:cNvPicPr>
                  </pic:nvPicPr>
                  <pic:blipFill rotWithShape="1">
                    <a:blip r:embed="rId15">
                      <a:extLst>
                        <a:ext uri="{28A0092B-C50C-407E-A947-70E740481C1C}">
                          <a14:useLocalDpi xmlns:a14="http://schemas.microsoft.com/office/drawing/2010/main" val="0"/>
                        </a:ext>
                      </a:extLst>
                    </a:blip>
                    <a:srcRect b="3557"/>
                    <a:stretch/>
                  </pic:blipFill>
                  <pic:spPr bwMode="auto">
                    <a:xfrm>
                      <a:off x="0" y="0"/>
                      <a:ext cx="5326380" cy="3305175"/>
                    </a:xfrm>
                    <a:prstGeom prst="rect">
                      <a:avLst/>
                    </a:prstGeom>
                    <a:noFill/>
                    <a:ln>
                      <a:noFill/>
                    </a:ln>
                    <a:extLst>
                      <a:ext uri="{53640926-AAD7-44D8-BBD7-CCE9431645EC}">
                        <a14:shadowObscured xmlns:a14="http://schemas.microsoft.com/office/drawing/2010/main"/>
                      </a:ext>
                    </a:extLst>
                  </pic:spPr>
                </pic:pic>
              </a:graphicData>
            </a:graphic>
          </wp:inline>
        </w:drawing>
      </w:r>
    </w:p>
    <w:p w14:paraId="2A25958B" w14:textId="77777777" w:rsidR="00FD2DB5" w:rsidRPr="00F16B0C" w:rsidRDefault="00FD2DB5" w:rsidP="00F16B0C">
      <w:pPr>
        <w:widowControl w:val="0"/>
        <w:autoSpaceDE w:val="0"/>
        <w:autoSpaceDN w:val="0"/>
        <w:jc w:val="both"/>
        <w:rPr>
          <w:sz w:val="22"/>
          <w:szCs w:val="22"/>
          <w:lang w:val="sr-Latn-ME"/>
        </w:rPr>
      </w:pPr>
      <w:r w:rsidRPr="00F16B0C">
        <w:rPr>
          <w:sz w:val="22"/>
          <w:szCs w:val="22"/>
          <w:lang w:val="sr-Latn-ME"/>
        </w:rPr>
        <w:t>Ključne sekundarne krajnje tačke bile su stopa ukupnog odgovora (ORR), ORR nakon zam</w:t>
      </w:r>
      <w:r w:rsidR="00C70E57" w:rsidRPr="00F16B0C">
        <w:rPr>
          <w:sz w:val="22"/>
          <w:szCs w:val="22"/>
          <w:lang w:val="sr-Latn-ME"/>
        </w:rPr>
        <w:t>j</w:t>
      </w:r>
      <w:r w:rsidRPr="00F16B0C">
        <w:rPr>
          <w:sz w:val="22"/>
          <w:szCs w:val="22"/>
          <w:lang w:val="sr-Latn-ME"/>
        </w:rPr>
        <w:t>ene terapije, trajanje odgovora (DOR) i promjene u odnosu na početne vr</w:t>
      </w:r>
      <w:r w:rsidR="00B17DD8" w:rsidRPr="00F16B0C">
        <w:rPr>
          <w:sz w:val="22"/>
          <w:szCs w:val="22"/>
          <w:lang w:val="sr-Latn-ME"/>
        </w:rPr>
        <w:t>ij</w:t>
      </w:r>
      <w:r w:rsidRPr="00F16B0C">
        <w:rPr>
          <w:sz w:val="22"/>
          <w:szCs w:val="22"/>
          <w:lang w:val="sr-Latn-ME"/>
        </w:rPr>
        <w:t>ednosti na Skindex-29 lestvicama simptoma i funkcionalnog stanja, i domenima fizičkog i psihičkog blagostanja prema upitniku Funkcionalne proc</w:t>
      </w:r>
      <w:r w:rsidR="00C70E57" w:rsidRPr="00F16B0C">
        <w:rPr>
          <w:sz w:val="22"/>
          <w:szCs w:val="22"/>
          <w:lang w:val="sr-Latn-ME"/>
        </w:rPr>
        <w:t>j</w:t>
      </w:r>
      <w:r w:rsidRPr="00F16B0C">
        <w:rPr>
          <w:sz w:val="22"/>
          <w:szCs w:val="22"/>
          <w:lang w:val="sr-Latn-ME"/>
        </w:rPr>
        <w:t>ene terapije protiv raka – opšte (FACT-G).</w:t>
      </w:r>
    </w:p>
    <w:p w14:paraId="7EE6B329" w14:textId="77777777" w:rsidR="00FD2DB5" w:rsidRPr="00F16B0C" w:rsidRDefault="00FD2DB5" w:rsidP="00F16B0C">
      <w:pPr>
        <w:widowControl w:val="0"/>
        <w:autoSpaceDE w:val="0"/>
        <w:autoSpaceDN w:val="0"/>
        <w:jc w:val="both"/>
        <w:rPr>
          <w:sz w:val="22"/>
          <w:szCs w:val="22"/>
          <w:lang w:val="sr-Latn-ME"/>
        </w:rPr>
      </w:pPr>
    </w:p>
    <w:p w14:paraId="7374188A" w14:textId="77777777" w:rsidR="00FD2DB5" w:rsidRPr="00F16B0C" w:rsidRDefault="00FD2DB5" w:rsidP="00F16B0C">
      <w:pPr>
        <w:widowControl w:val="0"/>
        <w:autoSpaceDE w:val="0"/>
        <w:autoSpaceDN w:val="0"/>
        <w:jc w:val="both"/>
        <w:rPr>
          <w:sz w:val="22"/>
          <w:szCs w:val="22"/>
          <w:lang w:val="sr-Latn-ME"/>
        </w:rPr>
      </w:pPr>
      <w:r w:rsidRPr="00F16B0C">
        <w:rPr>
          <w:sz w:val="22"/>
          <w:szCs w:val="22"/>
          <w:lang w:val="sr-Latn-ME"/>
        </w:rPr>
        <w:t>Ukupan odgovor prijavljen je kao kompozitni skor na osnovu mjerenja u svakom odjeljku, a odgovor je trebalo da bude pokazan u dv</w:t>
      </w:r>
      <w:r w:rsidR="00111807" w:rsidRPr="00F16B0C">
        <w:rPr>
          <w:sz w:val="22"/>
          <w:szCs w:val="22"/>
          <w:lang w:val="sr-Latn-ME"/>
        </w:rPr>
        <w:t>ij</w:t>
      </w:r>
      <w:r w:rsidRPr="00F16B0C">
        <w:rPr>
          <w:sz w:val="22"/>
          <w:szCs w:val="22"/>
          <w:lang w:val="sr-Latn-ME"/>
        </w:rPr>
        <w:t>e uzastopne ukupne proc</w:t>
      </w:r>
      <w:r w:rsidR="00111807" w:rsidRPr="00F16B0C">
        <w:rPr>
          <w:sz w:val="22"/>
          <w:szCs w:val="22"/>
          <w:lang w:val="sr-Latn-ME"/>
        </w:rPr>
        <w:t>j</w:t>
      </w:r>
      <w:r w:rsidRPr="00F16B0C">
        <w:rPr>
          <w:sz w:val="22"/>
          <w:szCs w:val="22"/>
          <w:lang w:val="sr-Latn-ME"/>
        </w:rPr>
        <w:t>ene bolesti (u razmaku od najmanje 8 ned</w:t>
      </w:r>
      <w:r w:rsidR="00111807" w:rsidRPr="00F16B0C">
        <w:rPr>
          <w:sz w:val="22"/>
          <w:szCs w:val="22"/>
          <w:lang w:val="sr-Latn-ME"/>
        </w:rPr>
        <w:t>j</w:t>
      </w:r>
      <w:r w:rsidRPr="00F16B0C">
        <w:rPr>
          <w:sz w:val="22"/>
          <w:szCs w:val="22"/>
          <w:lang w:val="sr-Latn-ME"/>
        </w:rPr>
        <w:t>elja tokom prve godine i 16 ned</w:t>
      </w:r>
      <w:r w:rsidR="00111807" w:rsidRPr="00F16B0C">
        <w:rPr>
          <w:sz w:val="22"/>
          <w:szCs w:val="22"/>
          <w:lang w:val="sr-Latn-ME"/>
        </w:rPr>
        <w:t>j</w:t>
      </w:r>
      <w:r w:rsidRPr="00F16B0C">
        <w:rPr>
          <w:sz w:val="22"/>
          <w:szCs w:val="22"/>
          <w:lang w:val="sr-Latn-ME"/>
        </w:rPr>
        <w:t>elja nakon toga) kako bi bio potvrđen. Pacijenti su uključeni u analizu za specifičan od</w:t>
      </w:r>
      <w:r w:rsidR="00111807" w:rsidRPr="00F16B0C">
        <w:rPr>
          <w:sz w:val="22"/>
          <w:szCs w:val="22"/>
          <w:lang w:val="sr-Latn-ME"/>
        </w:rPr>
        <w:t>j</w:t>
      </w:r>
      <w:r w:rsidRPr="00F16B0C">
        <w:rPr>
          <w:sz w:val="22"/>
          <w:szCs w:val="22"/>
          <w:lang w:val="sr-Latn-ME"/>
        </w:rPr>
        <w:t>eljak ako je bolest bila prisutna u tom od</w:t>
      </w:r>
      <w:r w:rsidR="00111807" w:rsidRPr="00F16B0C">
        <w:rPr>
          <w:sz w:val="22"/>
          <w:szCs w:val="22"/>
          <w:lang w:val="sr-Latn-ME"/>
        </w:rPr>
        <w:t>j</w:t>
      </w:r>
      <w:r w:rsidRPr="00F16B0C">
        <w:rPr>
          <w:sz w:val="22"/>
          <w:szCs w:val="22"/>
          <w:lang w:val="sr-Latn-ME"/>
        </w:rPr>
        <w:t>eljku na početku, ili ako su imali neku proc</w:t>
      </w:r>
      <w:r w:rsidR="00111807" w:rsidRPr="00F16B0C">
        <w:rPr>
          <w:sz w:val="22"/>
          <w:szCs w:val="22"/>
          <w:lang w:val="sr-Latn-ME"/>
        </w:rPr>
        <w:t>j</w:t>
      </w:r>
      <w:r w:rsidRPr="00F16B0C">
        <w:rPr>
          <w:sz w:val="22"/>
          <w:szCs w:val="22"/>
          <w:lang w:val="sr-Latn-ME"/>
        </w:rPr>
        <w:t>enu odgovora nakon početnih vr</w:t>
      </w:r>
      <w:r w:rsidR="00111807" w:rsidRPr="00F16B0C">
        <w:rPr>
          <w:sz w:val="22"/>
          <w:szCs w:val="22"/>
          <w:lang w:val="sr-Latn-ME"/>
        </w:rPr>
        <w:t>ij</w:t>
      </w:r>
      <w:r w:rsidRPr="00F16B0C">
        <w:rPr>
          <w:sz w:val="22"/>
          <w:szCs w:val="22"/>
          <w:lang w:val="sr-Latn-ME"/>
        </w:rPr>
        <w:t>ednosti za taj od</w:t>
      </w:r>
      <w:r w:rsidR="00111807" w:rsidRPr="00F16B0C">
        <w:rPr>
          <w:sz w:val="22"/>
          <w:szCs w:val="22"/>
          <w:lang w:val="sr-Latn-ME"/>
        </w:rPr>
        <w:t>j</w:t>
      </w:r>
      <w:r w:rsidRPr="00F16B0C">
        <w:rPr>
          <w:sz w:val="22"/>
          <w:szCs w:val="22"/>
          <w:lang w:val="sr-Latn-ME"/>
        </w:rPr>
        <w:t>eljak.</w:t>
      </w:r>
    </w:p>
    <w:p w14:paraId="47DE4EA8" w14:textId="77777777" w:rsidR="00FD2DB5" w:rsidRPr="00F16B0C" w:rsidRDefault="00FD2DB5" w:rsidP="00F16B0C">
      <w:pPr>
        <w:widowControl w:val="0"/>
        <w:autoSpaceDE w:val="0"/>
        <w:autoSpaceDN w:val="0"/>
        <w:jc w:val="both"/>
        <w:rPr>
          <w:sz w:val="22"/>
          <w:szCs w:val="22"/>
          <w:lang w:val="sr-Latn-ME"/>
        </w:rPr>
      </w:pPr>
    </w:p>
    <w:p w14:paraId="367C6BDB" w14:textId="2F713942" w:rsidR="00FD2DB5" w:rsidRPr="00F16B0C" w:rsidRDefault="00FD2DB5" w:rsidP="00F16B0C">
      <w:pPr>
        <w:widowControl w:val="0"/>
        <w:autoSpaceDE w:val="0"/>
        <w:autoSpaceDN w:val="0"/>
        <w:jc w:val="both"/>
        <w:rPr>
          <w:sz w:val="22"/>
          <w:szCs w:val="22"/>
          <w:lang w:val="sr-Latn-ME"/>
        </w:rPr>
      </w:pPr>
      <w:r w:rsidRPr="00F16B0C">
        <w:rPr>
          <w:sz w:val="22"/>
          <w:szCs w:val="22"/>
          <w:lang w:val="sr-Latn-ME"/>
        </w:rPr>
        <w:t>U tabeli 2 naveden je kratak pregled ORR i DOR i odgovora po od</w:t>
      </w:r>
      <w:r w:rsidR="00111807" w:rsidRPr="00F16B0C">
        <w:rPr>
          <w:sz w:val="22"/>
          <w:szCs w:val="22"/>
          <w:lang w:val="sr-Latn-ME"/>
        </w:rPr>
        <w:t>j</w:t>
      </w:r>
      <w:r w:rsidRPr="00F16B0C">
        <w:rPr>
          <w:sz w:val="22"/>
          <w:szCs w:val="22"/>
          <w:lang w:val="sr-Latn-ME"/>
        </w:rPr>
        <w:t>eljcima. Studija je dokazala statistički značajna poboljšanja ORR i odgovora po od</w:t>
      </w:r>
      <w:r w:rsidR="00111807" w:rsidRPr="00F16B0C">
        <w:rPr>
          <w:sz w:val="22"/>
          <w:szCs w:val="22"/>
          <w:lang w:val="sr-Latn-ME"/>
        </w:rPr>
        <w:t>j</w:t>
      </w:r>
      <w:r w:rsidRPr="00F16B0C">
        <w:rPr>
          <w:sz w:val="22"/>
          <w:szCs w:val="22"/>
          <w:lang w:val="sr-Latn-ME"/>
        </w:rPr>
        <w:t>eljcima u krvi, koži i limfnim čvorovima u poređenju sa vorinostatom. Odgovor u unutrašnjim organima nije mogao biti proc</w:t>
      </w:r>
      <w:r w:rsidR="00111807" w:rsidRPr="00F16B0C">
        <w:rPr>
          <w:sz w:val="22"/>
          <w:szCs w:val="22"/>
          <w:lang w:val="sr-Latn-ME"/>
        </w:rPr>
        <w:t>j</w:t>
      </w:r>
      <w:r w:rsidRPr="00F16B0C">
        <w:rPr>
          <w:sz w:val="22"/>
          <w:szCs w:val="22"/>
          <w:lang w:val="sr-Latn-ME"/>
        </w:rPr>
        <w:t>enjen zbog ograničenih podataka o d</w:t>
      </w:r>
      <w:r w:rsidR="00111807" w:rsidRPr="00F16B0C">
        <w:rPr>
          <w:sz w:val="22"/>
          <w:szCs w:val="22"/>
          <w:lang w:val="sr-Latn-ME"/>
        </w:rPr>
        <w:t>j</w:t>
      </w:r>
      <w:r w:rsidRPr="00F16B0C">
        <w:rPr>
          <w:sz w:val="22"/>
          <w:szCs w:val="22"/>
          <w:lang w:val="sr-Latn-ME"/>
        </w:rPr>
        <w:t>elotvornosti kod ispitanika kod kojih su zahvaćeni unutrašnji organi; odnos koristi i rizika mogamulizumaba kod ispitanika sa zahvaćenim unutrašnjim organima trenutno nije utvrđen zbog nedostatka podataka.</w:t>
      </w:r>
    </w:p>
    <w:p w14:paraId="25AE5931" w14:textId="77777777" w:rsidR="00F16B0C" w:rsidRPr="00F16B0C" w:rsidRDefault="00F16B0C" w:rsidP="00F16B0C">
      <w:pPr>
        <w:widowControl w:val="0"/>
        <w:autoSpaceDE w:val="0"/>
        <w:autoSpaceDN w:val="0"/>
        <w:jc w:val="both"/>
        <w:rPr>
          <w:sz w:val="22"/>
          <w:szCs w:val="22"/>
          <w:lang w:val="sr-Latn-ME"/>
        </w:rPr>
      </w:pPr>
    </w:p>
    <w:p w14:paraId="5E428ED1" w14:textId="77777777" w:rsidR="00FD2DB5" w:rsidRPr="00F16B0C" w:rsidRDefault="00FD2DB5" w:rsidP="00F16B0C">
      <w:pPr>
        <w:widowControl w:val="0"/>
        <w:autoSpaceDE w:val="0"/>
        <w:autoSpaceDN w:val="0"/>
        <w:jc w:val="both"/>
        <w:rPr>
          <w:b/>
          <w:bCs/>
          <w:sz w:val="22"/>
          <w:szCs w:val="22"/>
          <w:lang w:val="sr-Latn-ME"/>
        </w:rPr>
      </w:pPr>
      <w:r w:rsidRPr="00F16B0C">
        <w:rPr>
          <w:b/>
          <w:bCs/>
          <w:sz w:val="22"/>
          <w:szCs w:val="22"/>
          <w:lang w:val="sr-Latn-ME"/>
        </w:rPr>
        <w:t>Tabela 2: Odgovor tokom perioda randomizovanog liječenja u studiji 0761-010</w:t>
      </w:r>
      <w:r w:rsidR="00C70E57" w:rsidRPr="00F16B0C">
        <w:rPr>
          <w:b/>
          <w:bCs/>
          <w:sz w:val="22"/>
          <w:szCs w:val="22"/>
          <w:lang w:val="sr-Latn-ME"/>
        </w:rPr>
        <w:t xml:space="preserve"> (ITT)</w:t>
      </w:r>
      <w:r w:rsidRPr="00F16B0C">
        <w:rPr>
          <w:b/>
          <w:bCs/>
          <w:sz w:val="22"/>
          <w:szCs w:val="22"/>
          <w:lang w:val="sr-Latn-ME"/>
        </w:rPr>
        <w:t xml:space="preserve"> (početna populacija)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67"/>
        <w:gridCol w:w="2556"/>
        <w:gridCol w:w="2440"/>
      </w:tblGrid>
      <w:tr w:rsidR="00FD2DB5" w:rsidRPr="00F16B0C" w14:paraId="7127F8BD" w14:textId="77777777" w:rsidTr="00F16B0C">
        <w:trPr>
          <w:trHeight w:val="459"/>
        </w:trPr>
        <w:tc>
          <w:tcPr>
            <w:tcW w:w="2244" w:type="pct"/>
          </w:tcPr>
          <w:p w14:paraId="3A6DD519" w14:textId="77777777" w:rsidR="00FD2DB5" w:rsidRPr="00F16B0C" w:rsidRDefault="00FD2DB5" w:rsidP="00F16B0C">
            <w:pPr>
              <w:widowControl w:val="0"/>
              <w:autoSpaceDE w:val="0"/>
              <w:autoSpaceDN w:val="0"/>
              <w:jc w:val="both"/>
              <w:rPr>
                <w:sz w:val="20"/>
                <w:szCs w:val="22"/>
                <w:lang w:val="sr-Latn-ME"/>
              </w:rPr>
            </w:pPr>
          </w:p>
        </w:tc>
        <w:tc>
          <w:tcPr>
            <w:tcW w:w="1410" w:type="pct"/>
          </w:tcPr>
          <w:p w14:paraId="2294EC83" w14:textId="77777777" w:rsidR="00FD2DB5" w:rsidRPr="00F16B0C" w:rsidRDefault="00FD2DB5" w:rsidP="00F16B0C">
            <w:pPr>
              <w:widowControl w:val="0"/>
              <w:autoSpaceDE w:val="0"/>
              <w:autoSpaceDN w:val="0"/>
              <w:ind w:left="932" w:hanging="446"/>
              <w:jc w:val="both"/>
              <w:rPr>
                <w:b/>
                <w:sz w:val="20"/>
                <w:szCs w:val="22"/>
                <w:lang w:val="sr-Latn-ME"/>
              </w:rPr>
            </w:pPr>
            <w:r w:rsidRPr="00F16B0C">
              <w:rPr>
                <w:b/>
                <w:bCs/>
                <w:sz w:val="20"/>
                <w:szCs w:val="22"/>
                <w:lang w:val="sr-Latn-ME"/>
              </w:rPr>
              <w:t>Mogamulizumab N = 186</w:t>
            </w:r>
          </w:p>
        </w:tc>
        <w:tc>
          <w:tcPr>
            <w:tcW w:w="1346" w:type="pct"/>
          </w:tcPr>
          <w:p w14:paraId="46421B8E" w14:textId="77777777" w:rsidR="00FD2DB5" w:rsidRPr="00F16B0C" w:rsidRDefault="00FD2DB5" w:rsidP="00F16B0C">
            <w:pPr>
              <w:widowControl w:val="0"/>
              <w:autoSpaceDE w:val="0"/>
              <w:autoSpaceDN w:val="0"/>
              <w:ind w:left="782" w:hanging="170"/>
              <w:jc w:val="both"/>
              <w:rPr>
                <w:b/>
                <w:sz w:val="20"/>
                <w:szCs w:val="22"/>
                <w:lang w:val="sr-Latn-ME"/>
              </w:rPr>
            </w:pPr>
            <w:r w:rsidRPr="00F16B0C">
              <w:rPr>
                <w:b/>
                <w:bCs/>
                <w:sz w:val="20"/>
                <w:szCs w:val="22"/>
                <w:lang w:val="sr-Latn-ME"/>
              </w:rPr>
              <w:t>Vorinostat N = 186</w:t>
            </w:r>
          </w:p>
        </w:tc>
      </w:tr>
      <w:tr w:rsidR="00FD2DB5" w:rsidRPr="00F16B0C" w14:paraId="5DCF3E89" w14:textId="77777777" w:rsidTr="00F16B0C">
        <w:trPr>
          <w:trHeight w:val="459"/>
        </w:trPr>
        <w:tc>
          <w:tcPr>
            <w:tcW w:w="2244" w:type="pct"/>
          </w:tcPr>
          <w:p w14:paraId="257E68EB" w14:textId="77777777" w:rsidR="00FD2DB5" w:rsidRPr="00F16B0C" w:rsidRDefault="00FD2DB5" w:rsidP="00F16B0C">
            <w:pPr>
              <w:widowControl w:val="0"/>
              <w:autoSpaceDE w:val="0"/>
              <w:autoSpaceDN w:val="0"/>
              <w:ind w:left="136" w:firstLine="45"/>
              <w:jc w:val="both"/>
              <w:rPr>
                <w:b/>
                <w:sz w:val="20"/>
                <w:szCs w:val="22"/>
                <w:lang w:val="sr-Latn-ME"/>
              </w:rPr>
            </w:pPr>
            <w:r w:rsidRPr="00F16B0C">
              <w:rPr>
                <w:b/>
                <w:bCs/>
                <w:sz w:val="20"/>
                <w:szCs w:val="22"/>
                <w:lang w:val="sr-Latn-ME"/>
              </w:rPr>
              <w:t>Stopa ukupnog odgovora (potvrđen CR + PR, %)</w:t>
            </w:r>
          </w:p>
        </w:tc>
        <w:tc>
          <w:tcPr>
            <w:tcW w:w="1410" w:type="pct"/>
          </w:tcPr>
          <w:p w14:paraId="7D8BB564" w14:textId="77777777" w:rsidR="00FD2DB5" w:rsidRPr="00F16B0C" w:rsidRDefault="00FD2DB5" w:rsidP="00F16B0C">
            <w:pPr>
              <w:widowControl w:val="0"/>
              <w:autoSpaceDE w:val="0"/>
              <w:autoSpaceDN w:val="0"/>
              <w:ind w:left="576"/>
              <w:jc w:val="both"/>
              <w:rPr>
                <w:sz w:val="20"/>
                <w:szCs w:val="22"/>
                <w:lang w:val="sr-Latn-ME"/>
              </w:rPr>
            </w:pPr>
            <w:r w:rsidRPr="00F16B0C">
              <w:rPr>
                <w:sz w:val="20"/>
                <w:szCs w:val="22"/>
                <w:lang w:val="sr-Latn-ME"/>
              </w:rPr>
              <w:t>28,0</w:t>
            </w:r>
          </w:p>
        </w:tc>
        <w:tc>
          <w:tcPr>
            <w:tcW w:w="1346" w:type="pct"/>
          </w:tcPr>
          <w:p w14:paraId="73BABC1B" w14:textId="77777777" w:rsidR="00FD2DB5" w:rsidRPr="00F16B0C" w:rsidRDefault="00FD2DB5" w:rsidP="00F16B0C">
            <w:pPr>
              <w:widowControl w:val="0"/>
              <w:autoSpaceDE w:val="0"/>
              <w:autoSpaceDN w:val="0"/>
              <w:ind w:left="560"/>
              <w:jc w:val="both"/>
              <w:rPr>
                <w:sz w:val="20"/>
                <w:szCs w:val="22"/>
                <w:lang w:val="sr-Latn-ME"/>
              </w:rPr>
            </w:pPr>
            <w:r w:rsidRPr="00F16B0C">
              <w:rPr>
                <w:sz w:val="20"/>
                <w:szCs w:val="22"/>
                <w:lang w:val="sr-Latn-ME"/>
              </w:rPr>
              <w:t>4,8</w:t>
            </w:r>
          </w:p>
        </w:tc>
      </w:tr>
      <w:tr w:rsidR="00FD2DB5" w:rsidRPr="00F16B0C" w14:paraId="229864A2" w14:textId="77777777" w:rsidTr="00F16B0C">
        <w:trPr>
          <w:trHeight w:val="230"/>
        </w:trPr>
        <w:tc>
          <w:tcPr>
            <w:tcW w:w="2244" w:type="pct"/>
          </w:tcPr>
          <w:p w14:paraId="729EE8CE" w14:textId="77777777" w:rsidR="00FD2DB5" w:rsidRPr="00F16B0C" w:rsidRDefault="00FD2DB5" w:rsidP="00F16B0C">
            <w:pPr>
              <w:widowControl w:val="0"/>
              <w:autoSpaceDE w:val="0"/>
              <w:autoSpaceDN w:val="0"/>
              <w:ind w:left="812"/>
              <w:jc w:val="both"/>
              <w:rPr>
                <w:sz w:val="20"/>
                <w:szCs w:val="22"/>
                <w:lang w:val="sr-Latn-ME"/>
              </w:rPr>
            </w:pPr>
            <w:r w:rsidRPr="00F16B0C">
              <w:rPr>
                <w:sz w:val="20"/>
                <w:szCs w:val="22"/>
                <w:lang w:val="sr-Latn-ME"/>
              </w:rPr>
              <w:t>95% CI</w:t>
            </w:r>
          </w:p>
        </w:tc>
        <w:tc>
          <w:tcPr>
            <w:tcW w:w="1410" w:type="pct"/>
          </w:tcPr>
          <w:p w14:paraId="55561B46" w14:textId="77777777" w:rsidR="00FD2DB5" w:rsidRPr="00F16B0C" w:rsidRDefault="00FD2DB5" w:rsidP="00F16B0C">
            <w:pPr>
              <w:widowControl w:val="0"/>
              <w:autoSpaceDE w:val="0"/>
              <w:autoSpaceDN w:val="0"/>
              <w:ind w:left="576"/>
              <w:jc w:val="both"/>
              <w:rPr>
                <w:sz w:val="20"/>
                <w:szCs w:val="22"/>
                <w:lang w:val="sr-Latn-ME"/>
              </w:rPr>
            </w:pPr>
            <w:r w:rsidRPr="00F16B0C">
              <w:rPr>
                <w:sz w:val="20"/>
                <w:szCs w:val="22"/>
                <w:lang w:val="sr-Latn-ME"/>
              </w:rPr>
              <w:t>(21,6, 35,0)</w:t>
            </w:r>
          </w:p>
        </w:tc>
        <w:tc>
          <w:tcPr>
            <w:tcW w:w="1346" w:type="pct"/>
          </w:tcPr>
          <w:p w14:paraId="636130C2" w14:textId="77777777" w:rsidR="00FD2DB5" w:rsidRPr="00F16B0C" w:rsidRDefault="00FD2DB5" w:rsidP="00F16B0C">
            <w:pPr>
              <w:widowControl w:val="0"/>
              <w:autoSpaceDE w:val="0"/>
              <w:autoSpaceDN w:val="0"/>
              <w:ind w:left="559"/>
              <w:jc w:val="both"/>
              <w:rPr>
                <w:sz w:val="20"/>
                <w:szCs w:val="22"/>
                <w:lang w:val="sr-Latn-ME"/>
              </w:rPr>
            </w:pPr>
            <w:r w:rsidRPr="00F16B0C">
              <w:rPr>
                <w:sz w:val="20"/>
                <w:szCs w:val="22"/>
                <w:lang w:val="sr-Latn-ME"/>
              </w:rPr>
              <w:t>(2,2, 9,0)</w:t>
            </w:r>
          </w:p>
        </w:tc>
      </w:tr>
      <w:tr w:rsidR="00FD2DB5" w:rsidRPr="00F16B0C" w14:paraId="5C2017B0" w14:textId="77777777" w:rsidTr="00F16B0C">
        <w:trPr>
          <w:trHeight w:val="310"/>
        </w:trPr>
        <w:tc>
          <w:tcPr>
            <w:tcW w:w="2244" w:type="pct"/>
          </w:tcPr>
          <w:p w14:paraId="4B5972BE" w14:textId="77777777" w:rsidR="00FD2DB5" w:rsidRPr="00F16B0C" w:rsidRDefault="00FD2DB5" w:rsidP="00F16B0C">
            <w:pPr>
              <w:widowControl w:val="0"/>
              <w:autoSpaceDE w:val="0"/>
              <w:autoSpaceDN w:val="0"/>
              <w:ind w:left="452"/>
              <w:jc w:val="both"/>
              <w:rPr>
                <w:sz w:val="20"/>
                <w:szCs w:val="22"/>
                <w:lang w:val="sr-Latn-ME"/>
              </w:rPr>
            </w:pPr>
            <w:r w:rsidRPr="00F16B0C">
              <w:rPr>
                <w:sz w:val="20"/>
                <w:szCs w:val="22"/>
                <w:lang w:val="sr-Latn-ME"/>
              </w:rPr>
              <w:t>P-vrednost</w:t>
            </w:r>
            <w:r w:rsidRPr="00F16B0C">
              <w:rPr>
                <w:sz w:val="20"/>
                <w:szCs w:val="22"/>
                <w:vertAlign w:val="superscript"/>
                <w:lang w:val="sr-Latn-ME"/>
              </w:rPr>
              <w:t>a</w:t>
            </w:r>
          </w:p>
        </w:tc>
        <w:tc>
          <w:tcPr>
            <w:tcW w:w="2756" w:type="pct"/>
            <w:gridSpan w:val="2"/>
          </w:tcPr>
          <w:p w14:paraId="4193BF56" w14:textId="77777777" w:rsidR="00FD2DB5" w:rsidRPr="00F16B0C" w:rsidRDefault="00FD2DB5" w:rsidP="00F16B0C">
            <w:pPr>
              <w:widowControl w:val="0"/>
              <w:autoSpaceDE w:val="0"/>
              <w:autoSpaceDN w:val="0"/>
              <w:ind w:left="1925"/>
              <w:jc w:val="both"/>
              <w:rPr>
                <w:sz w:val="20"/>
                <w:szCs w:val="22"/>
                <w:lang w:val="sr-Latn-ME"/>
              </w:rPr>
            </w:pPr>
            <w:r w:rsidRPr="00F16B0C">
              <w:rPr>
                <w:sz w:val="20"/>
                <w:szCs w:val="22"/>
                <w:lang w:val="sr-Latn-ME"/>
              </w:rPr>
              <w:t>&lt; ,0001</w:t>
            </w:r>
          </w:p>
        </w:tc>
      </w:tr>
      <w:tr w:rsidR="00FD2DB5" w:rsidRPr="00F16B0C" w14:paraId="6238B983" w14:textId="77777777" w:rsidTr="00F16B0C">
        <w:trPr>
          <w:trHeight w:val="230"/>
        </w:trPr>
        <w:tc>
          <w:tcPr>
            <w:tcW w:w="2244" w:type="pct"/>
          </w:tcPr>
          <w:p w14:paraId="5639A5C9" w14:textId="77777777" w:rsidR="00FD2DB5" w:rsidRPr="00F16B0C" w:rsidRDefault="00FD2DB5" w:rsidP="00F16B0C">
            <w:pPr>
              <w:widowControl w:val="0"/>
              <w:autoSpaceDE w:val="0"/>
              <w:autoSpaceDN w:val="0"/>
              <w:ind w:left="182"/>
              <w:jc w:val="both"/>
              <w:rPr>
                <w:b/>
                <w:sz w:val="20"/>
                <w:szCs w:val="22"/>
                <w:lang w:val="sr-Latn-ME"/>
              </w:rPr>
            </w:pPr>
            <w:r w:rsidRPr="00F16B0C">
              <w:rPr>
                <w:b/>
                <w:bCs/>
                <w:sz w:val="20"/>
                <w:szCs w:val="22"/>
                <w:lang w:val="sr-Latn-ME"/>
              </w:rPr>
              <w:t>Trajanje odgovora (mjeseci)</w:t>
            </w:r>
          </w:p>
        </w:tc>
        <w:tc>
          <w:tcPr>
            <w:tcW w:w="1410" w:type="pct"/>
          </w:tcPr>
          <w:p w14:paraId="7C99EA9B" w14:textId="77777777" w:rsidR="00FD2DB5" w:rsidRPr="00F16B0C" w:rsidRDefault="00FD2DB5" w:rsidP="00F16B0C">
            <w:pPr>
              <w:widowControl w:val="0"/>
              <w:autoSpaceDE w:val="0"/>
              <w:autoSpaceDN w:val="0"/>
              <w:jc w:val="both"/>
              <w:rPr>
                <w:sz w:val="16"/>
                <w:szCs w:val="22"/>
                <w:lang w:val="sr-Latn-ME"/>
              </w:rPr>
            </w:pPr>
          </w:p>
        </w:tc>
        <w:tc>
          <w:tcPr>
            <w:tcW w:w="1346" w:type="pct"/>
          </w:tcPr>
          <w:p w14:paraId="37CA2D4D" w14:textId="77777777" w:rsidR="00FD2DB5" w:rsidRPr="00F16B0C" w:rsidRDefault="00FD2DB5" w:rsidP="00F16B0C">
            <w:pPr>
              <w:widowControl w:val="0"/>
              <w:autoSpaceDE w:val="0"/>
              <w:autoSpaceDN w:val="0"/>
              <w:jc w:val="both"/>
              <w:rPr>
                <w:sz w:val="16"/>
                <w:szCs w:val="22"/>
                <w:lang w:val="sr-Latn-ME"/>
              </w:rPr>
            </w:pPr>
          </w:p>
        </w:tc>
      </w:tr>
      <w:tr w:rsidR="00FD2DB5" w:rsidRPr="00F16B0C" w14:paraId="02F92047" w14:textId="77777777" w:rsidTr="00F16B0C">
        <w:trPr>
          <w:trHeight w:val="229"/>
        </w:trPr>
        <w:tc>
          <w:tcPr>
            <w:tcW w:w="2244" w:type="pct"/>
          </w:tcPr>
          <w:p w14:paraId="3531CEED" w14:textId="77777777" w:rsidR="00FD2DB5" w:rsidRPr="00F16B0C" w:rsidRDefault="00FD2DB5" w:rsidP="00F16B0C">
            <w:pPr>
              <w:widowControl w:val="0"/>
              <w:autoSpaceDE w:val="0"/>
              <w:autoSpaceDN w:val="0"/>
              <w:ind w:left="182"/>
              <w:jc w:val="both"/>
              <w:rPr>
                <w:sz w:val="20"/>
                <w:szCs w:val="22"/>
                <w:lang w:val="sr-Latn-ME"/>
              </w:rPr>
            </w:pPr>
            <w:r w:rsidRPr="00F16B0C">
              <w:rPr>
                <w:sz w:val="20"/>
                <w:szCs w:val="22"/>
                <w:lang w:val="sr-Latn-ME"/>
              </w:rPr>
              <w:t>Medijana (95% CI)</w:t>
            </w:r>
          </w:p>
        </w:tc>
        <w:tc>
          <w:tcPr>
            <w:tcW w:w="1410" w:type="pct"/>
          </w:tcPr>
          <w:p w14:paraId="52DC28FF" w14:textId="77777777" w:rsidR="00FD2DB5" w:rsidRPr="00F16B0C" w:rsidRDefault="00FD2DB5" w:rsidP="00F16B0C">
            <w:pPr>
              <w:widowControl w:val="0"/>
              <w:autoSpaceDE w:val="0"/>
              <w:autoSpaceDN w:val="0"/>
              <w:ind w:left="576"/>
              <w:jc w:val="both"/>
              <w:rPr>
                <w:sz w:val="20"/>
                <w:szCs w:val="22"/>
                <w:lang w:val="sr-Latn-ME"/>
              </w:rPr>
            </w:pPr>
            <w:r w:rsidRPr="00F16B0C">
              <w:rPr>
                <w:sz w:val="20"/>
                <w:szCs w:val="22"/>
                <w:lang w:val="sr-Latn-ME"/>
              </w:rPr>
              <w:t>14,1 (9,4, 19,2)</w:t>
            </w:r>
          </w:p>
        </w:tc>
        <w:tc>
          <w:tcPr>
            <w:tcW w:w="1346" w:type="pct"/>
          </w:tcPr>
          <w:p w14:paraId="631DA2BD" w14:textId="77777777" w:rsidR="00FD2DB5" w:rsidRPr="00F16B0C" w:rsidRDefault="00FD2DB5" w:rsidP="00F16B0C">
            <w:pPr>
              <w:widowControl w:val="0"/>
              <w:autoSpaceDE w:val="0"/>
              <w:autoSpaceDN w:val="0"/>
              <w:ind w:left="561"/>
              <w:jc w:val="both"/>
              <w:rPr>
                <w:sz w:val="20"/>
                <w:szCs w:val="22"/>
                <w:lang w:val="sr-Latn-ME"/>
              </w:rPr>
            </w:pPr>
            <w:r w:rsidRPr="00F16B0C">
              <w:rPr>
                <w:sz w:val="20"/>
                <w:szCs w:val="22"/>
                <w:lang w:val="sr-Latn-ME"/>
              </w:rPr>
              <w:t>9,13 (4,7,-)</w:t>
            </w:r>
          </w:p>
        </w:tc>
      </w:tr>
      <w:tr w:rsidR="00FD2DB5" w:rsidRPr="00F16B0C" w14:paraId="3C2A38DB" w14:textId="77777777" w:rsidTr="00F16B0C">
        <w:trPr>
          <w:trHeight w:val="230"/>
        </w:trPr>
        <w:tc>
          <w:tcPr>
            <w:tcW w:w="2244" w:type="pct"/>
          </w:tcPr>
          <w:p w14:paraId="2A5801AF" w14:textId="77777777" w:rsidR="00FD2DB5" w:rsidRPr="00F16B0C" w:rsidRDefault="00FD2DB5" w:rsidP="00F16B0C">
            <w:pPr>
              <w:widowControl w:val="0"/>
              <w:autoSpaceDE w:val="0"/>
              <w:autoSpaceDN w:val="0"/>
              <w:ind w:left="182"/>
              <w:jc w:val="both"/>
              <w:rPr>
                <w:b/>
                <w:sz w:val="20"/>
                <w:szCs w:val="22"/>
                <w:lang w:val="sr-Latn-ME"/>
              </w:rPr>
            </w:pPr>
            <w:r w:rsidRPr="00F16B0C">
              <w:rPr>
                <w:b/>
                <w:bCs/>
                <w:sz w:val="20"/>
                <w:szCs w:val="22"/>
                <w:lang w:val="sr-Latn-ME"/>
              </w:rPr>
              <w:t>Odgovor po odjeljcima</w:t>
            </w:r>
          </w:p>
        </w:tc>
        <w:tc>
          <w:tcPr>
            <w:tcW w:w="2756" w:type="pct"/>
            <w:gridSpan w:val="2"/>
          </w:tcPr>
          <w:p w14:paraId="0D4571C5" w14:textId="77777777" w:rsidR="00FD2DB5" w:rsidRPr="00F16B0C" w:rsidRDefault="00FD2DB5" w:rsidP="00F16B0C">
            <w:pPr>
              <w:widowControl w:val="0"/>
              <w:autoSpaceDE w:val="0"/>
              <w:autoSpaceDN w:val="0"/>
              <w:jc w:val="both"/>
              <w:rPr>
                <w:sz w:val="16"/>
                <w:szCs w:val="22"/>
                <w:lang w:val="sr-Latn-ME"/>
              </w:rPr>
            </w:pPr>
          </w:p>
        </w:tc>
      </w:tr>
      <w:tr w:rsidR="00FD2DB5" w:rsidRPr="00F16B0C" w14:paraId="0151D9BD" w14:textId="77777777" w:rsidTr="00F16B0C">
        <w:trPr>
          <w:trHeight w:val="230"/>
        </w:trPr>
        <w:tc>
          <w:tcPr>
            <w:tcW w:w="2244" w:type="pct"/>
          </w:tcPr>
          <w:p w14:paraId="3AD3FC6E" w14:textId="77777777" w:rsidR="00FD2DB5" w:rsidRPr="00F16B0C" w:rsidRDefault="00FD2DB5" w:rsidP="00F16B0C">
            <w:pPr>
              <w:widowControl w:val="0"/>
              <w:autoSpaceDE w:val="0"/>
              <w:autoSpaceDN w:val="0"/>
              <w:ind w:left="182"/>
              <w:jc w:val="both"/>
              <w:rPr>
                <w:b/>
                <w:sz w:val="20"/>
                <w:szCs w:val="22"/>
                <w:lang w:val="sr-Latn-ME"/>
              </w:rPr>
            </w:pPr>
            <w:r w:rsidRPr="00F16B0C">
              <w:rPr>
                <w:b/>
                <w:bCs/>
                <w:sz w:val="20"/>
                <w:szCs w:val="22"/>
                <w:lang w:val="sr-Latn-ME"/>
              </w:rPr>
              <w:t>Krv</w:t>
            </w:r>
          </w:p>
        </w:tc>
        <w:tc>
          <w:tcPr>
            <w:tcW w:w="1410" w:type="pct"/>
          </w:tcPr>
          <w:p w14:paraId="7187DDC0" w14:textId="77777777" w:rsidR="00FD2DB5" w:rsidRPr="00F16B0C" w:rsidRDefault="00FD2DB5" w:rsidP="00F16B0C">
            <w:pPr>
              <w:widowControl w:val="0"/>
              <w:autoSpaceDE w:val="0"/>
              <w:autoSpaceDN w:val="0"/>
              <w:ind w:left="576"/>
              <w:jc w:val="both"/>
              <w:rPr>
                <w:sz w:val="20"/>
                <w:szCs w:val="22"/>
                <w:lang w:val="sr-Latn-ME"/>
              </w:rPr>
            </w:pPr>
            <w:r w:rsidRPr="00F16B0C">
              <w:rPr>
                <w:sz w:val="20"/>
                <w:szCs w:val="22"/>
                <w:lang w:val="sr-Latn-ME"/>
              </w:rPr>
              <w:t>n = 124</w:t>
            </w:r>
          </w:p>
        </w:tc>
        <w:tc>
          <w:tcPr>
            <w:tcW w:w="1346" w:type="pct"/>
          </w:tcPr>
          <w:p w14:paraId="04530E22" w14:textId="77777777" w:rsidR="00FD2DB5" w:rsidRPr="00F16B0C" w:rsidRDefault="00FD2DB5" w:rsidP="00F16B0C">
            <w:pPr>
              <w:widowControl w:val="0"/>
              <w:autoSpaceDE w:val="0"/>
              <w:autoSpaceDN w:val="0"/>
              <w:ind w:left="561"/>
              <w:jc w:val="both"/>
              <w:rPr>
                <w:sz w:val="20"/>
                <w:szCs w:val="22"/>
                <w:lang w:val="sr-Latn-ME"/>
              </w:rPr>
            </w:pPr>
            <w:r w:rsidRPr="00F16B0C">
              <w:rPr>
                <w:sz w:val="20"/>
                <w:szCs w:val="22"/>
                <w:lang w:val="sr-Latn-ME"/>
              </w:rPr>
              <w:t>n = 125</w:t>
            </w:r>
          </w:p>
        </w:tc>
      </w:tr>
      <w:tr w:rsidR="00FD2DB5" w:rsidRPr="00F16B0C" w14:paraId="6066E936" w14:textId="77777777" w:rsidTr="00F16B0C">
        <w:trPr>
          <w:trHeight w:val="229"/>
        </w:trPr>
        <w:tc>
          <w:tcPr>
            <w:tcW w:w="2244" w:type="pct"/>
          </w:tcPr>
          <w:p w14:paraId="3C1AE1A8" w14:textId="77777777" w:rsidR="00FD2DB5" w:rsidRPr="00F16B0C" w:rsidRDefault="00FD2DB5" w:rsidP="00F16B0C">
            <w:pPr>
              <w:widowControl w:val="0"/>
              <w:autoSpaceDE w:val="0"/>
              <w:autoSpaceDN w:val="0"/>
              <w:ind w:left="477"/>
              <w:jc w:val="both"/>
              <w:rPr>
                <w:sz w:val="20"/>
                <w:szCs w:val="22"/>
                <w:lang w:val="sr-Latn-ME"/>
              </w:rPr>
            </w:pPr>
            <w:r w:rsidRPr="00F16B0C">
              <w:rPr>
                <w:sz w:val="20"/>
                <w:szCs w:val="22"/>
                <w:lang w:val="sr-Latn-ME"/>
              </w:rPr>
              <w:t>Stopa odgovora (potvrđen CR + PR, %)</w:t>
            </w:r>
          </w:p>
        </w:tc>
        <w:tc>
          <w:tcPr>
            <w:tcW w:w="1410" w:type="pct"/>
          </w:tcPr>
          <w:p w14:paraId="6E4FB422" w14:textId="77777777" w:rsidR="00FD2DB5" w:rsidRPr="00F16B0C" w:rsidRDefault="00FD2DB5" w:rsidP="00F16B0C">
            <w:pPr>
              <w:widowControl w:val="0"/>
              <w:autoSpaceDE w:val="0"/>
              <w:autoSpaceDN w:val="0"/>
              <w:ind w:left="576"/>
              <w:jc w:val="both"/>
              <w:rPr>
                <w:sz w:val="20"/>
                <w:szCs w:val="22"/>
                <w:lang w:val="sr-Latn-ME"/>
              </w:rPr>
            </w:pPr>
            <w:r w:rsidRPr="00F16B0C">
              <w:rPr>
                <w:sz w:val="20"/>
                <w:szCs w:val="22"/>
                <w:lang w:val="sr-Latn-ME"/>
              </w:rPr>
              <w:t>66,9</w:t>
            </w:r>
          </w:p>
        </w:tc>
        <w:tc>
          <w:tcPr>
            <w:tcW w:w="1346" w:type="pct"/>
          </w:tcPr>
          <w:p w14:paraId="02BE7A4F" w14:textId="77777777" w:rsidR="00FD2DB5" w:rsidRPr="00F16B0C" w:rsidRDefault="00FD2DB5" w:rsidP="00F16B0C">
            <w:pPr>
              <w:widowControl w:val="0"/>
              <w:autoSpaceDE w:val="0"/>
              <w:autoSpaceDN w:val="0"/>
              <w:ind w:left="561"/>
              <w:jc w:val="both"/>
              <w:rPr>
                <w:sz w:val="20"/>
                <w:szCs w:val="22"/>
                <w:lang w:val="sr-Latn-ME"/>
              </w:rPr>
            </w:pPr>
            <w:r w:rsidRPr="00F16B0C">
              <w:rPr>
                <w:sz w:val="20"/>
                <w:szCs w:val="22"/>
                <w:lang w:val="sr-Latn-ME"/>
              </w:rPr>
              <w:t>18,4</w:t>
            </w:r>
          </w:p>
        </w:tc>
      </w:tr>
      <w:tr w:rsidR="00FD2DB5" w:rsidRPr="00F16B0C" w14:paraId="4AC78913" w14:textId="77777777" w:rsidTr="00F16B0C">
        <w:trPr>
          <w:trHeight w:val="230"/>
        </w:trPr>
        <w:tc>
          <w:tcPr>
            <w:tcW w:w="2244" w:type="pct"/>
          </w:tcPr>
          <w:p w14:paraId="670DA584" w14:textId="77777777" w:rsidR="00FD2DB5" w:rsidRPr="00F16B0C" w:rsidRDefault="00FD2DB5" w:rsidP="00F16B0C">
            <w:pPr>
              <w:widowControl w:val="0"/>
              <w:autoSpaceDE w:val="0"/>
              <w:autoSpaceDN w:val="0"/>
              <w:ind w:left="853"/>
              <w:jc w:val="both"/>
              <w:rPr>
                <w:sz w:val="20"/>
                <w:szCs w:val="22"/>
                <w:lang w:val="sr-Latn-ME"/>
              </w:rPr>
            </w:pPr>
            <w:r w:rsidRPr="00F16B0C">
              <w:rPr>
                <w:sz w:val="20"/>
                <w:szCs w:val="22"/>
                <w:lang w:val="sr-Latn-ME"/>
              </w:rPr>
              <w:t>95% CI</w:t>
            </w:r>
          </w:p>
        </w:tc>
        <w:tc>
          <w:tcPr>
            <w:tcW w:w="1410" w:type="pct"/>
          </w:tcPr>
          <w:p w14:paraId="1193B530" w14:textId="77777777" w:rsidR="00FD2DB5" w:rsidRPr="00F16B0C" w:rsidRDefault="00FD2DB5" w:rsidP="00F16B0C">
            <w:pPr>
              <w:widowControl w:val="0"/>
              <w:autoSpaceDE w:val="0"/>
              <w:autoSpaceDN w:val="0"/>
              <w:ind w:left="576"/>
              <w:jc w:val="both"/>
              <w:rPr>
                <w:sz w:val="20"/>
                <w:szCs w:val="22"/>
                <w:lang w:val="sr-Latn-ME"/>
              </w:rPr>
            </w:pPr>
            <w:r w:rsidRPr="00F16B0C">
              <w:rPr>
                <w:sz w:val="20"/>
                <w:szCs w:val="22"/>
                <w:lang w:val="sr-Latn-ME"/>
              </w:rPr>
              <w:t>(57,9, 75,1)</w:t>
            </w:r>
          </w:p>
        </w:tc>
        <w:tc>
          <w:tcPr>
            <w:tcW w:w="1346" w:type="pct"/>
          </w:tcPr>
          <w:p w14:paraId="6A9AAC0E" w14:textId="77777777" w:rsidR="00FD2DB5" w:rsidRPr="00F16B0C" w:rsidRDefault="00FD2DB5" w:rsidP="00F16B0C">
            <w:pPr>
              <w:widowControl w:val="0"/>
              <w:autoSpaceDE w:val="0"/>
              <w:autoSpaceDN w:val="0"/>
              <w:ind w:left="603"/>
              <w:jc w:val="both"/>
              <w:rPr>
                <w:sz w:val="20"/>
                <w:szCs w:val="22"/>
                <w:lang w:val="sr-Latn-ME"/>
              </w:rPr>
            </w:pPr>
            <w:r w:rsidRPr="00F16B0C">
              <w:rPr>
                <w:sz w:val="20"/>
                <w:szCs w:val="22"/>
                <w:lang w:val="sr-Latn-ME"/>
              </w:rPr>
              <w:t>(12,0, 26,3)</w:t>
            </w:r>
          </w:p>
        </w:tc>
      </w:tr>
      <w:tr w:rsidR="00FD2DB5" w:rsidRPr="00F16B0C" w14:paraId="231BE4FF" w14:textId="77777777" w:rsidTr="00F16B0C">
        <w:trPr>
          <w:trHeight w:val="230"/>
        </w:trPr>
        <w:tc>
          <w:tcPr>
            <w:tcW w:w="2244" w:type="pct"/>
          </w:tcPr>
          <w:p w14:paraId="63E27EA2" w14:textId="77777777" w:rsidR="00FD2DB5" w:rsidRPr="00F16B0C" w:rsidRDefault="00FD2DB5" w:rsidP="00F16B0C">
            <w:pPr>
              <w:widowControl w:val="0"/>
              <w:autoSpaceDE w:val="0"/>
              <w:autoSpaceDN w:val="0"/>
              <w:ind w:left="182"/>
              <w:jc w:val="both"/>
              <w:rPr>
                <w:sz w:val="20"/>
                <w:szCs w:val="22"/>
                <w:lang w:val="sr-Latn-ME"/>
              </w:rPr>
            </w:pPr>
            <w:r w:rsidRPr="00F16B0C">
              <w:rPr>
                <w:sz w:val="20"/>
                <w:szCs w:val="22"/>
                <w:lang w:val="sr-Latn-ME"/>
              </w:rPr>
              <w:t>P-vrednost</w:t>
            </w:r>
            <w:r w:rsidRPr="00F16B0C">
              <w:rPr>
                <w:sz w:val="20"/>
                <w:szCs w:val="22"/>
                <w:vertAlign w:val="superscript"/>
                <w:lang w:val="sr-Latn-ME"/>
              </w:rPr>
              <w:t>a</w:t>
            </w:r>
          </w:p>
        </w:tc>
        <w:tc>
          <w:tcPr>
            <w:tcW w:w="2756" w:type="pct"/>
            <w:gridSpan w:val="2"/>
          </w:tcPr>
          <w:p w14:paraId="0320F9CD" w14:textId="77777777" w:rsidR="00FD2DB5" w:rsidRPr="00F16B0C" w:rsidRDefault="00FD2DB5" w:rsidP="00F16B0C">
            <w:pPr>
              <w:widowControl w:val="0"/>
              <w:autoSpaceDE w:val="0"/>
              <w:autoSpaceDN w:val="0"/>
              <w:ind w:left="1925"/>
              <w:jc w:val="both"/>
              <w:rPr>
                <w:sz w:val="20"/>
                <w:szCs w:val="22"/>
                <w:lang w:val="sr-Latn-ME"/>
              </w:rPr>
            </w:pPr>
            <w:r w:rsidRPr="00F16B0C">
              <w:rPr>
                <w:sz w:val="20"/>
                <w:szCs w:val="22"/>
                <w:lang w:val="sr-Latn-ME"/>
              </w:rPr>
              <w:t>&lt; 0,0001</w:t>
            </w:r>
          </w:p>
        </w:tc>
      </w:tr>
      <w:tr w:rsidR="00FD2DB5" w:rsidRPr="00F16B0C" w14:paraId="05D732D6" w14:textId="77777777" w:rsidTr="00F16B0C">
        <w:trPr>
          <w:trHeight w:val="229"/>
        </w:trPr>
        <w:tc>
          <w:tcPr>
            <w:tcW w:w="2244" w:type="pct"/>
          </w:tcPr>
          <w:p w14:paraId="002CD4F9" w14:textId="77777777" w:rsidR="00FD2DB5" w:rsidRPr="00F16B0C" w:rsidRDefault="00FD2DB5" w:rsidP="00F16B0C">
            <w:pPr>
              <w:widowControl w:val="0"/>
              <w:autoSpaceDE w:val="0"/>
              <w:autoSpaceDN w:val="0"/>
              <w:ind w:left="182"/>
              <w:jc w:val="both"/>
              <w:rPr>
                <w:b/>
                <w:sz w:val="20"/>
                <w:szCs w:val="22"/>
                <w:lang w:val="sr-Latn-ME"/>
              </w:rPr>
            </w:pPr>
            <w:r w:rsidRPr="00F16B0C">
              <w:rPr>
                <w:b/>
                <w:bCs/>
                <w:sz w:val="20"/>
                <w:szCs w:val="22"/>
                <w:lang w:val="sr-Latn-ME"/>
              </w:rPr>
              <w:t>Koža</w:t>
            </w:r>
          </w:p>
        </w:tc>
        <w:tc>
          <w:tcPr>
            <w:tcW w:w="1410" w:type="pct"/>
          </w:tcPr>
          <w:p w14:paraId="52F2FFC4" w14:textId="77777777" w:rsidR="00FD2DB5" w:rsidRPr="00F16B0C" w:rsidRDefault="00FD2DB5" w:rsidP="00F16B0C">
            <w:pPr>
              <w:widowControl w:val="0"/>
              <w:autoSpaceDE w:val="0"/>
              <w:autoSpaceDN w:val="0"/>
              <w:ind w:left="576"/>
              <w:jc w:val="both"/>
              <w:rPr>
                <w:sz w:val="20"/>
                <w:szCs w:val="22"/>
                <w:lang w:val="sr-Latn-ME"/>
              </w:rPr>
            </w:pPr>
            <w:r w:rsidRPr="00F16B0C">
              <w:rPr>
                <w:sz w:val="20"/>
                <w:szCs w:val="22"/>
                <w:lang w:val="sr-Latn-ME"/>
              </w:rPr>
              <w:t>n = 186</w:t>
            </w:r>
          </w:p>
        </w:tc>
        <w:tc>
          <w:tcPr>
            <w:tcW w:w="1346" w:type="pct"/>
          </w:tcPr>
          <w:p w14:paraId="4F4ADB98" w14:textId="77777777" w:rsidR="00FD2DB5" w:rsidRPr="00F16B0C" w:rsidRDefault="00FD2DB5" w:rsidP="00F16B0C">
            <w:pPr>
              <w:widowControl w:val="0"/>
              <w:autoSpaceDE w:val="0"/>
              <w:autoSpaceDN w:val="0"/>
              <w:ind w:left="561"/>
              <w:jc w:val="both"/>
              <w:rPr>
                <w:sz w:val="20"/>
                <w:szCs w:val="22"/>
                <w:lang w:val="sr-Latn-ME"/>
              </w:rPr>
            </w:pPr>
            <w:r w:rsidRPr="00F16B0C">
              <w:rPr>
                <w:sz w:val="20"/>
                <w:szCs w:val="22"/>
                <w:lang w:val="sr-Latn-ME"/>
              </w:rPr>
              <w:t>n = 186</w:t>
            </w:r>
          </w:p>
        </w:tc>
      </w:tr>
      <w:tr w:rsidR="00FD2DB5" w:rsidRPr="00F16B0C" w14:paraId="5FF7B498" w14:textId="77777777" w:rsidTr="00F16B0C">
        <w:trPr>
          <w:trHeight w:val="230"/>
        </w:trPr>
        <w:tc>
          <w:tcPr>
            <w:tcW w:w="2244" w:type="pct"/>
          </w:tcPr>
          <w:p w14:paraId="2BC5DC56" w14:textId="77777777" w:rsidR="00FD2DB5" w:rsidRPr="00F16B0C" w:rsidRDefault="00FD2DB5" w:rsidP="00F16B0C">
            <w:pPr>
              <w:widowControl w:val="0"/>
              <w:autoSpaceDE w:val="0"/>
              <w:autoSpaceDN w:val="0"/>
              <w:jc w:val="both"/>
              <w:rPr>
                <w:sz w:val="20"/>
                <w:szCs w:val="22"/>
                <w:lang w:val="sr-Latn-ME"/>
              </w:rPr>
            </w:pPr>
            <w:r w:rsidRPr="00F16B0C">
              <w:rPr>
                <w:sz w:val="20"/>
                <w:szCs w:val="22"/>
                <w:lang w:val="sr-Latn-ME"/>
              </w:rPr>
              <w:t>Stopa ukupnog odgovora (potvrđen CR + PR, %)</w:t>
            </w:r>
          </w:p>
        </w:tc>
        <w:tc>
          <w:tcPr>
            <w:tcW w:w="1410" w:type="pct"/>
          </w:tcPr>
          <w:p w14:paraId="60A2A99B" w14:textId="77777777" w:rsidR="00FD2DB5" w:rsidRPr="00F16B0C" w:rsidRDefault="00FD2DB5" w:rsidP="00F16B0C">
            <w:pPr>
              <w:widowControl w:val="0"/>
              <w:autoSpaceDE w:val="0"/>
              <w:autoSpaceDN w:val="0"/>
              <w:ind w:left="576"/>
              <w:jc w:val="both"/>
              <w:rPr>
                <w:sz w:val="20"/>
                <w:szCs w:val="22"/>
                <w:lang w:val="sr-Latn-ME"/>
              </w:rPr>
            </w:pPr>
            <w:r w:rsidRPr="00F16B0C">
              <w:rPr>
                <w:sz w:val="20"/>
                <w:szCs w:val="22"/>
                <w:lang w:val="sr-Latn-ME"/>
              </w:rPr>
              <w:t>41,9</w:t>
            </w:r>
          </w:p>
        </w:tc>
        <w:tc>
          <w:tcPr>
            <w:tcW w:w="1346" w:type="pct"/>
          </w:tcPr>
          <w:p w14:paraId="5B517B65" w14:textId="77777777" w:rsidR="00FD2DB5" w:rsidRPr="00F16B0C" w:rsidRDefault="00FD2DB5" w:rsidP="00F16B0C">
            <w:pPr>
              <w:widowControl w:val="0"/>
              <w:autoSpaceDE w:val="0"/>
              <w:autoSpaceDN w:val="0"/>
              <w:ind w:left="561"/>
              <w:jc w:val="both"/>
              <w:rPr>
                <w:sz w:val="20"/>
                <w:szCs w:val="22"/>
                <w:lang w:val="sr-Latn-ME"/>
              </w:rPr>
            </w:pPr>
            <w:r w:rsidRPr="00F16B0C">
              <w:rPr>
                <w:sz w:val="20"/>
                <w:szCs w:val="22"/>
                <w:lang w:val="sr-Latn-ME"/>
              </w:rPr>
              <w:t>15,6</w:t>
            </w:r>
          </w:p>
        </w:tc>
      </w:tr>
      <w:tr w:rsidR="00FD2DB5" w:rsidRPr="00F16B0C" w14:paraId="3690DC61" w14:textId="77777777" w:rsidTr="00F16B0C">
        <w:trPr>
          <w:trHeight w:val="230"/>
        </w:trPr>
        <w:tc>
          <w:tcPr>
            <w:tcW w:w="2244" w:type="pct"/>
          </w:tcPr>
          <w:p w14:paraId="3CD8226E" w14:textId="77777777" w:rsidR="00FD2DB5" w:rsidRPr="00F16B0C" w:rsidRDefault="00FD2DB5" w:rsidP="00F16B0C">
            <w:pPr>
              <w:widowControl w:val="0"/>
              <w:autoSpaceDE w:val="0"/>
              <w:autoSpaceDN w:val="0"/>
              <w:ind w:left="853"/>
              <w:jc w:val="both"/>
              <w:rPr>
                <w:sz w:val="20"/>
                <w:szCs w:val="22"/>
                <w:lang w:val="sr-Latn-ME"/>
              </w:rPr>
            </w:pPr>
            <w:r w:rsidRPr="00F16B0C">
              <w:rPr>
                <w:sz w:val="20"/>
                <w:szCs w:val="22"/>
                <w:lang w:val="sr-Latn-ME"/>
              </w:rPr>
              <w:t>95% CI</w:t>
            </w:r>
          </w:p>
        </w:tc>
        <w:tc>
          <w:tcPr>
            <w:tcW w:w="1410" w:type="pct"/>
          </w:tcPr>
          <w:p w14:paraId="4AADAF6D" w14:textId="77777777" w:rsidR="00FD2DB5" w:rsidRPr="00F16B0C" w:rsidRDefault="00FD2DB5" w:rsidP="00F16B0C">
            <w:pPr>
              <w:widowControl w:val="0"/>
              <w:autoSpaceDE w:val="0"/>
              <w:autoSpaceDN w:val="0"/>
              <w:ind w:left="576"/>
              <w:jc w:val="both"/>
              <w:rPr>
                <w:sz w:val="20"/>
                <w:szCs w:val="22"/>
                <w:lang w:val="sr-Latn-ME"/>
              </w:rPr>
            </w:pPr>
            <w:r w:rsidRPr="00F16B0C">
              <w:rPr>
                <w:sz w:val="20"/>
                <w:szCs w:val="22"/>
                <w:lang w:val="sr-Latn-ME"/>
              </w:rPr>
              <w:t>(34,8, 49,4)</w:t>
            </w:r>
          </w:p>
        </w:tc>
        <w:tc>
          <w:tcPr>
            <w:tcW w:w="1346" w:type="pct"/>
          </w:tcPr>
          <w:p w14:paraId="042FBDCC" w14:textId="77777777" w:rsidR="00FD2DB5" w:rsidRPr="00F16B0C" w:rsidRDefault="00FD2DB5" w:rsidP="00F16B0C">
            <w:pPr>
              <w:widowControl w:val="0"/>
              <w:autoSpaceDE w:val="0"/>
              <w:autoSpaceDN w:val="0"/>
              <w:ind w:left="603"/>
              <w:jc w:val="both"/>
              <w:rPr>
                <w:sz w:val="20"/>
                <w:szCs w:val="22"/>
                <w:lang w:val="sr-Latn-ME"/>
              </w:rPr>
            </w:pPr>
            <w:r w:rsidRPr="00F16B0C">
              <w:rPr>
                <w:sz w:val="20"/>
                <w:szCs w:val="22"/>
                <w:lang w:val="sr-Latn-ME"/>
              </w:rPr>
              <w:t>(10,7, 21,6)</w:t>
            </w:r>
          </w:p>
        </w:tc>
      </w:tr>
      <w:tr w:rsidR="00FD2DB5" w:rsidRPr="00F16B0C" w14:paraId="2D98F369" w14:textId="77777777" w:rsidTr="00F16B0C">
        <w:trPr>
          <w:trHeight w:val="309"/>
        </w:trPr>
        <w:tc>
          <w:tcPr>
            <w:tcW w:w="2244" w:type="pct"/>
          </w:tcPr>
          <w:p w14:paraId="6E634196" w14:textId="77777777" w:rsidR="00FD2DB5" w:rsidRPr="00F16B0C" w:rsidRDefault="00FD2DB5" w:rsidP="00F16B0C">
            <w:pPr>
              <w:widowControl w:val="0"/>
              <w:autoSpaceDE w:val="0"/>
              <w:autoSpaceDN w:val="0"/>
              <w:ind w:left="477"/>
              <w:jc w:val="both"/>
              <w:rPr>
                <w:sz w:val="20"/>
                <w:szCs w:val="22"/>
                <w:lang w:val="sr-Latn-ME"/>
              </w:rPr>
            </w:pPr>
            <w:r w:rsidRPr="00F16B0C">
              <w:rPr>
                <w:sz w:val="20"/>
                <w:szCs w:val="22"/>
                <w:lang w:val="sr-Latn-ME"/>
              </w:rPr>
              <w:t>P-vrednost</w:t>
            </w:r>
            <w:r w:rsidRPr="00F16B0C">
              <w:rPr>
                <w:sz w:val="20"/>
                <w:szCs w:val="22"/>
                <w:vertAlign w:val="superscript"/>
                <w:lang w:val="sr-Latn-ME"/>
              </w:rPr>
              <w:t>a</w:t>
            </w:r>
          </w:p>
        </w:tc>
        <w:tc>
          <w:tcPr>
            <w:tcW w:w="2756" w:type="pct"/>
            <w:gridSpan w:val="2"/>
          </w:tcPr>
          <w:p w14:paraId="70D81B37" w14:textId="77777777" w:rsidR="00FD2DB5" w:rsidRPr="00F16B0C" w:rsidRDefault="00FD2DB5" w:rsidP="00F16B0C">
            <w:pPr>
              <w:widowControl w:val="0"/>
              <w:autoSpaceDE w:val="0"/>
              <w:autoSpaceDN w:val="0"/>
              <w:ind w:left="1925"/>
              <w:jc w:val="both"/>
              <w:rPr>
                <w:sz w:val="20"/>
                <w:szCs w:val="22"/>
                <w:lang w:val="sr-Latn-ME"/>
              </w:rPr>
            </w:pPr>
            <w:r w:rsidRPr="00F16B0C">
              <w:rPr>
                <w:sz w:val="20"/>
                <w:szCs w:val="22"/>
                <w:lang w:val="sr-Latn-ME"/>
              </w:rPr>
              <w:t>&lt; ,0001</w:t>
            </w:r>
          </w:p>
        </w:tc>
      </w:tr>
      <w:tr w:rsidR="00FD2DB5" w:rsidRPr="00F16B0C" w14:paraId="2F20E457" w14:textId="77777777" w:rsidTr="00F16B0C">
        <w:trPr>
          <w:trHeight w:val="230"/>
        </w:trPr>
        <w:tc>
          <w:tcPr>
            <w:tcW w:w="2244" w:type="pct"/>
          </w:tcPr>
          <w:p w14:paraId="5FBEC24F" w14:textId="77777777" w:rsidR="00FD2DB5" w:rsidRPr="00F16B0C" w:rsidRDefault="00FD2DB5" w:rsidP="00F16B0C">
            <w:pPr>
              <w:widowControl w:val="0"/>
              <w:autoSpaceDE w:val="0"/>
              <w:autoSpaceDN w:val="0"/>
              <w:ind w:left="182"/>
              <w:jc w:val="both"/>
              <w:rPr>
                <w:b/>
                <w:sz w:val="20"/>
                <w:szCs w:val="22"/>
                <w:lang w:val="sr-Latn-ME"/>
              </w:rPr>
            </w:pPr>
            <w:r w:rsidRPr="00F16B0C">
              <w:rPr>
                <w:b/>
                <w:bCs/>
                <w:sz w:val="20"/>
                <w:szCs w:val="22"/>
                <w:lang w:val="sr-Latn-ME"/>
              </w:rPr>
              <w:t>Limfni čvorovi</w:t>
            </w:r>
          </w:p>
        </w:tc>
        <w:tc>
          <w:tcPr>
            <w:tcW w:w="1410" w:type="pct"/>
          </w:tcPr>
          <w:p w14:paraId="34312F43" w14:textId="77777777" w:rsidR="00FD2DB5" w:rsidRPr="00F16B0C" w:rsidRDefault="00FD2DB5" w:rsidP="00F16B0C">
            <w:pPr>
              <w:widowControl w:val="0"/>
              <w:autoSpaceDE w:val="0"/>
              <w:autoSpaceDN w:val="0"/>
              <w:ind w:left="576"/>
              <w:jc w:val="both"/>
              <w:rPr>
                <w:sz w:val="20"/>
                <w:szCs w:val="22"/>
                <w:lang w:val="sr-Latn-ME"/>
              </w:rPr>
            </w:pPr>
            <w:r w:rsidRPr="00F16B0C">
              <w:rPr>
                <w:sz w:val="20"/>
                <w:szCs w:val="22"/>
                <w:lang w:val="sr-Latn-ME"/>
              </w:rPr>
              <w:t>n = 136</w:t>
            </w:r>
          </w:p>
        </w:tc>
        <w:tc>
          <w:tcPr>
            <w:tcW w:w="1346" w:type="pct"/>
          </w:tcPr>
          <w:p w14:paraId="5DEED9A8" w14:textId="77777777" w:rsidR="00FD2DB5" w:rsidRPr="00F16B0C" w:rsidRDefault="00FD2DB5" w:rsidP="00F16B0C">
            <w:pPr>
              <w:widowControl w:val="0"/>
              <w:autoSpaceDE w:val="0"/>
              <w:autoSpaceDN w:val="0"/>
              <w:ind w:left="561"/>
              <w:jc w:val="both"/>
              <w:rPr>
                <w:sz w:val="20"/>
                <w:szCs w:val="22"/>
                <w:lang w:val="sr-Latn-ME"/>
              </w:rPr>
            </w:pPr>
            <w:r w:rsidRPr="00F16B0C">
              <w:rPr>
                <w:sz w:val="20"/>
                <w:szCs w:val="22"/>
                <w:lang w:val="sr-Latn-ME"/>
              </w:rPr>
              <w:t>n = 133</w:t>
            </w:r>
          </w:p>
        </w:tc>
      </w:tr>
      <w:tr w:rsidR="00FD2DB5" w:rsidRPr="00F16B0C" w14:paraId="12FD9975" w14:textId="77777777" w:rsidTr="00F16B0C">
        <w:trPr>
          <w:trHeight w:val="230"/>
        </w:trPr>
        <w:tc>
          <w:tcPr>
            <w:tcW w:w="2244" w:type="pct"/>
          </w:tcPr>
          <w:p w14:paraId="1BE49D12" w14:textId="77777777" w:rsidR="00FD2DB5" w:rsidRPr="00F16B0C" w:rsidRDefault="00FD2DB5" w:rsidP="00F16B0C">
            <w:pPr>
              <w:widowControl w:val="0"/>
              <w:autoSpaceDE w:val="0"/>
              <w:autoSpaceDN w:val="0"/>
              <w:jc w:val="both"/>
              <w:rPr>
                <w:sz w:val="20"/>
                <w:szCs w:val="22"/>
                <w:lang w:val="sr-Latn-ME"/>
              </w:rPr>
            </w:pPr>
            <w:r w:rsidRPr="00F16B0C">
              <w:rPr>
                <w:sz w:val="20"/>
                <w:szCs w:val="22"/>
                <w:lang w:val="sr-Latn-ME"/>
              </w:rPr>
              <w:t>Stopa ukupnog odgovora (potvrđen CR + PR, %)</w:t>
            </w:r>
          </w:p>
        </w:tc>
        <w:tc>
          <w:tcPr>
            <w:tcW w:w="1410" w:type="pct"/>
          </w:tcPr>
          <w:p w14:paraId="2C6A8F9C" w14:textId="77777777" w:rsidR="00FD2DB5" w:rsidRPr="00F16B0C" w:rsidRDefault="00FD2DB5" w:rsidP="00F16B0C">
            <w:pPr>
              <w:widowControl w:val="0"/>
              <w:autoSpaceDE w:val="0"/>
              <w:autoSpaceDN w:val="0"/>
              <w:ind w:left="576"/>
              <w:jc w:val="both"/>
              <w:rPr>
                <w:sz w:val="20"/>
                <w:szCs w:val="22"/>
                <w:lang w:val="sr-Latn-ME"/>
              </w:rPr>
            </w:pPr>
            <w:r w:rsidRPr="00F16B0C">
              <w:rPr>
                <w:sz w:val="20"/>
                <w:szCs w:val="22"/>
                <w:lang w:val="sr-Latn-ME"/>
              </w:rPr>
              <w:t>15,4</w:t>
            </w:r>
          </w:p>
        </w:tc>
        <w:tc>
          <w:tcPr>
            <w:tcW w:w="1346" w:type="pct"/>
          </w:tcPr>
          <w:p w14:paraId="0F1425DF" w14:textId="77777777" w:rsidR="00FD2DB5" w:rsidRPr="00F16B0C" w:rsidRDefault="00FD2DB5" w:rsidP="00F16B0C">
            <w:pPr>
              <w:widowControl w:val="0"/>
              <w:autoSpaceDE w:val="0"/>
              <w:autoSpaceDN w:val="0"/>
              <w:ind w:left="560"/>
              <w:jc w:val="both"/>
              <w:rPr>
                <w:sz w:val="20"/>
                <w:szCs w:val="22"/>
                <w:lang w:val="sr-Latn-ME"/>
              </w:rPr>
            </w:pPr>
            <w:r w:rsidRPr="00F16B0C">
              <w:rPr>
                <w:sz w:val="20"/>
                <w:szCs w:val="22"/>
                <w:lang w:val="sr-Latn-ME"/>
              </w:rPr>
              <w:t>3,8</w:t>
            </w:r>
          </w:p>
        </w:tc>
      </w:tr>
      <w:tr w:rsidR="00FD2DB5" w:rsidRPr="00F16B0C" w14:paraId="7DC1A2D2" w14:textId="77777777" w:rsidTr="00F16B0C">
        <w:trPr>
          <w:trHeight w:val="229"/>
        </w:trPr>
        <w:tc>
          <w:tcPr>
            <w:tcW w:w="2244" w:type="pct"/>
          </w:tcPr>
          <w:p w14:paraId="25F4CEE2" w14:textId="77777777" w:rsidR="00FD2DB5" w:rsidRPr="00F16B0C" w:rsidRDefault="00FD2DB5" w:rsidP="00F16B0C">
            <w:pPr>
              <w:widowControl w:val="0"/>
              <w:autoSpaceDE w:val="0"/>
              <w:autoSpaceDN w:val="0"/>
              <w:ind w:left="853"/>
              <w:jc w:val="both"/>
              <w:rPr>
                <w:sz w:val="20"/>
                <w:szCs w:val="22"/>
                <w:lang w:val="sr-Latn-ME"/>
              </w:rPr>
            </w:pPr>
            <w:r w:rsidRPr="00F16B0C">
              <w:rPr>
                <w:sz w:val="20"/>
                <w:szCs w:val="22"/>
                <w:lang w:val="sr-Latn-ME"/>
              </w:rPr>
              <w:t>95% CI</w:t>
            </w:r>
          </w:p>
        </w:tc>
        <w:tc>
          <w:tcPr>
            <w:tcW w:w="1410" w:type="pct"/>
          </w:tcPr>
          <w:p w14:paraId="3BB1827A" w14:textId="77777777" w:rsidR="00FD2DB5" w:rsidRPr="00F16B0C" w:rsidRDefault="00FD2DB5" w:rsidP="00F16B0C">
            <w:pPr>
              <w:widowControl w:val="0"/>
              <w:autoSpaceDE w:val="0"/>
              <w:autoSpaceDN w:val="0"/>
              <w:ind w:left="575"/>
              <w:jc w:val="both"/>
              <w:rPr>
                <w:sz w:val="20"/>
                <w:szCs w:val="22"/>
                <w:lang w:val="sr-Latn-ME"/>
              </w:rPr>
            </w:pPr>
            <w:r w:rsidRPr="00F16B0C">
              <w:rPr>
                <w:sz w:val="20"/>
                <w:szCs w:val="22"/>
                <w:lang w:val="sr-Latn-ME"/>
              </w:rPr>
              <w:t>(9,8, 22,6)</w:t>
            </w:r>
          </w:p>
        </w:tc>
        <w:tc>
          <w:tcPr>
            <w:tcW w:w="1346" w:type="pct"/>
          </w:tcPr>
          <w:p w14:paraId="23E75C03" w14:textId="77777777" w:rsidR="00FD2DB5" w:rsidRPr="00F16B0C" w:rsidRDefault="00FD2DB5" w:rsidP="00F16B0C">
            <w:pPr>
              <w:widowControl w:val="0"/>
              <w:autoSpaceDE w:val="0"/>
              <w:autoSpaceDN w:val="0"/>
              <w:ind w:left="603"/>
              <w:jc w:val="both"/>
              <w:rPr>
                <w:sz w:val="20"/>
                <w:szCs w:val="22"/>
                <w:lang w:val="sr-Latn-ME"/>
              </w:rPr>
            </w:pPr>
            <w:r w:rsidRPr="00F16B0C">
              <w:rPr>
                <w:sz w:val="20"/>
                <w:szCs w:val="22"/>
                <w:lang w:val="sr-Latn-ME"/>
              </w:rPr>
              <w:t>(1,2, 8,6)</w:t>
            </w:r>
          </w:p>
        </w:tc>
      </w:tr>
      <w:tr w:rsidR="00FD2DB5" w:rsidRPr="00F16B0C" w14:paraId="6AAC3C4D" w14:textId="77777777" w:rsidTr="00F16B0C">
        <w:trPr>
          <w:trHeight w:val="310"/>
        </w:trPr>
        <w:tc>
          <w:tcPr>
            <w:tcW w:w="2244" w:type="pct"/>
          </w:tcPr>
          <w:p w14:paraId="08905A4A" w14:textId="77777777" w:rsidR="00FD2DB5" w:rsidRPr="00F16B0C" w:rsidRDefault="00FD2DB5" w:rsidP="00F16B0C">
            <w:pPr>
              <w:widowControl w:val="0"/>
              <w:autoSpaceDE w:val="0"/>
              <w:autoSpaceDN w:val="0"/>
              <w:ind w:left="477"/>
              <w:jc w:val="both"/>
              <w:rPr>
                <w:sz w:val="20"/>
                <w:szCs w:val="22"/>
                <w:lang w:val="sr-Latn-ME"/>
              </w:rPr>
            </w:pPr>
            <w:r w:rsidRPr="00F16B0C">
              <w:rPr>
                <w:sz w:val="20"/>
                <w:szCs w:val="22"/>
                <w:lang w:val="sr-Latn-ME"/>
              </w:rPr>
              <w:t>P-vrednost</w:t>
            </w:r>
            <w:r w:rsidRPr="00F16B0C">
              <w:rPr>
                <w:sz w:val="20"/>
                <w:szCs w:val="22"/>
                <w:vertAlign w:val="superscript"/>
                <w:lang w:val="sr-Latn-ME"/>
              </w:rPr>
              <w:t>a</w:t>
            </w:r>
          </w:p>
        </w:tc>
        <w:tc>
          <w:tcPr>
            <w:tcW w:w="2756" w:type="pct"/>
            <w:gridSpan w:val="2"/>
          </w:tcPr>
          <w:p w14:paraId="24E47013" w14:textId="77777777" w:rsidR="00FD2DB5" w:rsidRPr="00F16B0C" w:rsidRDefault="00FD2DB5" w:rsidP="00F16B0C">
            <w:pPr>
              <w:widowControl w:val="0"/>
              <w:autoSpaceDE w:val="0"/>
              <w:autoSpaceDN w:val="0"/>
              <w:ind w:left="1925"/>
              <w:jc w:val="both"/>
              <w:rPr>
                <w:sz w:val="20"/>
                <w:szCs w:val="22"/>
                <w:lang w:val="sr-Latn-ME"/>
              </w:rPr>
            </w:pPr>
            <w:r w:rsidRPr="00F16B0C">
              <w:rPr>
                <w:sz w:val="20"/>
                <w:szCs w:val="22"/>
                <w:lang w:val="sr-Latn-ME"/>
              </w:rPr>
              <w:t>0,0008</w:t>
            </w:r>
          </w:p>
        </w:tc>
      </w:tr>
      <w:tr w:rsidR="00FD2DB5" w:rsidRPr="00F16B0C" w14:paraId="513BC985" w14:textId="77777777" w:rsidTr="00F16B0C">
        <w:trPr>
          <w:trHeight w:val="230"/>
        </w:trPr>
        <w:tc>
          <w:tcPr>
            <w:tcW w:w="2244" w:type="pct"/>
          </w:tcPr>
          <w:p w14:paraId="6C924709" w14:textId="77777777" w:rsidR="00FD2DB5" w:rsidRPr="00F16B0C" w:rsidRDefault="00FD2DB5" w:rsidP="00F16B0C">
            <w:pPr>
              <w:widowControl w:val="0"/>
              <w:autoSpaceDE w:val="0"/>
              <w:autoSpaceDN w:val="0"/>
              <w:ind w:left="182"/>
              <w:jc w:val="both"/>
              <w:rPr>
                <w:b/>
                <w:sz w:val="20"/>
                <w:szCs w:val="22"/>
                <w:lang w:val="sr-Latn-ME"/>
              </w:rPr>
            </w:pPr>
            <w:r w:rsidRPr="00F16B0C">
              <w:rPr>
                <w:b/>
                <w:bCs/>
                <w:sz w:val="20"/>
                <w:szCs w:val="22"/>
                <w:lang w:val="sr-Latn-ME"/>
              </w:rPr>
              <w:t>Unutrašnji organi</w:t>
            </w:r>
          </w:p>
        </w:tc>
        <w:tc>
          <w:tcPr>
            <w:tcW w:w="1410" w:type="pct"/>
          </w:tcPr>
          <w:p w14:paraId="42BC2825" w14:textId="77777777" w:rsidR="00FD2DB5" w:rsidRPr="00F16B0C" w:rsidRDefault="00FD2DB5" w:rsidP="00F16B0C">
            <w:pPr>
              <w:widowControl w:val="0"/>
              <w:autoSpaceDE w:val="0"/>
              <w:autoSpaceDN w:val="0"/>
              <w:ind w:left="576"/>
              <w:jc w:val="both"/>
              <w:rPr>
                <w:sz w:val="20"/>
                <w:szCs w:val="22"/>
                <w:lang w:val="sr-Latn-ME"/>
              </w:rPr>
            </w:pPr>
            <w:r w:rsidRPr="00F16B0C">
              <w:rPr>
                <w:sz w:val="20"/>
                <w:szCs w:val="22"/>
                <w:lang w:val="sr-Latn-ME"/>
              </w:rPr>
              <w:t>n = 6</w:t>
            </w:r>
          </w:p>
        </w:tc>
        <w:tc>
          <w:tcPr>
            <w:tcW w:w="1346" w:type="pct"/>
          </w:tcPr>
          <w:p w14:paraId="475CE14B" w14:textId="77777777" w:rsidR="00FD2DB5" w:rsidRPr="00F16B0C" w:rsidRDefault="00FD2DB5" w:rsidP="00F16B0C">
            <w:pPr>
              <w:widowControl w:val="0"/>
              <w:autoSpaceDE w:val="0"/>
              <w:autoSpaceDN w:val="0"/>
              <w:ind w:left="562"/>
              <w:jc w:val="both"/>
              <w:rPr>
                <w:sz w:val="20"/>
                <w:szCs w:val="22"/>
                <w:lang w:val="sr-Latn-ME"/>
              </w:rPr>
            </w:pPr>
            <w:r w:rsidRPr="00F16B0C">
              <w:rPr>
                <w:sz w:val="20"/>
                <w:szCs w:val="22"/>
                <w:lang w:val="sr-Latn-ME"/>
              </w:rPr>
              <w:t>n = 4</w:t>
            </w:r>
          </w:p>
        </w:tc>
      </w:tr>
      <w:tr w:rsidR="00FD2DB5" w:rsidRPr="00F16B0C" w14:paraId="7BAAAFA1" w14:textId="77777777" w:rsidTr="00F16B0C">
        <w:trPr>
          <w:trHeight w:val="230"/>
        </w:trPr>
        <w:tc>
          <w:tcPr>
            <w:tcW w:w="2244" w:type="pct"/>
          </w:tcPr>
          <w:p w14:paraId="7DAED3E5" w14:textId="77777777" w:rsidR="00FD2DB5" w:rsidRPr="00F16B0C" w:rsidRDefault="00FD2DB5" w:rsidP="00F16B0C">
            <w:pPr>
              <w:widowControl w:val="0"/>
              <w:autoSpaceDE w:val="0"/>
              <w:autoSpaceDN w:val="0"/>
              <w:jc w:val="both"/>
              <w:rPr>
                <w:sz w:val="20"/>
                <w:szCs w:val="22"/>
                <w:lang w:val="sr-Latn-ME"/>
              </w:rPr>
            </w:pPr>
            <w:r w:rsidRPr="00F16B0C">
              <w:rPr>
                <w:sz w:val="20"/>
                <w:szCs w:val="22"/>
                <w:lang w:val="sr-Latn-ME"/>
              </w:rPr>
              <w:t>Stopa ukupnog odgovora (potvrđen CR + PR, %)</w:t>
            </w:r>
          </w:p>
        </w:tc>
        <w:tc>
          <w:tcPr>
            <w:tcW w:w="1410" w:type="pct"/>
          </w:tcPr>
          <w:p w14:paraId="3703FD91" w14:textId="77777777" w:rsidR="00FD2DB5" w:rsidRPr="00F16B0C" w:rsidRDefault="00FD2DB5" w:rsidP="00F16B0C">
            <w:pPr>
              <w:widowControl w:val="0"/>
              <w:autoSpaceDE w:val="0"/>
              <w:autoSpaceDN w:val="0"/>
              <w:ind w:left="21"/>
              <w:jc w:val="both"/>
              <w:rPr>
                <w:sz w:val="20"/>
                <w:szCs w:val="22"/>
                <w:lang w:val="sr-Latn-ME"/>
              </w:rPr>
            </w:pPr>
            <w:r w:rsidRPr="00F16B0C">
              <w:rPr>
                <w:sz w:val="20"/>
                <w:szCs w:val="22"/>
                <w:lang w:val="sr-Latn-ME"/>
              </w:rPr>
              <w:t>0</w:t>
            </w:r>
          </w:p>
        </w:tc>
        <w:tc>
          <w:tcPr>
            <w:tcW w:w="1346" w:type="pct"/>
          </w:tcPr>
          <w:p w14:paraId="2F236371" w14:textId="77777777" w:rsidR="00FD2DB5" w:rsidRPr="00F16B0C" w:rsidRDefault="00FD2DB5" w:rsidP="00F16B0C">
            <w:pPr>
              <w:widowControl w:val="0"/>
              <w:autoSpaceDE w:val="0"/>
              <w:autoSpaceDN w:val="0"/>
              <w:ind w:left="31"/>
              <w:jc w:val="both"/>
              <w:rPr>
                <w:sz w:val="20"/>
                <w:szCs w:val="22"/>
                <w:lang w:val="sr-Latn-ME"/>
              </w:rPr>
            </w:pPr>
            <w:r w:rsidRPr="00F16B0C">
              <w:rPr>
                <w:sz w:val="20"/>
                <w:szCs w:val="22"/>
                <w:lang w:val="sr-Latn-ME"/>
              </w:rPr>
              <w:t>0</w:t>
            </w:r>
          </w:p>
        </w:tc>
      </w:tr>
      <w:tr w:rsidR="00FD2DB5" w:rsidRPr="00F16B0C" w14:paraId="685F8EA8" w14:textId="77777777" w:rsidTr="00F16B0C">
        <w:trPr>
          <w:trHeight w:val="229"/>
        </w:trPr>
        <w:tc>
          <w:tcPr>
            <w:tcW w:w="2244" w:type="pct"/>
          </w:tcPr>
          <w:p w14:paraId="5E209B90" w14:textId="77777777" w:rsidR="00FD2DB5" w:rsidRPr="00F16B0C" w:rsidRDefault="00FD2DB5" w:rsidP="00F16B0C">
            <w:pPr>
              <w:widowControl w:val="0"/>
              <w:autoSpaceDE w:val="0"/>
              <w:autoSpaceDN w:val="0"/>
              <w:ind w:left="853"/>
              <w:jc w:val="both"/>
              <w:rPr>
                <w:sz w:val="20"/>
                <w:szCs w:val="22"/>
                <w:lang w:val="sr-Latn-ME"/>
              </w:rPr>
            </w:pPr>
            <w:r w:rsidRPr="00F16B0C">
              <w:rPr>
                <w:sz w:val="20"/>
                <w:szCs w:val="22"/>
                <w:lang w:val="sr-Latn-ME"/>
              </w:rPr>
              <w:t>95% CI</w:t>
            </w:r>
          </w:p>
        </w:tc>
        <w:tc>
          <w:tcPr>
            <w:tcW w:w="1410" w:type="pct"/>
          </w:tcPr>
          <w:p w14:paraId="23FCC8B1" w14:textId="77777777" w:rsidR="00FD2DB5" w:rsidRPr="00F16B0C" w:rsidRDefault="00FD2DB5" w:rsidP="00F16B0C">
            <w:pPr>
              <w:widowControl w:val="0"/>
              <w:autoSpaceDE w:val="0"/>
              <w:autoSpaceDN w:val="0"/>
              <w:ind w:left="575"/>
              <w:jc w:val="both"/>
              <w:rPr>
                <w:sz w:val="20"/>
                <w:szCs w:val="22"/>
                <w:lang w:val="sr-Latn-ME"/>
              </w:rPr>
            </w:pPr>
            <w:r w:rsidRPr="00F16B0C">
              <w:rPr>
                <w:sz w:val="20"/>
                <w:szCs w:val="22"/>
                <w:lang w:val="sr-Latn-ME"/>
              </w:rPr>
              <w:t>(0,0, 45,9)</w:t>
            </w:r>
          </w:p>
        </w:tc>
        <w:tc>
          <w:tcPr>
            <w:tcW w:w="1346" w:type="pct"/>
          </w:tcPr>
          <w:p w14:paraId="33ABFEED" w14:textId="77777777" w:rsidR="00FD2DB5" w:rsidRPr="00F16B0C" w:rsidRDefault="00FD2DB5" w:rsidP="00F16B0C">
            <w:pPr>
              <w:widowControl w:val="0"/>
              <w:autoSpaceDE w:val="0"/>
              <w:autoSpaceDN w:val="0"/>
              <w:ind w:left="603"/>
              <w:jc w:val="both"/>
              <w:rPr>
                <w:sz w:val="20"/>
                <w:szCs w:val="22"/>
                <w:lang w:val="sr-Latn-ME"/>
              </w:rPr>
            </w:pPr>
            <w:r w:rsidRPr="00F16B0C">
              <w:rPr>
                <w:sz w:val="20"/>
                <w:szCs w:val="22"/>
                <w:lang w:val="sr-Latn-ME"/>
              </w:rPr>
              <w:t>(0,0, 60,2)</w:t>
            </w:r>
          </w:p>
        </w:tc>
      </w:tr>
    </w:tbl>
    <w:p w14:paraId="34F0A497" w14:textId="77777777" w:rsidR="00FD2DB5" w:rsidRPr="00F16B0C" w:rsidRDefault="00FD2DB5" w:rsidP="00F16B0C">
      <w:pPr>
        <w:widowControl w:val="0"/>
        <w:autoSpaceDE w:val="0"/>
        <w:autoSpaceDN w:val="0"/>
        <w:ind w:left="198"/>
        <w:jc w:val="both"/>
        <w:rPr>
          <w:sz w:val="18"/>
          <w:szCs w:val="22"/>
          <w:lang w:val="sr-Latn-ME"/>
        </w:rPr>
      </w:pPr>
      <w:r w:rsidRPr="00F16B0C">
        <w:rPr>
          <w:sz w:val="18"/>
          <w:szCs w:val="22"/>
          <w:lang w:val="sr-Latn-ME"/>
        </w:rPr>
        <w:t>Napomena: Stopa ukupnog odnosa zasniva se na skoru Globalnog kompozitnog odgovora.</w:t>
      </w:r>
    </w:p>
    <w:p w14:paraId="0EE6FB5E" w14:textId="77777777" w:rsidR="00FD2DB5" w:rsidRPr="00F16B0C" w:rsidRDefault="00FD2DB5" w:rsidP="00F16B0C">
      <w:pPr>
        <w:widowControl w:val="0"/>
        <w:autoSpaceDE w:val="0"/>
        <w:autoSpaceDN w:val="0"/>
        <w:ind w:left="198" w:hanging="1"/>
        <w:jc w:val="both"/>
        <w:rPr>
          <w:sz w:val="18"/>
          <w:szCs w:val="22"/>
          <w:lang w:val="sr-Latn-ME"/>
        </w:rPr>
      </w:pPr>
      <w:r w:rsidRPr="00F16B0C">
        <w:rPr>
          <w:sz w:val="12"/>
          <w:szCs w:val="22"/>
          <w:lang w:val="sr-Latn-ME"/>
        </w:rPr>
        <w:t>a</w:t>
      </w:r>
      <w:r w:rsidRPr="00F16B0C">
        <w:rPr>
          <w:sz w:val="18"/>
          <w:szCs w:val="22"/>
          <w:lang w:val="sr-Latn-ME"/>
        </w:rPr>
        <w:t>: P-vr</w:t>
      </w:r>
      <w:r w:rsidR="00111807" w:rsidRPr="00F16B0C">
        <w:rPr>
          <w:sz w:val="18"/>
          <w:szCs w:val="22"/>
          <w:lang w:val="sr-Latn-ME"/>
        </w:rPr>
        <w:t>ij</w:t>
      </w:r>
      <w:r w:rsidRPr="00F16B0C">
        <w:rPr>
          <w:sz w:val="18"/>
          <w:szCs w:val="22"/>
          <w:lang w:val="sr-Latn-ME"/>
        </w:rPr>
        <w:t>ednost dobijena je iz testa Cochran-Mantel-Haenszel prilagođeno prema vrsti bolesti, fazi bolesti i regionu. CI = interval pouzdanosti; CR = potpuni odgovor; PR = d</w:t>
      </w:r>
      <w:r w:rsidR="001F1DBB" w:rsidRPr="00F16B0C">
        <w:rPr>
          <w:sz w:val="18"/>
          <w:szCs w:val="22"/>
          <w:lang w:val="sr-Latn-ME"/>
        </w:rPr>
        <w:t>j</w:t>
      </w:r>
      <w:r w:rsidRPr="00F16B0C">
        <w:rPr>
          <w:sz w:val="18"/>
          <w:szCs w:val="22"/>
          <w:lang w:val="sr-Latn-ME"/>
        </w:rPr>
        <w:t>elimičan odgovor</w:t>
      </w:r>
    </w:p>
    <w:p w14:paraId="4E45F5B4" w14:textId="77777777" w:rsidR="00FD2DB5" w:rsidRPr="00F16B0C" w:rsidRDefault="00FD2DB5" w:rsidP="00F16B0C">
      <w:pPr>
        <w:widowControl w:val="0"/>
        <w:autoSpaceDE w:val="0"/>
        <w:autoSpaceDN w:val="0"/>
        <w:jc w:val="both"/>
        <w:rPr>
          <w:szCs w:val="22"/>
          <w:lang w:val="sr-Latn-ME"/>
        </w:rPr>
      </w:pPr>
    </w:p>
    <w:p w14:paraId="6CEFC8D7" w14:textId="77777777" w:rsidR="00FD2DB5" w:rsidRPr="00F16B0C" w:rsidRDefault="00FD2DB5" w:rsidP="00F16B0C">
      <w:pPr>
        <w:widowControl w:val="0"/>
        <w:autoSpaceDE w:val="0"/>
        <w:autoSpaceDN w:val="0"/>
        <w:jc w:val="both"/>
        <w:rPr>
          <w:sz w:val="22"/>
          <w:szCs w:val="22"/>
          <w:lang w:val="sr-Latn-ME"/>
        </w:rPr>
      </w:pPr>
      <w:r w:rsidRPr="00F16B0C">
        <w:rPr>
          <w:sz w:val="22"/>
          <w:szCs w:val="22"/>
          <w:lang w:val="sr-Latn-ME"/>
        </w:rPr>
        <w:t>Liječenje mogamulizumabom dovelo je do 8 potvrđenih potpunih odgovora (kompletno čisti svi zahvaćeni odjeljci) u poređenju sa 0 pacijenata na vorinostatu: 4 od tih 8 pacijenata bila su inicijalno randomizovana u grupu koja je primala mogamulizumab i 4 su prešla u grupu koja je primala mogamulizumab tokom studije. Četrdeset i jedan od 136 pacijenata koji su zamenili terapiju (30,1%) odgovorilo je d</w:t>
      </w:r>
      <w:r w:rsidR="001F1DBB" w:rsidRPr="00F16B0C">
        <w:rPr>
          <w:sz w:val="22"/>
          <w:szCs w:val="22"/>
          <w:lang w:val="sr-Latn-ME"/>
        </w:rPr>
        <w:t>j</w:t>
      </w:r>
      <w:r w:rsidRPr="00F16B0C">
        <w:rPr>
          <w:sz w:val="22"/>
          <w:szCs w:val="22"/>
          <w:lang w:val="sr-Latn-ME"/>
        </w:rPr>
        <w:t>elimičnim ili potpunim odgovorom na mogamulizumab.</w:t>
      </w:r>
    </w:p>
    <w:p w14:paraId="45F8C0C3" w14:textId="77777777" w:rsidR="00FD2DB5" w:rsidRPr="00F16B0C" w:rsidRDefault="00FD2DB5" w:rsidP="00F16B0C">
      <w:pPr>
        <w:widowControl w:val="0"/>
        <w:autoSpaceDE w:val="0"/>
        <w:autoSpaceDN w:val="0"/>
        <w:jc w:val="both"/>
        <w:rPr>
          <w:sz w:val="22"/>
          <w:szCs w:val="22"/>
          <w:lang w:val="sr-Latn-ME"/>
        </w:rPr>
      </w:pPr>
    </w:p>
    <w:p w14:paraId="7307DEF7" w14:textId="77777777" w:rsidR="00FD2DB5" w:rsidRPr="00F16B0C" w:rsidRDefault="00FD2DB5" w:rsidP="00F16B0C">
      <w:pPr>
        <w:widowControl w:val="0"/>
        <w:autoSpaceDE w:val="0"/>
        <w:autoSpaceDN w:val="0"/>
        <w:jc w:val="both"/>
        <w:rPr>
          <w:sz w:val="22"/>
          <w:szCs w:val="22"/>
          <w:lang w:val="sr-Latn-ME"/>
        </w:rPr>
      </w:pPr>
      <w:r w:rsidRPr="00F16B0C">
        <w:rPr>
          <w:sz w:val="22"/>
          <w:szCs w:val="22"/>
          <w:lang w:val="sr-Latn-ME"/>
        </w:rPr>
        <w:t>Postoje ograničeni podaci o d</w:t>
      </w:r>
      <w:r w:rsidR="00111807" w:rsidRPr="00F16B0C">
        <w:rPr>
          <w:sz w:val="22"/>
          <w:szCs w:val="22"/>
          <w:lang w:val="sr-Latn-ME"/>
        </w:rPr>
        <w:t>j</w:t>
      </w:r>
      <w:r w:rsidRPr="00F16B0C">
        <w:rPr>
          <w:sz w:val="22"/>
          <w:szCs w:val="22"/>
          <w:lang w:val="sr-Latn-ME"/>
        </w:rPr>
        <w:t xml:space="preserve">elotvornosti kod pacijenata sa niskom (&lt; 10%) CCR4 ekspresijom u koži. U </w:t>
      </w:r>
      <w:r w:rsidR="001F1DBB" w:rsidRPr="00F16B0C">
        <w:rPr>
          <w:sz w:val="22"/>
          <w:szCs w:val="22"/>
          <w:lang w:val="sr-Latn-ME"/>
        </w:rPr>
        <w:t>kliničkoj s</w:t>
      </w:r>
      <w:r w:rsidRPr="00F16B0C">
        <w:rPr>
          <w:sz w:val="22"/>
          <w:szCs w:val="22"/>
          <w:lang w:val="sr-Latn-ME"/>
        </w:rPr>
        <w:t>tudiji 0761-010 bilo je 10/290 pacijenata sa CCR4 ekspresijom &lt; 10% koji su mogli biti procijenjeni, a od kojih je 6 bilo randomizovano u grupu koja je primala mogamulizumab i 4 u grupu koja je primala vorinostat, a nakon toga prešlo u grupu koja je primala mogamulizumab. U navedenih 10 ispitanika sa niskom (&lt; 10%) CCR4 ekspresijom ni</w:t>
      </w:r>
      <w:r w:rsidR="001F1DBB" w:rsidRPr="00F16B0C">
        <w:rPr>
          <w:sz w:val="22"/>
          <w:szCs w:val="22"/>
          <w:lang w:val="sr-Latn-ME"/>
        </w:rPr>
        <w:t>je</w:t>
      </w:r>
      <w:r w:rsidRPr="00F16B0C">
        <w:rPr>
          <w:sz w:val="22"/>
          <w:szCs w:val="22"/>
          <w:lang w:val="sr-Latn-ME"/>
        </w:rPr>
        <w:t>su zabilježeni potvrđeni odgovori. Odgovori po odjeljku zabilježeni su kod 3 od 10 proc</w:t>
      </w:r>
      <w:r w:rsidR="001F1DBB" w:rsidRPr="00F16B0C">
        <w:rPr>
          <w:sz w:val="22"/>
          <w:szCs w:val="22"/>
          <w:lang w:val="sr-Latn-ME"/>
        </w:rPr>
        <w:t>ij</w:t>
      </w:r>
      <w:r w:rsidRPr="00F16B0C">
        <w:rPr>
          <w:sz w:val="22"/>
          <w:szCs w:val="22"/>
          <w:lang w:val="sr-Latn-ME"/>
        </w:rPr>
        <w:t>enjivih ispitanika liječenih mogamulizumabom u fazi randomizacije ili fazi prelaska na drugu terapiju.</w:t>
      </w:r>
    </w:p>
    <w:p w14:paraId="100199AD" w14:textId="77777777" w:rsidR="00FD2DB5" w:rsidRPr="00F16B0C" w:rsidRDefault="00FD2DB5" w:rsidP="00F16B0C">
      <w:pPr>
        <w:widowControl w:val="0"/>
        <w:autoSpaceDE w:val="0"/>
        <w:autoSpaceDN w:val="0"/>
        <w:jc w:val="both"/>
        <w:rPr>
          <w:sz w:val="22"/>
          <w:szCs w:val="22"/>
          <w:lang w:val="sr-Latn-ME"/>
        </w:rPr>
      </w:pPr>
    </w:p>
    <w:p w14:paraId="287143B6" w14:textId="77777777" w:rsidR="00FD2DB5" w:rsidRPr="00F16B0C" w:rsidRDefault="00FD2DB5" w:rsidP="00F16B0C">
      <w:pPr>
        <w:widowControl w:val="0"/>
        <w:autoSpaceDE w:val="0"/>
        <w:autoSpaceDN w:val="0"/>
        <w:jc w:val="both"/>
        <w:rPr>
          <w:sz w:val="22"/>
          <w:szCs w:val="22"/>
          <w:lang w:val="sr-Latn-ME"/>
        </w:rPr>
      </w:pPr>
      <w:r w:rsidRPr="00F16B0C">
        <w:rPr>
          <w:sz w:val="22"/>
          <w:szCs w:val="22"/>
          <w:lang w:val="sr-Latn-ME"/>
        </w:rPr>
        <w:t>Pacijenti sa bolešću u stadijumu IB/II liječeni mogamulizumabom imali su potvrđenu ukupnu stopu odgovora od 17,6% u poređenju sa 8,3% za vorinostat i stope odgovora na nivou odeljka (krv, koža, limfni čvorovi) koje su bile više od onih kod pacijenata l</w:t>
      </w:r>
      <w:r w:rsidR="001F1DBB" w:rsidRPr="00F16B0C">
        <w:rPr>
          <w:sz w:val="22"/>
          <w:szCs w:val="22"/>
          <w:lang w:val="sr-Latn-ME"/>
        </w:rPr>
        <w:t>ij</w:t>
      </w:r>
      <w:r w:rsidRPr="00F16B0C">
        <w:rPr>
          <w:sz w:val="22"/>
          <w:szCs w:val="22"/>
          <w:lang w:val="sr-Latn-ME"/>
        </w:rPr>
        <w:t>ečenih vorinostatom (tabela 3). Medijana preživljavanja bez progresije bolesti kod ispitanika u stadijumu IB/II l</w:t>
      </w:r>
      <w:r w:rsidR="00111807" w:rsidRPr="00F16B0C">
        <w:rPr>
          <w:sz w:val="22"/>
          <w:szCs w:val="22"/>
          <w:lang w:val="sr-Latn-ME"/>
        </w:rPr>
        <w:t>ij</w:t>
      </w:r>
      <w:r w:rsidRPr="00F16B0C">
        <w:rPr>
          <w:sz w:val="22"/>
          <w:szCs w:val="22"/>
          <w:lang w:val="sr-Latn-ME"/>
        </w:rPr>
        <w:t>ečenih mogamulizumabom je iznosila 4,7 m</w:t>
      </w:r>
      <w:r w:rsidR="00111807" w:rsidRPr="00F16B0C">
        <w:rPr>
          <w:sz w:val="22"/>
          <w:szCs w:val="22"/>
          <w:lang w:val="sr-Latn-ME"/>
        </w:rPr>
        <w:t>j</w:t>
      </w:r>
      <w:r w:rsidRPr="00F16B0C">
        <w:rPr>
          <w:sz w:val="22"/>
          <w:szCs w:val="22"/>
          <w:lang w:val="sr-Latn-ME"/>
        </w:rPr>
        <w:t>eseci u poređenju sa 3,9 m</w:t>
      </w:r>
      <w:r w:rsidR="00111807" w:rsidRPr="00F16B0C">
        <w:rPr>
          <w:sz w:val="22"/>
          <w:szCs w:val="22"/>
          <w:lang w:val="sr-Latn-ME"/>
        </w:rPr>
        <w:t>j</w:t>
      </w:r>
      <w:r w:rsidRPr="00F16B0C">
        <w:rPr>
          <w:sz w:val="22"/>
          <w:szCs w:val="22"/>
          <w:lang w:val="sr-Latn-ME"/>
        </w:rPr>
        <w:t>eseci kod pacijenata l</w:t>
      </w:r>
      <w:r w:rsidR="00111807" w:rsidRPr="00F16B0C">
        <w:rPr>
          <w:sz w:val="22"/>
          <w:szCs w:val="22"/>
          <w:lang w:val="sr-Latn-ME"/>
        </w:rPr>
        <w:t>ij</w:t>
      </w:r>
      <w:r w:rsidRPr="00F16B0C">
        <w:rPr>
          <w:sz w:val="22"/>
          <w:szCs w:val="22"/>
          <w:lang w:val="sr-Latn-ME"/>
        </w:rPr>
        <w:t>ečenih vorinostatom (tabela 4). Kod pacijenata sa bolešću u stadijumu IB/II, s obzirom na ograničen broj ispitanika sa odgovorom i nezrelost podataka, ne može se doneti zaključak o trajanju odgovora.</w:t>
      </w:r>
    </w:p>
    <w:p w14:paraId="1C3F69FF" w14:textId="77777777" w:rsidR="00FD2DB5" w:rsidRPr="00F16B0C" w:rsidRDefault="00FD2DB5" w:rsidP="00F16B0C">
      <w:pPr>
        <w:widowControl w:val="0"/>
        <w:autoSpaceDE w:val="0"/>
        <w:autoSpaceDN w:val="0"/>
        <w:jc w:val="both"/>
        <w:rPr>
          <w:sz w:val="22"/>
          <w:szCs w:val="22"/>
          <w:lang w:val="sr-Latn-ME"/>
        </w:rPr>
      </w:pPr>
    </w:p>
    <w:p w14:paraId="47D21D0D" w14:textId="77777777" w:rsidR="00FD2DB5" w:rsidRPr="00F16B0C" w:rsidRDefault="00FD2DB5" w:rsidP="00F16B0C">
      <w:pPr>
        <w:widowControl w:val="0"/>
        <w:autoSpaceDE w:val="0"/>
        <w:autoSpaceDN w:val="0"/>
        <w:jc w:val="both"/>
        <w:rPr>
          <w:sz w:val="22"/>
          <w:szCs w:val="22"/>
          <w:lang w:val="sr-Latn-ME"/>
        </w:rPr>
      </w:pPr>
      <w:r w:rsidRPr="00F16B0C">
        <w:rPr>
          <w:sz w:val="22"/>
          <w:szCs w:val="22"/>
          <w:lang w:val="sr-Latn-ME"/>
        </w:rPr>
        <w:t>Vrijeme do odgovora na nivou odjeljka kod pacijenata u stadijumu IB/II bilo je približno 3 mjeseca, što je u skladu sa vremenom do odgovora za ukupnu ITT populaciju (približno 3 mjeseca). Ako se odgovor na nivou odjeljka ili ukupan odgovor ne zab</w:t>
      </w:r>
      <w:r w:rsidR="009A24B9" w:rsidRPr="00F16B0C">
        <w:rPr>
          <w:sz w:val="22"/>
          <w:szCs w:val="22"/>
          <w:lang w:val="sr-Latn-ME"/>
        </w:rPr>
        <w:t>ilj</w:t>
      </w:r>
      <w:r w:rsidRPr="00F16B0C">
        <w:rPr>
          <w:sz w:val="22"/>
          <w:szCs w:val="22"/>
          <w:lang w:val="sr-Latn-ME"/>
        </w:rPr>
        <w:t>eži nakon 3 mjeseca liječenja, potrebno je razmotriti prekid liječenja.</w:t>
      </w:r>
    </w:p>
    <w:p w14:paraId="62B14527" w14:textId="77777777" w:rsidR="00FD2DB5" w:rsidRPr="00F16B0C" w:rsidRDefault="00FD2DB5" w:rsidP="00F16B0C">
      <w:pPr>
        <w:widowControl w:val="0"/>
        <w:autoSpaceDE w:val="0"/>
        <w:autoSpaceDN w:val="0"/>
        <w:jc w:val="both"/>
        <w:rPr>
          <w:sz w:val="22"/>
          <w:szCs w:val="22"/>
          <w:lang w:val="sr-Latn-ME"/>
        </w:rPr>
      </w:pPr>
    </w:p>
    <w:p w14:paraId="45B6C34F" w14:textId="77777777" w:rsidR="00FD2DB5" w:rsidRPr="00F16B0C" w:rsidRDefault="00FD2DB5" w:rsidP="00F16B0C">
      <w:pPr>
        <w:widowControl w:val="0"/>
        <w:autoSpaceDE w:val="0"/>
        <w:autoSpaceDN w:val="0"/>
        <w:ind w:left="198"/>
        <w:jc w:val="both"/>
        <w:outlineLvl w:val="0"/>
        <w:rPr>
          <w:b/>
          <w:bCs/>
          <w:sz w:val="22"/>
          <w:szCs w:val="22"/>
          <w:lang w:val="sr-Latn-ME"/>
        </w:rPr>
      </w:pPr>
      <w:r w:rsidRPr="00F16B0C">
        <w:rPr>
          <w:b/>
          <w:bCs/>
          <w:sz w:val="22"/>
          <w:szCs w:val="22"/>
          <w:lang w:val="sr-Latn-ME"/>
        </w:rPr>
        <w:t>Tabela 3: Ukupna stopa odgovora i stopa odgovora po odjeljku u ranim stadijumima bolesti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48"/>
        <w:gridCol w:w="1856"/>
        <w:gridCol w:w="1642"/>
        <w:gridCol w:w="2117"/>
      </w:tblGrid>
      <w:tr w:rsidR="00FD2DB5" w:rsidRPr="00F16B0C" w14:paraId="4DB9017B" w14:textId="77777777" w:rsidTr="00F16B0C">
        <w:trPr>
          <w:trHeight w:val="230"/>
        </w:trPr>
        <w:tc>
          <w:tcPr>
            <w:tcW w:w="1902" w:type="pct"/>
          </w:tcPr>
          <w:p w14:paraId="0F6F74E2" w14:textId="77777777" w:rsidR="00FD2DB5" w:rsidRPr="00F16B0C" w:rsidRDefault="00FD2DB5" w:rsidP="00F16B0C">
            <w:pPr>
              <w:widowControl w:val="0"/>
              <w:autoSpaceDE w:val="0"/>
              <w:autoSpaceDN w:val="0"/>
              <w:jc w:val="both"/>
              <w:rPr>
                <w:sz w:val="16"/>
                <w:szCs w:val="22"/>
                <w:lang w:val="sr-Latn-ME"/>
              </w:rPr>
            </w:pPr>
          </w:p>
        </w:tc>
        <w:tc>
          <w:tcPr>
            <w:tcW w:w="1024" w:type="pct"/>
          </w:tcPr>
          <w:p w14:paraId="41E3CB02" w14:textId="77777777" w:rsidR="00FD2DB5" w:rsidRPr="00F16B0C" w:rsidRDefault="00FD2DB5" w:rsidP="00F16B0C">
            <w:pPr>
              <w:widowControl w:val="0"/>
              <w:autoSpaceDE w:val="0"/>
              <w:autoSpaceDN w:val="0"/>
              <w:ind w:left="237"/>
              <w:jc w:val="both"/>
              <w:rPr>
                <w:b/>
                <w:sz w:val="20"/>
                <w:szCs w:val="22"/>
                <w:lang w:val="sr-Latn-ME"/>
              </w:rPr>
            </w:pPr>
            <w:r w:rsidRPr="00F16B0C">
              <w:rPr>
                <w:b/>
                <w:bCs/>
                <w:sz w:val="20"/>
                <w:szCs w:val="22"/>
                <w:lang w:val="sr-Latn-ME"/>
              </w:rPr>
              <w:t>Mogamulizumab</w:t>
            </w:r>
          </w:p>
        </w:tc>
        <w:tc>
          <w:tcPr>
            <w:tcW w:w="906" w:type="pct"/>
          </w:tcPr>
          <w:p w14:paraId="5AEFDB73" w14:textId="77777777" w:rsidR="00FD2DB5" w:rsidRPr="00F16B0C" w:rsidRDefault="00FD2DB5" w:rsidP="00F16B0C">
            <w:pPr>
              <w:widowControl w:val="0"/>
              <w:autoSpaceDE w:val="0"/>
              <w:autoSpaceDN w:val="0"/>
              <w:ind w:left="224"/>
              <w:jc w:val="both"/>
              <w:rPr>
                <w:b/>
                <w:sz w:val="20"/>
                <w:szCs w:val="22"/>
                <w:lang w:val="sr-Latn-ME"/>
              </w:rPr>
            </w:pPr>
            <w:r w:rsidRPr="00F16B0C">
              <w:rPr>
                <w:b/>
                <w:bCs/>
                <w:sz w:val="20"/>
                <w:szCs w:val="22"/>
                <w:lang w:val="sr-Latn-ME"/>
              </w:rPr>
              <w:t>Vorinostat</w:t>
            </w:r>
          </w:p>
        </w:tc>
        <w:tc>
          <w:tcPr>
            <w:tcW w:w="1168" w:type="pct"/>
          </w:tcPr>
          <w:p w14:paraId="3EC2AECF" w14:textId="77777777" w:rsidR="00FD2DB5" w:rsidRPr="00F16B0C" w:rsidRDefault="00FD2DB5" w:rsidP="00F16B0C">
            <w:pPr>
              <w:widowControl w:val="0"/>
              <w:autoSpaceDE w:val="0"/>
              <w:autoSpaceDN w:val="0"/>
              <w:ind w:left="305"/>
              <w:jc w:val="both"/>
              <w:rPr>
                <w:b/>
                <w:sz w:val="20"/>
                <w:szCs w:val="22"/>
                <w:lang w:val="sr-Latn-ME"/>
              </w:rPr>
            </w:pPr>
            <w:r w:rsidRPr="00F16B0C">
              <w:rPr>
                <w:b/>
                <w:bCs/>
                <w:sz w:val="20"/>
                <w:szCs w:val="22"/>
                <w:lang w:val="sr-Latn-ME"/>
              </w:rPr>
              <w:t>Razlika u riziku (M prema V)</w:t>
            </w:r>
          </w:p>
        </w:tc>
      </w:tr>
      <w:tr w:rsidR="00FD2DB5" w:rsidRPr="00F16B0C" w14:paraId="43B4708D" w14:textId="77777777" w:rsidTr="00F16B0C">
        <w:trPr>
          <w:trHeight w:val="230"/>
        </w:trPr>
        <w:tc>
          <w:tcPr>
            <w:tcW w:w="1902" w:type="pct"/>
          </w:tcPr>
          <w:p w14:paraId="4D7AB40F" w14:textId="77777777" w:rsidR="00FD2DB5" w:rsidRPr="00F16B0C" w:rsidRDefault="00FD2DB5" w:rsidP="00F16B0C">
            <w:pPr>
              <w:widowControl w:val="0"/>
              <w:autoSpaceDE w:val="0"/>
              <w:autoSpaceDN w:val="0"/>
              <w:ind w:left="107"/>
              <w:jc w:val="both"/>
              <w:rPr>
                <w:b/>
                <w:sz w:val="20"/>
                <w:szCs w:val="22"/>
                <w:lang w:val="sr-Latn-ME"/>
              </w:rPr>
            </w:pPr>
            <w:r w:rsidRPr="00F16B0C">
              <w:rPr>
                <w:b/>
                <w:bCs/>
                <w:sz w:val="20"/>
                <w:szCs w:val="22"/>
                <w:lang w:val="sr-Latn-ME"/>
              </w:rPr>
              <w:t>Stadijum bolesti IB/II</w:t>
            </w:r>
          </w:p>
        </w:tc>
        <w:tc>
          <w:tcPr>
            <w:tcW w:w="1024" w:type="pct"/>
          </w:tcPr>
          <w:p w14:paraId="775A7E42" w14:textId="77777777" w:rsidR="00FD2DB5" w:rsidRPr="00F16B0C" w:rsidRDefault="00FD2DB5" w:rsidP="00F16B0C">
            <w:pPr>
              <w:widowControl w:val="0"/>
              <w:autoSpaceDE w:val="0"/>
              <w:autoSpaceDN w:val="0"/>
              <w:ind w:left="237"/>
              <w:jc w:val="both"/>
              <w:rPr>
                <w:b/>
                <w:sz w:val="20"/>
                <w:szCs w:val="22"/>
                <w:lang w:val="sr-Latn-ME"/>
              </w:rPr>
            </w:pPr>
            <w:r w:rsidRPr="00F16B0C">
              <w:rPr>
                <w:b/>
                <w:bCs/>
                <w:sz w:val="20"/>
                <w:szCs w:val="22"/>
                <w:lang w:val="sr-Latn-ME"/>
              </w:rPr>
              <w:t>N = 68</w:t>
            </w:r>
          </w:p>
        </w:tc>
        <w:tc>
          <w:tcPr>
            <w:tcW w:w="906" w:type="pct"/>
          </w:tcPr>
          <w:p w14:paraId="65AAAFDF" w14:textId="77777777" w:rsidR="00FD2DB5" w:rsidRPr="00F16B0C" w:rsidRDefault="00FD2DB5" w:rsidP="00F16B0C">
            <w:pPr>
              <w:widowControl w:val="0"/>
              <w:autoSpaceDE w:val="0"/>
              <w:autoSpaceDN w:val="0"/>
              <w:ind w:left="222"/>
              <w:jc w:val="both"/>
              <w:rPr>
                <w:b/>
                <w:sz w:val="20"/>
                <w:szCs w:val="22"/>
                <w:lang w:val="sr-Latn-ME"/>
              </w:rPr>
            </w:pPr>
            <w:r w:rsidRPr="00F16B0C">
              <w:rPr>
                <w:b/>
                <w:bCs/>
                <w:sz w:val="20"/>
                <w:szCs w:val="22"/>
                <w:lang w:val="sr-Latn-ME"/>
              </w:rPr>
              <w:t>N = 72</w:t>
            </w:r>
          </w:p>
        </w:tc>
        <w:tc>
          <w:tcPr>
            <w:tcW w:w="1168" w:type="pct"/>
          </w:tcPr>
          <w:p w14:paraId="6029EEA1" w14:textId="77777777" w:rsidR="00FD2DB5" w:rsidRPr="00F16B0C" w:rsidRDefault="00FD2DB5" w:rsidP="00F16B0C">
            <w:pPr>
              <w:widowControl w:val="0"/>
              <w:autoSpaceDE w:val="0"/>
              <w:autoSpaceDN w:val="0"/>
              <w:jc w:val="both"/>
              <w:rPr>
                <w:sz w:val="16"/>
                <w:szCs w:val="22"/>
                <w:lang w:val="sr-Latn-ME"/>
              </w:rPr>
            </w:pPr>
          </w:p>
        </w:tc>
      </w:tr>
      <w:tr w:rsidR="00FD2DB5" w:rsidRPr="00F16B0C" w14:paraId="14334B5D" w14:textId="77777777" w:rsidTr="00F16B0C">
        <w:trPr>
          <w:trHeight w:val="229"/>
        </w:trPr>
        <w:tc>
          <w:tcPr>
            <w:tcW w:w="1902" w:type="pct"/>
          </w:tcPr>
          <w:p w14:paraId="7C4EB7CC" w14:textId="77777777" w:rsidR="00FD2DB5" w:rsidRPr="00F16B0C" w:rsidRDefault="00FD2DB5" w:rsidP="00F16B0C">
            <w:pPr>
              <w:widowControl w:val="0"/>
              <w:autoSpaceDE w:val="0"/>
              <w:autoSpaceDN w:val="0"/>
              <w:ind w:left="107"/>
              <w:jc w:val="both"/>
              <w:rPr>
                <w:b/>
                <w:sz w:val="20"/>
                <w:szCs w:val="22"/>
                <w:lang w:val="sr-Latn-ME"/>
              </w:rPr>
            </w:pPr>
            <w:r w:rsidRPr="00F16B0C">
              <w:rPr>
                <w:b/>
                <w:bCs/>
                <w:sz w:val="20"/>
                <w:szCs w:val="22"/>
                <w:lang w:val="sr-Latn-ME"/>
              </w:rPr>
              <w:t>Stopa ukupnog odgovora (ORR), n (%)</w:t>
            </w:r>
          </w:p>
        </w:tc>
        <w:tc>
          <w:tcPr>
            <w:tcW w:w="1024" w:type="pct"/>
          </w:tcPr>
          <w:p w14:paraId="72EE007F" w14:textId="77777777" w:rsidR="00FD2DB5" w:rsidRPr="00F16B0C" w:rsidRDefault="00FD2DB5" w:rsidP="00F16B0C">
            <w:pPr>
              <w:widowControl w:val="0"/>
              <w:autoSpaceDE w:val="0"/>
              <w:autoSpaceDN w:val="0"/>
              <w:ind w:left="237"/>
              <w:jc w:val="both"/>
              <w:rPr>
                <w:sz w:val="20"/>
                <w:szCs w:val="22"/>
                <w:lang w:val="sr-Latn-ME"/>
              </w:rPr>
            </w:pPr>
            <w:r w:rsidRPr="00F16B0C">
              <w:rPr>
                <w:sz w:val="20"/>
                <w:szCs w:val="22"/>
                <w:lang w:val="sr-Latn-ME"/>
              </w:rPr>
              <w:t>12 (17,6)</w:t>
            </w:r>
          </w:p>
        </w:tc>
        <w:tc>
          <w:tcPr>
            <w:tcW w:w="906" w:type="pct"/>
          </w:tcPr>
          <w:p w14:paraId="2F95FDDA" w14:textId="77777777" w:rsidR="00FD2DB5" w:rsidRPr="00F16B0C" w:rsidRDefault="00FD2DB5" w:rsidP="00F16B0C">
            <w:pPr>
              <w:widowControl w:val="0"/>
              <w:autoSpaceDE w:val="0"/>
              <w:autoSpaceDN w:val="0"/>
              <w:ind w:left="223"/>
              <w:jc w:val="both"/>
              <w:rPr>
                <w:sz w:val="20"/>
                <w:szCs w:val="22"/>
                <w:lang w:val="sr-Latn-ME"/>
              </w:rPr>
            </w:pPr>
            <w:r w:rsidRPr="00F16B0C">
              <w:rPr>
                <w:sz w:val="20"/>
                <w:szCs w:val="22"/>
                <w:lang w:val="sr-Latn-ME"/>
              </w:rPr>
              <w:t>6 (8,3)</w:t>
            </w:r>
          </w:p>
        </w:tc>
        <w:tc>
          <w:tcPr>
            <w:tcW w:w="1168" w:type="pct"/>
          </w:tcPr>
          <w:p w14:paraId="28385576" w14:textId="77777777" w:rsidR="00FD2DB5" w:rsidRPr="00F16B0C" w:rsidRDefault="00FD2DB5" w:rsidP="00F16B0C">
            <w:pPr>
              <w:widowControl w:val="0"/>
              <w:autoSpaceDE w:val="0"/>
              <w:autoSpaceDN w:val="0"/>
              <w:ind w:left="305"/>
              <w:jc w:val="both"/>
              <w:rPr>
                <w:sz w:val="20"/>
                <w:szCs w:val="22"/>
                <w:lang w:val="sr-Latn-ME"/>
              </w:rPr>
            </w:pPr>
            <w:r w:rsidRPr="00F16B0C">
              <w:rPr>
                <w:sz w:val="20"/>
                <w:szCs w:val="22"/>
                <w:lang w:val="sr-Latn-ME"/>
              </w:rPr>
              <w:t>9,3</w:t>
            </w:r>
          </w:p>
        </w:tc>
      </w:tr>
      <w:tr w:rsidR="00FD2DB5" w:rsidRPr="00F16B0C" w14:paraId="16D3E477" w14:textId="77777777" w:rsidTr="00F16B0C">
        <w:trPr>
          <w:trHeight w:val="230"/>
        </w:trPr>
        <w:tc>
          <w:tcPr>
            <w:tcW w:w="1902" w:type="pct"/>
          </w:tcPr>
          <w:p w14:paraId="0EDEEACE" w14:textId="77777777" w:rsidR="00FD2DB5" w:rsidRPr="00F16B0C" w:rsidRDefault="00FD2DB5" w:rsidP="00F16B0C">
            <w:pPr>
              <w:widowControl w:val="0"/>
              <w:autoSpaceDE w:val="0"/>
              <w:autoSpaceDN w:val="0"/>
              <w:ind w:left="107"/>
              <w:jc w:val="both"/>
              <w:rPr>
                <w:b/>
                <w:sz w:val="20"/>
                <w:szCs w:val="22"/>
                <w:lang w:val="sr-Latn-ME"/>
              </w:rPr>
            </w:pPr>
            <w:r w:rsidRPr="00F16B0C">
              <w:rPr>
                <w:b/>
                <w:bCs/>
                <w:sz w:val="20"/>
                <w:szCs w:val="22"/>
                <w:lang w:val="sr-Latn-ME"/>
              </w:rPr>
              <w:lastRenderedPageBreak/>
              <w:t>Odeljak:</w:t>
            </w:r>
          </w:p>
        </w:tc>
        <w:tc>
          <w:tcPr>
            <w:tcW w:w="1024" w:type="pct"/>
          </w:tcPr>
          <w:p w14:paraId="18E2A745" w14:textId="77777777" w:rsidR="00FD2DB5" w:rsidRPr="00F16B0C" w:rsidRDefault="00FD2DB5" w:rsidP="00F16B0C">
            <w:pPr>
              <w:widowControl w:val="0"/>
              <w:autoSpaceDE w:val="0"/>
              <w:autoSpaceDN w:val="0"/>
              <w:jc w:val="both"/>
              <w:rPr>
                <w:sz w:val="16"/>
                <w:szCs w:val="22"/>
                <w:lang w:val="sr-Latn-ME"/>
              </w:rPr>
            </w:pPr>
          </w:p>
        </w:tc>
        <w:tc>
          <w:tcPr>
            <w:tcW w:w="906" w:type="pct"/>
          </w:tcPr>
          <w:p w14:paraId="4A37D204" w14:textId="77777777" w:rsidR="00FD2DB5" w:rsidRPr="00F16B0C" w:rsidRDefault="00FD2DB5" w:rsidP="00F16B0C">
            <w:pPr>
              <w:widowControl w:val="0"/>
              <w:autoSpaceDE w:val="0"/>
              <w:autoSpaceDN w:val="0"/>
              <w:jc w:val="both"/>
              <w:rPr>
                <w:sz w:val="16"/>
                <w:szCs w:val="22"/>
                <w:lang w:val="sr-Latn-ME"/>
              </w:rPr>
            </w:pPr>
          </w:p>
        </w:tc>
        <w:tc>
          <w:tcPr>
            <w:tcW w:w="1168" w:type="pct"/>
          </w:tcPr>
          <w:p w14:paraId="5A80B606" w14:textId="77777777" w:rsidR="00FD2DB5" w:rsidRPr="00F16B0C" w:rsidRDefault="00FD2DB5" w:rsidP="00F16B0C">
            <w:pPr>
              <w:widowControl w:val="0"/>
              <w:autoSpaceDE w:val="0"/>
              <w:autoSpaceDN w:val="0"/>
              <w:jc w:val="both"/>
              <w:rPr>
                <w:sz w:val="16"/>
                <w:szCs w:val="22"/>
                <w:lang w:val="sr-Latn-ME"/>
              </w:rPr>
            </w:pPr>
          </w:p>
        </w:tc>
      </w:tr>
      <w:tr w:rsidR="00FD2DB5" w:rsidRPr="00F16B0C" w14:paraId="15526555" w14:textId="77777777" w:rsidTr="00F16B0C">
        <w:trPr>
          <w:trHeight w:val="233"/>
        </w:trPr>
        <w:tc>
          <w:tcPr>
            <w:tcW w:w="1902" w:type="pct"/>
            <w:tcBorders>
              <w:bottom w:val="nil"/>
            </w:tcBorders>
          </w:tcPr>
          <w:p w14:paraId="59F06C5D" w14:textId="77777777" w:rsidR="00FD2DB5" w:rsidRPr="00F16B0C" w:rsidRDefault="00FD2DB5" w:rsidP="00F16B0C">
            <w:pPr>
              <w:widowControl w:val="0"/>
              <w:autoSpaceDE w:val="0"/>
              <w:autoSpaceDN w:val="0"/>
              <w:ind w:left="107"/>
              <w:jc w:val="both"/>
              <w:rPr>
                <w:sz w:val="20"/>
                <w:szCs w:val="22"/>
                <w:lang w:val="sr-Latn-ME"/>
              </w:rPr>
            </w:pPr>
            <w:r w:rsidRPr="00F16B0C">
              <w:rPr>
                <w:b/>
                <w:bCs/>
                <w:sz w:val="20"/>
                <w:szCs w:val="22"/>
                <w:lang w:val="sr-Latn-ME"/>
              </w:rPr>
              <w:t xml:space="preserve">Krv </w:t>
            </w:r>
            <w:r w:rsidRPr="00F16B0C">
              <w:rPr>
                <w:sz w:val="20"/>
                <w:szCs w:val="22"/>
                <w:lang w:val="sr-Latn-ME"/>
              </w:rPr>
              <w:t>(n)</w:t>
            </w:r>
          </w:p>
        </w:tc>
        <w:tc>
          <w:tcPr>
            <w:tcW w:w="1024" w:type="pct"/>
            <w:tcBorders>
              <w:bottom w:val="nil"/>
            </w:tcBorders>
          </w:tcPr>
          <w:p w14:paraId="777A2265" w14:textId="77777777" w:rsidR="00FD2DB5" w:rsidRPr="00F16B0C" w:rsidRDefault="00FD2DB5" w:rsidP="00F16B0C">
            <w:pPr>
              <w:widowControl w:val="0"/>
              <w:autoSpaceDE w:val="0"/>
              <w:autoSpaceDN w:val="0"/>
              <w:ind w:left="237"/>
              <w:jc w:val="both"/>
              <w:rPr>
                <w:sz w:val="20"/>
                <w:szCs w:val="22"/>
                <w:lang w:val="sr-Latn-ME"/>
              </w:rPr>
            </w:pPr>
            <w:r w:rsidRPr="00F16B0C">
              <w:rPr>
                <w:sz w:val="20"/>
                <w:szCs w:val="22"/>
                <w:lang w:val="sr-Latn-ME"/>
              </w:rPr>
              <w:t>17</w:t>
            </w:r>
          </w:p>
        </w:tc>
        <w:tc>
          <w:tcPr>
            <w:tcW w:w="906" w:type="pct"/>
            <w:tcBorders>
              <w:bottom w:val="nil"/>
            </w:tcBorders>
          </w:tcPr>
          <w:p w14:paraId="23866B23" w14:textId="77777777" w:rsidR="00FD2DB5" w:rsidRPr="00F16B0C" w:rsidRDefault="00FD2DB5" w:rsidP="00F16B0C">
            <w:pPr>
              <w:widowControl w:val="0"/>
              <w:autoSpaceDE w:val="0"/>
              <w:autoSpaceDN w:val="0"/>
              <w:ind w:left="224"/>
              <w:jc w:val="both"/>
              <w:rPr>
                <w:sz w:val="20"/>
                <w:szCs w:val="22"/>
                <w:lang w:val="sr-Latn-ME"/>
              </w:rPr>
            </w:pPr>
            <w:r w:rsidRPr="00F16B0C">
              <w:rPr>
                <w:sz w:val="20"/>
                <w:szCs w:val="22"/>
                <w:lang w:val="sr-Latn-ME"/>
              </w:rPr>
              <w:t>23</w:t>
            </w:r>
          </w:p>
        </w:tc>
        <w:tc>
          <w:tcPr>
            <w:tcW w:w="1168" w:type="pct"/>
            <w:tcBorders>
              <w:bottom w:val="nil"/>
            </w:tcBorders>
          </w:tcPr>
          <w:p w14:paraId="76C8EDA9" w14:textId="77777777" w:rsidR="00FD2DB5" w:rsidRPr="00F16B0C" w:rsidRDefault="00FD2DB5" w:rsidP="00F16B0C">
            <w:pPr>
              <w:widowControl w:val="0"/>
              <w:autoSpaceDE w:val="0"/>
              <w:autoSpaceDN w:val="0"/>
              <w:jc w:val="both"/>
              <w:rPr>
                <w:sz w:val="16"/>
                <w:szCs w:val="22"/>
                <w:lang w:val="sr-Latn-ME"/>
              </w:rPr>
            </w:pPr>
          </w:p>
        </w:tc>
      </w:tr>
      <w:tr w:rsidR="00FD2DB5" w:rsidRPr="00F16B0C" w14:paraId="69EB2F76" w14:textId="77777777" w:rsidTr="00F16B0C">
        <w:trPr>
          <w:trHeight w:val="226"/>
        </w:trPr>
        <w:tc>
          <w:tcPr>
            <w:tcW w:w="1902" w:type="pct"/>
            <w:tcBorders>
              <w:top w:val="nil"/>
              <w:bottom w:val="nil"/>
            </w:tcBorders>
          </w:tcPr>
          <w:p w14:paraId="150627F4" w14:textId="77777777" w:rsidR="00FD2DB5" w:rsidRPr="00F16B0C" w:rsidRDefault="00FD2DB5" w:rsidP="00F16B0C">
            <w:pPr>
              <w:widowControl w:val="0"/>
              <w:autoSpaceDE w:val="0"/>
              <w:autoSpaceDN w:val="0"/>
              <w:ind w:left="827"/>
              <w:jc w:val="both"/>
              <w:rPr>
                <w:sz w:val="20"/>
                <w:szCs w:val="22"/>
                <w:lang w:val="sr-Latn-ME"/>
              </w:rPr>
            </w:pPr>
            <w:r w:rsidRPr="00F16B0C">
              <w:rPr>
                <w:sz w:val="20"/>
                <w:szCs w:val="22"/>
                <w:lang w:val="sr-Latn-ME"/>
              </w:rPr>
              <w:t>Stopa odgovora (n, %)</w:t>
            </w:r>
          </w:p>
        </w:tc>
        <w:tc>
          <w:tcPr>
            <w:tcW w:w="1024" w:type="pct"/>
            <w:tcBorders>
              <w:top w:val="nil"/>
              <w:bottom w:val="nil"/>
            </w:tcBorders>
          </w:tcPr>
          <w:p w14:paraId="2837665A" w14:textId="77777777" w:rsidR="00FD2DB5" w:rsidRPr="00F16B0C" w:rsidRDefault="00FD2DB5" w:rsidP="00F16B0C">
            <w:pPr>
              <w:widowControl w:val="0"/>
              <w:autoSpaceDE w:val="0"/>
              <w:autoSpaceDN w:val="0"/>
              <w:ind w:left="237"/>
              <w:jc w:val="both"/>
              <w:rPr>
                <w:sz w:val="20"/>
                <w:szCs w:val="22"/>
                <w:lang w:val="sr-Latn-ME"/>
              </w:rPr>
            </w:pPr>
            <w:r w:rsidRPr="00F16B0C">
              <w:rPr>
                <w:sz w:val="20"/>
                <w:szCs w:val="22"/>
                <w:lang w:val="sr-Latn-ME"/>
              </w:rPr>
              <w:t>8 (47,1)</w:t>
            </w:r>
          </w:p>
        </w:tc>
        <w:tc>
          <w:tcPr>
            <w:tcW w:w="906" w:type="pct"/>
            <w:tcBorders>
              <w:top w:val="nil"/>
              <w:bottom w:val="nil"/>
            </w:tcBorders>
          </w:tcPr>
          <w:p w14:paraId="705E52B3" w14:textId="77777777" w:rsidR="00FD2DB5" w:rsidRPr="00F16B0C" w:rsidRDefault="00FD2DB5" w:rsidP="00F16B0C">
            <w:pPr>
              <w:widowControl w:val="0"/>
              <w:autoSpaceDE w:val="0"/>
              <w:autoSpaceDN w:val="0"/>
              <w:ind w:left="224"/>
              <w:jc w:val="both"/>
              <w:rPr>
                <w:sz w:val="20"/>
                <w:szCs w:val="22"/>
                <w:lang w:val="sr-Latn-ME"/>
              </w:rPr>
            </w:pPr>
            <w:r w:rsidRPr="00F16B0C">
              <w:rPr>
                <w:sz w:val="20"/>
                <w:szCs w:val="22"/>
                <w:lang w:val="sr-Latn-ME"/>
              </w:rPr>
              <w:t>4 (17,4)</w:t>
            </w:r>
          </w:p>
        </w:tc>
        <w:tc>
          <w:tcPr>
            <w:tcW w:w="1168" w:type="pct"/>
            <w:tcBorders>
              <w:top w:val="nil"/>
              <w:bottom w:val="nil"/>
            </w:tcBorders>
          </w:tcPr>
          <w:p w14:paraId="6D978C38" w14:textId="77777777" w:rsidR="00FD2DB5" w:rsidRPr="00F16B0C" w:rsidRDefault="00FD2DB5" w:rsidP="00F16B0C">
            <w:pPr>
              <w:widowControl w:val="0"/>
              <w:autoSpaceDE w:val="0"/>
              <w:autoSpaceDN w:val="0"/>
              <w:ind w:left="305"/>
              <w:jc w:val="both"/>
              <w:rPr>
                <w:sz w:val="20"/>
                <w:szCs w:val="22"/>
                <w:lang w:val="sr-Latn-ME"/>
              </w:rPr>
            </w:pPr>
            <w:r w:rsidRPr="00F16B0C">
              <w:rPr>
                <w:sz w:val="20"/>
                <w:szCs w:val="22"/>
                <w:lang w:val="sr-Latn-ME"/>
              </w:rPr>
              <w:t>29,7</w:t>
            </w:r>
          </w:p>
        </w:tc>
      </w:tr>
      <w:tr w:rsidR="00FD2DB5" w:rsidRPr="00F16B0C" w14:paraId="02CF9B40" w14:textId="77777777" w:rsidTr="00F16B0C">
        <w:trPr>
          <w:trHeight w:val="229"/>
        </w:trPr>
        <w:tc>
          <w:tcPr>
            <w:tcW w:w="1902" w:type="pct"/>
            <w:tcBorders>
              <w:top w:val="nil"/>
            </w:tcBorders>
          </w:tcPr>
          <w:p w14:paraId="7E88AA17" w14:textId="77777777" w:rsidR="00FD2DB5" w:rsidRPr="00F16B0C" w:rsidRDefault="00FD2DB5" w:rsidP="00F16B0C">
            <w:pPr>
              <w:widowControl w:val="0"/>
              <w:autoSpaceDE w:val="0"/>
              <w:autoSpaceDN w:val="0"/>
              <w:ind w:left="1528"/>
              <w:jc w:val="both"/>
              <w:rPr>
                <w:sz w:val="20"/>
                <w:szCs w:val="22"/>
                <w:lang w:val="sr-Latn-ME"/>
              </w:rPr>
            </w:pPr>
            <w:r w:rsidRPr="00F16B0C">
              <w:rPr>
                <w:sz w:val="20"/>
                <w:szCs w:val="22"/>
                <w:lang w:val="sr-Latn-ME"/>
              </w:rPr>
              <w:t>95% CI</w:t>
            </w:r>
            <w:r w:rsidRPr="00F16B0C">
              <w:rPr>
                <w:sz w:val="20"/>
                <w:szCs w:val="22"/>
                <w:vertAlign w:val="superscript"/>
                <w:lang w:val="sr-Latn-ME"/>
              </w:rPr>
              <w:t>a</w:t>
            </w:r>
          </w:p>
        </w:tc>
        <w:tc>
          <w:tcPr>
            <w:tcW w:w="1024" w:type="pct"/>
            <w:tcBorders>
              <w:top w:val="nil"/>
            </w:tcBorders>
          </w:tcPr>
          <w:p w14:paraId="5BF22798" w14:textId="77777777" w:rsidR="00FD2DB5" w:rsidRPr="00F16B0C" w:rsidRDefault="00FD2DB5" w:rsidP="00F16B0C">
            <w:pPr>
              <w:widowControl w:val="0"/>
              <w:autoSpaceDE w:val="0"/>
              <w:autoSpaceDN w:val="0"/>
              <w:ind w:left="237"/>
              <w:jc w:val="both"/>
              <w:rPr>
                <w:sz w:val="20"/>
                <w:szCs w:val="22"/>
                <w:lang w:val="sr-Latn-ME"/>
              </w:rPr>
            </w:pPr>
            <w:r w:rsidRPr="00F16B0C">
              <w:rPr>
                <w:sz w:val="20"/>
                <w:szCs w:val="22"/>
                <w:lang w:val="sr-Latn-ME"/>
              </w:rPr>
              <w:t>(23,0, 72,2)</w:t>
            </w:r>
          </w:p>
        </w:tc>
        <w:tc>
          <w:tcPr>
            <w:tcW w:w="906" w:type="pct"/>
            <w:tcBorders>
              <w:top w:val="nil"/>
            </w:tcBorders>
          </w:tcPr>
          <w:p w14:paraId="73E5DA24" w14:textId="77777777" w:rsidR="00FD2DB5" w:rsidRPr="00F16B0C" w:rsidRDefault="00FD2DB5" w:rsidP="00F16B0C">
            <w:pPr>
              <w:widowControl w:val="0"/>
              <w:autoSpaceDE w:val="0"/>
              <w:autoSpaceDN w:val="0"/>
              <w:ind w:left="223"/>
              <w:jc w:val="both"/>
              <w:rPr>
                <w:sz w:val="20"/>
                <w:szCs w:val="22"/>
                <w:lang w:val="sr-Latn-ME"/>
              </w:rPr>
            </w:pPr>
            <w:r w:rsidRPr="00F16B0C">
              <w:rPr>
                <w:sz w:val="20"/>
                <w:szCs w:val="22"/>
                <w:lang w:val="sr-Latn-ME"/>
              </w:rPr>
              <w:t>(5,0, 38,8)</w:t>
            </w:r>
          </w:p>
        </w:tc>
        <w:tc>
          <w:tcPr>
            <w:tcW w:w="1168" w:type="pct"/>
            <w:tcBorders>
              <w:top w:val="nil"/>
            </w:tcBorders>
          </w:tcPr>
          <w:p w14:paraId="53EE94CF" w14:textId="77777777" w:rsidR="00FD2DB5" w:rsidRPr="00F16B0C" w:rsidRDefault="00FD2DB5" w:rsidP="00F16B0C">
            <w:pPr>
              <w:widowControl w:val="0"/>
              <w:autoSpaceDE w:val="0"/>
              <w:autoSpaceDN w:val="0"/>
              <w:ind w:left="305"/>
              <w:jc w:val="both"/>
              <w:rPr>
                <w:sz w:val="20"/>
                <w:szCs w:val="22"/>
                <w:lang w:val="sr-Latn-ME"/>
              </w:rPr>
            </w:pPr>
            <w:r w:rsidRPr="00F16B0C">
              <w:rPr>
                <w:sz w:val="20"/>
                <w:szCs w:val="22"/>
                <w:lang w:val="sr-Latn-ME"/>
              </w:rPr>
              <w:t>(-2,2, 57,1)</w:t>
            </w:r>
          </w:p>
        </w:tc>
      </w:tr>
      <w:tr w:rsidR="00FD2DB5" w:rsidRPr="00F16B0C" w14:paraId="23030B6E" w14:textId="77777777" w:rsidTr="00F16B0C">
        <w:trPr>
          <w:trHeight w:val="234"/>
        </w:trPr>
        <w:tc>
          <w:tcPr>
            <w:tcW w:w="1902" w:type="pct"/>
            <w:tcBorders>
              <w:bottom w:val="nil"/>
            </w:tcBorders>
          </w:tcPr>
          <w:p w14:paraId="718395C0" w14:textId="77777777" w:rsidR="00FD2DB5" w:rsidRPr="00F16B0C" w:rsidRDefault="00FD2DB5" w:rsidP="00F16B0C">
            <w:pPr>
              <w:widowControl w:val="0"/>
              <w:autoSpaceDE w:val="0"/>
              <w:autoSpaceDN w:val="0"/>
              <w:ind w:left="107"/>
              <w:jc w:val="both"/>
              <w:rPr>
                <w:sz w:val="20"/>
                <w:szCs w:val="22"/>
                <w:lang w:val="sr-Latn-ME"/>
              </w:rPr>
            </w:pPr>
            <w:r w:rsidRPr="00F16B0C">
              <w:rPr>
                <w:b/>
                <w:bCs/>
                <w:sz w:val="20"/>
                <w:szCs w:val="22"/>
                <w:lang w:val="sr-Latn-ME"/>
              </w:rPr>
              <w:t>Koža</w:t>
            </w:r>
            <w:r w:rsidRPr="00F16B0C">
              <w:rPr>
                <w:sz w:val="20"/>
                <w:szCs w:val="22"/>
                <w:lang w:val="sr-Latn-ME"/>
              </w:rPr>
              <w:t xml:space="preserve"> (n)</w:t>
            </w:r>
          </w:p>
        </w:tc>
        <w:tc>
          <w:tcPr>
            <w:tcW w:w="1024" w:type="pct"/>
            <w:tcBorders>
              <w:bottom w:val="nil"/>
            </w:tcBorders>
          </w:tcPr>
          <w:p w14:paraId="6014ED19" w14:textId="77777777" w:rsidR="00FD2DB5" w:rsidRPr="00F16B0C" w:rsidRDefault="00FD2DB5" w:rsidP="00F16B0C">
            <w:pPr>
              <w:widowControl w:val="0"/>
              <w:autoSpaceDE w:val="0"/>
              <w:autoSpaceDN w:val="0"/>
              <w:ind w:left="237"/>
              <w:jc w:val="both"/>
              <w:rPr>
                <w:sz w:val="20"/>
                <w:szCs w:val="22"/>
                <w:lang w:val="sr-Latn-ME"/>
              </w:rPr>
            </w:pPr>
            <w:r w:rsidRPr="00F16B0C">
              <w:rPr>
                <w:sz w:val="20"/>
                <w:szCs w:val="22"/>
                <w:lang w:val="sr-Latn-ME"/>
              </w:rPr>
              <w:t>68</w:t>
            </w:r>
          </w:p>
        </w:tc>
        <w:tc>
          <w:tcPr>
            <w:tcW w:w="906" w:type="pct"/>
            <w:tcBorders>
              <w:bottom w:val="nil"/>
            </w:tcBorders>
          </w:tcPr>
          <w:p w14:paraId="1DD8BCB7" w14:textId="77777777" w:rsidR="00FD2DB5" w:rsidRPr="00F16B0C" w:rsidRDefault="00FD2DB5" w:rsidP="00F16B0C">
            <w:pPr>
              <w:widowControl w:val="0"/>
              <w:autoSpaceDE w:val="0"/>
              <w:autoSpaceDN w:val="0"/>
              <w:ind w:left="224"/>
              <w:jc w:val="both"/>
              <w:rPr>
                <w:sz w:val="20"/>
                <w:szCs w:val="22"/>
                <w:lang w:val="sr-Latn-ME"/>
              </w:rPr>
            </w:pPr>
            <w:r w:rsidRPr="00F16B0C">
              <w:rPr>
                <w:sz w:val="20"/>
                <w:szCs w:val="22"/>
                <w:lang w:val="sr-Latn-ME"/>
              </w:rPr>
              <w:t>72</w:t>
            </w:r>
          </w:p>
        </w:tc>
        <w:tc>
          <w:tcPr>
            <w:tcW w:w="1168" w:type="pct"/>
            <w:tcBorders>
              <w:bottom w:val="nil"/>
            </w:tcBorders>
          </w:tcPr>
          <w:p w14:paraId="1ECC69C9" w14:textId="77777777" w:rsidR="00FD2DB5" w:rsidRPr="00F16B0C" w:rsidRDefault="00FD2DB5" w:rsidP="00F16B0C">
            <w:pPr>
              <w:widowControl w:val="0"/>
              <w:autoSpaceDE w:val="0"/>
              <w:autoSpaceDN w:val="0"/>
              <w:jc w:val="both"/>
              <w:rPr>
                <w:sz w:val="16"/>
                <w:szCs w:val="22"/>
                <w:lang w:val="sr-Latn-ME"/>
              </w:rPr>
            </w:pPr>
          </w:p>
        </w:tc>
      </w:tr>
      <w:tr w:rsidR="00FD2DB5" w:rsidRPr="00F16B0C" w14:paraId="266FDEB2" w14:textId="77777777" w:rsidTr="00F16B0C">
        <w:trPr>
          <w:trHeight w:val="226"/>
        </w:trPr>
        <w:tc>
          <w:tcPr>
            <w:tcW w:w="1902" w:type="pct"/>
            <w:tcBorders>
              <w:top w:val="nil"/>
              <w:bottom w:val="nil"/>
            </w:tcBorders>
          </w:tcPr>
          <w:p w14:paraId="46DA3268" w14:textId="77777777" w:rsidR="00FD2DB5" w:rsidRPr="00F16B0C" w:rsidRDefault="00FD2DB5" w:rsidP="00F16B0C">
            <w:pPr>
              <w:widowControl w:val="0"/>
              <w:autoSpaceDE w:val="0"/>
              <w:autoSpaceDN w:val="0"/>
              <w:ind w:left="827"/>
              <w:jc w:val="both"/>
              <w:rPr>
                <w:sz w:val="20"/>
                <w:szCs w:val="22"/>
                <w:lang w:val="sr-Latn-ME"/>
              </w:rPr>
            </w:pPr>
            <w:r w:rsidRPr="00F16B0C">
              <w:rPr>
                <w:sz w:val="20"/>
                <w:szCs w:val="22"/>
                <w:lang w:val="sr-Latn-ME"/>
              </w:rPr>
              <w:t>Stopa odgovora (n, %)</w:t>
            </w:r>
          </w:p>
        </w:tc>
        <w:tc>
          <w:tcPr>
            <w:tcW w:w="1024" w:type="pct"/>
            <w:tcBorders>
              <w:top w:val="nil"/>
              <w:bottom w:val="nil"/>
            </w:tcBorders>
          </w:tcPr>
          <w:p w14:paraId="3BCCA981" w14:textId="77777777" w:rsidR="00FD2DB5" w:rsidRPr="00F16B0C" w:rsidRDefault="00FD2DB5" w:rsidP="00F16B0C">
            <w:pPr>
              <w:widowControl w:val="0"/>
              <w:autoSpaceDE w:val="0"/>
              <w:autoSpaceDN w:val="0"/>
              <w:ind w:left="237"/>
              <w:jc w:val="both"/>
              <w:rPr>
                <w:sz w:val="20"/>
                <w:szCs w:val="22"/>
                <w:lang w:val="sr-Latn-ME"/>
              </w:rPr>
            </w:pPr>
            <w:r w:rsidRPr="00F16B0C">
              <w:rPr>
                <w:sz w:val="20"/>
                <w:szCs w:val="22"/>
                <w:lang w:val="sr-Latn-ME"/>
              </w:rPr>
              <w:t>19 (27,9)</w:t>
            </w:r>
          </w:p>
        </w:tc>
        <w:tc>
          <w:tcPr>
            <w:tcW w:w="906" w:type="pct"/>
            <w:tcBorders>
              <w:top w:val="nil"/>
              <w:bottom w:val="nil"/>
            </w:tcBorders>
          </w:tcPr>
          <w:p w14:paraId="358F9F04" w14:textId="77777777" w:rsidR="00FD2DB5" w:rsidRPr="00F16B0C" w:rsidRDefault="00FD2DB5" w:rsidP="00F16B0C">
            <w:pPr>
              <w:widowControl w:val="0"/>
              <w:autoSpaceDE w:val="0"/>
              <w:autoSpaceDN w:val="0"/>
              <w:ind w:left="224"/>
              <w:jc w:val="both"/>
              <w:rPr>
                <w:sz w:val="20"/>
                <w:szCs w:val="22"/>
                <w:lang w:val="sr-Latn-ME"/>
              </w:rPr>
            </w:pPr>
            <w:r w:rsidRPr="00F16B0C">
              <w:rPr>
                <w:sz w:val="20"/>
                <w:szCs w:val="22"/>
                <w:lang w:val="sr-Latn-ME"/>
              </w:rPr>
              <w:t>14 (19,4)</w:t>
            </w:r>
          </w:p>
        </w:tc>
        <w:tc>
          <w:tcPr>
            <w:tcW w:w="1168" w:type="pct"/>
            <w:tcBorders>
              <w:top w:val="nil"/>
              <w:bottom w:val="nil"/>
            </w:tcBorders>
          </w:tcPr>
          <w:p w14:paraId="61D43E88" w14:textId="77777777" w:rsidR="00FD2DB5" w:rsidRPr="00F16B0C" w:rsidRDefault="00FD2DB5" w:rsidP="00F16B0C">
            <w:pPr>
              <w:widowControl w:val="0"/>
              <w:autoSpaceDE w:val="0"/>
              <w:autoSpaceDN w:val="0"/>
              <w:ind w:left="305"/>
              <w:jc w:val="both"/>
              <w:rPr>
                <w:sz w:val="20"/>
                <w:szCs w:val="22"/>
                <w:lang w:val="sr-Latn-ME"/>
              </w:rPr>
            </w:pPr>
            <w:r w:rsidRPr="00F16B0C">
              <w:rPr>
                <w:sz w:val="20"/>
                <w:szCs w:val="22"/>
                <w:lang w:val="sr-Latn-ME"/>
              </w:rPr>
              <w:t>8,5</w:t>
            </w:r>
          </w:p>
        </w:tc>
      </w:tr>
      <w:tr w:rsidR="00FD2DB5" w:rsidRPr="00F16B0C" w14:paraId="018AD690" w14:textId="77777777" w:rsidTr="00F16B0C">
        <w:trPr>
          <w:trHeight w:val="228"/>
        </w:trPr>
        <w:tc>
          <w:tcPr>
            <w:tcW w:w="1902" w:type="pct"/>
            <w:tcBorders>
              <w:top w:val="nil"/>
            </w:tcBorders>
          </w:tcPr>
          <w:p w14:paraId="2CBF0CBC" w14:textId="77777777" w:rsidR="00FD2DB5" w:rsidRPr="00F16B0C" w:rsidRDefault="00FD2DB5" w:rsidP="00F16B0C">
            <w:pPr>
              <w:widowControl w:val="0"/>
              <w:autoSpaceDE w:val="0"/>
              <w:autoSpaceDN w:val="0"/>
              <w:ind w:left="1528"/>
              <w:jc w:val="both"/>
              <w:rPr>
                <w:sz w:val="20"/>
                <w:szCs w:val="22"/>
                <w:lang w:val="sr-Latn-ME"/>
              </w:rPr>
            </w:pPr>
            <w:r w:rsidRPr="00F16B0C">
              <w:rPr>
                <w:sz w:val="20"/>
                <w:szCs w:val="22"/>
                <w:lang w:val="sr-Latn-ME"/>
              </w:rPr>
              <w:t>95% CI</w:t>
            </w:r>
            <w:r w:rsidRPr="00F16B0C">
              <w:rPr>
                <w:sz w:val="20"/>
                <w:szCs w:val="22"/>
                <w:vertAlign w:val="superscript"/>
                <w:lang w:val="sr-Latn-ME"/>
              </w:rPr>
              <w:t>a</w:t>
            </w:r>
          </w:p>
        </w:tc>
        <w:tc>
          <w:tcPr>
            <w:tcW w:w="1024" w:type="pct"/>
            <w:tcBorders>
              <w:top w:val="nil"/>
            </w:tcBorders>
          </w:tcPr>
          <w:p w14:paraId="3858595F" w14:textId="77777777" w:rsidR="00FD2DB5" w:rsidRPr="00F16B0C" w:rsidRDefault="00FD2DB5" w:rsidP="00F16B0C">
            <w:pPr>
              <w:widowControl w:val="0"/>
              <w:autoSpaceDE w:val="0"/>
              <w:autoSpaceDN w:val="0"/>
              <w:ind w:left="237"/>
              <w:jc w:val="both"/>
              <w:rPr>
                <w:sz w:val="20"/>
                <w:szCs w:val="22"/>
                <w:lang w:val="sr-Latn-ME"/>
              </w:rPr>
            </w:pPr>
            <w:r w:rsidRPr="00F16B0C">
              <w:rPr>
                <w:sz w:val="20"/>
                <w:szCs w:val="22"/>
                <w:lang w:val="sr-Latn-ME"/>
              </w:rPr>
              <w:t>(17,7, 40,1)</w:t>
            </w:r>
          </w:p>
        </w:tc>
        <w:tc>
          <w:tcPr>
            <w:tcW w:w="906" w:type="pct"/>
            <w:tcBorders>
              <w:top w:val="nil"/>
            </w:tcBorders>
          </w:tcPr>
          <w:p w14:paraId="30695985" w14:textId="77777777" w:rsidR="00FD2DB5" w:rsidRPr="00F16B0C" w:rsidRDefault="00FD2DB5" w:rsidP="00F16B0C">
            <w:pPr>
              <w:widowControl w:val="0"/>
              <w:autoSpaceDE w:val="0"/>
              <w:autoSpaceDN w:val="0"/>
              <w:ind w:left="224"/>
              <w:jc w:val="both"/>
              <w:rPr>
                <w:sz w:val="20"/>
                <w:szCs w:val="22"/>
                <w:lang w:val="sr-Latn-ME"/>
              </w:rPr>
            </w:pPr>
            <w:r w:rsidRPr="00F16B0C">
              <w:rPr>
                <w:sz w:val="20"/>
                <w:szCs w:val="22"/>
                <w:lang w:val="sr-Latn-ME"/>
              </w:rPr>
              <w:t>(11,1, 38,8)</w:t>
            </w:r>
          </w:p>
        </w:tc>
        <w:tc>
          <w:tcPr>
            <w:tcW w:w="1168" w:type="pct"/>
            <w:tcBorders>
              <w:top w:val="nil"/>
            </w:tcBorders>
          </w:tcPr>
          <w:p w14:paraId="549C0C25" w14:textId="77777777" w:rsidR="00FD2DB5" w:rsidRPr="00F16B0C" w:rsidRDefault="00FD2DB5" w:rsidP="00F16B0C">
            <w:pPr>
              <w:widowControl w:val="0"/>
              <w:autoSpaceDE w:val="0"/>
              <w:autoSpaceDN w:val="0"/>
              <w:ind w:left="305"/>
              <w:jc w:val="both"/>
              <w:rPr>
                <w:sz w:val="20"/>
                <w:szCs w:val="22"/>
                <w:lang w:val="sr-Latn-ME"/>
              </w:rPr>
            </w:pPr>
            <w:r w:rsidRPr="00F16B0C">
              <w:rPr>
                <w:sz w:val="20"/>
                <w:szCs w:val="22"/>
                <w:lang w:val="sr-Latn-ME"/>
              </w:rPr>
              <w:t>(-8,3, 24,9)</w:t>
            </w:r>
          </w:p>
        </w:tc>
      </w:tr>
      <w:tr w:rsidR="00FD2DB5" w:rsidRPr="00F16B0C" w14:paraId="113C273C" w14:textId="77777777" w:rsidTr="00F16B0C">
        <w:trPr>
          <w:trHeight w:val="234"/>
        </w:trPr>
        <w:tc>
          <w:tcPr>
            <w:tcW w:w="1902" w:type="pct"/>
            <w:tcBorders>
              <w:bottom w:val="nil"/>
            </w:tcBorders>
          </w:tcPr>
          <w:p w14:paraId="46561419" w14:textId="77777777" w:rsidR="00FD2DB5" w:rsidRPr="00F16B0C" w:rsidRDefault="00FD2DB5" w:rsidP="00F16B0C">
            <w:pPr>
              <w:widowControl w:val="0"/>
              <w:autoSpaceDE w:val="0"/>
              <w:autoSpaceDN w:val="0"/>
              <w:ind w:left="107"/>
              <w:jc w:val="both"/>
              <w:rPr>
                <w:sz w:val="20"/>
                <w:szCs w:val="22"/>
                <w:lang w:val="sr-Latn-ME"/>
              </w:rPr>
            </w:pPr>
            <w:r w:rsidRPr="00F16B0C">
              <w:rPr>
                <w:b/>
                <w:bCs/>
                <w:sz w:val="20"/>
                <w:szCs w:val="22"/>
                <w:lang w:val="sr-Latn-ME"/>
              </w:rPr>
              <w:t>Nodalni</w:t>
            </w:r>
            <w:r w:rsidRPr="00F16B0C">
              <w:rPr>
                <w:sz w:val="20"/>
                <w:szCs w:val="22"/>
                <w:lang w:val="sr-Latn-ME"/>
              </w:rPr>
              <w:t xml:space="preserve"> (n)</w:t>
            </w:r>
          </w:p>
        </w:tc>
        <w:tc>
          <w:tcPr>
            <w:tcW w:w="1024" w:type="pct"/>
            <w:tcBorders>
              <w:bottom w:val="nil"/>
            </w:tcBorders>
          </w:tcPr>
          <w:p w14:paraId="6F4DEF5A" w14:textId="77777777" w:rsidR="00FD2DB5" w:rsidRPr="00F16B0C" w:rsidRDefault="00FD2DB5" w:rsidP="00F16B0C">
            <w:pPr>
              <w:widowControl w:val="0"/>
              <w:autoSpaceDE w:val="0"/>
              <w:autoSpaceDN w:val="0"/>
              <w:ind w:left="237"/>
              <w:jc w:val="both"/>
              <w:rPr>
                <w:sz w:val="20"/>
                <w:szCs w:val="22"/>
                <w:lang w:val="sr-Latn-ME"/>
              </w:rPr>
            </w:pPr>
            <w:r w:rsidRPr="00F16B0C">
              <w:rPr>
                <w:sz w:val="20"/>
                <w:szCs w:val="22"/>
                <w:lang w:val="sr-Latn-ME"/>
              </w:rPr>
              <w:t>41</w:t>
            </w:r>
          </w:p>
        </w:tc>
        <w:tc>
          <w:tcPr>
            <w:tcW w:w="906" w:type="pct"/>
            <w:tcBorders>
              <w:bottom w:val="nil"/>
            </w:tcBorders>
          </w:tcPr>
          <w:p w14:paraId="1BE4470F" w14:textId="77777777" w:rsidR="00FD2DB5" w:rsidRPr="00F16B0C" w:rsidRDefault="00FD2DB5" w:rsidP="00F16B0C">
            <w:pPr>
              <w:widowControl w:val="0"/>
              <w:autoSpaceDE w:val="0"/>
              <w:autoSpaceDN w:val="0"/>
              <w:ind w:left="224"/>
              <w:jc w:val="both"/>
              <w:rPr>
                <w:sz w:val="20"/>
                <w:szCs w:val="22"/>
                <w:lang w:val="sr-Latn-ME"/>
              </w:rPr>
            </w:pPr>
            <w:r w:rsidRPr="00F16B0C">
              <w:rPr>
                <w:sz w:val="20"/>
                <w:szCs w:val="22"/>
                <w:lang w:val="sr-Latn-ME"/>
              </w:rPr>
              <w:t>40</w:t>
            </w:r>
          </w:p>
        </w:tc>
        <w:tc>
          <w:tcPr>
            <w:tcW w:w="1168" w:type="pct"/>
            <w:tcBorders>
              <w:bottom w:val="nil"/>
            </w:tcBorders>
          </w:tcPr>
          <w:p w14:paraId="1F86CB90" w14:textId="77777777" w:rsidR="00FD2DB5" w:rsidRPr="00F16B0C" w:rsidRDefault="00FD2DB5" w:rsidP="00F16B0C">
            <w:pPr>
              <w:widowControl w:val="0"/>
              <w:autoSpaceDE w:val="0"/>
              <w:autoSpaceDN w:val="0"/>
              <w:jc w:val="both"/>
              <w:rPr>
                <w:sz w:val="16"/>
                <w:szCs w:val="22"/>
                <w:lang w:val="sr-Latn-ME"/>
              </w:rPr>
            </w:pPr>
          </w:p>
        </w:tc>
      </w:tr>
      <w:tr w:rsidR="00FD2DB5" w:rsidRPr="00F16B0C" w14:paraId="432DC080" w14:textId="77777777" w:rsidTr="00F16B0C">
        <w:trPr>
          <w:trHeight w:val="227"/>
        </w:trPr>
        <w:tc>
          <w:tcPr>
            <w:tcW w:w="1902" w:type="pct"/>
            <w:tcBorders>
              <w:top w:val="nil"/>
              <w:bottom w:val="nil"/>
            </w:tcBorders>
          </w:tcPr>
          <w:p w14:paraId="4BB9ED0E" w14:textId="77777777" w:rsidR="00FD2DB5" w:rsidRPr="00F16B0C" w:rsidRDefault="00FD2DB5" w:rsidP="00F16B0C">
            <w:pPr>
              <w:widowControl w:val="0"/>
              <w:autoSpaceDE w:val="0"/>
              <w:autoSpaceDN w:val="0"/>
              <w:ind w:left="827"/>
              <w:jc w:val="both"/>
              <w:rPr>
                <w:sz w:val="20"/>
                <w:szCs w:val="22"/>
                <w:lang w:val="sr-Latn-ME"/>
              </w:rPr>
            </w:pPr>
            <w:r w:rsidRPr="00F16B0C">
              <w:rPr>
                <w:sz w:val="20"/>
                <w:szCs w:val="22"/>
                <w:lang w:val="sr-Latn-ME"/>
              </w:rPr>
              <w:t>Stopa odgovora (n, %)</w:t>
            </w:r>
          </w:p>
        </w:tc>
        <w:tc>
          <w:tcPr>
            <w:tcW w:w="1024" w:type="pct"/>
            <w:tcBorders>
              <w:top w:val="nil"/>
              <w:bottom w:val="nil"/>
            </w:tcBorders>
          </w:tcPr>
          <w:p w14:paraId="36C81E22" w14:textId="77777777" w:rsidR="00FD2DB5" w:rsidRPr="00F16B0C" w:rsidRDefault="00FD2DB5" w:rsidP="00F16B0C">
            <w:pPr>
              <w:widowControl w:val="0"/>
              <w:autoSpaceDE w:val="0"/>
              <w:autoSpaceDN w:val="0"/>
              <w:ind w:left="237"/>
              <w:jc w:val="both"/>
              <w:rPr>
                <w:sz w:val="20"/>
                <w:szCs w:val="22"/>
                <w:lang w:val="sr-Latn-ME"/>
              </w:rPr>
            </w:pPr>
            <w:r w:rsidRPr="00F16B0C">
              <w:rPr>
                <w:sz w:val="20"/>
                <w:szCs w:val="22"/>
                <w:lang w:val="sr-Latn-ME"/>
              </w:rPr>
              <w:t>4 (9,8)</w:t>
            </w:r>
          </w:p>
        </w:tc>
        <w:tc>
          <w:tcPr>
            <w:tcW w:w="906" w:type="pct"/>
            <w:tcBorders>
              <w:top w:val="nil"/>
              <w:bottom w:val="nil"/>
            </w:tcBorders>
          </w:tcPr>
          <w:p w14:paraId="3638D558" w14:textId="77777777" w:rsidR="00FD2DB5" w:rsidRPr="00F16B0C" w:rsidRDefault="00FD2DB5" w:rsidP="00F16B0C">
            <w:pPr>
              <w:widowControl w:val="0"/>
              <w:autoSpaceDE w:val="0"/>
              <w:autoSpaceDN w:val="0"/>
              <w:ind w:left="223"/>
              <w:jc w:val="both"/>
              <w:rPr>
                <w:sz w:val="20"/>
                <w:szCs w:val="22"/>
                <w:lang w:val="sr-Latn-ME"/>
              </w:rPr>
            </w:pPr>
            <w:r w:rsidRPr="00F16B0C">
              <w:rPr>
                <w:sz w:val="20"/>
                <w:szCs w:val="22"/>
                <w:lang w:val="sr-Latn-ME"/>
              </w:rPr>
              <w:t>1 (2,5)</w:t>
            </w:r>
          </w:p>
        </w:tc>
        <w:tc>
          <w:tcPr>
            <w:tcW w:w="1168" w:type="pct"/>
            <w:tcBorders>
              <w:top w:val="nil"/>
              <w:bottom w:val="nil"/>
            </w:tcBorders>
          </w:tcPr>
          <w:p w14:paraId="3D5D6663" w14:textId="77777777" w:rsidR="00FD2DB5" w:rsidRPr="00F16B0C" w:rsidRDefault="00FD2DB5" w:rsidP="00F16B0C">
            <w:pPr>
              <w:widowControl w:val="0"/>
              <w:autoSpaceDE w:val="0"/>
              <w:autoSpaceDN w:val="0"/>
              <w:ind w:left="305"/>
              <w:jc w:val="both"/>
              <w:rPr>
                <w:sz w:val="20"/>
                <w:szCs w:val="22"/>
                <w:lang w:val="sr-Latn-ME"/>
              </w:rPr>
            </w:pPr>
            <w:r w:rsidRPr="00F16B0C">
              <w:rPr>
                <w:sz w:val="20"/>
                <w:szCs w:val="22"/>
                <w:lang w:val="sr-Latn-ME"/>
              </w:rPr>
              <w:t>7,3</w:t>
            </w:r>
          </w:p>
        </w:tc>
      </w:tr>
      <w:tr w:rsidR="00FD2DB5" w:rsidRPr="00F16B0C" w14:paraId="247D5D6D" w14:textId="77777777" w:rsidTr="00F16B0C">
        <w:trPr>
          <w:trHeight w:val="229"/>
        </w:trPr>
        <w:tc>
          <w:tcPr>
            <w:tcW w:w="1902" w:type="pct"/>
            <w:tcBorders>
              <w:top w:val="nil"/>
            </w:tcBorders>
          </w:tcPr>
          <w:p w14:paraId="4D3ED4DA" w14:textId="77777777" w:rsidR="00FD2DB5" w:rsidRPr="00F16B0C" w:rsidRDefault="00FD2DB5" w:rsidP="00F16B0C">
            <w:pPr>
              <w:widowControl w:val="0"/>
              <w:autoSpaceDE w:val="0"/>
              <w:autoSpaceDN w:val="0"/>
              <w:ind w:left="1528"/>
              <w:jc w:val="both"/>
              <w:rPr>
                <w:sz w:val="20"/>
                <w:szCs w:val="22"/>
                <w:lang w:val="sr-Latn-ME"/>
              </w:rPr>
            </w:pPr>
            <w:r w:rsidRPr="00F16B0C">
              <w:rPr>
                <w:sz w:val="20"/>
                <w:szCs w:val="22"/>
                <w:lang w:val="sr-Latn-ME"/>
              </w:rPr>
              <w:t>95% CI</w:t>
            </w:r>
            <w:r w:rsidRPr="00F16B0C">
              <w:rPr>
                <w:sz w:val="20"/>
                <w:szCs w:val="22"/>
                <w:vertAlign w:val="superscript"/>
                <w:lang w:val="sr-Latn-ME"/>
              </w:rPr>
              <w:t>a</w:t>
            </w:r>
          </w:p>
        </w:tc>
        <w:tc>
          <w:tcPr>
            <w:tcW w:w="1024" w:type="pct"/>
            <w:tcBorders>
              <w:top w:val="nil"/>
            </w:tcBorders>
          </w:tcPr>
          <w:p w14:paraId="7E788DAD" w14:textId="77777777" w:rsidR="00FD2DB5" w:rsidRPr="00F16B0C" w:rsidRDefault="00FD2DB5" w:rsidP="00F16B0C">
            <w:pPr>
              <w:widowControl w:val="0"/>
              <w:autoSpaceDE w:val="0"/>
              <w:autoSpaceDN w:val="0"/>
              <w:ind w:left="237"/>
              <w:jc w:val="both"/>
              <w:rPr>
                <w:sz w:val="20"/>
                <w:szCs w:val="22"/>
                <w:lang w:val="sr-Latn-ME"/>
              </w:rPr>
            </w:pPr>
            <w:r w:rsidRPr="00F16B0C">
              <w:rPr>
                <w:sz w:val="20"/>
                <w:szCs w:val="22"/>
                <w:lang w:val="sr-Latn-ME"/>
              </w:rPr>
              <w:t>(2,7, 23,1)</w:t>
            </w:r>
          </w:p>
        </w:tc>
        <w:tc>
          <w:tcPr>
            <w:tcW w:w="906" w:type="pct"/>
            <w:tcBorders>
              <w:top w:val="nil"/>
            </w:tcBorders>
          </w:tcPr>
          <w:p w14:paraId="71E027EC" w14:textId="77777777" w:rsidR="00FD2DB5" w:rsidRPr="00F16B0C" w:rsidRDefault="00FD2DB5" w:rsidP="00F16B0C">
            <w:pPr>
              <w:widowControl w:val="0"/>
              <w:autoSpaceDE w:val="0"/>
              <w:autoSpaceDN w:val="0"/>
              <w:ind w:left="223"/>
              <w:jc w:val="both"/>
              <w:rPr>
                <w:sz w:val="20"/>
                <w:szCs w:val="22"/>
                <w:lang w:val="sr-Latn-ME"/>
              </w:rPr>
            </w:pPr>
            <w:r w:rsidRPr="00F16B0C">
              <w:rPr>
                <w:sz w:val="20"/>
                <w:szCs w:val="22"/>
                <w:lang w:val="sr-Latn-ME"/>
              </w:rPr>
              <w:t>(0,1, 13,2)</w:t>
            </w:r>
          </w:p>
        </w:tc>
        <w:tc>
          <w:tcPr>
            <w:tcW w:w="1168" w:type="pct"/>
            <w:tcBorders>
              <w:top w:val="nil"/>
            </w:tcBorders>
          </w:tcPr>
          <w:p w14:paraId="3F686F29" w14:textId="77777777" w:rsidR="00FD2DB5" w:rsidRPr="00F16B0C" w:rsidRDefault="00FD2DB5" w:rsidP="00F16B0C">
            <w:pPr>
              <w:widowControl w:val="0"/>
              <w:autoSpaceDE w:val="0"/>
              <w:autoSpaceDN w:val="0"/>
              <w:ind w:left="304"/>
              <w:jc w:val="both"/>
              <w:rPr>
                <w:sz w:val="20"/>
                <w:szCs w:val="22"/>
                <w:lang w:val="sr-Latn-ME"/>
              </w:rPr>
            </w:pPr>
            <w:r w:rsidRPr="00F16B0C">
              <w:rPr>
                <w:sz w:val="20"/>
                <w:szCs w:val="22"/>
                <w:lang w:val="sr-Latn-ME"/>
              </w:rPr>
              <w:t>(-14,3, 28,6)</w:t>
            </w:r>
          </w:p>
        </w:tc>
      </w:tr>
    </w:tbl>
    <w:p w14:paraId="7875D6CA" w14:textId="77777777" w:rsidR="00FD2DB5" w:rsidRPr="00F16B0C" w:rsidRDefault="00FD2DB5" w:rsidP="00F16B0C">
      <w:pPr>
        <w:widowControl w:val="0"/>
        <w:autoSpaceDE w:val="0"/>
        <w:autoSpaceDN w:val="0"/>
        <w:ind w:left="198"/>
        <w:jc w:val="both"/>
        <w:rPr>
          <w:sz w:val="20"/>
          <w:szCs w:val="22"/>
          <w:lang w:val="sr-Latn-ME"/>
        </w:rPr>
      </w:pPr>
      <w:r w:rsidRPr="00F16B0C">
        <w:rPr>
          <w:sz w:val="20"/>
          <w:szCs w:val="22"/>
          <w:lang w:val="sr-Latn-ME"/>
        </w:rPr>
        <w:t>M = mogamulizumab V = vorinostat</w:t>
      </w:r>
    </w:p>
    <w:p w14:paraId="5BBE0C6D" w14:textId="77777777" w:rsidR="00FD2DB5" w:rsidRPr="00F16B0C" w:rsidRDefault="00FD2DB5" w:rsidP="00F16B0C">
      <w:pPr>
        <w:widowControl w:val="0"/>
        <w:autoSpaceDE w:val="0"/>
        <w:autoSpaceDN w:val="0"/>
        <w:jc w:val="both"/>
        <w:rPr>
          <w:sz w:val="20"/>
          <w:szCs w:val="22"/>
          <w:lang w:val="sr-Latn-ME"/>
        </w:rPr>
      </w:pPr>
    </w:p>
    <w:p w14:paraId="03C5DF5A" w14:textId="77777777" w:rsidR="00FD2DB5" w:rsidRPr="00F16B0C" w:rsidRDefault="00FD2DB5" w:rsidP="00F16B0C">
      <w:pPr>
        <w:widowControl w:val="0"/>
        <w:autoSpaceDE w:val="0"/>
        <w:autoSpaceDN w:val="0"/>
        <w:ind w:left="198"/>
        <w:jc w:val="both"/>
        <w:outlineLvl w:val="0"/>
        <w:rPr>
          <w:b/>
          <w:bCs/>
          <w:sz w:val="22"/>
          <w:szCs w:val="22"/>
          <w:lang w:val="sr-Latn-ME"/>
        </w:rPr>
      </w:pPr>
      <w:r w:rsidRPr="00F16B0C">
        <w:rPr>
          <w:b/>
          <w:bCs/>
          <w:sz w:val="22"/>
          <w:szCs w:val="22"/>
          <w:lang w:val="sr-Latn-ME"/>
        </w:rPr>
        <w:t>Tabela 4: Preživljavanje bez progresije bolesti (PFS) po terapijskoj grupi i stadijumu bolesti (randomizovani period liječenja)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10"/>
        <w:gridCol w:w="2800"/>
        <w:gridCol w:w="2142"/>
        <w:gridCol w:w="1811"/>
      </w:tblGrid>
      <w:tr w:rsidR="00FD2DB5" w:rsidRPr="00F16B0C" w14:paraId="62992EE6" w14:textId="77777777" w:rsidTr="00F16B0C">
        <w:trPr>
          <w:trHeight w:val="229"/>
          <w:jc w:val="center"/>
        </w:trPr>
        <w:tc>
          <w:tcPr>
            <w:tcW w:w="1274" w:type="pct"/>
          </w:tcPr>
          <w:p w14:paraId="59162BE7" w14:textId="77777777" w:rsidR="00FD2DB5" w:rsidRPr="00F16B0C" w:rsidRDefault="00FD2DB5" w:rsidP="00F16B0C">
            <w:pPr>
              <w:widowControl w:val="0"/>
              <w:autoSpaceDE w:val="0"/>
              <w:autoSpaceDN w:val="0"/>
              <w:jc w:val="both"/>
              <w:rPr>
                <w:sz w:val="16"/>
                <w:szCs w:val="22"/>
                <w:lang w:val="sr-Latn-ME"/>
              </w:rPr>
            </w:pPr>
          </w:p>
        </w:tc>
        <w:tc>
          <w:tcPr>
            <w:tcW w:w="1545" w:type="pct"/>
          </w:tcPr>
          <w:p w14:paraId="429F1D33" w14:textId="77777777" w:rsidR="00FD2DB5" w:rsidRPr="00F16B0C" w:rsidRDefault="00FD2DB5" w:rsidP="00F16B0C">
            <w:pPr>
              <w:widowControl w:val="0"/>
              <w:autoSpaceDE w:val="0"/>
              <w:autoSpaceDN w:val="0"/>
              <w:ind w:left="106"/>
              <w:jc w:val="both"/>
              <w:rPr>
                <w:b/>
                <w:sz w:val="20"/>
                <w:szCs w:val="22"/>
                <w:lang w:val="sr-Latn-ME"/>
              </w:rPr>
            </w:pPr>
            <w:r w:rsidRPr="00F16B0C">
              <w:rPr>
                <w:b/>
                <w:bCs/>
                <w:sz w:val="20"/>
                <w:szCs w:val="22"/>
                <w:lang w:val="sr-Latn-ME"/>
              </w:rPr>
              <w:t>Mogamulizumab</w:t>
            </w:r>
          </w:p>
        </w:tc>
        <w:tc>
          <w:tcPr>
            <w:tcW w:w="1182" w:type="pct"/>
          </w:tcPr>
          <w:p w14:paraId="6D301706" w14:textId="77777777" w:rsidR="00FD2DB5" w:rsidRPr="00F16B0C" w:rsidRDefault="00FD2DB5" w:rsidP="00F16B0C">
            <w:pPr>
              <w:widowControl w:val="0"/>
              <w:autoSpaceDE w:val="0"/>
              <w:autoSpaceDN w:val="0"/>
              <w:ind w:left="128"/>
              <w:jc w:val="both"/>
              <w:rPr>
                <w:b/>
                <w:sz w:val="20"/>
                <w:szCs w:val="22"/>
                <w:lang w:val="sr-Latn-ME"/>
              </w:rPr>
            </w:pPr>
            <w:r w:rsidRPr="00F16B0C">
              <w:rPr>
                <w:b/>
                <w:bCs/>
                <w:sz w:val="20"/>
                <w:szCs w:val="22"/>
                <w:lang w:val="sr-Latn-ME"/>
              </w:rPr>
              <w:t xml:space="preserve">      Vorinostat</w:t>
            </w:r>
          </w:p>
        </w:tc>
        <w:tc>
          <w:tcPr>
            <w:tcW w:w="1000" w:type="pct"/>
          </w:tcPr>
          <w:p w14:paraId="68F037CA" w14:textId="77777777" w:rsidR="00FD2DB5" w:rsidRPr="00F16B0C" w:rsidRDefault="00FD2DB5" w:rsidP="00F16B0C">
            <w:pPr>
              <w:widowControl w:val="0"/>
              <w:autoSpaceDE w:val="0"/>
              <w:autoSpaceDN w:val="0"/>
              <w:ind w:left="131"/>
              <w:jc w:val="both"/>
              <w:rPr>
                <w:b/>
                <w:sz w:val="20"/>
                <w:szCs w:val="22"/>
                <w:lang w:val="sr-Latn-ME"/>
              </w:rPr>
            </w:pPr>
            <w:r w:rsidRPr="00F16B0C">
              <w:rPr>
                <w:b/>
                <w:bCs/>
                <w:sz w:val="20"/>
                <w:szCs w:val="22"/>
                <w:lang w:val="sr-Latn-ME"/>
              </w:rPr>
              <w:t>P vrednost</w:t>
            </w:r>
          </w:p>
        </w:tc>
      </w:tr>
      <w:tr w:rsidR="00FD2DB5" w:rsidRPr="00F16B0C" w14:paraId="59D76273" w14:textId="77777777" w:rsidTr="00F16B0C">
        <w:trPr>
          <w:trHeight w:val="230"/>
          <w:jc w:val="center"/>
        </w:trPr>
        <w:tc>
          <w:tcPr>
            <w:tcW w:w="5000" w:type="pct"/>
            <w:gridSpan w:val="4"/>
          </w:tcPr>
          <w:p w14:paraId="29A92AB0" w14:textId="77777777" w:rsidR="00FD2DB5" w:rsidRPr="00F16B0C" w:rsidRDefault="00FD2DB5" w:rsidP="00F16B0C">
            <w:pPr>
              <w:widowControl w:val="0"/>
              <w:autoSpaceDE w:val="0"/>
              <w:autoSpaceDN w:val="0"/>
              <w:ind w:left="107"/>
              <w:jc w:val="both"/>
              <w:rPr>
                <w:b/>
                <w:sz w:val="20"/>
                <w:szCs w:val="22"/>
                <w:lang w:val="sr-Latn-ME"/>
              </w:rPr>
            </w:pPr>
            <w:r w:rsidRPr="00F16B0C">
              <w:rPr>
                <w:b/>
                <w:bCs/>
                <w:sz w:val="20"/>
                <w:szCs w:val="22"/>
                <w:lang w:val="sr-Latn-ME"/>
              </w:rPr>
              <w:t>PFS, meseci</w:t>
            </w:r>
          </w:p>
        </w:tc>
      </w:tr>
      <w:tr w:rsidR="00FD2DB5" w:rsidRPr="00F16B0C" w14:paraId="676FFA6B" w14:textId="77777777" w:rsidTr="00F16B0C">
        <w:trPr>
          <w:trHeight w:val="460"/>
          <w:jc w:val="center"/>
        </w:trPr>
        <w:tc>
          <w:tcPr>
            <w:tcW w:w="1274" w:type="pct"/>
          </w:tcPr>
          <w:p w14:paraId="36E8BEAE" w14:textId="77777777" w:rsidR="00FD2DB5" w:rsidRPr="00F16B0C" w:rsidRDefault="00FD2DB5" w:rsidP="00F16B0C">
            <w:pPr>
              <w:widowControl w:val="0"/>
              <w:autoSpaceDE w:val="0"/>
              <w:autoSpaceDN w:val="0"/>
              <w:ind w:left="107"/>
              <w:jc w:val="both"/>
              <w:rPr>
                <w:sz w:val="20"/>
                <w:szCs w:val="22"/>
                <w:lang w:val="sr-Latn-ME"/>
              </w:rPr>
            </w:pPr>
            <w:r w:rsidRPr="00F16B0C">
              <w:rPr>
                <w:sz w:val="20"/>
                <w:szCs w:val="22"/>
                <w:lang w:val="sr-Latn-ME"/>
              </w:rPr>
              <w:t>ITT populacija</w:t>
            </w:r>
          </w:p>
        </w:tc>
        <w:tc>
          <w:tcPr>
            <w:tcW w:w="1545" w:type="pct"/>
          </w:tcPr>
          <w:p w14:paraId="19E7D814" w14:textId="77777777" w:rsidR="00FD2DB5" w:rsidRPr="00F16B0C" w:rsidRDefault="00FD2DB5" w:rsidP="00F16B0C">
            <w:pPr>
              <w:widowControl w:val="0"/>
              <w:autoSpaceDE w:val="0"/>
              <w:autoSpaceDN w:val="0"/>
              <w:ind w:left="105"/>
              <w:jc w:val="both"/>
              <w:rPr>
                <w:sz w:val="20"/>
                <w:szCs w:val="22"/>
                <w:lang w:val="sr-Latn-ME"/>
              </w:rPr>
            </w:pPr>
            <w:r w:rsidRPr="00F16B0C">
              <w:rPr>
                <w:sz w:val="20"/>
                <w:szCs w:val="22"/>
                <w:lang w:val="sr-Latn-ME"/>
              </w:rPr>
              <w:t>7,70 (5,67, 10,33)</w:t>
            </w:r>
          </w:p>
        </w:tc>
        <w:tc>
          <w:tcPr>
            <w:tcW w:w="1182" w:type="pct"/>
          </w:tcPr>
          <w:p w14:paraId="6E5939F3" w14:textId="77777777" w:rsidR="00FD2DB5" w:rsidRPr="00F16B0C" w:rsidRDefault="00FD2DB5" w:rsidP="00F16B0C">
            <w:pPr>
              <w:widowControl w:val="0"/>
              <w:autoSpaceDE w:val="0"/>
              <w:autoSpaceDN w:val="0"/>
              <w:ind w:left="131"/>
              <w:jc w:val="both"/>
              <w:rPr>
                <w:sz w:val="20"/>
                <w:szCs w:val="22"/>
                <w:lang w:val="sr-Latn-ME"/>
              </w:rPr>
            </w:pPr>
            <w:r w:rsidRPr="00F16B0C">
              <w:rPr>
                <w:sz w:val="20"/>
                <w:szCs w:val="22"/>
                <w:lang w:val="sr-Latn-ME"/>
              </w:rPr>
              <w:t>3,10 (2,87,</w:t>
            </w:r>
          </w:p>
          <w:p w14:paraId="70111271" w14:textId="77777777" w:rsidR="00FD2DB5" w:rsidRPr="00F16B0C" w:rsidRDefault="00FD2DB5" w:rsidP="00F16B0C">
            <w:pPr>
              <w:widowControl w:val="0"/>
              <w:autoSpaceDE w:val="0"/>
              <w:autoSpaceDN w:val="0"/>
              <w:ind w:left="131"/>
              <w:jc w:val="both"/>
              <w:rPr>
                <w:sz w:val="20"/>
                <w:szCs w:val="22"/>
                <w:lang w:val="sr-Latn-ME"/>
              </w:rPr>
            </w:pPr>
            <w:r w:rsidRPr="00F16B0C">
              <w:rPr>
                <w:sz w:val="20"/>
                <w:szCs w:val="22"/>
                <w:lang w:val="sr-Latn-ME"/>
              </w:rPr>
              <w:t>4,07)</w:t>
            </w:r>
          </w:p>
        </w:tc>
        <w:tc>
          <w:tcPr>
            <w:tcW w:w="1000" w:type="pct"/>
          </w:tcPr>
          <w:p w14:paraId="59FD59EF" w14:textId="77777777" w:rsidR="00FD2DB5" w:rsidRPr="00F16B0C" w:rsidRDefault="00FD2DB5" w:rsidP="00F16B0C">
            <w:pPr>
              <w:widowControl w:val="0"/>
              <w:autoSpaceDE w:val="0"/>
              <w:autoSpaceDN w:val="0"/>
              <w:ind w:left="129"/>
              <w:jc w:val="both"/>
              <w:rPr>
                <w:sz w:val="20"/>
                <w:szCs w:val="22"/>
                <w:lang w:val="sr-Latn-ME"/>
              </w:rPr>
            </w:pPr>
            <w:r w:rsidRPr="00F16B0C">
              <w:rPr>
                <w:sz w:val="20"/>
                <w:szCs w:val="22"/>
                <w:lang w:val="sr-Latn-ME"/>
              </w:rPr>
              <w:t>&lt; 0,0001</w:t>
            </w:r>
          </w:p>
        </w:tc>
      </w:tr>
      <w:tr w:rsidR="00FD2DB5" w:rsidRPr="00F16B0C" w14:paraId="69229508" w14:textId="77777777" w:rsidTr="00F16B0C">
        <w:trPr>
          <w:trHeight w:val="459"/>
          <w:jc w:val="center"/>
        </w:trPr>
        <w:tc>
          <w:tcPr>
            <w:tcW w:w="1274" w:type="pct"/>
          </w:tcPr>
          <w:p w14:paraId="4DE6B77B" w14:textId="77777777" w:rsidR="00FD2DB5" w:rsidRPr="00F16B0C" w:rsidRDefault="00FD2DB5" w:rsidP="00F16B0C">
            <w:pPr>
              <w:widowControl w:val="0"/>
              <w:autoSpaceDE w:val="0"/>
              <w:autoSpaceDN w:val="0"/>
              <w:ind w:left="107"/>
              <w:jc w:val="both"/>
              <w:rPr>
                <w:sz w:val="20"/>
                <w:szCs w:val="22"/>
                <w:lang w:val="sr-Latn-ME"/>
              </w:rPr>
            </w:pPr>
            <w:r w:rsidRPr="00F16B0C">
              <w:rPr>
                <w:sz w:val="20"/>
                <w:szCs w:val="22"/>
                <w:lang w:val="sr-Latn-ME"/>
              </w:rPr>
              <w:t>IB/II</w:t>
            </w:r>
          </w:p>
        </w:tc>
        <w:tc>
          <w:tcPr>
            <w:tcW w:w="1545" w:type="pct"/>
          </w:tcPr>
          <w:p w14:paraId="2719D701" w14:textId="77777777" w:rsidR="00FD2DB5" w:rsidRPr="00F16B0C" w:rsidRDefault="00FD2DB5" w:rsidP="00F16B0C">
            <w:pPr>
              <w:widowControl w:val="0"/>
              <w:autoSpaceDE w:val="0"/>
              <w:autoSpaceDN w:val="0"/>
              <w:ind w:left="105"/>
              <w:jc w:val="both"/>
              <w:rPr>
                <w:sz w:val="20"/>
                <w:szCs w:val="22"/>
                <w:lang w:val="sr-Latn-ME"/>
              </w:rPr>
            </w:pPr>
            <w:r w:rsidRPr="00F16B0C">
              <w:rPr>
                <w:sz w:val="20"/>
                <w:szCs w:val="22"/>
                <w:lang w:val="sr-Latn-ME"/>
              </w:rPr>
              <w:t>4,7 (2,9 -7,47)</w:t>
            </w:r>
          </w:p>
        </w:tc>
        <w:tc>
          <w:tcPr>
            <w:tcW w:w="1182" w:type="pct"/>
          </w:tcPr>
          <w:p w14:paraId="255A1BBB" w14:textId="77777777" w:rsidR="00FD2DB5" w:rsidRPr="00F16B0C" w:rsidRDefault="00FD2DB5" w:rsidP="00F16B0C">
            <w:pPr>
              <w:widowControl w:val="0"/>
              <w:autoSpaceDE w:val="0"/>
              <w:autoSpaceDN w:val="0"/>
              <w:ind w:left="131"/>
              <w:jc w:val="both"/>
              <w:rPr>
                <w:sz w:val="20"/>
                <w:szCs w:val="22"/>
                <w:lang w:val="sr-Latn-ME"/>
              </w:rPr>
            </w:pPr>
            <w:r w:rsidRPr="00F16B0C">
              <w:rPr>
                <w:sz w:val="20"/>
                <w:szCs w:val="22"/>
                <w:lang w:val="sr-Latn-ME"/>
              </w:rPr>
              <w:t>3,9 (2,87-</w:t>
            </w:r>
          </w:p>
          <w:p w14:paraId="0CE68AA9" w14:textId="77777777" w:rsidR="00FD2DB5" w:rsidRPr="00F16B0C" w:rsidRDefault="00FD2DB5" w:rsidP="00F16B0C">
            <w:pPr>
              <w:widowControl w:val="0"/>
              <w:autoSpaceDE w:val="0"/>
              <w:autoSpaceDN w:val="0"/>
              <w:ind w:left="131"/>
              <w:jc w:val="both"/>
              <w:rPr>
                <w:sz w:val="20"/>
                <w:szCs w:val="22"/>
                <w:lang w:val="sr-Latn-ME"/>
              </w:rPr>
            </w:pPr>
            <w:r w:rsidRPr="00F16B0C">
              <w:rPr>
                <w:sz w:val="20"/>
                <w:szCs w:val="22"/>
                <w:lang w:val="sr-Latn-ME"/>
              </w:rPr>
              <w:t>4,73)</w:t>
            </w:r>
          </w:p>
        </w:tc>
        <w:tc>
          <w:tcPr>
            <w:tcW w:w="1000" w:type="pct"/>
          </w:tcPr>
          <w:p w14:paraId="036231F1" w14:textId="77777777" w:rsidR="00FD2DB5" w:rsidRPr="00F16B0C" w:rsidRDefault="00FD2DB5" w:rsidP="00F16B0C">
            <w:pPr>
              <w:widowControl w:val="0"/>
              <w:autoSpaceDE w:val="0"/>
              <w:autoSpaceDN w:val="0"/>
              <w:ind w:left="129"/>
              <w:jc w:val="both"/>
              <w:rPr>
                <w:sz w:val="20"/>
                <w:szCs w:val="22"/>
                <w:lang w:val="sr-Latn-ME"/>
              </w:rPr>
            </w:pPr>
            <w:r w:rsidRPr="00F16B0C">
              <w:rPr>
                <w:sz w:val="20"/>
                <w:szCs w:val="22"/>
                <w:lang w:val="sr-Latn-ME"/>
              </w:rPr>
              <w:t>0,6790</w:t>
            </w:r>
          </w:p>
        </w:tc>
      </w:tr>
      <w:tr w:rsidR="00FD2DB5" w:rsidRPr="00F16B0C" w14:paraId="0FCF649A" w14:textId="77777777" w:rsidTr="00F16B0C">
        <w:trPr>
          <w:trHeight w:val="460"/>
          <w:jc w:val="center"/>
        </w:trPr>
        <w:tc>
          <w:tcPr>
            <w:tcW w:w="1274" w:type="pct"/>
          </w:tcPr>
          <w:p w14:paraId="6EBC53BB" w14:textId="77777777" w:rsidR="00FD2DB5" w:rsidRPr="00F16B0C" w:rsidRDefault="00FD2DB5" w:rsidP="00F16B0C">
            <w:pPr>
              <w:widowControl w:val="0"/>
              <w:autoSpaceDE w:val="0"/>
              <w:autoSpaceDN w:val="0"/>
              <w:ind w:left="107"/>
              <w:jc w:val="both"/>
              <w:rPr>
                <w:sz w:val="20"/>
                <w:szCs w:val="22"/>
                <w:lang w:val="sr-Latn-ME"/>
              </w:rPr>
            </w:pPr>
            <w:r w:rsidRPr="00F16B0C">
              <w:rPr>
                <w:sz w:val="20"/>
                <w:szCs w:val="22"/>
                <w:lang w:val="sr-Latn-ME"/>
              </w:rPr>
              <w:t>III/IV</w:t>
            </w:r>
          </w:p>
        </w:tc>
        <w:tc>
          <w:tcPr>
            <w:tcW w:w="1545" w:type="pct"/>
          </w:tcPr>
          <w:p w14:paraId="49E5287D" w14:textId="77777777" w:rsidR="00FD2DB5" w:rsidRPr="00F16B0C" w:rsidRDefault="00FD2DB5" w:rsidP="00F16B0C">
            <w:pPr>
              <w:widowControl w:val="0"/>
              <w:autoSpaceDE w:val="0"/>
              <w:autoSpaceDN w:val="0"/>
              <w:ind w:left="104"/>
              <w:jc w:val="both"/>
              <w:rPr>
                <w:sz w:val="20"/>
                <w:szCs w:val="22"/>
                <w:lang w:val="sr-Latn-ME"/>
              </w:rPr>
            </w:pPr>
            <w:r w:rsidRPr="00F16B0C">
              <w:rPr>
                <w:sz w:val="20"/>
                <w:szCs w:val="22"/>
                <w:lang w:val="sr-Latn-ME"/>
              </w:rPr>
              <w:t>10,9 (7,03-15,03)</w:t>
            </w:r>
          </w:p>
        </w:tc>
        <w:tc>
          <w:tcPr>
            <w:tcW w:w="1182" w:type="pct"/>
          </w:tcPr>
          <w:p w14:paraId="774F317A" w14:textId="77777777" w:rsidR="00FD2DB5" w:rsidRPr="00F16B0C" w:rsidRDefault="00FD2DB5" w:rsidP="00F16B0C">
            <w:pPr>
              <w:widowControl w:val="0"/>
              <w:autoSpaceDE w:val="0"/>
              <w:autoSpaceDN w:val="0"/>
              <w:ind w:left="131"/>
              <w:jc w:val="both"/>
              <w:rPr>
                <w:sz w:val="20"/>
                <w:szCs w:val="22"/>
                <w:lang w:val="sr-Latn-ME"/>
              </w:rPr>
            </w:pPr>
            <w:r w:rsidRPr="00F16B0C">
              <w:rPr>
                <w:sz w:val="20"/>
                <w:szCs w:val="22"/>
                <w:lang w:val="sr-Latn-ME"/>
              </w:rPr>
              <w:t>3,0 (2,83-</w:t>
            </w:r>
          </w:p>
          <w:p w14:paraId="342A0F01" w14:textId="77777777" w:rsidR="00FD2DB5" w:rsidRPr="00F16B0C" w:rsidRDefault="00FD2DB5" w:rsidP="00F16B0C">
            <w:pPr>
              <w:widowControl w:val="0"/>
              <w:autoSpaceDE w:val="0"/>
              <w:autoSpaceDN w:val="0"/>
              <w:ind w:left="131"/>
              <w:jc w:val="both"/>
              <w:rPr>
                <w:sz w:val="20"/>
                <w:szCs w:val="22"/>
                <w:lang w:val="sr-Latn-ME"/>
              </w:rPr>
            </w:pPr>
            <w:r w:rsidRPr="00F16B0C">
              <w:rPr>
                <w:sz w:val="20"/>
                <w:szCs w:val="22"/>
                <w:lang w:val="sr-Latn-ME"/>
              </w:rPr>
              <w:t>3,87)</w:t>
            </w:r>
          </w:p>
        </w:tc>
        <w:tc>
          <w:tcPr>
            <w:tcW w:w="1000" w:type="pct"/>
          </w:tcPr>
          <w:p w14:paraId="4C8E729A" w14:textId="77777777" w:rsidR="00FD2DB5" w:rsidRPr="00F16B0C" w:rsidRDefault="00FD2DB5" w:rsidP="00F16B0C">
            <w:pPr>
              <w:widowControl w:val="0"/>
              <w:autoSpaceDE w:val="0"/>
              <w:autoSpaceDN w:val="0"/>
              <w:ind w:left="129"/>
              <w:jc w:val="both"/>
              <w:rPr>
                <w:sz w:val="20"/>
                <w:szCs w:val="22"/>
                <w:lang w:val="sr-Latn-ME"/>
              </w:rPr>
            </w:pPr>
            <w:r w:rsidRPr="00F16B0C">
              <w:rPr>
                <w:sz w:val="20"/>
                <w:szCs w:val="22"/>
                <w:lang w:val="sr-Latn-ME"/>
              </w:rPr>
              <w:t>&lt; 0,0001</w:t>
            </w:r>
          </w:p>
        </w:tc>
      </w:tr>
    </w:tbl>
    <w:p w14:paraId="22531594" w14:textId="77777777" w:rsidR="00FD2DB5" w:rsidRPr="00F16B0C" w:rsidRDefault="00FD2DB5" w:rsidP="00F16B0C">
      <w:pPr>
        <w:widowControl w:val="0"/>
        <w:autoSpaceDE w:val="0"/>
        <w:autoSpaceDN w:val="0"/>
        <w:ind w:left="680"/>
        <w:jc w:val="both"/>
        <w:rPr>
          <w:sz w:val="20"/>
          <w:szCs w:val="22"/>
          <w:lang w:val="sr-Latn-ME"/>
        </w:rPr>
      </w:pPr>
      <w:r w:rsidRPr="00F16B0C">
        <w:rPr>
          <w:sz w:val="20"/>
          <w:szCs w:val="22"/>
          <w:lang w:val="sr-Latn-ME"/>
        </w:rPr>
        <w:t>ITT = početna populacija (planirana za l</w:t>
      </w:r>
      <w:r w:rsidR="001F1DBB" w:rsidRPr="00F16B0C">
        <w:rPr>
          <w:sz w:val="20"/>
          <w:szCs w:val="22"/>
          <w:lang w:val="sr-Latn-ME"/>
        </w:rPr>
        <w:t>ij</w:t>
      </w:r>
      <w:r w:rsidRPr="00F16B0C">
        <w:rPr>
          <w:sz w:val="20"/>
          <w:szCs w:val="22"/>
          <w:lang w:val="sr-Latn-ME"/>
        </w:rPr>
        <w:t>ečenje)</w:t>
      </w:r>
    </w:p>
    <w:p w14:paraId="686F99FE" w14:textId="77777777" w:rsidR="00FD2DB5" w:rsidRPr="00F16B0C" w:rsidRDefault="00FD2DB5" w:rsidP="00F16B0C">
      <w:pPr>
        <w:widowControl w:val="0"/>
        <w:autoSpaceDE w:val="0"/>
        <w:autoSpaceDN w:val="0"/>
        <w:jc w:val="both"/>
        <w:rPr>
          <w:sz w:val="22"/>
          <w:szCs w:val="22"/>
          <w:lang w:val="sr-Latn-ME"/>
        </w:rPr>
      </w:pPr>
    </w:p>
    <w:p w14:paraId="1C738D34" w14:textId="77777777" w:rsidR="00FD2DB5" w:rsidRPr="00F16B0C" w:rsidRDefault="00FD2DB5" w:rsidP="00F16B0C">
      <w:pPr>
        <w:widowControl w:val="0"/>
        <w:autoSpaceDE w:val="0"/>
        <w:autoSpaceDN w:val="0"/>
        <w:ind w:left="198"/>
        <w:jc w:val="both"/>
        <w:rPr>
          <w:sz w:val="22"/>
          <w:szCs w:val="22"/>
          <w:lang w:val="sr-Latn-ME"/>
        </w:rPr>
      </w:pPr>
      <w:r w:rsidRPr="00F16B0C">
        <w:rPr>
          <w:sz w:val="22"/>
          <w:szCs w:val="22"/>
          <w:u w:val="single"/>
          <w:lang w:val="sr-Latn-ME"/>
        </w:rPr>
        <w:t>Pedijatrijska populacija</w:t>
      </w:r>
    </w:p>
    <w:p w14:paraId="17FCB4E6" w14:textId="77777777" w:rsidR="00FD2DB5" w:rsidRPr="00F16B0C" w:rsidRDefault="00FD2DB5" w:rsidP="00F16B0C">
      <w:pPr>
        <w:widowControl w:val="0"/>
        <w:autoSpaceDE w:val="0"/>
        <w:autoSpaceDN w:val="0"/>
        <w:jc w:val="both"/>
        <w:rPr>
          <w:sz w:val="22"/>
          <w:szCs w:val="22"/>
          <w:lang w:val="sr-Latn-ME"/>
        </w:rPr>
      </w:pPr>
      <w:r w:rsidRPr="00F16B0C">
        <w:rPr>
          <w:sz w:val="22"/>
          <w:szCs w:val="22"/>
          <w:lang w:val="sr-Latn-ME"/>
        </w:rPr>
        <w:t>Evropska agencija je izuzela obavezu podnošenja rezultata studija sa mogamulizumabom u svim podgrupama pedijatrijske populacije sa kutanim limfomom T ćelija (CTCL) (MF i SS su podtipovi CTCL). Pogledajte dio 4.2 za informacije o pedijatrijskoj primjeni.</w:t>
      </w:r>
    </w:p>
    <w:p w14:paraId="2CAF454A" w14:textId="77777777" w:rsidR="002E37A5" w:rsidRPr="00F16B0C" w:rsidRDefault="002E37A5" w:rsidP="00F16B0C">
      <w:pPr>
        <w:widowControl w:val="0"/>
        <w:tabs>
          <w:tab w:val="left" w:pos="540"/>
          <w:tab w:val="left" w:pos="569"/>
        </w:tabs>
        <w:jc w:val="both"/>
        <w:rPr>
          <w:b/>
          <w:bCs/>
          <w:sz w:val="22"/>
          <w:szCs w:val="22"/>
          <w:lang w:val="sr-Latn-ME"/>
        </w:rPr>
      </w:pPr>
    </w:p>
    <w:p w14:paraId="5B01E9BE" w14:textId="77777777" w:rsidR="0072020E" w:rsidRPr="00F16B0C" w:rsidRDefault="0072020E" w:rsidP="00F16B0C">
      <w:pPr>
        <w:widowControl w:val="0"/>
        <w:tabs>
          <w:tab w:val="left" w:pos="540"/>
          <w:tab w:val="left" w:pos="569"/>
        </w:tabs>
        <w:jc w:val="both"/>
        <w:rPr>
          <w:b/>
          <w:bCs/>
          <w:sz w:val="22"/>
          <w:szCs w:val="22"/>
          <w:lang w:val="sr-Latn-ME"/>
        </w:rPr>
      </w:pPr>
      <w:r w:rsidRPr="00F16B0C">
        <w:rPr>
          <w:b/>
          <w:bCs/>
          <w:sz w:val="22"/>
          <w:szCs w:val="22"/>
          <w:lang w:val="sr-Latn-ME"/>
        </w:rPr>
        <w:t xml:space="preserve">5.2. </w:t>
      </w:r>
      <w:r w:rsidR="00480FB1" w:rsidRPr="00F16B0C">
        <w:rPr>
          <w:b/>
          <w:bCs/>
          <w:sz w:val="22"/>
          <w:szCs w:val="22"/>
          <w:lang w:val="sr-Latn-ME"/>
        </w:rPr>
        <w:tab/>
      </w:r>
      <w:r w:rsidRPr="00F16B0C">
        <w:rPr>
          <w:b/>
          <w:bCs/>
          <w:sz w:val="22"/>
          <w:szCs w:val="22"/>
          <w:lang w:val="sr-Latn-ME"/>
        </w:rPr>
        <w:t>Farmakokinetički podaci</w:t>
      </w:r>
      <w:r w:rsidR="003A7059" w:rsidRPr="00F16B0C">
        <w:rPr>
          <w:b/>
          <w:bCs/>
          <w:sz w:val="22"/>
          <w:szCs w:val="22"/>
          <w:lang w:val="sr-Latn-ME"/>
        </w:rPr>
        <w:t xml:space="preserve"> </w:t>
      </w:r>
    </w:p>
    <w:p w14:paraId="73711143" w14:textId="77777777" w:rsidR="009A24B9" w:rsidRPr="00F16B0C" w:rsidRDefault="009A24B9" w:rsidP="00F16B0C">
      <w:pPr>
        <w:widowControl w:val="0"/>
        <w:jc w:val="both"/>
        <w:rPr>
          <w:sz w:val="22"/>
          <w:szCs w:val="22"/>
          <w:lang w:val="sr-Latn-ME"/>
        </w:rPr>
      </w:pPr>
    </w:p>
    <w:p w14:paraId="53B01F1D" w14:textId="77777777" w:rsidR="009A24B9" w:rsidRPr="00F16B0C" w:rsidRDefault="009A24B9" w:rsidP="00F16B0C">
      <w:pPr>
        <w:widowControl w:val="0"/>
        <w:jc w:val="both"/>
        <w:rPr>
          <w:sz w:val="22"/>
          <w:szCs w:val="22"/>
          <w:lang w:val="sr-Latn-ME"/>
        </w:rPr>
      </w:pPr>
      <w:r w:rsidRPr="00F16B0C">
        <w:rPr>
          <w:sz w:val="22"/>
          <w:szCs w:val="22"/>
          <w:lang w:val="sr-Latn-ME"/>
        </w:rPr>
        <w:t>Farmakokinetika (PK) mogamulizumaba procijenjena je kod odraslih pacijenata sa leukemijom-limfomom T-ćelija (ATL) i CTCL za raspon doze od 0,01 do 1 mg/kg primjenjenog kao višestruke doze mogamulizumaba svake nedjelje ili svake 2 nedjelje, i uključivala je preporučenu dozu od 1,0 mg/kg i režim (1, 8, 15. i 22. dana za prvi ciklus od 28 dana i 1. i 15. dana za sljedeće cikluse od 28 dana). Populaciona farmakokinetička analiza uključivala je 444 pacijenta koji su primali mogamulizumab u šest kliničkih ispitivanja. Izloženost mogamulizumabu povećavala se proporcionalno sa dozom za raspon doze od 0,1 do 1,0 mg/kg.</w:t>
      </w:r>
    </w:p>
    <w:p w14:paraId="26A68B68" w14:textId="77777777" w:rsidR="009A24B9" w:rsidRPr="00F16B0C" w:rsidRDefault="009A24B9" w:rsidP="00F16B0C">
      <w:pPr>
        <w:widowControl w:val="0"/>
        <w:jc w:val="both"/>
        <w:rPr>
          <w:sz w:val="22"/>
          <w:szCs w:val="22"/>
          <w:lang w:val="sr-Latn-ME"/>
        </w:rPr>
      </w:pPr>
    </w:p>
    <w:p w14:paraId="5E3ECF86" w14:textId="77777777" w:rsidR="009A24B9" w:rsidRPr="00F16B0C" w:rsidRDefault="009A24B9" w:rsidP="00F16B0C">
      <w:pPr>
        <w:widowControl w:val="0"/>
        <w:autoSpaceDE w:val="0"/>
        <w:autoSpaceDN w:val="0"/>
        <w:jc w:val="both"/>
        <w:rPr>
          <w:sz w:val="22"/>
          <w:szCs w:val="22"/>
          <w:lang w:val="sr-Latn-ME"/>
        </w:rPr>
      </w:pPr>
      <w:r w:rsidRPr="00F16B0C">
        <w:rPr>
          <w:sz w:val="22"/>
          <w:szCs w:val="22"/>
          <w:u w:val="single"/>
          <w:lang w:val="sr-Latn-ME"/>
        </w:rPr>
        <w:t>Resorpcija</w:t>
      </w:r>
    </w:p>
    <w:p w14:paraId="2AAC311B" w14:textId="77777777" w:rsidR="009A24B9" w:rsidRPr="00F16B0C" w:rsidRDefault="009A24B9" w:rsidP="00F16B0C">
      <w:pPr>
        <w:widowControl w:val="0"/>
        <w:autoSpaceDE w:val="0"/>
        <w:autoSpaceDN w:val="0"/>
        <w:jc w:val="both"/>
        <w:rPr>
          <w:sz w:val="22"/>
          <w:szCs w:val="22"/>
          <w:lang w:val="sr-Latn-ME"/>
        </w:rPr>
      </w:pPr>
      <w:r w:rsidRPr="00F16B0C">
        <w:rPr>
          <w:sz w:val="22"/>
          <w:szCs w:val="22"/>
          <w:lang w:val="sr-Latn-ME"/>
        </w:rPr>
        <w:t>Mogamulizumab se dozira intravenskim putem i zato je odmah i potpuno bioraspoloživ.</w:t>
      </w:r>
    </w:p>
    <w:p w14:paraId="2AE4A217" w14:textId="77777777" w:rsidR="009A24B9" w:rsidRPr="00F16B0C" w:rsidRDefault="009A24B9" w:rsidP="00F16B0C">
      <w:pPr>
        <w:widowControl w:val="0"/>
        <w:autoSpaceDE w:val="0"/>
        <w:autoSpaceDN w:val="0"/>
        <w:jc w:val="both"/>
        <w:rPr>
          <w:sz w:val="22"/>
          <w:szCs w:val="22"/>
          <w:lang w:val="sr-Latn-ME"/>
        </w:rPr>
      </w:pPr>
    </w:p>
    <w:p w14:paraId="202B188F" w14:textId="77777777" w:rsidR="009A24B9" w:rsidRPr="00F16B0C" w:rsidRDefault="009A24B9" w:rsidP="00F16B0C">
      <w:pPr>
        <w:widowControl w:val="0"/>
        <w:autoSpaceDE w:val="0"/>
        <w:autoSpaceDN w:val="0"/>
        <w:jc w:val="both"/>
        <w:rPr>
          <w:sz w:val="22"/>
          <w:szCs w:val="22"/>
          <w:lang w:val="sr-Latn-ME"/>
        </w:rPr>
      </w:pPr>
      <w:r w:rsidRPr="00F16B0C">
        <w:rPr>
          <w:sz w:val="22"/>
          <w:szCs w:val="22"/>
          <w:u w:val="single"/>
          <w:lang w:val="sr-Latn-ME"/>
        </w:rPr>
        <w:t>Distribucija</w:t>
      </w:r>
    </w:p>
    <w:p w14:paraId="3059F560" w14:textId="77777777" w:rsidR="009A24B9" w:rsidRPr="00F16B0C" w:rsidRDefault="009A24B9" w:rsidP="00F16B0C">
      <w:pPr>
        <w:widowControl w:val="0"/>
        <w:autoSpaceDE w:val="0"/>
        <w:autoSpaceDN w:val="0"/>
        <w:jc w:val="both"/>
        <w:rPr>
          <w:sz w:val="22"/>
          <w:szCs w:val="22"/>
          <w:lang w:val="sr-Latn-ME"/>
        </w:rPr>
      </w:pPr>
      <w:r w:rsidRPr="00F16B0C">
        <w:rPr>
          <w:sz w:val="22"/>
          <w:szCs w:val="22"/>
          <w:lang w:val="sr-Latn-ME"/>
        </w:rPr>
        <w:t>Na osnovu populacione farmakokinetičke analize, geometrijska srednja vr</w:t>
      </w:r>
      <w:r w:rsidR="001F1DBB" w:rsidRPr="00F16B0C">
        <w:rPr>
          <w:sz w:val="22"/>
          <w:szCs w:val="22"/>
          <w:lang w:val="sr-Latn-ME"/>
        </w:rPr>
        <w:t>ij</w:t>
      </w:r>
      <w:r w:rsidRPr="00F16B0C">
        <w:rPr>
          <w:sz w:val="22"/>
          <w:szCs w:val="22"/>
          <w:lang w:val="sr-Latn-ME"/>
        </w:rPr>
        <w:t>ednost [% koeficijent varijacije (CV%)] centralnog volumena distribucije (Vc) bila je 3,57 litara (20,1%).</w:t>
      </w:r>
    </w:p>
    <w:p w14:paraId="06272C09" w14:textId="77777777" w:rsidR="009A24B9" w:rsidRPr="00F16B0C" w:rsidRDefault="009A24B9" w:rsidP="00F16B0C">
      <w:pPr>
        <w:widowControl w:val="0"/>
        <w:autoSpaceDE w:val="0"/>
        <w:autoSpaceDN w:val="0"/>
        <w:jc w:val="both"/>
        <w:rPr>
          <w:sz w:val="22"/>
          <w:szCs w:val="22"/>
          <w:lang w:val="sr-Latn-ME"/>
        </w:rPr>
      </w:pPr>
    </w:p>
    <w:p w14:paraId="27D105AD" w14:textId="77777777" w:rsidR="009A24B9" w:rsidRPr="00F16B0C" w:rsidRDefault="009A24B9" w:rsidP="00F16B0C">
      <w:pPr>
        <w:widowControl w:val="0"/>
        <w:autoSpaceDE w:val="0"/>
        <w:autoSpaceDN w:val="0"/>
        <w:jc w:val="both"/>
        <w:rPr>
          <w:sz w:val="22"/>
          <w:szCs w:val="22"/>
          <w:lang w:val="sr-Latn-ME"/>
        </w:rPr>
      </w:pPr>
      <w:r w:rsidRPr="00F16B0C">
        <w:rPr>
          <w:sz w:val="22"/>
          <w:szCs w:val="22"/>
          <w:u w:val="single"/>
          <w:lang w:val="sr-Latn-ME"/>
        </w:rPr>
        <w:t>Biotransformacija</w:t>
      </w:r>
    </w:p>
    <w:p w14:paraId="18D37E5D" w14:textId="77777777" w:rsidR="009A24B9" w:rsidRPr="00F16B0C" w:rsidRDefault="009A24B9" w:rsidP="00F16B0C">
      <w:pPr>
        <w:widowControl w:val="0"/>
        <w:autoSpaceDE w:val="0"/>
        <w:autoSpaceDN w:val="0"/>
        <w:ind w:hanging="1"/>
        <w:jc w:val="both"/>
        <w:rPr>
          <w:sz w:val="22"/>
          <w:szCs w:val="22"/>
          <w:lang w:val="sr-Latn-ME"/>
        </w:rPr>
      </w:pPr>
      <w:r w:rsidRPr="00F16B0C">
        <w:rPr>
          <w:sz w:val="22"/>
          <w:szCs w:val="22"/>
          <w:lang w:val="sr-Latn-ME"/>
        </w:rPr>
        <w:t>Metabolički put mogamulizumaba nije još utvrđen. Očekuje se da će se mogamulizumab razgraditi u male peptide i aminokiseline kataboličkim putevima na isti način kao i endogeni IgG.</w:t>
      </w:r>
    </w:p>
    <w:p w14:paraId="04A37853" w14:textId="77777777" w:rsidR="009A24B9" w:rsidRPr="00F16B0C" w:rsidRDefault="009A24B9" w:rsidP="00F16B0C">
      <w:pPr>
        <w:widowControl w:val="0"/>
        <w:autoSpaceDE w:val="0"/>
        <w:autoSpaceDN w:val="0"/>
        <w:jc w:val="both"/>
        <w:rPr>
          <w:sz w:val="22"/>
          <w:szCs w:val="22"/>
          <w:lang w:val="sr-Latn-ME"/>
        </w:rPr>
      </w:pPr>
    </w:p>
    <w:p w14:paraId="0E4BC705" w14:textId="77777777" w:rsidR="009A24B9" w:rsidRPr="00F16B0C" w:rsidRDefault="009A24B9" w:rsidP="00F16B0C">
      <w:pPr>
        <w:widowControl w:val="0"/>
        <w:autoSpaceDE w:val="0"/>
        <w:autoSpaceDN w:val="0"/>
        <w:jc w:val="both"/>
        <w:rPr>
          <w:sz w:val="22"/>
          <w:szCs w:val="22"/>
          <w:lang w:val="sr-Latn-ME"/>
        </w:rPr>
      </w:pPr>
      <w:r w:rsidRPr="00F16B0C">
        <w:rPr>
          <w:sz w:val="22"/>
          <w:szCs w:val="22"/>
          <w:u w:val="single"/>
          <w:lang w:val="sr-Latn-ME"/>
        </w:rPr>
        <w:t>Eliminacija</w:t>
      </w:r>
    </w:p>
    <w:p w14:paraId="0C1ECD82" w14:textId="77777777" w:rsidR="009A24B9" w:rsidRPr="00F16B0C" w:rsidRDefault="009A24B9" w:rsidP="00F16B0C">
      <w:pPr>
        <w:widowControl w:val="0"/>
        <w:autoSpaceDE w:val="0"/>
        <w:autoSpaceDN w:val="0"/>
        <w:jc w:val="both"/>
        <w:rPr>
          <w:sz w:val="22"/>
          <w:szCs w:val="22"/>
          <w:lang w:val="sr-Latn-ME"/>
        </w:rPr>
      </w:pPr>
      <w:r w:rsidRPr="00F16B0C">
        <w:rPr>
          <w:sz w:val="22"/>
          <w:szCs w:val="22"/>
          <w:lang w:val="sr-Latn-ME"/>
        </w:rPr>
        <w:t>Na osnovu populacione farmakokinetičke analize, geometrijska srednja vrijednost klirensa (CL) (% koeficijenta varijacije [CV%]) je 12,0 ml/h (83,7%), a geometrijska srednja vrijednost poluvremena eliminacije (t1/2) je 17 dana (65,5%).</w:t>
      </w:r>
    </w:p>
    <w:p w14:paraId="14BE9AAB" w14:textId="77777777" w:rsidR="009A24B9" w:rsidRPr="00F16B0C" w:rsidRDefault="009A24B9" w:rsidP="00F16B0C">
      <w:pPr>
        <w:widowControl w:val="0"/>
        <w:autoSpaceDE w:val="0"/>
        <w:autoSpaceDN w:val="0"/>
        <w:jc w:val="both"/>
        <w:rPr>
          <w:sz w:val="22"/>
          <w:szCs w:val="22"/>
          <w:lang w:val="sr-Latn-ME"/>
        </w:rPr>
      </w:pPr>
    </w:p>
    <w:p w14:paraId="6F404C90" w14:textId="77777777" w:rsidR="009A24B9" w:rsidRPr="00F16B0C" w:rsidRDefault="009A24B9" w:rsidP="00F16B0C">
      <w:pPr>
        <w:widowControl w:val="0"/>
        <w:autoSpaceDE w:val="0"/>
        <w:autoSpaceDN w:val="0"/>
        <w:jc w:val="both"/>
        <w:rPr>
          <w:sz w:val="22"/>
          <w:szCs w:val="22"/>
          <w:lang w:val="sr-Latn-ME"/>
        </w:rPr>
      </w:pPr>
      <w:r w:rsidRPr="00F16B0C">
        <w:rPr>
          <w:sz w:val="22"/>
          <w:szCs w:val="22"/>
          <w:u w:val="single"/>
          <w:lang w:val="sr-Latn-ME"/>
        </w:rPr>
        <w:t>Linearnost i akumulacija</w:t>
      </w:r>
    </w:p>
    <w:p w14:paraId="10C6243B" w14:textId="77777777" w:rsidR="009A24B9" w:rsidRPr="00F16B0C" w:rsidRDefault="009A24B9" w:rsidP="00F16B0C">
      <w:pPr>
        <w:widowControl w:val="0"/>
        <w:autoSpaceDE w:val="0"/>
        <w:autoSpaceDN w:val="0"/>
        <w:jc w:val="both"/>
        <w:rPr>
          <w:sz w:val="22"/>
          <w:szCs w:val="22"/>
          <w:lang w:val="sr-Latn-ME"/>
        </w:rPr>
      </w:pPr>
      <w:r w:rsidRPr="00F16B0C">
        <w:rPr>
          <w:sz w:val="22"/>
          <w:szCs w:val="22"/>
          <w:lang w:val="sr-Latn-ME"/>
        </w:rPr>
        <w:t xml:space="preserve">Mogamulizumab pokazuje linearnu farmakokinetiku za doze u rasponu od 0,01 mg/kg do 1 mg/kg. Na osnovu populacione farmakokinetičke analize, koncentracije mogamulizumaba u stanju dinamičke ravnoteže dostignute su nakon 12 nedjelja ponovljenih doziranja kada se primjenjuje prema preporučenom režimu, a sistemska akumulacija bila je 1,7 puta veća. U analizi modela snage, nije bilo </w:t>
      </w:r>
      <w:r w:rsidRPr="00F16B0C">
        <w:rPr>
          <w:sz w:val="22"/>
          <w:szCs w:val="22"/>
          <w:lang w:val="sr-Latn-ME"/>
        </w:rPr>
        <w:lastRenderedPageBreak/>
        <w:t>vidljivo odstupanje od proporcionalnosti za dozu.</w:t>
      </w:r>
    </w:p>
    <w:p w14:paraId="1C689EE9" w14:textId="77777777" w:rsidR="009A24B9" w:rsidRPr="00F16B0C" w:rsidRDefault="009A24B9" w:rsidP="00F16B0C">
      <w:pPr>
        <w:widowControl w:val="0"/>
        <w:autoSpaceDE w:val="0"/>
        <w:autoSpaceDN w:val="0"/>
        <w:jc w:val="both"/>
        <w:rPr>
          <w:sz w:val="22"/>
          <w:szCs w:val="22"/>
          <w:lang w:val="sr-Latn-ME"/>
        </w:rPr>
      </w:pPr>
    </w:p>
    <w:p w14:paraId="74A52250" w14:textId="77777777" w:rsidR="009A24B9" w:rsidRPr="00F16B0C" w:rsidRDefault="009A24B9" w:rsidP="00F16B0C">
      <w:pPr>
        <w:widowControl w:val="0"/>
        <w:autoSpaceDE w:val="0"/>
        <w:autoSpaceDN w:val="0"/>
        <w:jc w:val="both"/>
        <w:rPr>
          <w:sz w:val="22"/>
          <w:szCs w:val="22"/>
          <w:lang w:val="sr-Latn-ME"/>
        </w:rPr>
      </w:pPr>
      <w:r w:rsidRPr="00F16B0C">
        <w:rPr>
          <w:sz w:val="22"/>
          <w:szCs w:val="22"/>
          <w:u w:val="single"/>
          <w:lang w:val="sr-Latn-ME"/>
        </w:rPr>
        <w:t>Oštećenje funkcije bubrega</w:t>
      </w:r>
    </w:p>
    <w:p w14:paraId="7E2256D0" w14:textId="77777777" w:rsidR="009A24B9" w:rsidRPr="00F16B0C" w:rsidRDefault="009A24B9" w:rsidP="00F16B0C">
      <w:pPr>
        <w:widowControl w:val="0"/>
        <w:autoSpaceDE w:val="0"/>
        <w:autoSpaceDN w:val="0"/>
        <w:jc w:val="both"/>
        <w:rPr>
          <w:sz w:val="22"/>
          <w:szCs w:val="22"/>
          <w:lang w:val="sr-Latn-ME"/>
        </w:rPr>
      </w:pPr>
      <w:r w:rsidRPr="00F16B0C">
        <w:rPr>
          <w:sz w:val="22"/>
          <w:szCs w:val="22"/>
          <w:lang w:val="sr-Latn-ME"/>
        </w:rPr>
        <w:t>Uticaj oštećenja bubrega na klirens mogamulizumaba proc</w:t>
      </w:r>
      <w:r w:rsidR="001F1DBB" w:rsidRPr="00F16B0C">
        <w:rPr>
          <w:sz w:val="22"/>
          <w:szCs w:val="22"/>
          <w:lang w:val="sr-Latn-ME"/>
        </w:rPr>
        <w:t>ij</w:t>
      </w:r>
      <w:r w:rsidRPr="00F16B0C">
        <w:rPr>
          <w:sz w:val="22"/>
          <w:szCs w:val="22"/>
          <w:lang w:val="sr-Latn-ME"/>
        </w:rPr>
        <w:t>enjen je u populacionoj farmakokinetičkoj analizi kod pacijenata sa blagim (klirens kreatinina [CrCL] između 60 i 89; n = 157), umjerenim (CrCL između 59 i 30; n = 80), ili teškim oštećenjem funkcije bubrega (CrCL manji od 30 ml/min; n = 2). Nije pronađena klinički značajna razlika u klirensu mogamulizumaba između pacijenata sa blagim do teškim oštećenjem funkcije bubrega i kod pacijenata sa normalnom bubrežnom funkcijom.</w:t>
      </w:r>
    </w:p>
    <w:p w14:paraId="06695E3B" w14:textId="77777777" w:rsidR="009A24B9" w:rsidRPr="00F16B0C" w:rsidRDefault="009A24B9" w:rsidP="00F16B0C">
      <w:pPr>
        <w:widowControl w:val="0"/>
        <w:autoSpaceDE w:val="0"/>
        <w:autoSpaceDN w:val="0"/>
        <w:jc w:val="both"/>
        <w:rPr>
          <w:sz w:val="22"/>
          <w:szCs w:val="22"/>
          <w:lang w:val="sr-Latn-ME"/>
        </w:rPr>
      </w:pPr>
    </w:p>
    <w:p w14:paraId="1350A9DE" w14:textId="77777777" w:rsidR="009A24B9" w:rsidRPr="00F16B0C" w:rsidRDefault="009A24B9" w:rsidP="00F16B0C">
      <w:pPr>
        <w:widowControl w:val="0"/>
        <w:autoSpaceDE w:val="0"/>
        <w:autoSpaceDN w:val="0"/>
        <w:jc w:val="both"/>
        <w:rPr>
          <w:sz w:val="22"/>
          <w:szCs w:val="22"/>
          <w:lang w:val="sr-Latn-ME"/>
        </w:rPr>
      </w:pPr>
      <w:r w:rsidRPr="00F16B0C">
        <w:rPr>
          <w:sz w:val="22"/>
          <w:szCs w:val="22"/>
          <w:u w:val="single"/>
          <w:lang w:val="sr-Latn-ME"/>
        </w:rPr>
        <w:t>Oštećenje funkcije jetre</w:t>
      </w:r>
    </w:p>
    <w:p w14:paraId="1891787A" w14:textId="77777777" w:rsidR="009A24B9" w:rsidRPr="00F16B0C" w:rsidRDefault="009A24B9" w:rsidP="00F16B0C">
      <w:pPr>
        <w:widowControl w:val="0"/>
        <w:autoSpaceDE w:val="0"/>
        <w:autoSpaceDN w:val="0"/>
        <w:jc w:val="both"/>
        <w:rPr>
          <w:sz w:val="22"/>
          <w:szCs w:val="22"/>
          <w:lang w:val="sr-Latn-ME"/>
        </w:rPr>
      </w:pPr>
      <w:r w:rsidRPr="00F16B0C">
        <w:rPr>
          <w:sz w:val="22"/>
          <w:szCs w:val="22"/>
          <w:lang w:val="sr-Latn-ME"/>
        </w:rPr>
        <w:t>D</w:t>
      </w:r>
      <w:r w:rsidR="001F1DBB" w:rsidRPr="00F16B0C">
        <w:rPr>
          <w:sz w:val="22"/>
          <w:szCs w:val="22"/>
          <w:lang w:val="sr-Latn-ME"/>
        </w:rPr>
        <w:t>j</w:t>
      </w:r>
      <w:r w:rsidRPr="00F16B0C">
        <w:rPr>
          <w:sz w:val="22"/>
          <w:szCs w:val="22"/>
          <w:lang w:val="sr-Latn-ME"/>
        </w:rPr>
        <w:t>elovanje oštećenja funkcije jetre na klirens mogamulizumaba proc</w:t>
      </w:r>
      <w:r w:rsidR="001F1DBB" w:rsidRPr="00F16B0C">
        <w:rPr>
          <w:sz w:val="22"/>
          <w:szCs w:val="22"/>
          <w:lang w:val="sr-Latn-ME"/>
        </w:rPr>
        <w:t>ij</w:t>
      </w:r>
      <w:r w:rsidRPr="00F16B0C">
        <w:rPr>
          <w:sz w:val="22"/>
          <w:szCs w:val="22"/>
          <w:lang w:val="sr-Latn-ME"/>
        </w:rPr>
        <w:t>enjeno je u populacionoj farmakokinetičkoj analizi kod pacijenata sa blagim oštećenjem funkcije bubrega (ukupni bilirubin manji ili jednak gornjoj granici normale [GGN] i AST veći od GGN ili ukupni bilirubin manji od 1 do 1,5-struke vrednosti GGN i bilo koja vrednost AST; n = 80) ili umjerenim (ukupni bilirubin veći od 1,5 do 3-struke vrednosti GGN i bilo koja vrijednost AST; n = 3) oštećenjem funkcije jetre. Ni</w:t>
      </w:r>
      <w:r w:rsidR="001F1DBB" w:rsidRPr="00F16B0C">
        <w:rPr>
          <w:sz w:val="22"/>
          <w:szCs w:val="22"/>
          <w:lang w:val="sr-Latn-ME"/>
        </w:rPr>
        <w:t>je</w:t>
      </w:r>
      <w:r w:rsidRPr="00F16B0C">
        <w:rPr>
          <w:sz w:val="22"/>
          <w:szCs w:val="22"/>
          <w:lang w:val="sr-Latn-ME"/>
        </w:rPr>
        <w:t>su pronađene klinički značajne razlike u klirensu mogamulizumaba između pacijenata sa blagim do umjerenim oštećenjem funkcije jetre i pacijenata sa normalnom funkcijom jetre. Mogamulizumab nije proučavan kod pacijenata sa teškim oštećenjem funkcije jetre (ukupni bilirubin veći od trostruke vrijednosti GGN i bilo koja vrijednost AST).</w:t>
      </w:r>
    </w:p>
    <w:p w14:paraId="1FC79718" w14:textId="77777777" w:rsidR="009A24B9" w:rsidRPr="00F16B0C" w:rsidRDefault="009A24B9" w:rsidP="00F16B0C">
      <w:pPr>
        <w:widowControl w:val="0"/>
        <w:autoSpaceDE w:val="0"/>
        <w:autoSpaceDN w:val="0"/>
        <w:jc w:val="both"/>
        <w:rPr>
          <w:sz w:val="22"/>
          <w:szCs w:val="22"/>
          <w:lang w:val="sr-Latn-ME"/>
        </w:rPr>
      </w:pPr>
    </w:p>
    <w:p w14:paraId="46FC4517" w14:textId="77777777" w:rsidR="009A24B9" w:rsidRPr="00F16B0C" w:rsidRDefault="009A24B9" w:rsidP="00F16B0C">
      <w:pPr>
        <w:widowControl w:val="0"/>
        <w:autoSpaceDE w:val="0"/>
        <w:autoSpaceDN w:val="0"/>
        <w:jc w:val="both"/>
        <w:rPr>
          <w:sz w:val="22"/>
          <w:szCs w:val="22"/>
          <w:lang w:val="sr-Latn-ME"/>
        </w:rPr>
      </w:pPr>
      <w:r w:rsidRPr="00F16B0C">
        <w:rPr>
          <w:sz w:val="22"/>
          <w:szCs w:val="22"/>
          <w:u w:val="single"/>
          <w:lang w:val="sr-Latn-ME"/>
        </w:rPr>
        <w:t>Ostale posebne populacije</w:t>
      </w:r>
    </w:p>
    <w:p w14:paraId="56F3673C" w14:textId="77777777" w:rsidR="009A24B9" w:rsidRPr="00F16B0C" w:rsidRDefault="009A24B9" w:rsidP="00F16B0C">
      <w:pPr>
        <w:widowControl w:val="0"/>
        <w:autoSpaceDE w:val="0"/>
        <w:autoSpaceDN w:val="0"/>
        <w:jc w:val="both"/>
        <w:rPr>
          <w:sz w:val="22"/>
          <w:szCs w:val="22"/>
          <w:lang w:val="sr-Latn-ME"/>
        </w:rPr>
      </w:pPr>
      <w:r w:rsidRPr="00F16B0C">
        <w:rPr>
          <w:sz w:val="22"/>
          <w:szCs w:val="22"/>
          <w:lang w:val="sr-Latn-ME"/>
        </w:rPr>
        <w:t>Dejstva raznih kovarijanata na farmakokinetiku mogamulizumaba proc</w:t>
      </w:r>
      <w:r w:rsidR="001F1DBB" w:rsidRPr="00F16B0C">
        <w:rPr>
          <w:sz w:val="22"/>
          <w:szCs w:val="22"/>
          <w:lang w:val="sr-Latn-ME"/>
        </w:rPr>
        <w:t>ij</w:t>
      </w:r>
      <w:r w:rsidRPr="00F16B0C">
        <w:rPr>
          <w:sz w:val="22"/>
          <w:szCs w:val="22"/>
          <w:lang w:val="sr-Latn-ME"/>
        </w:rPr>
        <w:t>enjena su u populacionoj farmakokinetičkoj analizi. Sl</w:t>
      </w:r>
      <w:r w:rsidR="001F1DBB" w:rsidRPr="00F16B0C">
        <w:rPr>
          <w:sz w:val="22"/>
          <w:szCs w:val="22"/>
          <w:lang w:val="sr-Latn-ME"/>
        </w:rPr>
        <w:t>j</w:t>
      </w:r>
      <w:r w:rsidRPr="00F16B0C">
        <w:rPr>
          <w:sz w:val="22"/>
          <w:szCs w:val="22"/>
          <w:lang w:val="sr-Latn-ME"/>
        </w:rPr>
        <w:t>edeći faktori ni</w:t>
      </w:r>
      <w:r w:rsidR="001F1DBB" w:rsidRPr="00F16B0C">
        <w:rPr>
          <w:sz w:val="22"/>
          <w:szCs w:val="22"/>
          <w:lang w:val="sr-Latn-ME"/>
        </w:rPr>
        <w:t>je</w:t>
      </w:r>
      <w:r w:rsidRPr="00F16B0C">
        <w:rPr>
          <w:sz w:val="22"/>
          <w:szCs w:val="22"/>
          <w:lang w:val="sr-Latn-ME"/>
        </w:rPr>
        <w:t>su imali značajno kliničko dejstvo na CL mogamulizumaba: godine života (raspon: od 22 do 101 godine), pol, etnička pripadnost (osim za japansku, za druge etničke populacije dostupni su ograničeni podaci), oštećenje funkcije bubrega, blago ili umjereno oštećenje funkcije jetre, podvrsta bolesti [mycosis fungoides (MF) ili Sezarijev sindrom (SS)], stepen CCR4 ekspresije ili ECOG status, iako treba napomenuti da su pacijenti sa ECOG PS ≥ 2 isključeni iz kliničkih ispitivanja.</w:t>
      </w:r>
    </w:p>
    <w:p w14:paraId="52CC4781" w14:textId="77777777" w:rsidR="009A24B9" w:rsidRPr="00F16B0C" w:rsidRDefault="009A24B9" w:rsidP="00F16B0C">
      <w:pPr>
        <w:widowControl w:val="0"/>
        <w:autoSpaceDE w:val="0"/>
        <w:autoSpaceDN w:val="0"/>
        <w:jc w:val="both"/>
        <w:rPr>
          <w:sz w:val="22"/>
          <w:szCs w:val="22"/>
          <w:lang w:val="sr-Latn-ME"/>
        </w:rPr>
      </w:pPr>
    </w:p>
    <w:p w14:paraId="01E0107C" w14:textId="77777777" w:rsidR="009A24B9" w:rsidRPr="00F16B0C" w:rsidRDefault="009A24B9" w:rsidP="00F16B0C">
      <w:pPr>
        <w:widowControl w:val="0"/>
        <w:autoSpaceDE w:val="0"/>
        <w:autoSpaceDN w:val="0"/>
        <w:jc w:val="both"/>
        <w:rPr>
          <w:sz w:val="22"/>
          <w:szCs w:val="22"/>
          <w:lang w:val="sr-Latn-ME"/>
        </w:rPr>
      </w:pPr>
      <w:r w:rsidRPr="00F16B0C">
        <w:rPr>
          <w:sz w:val="22"/>
          <w:szCs w:val="22"/>
          <w:u w:val="single"/>
          <w:lang w:val="sr-Latn-ME"/>
        </w:rPr>
        <w:t>Farmakokinetički/farmakodinamički odnos(i)</w:t>
      </w:r>
    </w:p>
    <w:p w14:paraId="0BE518C0" w14:textId="77777777" w:rsidR="009A24B9" w:rsidRPr="00F16B0C" w:rsidRDefault="009A24B9" w:rsidP="00F16B0C">
      <w:pPr>
        <w:widowControl w:val="0"/>
        <w:autoSpaceDE w:val="0"/>
        <w:autoSpaceDN w:val="0"/>
        <w:jc w:val="both"/>
        <w:rPr>
          <w:i/>
          <w:sz w:val="22"/>
          <w:szCs w:val="22"/>
          <w:lang w:val="sr-Latn-ME"/>
        </w:rPr>
      </w:pPr>
      <w:r w:rsidRPr="00F16B0C">
        <w:rPr>
          <w:i/>
          <w:iCs/>
          <w:sz w:val="22"/>
          <w:szCs w:val="22"/>
          <w:lang w:val="sr-Latn-ME"/>
        </w:rPr>
        <w:t>Efikasnost</w:t>
      </w:r>
    </w:p>
    <w:p w14:paraId="6EF33DF7" w14:textId="77777777" w:rsidR="009A24B9" w:rsidRPr="00F16B0C" w:rsidRDefault="009A24B9" w:rsidP="00F16B0C">
      <w:pPr>
        <w:widowControl w:val="0"/>
        <w:tabs>
          <w:tab w:val="left" w:pos="540"/>
          <w:tab w:val="left" w:pos="569"/>
        </w:tabs>
        <w:jc w:val="both"/>
        <w:rPr>
          <w:sz w:val="22"/>
          <w:szCs w:val="22"/>
          <w:lang w:val="sr-Latn-ME"/>
        </w:rPr>
      </w:pPr>
      <w:r w:rsidRPr="00F16B0C">
        <w:rPr>
          <w:sz w:val="22"/>
          <w:szCs w:val="22"/>
          <w:lang w:val="sr-Latn-ME"/>
        </w:rPr>
        <w:t>Analiza odnosa izloženosti i odgovora pokazala je u pivotalnoj studiji da efikasnost nije povezana sa izloženošću mogamulizumabu. Efikasnost, izmjerena poboljšanjem PFS na osnovu proc</w:t>
      </w:r>
      <w:r w:rsidR="001F1DBB" w:rsidRPr="00F16B0C">
        <w:rPr>
          <w:sz w:val="22"/>
          <w:szCs w:val="22"/>
          <w:lang w:val="sr-Latn-ME"/>
        </w:rPr>
        <w:t>j</w:t>
      </w:r>
      <w:r w:rsidRPr="00F16B0C">
        <w:rPr>
          <w:sz w:val="22"/>
          <w:szCs w:val="22"/>
          <w:lang w:val="sr-Latn-ME"/>
        </w:rPr>
        <w:t>ene istraživača, nije bila povezana sa povećanim izlaganjem mogamulizumabu.</w:t>
      </w:r>
    </w:p>
    <w:p w14:paraId="049D10C1" w14:textId="77777777" w:rsidR="0072020E" w:rsidRPr="00F16B0C" w:rsidRDefault="0072020E" w:rsidP="00F16B0C">
      <w:pPr>
        <w:widowControl w:val="0"/>
        <w:tabs>
          <w:tab w:val="left" w:pos="540"/>
          <w:tab w:val="left" w:pos="569"/>
        </w:tabs>
        <w:jc w:val="both"/>
        <w:rPr>
          <w:bCs/>
          <w:sz w:val="22"/>
          <w:szCs w:val="22"/>
          <w:lang w:val="sr-Latn-ME"/>
        </w:rPr>
      </w:pPr>
    </w:p>
    <w:p w14:paraId="18987330" w14:textId="77777777" w:rsidR="0072020E" w:rsidRPr="00F16B0C" w:rsidRDefault="0072020E" w:rsidP="00F16B0C">
      <w:pPr>
        <w:widowControl w:val="0"/>
        <w:tabs>
          <w:tab w:val="left" w:pos="540"/>
          <w:tab w:val="left" w:pos="569"/>
        </w:tabs>
        <w:jc w:val="both"/>
        <w:rPr>
          <w:b/>
          <w:bCs/>
          <w:sz w:val="22"/>
          <w:szCs w:val="22"/>
          <w:lang w:val="sr-Latn-ME"/>
        </w:rPr>
      </w:pPr>
      <w:r w:rsidRPr="00F16B0C">
        <w:rPr>
          <w:b/>
          <w:bCs/>
          <w:sz w:val="22"/>
          <w:szCs w:val="22"/>
          <w:lang w:val="sr-Latn-ME"/>
        </w:rPr>
        <w:t xml:space="preserve">5.3. </w:t>
      </w:r>
      <w:r w:rsidR="00480FB1" w:rsidRPr="00F16B0C">
        <w:rPr>
          <w:b/>
          <w:bCs/>
          <w:sz w:val="22"/>
          <w:szCs w:val="22"/>
          <w:lang w:val="sr-Latn-ME"/>
        </w:rPr>
        <w:tab/>
      </w:r>
      <w:r w:rsidRPr="00F16B0C">
        <w:rPr>
          <w:b/>
          <w:bCs/>
          <w:sz w:val="22"/>
          <w:szCs w:val="22"/>
          <w:lang w:val="sr-Latn-ME"/>
        </w:rPr>
        <w:t xml:space="preserve">Pretklinički podaci o bezbjednosti </w:t>
      </w:r>
    </w:p>
    <w:p w14:paraId="2B87BF52" w14:textId="77777777" w:rsidR="00836B35" w:rsidRPr="00F16B0C" w:rsidRDefault="00836B35" w:rsidP="00F16B0C">
      <w:pPr>
        <w:widowControl w:val="0"/>
        <w:tabs>
          <w:tab w:val="left" w:pos="540"/>
          <w:tab w:val="left" w:pos="569"/>
        </w:tabs>
        <w:jc w:val="both"/>
        <w:rPr>
          <w:bCs/>
          <w:sz w:val="22"/>
          <w:szCs w:val="22"/>
          <w:lang w:val="sr-Latn-ME"/>
        </w:rPr>
      </w:pPr>
    </w:p>
    <w:p w14:paraId="11C38030" w14:textId="77777777" w:rsidR="009A24B9" w:rsidRPr="00F16B0C" w:rsidRDefault="009A24B9" w:rsidP="00F16B0C">
      <w:pPr>
        <w:widowControl w:val="0"/>
        <w:autoSpaceDE w:val="0"/>
        <w:autoSpaceDN w:val="0"/>
        <w:jc w:val="both"/>
        <w:rPr>
          <w:sz w:val="22"/>
          <w:szCs w:val="22"/>
          <w:lang w:val="sr-Latn-ME"/>
        </w:rPr>
      </w:pPr>
      <w:r w:rsidRPr="00F16B0C">
        <w:rPr>
          <w:sz w:val="22"/>
          <w:szCs w:val="22"/>
          <w:lang w:val="sr-Latn-ME"/>
        </w:rPr>
        <w:t>Preklinički podaci ne ukazuju na poseban rizik kod ljudi na osnovu konvencionalnih studija toksičnosti ponovljene doze. Ni</w:t>
      </w:r>
      <w:r w:rsidR="001F1DBB" w:rsidRPr="00F16B0C">
        <w:rPr>
          <w:sz w:val="22"/>
          <w:szCs w:val="22"/>
          <w:lang w:val="sr-Latn-ME"/>
        </w:rPr>
        <w:t>je</w:t>
      </w:r>
      <w:r w:rsidRPr="00F16B0C">
        <w:rPr>
          <w:sz w:val="22"/>
          <w:szCs w:val="22"/>
          <w:lang w:val="sr-Latn-ME"/>
        </w:rPr>
        <w:t>su sprovedene studije kancerogenosti ili genotoksičnosti sa mogamulizumabom. Ni</w:t>
      </w:r>
      <w:r w:rsidR="001F1DBB" w:rsidRPr="00F16B0C">
        <w:rPr>
          <w:sz w:val="22"/>
          <w:szCs w:val="22"/>
          <w:lang w:val="sr-Latn-ME"/>
        </w:rPr>
        <w:t>je</w:t>
      </w:r>
      <w:r w:rsidRPr="00F16B0C">
        <w:rPr>
          <w:sz w:val="22"/>
          <w:szCs w:val="22"/>
          <w:lang w:val="sr-Latn-ME"/>
        </w:rPr>
        <w:t>su sprovedene posebne studije u svrhu proc</w:t>
      </w:r>
      <w:r w:rsidR="007C5BC4" w:rsidRPr="00F16B0C">
        <w:rPr>
          <w:sz w:val="22"/>
          <w:szCs w:val="22"/>
          <w:lang w:val="sr-Latn-ME"/>
        </w:rPr>
        <w:t>j</w:t>
      </w:r>
      <w:r w:rsidRPr="00F16B0C">
        <w:rPr>
          <w:sz w:val="22"/>
          <w:szCs w:val="22"/>
          <w:lang w:val="sr-Latn-ME"/>
        </w:rPr>
        <w:t>ene potencijalnog dejstva na plodnost.</w:t>
      </w:r>
    </w:p>
    <w:p w14:paraId="14196B49" w14:textId="77777777" w:rsidR="009A24B9" w:rsidRPr="00F16B0C" w:rsidRDefault="009A24B9" w:rsidP="00F16B0C">
      <w:pPr>
        <w:widowControl w:val="0"/>
        <w:autoSpaceDE w:val="0"/>
        <w:autoSpaceDN w:val="0"/>
        <w:jc w:val="both"/>
        <w:rPr>
          <w:sz w:val="22"/>
          <w:szCs w:val="22"/>
          <w:lang w:val="sr-Latn-ME"/>
        </w:rPr>
      </w:pPr>
    </w:p>
    <w:p w14:paraId="2E358BB0" w14:textId="77777777" w:rsidR="009A24B9" w:rsidRPr="00F16B0C" w:rsidRDefault="009A24B9" w:rsidP="00F16B0C">
      <w:pPr>
        <w:widowControl w:val="0"/>
        <w:autoSpaceDE w:val="0"/>
        <w:autoSpaceDN w:val="0"/>
        <w:jc w:val="both"/>
        <w:rPr>
          <w:sz w:val="22"/>
          <w:szCs w:val="22"/>
          <w:lang w:val="sr-Latn-ME"/>
        </w:rPr>
      </w:pPr>
      <w:r w:rsidRPr="00F16B0C">
        <w:rPr>
          <w:sz w:val="22"/>
          <w:szCs w:val="22"/>
          <w:lang w:val="sr-Latn-ME"/>
        </w:rPr>
        <w:t>Ni</w:t>
      </w:r>
      <w:r w:rsidR="00B50014" w:rsidRPr="00F16B0C">
        <w:rPr>
          <w:sz w:val="22"/>
          <w:szCs w:val="22"/>
          <w:lang w:val="sr-Latn-ME"/>
        </w:rPr>
        <w:t>je</w:t>
      </w:r>
      <w:r w:rsidRPr="00F16B0C">
        <w:rPr>
          <w:sz w:val="22"/>
          <w:szCs w:val="22"/>
          <w:lang w:val="sr-Latn-ME"/>
        </w:rPr>
        <w:t>su zapažena toksična dejstva na reproduktivne organe mužjaka i ženki povezana sa mogamulizumabom u studijama toksičnosti ponovljenih doza kod polno zrelih majmuna do 26 nedjelja.</w:t>
      </w:r>
    </w:p>
    <w:p w14:paraId="573CB34E" w14:textId="77777777" w:rsidR="009A24B9" w:rsidRPr="00F16B0C" w:rsidRDefault="009A24B9" w:rsidP="00F16B0C">
      <w:pPr>
        <w:widowControl w:val="0"/>
        <w:autoSpaceDE w:val="0"/>
        <w:autoSpaceDN w:val="0"/>
        <w:jc w:val="both"/>
        <w:rPr>
          <w:sz w:val="22"/>
          <w:szCs w:val="22"/>
          <w:lang w:val="sr-Latn-ME"/>
        </w:rPr>
      </w:pPr>
    </w:p>
    <w:p w14:paraId="4EB7A568" w14:textId="77777777" w:rsidR="009A24B9" w:rsidRPr="00F16B0C" w:rsidRDefault="009A24B9" w:rsidP="00F16B0C">
      <w:pPr>
        <w:widowControl w:val="0"/>
        <w:autoSpaceDE w:val="0"/>
        <w:autoSpaceDN w:val="0"/>
        <w:jc w:val="both"/>
        <w:rPr>
          <w:sz w:val="22"/>
          <w:szCs w:val="22"/>
          <w:lang w:val="sr-Latn-ME"/>
        </w:rPr>
      </w:pPr>
      <w:r w:rsidRPr="00F16B0C">
        <w:rPr>
          <w:sz w:val="22"/>
          <w:szCs w:val="22"/>
          <w:lang w:val="sr-Latn-ME"/>
        </w:rPr>
        <w:t>U studiji reproduktivne i razvojne toksičnosti na životinjama, primjena mogamulizumaba kod trudnih makaki majmuna od početka organogeneze do porođaja nije pokazala potencijal za letalitet embriona i fetusa, teratogenost, ili zastoj u rastu fetusa. Generalno je poznato da molekuli IgG prolaze placentalnu barijeru i utvrđene su koncentracije mogamulizumaba u plazmi fetusa. Farmakološka aktivnost mogamulizumaba zabilježena je kod fetusa jer je bilo očigledno smanjenje CCR4 ekspresije na limfocitima.</w:t>
      </w:r>
    </w:p>
    <w:p w14:paraId="76515A19" w14:textId="77777777" w:rsidR="009A24B9" w:rsidRPr="00F16B0C" w:rsidRDefault="009A24B9" w:rsidP="00F16B0C">
      <w:pPr>
        <w:widowControl w:val="0"/>
        <w:tabs>
          <w:tab w:val="left" w:pos="540"/>
          <w:tab w:val="left" w:pos="569"/>
        </w:tabs>
        <w:jc w:val="both"/>
        <w:rPr>
          <w:bCs/>
          <w:sz w:val="22"/>
          <w:szCs w:val="22"/>
          <w:lang w:val="sr-Latn-ME"/>
        </w:rPr>
      </w:pPr>
    </w:p>
    <w:p w14:paraId="29FA70B0" w14:textId="77777777" w:rsidR="00396DFD" w:rsidRPr="00F16B0C" w:rsidRDefault="00396DFD" w:rsidP="00F16B0C">
      <w:pPr>
        <w:widowControl w:val="0"/>
        <w:tabs>
          <w:tab w:val="left" w:pos="540"/>
          <w:tab w:val="left" w:pos="569"/>
        </w:tabs>
        <w:jc w:val="both"/>
        <w:rPr>
          <w:b/>
          <w:bCs/>
          <w:sz w:val="22"/>
          <w:szCs w:val="22"/>
          <w:lang w:val="sr-Latn-ME"/>
        </w:rPr>
      </w:pPr>
    </w:p>
    <w:p w14:paraId="07C1D04E" w14:textId="77777777" w:rsidR="0072020E" w:rsidRPr="00F16B0C" w:rsidRDefault="0072020E" w:rsidP="00F16B0C">
      <w:pPr>
        <w:widowControl w:val="0"/>
        <w:tabs>
          <w:tab w:val="left" w:pos="540"/>
          <w:tab w:val="left" w:pos="569"/>
        </w:tabs>
        <w:jc w:val="both"/>
        <w:rPr>
          <w:b/>
          <w:bCs/>
          <w:sz w:val="22"/>
          <w:szCs w:val="22"/>
          <w:lang w:val="sr-Latn-ME"/>
        </w:rPr>
      </w:pPr>
      <w:r w:rsidRPr="00F16B0C">
        <w:rPr>
          <w:b/>
          <w:bCs/>
          <w:sz w:val="22"/>
          <w:szCs w:val="22"/>
          <w:lang w:val="sr-Latn-ME"/>
        </w:rPr>
        <w:t xml:space="preserve">6. </w:t>
      </w:r>
      <w:r w:rsidR="00480FB1" w:rsidRPr="00F16B0C">
        <w:rPr>
          <w:b/>
          <w:bCs/>
          <w:sz w:val="22"/>
          <w:szCs w:val="22"/>
          <w:lang w:val="sr-Latn-ME"/>
        </w:rPr>
        <w:tab/>
      </w:r>
      <w:r w:rsidRPr="00F16B0C">
        <w:rPr>
          <w:b/>
          <w:bCs/>
          <w:sz w:val="22"/>
          <w:szCs w:val="22"/>
          <w:lang w:val="sr-Latn-ME"/>
        </w:rPr>
        <w:t>FARMACEUTSKI PODACI</w:t>
      </w:r>
    </w:p>
    <w:p w14:paraId="3160F4F0" w14:textId="77777777" w:rsidR="00836B35" w:rsidRPr="00F16B0C" w:rsidRDefault="00836B35" w:rsidP="00F16B0C">
      <w:pPr>
        <w:widowControl w:val="0"/>
        <w:tabs>
          <w:tab w:val="left" w:pos="540"/>
          <w:tab w:val="left" w:pos="569"/>
        </w:tabs>
        <w:jc w:val="both"/>
        <w:rPr>
          <w:bCs/>
          <w:sz w:val="22"/>
          <w:szCs w:val="22"/>
          <w:lang w:val="sr-Latn-ME"/>
        </w:rPr>
      </w:pPr>
    </w:p>
    <w:p w14:paraId="6FA1624B" w14:textId="77777777" w:rsidR="0072020E" w:rsidRPr="00F16B0C" w:rsidRDefault="0072020E" w:rsidP="00F16B0C">
      <w:pPr>
        <w:widowControl w:val="0"/>
        <w:tabs>
          <w:tab w:val="left" w:pos="540"/>
          <w:tab w:val="left" w:pos="569"/>
        </w:tabs>
        <w:jc w:val="both"/>
        <w:rPr>
          <w:b/>
          <w:bCs/>
          <w:sz w:val="22"/>
          <w:szCs w:val="22"/>
          <w:lang w:val="sr-Latn-ME"/>
        </w:rPr>
      </w:pPr>
      <w:r w:rsidRPr="00F16B0C">
        <w:rPr>
          <w:b/>
          <w:bCs/>
          <w:sz w:val="22"/>
          <w:szCs w:val="22"/>
          <w:lang w:val="sr-Latn-ME"/>
        </w:rPr>
        <w:t xml:space="preserve">6.1. </w:t>
      </w:r>
      <w:r w:rsidR="00480FB1" w:rsidRPr="00F16B0C">
        <w:rPr>
          <w:b/>
          <w:bCs/>
          <w:sz w:val="22"/>
          <w:szCs w:val="22"/>
          <w:lang w:val="sr-Latn-ME"/>
        </w:rPr>
        <w:tab/>
      </w:r>
      <w:r w:rsidRPr="00F16B0C">
        <w:rPr>
          <w:b/>
          <w:bCs/>
          <w:sz w:val="22"/>
          <w:szCs w:val="22"/>
          <w:lang w:val="sr-Latn-ME"/>
        </w:rPr>
        <w:t>Lista pomoćnih supstanci</w:t>
      </w:r>
      <w:r w:rsidR="002E0135" w:rsidRPr="00F16B0C">
        <w:rPr>
          <w:b/>
          <w:bCs/>
          <w:sz w:val="22"/>
          <w:szCs w:val="22"/>
          <w:lang w:val="sr-Latn-ME"/>
        </w:rPr>
        <w:t xml:space="preserve"> (ekscipijenasa)</w:t>
      </w:r>
    </w:p>
    <w:p w14:paraId="1D44BF8C" w14:textId="77777777" w:rsidR="0072020E" w:rsidRPr="00F16B0C" w:rsidRDefault="0072020E" w:rsidP="00F16B0C">
      <w:pPr>
        <w:widowControl w:val="0"/>
        <w:tabs>
          <w:tab w:val="left" w:pos="540"/>
          <w:tab w:val="left" w:pos="569"/>
        </w:tabs>
        <w:jc w:val="both"/>
        <w:rPr>
          <w:bCs/>
          <w:sz w:val="22"/>
          <w:szCs w:val="22"/>
          <w:lang w:val="sr-Latn-ME"/>
        </w:rPr>
      </w:pPr>
    </w:p>
    <w:p w14:paraId="717531B4" w14:textId="77777777" w:rsidR="007C5BC4" w:rsidRPr="00F16B0C" w:rsidRDefault="00F45AC8" w:rsidP="00F16B0C">
      <w:pPr>
        <w:widowControl w:val="0"/>
        <w:tabs>
          <w:tab w:val="left" w:pos="540"/>
          <w:tab w:val="left" w:pos="567"/>
        </w:tabs>
        <w:jc w:val="both"/>
        <w:rPr>
          <w:bCs/>
          <w:sz w:val="22"/>
          <w:szCs w:val="22"/>
          <w:lang w:val="sr-Latn-ME"/>
        </w:rPr>
      </w:pPr>
      <w:r w:rsidRPr="00F16B0C">
        <w:rPr>
          <w:bCs/>
          <w:sz w:val="22"/>
          <w:szCs w:val="22"/>
          <w:lang w:val="sr-Latn-ME"/>
        </w:rPr>
        <w:t xml:space="preserve">Limunska </w:t>
      </w:r>
      <w:r w:rsidR="007C5BC4" w:rsidRPr="00F16B0C">
        <w:rPr>
          <w:bCs/>
          <w:sz w:val="22"/>
          <w:szCs w:val="22"/>
          <w:lang w:val="sr-Latn-ME"/>
        </w:rPr>
        <w:t>kiselina monohidrat</w:t>
      </w:r>
    </w:p>
    <w:p w14:paraId="3800AA0C" w14:textId="77777777" w:rsidR="007C5BC4" w:rsidRPr="00F16B0C" w:rsidRDefault="007C5BC4" w:rsidP="00F16B0C">
      <w:pPr>
        <w:widowControl w:val="0"/>
        <w:tabs>
          <w:tab w:val="left" w:pos="540"/>
          <w:tab w:val="left" w:pos="567"/>
        </w:tabs>
        <w:jc w:val="both"/>
        <w:rPr>
          <w:bCs/>
          <w:sz w:val="22"/>
          <w:szCs w:val="22"/>
          <w:lang w:val="sr-Latn-ME"/>
        </w:rPr>
      </w:pPr>
      <w:r w:rsidRPr="00F16B0C">
        <w:rPr>
          <w:bCs/>
          <w:sz w:val="22"/>
          <w:szCs w:val="22"/>
          <w:lang w:val="sr-Latn-ME"/>
        </w:rPr>
        <w:t xml:space="preserve">Glicin </w:t>
      </w:r>
    </w:p>
    <w:p w14:paraId="0C885851" w14:textId="77777777" w:rsidR="007C5BC4" w:rsidRPr="00F16B0C" w:rsidRDefault="007C5BC4" w:rsidP="00F16B0C">
      <w:pPr>
        <w:widowControl w:val="0"/>
        <w:tabs>
          <w:tab w:val="left" w:pos="540"/>
          <w:tab w:val="left" w:pos="567"/>
        </w:tabs>
        <w:jc w:val="both"/>
        <w:rPr>
          <w:bCs/>
          <w:sz w:val="22"/>
          <w:szCs w:val="22"/>
          <w:lang w:val="sr-Latn-ME"/>
        </w:rPr>
      </w:pPr>
      <w:r w:rsidRPr="00F16B0C">
        <w:rPr>
          <w:bCs/>
          <w:sz w:val="22"/>
          <w:szCs w:val="22"/>
          <w:lang w:val="sr-Latn-ME"/>
        </w:rPr>
        <w:t>Polisorbat 80</w:t>
      </w:r>
    </w:p>
    <w:p w14:paraId="65B0D99D" w14:textId="77777777" w:rsidR="007C5BC4" w:rsidRPr="00F16B0C" w:rsidRDefault="007C5BC4" w:rsidP="00F16B0C">
      <w:pPr>
        <w:widowControl w:val="0"/>
        <w:tabs>
          <w:tab w:val="left" w:pos="540"/>
          <w:tab w:val="left" w:pos="567"/>
        </w:tabs>
        <w:jc w:val="both"/>
        <w:rPr>
          <w:bCs/>
          <w:sz w:val="22"/>
          <w:szCs w:val="22"/>
          <w:lang w:val="sr-Latn-ME"/>
        </w:rPr>
      </w:pPr>
      <w:r w:rsidRPr="00F16B0C">
        <w:rPr>
          <w:bCs/>
          <w:sz w:val="22"/>
          <w:szCs w:val="22"/>
          <w:lang w:val="sr-Latn-ME"/>
        </w:rPr>
        <w:lastRenderedPageBreak/>
        <w:t>Natrijum</w:t>
      </w:r>
      <w:r w:rsidR="0073588A" w:rsidRPr="00F16B0C">
        <w:rPr>
          <w:bCs/>
          <w:sz w:val="22"/>
          <w:szCs w:val="22"/>
          <w:lang w:val="sr-Latn-ME"/>
        </w:rPr>
        <w:t>-</w:t>
      </w:r>
      <w:r w:rsidRPr="00F16B0C">
        <w:rPr>
          <w:bCs/>
          <w:sz w:val="22"/>
          <w:szCs w:val="22"/>
          <w:lang w:val="sr-Latn-ME"/>
        </w:rPr>
        <w:t>hidroksid (za podešavanje pH)</w:t>
      </w:r>
    </w:p>
    <w:p w14:paraId="4C995319" w14:textId="77777777" w:rsidR="007C5BC4" w:rsidRPr="00F16B0C" w:rsidRDefault="007C5BC4" w:rsidP="00F16B0C">
      <w:pPr>
        <w:widowControl w:val="0"/>
        <w:tabs>
          <w:tab w:val="left" w:pos="540"/>
          <w:tab w:val="left" w:pos="567"/>
        </w:tabs>
        <w:jc w:val="both"/>
        <w:rPr>
          <w:bCs/>
          <w:sz w:val="22"/>
          <w:szCs w:val="22"/>
          <w:lang w:val="sr-Latn-ME"/>
        </w:rPr>
      </w:pPr>
      <w:r w:rsidRPr="00F16B0C">
        <w:rPr>
          <w:bCs/>
          <w:sz w:val="22"/>
          <w:szCs w:val="22"/>
          <w:lang w:val="sr-Latn-ME"/>
        </w:rPr>
        <w:t>Hlorovodonična kiselina (za podešavanje pH)</w:t>
      </w:r>
    </w:p>
    <w:p w14:paraId="3115B19C" w14:textId="77777777" w:rsidR="007C5BC4" w:rsidRPr="00F16B0C" w:rsidRDefault="007C5BC4" w:rsidP="00F16B0C">
      <w:pPr>
        <w:widowControl w:val="0"/>
        <w:tabs>
          <w:tab w:val="left" w:pos="540"/>
          <w:tab w:val="left" w:pos="569"/>
        </w:tabs>
        <w:jc w:val="both"/>
        <w:rPr>
          <w:bCs/>
          <w:sz w:val="22"/>
          <w:szCs w:val="22"/>
          <w:lang w:val="sr-Latn-ME"/>
        </w:rPr>
      </w:pPr>
      <w:r w:rsidRPr="00F16B0C">
        <w:rPr>
          <w:bCs/>
          <w:sz w:val="22"/>
          <w:szCs w:val="22"/>
          <w:lang w:val="sr-Latn-ME"/>
        </w:rPr>
        <w:t>Voda za injekcije</w:t>
      </w:r>
    </w:p>
    <w:p w14:paraId="284B8B1C" w14:textId="77777777" w:rsidR="007C5BC4" w:rsidRPr="00F16B0C" w:rsidRDefault="007C5BC4" w:rsidP="00F16B0C">
      <w:pPr>
        <w:widowControl w:val="0"/>
        <w:tabs>
          <w:tab w:val="left" w:pos="540"/>
          <w:tab w:val="left" w:pos="569"/>
        </w:tabs>
        <w:jc w:val="both"/>
        <w:rPr>
          <w:bCs/>
          <w:sz w:val="22"/>
          <w:szCs w:val="22"/>
          <w:lang w:val="sr-Latn-ME"/>
        </w:rPr>
      </w:pPr>
    </w:p>
    <w:p w14:paraId="7524780D" w14:textId="77777777" w:rsidR="0072020E" w:rsidRPr="00F16B0C" w:rsidRDefault="0072020E" w:rsidP="00F16B0C">
      <w:pPr>
        <w:widowControl w:val="0"/>
        <w:tabs>
          <w:tab w:val="left" w:pos="540"/>
          <w:tab w:val="left" w:pos="569"/>
        </w:tabs>
        <w:jc w:val="both"/>
        <w:rPr>
          <w:b/>
          <w:bCs/>
          <w:sz w:val="22"/>
          <w:szCs w:val="22"/>
          <w:lang w:val="sr-Latn-ME"/>
        </w:rPr>
      </w:pPr>
      <w:r w:rsidRPr="00F16B0C">
        <w:rPr>
          <w:b/>
          <w:bCs/>
          <w:sz w:val="22"/>
          <w:szCs w:val="22"/>
          <w:lang w:val="sr-Latn-ME"/>
        </w:rPr>
        <w:t xml:space="preserve">6.2. </w:t>
      </w:r>
      <w:r w:rsidR="00480FB1" w:rsidRPr="00F16B0C">
        <w:rPr>
          <w:b/>
          <w:bCs/>
          <w:sz w:val="22"/>
          <w:szCs w:val="22"/>
          <w:lang w:val="sr-Latn-ME"/>
        </w:rPr>
        <w:tab/>
      </w:r>
      <w:r w:rsidRPr="00F16B0C">
        <w:rPr>
          <w:b/>
          <w:bCs/>
          <w:sz w:val="22"/>
          <w:szCs w:val="22"/>
          <w:lang w:val="sr-Latn-ME"/>
        </w:rPr>
        <w:t>Inkompatibilnost</w:t>
      </w:r>
      <w:r w:rsidR="002846DB" w:rsidRPr="00F16B0C">
        <w:rPr>
          <w:b/>
          <w:bCs/>
          <w:sz w:val="22"/>
          <w:szCs w:val="22"/>
          <w:lang w:val="sr-Latn-ME"/>
        </w:rPr>
        <w:t>i</w:t>
      </w:r>
    </w:p>
    <w:p w14:paraId="131E847C" w14:textId="77777777" w:rsidR="007C5BC4" w:rsidRPr="00F16B0C" w:rsidRDefault="007C5BC4" w:rsidP="00F16B0C">
      <w:pPr>
        <w:widowControl w:val="0"/>
        <w:autoSpaceDE w:val="0"/>
        <w:autoSpaceDN w:val="0"/>
        <w:jc w:val="both"/>
        <w:rPr>
          <w:sz w:val="22"/>
          <w:szCs w:val="22"/>
          <w:lang w:val="sr-Latn-ME"/>
        </w:rPr>
      </w:pPr>
    </w:p>
    <w:p w14:paraId="14CD42F8" w14:textId="77777777" w:rsidR="007C5BC4" w:rsidRPr="00F16B0C" w:rsidRDefault="007C5BC4" w:rsidP="00F16B0C">
      <w:pPr>
        <w:widowControl w:val="0"/>
        <w:autoSpaceDE w:val="0"/>
        <w:autoSpaceDN w:val="0"/>
        <w:jc w:val="both"/>
        <w:rPr>
          <w:sz w:val="22"/>
          <w:szCs w:val="22"/>
          <w:lang w:val="sr-Latn-ME"/>
        </w:rPr>
      </w:pPr>
      <w:r w:rsidRPr="00F16B0C">
        <w:rPr>
          <w:sz w:val="22"/>
          <w:szCs w:val="22"/>
          <w:lang w:val="sr-Latn-ME"/>
        </w:rPr>
        <w:t>Zbog nedostatka studija kompatibilnosti ovaj lijek se ne smije m</w:t>
      </w:r>
      <w:r w:rsidR="00F10956" w:rsidRPr="00F16B0C">
        <w:rPr>
          <w:sz w:val="22"/>
          <w:szCs w:val="22"/>
          <w:lang w:val="sr-Latn-ME"/>
        </w:rPr>
        <w:t>i</w:t>
      </w:r>
      <w:r w:rsidRPr="00F16B0C">
        <w:rPr>
          <w:sz w:val="22"/>
          <w:szCs w:val="22"/>
          <w:lang w:val="sr-Latn-ME"/>
        </w:rPr>
        <w:t>ješati sa drugim ljekovima. Mogamulizumab se ne smije prim</w:t>
      </w:r>
      <w:r w:rsidR="00F10956" w:rsidRPr="00F16B0C">
        <w:rPr>
          <w:sz w:val="22"/>
          <w:szCs w:val="22"/>
          <w:lang w:val="sr-Latn-ME"/>
        </w:rPr>
        <w:t>i</w:t>
      </w:r>
      <w:r w:rsidRPr="00F16B0C">
        <w:rPr>
          <w:sz w:val="22"/>
          <w:szCs w:val="22"/>
          <w:lang w:val="sr-Latn-ME"/>
        </w:rPr>
        <w:t>jeniti putem infuzije istovremeno u istu vensku liniju sa drugim ljekovima.</w:t>
      </w:r>
    </w:p>
    <w:p w14:paraId="218EE73B" w14:textId="77777777" w:rsidR="007C5BC4" w:rsidRPr="00F16B0C" w:rsidRDefault="007C5BC4" w:rsidP="00F16B0C">
      <w:pPr>
        <w:widowControl w:val="0"/>
        <w:tabs>
          <w:tab w:val="left" w:pos="540"/>
          <w:tab w:val="left" w:pos="569"/>
        </w:tabs>
        <w:jc w:val="both"/>
        <w:rPr>
          <w:bCs/>
          <w:sz w:val="22"/>
          <w:szCs w:val="22"/>
          <w:lang w:val="sr-Latn-ME"/>
        </w:rPr>
      </w:pPr>
    </w:p>
    <w:p w14:paraId="024992B0" w14:textId="77777777" w:rsidR="0072020E" w:rsidRPr="00F16B0C" w:rsidRDefault="0072020E" w:rsidP="00F16B0C">
      <w:pPr>
        <w:widowControl w:val="0"/>
        <w:tabs>
          <w:tab w:val="left" w:pos="540"/>
          <w:tab w:val="left" w:pos="569"/>
        </w:tabs>
        <w:jc w:val="both"/>
        <w:rPr>
          <w:b/>
          <w:bCs/>
          <w:sz w:val="22"/>
          <w:szCs w:val="22"/>
          <w:lang w:val="sr-Latn-ME"/>
        </w:rPr>
      </w:pPr>
      <w:r w:rsidRPr="00F16B0C">
        <w:rPr>
          <w:b/>
          <w:bCs/>
          <w:sz w:val="22"/>
          <w:szCs w:val="22"/>
          <w:lang w:val="sr-Latn-ME"/>
        </w:rPr>
        <w:t>6.3.</w:t>
      </w:r>
      <w:r w:rsidR="00C05DF8" w:rsidRPr="00F16B0C">
        <w:rPr>
          <w:b/>
          <w:bCs/>
          <w:sz w:val="22"/>
          <w:szCs w:val="22"/>
          <w:lang w:val="sr-Latn-ME"/>
        </w:rPr>
        <w:t xml:space="preserve"> </w:t>
      </w:r>
      <w:r w:rsidR="00480FB1" w:rsidRPr="00F16B0C">
        <w:rPr>
          <w:b/>
          <w:bCs/>
          <w:sz w:val="22"/>
          <w:szCs w:val="22"/>
          <w:lang w:val="sr-Latn-ME"/>
        </w:rPr>
        <w:tab/>
      </w:r>
      <w:r w:rsidRPr="00F16B0C">
        <w:rPr>
          <w:b/>
          <w:bCs/>
          <w:sz w:val="22"/>
          <w:szCs w:val="22"/>
          <w:lang w:val="sr-Latn-ME"/>
        </w:rPr>
        <w:t>Rok upotrebe</w:t>
      </w:r>
    </w:p>
    <w:p w14:paraId="5B8D0BA7" w14:textId="77777777" w:rsidR="007C5BC4" w:rsidRPr="00F16B0C" w:rsidRDefault="007C5BC4" w:rsidP="00F16B0C">
      <w:pPr>
        <w:widowControl w:val="0"/>
        <w:jc w:val="both"/>
        <w:rPr>
          <w:sz w:val="22"/>
          <w:szCs w:val="22"/>
          <w:lang w:val="sr-Latn-ME"/>
        </w:rPr>
      </w:pPr>
    </w:p>
    <w:p w14:paraId="4D04FBD5" w14:textId="77777777" w:rsidR="007C5BC4" w:rsidRPr="00F16B0C" w:rsidRDefault="007C5BC4" w:rsidP="00F16B0C">
      <w:pPr>
        <w:widowControl w:val="0"/>
        <w:autoSpaceDE w:val="0"/>
        <w:autoSpaceDN w:val="0"/>
        <w:jc w:val="both"/>
        <w:rPr>
          <w:sz w:val="22"/>
          <w:szCs w:val="22"/>
          <w:lang w:val="sr-Latn-ME"/>
        </w:rPr>
      </w:pPr>
      <w:r w:rsidRPr="00F16B0C">
        <w:rPr>
          <w:sz w:val="22"/>
          <w:szCs w:val="22"/>
          <w:u w:val="single"/>
          <w:lang w:val="sr-Latn-ME"/>
        </w:rPr>
        <w:t>Neotvorena bočica</w:t>
      </w:r>
      <w:r w:rsidRPr="00F16B0C">
        <w:rPr>
          <w:sz w:val="22"/>
          <w:szCs w:val="22"/>
          <w:lang w:val="sr-Latn-ME"/>
        </w:rPr>
        <w:t xml:space="preserve"> </w:t>
      </w:r>
    </w:p>
    <w:p w14:paraId="533DF604" w14:textId="77777777" w:rsidR="007C5BC4" w:rsidRPr="00F16B0C" w:rsidRDefault="007C5BC4" w:rsidP="00F16B0C">
      <w:pPr>
        <w:widowControl w:val="0"/>
        <w:autoSpaceDE w:val="0"/>
        <w:autoSpaceDN w:val="0"/>
        <w:jc w:val="both"/>
        <w:rPr>
          <w:sz w:val="22"/>
          <w:szCs w:val="22"/>
          <w:lang w:val="sr-Latn-ME"/>
        </w:rPr>
      </w:pPr>
      <w:r w:rsidRPr="00F16B0C">
        <w:rPr>
          <w:sz w:val="22"/>
          <w:szCs w:val="22"/>
          <w:lang w:val="sr-Latn-ME"/>
        </w:rPr>
        <w:t>3 godine</w:t>
      </w:r>
    </w:p>
    <w:p w14:paraId="0B13D6EA" w14:textId="77777777" w:rsidR="007C5BC4" w:rsidRPr="00F16B0C" w:rsidRDefault="007C5BC4" w:rsidP="00F16B0C">
      <w:pPr>
        <w:widowControl w:val="0"/>
        <w:autoSpaceDE w:val="0"/>
        <w:autoSpaceDN w:val="0"/>
        <w:jc w:val="both"/>
        <w:rPr>
          <w:sz w:val="22"/>
          <w:szCs w:val="22"/>
          <w:lang w:val="sr-Latn-ME"/>
        </w:rPr>
      </w:pPr>
    </w:p>
    <w:p w14:paraId="13289239" w14:textId="77777777" w:rsidR="007C5BC4" w:rsidRPr="00F16B0C" w:rsidRDefault="007C5BC4" w:rsidP="00F16B0C">
      <w:pPr>
        <w:widowControl w:val="0"/>
        <w:autoSpaceDE w:val="0"/>
        <w:autoSpaceDN w:val="0"/>
        <w:jc w:val="both"/>
        <w:rPr>
          <w:sz w:val="22"/>
          <w:szCs w:val="22"/>
          <w:lang w:val="sr-Latn-ME"/>
        </w:rPr>
      </w:pPr>
      <w:r w:rsidRPr="00F16B0C">
        <w:rPr>
          <w:sz w:val="22"/>
          <w:szCs w:val="22"/>
          <w:u w:val="single"/>
          <w:lang w:val="sr-Latn-ME"/>
        </w:rPr>
        <w:t>Nakon otvaranja</w:t>
      </w:r>
    </w:p>
    <w:p w14:paraId="167E4590" w14:textId="77777777" w:rsidR="007C5BC4" w:rsidRPr="00F16B0C" w:rsidRDefault="007C5BC4" w:rsidP="00F16B0C">
      <w:pPr>
        <w:widowControl w:val="0"/>
        <w:autoSpaceDE w:val="0"/>
        <w:autoSpaceDN w:val="0"/>
        <w:jc w:val="both"/>
        <w:rPr>
          <w:sz w:val="22"/>
          <w:szCs w:val="22"/>
          <w:lang w:val="sr-Latn-ME"/>
        </w:rPr>
      </w:pPr>
      <w:r w:rsidRPr="00F16B0C">
        <w:rPr>
          <w:sz w:val="22"/>
          <w:szCs w:val="22"/>
          <w:lang w:val="sr-Latn-ME"/>
        </w:rPr>
        <w:t>Lijek POTELIGEO ne sadrži konzervans. Lijek treba razblažiti i prim</w:t>
      </w:r>
      <w:r w:rsidR="008250DA" w:rsidRPr="00F16B0C">
        <w:rPr>
          <w:sz w:val="22"/>
          <w:szCs w:val="22"/>
          <w:lang w:val="sr-Latn-ME"/>
        </w:rPr>
        <w:t>i</w:t>
      </w:r>
      <w:r w:rsidRPr="00F16B0C">
        <w:rPr>
          <w:sz w:val="22"/>
          <w:szCs w:val="22"/>
          <w:lang w:val="sr-Latn-ME"/>
        </w:rPr>
        <w:t>jeniti infuzijom odmah nakon otvaranja (vidjeti dio 6.6).</w:t>
      </w:r>
    </w:p>
    <w:p w14:paraId="053F6947" w14:textId="77777777" w:rsidR="007C5BC4" w:rsidRPr="00F16B0C" w:rsidRDefault="007C5BC4" w:rsidP="00F16B0C">
      <w:pPr>
        <w:widowControl w:val="0"/>
        <w:autoSpaceDE w:val="0"/>
        <w:autoSpaceDN w:val="0"/>
        <w:jc w:val="both"/>
        <w:rPr>
          <w:sz w:val="22"/>
          <w:szCs w:val="22"/>
          <w:lang w:val="sr-Latn-ME"/>
        </w:rPr>
      </w:pPr>
    </w:p>
    <w:p w14:paraId="6CB6729A" w14:textId="77777777" w:rsidR="007C5BC4" w:rsidRPr="00F16B0C" w:rsidRDefault="007C5BC4" w:rsidP="00F16B0C">
      <w:pPr>
        <w:widowControl w:val="0"/>
        <w:autoSpaceDE w:val="0"/>
        <w:autoSpaceDN w:val="0"/>
        <w:jc w:val="both"/>
        <w:rPr>
          <w:sz w:val="22"/>
          <w:szCs w:val="22"/>
          <w:lang w:val="sr-Latn-ME"/>
        </w:rPr>
      </w:pPr>
      <w:r w:rsidRPr="00F16B0C">
        <w:rPr>
          <w:sz w:val="22"/>
          <w:szCs w:val="22"/>
          <w:u w:val="single"/>
          <w:lang w:val="sr-Latn-ME"/>
        </w:rPr>
        <w:t>Nakon pripreme infuzije</w:t>
      </w:r>
    </w:p>
    <w:p w14:paraId="2E57656C" w14:textId="77777777" w:rsidR="007C5BC4" w:rsidRPr="00F16B0C" w:rsidRDefault="007C5BC4" w:rsidP="00F16B0C">
      <w:pPr>
        <w:widowControl w:val="0"/>
        <w:autoSpaceDE w:val="0"/>
        <w:autoSpaceDN w:val="0"/>
        <w:jc w:val="both"/>
        <w:rPr>
          <w:sz w:val="22"/>
          <w:szCs w:val="22"/>
          <w:lang w:val="sr-Latn-ME"/>
        </w:rPr>
      </w:pPr>
      <w:r w:rsidRPr="00F16B0C">
        <w:rPr>
          <w:sz w:val="22"/>
          <w:szCs w:val="22"/>
          <w:lang w:val="sr-Latn-ME"/>
        </w:rPr>
        <w:t>Hemijska i fizička stabilnost tokom upotrebe pokazane su u periodu od 24 sata na sobnoj temperaturi (25 °C) i sobno</w:t>
      </w:r>
      <w:r w:rsidR="008250DA" w:rsidRPr="00F16B0C">
        <w:rPr>
          <w:sz w:val="22"/>
          <w:szCs w:val="22"/>
          <w:lang w:val="sr-Latn-ME"/>
        </w:rPr>
        <w:t>m osvjetljenju</w:t>
      </w:r>
      <w:r w:rsidRPr="00F16B0C">
        <w:rPr>
          <w:sz w:val="22"/>
          <w:szCs w:val="22"/>
          <w:lang w:val="sr-Latn-ME"/>
        </w:rPr>
        <w:t>.</w:t>
      </w:r>
    </w:p>
    <w:p w14:paraId="69DAB43A" w14:textId="77777777" w:rsidR="007C5BC4" w:rsidRPr="00F16B0C" w:rsidRDefault="007C5BC4" w:rsidP="00F16B0C">
      <w:pPr>
        <w:widowControl w:val="0"/>
        <w:autoSpaceDE w:val="0"/>
        <w:autoSpaceDN w:val="0"/>
        <w:jc w:val="both"/>
        <w:rPr>
          <w:sz w:val="22"/>
          <w:szCs w:val="22"/>
          <w:lang w:val="sr-Latn-ME"/>
        </w:rPr>
      </w:pPr>
      <w:r w:rsidRPr="00F16B0C">
        <w:rPr>
          <w:sz w:val="22"/>
          <w:szCs w:val="22"/>
          <w:lang w:val="sr-Latn-ME"/>
        </w:rPr>
        <w:t>Taj vremenski period uključuje čuvanje infuzionog rastvora u kesi za infuziju tokom same primjene infuzije. Sa mikrobiološkog stanovišta, lijek se mora prim</w:t>
      </w:r>
      <w:r w:rsidR="008250DA" w:rsidRPr="00F16B0C">
        <w:rPr>
          <w:sz w:val="22"/>
          <w:szCs w:val="22"/>
          <w:lang w:val="sr-Latn-ME"/>
        </w:rPr>
        <w:t>i</w:t>
      </w:r>
      <w:r w:rsidRPr="00F16B0C">
        <w:rPr>
          <w:sz w:val="22"/>
          <w:szCs w:val="22"/>
          <w:lang w:val="sr-Latn-ME"/>
        </w:rPr>
        <w:t>jeniti odmah.</w:t>
      </w:r>
    </w:p>
    <w:p w14:paraId="064106AA" w14:textId="77777777" w:rsidR="007C5BC4" w:rsidRPr="00F16B0C" w:rsidRDefault="007C5BC4" w:rsidP="00F16B0C">
      <w:pPr>
        <w:widowControl w:val="0"/>
        <w:autoSpaceDE w:val="0"/>
        <w:autoSpaceDN w:val="0"/>
        <w:jc w:val="both"/>
        <w:rPr>
          <w:sz w:val="22"/>
          <w:szCs w:val="22"/>
          <w:lang w:val="sr-Latn-ME"/>
        </w:rPr>
      </w:pPr>
      <w:r w:rsidRPr="00F16B0C">
        <w:rPr>
          <w:sz w:val="22"/>
          <w:szCs w:val="22"/>
          <w:lang w:val="sr-Latn-ME"/>
        </w:rPr>
        <w:t>Ako se ne prim</w:t>
      </w:r>
      <w:r w:rsidR="008250DA" w:rsidRPr="00F16B0C">
        <w:rPr>
          <w:sz w:val="22"/>
          <w:szCs w:val="22"/>
          <w:lang w:val="sr-Latn-ME"/>
        </w:rPr>
        <w:t>i</w:t>
      </w:r>
      <w:r w:rsidRPr="00F16B0C">
        <w:rPr>
          <w:sz w:val="22"/>
          <w:szCs w:val="22"/>
          <w:lang w:val="sr-Latn-ME"/>
        </w:rPr>
        <w:t xml:space="preserve">jeni odmah, vrijeme i uslovi čuvanja prije primjene su odgovornost korisnika i obično ne bi trebalo da iznose duže od 24 sata na temperaturi od 2 do 8 °C, osim ako </w:t>
      </w:r>
      <w:r w:rsidR="008250DA" w:rsidRPr="00F16B0C">
        <w:rPr>
          <w:sz w:val="22"/>
          <w:szCs w:val="22"/>
          <w:lang w:val="sr-Latn-ME"/>
        </w:rPr>
        <w:t xml:space="preserve">razblaživanje </w:t>
      </w:r>
      <w:r w:rsidRPr="00F16B0C">
        <w:rPr>
          <w:sz w:val="22"/>
          <w:szCs w:val="22"/>
          <w:lang w:val="sr-Latn-ME"/>
        </w:rPr>
        <w:t xml:space="preserve">nije </w:t>
      </w:r>
      <w:r w:rsidR="008250DA" w:rsidRPr="00F16B0C">
        <w:rPr>
          <w:sz w:val="22"/>
          <w:szCs w:val="22"/>
          <w:lang w:val="sr-Latn-ME"/>
        </w:rPr>
        <w:t>izvršeno</w:t>
      </w:r>
      <w:r w:rsidRPr="00F16B0C">
        <w:rPr>
          <w:sz w:val="22"/>
          <w:szCs w:val="22"/>
          <w:lang w:val="sr-Latn-ME"/>
        </w:rPr>
        <w:t xml:space="preserve"> u kontrolisanim i validiranim aseptičkim uslovima.</w:t>
      </w:r>
    </w:p>
    <w:p w14:paraId="07A96953" w14:textId="77777777" w:rsidR="0072020E" w:rsidRPr="00F16B0C" w:rsidRDefault="0072020E" w:rsidP="00F16B0C">
      <w:pPr>
        <w:widowControl w:val="0"/>
        <w:tabs>
          <w:tab w:val="left" w:pos="540"/>
          <w:tab w:val="left" w:pos="569"/>
        </w:tabs>
        <w:jc w:val="both"/>
        <w:rPr>
          <w:bCs/>
          <w:sz w:val="22"/>
          <w:szCs w:val="22"/>
          <w:lang w:val="sr-Latn-ME"/>
        </w:rPr>
      </w:pPr>
    </w:p>
    <w:p w14:paraId="093A4629" w14:textId="77777777" w:rsidR="0072020E" w:rsidRPr="00F16B0C" w:rsidRDefault="0072020E" w:rsidP="00F16B0C">
      <w:pPr>
        <w:widowControl w:val="0"/>
        <w:tabs>
          <w:tab w:val="left" w:pos="540"/>
          <w:tab w:val="left" w:pos="569"/>
        </w:tabs>
        <w:jc w:val="both"/>
        <w:rPr>
          <w:b/>
          <w:bCs/>
          <w:sz w:val="22"/>
          <w:szCs w:val="22"/>
          <w:lang w:val="sr-Latn-ME"/>
        </w:rPr>
      </w:pPr>
      <w:r w:rsidRPr="00F16B0C">
        <w:rPr>
          <w:b/>
          <w:bCs/>
          <w:sz w:val="22"/>
          <w:szCs w:val="22"/>
          <w:lang w:val="sr-Latn-ME"/>
        </w:rPr>
        <w:t xml:space="preserve">6.4. </w:t>
      </w:r>
      <w:r w:rsidR="00480FB1" w:rsidRPr="00F16B0C">
        <w:rPr>
          <w:b/>
          <w:bCs/>
          <w:sz w:val="22"/>
          <w:szCs w:val="22"/>
          <w:lang w:val="sr-Latn-ME"/>
        </w:rPr>
        <w:tab/>
      </w:r>
      <w:r w:rsidRPr="00F16B0C">
        <w:rPr>
          <w:b/>
          <w:bCs/>
          <w:sz w:val="22"/>
          <w:szCs w:val="22"/>
          <w:lang w:val="sr-Latn-ME"/>
        </w:rPr>
        <w:t>Posebne mjere upozorenja pri čuvanju</w:t>
      </w:r>
      <w:r w:rsidR="00F8570A" w:rsidRPr="00F16B0C">
        <w:rPr>
          <w:b/>
          <w:bCs/>
          <w:sz w:val="22"/>
          <w:szCs w:val="22"/>
          <w:lang w:val="sr-Latn-ME"/>
        </w:rPr>
        <w:t xml:space="preserve"> lijeka</w:t>
      </w:r>
    </w:p>
    <w:p w14:paraId="1BA23E6E" w14:textId="77777777" w:rsidR="007C5BC4" w:rsidRPr="00F16B0C" w:rsidRDefault="007C5BC4" w:rsidP="00F16B0C">
      <w:pPr>
        <w:widowControl w:val="0"/>
        <w:jc w:val="both"/>
        <w:rPr>
          <w:sz w:val="22"/>
          <w:szCs w:val="22"/>
          <w:lang w:val="sr-Latn-ME"/>
        </w:rPr>
      </w:pPr>
    </w:p>
    <w:p w14:paraId="3A41C9E5" w14:textId="77777777" w:rsidR="007C5BC4" w:rsidRPr="00F16B0C" w:rsidRDefault="007C5BC4" w:rsidP="00F16B0C">
      <w:pPr>
        <w:widowControl w:val="0"/>
        <w:autoSpaceDE w:val="0"/>
        <w:autoSpaceDN w:val="0"/>
        <w:jc w:val="both"/>
        <w:rPr>
          <w:sz w:val="22"/>
          <w:szCs w:val="22"/>
          <w:lang w:val="sr-Latn-ME"/>
        </w:rPr>
      </w:pPr>
      <w:r w:rsidRPr="00F16B0C">
        <w:rPr>
          <w:sz w:val="22"/>
          <w:szCs w:val="22"/>
          <w:lang w:val="sr-Latn-ME"/>
        </w:rPr>
        <w:t>Čuvati u frižideru (2 do 8 °C). Nemojte zamrzavati.</w:t>
      </w:r>
    </w:p>
    <w:p w14:paraId="08EB180F" w14:textId="77777777" w:rsidR="007C5BC4" w:rsidRPr="00F16B0C" w:rsidRDefault="007C5BC4" w:rsidP="00F16B0C">
      <w:pPr>
        <w:widowControl w:val="0"/>
        <w:autoSpaceDE w:val="0"/>
        <w:autoSpaceDN w:val="0"/>
        <w:jc w:val="both"/>
        <w:rPr>
          <w:sz w:val="22"/>
          <w:szCs w:val="22"/>
          <w:lang w:val="sr-Latn-ME"/>
        </w:rPr>
      </w:pPr>
      <w:r w:rsidRPr="00F16B0C">
        <w:rPr>
          <w:sz w:val="22"/>
          <w:szCs w:val="22"/>
          <w:lang w:val="sr-Latn-ME"/>
        </w:rPr>
        <w:t>Čuvati bočicu u originalnoj kutiji radi zaštite od svjetlosti.</w:t>
      </w:r>
    </w:p>
    <w:p w14:paraId="3E069DF6" w14:textId="77777777" w:rsidR="007C5BC4" w:rsidRPr="00F16B0C" w:rsidRDefault="007C5BC4" w:rsidP="00F16B0C">
      <w:pPr>
        <w:widowControl w:val="0"/>
        <w:jc w:val="both"/>
        <w:rPr>
          <w:sz w:val="22"/>
          <w:szCs w:val="22"/>
          <w:lang w:val="sr-Latn-ME"/>
        </w:rPr>
      </w:pPr>
      <w:r w:rsidRPr="00F16B0C">
        <w:rPr>
          <w:sz w:val="22"/>
          <w:szCs w:val="22"/>
          <w:lang w:val="sr-Latn-ME"/>
        </w:rPr>
        <w:t>Za uslove čuvanja nakon razblaživanja lijeka vidjeti dio 6.3.</w:t>
      </w:r>
    </w:p>
    <w:p w14:paraId="1EE6CE25" w14:textId="77777777" w:rsidR="00EC2532" w:rsidRPr="00F16B0C" w:rsidRDefault="00EC2532" w:rsidP="00F16B0C">
      <w:pPr>
        <w:widowControl w:val="0"/>
        <w:tabs>
          <w:tab w:val="left" w:pos="540"/>
          <w:tab w:val="left" w:pos="569"/>
        </w:tabs>
        <w:jc w:val="both"/>
        <w:rPr>
          <w:bCs/>
          <w:sz w:val="22"/>
          <w:szCs w:val="22"/>
          <w:lang w:val="sr-Latn-ME"/>
        </w:rPr>
      </w:pPr>
    </w:p>
    <w:p w14:paraId="177F2AE0" w14:textId="77777777" w:rsidR="0072020E" w:rsidRPr="00F16B0C" w:rsidRDefault="0072020E" w:rsidP="00F16B0C">
      <w:pPr>
        <w:widowControl w:val="0"/>
        <w:tabs>
          <w:tab w:val="left" w:pos="540"/>
          <w:tab w:val="left" w:pos="569"/>
        </w:tabs>
        <w:jc w:val="both"/>
        <w:rPr>
          <w:b/>
          <w:bCs/>
          <w:sz w:val="22"/>
          <w:szCs w:val="22"/>
          <w:lang w:val="sr-Latn-ME"/>
        </w:rPr>
      </w:pPr>
      <w:r w:rsidRPr="00F16B0C">
        <w:rPr>
          <w:b/>
          <w:bCs/>
          <w:sz w:val="22"/>
          <w:szCs w:val="22"/>
          <w:lang w:val="sr-Latn-ME"/>
        </w:rPr>
        <w:t xml:space="preserve">6.5. </w:t>
      </w:r>
      <w:r w:rsidR="00480FB1" w:rsidRPr="00F16B0C">
        <w:rPr>
          <w:b/>
          <w:bCs/>
          <w:sz w:val="22"/>
          <w:szCs w:val="22"/>
          <w:lang w:val="sr-Latn-ME"/>
        </w:rPr>
        <w:tab/>
      </w:r>
      <w:r w:rsidR="002846DB" w:rsidRPr="00F16B0C">
        <w:rPr>
          <w:b/>
          <w:bCs/>
          <w:sz w:val="22"/>
          <w:szCs w:val="22"/>
          <w:lang w:val="sr-Latn-ME"/>
        </w:rPr>
        <w:t xml:space="preserve">Vrsta i sadržaj </w:t>
      </w:r>
      <w:r w:rsidR="00F8570A" w:rsidRPr="00F16B0C">
        <w:rPr>
          <w:b/>
          <w:bCs/>
          <w:sz w:val="22"/>
          <w:szCs w:val="22"/>
          <w:lang w:val="sr-Latn-ME"/>
        </w:rPr>
        <w:t>pakovanja</w:t>
      </w:r>
      <w:r w:rsidR="00C06864" w:rsidRPr="00F16B0C">
        <w:rPr>
          <w:b/>
          <w:bCs/>
          <w:sz w:val="22"/>
          <w:szCs w:val="22"/>
          <w:lang w:val="sr-Latn-ME"/>
        </w:rPr>
        <w:t xml:space="preserve"> </w:t>
      </w:r>
    </w:p>
    <w:p w14:paraId="049C8728" w14:textId="77777777" w:rsidR="007C5BC4" w:rsidRPr="00F16B0C" w:rsidRDefault="007C5BC4" w:rsidP="00F16B0C">
      <w:pPr>
        <w:widowControl w:val="0"/>
        <w:autoSpaceDE w:val="0"/>
        <w:autoSpaceDN w:val="0"/>
        <w:jc w:val="both"/>
        <w:rPr>
          <w:sz w:val="22"/>
          <w:szCs w:val="22"/>
          <w:lang w:val="sr-Latn-ME"/>
        </w:rPr>
      </w:pPr>
    </w:p>
    <w:p w14:paraId="03F9AA5B" w14:textId="77777777" w:rsidR="007C5BC4" w:rsidRPr="00F16B0C" w:rsidRDefault="007C5BC4" w:rsidP="00F16B0C">
      <w:pPr>
        <w:widowControl w:val="0"/>
        <w:autoSpaceDE w:val="0"/>
        <w:autoSpaceDN w:val="0"/>
        <w:jc w:val="both"/>
        <w:rPr>
          <w:sz w:val="22"/>
          <w:szCs w:val="22"/>
          <w:lang w:val="sr-Latn-ME"/>
        </w:rPr>
      </w:pPr>
      <w:r w:rsidRPr="00F16B0C">
        <w:rPr>
          <w:sz w:val="22"/>
          <w:szCs w:val="22"/>
          <w:lang w:val="sr-Latn-ME"/>
        </w:rPr>
        <w:t>5 ml rastvora u staklenoj bočici od 10 ml (staklo tip I) sa gumenim čepom, aluminij</w:t>
      </w:r>
      <w:r w:rsidR="00F45AC8" w:rsidRPr="00F16B0C">
        <w:rPr>
          <w:sz w:val="22"/>
          <w:szCs w:val="22"/>
          <w:lang w:val="sr-Latn-ME"/>
        </w:rPr>
        <w:t>um</w:t>
      </w:r>
      <w:r w:rsidRPr="00F16B0C">
        <w:rPr>
          <w:sz w:val="22"/>
          <w:szCs w:val="22"/>
          <w:lang w:val="sr-Latn-ME"/>
        </w:rPr>
        <w:t>sk</w:t>
      </w:r>
      <w:r w:rsidR="0073588A" w:rsidRPr="00F16B0C">
        <w:rPr>
          <w:sz w:val="22"/>
          <w:szCs w:val="22"/>
          <w:lang w:val="sr-Latn-ME"/>
        </w:rPr>
        <w:t>o</w:t>
      </w:r>
      <w:r w:rsidRPr="00F16B0C">
        <w:rPr>
          <w:sz w:val="22"/>
          <w:szCs w:val="22"/>
          <w:lang w:val="sr-Latn-ME"/>
        </w:rPr>
        <w:t xml:space="preserve">m </w:t>
      </w:r>
      <w:r w:rsidR="0073588A" w:rsidRPr="00F16B0C">
        <w:rPr>
          <w:sz w:val="22"/>
          <w:szCs w:val="22"/>
          <w:lang w:val="sr-Latn-ME"/>
        </w:rPr>
        <w:t>kapicom</w:t>
      </w:r>
      <w:r w:rsidRPr="00F16B0C">
        <w:rPr>
          <w:sz w:val="22"/>
          <w:szCs w:val="22"/>
          <w:lang w:val="sr-Latn-ME"/>
        </w:rPr>
        <w:t xml:space="preserve"> i polipropilenskim „flip-off” zatvaračem.</w:t>
      </w:r>
    </w:p>
    <w:p w14:paraId="1C09079A" w14:textId="77777777" w:rsidR="007C5BC4" w:rsidRPr="00F16B0C" w:rsidRDefault="007C5BC4" w:rsidP="00F16B0C">
      <w:pPr>
        <w:widowControl w:val="0"/>
        <w:autoSpaceDE w:val="0"/>
        <w:autoSpaceDN w:val="0"/>
        <w:jc w:val="both"/>
        <w:rPr>
          <w:sz w:val="22"/>
          <w:szCs w:val="22"/>
          <w:lang w:val="sr-Latn-ME"/>
        </w:rPr>
      </w:pPr>
    </w:p>
    <w:p w14:paraId="21756EAC" w14:textId="77777777" w:rsidR="007C5BC4" w:rsidRPr="00F16B0C" w:rsidRDefault="007C5BC4" w:rsidP="00F16B0C">
      <w:pPr>
        <w:widowControl w:val="0"/>
        <w:autoSpaceDE w:val="0"/>
        <w:autoSpaceDN w:val="0"/>
        <w:jc w:val="both"/>
        <w:rPr>
          <w:sz w:val="22"/>
          <w:szCs w:val="22"/>
          <w:lang w:val="sr-Latn-ME"/>
        </w:rPr>
      </w:pPr>
      <w:r w:rsidRPr="00F16B0C">
        <w:rPr>
          <w:sz w:val="22"/>
          <w:szCs w:val="22"/>
          <w:lang w:val="sr-Latn-ME"/>
        </w:rPr>
        <w:t>Pakovanje sa 1 bočicom.</w:t>
      </w:r>
    </w:p>
    <w:p w14:paraId="31237A27" w14:textId="77777777" w:rsidR="0072020E" w:rsidRPr="00F16B0C" w:rsidRDefault="0072020E" w:rsidP="00F16B0C">
      <w:pPr>
        <w:widowControl w:val="0"/>
        <w:tabs>
          <w:tab w:val="left" w:pos="540"/>
          <w:tab w:val="left" w:pos="569"/>
        </w:tabs>
        <w:jc w:val="both"/>
        <w:rPr>
          <w:bCs/>
          <w:sz w:val="22"/>
          <w:szCs w:val="22"/>
          <w:lang w:val="sr-Latn-ME"/>
        </w:rPr>
      </w:pPr>
    </w:p>
    <w:p w14:paraId="3911F074" w14:textId="77777777" w:rsidR="002846DB" w:rsidRPr="00F16B0C" w:rsidRDefault="0072020E" w:rsidP="00F16B0C">
      <w:pPr>
        <w:widowControl w:val="0"/>
        <w:tabs>
          <w:tab w:val="left" w:pos="540"/>
          <w:tab w:val="left" w:pos="569"/>
        </w:tabs>
        <w:jc w:val="both"/>
        <w:rPr>
          <w:b/>
          <w:bCs/>
          <w:sz w:val="22"/>
          <w:szCs w:val="22"/>
          <w:lang w:val="sr-Latn-ME"/>
        </w:rPr>
      </w:pPr>
      <w:r w:rsidRPr="00F16B0C">
        <w:rPr>
          <w:b/>
          <w:bCs/>
          <w:sz w:val="22"/>
          <w:szCs w:val="22"/>
          <w:lang w:val="sr-Latn-ME"/>
        </w:rPr>
        <w:t xml:space="preserve">6.6. </w:t>
      </w:r>
      <w:r w:rsidR="00480FB1" w:rsidRPr="00F16B0C">
        <w:rPr>
          <w:b/>
          <w:bCs/>
          <w:sz w:val="22"/>
          <w:szCs w:val="22"/>
          <w:lang w:val="sr-Latn-ME"/>
        </w:rPr>
        <w:tab/>
      </w:r>
      <w:r w:rsidRPr="00F16B0C">
        <w:rPr>
          <w:b/>
          <w:bCs/>
          <w:color w:val="000000"/>
          <w:sz w:val="22"/>
          <w:szCs w:val="22"/>
          <w:lang w:val="sr-Latn-ME"/>
        </w:rPr>
        <w:t>Posebne mjere opreza pri odlaganju materijala koji treba odbaciti nakon primjene lijeka</w:t>
      </w:r>
      <w:r w:rsidRPr="00F16B0C">
        <w:rPr>
          <w:b/>
          <w:bCs/>
          <w:sz w:val="22"/>
          <w:szCs w:val="22"/>
          <w:lang w:val="sr-Latn-ME"/>
        </w:rPr>
        <w:t xml:space="preserve"> </w:t>
      </w:r>
      <w:r w:rsidR="00310F03" w:rsidRPr="00F16B0C">
        <w:rPr>
          <w:b/>
          <w:bCs/>
          <w:sz w:val="22"/>
          <w:szCs w:val="22"/>
          <w:lang w:val="sr-Latn-ME"/>
        </w:rPr>
        <w:t>(i druga uputs</w:t>
      </w:r>
      <w:r w:rsidR="004109FA" w:rsidRPr="00F16B0C">
        <w:rPr>
          <w:b/>
          <w:bCs/>
          <w:sz w:val="22"/>
          <w:szCs w:val="22"/>
          <w:lang w:val="sr-Latn-ME"/>
        </w:rPr>
        <w:t>t</w:t>
      </w:r>
      <w:r w:rsidR="00310F03" w:rsidRPr="00F16B0C">
        <w:rPr>
          <w:b/>
          <w:bCs/>
          <w:sz w:val="22"/>
          <w:szCs w:val="22"/>
          <w:lang w:val="sr-Latn-ME"/>
        </w:rPr>
        <w:t xml:space="preserve">va za rukovanje lijekom) </w:t>
      </w:r>
    </w:p>
    <w:p w14:paraId="00425428" w14:textId="77777777" w:rsidR="007C5BC4" w:rsidRPr="00F16B0C" w:rsidRDefault="007C5BC4" w:rsidP="00F16B0C">
      <w:pPr>
        <w:widowControl w:val="0"/>
        <w:jc w:val="both"/>
        <w:rPr>
          <w:sz w:val="22"/>
          <w:szCs w:val="22"/>
          <w:lang w:val="sr-Latn-ME"/>
        </w:rPr>
      </w:pPr>
    </w:p>
    <w:p w14:paraId="0BA336FC" w14:textId="77777777" w:rsidR="007C5BC4" w:rsidRPr="00F16B0C" w:rsidRDefault="007C5BC4" w:rsidP="00F16B0C">
      <w:pPr>
        <w:widowControl w:val="0"/>
        <w:autoSpaceDE w:val="0"/>
        <w:autoSpaceDN w:val="0"/>
        <w:jc w:val="both"/>
        <w:rPr>
          <w:sz w:val="22"/>
          <w:szCs w:val="22"/>
          <w:lang w:val="sr-Latn-ME"/>
        </w:rPr>
      </w:pPr>
      <w:r w:rsidRPr="00F16B0C">
        <w:rPr>
          <w:sz w:val="22"/>
          <w:szCs w:val="22"/>
          <w:u w:val="single"/>
          <w:lang w:val="sr-Latn-ME"/>
        </w:rPr>
        <w:t>Priprema</w:t>
      </w:r>
    </w:p>
    <w:p w14:paraId="0F811AB9" w14:textId="3FED1B0F" w:rsidR="007C5BC4" w:rsidRPr="00F16B0C" w:rsidRDefault="007C5BC4" w:rsidP="00F16B0C">
      <w:pPr>
        <w:pStyle w:val="ListParagraph"/>
        <w:widowControl w:val="0"/>
        <w:numPr>
          <w:ilvl w:val="0"/>
          <w:numId w:val="13"/>
        </w:numPr>
        <w:autoSpaceDE w:val="0"/>
        <w:autoSpaceDN w:val="0"/>
        <w:ind w:left="567"/>
        <w:jc w:val="both"/>
        <w:rPr>
          <w:sz w:val="22"/>
          <w:szCs w:val="22"/>
          <w:lang w:val="sr-Latn-ME"/>
        </w:rPr>
      </w:pPr>
      <w:r w:rsidRPr="00F16B0C">
        <w:rPr>
          <w:sz w:val="22"/>
          <w:szCs w:val="22"/>
          <w:lang w:val="sr-Latn-ME"/>
        </w:rPr>
        <w:t>Vizuelno provjerite da li u lijeku postoje čestice i prom</w:t>
      </w:r>
      <w:r w:rsidR="00F45AC8" w:rsidRPr="00F16B0C">
        <w:rPr>
          <w:sz w:val="22"/>
          <w:szCs w:val="22"/>
          <w:lang w:val="sr-Latn-ME"/>
        </w:rPr>
        <w:t>j</w:t>
      </w:r>
      <w:r w:rsidRPr="00F16B0C">
        <w:rPr>
          <w:sz w:val="22"/>
          <w:szCs w:val="22"/>
          <w:lang w:val="sr-Latn-ME"/>
        </w:rPr>
        <w:t xml:space="preserve">ena boje prije primjene. </w:t>
      </w:r>
      <w:r w:rsidR="00383340" w:rsidRPr="00F16B0C">
        <w:rPr>
          <w:sz w:val="22"/>
          <w:szCs w:val="22"/>
          <w:lang w:val="sr-Latn-ME"/>
        </w:rPr>
        <w:t xml:space="preserve">Lijek </w:t>
      </w:r>
      <w:r w:rsidRPr="00F16B0C">
        <w:rPr>
          <w:sz w:val="22"/>
          <w:szCs w:val="22"/>
          <w:lang w:val="sr-Latn-ME"/>
        </w:rPr>
        <w:t>POTELIGEO je bistar do blago opalescentan, bezbojni rastvor. Bacite bočicu ako prim</w:t>
      </w:r>
      <w:r w:rsidR="00F45AC8" w:rsidRPr="00F16B0C">
        <w:rPr>
          <w:sz w:val="22"/>
          <w:szCs w:val="22"/>
          <w:lang w:val="sr-Latn-ME"/>
        </w:rPr>
        <w:t>i</w:t>
      </w:r>
      <w:r w:rsidR="00383340" w:rsidRPr="00F16B0C">
        <w:rPr>
          <w:sz w:val="22"/>
          <w:szCs w:val="22"/>
          <w:lang w:val="sr-Latn-ME"/>
        </w:rPr>
        <w:t>j</w:t>
      </w:r>
      <w:r w:rsidRPr="00F16B0C">
        <w:rPr>
          <w:sz w:val="22"/>
          <w:szCs w:val="22"/>
          <w:lang w:val="sr-Latn-ME"/>
        </w:rPr>
        <w:t>etite zamućenost, promjenu boje ili prisustvo čestica.</w:t>
      </w:r>
    </w:p>
    <w:p w14:paraId="66EADD66" w14:textId="2BEEB751" w:rsidR="007C5BC4" w:rsidRPr="00F16B0C" w:rsidRDefault="007C5BC4" w:rsidP="00F16B0C">
      <w:pPr>
        <w:pStyle w:val="ListParagraph"/>
        <w:widowControl w:val="0"/>
        <w:numPr>
          <w:ilvl w:val="0"/>
          <w:numId w:val="13"/>
        </w:numPr>
        <w:autoSpaceDE w:val="0"/>
        <w:autoSpaceDN w:val="0"/>
        <w:ind w:left="567"/>
        <w:jc w:val="both"/>
        <w:rPr>
          <w:sz w:val="22"/>
          <w:szCs w:val="22"/>
          <w:lang w:val="sr-Latn-ME"/>
        </w:rPr>
      </w:pPr>
      <w:r w:rsidRPr="00F16B0C">
        <w:rPr>
          <w:sz w:val="22"/>
          <w:szCs w:val="22"/>
          <w:lang w:val="sr-Latn-ME"/>
        </w:rPr>
        <w:t xml:space="preserve">Izračunajte zapreminu lijeka POTELIGEO potrebnu za pripremu infuzionog rastvora za doziranje 1 mg/kg na osnovu težine pacijenta (vidjeti dio 4.2). Aseptičkom metodom izvucite potrebnu zapreminu lijeka POTELIGEO u špric i </w:t>
      </w:r>
      <w:r w:rsidR="00F45AC8" w:rsidRPr="00F16B0C">
        <w:rPr>
          <w:sz w:val="22"/>
          <w:szCs w:val="22"/>
          <w:lang w:val="sr-Latn-ME"/>
        </w:rPr>
        <w:t xml:space="preserve">prenesite </w:t>
      </w:r>
      <w:r w:rsidRPr="00F16B0C">
        <w:rPr>
          <w:sz w:val="22"/>
          <w:szCs w:val="22"/>
          <w:lang w:val="sr-Latn-ME"/>
        </w:rPr>
        <w:t>u kesu za infuziju koja sadrži rastvor natrijum</w:t>
      </w:r>
      <w:r w:rsidR="00F45AC8" w:rsidRPr="00F16B0C">
        <w:rPr>
          <w:sz w:val="22"/>
          <w:szCs w:val="22"/>
          <w:lang w:val="sr-Latn-ME"/>
        </w:rPr>
        <w:t xml:space="preserve"> </w:t>
      </w:r>
      <w:r w:rsidRPr="00F16B0C">
        <w:rPr>
          <w:sz w:val="22"/>
          <w:szCs w:val="22"/>
          <w:lang w:val="sr-Latn-ME"/>
        </w:rPr>
        <w:t xml:space="preserve">hlorida 9 mg/ml (0,9%). </w:t>
      </w:r>
      <w:r w:rsidR="00F45AC8" w:rsidRPr="00F16B0C">
        <w:rPr>
          <w:sz w:val="22"/>
          <w:szCs w:val="22"/>
          <w:lang w:val="sr-Latn-ME"/>
        </w:rPr>
        <w:t xml:space="preserve">Razblaženi </w:t>
      </w:r>
      <w:r w:rsidRPr="00F16B0C">
        <w:rPr>
          <w:sz w:val="22"/>
          <w:szCs w:val="22"/>
          <w:lang w:val="sr-Latn-ME"/>
        </w:rPr>
        <w:t>rastvor prom</w:t>
      </w:r>
      <w:r w:rsidR="00F45AC8" w:rsidRPr="00F16B0C">
        <w:rPr>
          <w:sz w:val="22"/>
          <w:szCs w:val="22"/>
          <w:lang w:val="sr-Latn-ME"/>
        </w:rPr>
        <w:t>i</w:t>
      </w:r>
      <w:r w:rsidRPr="00F16B0C">
        <w:rPr>
          <w:sz w:val="22"/>
          <w:szCs w:val="22"/>
          <w:lang w:val="sr-Latn-ME"/>
        </w:rPr>
        <w:t xml:space="preserve">ješajte laganim okretanjem kese za infuziju. Nemojte da tresete. Konačna koncentracija </w:t>
      </w:r>
      <w:r w:rsidR="00F45AC8" w:rsidRPr="00F16B0C">
        <w:rPr>
          <w:sz w:val="22"/>
          <w:szCs w:val="22"/>
          <w:lang w:val="sr-Latn-ME"/>
        </w:rPr>
        <w:t xml:space="preserve">razblaženog </w:t>
      </w:r>
      <w:r w:rsidRPr="00F16B0C">
        <w:rPr>
          <w:sz w:val="22"/>
          <w:szCs w:val="22"/>
          <w:lang w:val="sr-Latn-ME"/>
        </w:rPr>
        <w:t>rastvora mora biti između 0,1 mg/m</w:t>
      </w:r>
      <w:r w:rsidR="00383340" w:rsidRPr="00F16B0C">
        <w:rPr>
          <w:sz w:val="22"/>
          <w:szCs w:val="22"/>
          <w:lang w:val="sr-Latn-ME"/>
        </w:rPr>
        <w:t>l</w:t>
      </w:r>
      <w:r w:rsidRPr="00F16B0C">
        <w:rPr>
          <w:sz w:val="22"/>
          <w:szCs w:val="22"/>
          <w:lang w:val="sr-Latn-ME"/>
        </w:rPr>
        <w:t xml:space="preserve"> i 3,0 mg/m</w:t>
      </w:r>
      <w:r w:rsidR="00383340" w:rsidRPr="00F16B0C">
        <w:rPr>
          <w:sz w:val="22"/>
          <w:szCs w:val="22"/>
          <w:lang w:val="sr-Latn-ME"/>
        </w:rPr>
        <w:t>l</w:t>
      </w:r>
      <w:r w:rsidRPr="00F16B0C">
        <w:rPr>
          <w:sz w:val="22"/>
          <w:szCs w:val="22"/>
          <w:lang w:val="sr-Latn-ME"/>
        </w:rPr>
        <w:t>.</w:t>
      </w:r>
    </w:p>
    <w:p w14:paraId="5B3C7778" w14:textId="77777777" w:rsidR="007C5BC4" w:rsidRPr="00F16B0C" w:rsidRDefault="007C5BC4" w:rsidP="00F16B0C">
      <w:pPr>
        <w:widowControl w:val="0"/>
        <w:numPr>
          <w:ilvl w:val="0"/>
          <w:numId w:val="12"/>
        </w:numPr>
        <w:tabs>
          <w:tab w:val="left" w:pos="765"/>
          <w:tab w:val="left" w:pos="767"/>
        </w:tabs>
        <w:autoSpaceDE w:val="0"/>
        <w:autoSpaceDN w:val="0"/>
        <w:ind w:left="568" w:hanging="284"/>
        <w:jc w:val="both"/>
        <w:rPr>
          <w:sz w:val="22"/>
          <w:szCs w:val="22"/>
          <w:lang w:val="sr-Latn-ME"/>
        </w:rPr>
      </w:pPr>
      <w:r w:rsidRPr="00F16B0C">
        <w:rPr>
          <w:sz w:val="22"/>
          <w:szCs w:val="22"/>
          <w:lang w:val="sr-Latn-ME"/>
        </w:rPr>
        <w:t>Svaka bočica namijenjena je samo za jednokratnu upotrebu. Od</w:t>
      </w:r>
      <w:r w:rsidR="00383340" w:rsidRPr="00F16B0C">
        <w:rPr>
          <w:sz w:val="22"/>
          <w:szCs w:val="22"/>
          <w:lang w:val="sr-Latn-ME"/>
        </w:rPr>
        <w:t>bacite</w:t>
      </w:r>
      <w:r w:rsidRPr="00F16B0C">
        <w:rPr>
          <w:sz w:val="22"/>
          <w:szCs w:val="22"/>
          <w:lang w:val="sr-Latn-ME"/>
        </w:rPr>
        <w:t xml:space="preserve"> sav neiskorišćeni sadržaj koji je preostao u bočici u skladu sa nacionalnim propisima.</w:t>
      </w:r>
    </w:p>
    <w:p w14:paraId="39C01DD8" w14:textId="77777777" w:rsidR="007C5BC4" w:rsidRPr="00F16B0C" w:rsidRDefault="007C5BC4" w:rsidP="00F16B0C">
      <w:pPr>
        <w:widowControl w:val="0"/>
        <w:autoSpaceDE w:val="0"/>
        <w:autoSpaceDN w:val="0"/>
        <w:jc w:val="both"/>
        <w:rPr>
          <w:sz w:val="22"/>
          <w:szCs w:val="22"/>
          <w:lang w:val="sr-Latn-ME"/>
        </w:rPr>
      </w:pPr>
    </w:p>
    <w:p w14:paraId="1A45CCD9" w14:textId="77777777" w:rsidR="007C5BC4" w:rsidRPr="00F16B0C" w:rsidRDefault="007C5BC4" w:rsidP="00F16B0C">
      <w:pPr>
        <w:widowControl w:val="0"/>
        <w:autoSpaceDE w:val="0"/>
        <w:autoSpaceDN w:val="0"/>
        <w:jc w:val="both"/>
        <w:rPr>
          <w:sz w:val="22"/>
          <w:szCs w:val="22"/>
          <w:lang w:val="sr-Latn-ME"/>
        </w:rPr>
      </w:pPr>
      <w:r w:rsidRPr="00F16B0C">
        <w:rPr>
          <w:sz w:val="22"/>
          <w:szCs w:val="22"/>
          <w:u w:val="single"/>
          <w:lang w:val="sr-Latn-ME"/>
        </w:rPr>
        <w:t>Primjena</w:t>
      </w:r>
    </w:p>
    <w:p w14:paraId="02D07175" w14:textId="77777777" w:rsidR="007C5BC4" w:rsidRPr="00F16B0C" w:rsidRDefault="007C5BC4" w:rsidP="00F16B0C">
      <w:pPr>
        <w:widowControl w:val="0"/>
        <w:numPr>
          <w:ilvl w:val="0"/>
          <w:numId w:val="12"/>
        </w:numPr>
        <w:tabs>
          <w:tab w:val="left" w:pos="765"/>
          <w:tab w:val="left" w:pos="767"/>
        </w:tabs>
        <w:autoSpaceDE w:val="0"/>
        <w:autoSpaceDN w:val="0"/>
        <w:ind w:left="568"/>
        <w:jc w:val="both"/>
        <w:rPr>
          <w:sz w:val="22"/>
          <w:szCs w:val="22"/>
          <w:lang w:val="sr-Latn-ME"/>
        </w:rPr>
      </w:pPr>
      <w:r w:rsidRPr="00F16B0C">
        <w:rPr>
          <w:sz w:val="22"/>
          <w:szCs w:val="22"/>
          <w:lang w:val="sr-Latn-ME"/>
        </w:rPr>
        <w:t>Razblaženi rastvor je kompatibilan sa kesama za infuziju od polivinil</w:t>
      </w:r>
      <w:r w:rsidR="00F45AC8" w:rsidRPr="00F16B0C">
        <w:rPr>
          <w:sz w:val="22"/>
          <w:szCs w:val="22"/>
          <w:lang w:val="sr-Latn-ME"/>
        </w:rPr>
        <w:t xml:space="preserve"> </w:t>
      </w:r>
      <w:r w:rsidRPr="00F16B0C">
        <w:rPr>
          <w:sz w:val="22"/>
          <w:szCs w:val="22"/>
          <w:lang w:val="sr-Latn-ME"/>
        </w:rPr>
        <w:t xml:space="preserve">hlorida (PVC) ili poliolefina </w:t>
      </w:r>
      <w:r w:rsidRPr="00F16B0C">
        <w:rPr>
          <w:sz w:val="22"/>
          <w:szCs w:val="22"/>
          <w:lang w:val="sr-Latn-ME"/>
        </w:rPr>
        <w:lastRenderedPageBreak/>
        <w:t>(PO).</w:t>
      </w:r>
    </w:p>
    <w:p w14:paraId="119D5A11" w14:textId="77777777" w:rsidR="007C5BC4" w:rsidRPr="00F16B0C" w:rsidRDefault="00383340" w:rsidP="00F16B0C">
      <w:pPr>
        <w:widowControl w:val="0"/>
        <w:numPr>
          <w:ilvl w:val="0"/>
          <w:numId w:val="12"/>
        </w:numPr>
        <w:tabs>
          <w:tab w:val="left" w:pos="765"/>
          <w:tab w:val="left" w:pos="767"/>
        </w:tabs>
        <w:autoSpaceDE w:val="0"/>
        <w:autoSpaceDN w:val="0"/>
        <w:ind w:left="569" w:hanging="569"/>
        <w:jc w:val="both"/>
        <w:rPr>
          <w:sz w:val="22"/>
          <w:szCs w:val="22"/>
          <w:lang w:val="sr-Latn-ME"/>
        </w:rPr>
      </w:pPr>
      <w:r w:rsidRPr="00F16B0C">
        <w:rPr>
          <w:sz w:val="22"/>
          <w:szCs w:val="22"/>
          <w:lang w:val="sr-Latn-ME"/>
        </w:rPr>
        <w:t xml:space="preserve">Lijek </w:t>
      </w:r>
      <w:r w:rsidR="007C5BC4" w:rsidRPr="00F16B0C">
        <w:rPr>
          <w:sz w:val="22"/>
          <w:szCs w:val="22"/>
          <w:lang w:val="sr-Latn-ME"/>
        </w:rPr>
        <w:t>POTELIGEO nemojte da m</w:t>
      </w:r>
      <w:r w:rsidR="00F45AC8" w:rsidRPr="00F16B0C">
        <w:rPr>
          <w:sz w:val="22"/>
          <w:szCs w:val="22"/>
          <w:lang w:val="sr-Latn-ME"/>
        </w:rPr>
        <w:t>i</w:t>
      </w:r>
      <w:r w:rsidR="007C5BC4" w:rsidRPr="00F16B0C">
        <w:rPr>
          <w:sz w:val="22"/>
          <w:szCs w:val="22"/>
          <w:lang w:val="sr-Latn-ME"/>
        </w:rPr>
        <w:t>ješate sa drugim ljekovima, niti primjenjujete kao infuziju sa drugim ljekovima.</w:t>
      </w:r>
    </w:p>
    <w:p w14:paraId="5C94F95F" w14:textId="77777777" w:rsidR="007C5BC4" w:rsidRPr="00F16B0C" w:rsidRDefault="00383340" w:rsidP="00F16B0C">
      <w:pPr>
        <w:widowControl w:val="0"/>
        <w:numPr>
          <w:ilvl w:val="0"/>
          <w:numId w:val="12"/>
        </w:numPr>
        <w:tabs>
          <w:tab w:val="left" w:pos="765"/>
          <w:tab w:val="left" w:pos="767"/>
        </w:tabs>
        <w:autoSpaceDE w:val="0"/>
        <w:autoSpaceDN w:val="0"/>
        <w:ind w:left="568"/>
        <w:jc w:val="both"/>
        <w:rPr>
          <w:sz w:val="22"/>
          <w:szCs w:val="22"/>
          <w:lang w:val="sr-Latn-ME"/>
        </w:rPr>
      </w:pPr>
      <w:r w:rsidRPr="00F16B0C">
        <w:rPr>
          <w:sz w:val="22"/>
          <w:szCs w:val="22"/>
          <w:lang w:val="sr-Latn-ME"/>
        </w:rPr>
        <w:t xml:space="preserve">Lijek </w:t>
      </w:r>
      <w:r w:rsidR="007C5BC4" w:rsidRPr="00F16B0C">
        <w:rPr>
          <w:sz w:val="22"/>
          <w:szCs w:val="22"/>
          <w:lang w:val="sr-Latn-ME"/>
        </w:rPr>
        <w:t>POTELIGEO je namijenjen samo za intravensku primjenu i ne smije se primjenjivati su</w:t>
      </w:r>
      <w:r w:rsidR="00F45AC8" w:rsidRPr="00F16B0C">
        <w:rPr>
          <w:sz w:val="22"/>
          <w:szCs w:val="22"/>
          <w:lang w:val="sr-Latn-ME"/>
        </w:rPr>
        <w:t>b</w:t>
      </w:r>
      <w:r w:rsidR="007C5BC4" w:rsidRPr="00F16B0C">
        <w:rPr>
          <w:sz w:val="22"/>
          <w:szCs w:val="22"/>
          <w:lang w:val="sr-Latn-ME"/>
        </w:rPr>
        <w:t>kutano, intramuskularno, kao bolusna doza ili brzom intravenskom primjenom.</w:t>
      </w:r>
    </w:p>
    <w:p w14:paraId="5A2F8F05" w14:textId="77777777" w:rsidR="007C5BC4" w:rsidRPr="00F16B0C" w:rsidRDefault="007C5BC4" w:rsidP="00F16B0C">
      <w:pPr>
        <w:widowControl w:val="0"/>
        <w:numPr>
          <w:ilvl w:val="0"/>
          <w:numId w:val="12"/>
        </w:numPr>
        <w:tabs>
          <w:tab w:val="left" w:pos="765"/>
          <w:tab w:val="left" w:pos="767"/>
        </w:tabs>
        <w:autoSpaceDE w:val="0"/>
        <w:autoSpaceDN w:val="0"/>
        <w:ind w:left="568"/>
        <w:jc w:val="both"/>
        <w:rPr>
          <w:sz w:val="22"/>
          <w:szCs w:val="22"/>
          <w:lang w:val="sr-Latn-ME"/>
        </w:rPr>
      </w:pPr>
      <w:r w:rsidRPr="00F16B0C">
        <w:rPr>
          <w:sz w:val="22"/>
          <w:szCs w:val="22"/>
          <w:lang w:val="sr-Latn-ME"/>
        </w:rPr>
        <w:t>Prim</w:t>
      </w:r>
      <w:r w:rsidR="00F45AC8" w:rsidRPr="00F16B0C">
        <w:rPr>
          <w:sz w:val="22"/>
          <w:szCs w:val="22"/>
          <w:lang w:val="sr-Latn-ME"/>
        </w:rPr>
        <w:t>i</w:t>
      </w:r>
      <w:r w:rsidRPr="00F16B0C">
        <w:rPr>
          <w:sz w:val="22"/>
          <w:szCs w:val="22"/>
          <w:lang w:val="sr-Latn-ME"/>
        </w:rPr>
        <w:t>jenite infuzioni rastvor tokom najmanje 60 minuta kroz intravensku liniju koja sadrži ugrađen sterilan linijski filter od 0,22 mikromet</w:t>
      </w:r>
      <w:r w:rsidR="00383340" w:rsidRPr="00F16B0C">
        <w:rPr>
          <w:sz w:val="22"/>
          <w:szCs w:val="22"/>
          <w:lang w:val="sr-Latn-ME"/>
        </w:rPr>
        <w:t>a</w:t>
      </w:r>
      <w:r w:rsidRPr="00F16B0C">
        <w:rPr>
          <w:sz w:val="22"/>
          <w:szCs w:val="22"/>
          <w:lang w:val="sr-Latn-ME"/>
        </w:rPr>
        <w:t>ra (ili ekvivalentno) sa niskim vezivanjem proteina.</w:t>
      </w:r>
    </w:p>
    <w:p w14:paraId="6D8EA707" w14:textId="77777777" w:rsidR="007C5BC4" w:rsidRPr="00F16B0C" w:rsidRDefault="007C5BC4" w:rsidP="00F16B0C">
      <w:pPr>
        <w:widowControl w:val="0"/>
        <w:tabs>
          <w:tab w:val="left" w:pos="540"/>
          <w:tab w:val="left" w:pos="569"/>
        </w:tabs>
        <w:jc w:val="both"/>
        <w:rPr>
          <w:b/>
          <w:bCs/>
          <w:sz w:val="22"/>
          <w:szCs w:val="22"/>
          <w:lang w:val="sr-Latn-ME"/>
        </w:rPr>
      </w:pPr>
    </w:p>
    <w:p w14:paraId="14AAAD2F" w14:textId="77777777" w:rsidR="0072020E" w:rsidRPr="00F16B0C" w:rsidRDefault="0072020E" w:rsidP="00F16B0C">
      <w:pPr>
        <w:widowControl w:val="0"/>
        <w:tabs>
          <w:tab w:val="left" w:pos="540"/>
          <w:tab w:val="left" w:pos="569"/>
        </w:tabs>
        <w:jc w:val="both"/>
        <w:rPr>
          <w:bCs/>
          <w:sz w:val="22"/>
          <w:szCs w:val="22"/>
          <w:lang w:val="sr-Latn-ME"/>
        </w:rPr>
      </w:pPr>
    </w:p>
    <w:p w14:paraId="72C29E71" w14:textId="77777777" w:rsidR="00F8570A" w:rsidRPr="00F16B0C" w:rsidRDefault="0072020E" w:rsidP="00F16B0C">
      <w:pPr>
        <w:widowControl w:val="0"/>
        <w:tabs>
          <w:tab w:val="left" w:pos="540"/>
          <w:tab w:val="left" w:pos="569"/>
        </w:tabs>
        <w:jc w:val="both"/>
        <w:rPr>
          <w:b/>
          <w:bCs/>
          <w:sz w:val="22"/>
          <w:szCs w:val="22"/>
          <w:lang w:val="sr-Latn-ME"/>
        </w:rPr>
      </w:pPr>
      <w:r w:rsidRPr="00F16B0C">
        <w:rPr>
          <w:b/>
          <w:bCs/>
          <w:sz w:val="22"/>
          <w:szCs w:val="22"/>
          <w:lang w:val="sr-Latn-ME"/>
        </w:rPr>
        <w:t xml:space="preserve">7. </w:t>
      </w:r>
      <w:r w:rsidR="00480FB1" w:rsidRPr="00F16B0C">
        <w:rPr>
          <w:b/>
          <w:bCs/>
          <w:sz w:val="22"/>
          <w:szCs w:val="22"/>
          <w:lang w:val="sr-Latn-ME"/>
        </w:rPr>
        <w:tab/>
      </w:r>
      <w:r w:rsidRPr="00F16B0C">
        <w:rPr>
          <w:b/>
          <w:bCs/>
          <w:sz w:val="22"/>
          <w:szCs w:val="22"/>
          <w:lang w:val="sr-Latn-ME"/>
        </w:rPr>
        <w:t>NOSILAC DOZVOLE</w:t>
      </w:r>
      <w:r w:rsidR="00483928" w:rsidRPr="00F16B0C">
        <w:rPr>
          <w:b/>
          <w:bCs/>
          <w:sz w:val="22"/>
          <w:szCs w:val="22"/>
          <w:lang w:val="sr-Latn-ME"/>
        </w:rPr>
        <w:t xml:space="preserve"> </w:t>
      </w:r>
    </w:p>
    <w:p w14:paraId="2F4541FF" w14:textId="77777777" w:rsidR="00383340" w:rsidRPr="00F16B0C" w:rsidRDefault="00383340" w:rsidP="00F16B0C">
      <w:pPr>
        <w:widowControl w:val="0"/>
        <w:tabs>
          <w:tab w:val="left" w:pos="540"/>
          <w:tab w:val="left" w:pos="569"/>
        </w:tabs>
        <w:jc w:val="both"/>
        <w:rPr>
          <w:bCs/>
          <w:sz w:val="22"/>
          <w:szCs w:val="22"/>
          <w:lang w:val="sr-Latn-ME"/>
        </w:rPr>
      </w:pPr>
    </w:p>
    <w:p w14:paraId="0F01B1AD" w14:textId="77777777" w:rsidR="00383340" w:rsidRPr="00F16B0C" w:rsidRDefault="00F45AC8" w:rsidP="00F16B0C">
      <w:pPr>
        <w:widowControl w:val="0"/>
        <w:tabs>
          <w:tab w:val="left" w:pos="540"/>
          <w:tab w:val="left" w:pos="569"/>
        </w:tabs>
        <w:jc w:val="both"/>
        <w:rPr>
          <w:bCs/>
          <w:sz w:val="22"/>
          <w:szCs w:val="22"/>
          <w:lang w:val="sr-Latn-ME"/>
        </w:rPr>
      </w:pPr>
      <w:r w:rsidRPr="00F16B0C">
        <w:rPr>
          <w:bCs/>
          <w:sz w:val="22"/>
          <w:szCs w:val="22"/>
          <w:lang w:val="sr-Latn-ME"/>
        </w:rPr>
        <w:t xml:space="preserve">Amicus </w:t>
      </w:r>
      <w:r w:rsidR="00383340" w:rsidRPr="00F16B0C">
        <w:rPr>
          <w:bCs/>
          <w:sz w:val="22"/>
          <w:szCs w:val="22"/>
          <w:lang w:val="sr-Latn-ME"/>
        </w:rPr>
        <w:t>Pharma d.o.o.</w:t>
      </w:r>
      <w:r w:rsidRPr="00F16B0C">
        <w:rPr>
          <w:bCs/>
          <w:sz w:val="22"/>
          <w:szCs w:val="22"/>
          <w:lang w:val="sr-Latn-ME"/>
        </w:rPr>
        <w:t xml:space="preserve"> Podgorica</w:t>
      </w:r>
    </w:p>
    <w:p w14:paraId="4F09EBC0" w14:textId="77777777" w:rsidR="00383340" w:rsidRPr="00F16B0C" w:rsidRDefault="00383340" w:rsidP="00F16B0C">
      <w:pPr>
        <w:widowControl w:val="0"/>
        <w:tabs>
          <w:tab w:val="left" w:pos="540"/>
          <w:tab w:val="left" w:pos="569"/>
        </w:tabs>
        <w:jc w:val="both"/>
        <w:rPr>
          <w:bCs/>
          <w:sz w:val="22"/>
          <w:szCs w:val="22"/>
          <w:lang w:val="sr-Latn-ME"/>
        </w:rPr>
      </w:pPr>
      <w:r w:rsidRPr="00F16B0C">
        <w:rPr>
          <w:bCs/>
          <w:sz w:val="22"/>
          <w:szCs w:val="22"/>
          <w:lang w:val="sr-Latn-ME"/>
        </w:rPr>
        <w:t xml:space="preserve">Bulevar Džordža Vašingtona </w:t>
      </w:r>
      <w:r w:rsidR="00F45AC8" w:rsidRPr="00F16B0C">
        <w:rPr>
          <w:bCs/>
          <w:sz w:val="22"/>
          <w:szCs w:val="22"/>
          <w:lang w:val="sr-Latn-ME"/>
        </w:rPr>
        <w:t xml:space="preserve">br. </w:t>
      </w:r>
      <w:r w:rsidRPr="00F16B0C">
        <w:rPr>
          <w:bCs/>
          <w:sz w:val="22"/>
          <w:szCs w:val="22"/>
          <w:lang w:val="sr-Latn-ME"/>
        </w:rPr>
        <w:t>51, 81000 Podgorica</w:t>
      </w:r>
      <w:r w:rsidR="00F45AC8" w:rsidRPr="00F16B0C">
        <w:rPr>
          <w:bCs/>
          <w:sz w:val="22"/>
          <w:szCs w:val="22"/>
          <w:lang w:val="sr-Latn-ME"/>
        </w:rPr>
        <w:t>, Crna Gora</w:t>
      </w:r>
    </w:p>
    <w:p w14:paraId="4AA5FD8A" w14:textId="77777777" w:rsidR="00F45AC8" w:rsidRPr="00F16B0C" w:rsidRDefault="00F45AC8" w:rsidP="00F16B0C">
      <w:pPr>
        <w:widowControl w:val="0"/>
        <w:tabs>
          <w:tab w:val="left" w:pos="540"/>
          <w:tab w:val="left" w:pos="569"/>
        </w:tabs>
        <w:jc w:val="both"/>
        <w:rPr>
          <w:bCs/>
          <w:sz w:val="22"/>
          <w:szCs w:val="22"/>
          <w:lang w:val="sr-Latn-ME"/>
        </w:rPr>
      </w:pPr>
    </w:p>
    <w:p w14:paraId="5CFC7A56" w14:textId="77777777" w:rsidR="00383340" w:rsidRPr="00F16B0C" w:rsidRDefault="00383340" w:rsidP="00F16B0C">
      <w:pPr>
        <w:widowControl w:val="0"/>
        <w:tabs>
          <w:tab w:val="left" w:pos="540"/>
          <w:tab w:val="left" w:pos="569"/>
        </w:tabs>
        <w:jc w:val="both"/>
        <w:rPr>
          <w:bCs/>
          <w:sz w:val="22"/>
          <w:szCs w:val="22"/>
          <w:lang w:val="sr-Latn-ME"/>
        </w:rPr>
      </w:pPr>
    </w:p>
    <w:p w14:paraId="5CEE21F6" w14:textId="77777777" w:rsidR="0072020E" w:rsidRPr="00F16B0C" w:rsidRDefault="0072020E" w:rsidP="00F16B0C">
      <w:pPr>
        <w:widowControl w:val="0"/>
        <w:tabs>
          <w:tab w:val="left" w:pos="540"/>
          <w:tab w:val="left" w:pos="569"/>
        </w:tabs>
        <w:jc w:val="both"/>
        <w:rPr>
          <w:b/>
          <w:bCs/>
          <w:sz w:val="22"/>
          <w:szCs w:val="22"/>
          <w:lang w:val="sr-Latn-ME"/>
        </w:rPr>
      </w:pPr>
      <w:r w:rsidRPr="00F16B0C">
        <w:rPr>
          <w:b/>
          <w:bCs/>
          <w:sz w:val="22"/>
          <w:szCs w:val="22"/>
          <w:lang w:val="sr-Latn-ME"/>
        </w:rPr>
        <w:t xml:space="preserve">8. </w:t>
      </w:r>
      <w:r w:rsidR="00480FB1" w:rsidRPr="00F16B0C">
        <w:rPr>
          <w:b/>
          <w:bCs/>
          <w:sz w:val="22"/>
          <w:szCs w:val="22"/>
          <w:lang w:val="sr-Latn-ME"/>
        </w:rPr>
        <w:tab/>
      </w:r>
      <w:r w:rsidRPr="00F16B0C">
        <w:rPr>
          <w:b/>
          <w:bCs/>
          <w:sz w:val="22"/>
          <w:szCs w:val="22"/>
          <w:lang w:val="sr-Latn-ME"/>
        </w:rPr>
        <w:t>BROJ DOZVOLE</w:t>
      </w:r>
      <w:r w:rsidR="008A6D43" w:rsidRPr="00F16B0C">
        <w:rPr>
          <w:b/>
          <w:bCs/>
          <w:sz w:val="22"/>
          <w:szCs w:val="22"/>
          <w:lang w:val="sr-Latn-ME"/>
        </w:rPr>
        <w:t xml:space="preserve"> ZA STAVLJANJE LIJEKA U PROMET</w:t>
      </w:r>
    </w:p>
    <w:p w14:paraId="3699C9B6" w14:textId="77777777" w:rsidR="0072020E" w:rsidRPr="00F16B0C" w:rsidRDefault="0072020E" w:rsidP="00F16B0C">
      <w:pPr>
        <w:widowControl w:val="0"/>
        <w:tabs>
          <w:tab w:val="left" w:pos="540"/>
          <w:tab w:val="left" w:pos="569"/>
        </w:tabs>
        <w:jc w:val="both"/>
        <w:rPr>
          <w:bCs/>
          <w:sz w:val="22"/>
          <w:szCs w:val="22"/>
          <w:lang w:val="sr-Latn-ME"/>
        </w:rPr>
      </w:pPr>
    </w:p>
    <w:p w14:paraId="44DC21CF" w14:textId="77777777" w:rsidR="00CC7F4E" w:rsidRPr="00F16B0C" w:rsidRDefault="00CC7F4E" w:rsidP="00F16B0C">
      <w:pPr>
        <w:widowControl w:val="0"/>
        <w:tabs>
          <w:tab w:val="left" w:pos="540"/>
          <w:tab w:val="left" w:pos="569"/>
        </w:tabs>
        <w:jc w:val="both"/>
        <w:rPr>
          <w:bCs/>
          <w:sz w:val="22"/>
          <w:szCs w:val="22"/>
          <w:lang w:val="sr-Latn-ME"/>
        </w:rPr>
      </w:pPr>
      <w:r w:rsidRPr="00F16B0C">
        <w:rPr>
          <w:bCs/>
          <w:sz w:val="22"/>
          <w:szCs w:val="22"/>
          <w:lang w:val="sr-Latn-ME"/>
        </w:rPr>
        <w:t>2030/2</w:t>
      </w:r>
      <w:r w:rsidR="0083655B" w:rsidRPr="00F16B0C">
        <w:rPr>
          <w:bCs/>
          <w:sz w:val="22"/>
          <w:szCs w:val="22"/>
          <w:lang w:val="sr-Latn-ME"/>
        </w:rPr>
        <w:t>4</w:t>
      </w:r>
      <w:r w:rsidRPr="00F16B0C">
        <w:rPr>
          <w:bCs/>
          <w:sz w:val="22"/>
          <w:szCs w:val="22"/>
          <w:lang w:val="sr-Latn-ME"/>
        </w:rPr>
        <w:t>/</w:t>
      </w:r>
      <w:r w:rsidR="0083655B" w:rsidRPr="00F16B0C">
        <w:rPr>
          <w:bCs/>
          <w:sz w:val="22"/>
          <w:szCs w:val="22"/>
          <w:lang w:val="sr-Latn-ME"/>
        </w:rPr>
        <w:t>1088</w:t>
      </w:r>
      <w:r w:rsidRPr="00F16B0C">
        <w:rPr>
          <w:bCs/>
          <w:sz w:val="22"/>
          <w:szCs w:val="22"/>
          <w:lang w:val="sr-Latn-ME"/>
        </w:rPr>
        <w:t>-258</w:t>
      </w:r>
    </w:p>
    <w:p w14:paraId="4C09E21B" w14:textId="258131E0" w:rsidR="00F45F77" w:rsidRDefault="00F45F77" w:rsidP="00F16B0C">
      <w:pPr>
        <w:widowControl w:val="0"/>
        <w:tabs>
          <w:tab w:val="left" w:pos="540"/>
          <w:tab w:val="left" w:pos="569"/>
        </w:tabs>
        <w:jc w:val="both"/>
        <w:rPr>
          <w:bCs/>
          <w:sz w:val="22"/>
          <w:szCs w:val="22"/>
          <w:lang w:val="sr-Latn-ME"/>
        </w:rPr>
      </w:pPr>
    </w:p>
    <w:p w14:paraId="68632268" w14:textId="77777777" w:rsidR="00F16B0C" w:rsidRPr="00F16B0C" w:rsidRDefault="00F16B0C" w:rsidP="00F16B0C">
      <w:pPr>
        <w:widowControl w:val="0"/>
        <w:tabs>
          <w:tab w:val="left" w:pos="540"/>
          <w:tab w:val="left" w:pos="569"/>
        </w:tabs>
        <w:jc w:val="both"/>
        <w:rPr>
          <w:bCs/>
          <w:sz w:val="22"/>
          <w:szCs w:val="22"/>
          <w:lang w:val="sr-Latn-ME"/>
        </w:rPr>
      </w:pPr>
    </w:p>
    <w:p w14:paraId="323412D5" w14:textId="77777777" w:rsidR="0072020E" w:rsidRPr="00F16B0C" w:rsidRDefault="0072020E" w:rsidP="00F16B0C">
      <w:pPr>
        <w:widowControl w:val="0"/>
        <w:tabs>
          <w:tab w:val="left" w:pos="540"/>
          <w:tab w:val="left" w:pos="569"/>
        </w:tabs>
        <w:jc w:val="both"/>
        <w:rPr>
          <w:b/>
          <w:bCs/>
          <w:sz w:val="22"/>
          <w:szCs w:val="22"/>
          <w:lang w:val="sr-Latn-ME"/>
        </w:rPr>
      </w:pPr>
      <w:r w:rsidRPr="00F16B0C">
        <w:rPr>
          <w:b/>
          <w:bCs/>
          <w:sz w:val="22"/>
          <w:szCs w:val="22"/>
          <w:lang w:val="sr-Latn-ME"/>
        </w:rPr>
        <w:t xml:space="preserve">9. </w:t>
      </w:r>
      <w:r w:rsidR="00480FB1" w:rsidRPr="00F16B0C">
        <w:rPr>
          <w:b/>
          <w:bCs/>
          <w:sz w:val="22"/>
          <w:szCs w:val="22"/>
          <w:lang w:val="sr-Latn-ME"/>
        </w:rPr>
        <w:tab/>
      </w:r>
      <w:r w:rsidRPr="00F16B0C">
        <w:rPr>
          <w:b/>
          <w:bCs/>
          <w:sz w:val="22"/>
          <w:szCs w:val="22"/>
          <w:lang w:val="sr-Latn-ME"/>
        </w:rPr>
        <w:t xml:space="preserve">DATUM </w:t>
      </w:r>
      <w:r w:rsidR="00C05DF8" w:rsidRPr="00F16B0C">
        <w:rPr>
          <w:b/>
          <w:bCs/>
          <w:sz w:val="22"/>
          <w:szCs w:val="22"/>
          <w:lang w:val="sr-Latn-ME"/>
        </w:rPr>
        <w:t xml:space="preserve">PRVE </w:t>
      </w:r>
      <w:r w:rsidR="008A6D43" w:rsidRPr="00F16B0C">
        <w:rPr>
          <w:b/>
          <w:bCs/>
          <w:sz w:val="22"/>
          <w:szCs w:val="22"/>
          <w:lang w:val="sr-Latn-ME"/>
        </w:rPr>
        <w:t>DOZVOLE</w:t>
      </w:r>
      <w:r w:rsidR="00C05DF8" w:rsidRPr="00F16B0C">
        <w:rPr>
          <w:b/>
          <w:bCs/>
          <w:sz w:val="22"/>
          <w:szCs w:val="22"/>
          <w:lang w:val="sr-Latn-ME"/>
        </w:rPr>
        <w:t>/OBNOVE DOZVOLE</w:t>
      </w:r>
      <w:r w:rsidR="008A6D43" w:rsidRPr="00F16B0C">
        <w:rPr>
          <w:b/>
          <w:bCs/>
          <w:sz w:val="22"/>
          <w:szCs w:val="22"/>
          <w:lang w:val="sr-Latn-ME"/>
        </w:rPr>
        <w:t xml:space="preserve"> ZA STAVLJANJE LIJEKA U PROMET</w:t>
      </w:r>
    </w:p>
    <w:p w14:paraId="12C333DF" w14:textId="77777777" w:rsidR="0072020E" w:rsidRPr="00F16B0C" w:rsidRDefault="0072020E" w:rsidP="00F16B0C">
      <w:pPr>
        <w:widowControl w:val="0"/>
        <w:tabs>
          <w:tab w:val="left" w:pos="540"/>
          <w:tab w:val="left" w:pos="569"/>
        </w:tabs>
        <w:jc w:val="both"/>
        <w:rPr>
          <w:bCs/>
          <w:sz w:val="22"/>
          <w:szCs w:val="22"/>
          <w:lang w:val="sr-Latn-ME"/>
        </w:rPr>
      </w:pPr>
    </w:p>
    <w:p w14:paraId="65A9B838" w14:textId="77777777" w:rsidR="0083655B" w:rsidRPr="00F16B0C" w:rsidRDefault="0083655B" w:rsidP="00F16B0C">
      <w:pPr>
        <w:widowControl w:val="0"/>
        <w:tabs>
          <w:tab w:val="left" w:pos="540"/>
          <w:tab w:val="left" w:pos="569"/>
        </w:tabs>
        <w:jc w:val="both"/>
        <w:rPr>
          <w:bCs/>
          <w:sz w:val="22"/>
          <w:szCs w:val="22"/>
          <w:lang w:val="sr-Latn-ME"/>
        </w:rPr>
      </w:pPr>
      <w:r w:rsidRPr="00F16B0C">
        <w:rPr>
          <w:bCs/>
          <w:sz w:val="22"/>
          <w:szCs w:val="22"/>
          <w:lang w:val="sr-Latn-ME"/>
        </w:rPr>
        <w:t>28.02.2024.</w:t>
      </w:r>
    </w:p>
    <w:p w14:paraId="3B0D1DC0" w14:textId="62770B4C" w:rsidR="00836B35" w:rsidRDefault="00836B35" w:rsidP="00F16B0C">
      <w:pPr>
        <w:widowControl w:val="0"/>
        <w:tabs>
          <w:tab w:val="left" w:pos="540"/>
          <w:tab w:val="left" w:pos="569"/>
        </w:tabs>
        <w:jc w:val="both"/>
        <w:rPr>
          <w:bCs/>
          <w:sz w:val="22"/>
          <w:szCs w:val="22"/>
          <w:lang w:val="sr-Latn-ME"/>
        </w:rPr>
      </w:pPr>
    </w:p>
    <w:p w14:paraId="0BF93B7A" w14:textId="77777777" w:rsidR="00F16B0C" w:rsidRPr="00F16B0C" w:rsidRDefault="00F16B0C" w:rsidP="00F16B0C">
      <w:pPr>
        <w:widowControl w:val="0"/>
        <w:tabs>
          <w:tab w:val="left" w:pos="540"/>
          <w:tab w:val="left" w:pos="569"/>
        </w:tabs>
        <w:jc w:val="both"/>
        <w:rPr>
          <w:bCs/>
          <w:sz w:val="22"/>
          <w:szCs w:val="22"/>
          <w:lang w:val="sr-Latn-ME"/>
        </w:rPr>
      </w:pPr>
    </w:p>
    <w:p w14:paraId="013B2DB0" w14:textId="77777777" w:rsidR="003F6A59" w:rsidRPr="00F16B0C" w:rsidRDefault="0072020E" w:rsidP="00F16B0C">
      <w:pPr>
        <w:widowControl w:val="0"/>
        <w:tabs>
          <w:tab w:val="left" w:pos="540"/>
          <w:tab w:val="left" w:pos="569"/>
        </w:tabs>
        <w:ind w:left="540" w:hanging="540"/>
        <w:jc w:val="both"/>
        <w:rPr>
          <w:bCs/>
          <w:sz w:val="22"/>
          <w:szCs w:val="22"/>
          <w:lang w:val="sr-Latn-ME"/>
        </w:rPr>
      </w:pPr>
      <w:r w:rsidRPr="00F16B0C">
        <w:rPr>
          <w:b/>
          <w:bCs/>
          <w:sz w:val="22"/>
          <w:szCs w:val="22"/>
          <w:lang w:val="sr-Latn-ME"/>
        </w:rPr>
        <w:t xml:space="preserve">10. </w:t>
      </w:r>
      <w:r w:rsidR="00480FB1" w:rsidRPr="00F16B0C">
        <w:rPr>
          <w:b/>
          <w:bCs/>
          <w:sz w:val="22"/>
          <w:szCs w:val="22"/>
          <w:lang w:val="sr-Latn-ME"/>
        </w:rPr>
        <w:tab/>
      </w:r>
      <w:r w:rsidR="002846DB" w:rsidRPr="00F16B0C">
        <w:rPr>
          <w:b/>
          <w:bCs/>
          <w:sz w:val="22"/>
          <w:szCs w:val="22"/>
          <w:lang w:val="sr-Latn-ME"/>
        </w:rPr>
        <w:t>D</w:t>
      </w:r>
      <w:r w:rsidR="00EC2532" w:rsidRPr="00F16B0C">
        <w:rPr>
          <w:b/>
          <w:bCs/>
          <w:sz w:val="22"/>
          <w:szCs w:val="22"/>
          <w:lang w:val="sr-Latn-ME"/>
        </w:rPr>
        <w:t xml:space="preserve">ATUM REVIZIJE TEKSTA </w:t>
      </w:r>
    </w:p>
    <w:p w14:paraId="565471BB" w14:textId="77777777" w:rsidR="003F6A59" w:rsidRPr="00F16B0C" w:rsidRDefault="003F6A59" w:rsidP="00F16B0C">
      <w:pPr>
        <w:widowControl w:val="0"/>
        <w:tabs>
          <w:tab w:val="left" w:pos="540"/>
          <w:tab w:val="left" w:pos="569"/>
        </w:tabs>
        <w:jc w:val="both"/>
        <w:rPr>
          <w:bCs/>
          <w:sz w:val="22"/>
          <w:szCs w:val="22"/>
          <w:lang w:val="sr-Latn-ME"/>
        </w:rPr>
      </w:pPr>
    </w:p>
    <w:p w14:paraId="009C0701" w14:textId="3872F6B7" w:rsidR="008A6D43" w:rsidRPr="00F16B0C" w:rsidRDefault="00F16B0C" w:rsidP="00F16B0C">
      <w:pPr>
        <w:widowControl w:val="0"/>
        <w:tabs>
          <w:tab w:val="left" w:pos="540"/>
          <w:tab w:val="left" w:pos="569"/>
        </w:tabs>
        <w:jc w:val="both"/>
        <w:rPr>
          <w:bCs/>
          <w:sz w:val="22"/>
          <w:szCs w:val="22"/>
          <w:lang w:val="sr-Latn-ME"/>
        </w:rPr>
      </w:pPr>
      <w:r>
        <w:rPr>
          <w:bCs/>
          <w:sz w:val="22"/>
          <w:szCs w:val="22"/>
          <w:lang w:val="sr-Latn-ME"/>
        </w:rPr>
        <w:t>Jul, 2025. godine</w:t>
      </w:r>
    </w:p>
    <w:sectPr w:rsidR="008A6D43" w:rsidRPr="00F16B0C" w:rsidSect="00F16B0C">
      <w:footerReference w:type="default" r:id="rId16"/>
      <w:pgSz w:w="11909" w:h="16834" w:code="9"/>
      <w:pgMar w:top="851" w:right="1418" w:bottom="851"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18FC6" w14:textId="77777777" w:rsidR="0090144E" w:rsidRDefault="0090144E">
      <w:r>
        <w:separator/>
      </w:r>
    </w:p>
  </w:endnote>
  <w:endnote w:type="continuationSeparator" w:id="0">
    <w:p w14:paraId="31275B11" w14:textId="77777777" w:rsidR="0090144E" w:rsidRDefault="0090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7D3DA" w14:textId="063F821B" w:rsidR="00C17776" w:rsidRPr="00B23F69" w:rsidRDefault="00C1777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F16B0C">
      <w:rPr>
        <w:noProof/>
        <w:sz w:val="22"/>
        <w:szCs w:val="22"/>
      </w:rPr>
      <w:t>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F16B0C">
      <w:rPr>
        <w:noProof/>
        <w:sz w:val="22"/>
        <w:szCs w:val="22"/>
      </w:rPr>
      <w:t>13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F1CC5" w14:textId="77777777" w:rsidR="0090144E" w:rsidRDefault="0090144E">
      <w:r>
        <w:separator/>
      </w:r>
    </w:p>
  </w:footnote>
  <w:footnote w:type="continuationSeparator" w:id="0">
    <w:p w14:paraId="5BEA48E1" w14:textId="77777777" w:rsidR="0090144E" w:rsidRDefault="00901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7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78742E1"/>
    <w:multiLevelType w:val="hybridMultilevel"/>
    <w:tmpl w:val="09C8AACE"/>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7B97D53"/>
    <w:multiLevelType w:val="hybridMultilevel"/>
    <w:tmpl w:val="5B6C99C0"/>
    <w:lvl w:ilvl="0" w:tplc="D74E4D1A">
      <w:numFmt w:val="bullet"/>
      <w:lvlText w:val=""/>
      <w:lvlJc w:val="left"/>
      <w:pPr>
        <w:ind w:left="765" w:hanging="568"/>
      </w:pPr>
      <w:rPr>
        <w:rFonts w:ascii="Symbol" w:eastAsia="Symbol" w:hAnsi="Symbol" w:cs="Symbol" w:hint="default"/>
        <w:w w:val="99"/>
        <w:sz w:val="22"/>
        <w:szCs w:val="22"/>
        <w:lang w:val="en-US" w:eastAsia="en-US" w:bidi="ar-SA"/>
      </w:rPr>
    </w:lvl>
    <w:lvl w:ilvl="1" w:tplc="7534B5B4">
      <w:numFmt w:val="bullet"/>
      <w:lvlText w:val="•"/>
      <w:lvlJc w:val="left"/>
      <w:pPr>
        <w:ind w:left="1636" w:hanging="568"/>
      </w:pPr>
      <w:rPr>
        <w:rFonts w:hint="default"/>
        <w:lang w:val="en-US" w:eastAsia="en-US" w:bidi="ar-SA"/>
      </w:rPr>
    </w:lvl>
    <w:lvl w:ilvl="2" w:tplc="5E9E27FE">
      <w:numFmt w:val="bullet"/>
      <w:lvlText w:val="•"/>
      <w:lvlJc w:val="left"/>
      <w:pPr>
        <w:ind w:left="2513" w:hanging="568"/>
      </w:pPr>
      <w:rPr>
        <w:rFonts w:hint="default"/>
        <w:lang w:val="en-US" w:eastAsia="en-US" w:bidi="ar-SA"/>
      </w:rPr>
    </w:lvl>
    <w:lvl w:ilvl="3" w:tplc="C1AEE2B4">
      <w:numFmt w:val="bullet"/>
      <w:lvlText w:val="•"/>
      <w:lvlJc w:val="left"/>
      <w:pPr>
        <w:ind w:left="3390" w:hanging="568"/>
      </w:pPr>
      <w:rPr>
        <w:rFonts w:hint="default"/>
        <w:lang w:val="en-US" w:eastAsia="en-US" w:bidi="ar-SA"/>
      </w:rPr>
    </w:lvl>
    <w:lvl w:ilvl="4" w:tplc="D43EE9D0">
      <w:numFmt w:val="bullet"/>
      <w:lvlText w:val="•"/>
      <w:lvlJc w:val="left"/>
      <w:pPr>
        <w:ind w:left="4267" w:hanging="568"/>
      </w:pPr>
      <w:rPr>
        <w:rFonts w:hint="default"/>
        <w:lang w:val="en-US" w:eastAsia="en-US" w:bidi="ar-SA"/>
      </w:rPr>
    </w:lvl>
    <w:lvl w:ilvl="5" w:tplc="9930475C">
      <w:numFmt w:val="bullet"/>
      <w:lvlText w:val="•"/>
      <w:lvlJc w:val="left"/>
      <w:pPr>
        <w:ind w:left="5143" w:hanging="568"/>
      </w:pPr>
      <w:rPr>
        <w:rFonts w:hint="default"/>
        <w:lang w:val="en-US" w:eastAsia="en-US" w:bidi="ar-SA"/>
      </w:rPr>
    </w:lvl>
    <w:lvl w:ilvl="6" w:tplc="2B608A98">
      <w:numFmt w:val="bullet"/>
      <w:lvlText w:val="•"/>
      <w:lvlJc w:val="left"/>
      <w:pPr>
        <w:ind w:left="6020" w:hanging="568"/>
      </w:pPr>
      <w:rPr>
        <w:rFonts w:hint="default"/>
        <w:lang w:val="en-US" w:eastAsia="en-US" w:bidi="ar-SA"/>
      </w:rPr>
    </w:lvl>
    <w:lvl w:ilvl="7" w:tplc="56325076">
      <w:numFmt w:val="bullet"/>
      <w:lvlText w:val="•"/>
      <w:lvlJc w:val="left"/>
      <w:pPr>
        <w:ind w:left="6897" w:hanging="568"/>
      </w:pPr>
      <w:rPr>
        <w:rFonts w:hint="default"/>
        <w:lang w:val="en-US" w:eastAsia="en-US" w:bidi="ar-SA"/>
      </w:rPr>
    </w:lvl>
    <w:lvl w:ilvl="8" w:tplc="3FFABDF2">
      <w:numFmt w:val="bullet"/>
      <w:lvlText w:val="•"/>
      <w:lvlJc w:val="left"/>
      <w:pPr>
        <w:ind w:left="7774" w:hanging="568"/>
      </w:pPr>
      <w:rPr>
        <w:rFonts w:hint="default"/>
        <w:lang w:val="en-US" w:eastAsia="en-US" w:bidi="ar-SA"/>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0"/>
  </w:num>
  <w:num w:numId="5">
    <w:abstractNumId w:val="5"/>
  </w:num>
  <w:num w:numId="6">
    <w:abstractNumId w:val="1"/>
  </w:num>
  <w:num w:numId="7">
    <w:abstractNumId w:val="9"/>
  </w:num>
  <w:num w:numId="8">
    <w:abstractNumId w:val="4"/>
  </w:num>
  <w:num w:numId="9">
    <w:abstractNumId w:val="7"/>
  </w:num>
  <w:num w:numId="10">
    <w:abstractNumId w:val="12"/>
  </w:num>
  <w:num w:numId="11">
    <w:abstractNumId w:val="6"/>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079"/>
    <w:rsid w:val="000176CA"/>
    <w:rsid w:val="00027F40"/>
    <w:rsid w:val="00033469"/>
    <w:rsid w:val="00036FA0"/>
    <w:rsid w:val="0003793F"/>
    <w:rsid w:val="00045130"/>
    <w:rsid w:val="00057E35"/>
    <w:rsid w:val="00075E28"/>
    <w:rsid w:val="00076726"/>
    <w:rsid w:val="00080303"/>
    <w:rsid w:val="00083D02"/>
    <w:rsid w:val="000A3F58"/>
    <w:rsid w:val="000D2343"/>
    <w:rsid w:val="000D3449"/>
    <w:rsid w:val="000D425A"/>
    <w:rsid w:val="000D60CC"/>
    <w:rsid w:val="000E2084"/>
    <w:rsid w:val="000E6F55"/>
    <w:rsid w:val="000F77FA"/>
    <w:rsid w:val="00107BF7"/>
    <w:rsid w:val="00111807"/>
    <w:rsid w:val="00126F53"/>
    <w:rsid w:val="0014766D"/>
    <w:rsid w:val="001536CC"/>
    <w:rsid w:val="001A3FBA"/>
    <w:rsid w:val="001A5518"/>
    <w:rsid w:val="001B1C6A"/>
    <w:rsid w:val="001C1263"/>
    <w:rsid w:val="001C1417"/>
    <w:rsid w:val="001E0A4E"/>
    <w:rsid w:val="001E390B"/>
    <w:rsid w:val="001F1DBB"/>
    <w:rsid w:val="001F42FB"/>
    <w:rsid w:val="001F719A"/>
    <w:rsid w:val="002031B3"/>
    <w:rsid w:val="00215931"/>
    <w:rsid w:val="00224C91"/>
    <w:rsid w:val="00227BDB"/>
    <w:rsid w:val="00234CB1"/>
    <w:rsid w:val="002352F8"/>
    <w:rsid w:val="002510A5"/>
    <w:rsid w:val="00254A0A"/>
    <w:rsid w:val="00266046"/>
    <w:rsid w:val="002726BA"/>
    <w:rsid w:val="002846DB"/>
    <w:rsid w:val="00284CCD"/>
    <w:rsid w:val="002A0BAB"/>
    <w:rsid w:val="002A5C9F"/>
    <w:rsid w:val="002C6637"/>
    <w:rsid w:val="002E0135"/>
    <w:rsid w:val="002E37A5"/>
    <w:rsid w:val="00310F03"/>
    <w:rsid w:val="003247D2"/>
    <w:rsid w:val="00333C95"/>
    <w:rsid w:val="003445C1"/>
    <w:rsid w:val="00355B61"/>
    <w:rsid w:val="00362686"/>
    <w:rsid w:val="00371510"/>
    <w:rsid w:val="00383340"/>
    <w:rsid w:val="00396DFD"/>
    <w:rsid w:val="003A7059"/>
    <w:rsid w:val="003B7A36"/>
    <w:rsid w:val="003C17AB"/>
    <w:rsid w:val="003C6204"/>
    <w:rsid w:val="003C7823"/>
    <w:rsid w:val="003E1DCC"/>
    <w:rsid w:val="003F11A1"/>
    <w:rsid w:val="003F6A59"/>
    <w:rsid w:val="004065C8"/>
    <w:rsid w:val="004109FA"/>
    <w:rsid w:val="00411B4B"/>
    <w:rsid w:val="00414C3C"/>
    <w:rsid w:val="00415BEE"/>
    <w:rsid w:val="004254E9"/>
    <w:rsid w:val="00427F85"/>
    <w:rsid w:val="00433B55"/>
    <w:rsid w:val="00436F42"/>
    <w:rsid w:val="004378B4"/>
    <w:rsid w:val="00451314"/>
    <w:rsid w:val="00452E9D"/>
    <w:rsid w:val="004534C7"/>
    <w:rsid w:val="004671AA"/>
    <w:rsid w:val="00467DA3"/>
    <w:rsid w:val="00471DF8"/>
    <w:rsid w:val="00480FB1"/>
    <w:rsid w:val="00483928"/>
    <w:rsid w:val="004C331F"/>
    <w:rsid w:val="004D6103"/>
    <w:rsid w:val="004E3BCE"/>
    <w:rsid w:val="004E70AD"/>
    <w:rsid w:val="004F0E97"/>
    <w:rsid w:val="004F17E2"/>
    <w:rsid w:val="00501DD1"/>
    <w:rsid w:val="00515C21"/>
    <w:rsid w:val="00530BD7"/>
    <w:rsid w:val="00543860"/>
    <w:rsid w:val="00545CD2"/>
    <w:rsid w:val="005476F3"/>
    <w:rsid w:val="00572527"/>
    <w:rsid w:val="00573E40"/>
    <w:rsid w:val="00576348"/>
    <w:rsid w:val="00591433"/>
    <w:rsid w:val="005979B8"/>
    <w:rsid w:val="005A0B2E"/>
    <w:rsid w:val="005A23D2"/>
    <w:rsid w:val="005A36CB"/>
    <w:rsid w:val="005B49B8"/>
    <w:rsid w:val="005C0741"/>
    <w:rsid w:val="005C5EF4"/>
    <w:rsid w:val="005E2E0B"/>
    <w:rsid w:val="005E67AD"/>
    <w:rsid w:val="005E7A7D"/>
    <w:rsid w:val="00602457"/>
    <w:rsid w:val="00644A86"/>
    <w:rsid w:val="00644FC3"/>
    <w:rsid w:val="00646BD1"/>
    <w:rsid w:val="00655797"/>
    <w:rsid w:val="006561C2"/>
    <w:rsid w:val="00663829"/>
    <w:rsid w:val="00671CB3"/>
    <w:rsid w:val="00674BAF"/>
    <w:rsid w:val="00682200"/>
    <w:rsid w:val="00692BF6"/>
    <w:rsid w:val="006A1351"/>
    <w:rsid w:val="006A1497"/>
    <w:rsid w:val="006B0BD1"/>
    <w:rsid w:val="006B5404"/>
    <w:rsid w:val="006D20A5"/>
    <w:rsid w:val="006D37BF"/>
    <w:rsid w:val="006F5A13"/>
    <w:rsid w:val="00702E22"/>
    <w:rsid w:val="0072020E"/>
    <w:rsid w:val="0073077B"/>
    <w:rsid w:val="0073588A"/>
    <w:rsid w:val="00754902"/>
    <w:rsid w:val="00786071"/>
    <w:rsid w:val="007A3ECB"/>
    <w:rsid w:val="007C5BC4"/>
    <w:rsid w:val="007D7BB3"/>
    <w:rsid w:val="007E31E9"/>
    <w:rsid w:val="007F05E3"/>
    <w:rsid w:val="007F0FF3"/>
    <w:rsid w:val="00804189"/>
    <w:rsid w:val="00824AB9"/>
    <w:rsid w:val="008250DA"/>
    <w:rsid w:val="00835645"/>
    <w:rsid w:val="0083655B"/>
    <w:rsid w:val="00836B35"/>
    <w:rsid w:val="00843BDE"/>
    <w:rsid w:val="00860B19"/>
    <w:rsid w:val="0087588C"/>
    <w:rsid w:val="0089705C"/>
    <w:rsid w:val="008A6D43"/>
    <w:rsid w:val="008B491E"/>
    <w:rsid w:val="008C1A28"/>
    <w:rsid w:val="008C2E98"/>
    <w:rsid w:val="008E49BD"/>
    <w:rsid w:val="008E53E9"/>
    <w:rsid w:val="008E5771"/>
    <w:rsid w:val="008F4ACF"/>
    <w:rsid w:val="0090144E"/>
    <w:rsid w:val="00906190"/>
    <w:rsid w:val="00924166"/>
    <w:rsid w:val="00940B9B"/>
    <w:rsid w:val="00953573"/>
    <w:rsid w:val="0095676E"/>
    <w:rsid w:val="00956983"/>
    <w:rsid w:val="00963CF0"/>
    <w:rsid w:val="00964BB1"/>
    <w:rsid w:val="009775D9"/>
    <w:rsid w:val="00997175"/>
    <w:rsid w:val="009A1847"/>
    <w:rsid w:val="009A24B9"/>
    <w:rsid w:val="009B062A"/>
    <w:rsid w:val="009B487A"/>
    <w:rsid w:val="009E7C6F"/>
    <w:rsid w:val="009F1793"/>
    <w:rsid w:val="009F2D23"/>
    <w:rsid w:val="00A01D69"/>
    <w:rsid w:val="00A02335"/>
    <w:rsid w:val="00A14243"/>
    <w:rsid w:val="00A46C9A"/>
    <w:rsid w:val="00A619F3"/>
    <w:rsid w:val="00A62A73"/>
    <w:rsid w:val="00A87FF6"/>
    <w:rsid w:val="00AA0A3B"/>
    <w:rsid w:val="00AA2763"/>
    <w:rsid w:val="00AA33B6"/>
    <w:rsid w:val="00AB50CA"/>
    <w:rsid w:val="00AB6D64"/>
    <w:rsid w:val="00AC53CE"/>
    <w:rsid w:val="00AD2193"/>
    <w:rsid w:val="00AF19F4"/>
    <w:rsid w:val="00AF2AC7"/>
    <w:rsid w:val="00AF74CE"/>
    <w:rsid w:val="00B17DD8"/>
    <w:rsid w:val="00B208DB"/>
    <w:rsid w:val="00B23F69"/>
    <w:rsid w:val="00B4081C"/>
    <w:rsid w:val="00B50014"/>
    <w:rsid w:val="00B60619"/>
    <w:rsid w:val="00B66A70"/>
    <w:rsid w:val="00B67366"/>
    <w:rsid w:val="00B80EE1"/>
    <w:rsid w:val="00B84135"/>
    <w:rsid w:val="00C04D34"/>
    <w:rsid w:val="00C05DF8"/>
    <w:rsid w:val="00C06864"/>
    <w:rsid w:val="00C10F54"/>
    <w:rsid w:val="00C17776"/>
    <w:rsid w:val="00C23D8D"/>
    <w:rsid w:val="00C37AA3"/>
    <w:rsid w:val="00C37FD7"/>
    <w:rsid w:val="00C43419"/>
    <w:rsid w:val="00C44CF3"/>
    <w:rsid w:val="00C61BE0"/>
    <w:rsid w:val="00C6707E"/>
    <w:rsid w:val="00C70B0E"/>
    <w:rsid w:val="00C70E57"/>
    <w:rsid w:val="00C773CA"/>
    <w:rsid w:val="00C83785"/>
    <w:rsid w:val="00C87FA8"/>
    <w:rsid w:val="00C94C0D"/>
    <w:rsid w:val="00CA1FEB"/>
    <w:rsid w:val="00CA2D85"/>
    <w:rsid w:val="00CA68D6"/>
    <w:rsid w:val="00CC2A44"/>
    <w:rsid w:val="00CC7F4E"/>
    <w:rsid w:val="00CD4F85"/>
    <w:rsid w:val="00CD6F02"/>
    <w:rsid w:val="00CE246D"/>
    <w:rsid w:val="00CF07A0"/>
    <w:rsid w:val="00CF3E03"/>
    <w:rsid w:val="00D0082A"/>
    <w:rsid w:val="00D21455"/>
    <w:rsid w:val="00D47634"/>
    <w:rsid w:val="00D603DB"/>
    <w:rsid w:val="00D709B3"/>
    <w:rsid w:val="00D74CD2"/>
    <w:rsid w:val="00D754DD"/>
    <w:rsid w:val="00DA2ED6"/>
    <w:rsid w:val="00DB1D55"/>
    <w:rsid w:val="00DB6849"/>
    <w:rsid w:val="00DB76B8"/>
    <w:rsid w:val="00DC2EA1"/>
    <w:rsid w:val="00DD6AAF"/>
    <w:rsid w:val="00DE3F5C"/>
    <w:rsid w:val="00DE65CE"/>
    <w:rsid w:val="00DF1D20"/>
    <w:rsid w:val="00E21324"/>
    <w:rsid w:val="00E246B9"/>
    <w:rsid w:val="00E31FEA"/>
    <w:rsid w:val="00E45169"/>
    <w:rsid w:val="00E47787"/>
    <w:rsid w:val="00E51C30"/>
    <w:rsid w:val="00E54ED1"/>
    <w:rsid w:val="00E64180"/>
    <w:rsid w:val="00E7235D"/>
    <w:rsid w:val="00E74AEE"/>
    <w:rsid w:val="00E868E5"/>
    <w:rsid w:val="00E9237A"/>
    <w:rsid w:val="00E939FA"/>
    <w:rsid w:val="00EA5765"/>
    <w:rsid w:val="00EC2532"/>
    <w:rsid w:val="00ED7812"/>
    <w:rsid w:val="00EF3B86"/>
    <w:rsid w:val="00F03056"/>
    <w:rsid w:val="00F10956"/>
    <w:rsid w:val="00F16B0C"/>
    <w:rsid w:val="00F317E9"/>
    <w:rsid w:val="00F34554"/>
    <w:rsid w:val="00F35B68"/>
    <w:rsid w:val="00F45AC8"/>
    <w:rsid w:val="00F45F77"/>
    <w:rsid w:val="00F5167F"/>
    <w:rsid w:val="00F52258"/>
    <w:rsid w:val="00F8570A"/>
    <w:rsid w:val="00F91C7B"/>
    <w:rsid w:val="00FD2DB5"/>
    <w:rsid w:val="00FE1E6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5A5FD"/>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customStyle="1" w:styleId="C-BodyText">
    <w:name w:val="C-Body Text"/>
    <w:link w:val="C-BodyTextChar"/>
    <w:rsid w:val="00906190"/>
    <w:pPr>
      <w:spacing w:before="120" w:after="120" w:line="280" w:lineRule="atLeast"/>
    </w:pPr>
    <w:rPr>
      <w:sz w:val="24"/>
      <w:lang w:val="en-US" w:eastAsia="en-US"/>
    </w:rPr>
  </w:style>
  <w:style w:type="character" w:customStyle="1" w:styleId="C-BodyTextChar">
    <w:name w:val="C-Body Text Char"/>
    <w:link w:val="C-BodyText"/>
    <w:rsid w:val="00906190"/>
    <w:rPr>
      <w:sz w:val="24"/>
      <w:lang w:val="en-US" w:eastAsia="en-US"/>
    </w:rPr>
  </w:style>
  <w:style w:type="paragraph" w:styleId="Revision">
    <w:name w:val="Revision"/>
    <w:hidden/>
    <w:uiPriority w:val="99"/>
    <w:semiHidden/>
    <w:rsid w:val="00DE65CE"/>
    <w:rPr>
      <w:sz w:val="24"/>
      <w:szCs w:val="24"/>
      <w:lang w:val="en-US" w:eastAsia="en-US"/>
    </w:rPr>
  </w:style>
  <w:style w:type="paragraph" w:styleId="BodyText">
    <w:name w:val="Body Text"/>
    <w:basedOn w:val="Normal"/>
    <w:link w:val="BodyTextChar"/>
    <w:uiPriority w:val="1"/>
    <w:qFormat/>
    <w:rsid w:val="00DB6849"/>
    <w:pPr>
      <w:widowControl w:val="0"/>
      <w:autoSpaceDE w:val="0"/>
      <w:autoSpaceDN w:val="0"/>
      <w:ind w:left="816"/>
    </w:pPr>
    <w:rPr>
      <w:sz w:val="22"/>
      <w:szCs w:val="22"/>
      <w:lang w:val="hr-HR"/>
    </w:rPr>
  </w:style>
  <w:style w:type="character" w:customStyle="1" w:styleId="BodyTextChar">
    <w:name w:val="Body Text Char"/>
    <w:basedOn w:val="DefaultParagraphFont"/>
    <w:link w:val="BodyText"/>
    <w:uiPriority w:val="1"/>
    <w:rsid w:val="00DB6849"/>
    <w:rPr>
      <w:sz w:val="22"/>
      <w:szCs w:val="22"/>
      <w:lang w:val="hr-HR" w:eastAsia="en-US"/>
    </w:rPr>
  </w:style>
  <w:style w:type="paragraph" w:styleId="ListParagraph">
    <w:name w:val="List Paragraph"/>
    <w:basedOn w:val="Normal"/>
    <w:uiPriority w:val="34"/>
    <w:qFormat/>
    <w:rsid w:val="00F16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143BA-7BD5-46A3-A581-06D0A81D7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5672</Words>
  <Characters>32334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37931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Nikezić</cp:lastModifiedBy>
  <cp:revision>8</cp:revision>
  <cp:lastPrinted>2023-02-09T08:16:00Z</cp:lastPrinted>
  <dcterms:created xsi:type="dcterms:W3CDTF">2025-07-17T07:00:00Z</dcterms:created>
  <dcterms:modified xsi:type="dcterms:W3CDTF">2025-07-21T09:09:00Z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