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6C" w:rsidRPr="00CF4D6C" w:rsidRDefault="00CF4D6C" w:rsidP="00CF4D6C">
      <w:pPr>
        <w:spacing w:before="1000"/>
        <w:jc w:val="right"/>
        <w:rPr>
          <w:sz w:val="22"/>
          <w:szCs w:val="22"/>
        </w:rPr>
      </w:pPr>
      <w:bookmarkStart w:id="0" w:name="_GoBack"/>
      <w:bookmarkEnd w:id="0"/>
      <w:r w:rsidRPr="00CF4D6C">
        <w:rPr>
          <w:b/>
          <w:caps/>
          <w:sz w:val="22"/>
          <w:szCs w:val="22"/>
        </w:rPr>
        <w:t xml:space="preserve"> </w:t>
      </w:r>
      <w:r w:rsidRPr="00CF4D6C">
        <w:rPr>
          <w:b/>
          <w:caps/>
          <w:sz w:val="22"/>
          <w:szCs w:val="22"/>
          <w:u w:val="single"/>
        </w:rPr>
        <w:t xml:space="preserve">   </w:t>
      </w:r>
    </w:p>
    <w:tbl>
      <w:tblPr>
        <w:tblW w:w="9360" w:type="dxa"/>
        <w:jc w:val="center"/>
        <w:tblLayout w:type="fixed"/>
        <w:tblLook w:val="0000" w:firstRow="0" w:lastRow="0" w:firstColumn="0" w:lastColumn="0" w:noHBand="0" w:noVBand="0"/>
      </w:tblPr>
      <w:tblGrid>
        <w:gridCol w:w="2160"/>
        <w:gridCol w:w="7200"/>
      </w:tblGrid>
      <w:tr w:rsidR="00CF4D6C" w:rsidRPr="00CF4D6C" w:rsidTr="005558C4">
        <w:tblPrEx>
          <w:tblCellMar>
            <w:top w:w="0" w:type="dxa"/>
            <w:bottom w:w="0" w:type="dxa"/>
          </w:tblCellMar>
        </w:tblPrEx>
        <w:trPr>
          <w:trHeight w:val="530"/>
          <w:jc w:val="center"/>
        </w:trPr>
        <w:tc>
          <w:tcPr>
            <w:tcW w:w="9360" w:type="dxa"/>
            <w:gridSpan w:val="2"/>
            <w:vAlign w:val="center"/>
          </w:tcPr>
          <w:p w:rsidR="00CF4D6C" w:rsidRPr="00CF4D6C" w:rsidRDefault="00CF4D6C" w:rsidP="005558C4">
            <w:pPr>
              <w:jc w:val="center"/>
              <w:rPr>
                <w:b/>
                <w:bCs/>
                <w:i/>
                <w:iCs/>
                <w:sz w:val="22"/>
                <w:szCs w:val="22"/>
                <w:u w:val="single"/>
              </w:rPr>
            </w:pPr>
            <w:r w:rsidRPr="00CF4D6C">
              <w:rPr>
                <w:b/>
                <w:bCs/>
                <w:i/>
                <w:iCs/>
                <w:sz w:val="22"/>
                <w:szCs w:val="22"/>
                <w:u w:val="single"/>
              </w:rPr>
              <w:t>SAŽETAK KARAKTERISTIKA LIJEKA</w:t>
            </w:r>
          </w:p>
        </w:tc>
      </w:tr>
      <w:tr w:rsidR="00CF4D6C" w:rsidRPr="00CF4D6C" w:rsidTr="005558C4">
        <w:tblPrEx>
          <w:tblCellMar>
            <w:top w:w="0" w:type="dxa"/>
            <w:bottom w:w="0" w:type="dxa"/>
          </w:tblCellMar>
        </w:tblPrEx>
        <w:trPr>
          <w:trHeight w:val="1969"/>
          <w:jc w:val="center"/>
        </w:trPr>
        <w:tc>
          <w:tcPr>
            <w:tcW w:w="9360" w:type="dxa"/>
            <w:gridSpan w:val="2"/>
            <w:vAlign w:val="bottom"/>
          </w:tcPr>
          <w:p w:rsidR="00CF4D6C" w:rsidRPr="00CF4D6C" w:rsidRDefault="00CF4D6C" w:rsidP="00CF4D6C">
            <w:pPr>
              <w:spacing w:after="40"/>
              <w:jc w:val="center"/>
              <w:rPr>
                <w:b/>
                <w:bCs/>
                <w:sz w:val="22"/>
                <w:szCs w:val="22"/>
              </w:rPr>
            </w:pPr>
            <w:r w:rsidRPr="00CF4D6C">
              <w:rPr>
                <w:b/>
                <w:sz w:val="22"/>
                <w:szCs w:val="22"/>
              </w:rPr>
              <w:t>GARDASIL</w:t>
            </w:r>
            <w:r w:rsidRPr="00CF4D6C">
              <w:rPr>
                <w:b/>
                <w:sz w:val="22"/>
                <w:szCs w:val="22"/>
                <w:vertAlign w:val="superscript"/>
              </w:rPr>
              <w:t>®</w:t>
            </w:r>
          </w:p>
        </w:tc>
      </w:tr>
      <w:tr w:rsidR="00CF4D6C" w:rsidRPr="00CF4D6C" w:rsidTr="005558C4">
        <w:tblPrEx>
          <w:tblCellMar>
            <w:top w:w="0" w:type="dxa"/>
            <w:bottom w:w="0" w:type="dxa"/>
          </w:tblCellMar>
        </w:tblPrEx>
        <w:trPr>
          <w:trHeight w:val="1225"/>
          <w:jc w:val="center"/>
        </w:trPr>
        <w:tc>
          <w:tcPr>
            <w:tcW w:w="9360" w:type="dxa"/>
            <w:gridSpan w:val="2"/>
          </w:tcPr>
          <w:p w:rsidR="00CF4D6C" w:rsidRPr="00CF4D6C" w:rsidRDefault="00CF4D6C" w:rsidP="00265E46">
            <w:pPr>
              <w:pStyle w:val="Heading2"/>
              <w:spacing w:before="0" w:after="0" w:line="276" w:lineRule="auto"/>
              <w:jc w:val="center"/>
              <w:rPr>
                <w:rFonts w:ascii="Times New Roman" w:hAnsi="Times New Roman" w:cs="Times New Roman"/>
                <w:i w:val="0"/>
                <w:sz w:val="22"/>
                <w:szCs w:val="22"/>
              </w:rPr>
            </w:pPr>
            <w:r w:rsidRPr="00CF4D6C">
              <w:rPr>
                <w:rFonts w:ascii="Times New Roman" w:hAnsi="Times New Roman" w:cs="Times New Roman"/>
                <w:i w:val="0"/>
                <w:sz w:val="22"/>
                <w:szCs w:val="22"/>
              </w:rPr>
              <w:t>suspenzija za injekciju,</w:t>
            </w:r>
          </w:p>
          <w:p w:rsidR="00CF4D6C" w:rsidRPr="00CF4D6C" w:rsidRDefault="00CF4D6C" w:rsidP="00265E46">
            <w:pPr>
              <w:pStyle w:val="Heading2"/>
              <w:spacing w:before="0" w:after="0" w:line="276" w:lineRule="auto"/>
              <w:jc w:val="center"/>
              <w:rPr>
                <w:rFonts w:ascii="Times New Roman" w:hAnsi="Times New Roman" w:cs="Times New Roman"/>
                <w:i w:val="0"/>
                <w:sz w:val="22"/>
                <w:szCs w:val="22"/>
              </w:rPr>
            </w:pPr>
            <w:r w:rsidRPr="00CF4D6C">
              <w:rPr>
                <w:rFonts w:ascii="Times New Roman" w:hAnsi="Times New Roman" w:cs="Times New Roman"/>
                <w:i w:val="0"/>
                <w:sz w:val="22"/>
                <w:szCs w:val="22"/>
              </w:rPr>
              <w:t>20 mcg + 40 mcg + 40 mcg + 20 mcg,</w:t>
            </w:r>
          </w:p>
          <w:p w:rsidR="00CF4D6C" w:rsidRPr="00CF4D6C" w:rsidRDefault="00CF4D6C" w:rsidP="00265E46">
            <w:pPr>
              <w:pStyle w:val="Heading2"/>
              <w:spacing w:before="0" w:after="0" w:line="276" w:lineRule="auto"/>
              <w:jc w:val="center"/>
              <w:rPr>
                <w:rFonts w:ascii="Times New Roman" w:hAnsi="Times New Roman" w:cs="Times New Roman"/>
                <w:i w:val="0"/>
                <w:sz w:val="22"/>
                <w:szCs w:val="22"/>
              </w:rPr>
            </w:pPr>
            <w:r w:rsidRPr="00CF4D6C">
              <w:rPr>
                <w:rFonts w:ascii="Times New Roman" w:hAnsi="Times New Roman" w:cs="Times New Roman"/>
                <w:i w:val="0"/>
                <w:sz w:val="22"/>
                <w:szCs w:val="22"/>
              </w:rPr>
              <w:t>napunjen</w:t>
            </w:r>
            <w:r w:rsidR="002B7060">
              <w:rPr>
                <w:rFonts w:ascii="Times New Roman" w:hAnsi="Times New Roman" w:cs="Times New Roman"/>
                <w:i w:val="0"/>
                <w:sz w:val="22"/>
                <w:szCs w:val="22"/>
              </w:rPr>
              <w:t>i</w:t>
            </w:r>
            <w:r w:rsidRPr="00CF4D6C">
              <w:rPr>
                <w:rFonts w:ascii="Times New Roman" w:hAnsi="Times New Roman" w:cs="Times New Roman"/>
                <w:i w:val="0"/>
                <w:sz w:val="22"/>
                <w:szCs w:val="22"/>
              </w:rPr>
              <w:t xml:space="preserve"> injekcioni špric, 1x0,5 ml</w:t>
            </w:r>
          </w:p>
          <w:p w:rsidR="00CF4D6C" w:rsidRPr="00CF4D6C" w:rsidRDefault="00CF4D6C" w:rsidP="00CF4D6C"/>
        </w:tc>
      </w:tr>
      <w:tr w:rsidR="00CF4D6C" w:rsidRPr="00CF4D6C" w:rsidTr="005558C4">
        <w:tblPrEx>
          <w:tblCellMar>
            <w:top w:w="0" w:type="dxa"/>
            <w:bottom w:w="0" w:type="dxa"/>
          </w:tblCellMar>
        </w:tblPrEx>
        <w:trPr>
          <w:jc w:val="center"/>
        </w:trPr>
        <w:tc>
          <w:tcPr>
            <w:tcW w:w="2160" w:type="dxa"/>
            <w:vAlign w:val="bottom"/>
          </w:tcPr>
          <w:p w:rsidR="00CF4D6C" w:rsidRPr="00CF4D6C" w:rsidRDefault="00CF4D6C" w:rsidP="005558C4">
            <w:pPr>
              <w:spacing w:before="200"/>
              <w:jc w:val="right"/>
              <w:rPr>
                <w:sz w:val="22"/>
                <w:szCs w:val="22"/>
              </w:rPr>
            </w:pPr>
            <w:r w:rsidRPr="00CF4D6C">
              <w:rPr>
                <w:sz w:val="22"/>
                <w:szCs w:val="22"/>
              </w:rPr>
              <w:t>Proizvođač:</w:t>
            </w:r>
          </w:p>
        </w:tc>
        <w:tc>
          <w:tcPr>
            <w:tcW w:w="7200" w:type="dxa"/>
            <w:vAlign w:val="bottom"/>
          </w:tcPr>
          <w:p w:rsidR="00CF4D6C" w:rsidRPr="00CF4D6C" w:rsidRDefault="00CF4D6C" w:rsidP="005558C4">
            <w:pPr>
              <w:spacing w:before="200"/>
              <w:ind w:left="72" w:hanging="72"/>
              <w:rPr>
                <w:b/>
                <w:bCs/>
                <w:sz w:val="22"/>
                <w:szCs w:val="22"/>
              </w:rPr>
            </w:pPr>
            <w:r w:rsidRPr="00CF4D6C">
              <w:rPr>
                <w:b/>
                <w:bCs/>
                <w:sz w:val="22"/>
                <w:szCs w:val="22"/>
              </w:rPr>
              <w:t>Merck Sharp &amp; Dohme BV</w:t>
            </w:r>
          </w:p>
        </w:tc>
      </w:tr>
      <w:tr w:rsidR="00CF4D6C" w:rsidRPr="00CF4D6C" w:rsidTr="005558C4">
        <w:tblPrEx>
          <w:tblCellMar>
            <w:top w:w="0" w:type="dxa"/>
            <w:bottom w:w="0" w:type="dxa"/>
          </w:tblCellMar>
        </w:tblPrEx>
        <w:trPr>
          <w:jc w:val="center"/>
        </w:trPr>
        <w:tc>
          <w:tcPr>
            <w:tcW w:w="2160" w:type="dxa"/>
            <w:vAlign w:val="bottom"/>
          </w:tcPr>
          <w:p w:rsidR="00CF4D6C" w:rsidRPr="00CF4D6C" w:rsidRDefault="00CF4D6C" w:rsidP="005558C4">
            <w:pPr>
              <w:spacing w:before="200"/>
              <w:jc w:val="right"/>
              <w:rPr>
                <w:sz w:val="22"/>
                <w:szCs w:val="22"/>
              </w:rPr>
            </w:pPr>
            <w:r w:rsidRPr="00CF4D6C">
              <w:rPr>
                <w:sz w:val="22"/>
                <w:szCs w:val="22"/>
              </w:rPr>
              <w:t>Adresa:</w:t>
            </w:r>
          </w:p>
        </w:tc>
        <w:tc>
          <w:tcPr>
            <w:tcW w:w="7200" w:type="dxa"/>
            <w:vAlign w:val="bottom"/>
          </w:tcPr>
          <w:p w:rsidR="00CF4D6C" w:rsidRPr="00CF4D6C" w:rsidRDefault="00CF4D6C" w:rsidP="005558C4">
            <w:pPr>
              <w:ind w:left="72" w:hanging="72"/>
              <w:rPr>
                <w:b/>
                <w:bCs/>
                <w:sz w:val="22"/>
                <w:szCs w:val="22"/>
              </w:rPr>
            </w:pPr>
            <w:r w:rsidRPr="00CF4D6C">
              <w:rPr>
                <w:b/>
                <w:bCs/>
                <w:sz w:val="22"/>
                <w:szCs w:val="22"/>
              </w:rPr>
              <w:t>Waarderweg 39, Haarlem, Holandija</w:t>
            </w:r>
          </w:p>
        </w:tc>
      </w:tr>
      <w:tr w:rsidR="00CF4D6C" w:rsidRPr="00CF4D6C" w:rsidTr="005558C4">
        <w:tblPrEx>
          <w:tblCellMar>
            <w:top w:w="0" w:type="dxa"/>
            <w:bottom w:w="0" w:type="dxa"/>
          </w:tblCellMar>
        </w:tblPrEx>
        <w:trPr>
          <w:jc w:val="center"/>
        </w:trPr>
        <w:tc>
          <w:tcPr>
            <w:tcW w:w="2160" w:type="dxa"/>
            <w:vAlign w:val="bottom"/>
          </w:tcPr>
          <w:p w:rsidR="00CF4D6C" w:rsidRPr="00CF4D6C" w:rsidRDefault="00CF4D6C" w:rsidP="005558C4">
            <w:pPr>
              <w:spacing w:before="200"/>
              <w:jc w:val="right"/>
              <w:rPr>
                <w:sz w:val="22"/>
                <w:szCs w:val="22"/>
              </w:rPr>
            </w:pPr>
            <w:r w:rsidRPr="00CF4D6C">
              <w:rPr>
                <w:sz w:val="22"/>
                <w:szCs w:val="22"/>
              </w:rPr>
              <w:t>Podnosilac zahtjeva:</w:t>
            </w:r>
          </w:p>
        </w:tc>
        <w:tc>
          <w:tcPr>
            <w:tcW w:w="7200" w:type="dxa"/>
            <w:vAlign w:val="bottom"/>
          </w:tcPr>
          <w:p w:rsidR="00CF4D6C" w:rsidRPr="00CF4D6C" w:rsidRDefault="00CF4D6C" w:rsidP="005558C4">
            <w:pPr>
              <w:ind w:left="72" w:hanging="72"/>
              <w:rPr>
                <w:sz w:val="22"/>
                <w:szCs w:val="22"/>
              </w:rPr>
            </w:pPr>
          </w:p>
          <w:p w:rsidR="00CF4D6C" w:rsidRPr="00CF4D6C" w:rsidRDefault="00CF4D6C" w:rsidP="005558C4">
            <w:pPr>
              <w:ind w:left="72" w:hanging="72"/>
              <w:rPr>
                <w:sz w:val="22"/>
                <w:szCs w:val="22"/>
              </w:rPr>
            </w:pPr>
            <w:r w:rsidRPr="00CF4D6C">
              <w:rPr>
                <w:sz w:val="22"/>
                <w:szCs w:val="22"/>
              </w:rPr>
              <w:t>DRUŠTVO ZA TRGOVINU NA VELIKO FARMACEUTSKIM PROIZVODIMA „GLOSARIJ“ D.O.O.</w:t>
            </w:r>
          </w:p>
        </w:tc>
      </w:tr>
      <w:tr w:rsidR="00CF4D6C" w:rsidRPr="00CF4D6C" w:rsidTr="005558C4">
        <w:tblPrEx>
          <w:tblCellMar>
            <w:top w:w="0" w:type="dxa"/>
            <w:bottom w:w="0" w:type="dxa"/>
          </w:tblCellMar>
        </w:tblPrEx>
        <w:trPr>
          <w:jc w:val="center"/>
        </w:trPr>
        <w:tc>
          <w:tcPr>
            <w:tcW w:w="2160" w:type="dxa"/>
            <w:vAlign w:val="bottom"/>
          </w:tcPr>
          <w:p w:rsidR="00CF4D6C" w:rsidRPr="00CF4D6C" w:rsidRDefault="00CF4D6C" w:rsidP="005558C4">
            <w:pPr>
              <w:spacing w:before="200"/>
              <w:jc w:val="right"/>
              <w:rPr>
                <w:sz w:val="22"/>
                <w:szCs w:val="22"/>
              </w:rPr>
            </w:pPr>
            <w:r w:rsidRPr="00CF4D6C">
              <w:rPr>
                <w:sz w:val="22"/>
                <w:szCs w:val="22"/>
              </w:rPr>
              <w:t>Adresa:</w:t>
            </w:r>
          </w:p>
        </w:tc>
        <w:tc>
          <w:tcPr>
            <w:tcW w:w="7200" w:type="dxa"/>
            <w:vAlign w:val="bottom"/>
          </w:tcPr>
          <w:p w:rsidR="00CF4D6C" w:rsidRPr="00CF4D6C" w:rsidRDefault="00CF4D6C" w:rsidP="005558C4">
            <w:pPr>
              <w:ind w:left="72" w:hanging="72"/>
              <w:rPr>
                <w:bCs/>
                <w:sz w:val="22"/>
                <w:szCs w:val="22"/>
              </w:rPr>
            </w:pPr>
            <w:r w:rsidRPr="00CF4D6C">
              <w:rPr>
                <w:sz w:val="22"/>
                <w:szCs w:val="22"/>
              </w:rPr>
              <w:t>Vojislavljevića 76, Podgorica, Crna Gora</w:t>
            </w:r>
          </w:p>
        </w:tc>
      </w:tr>
    </w:tbl>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Default="00CF4D6C" w:rsidP="00CF4D6C">
      <w:pPr>
        <w:pStyle w:val="Header"/>
        <w:tabs>
          <w:tab w:val="left" w:pos="284"/>
        </w:tabs>
        <w:rPr>
          <w:sz w:val="22"/>
          <w:szCs w:val="22"/>
        </w:rPr>
      </w:pPr>
    </w:p>
    <w:p w:rsidR="00265E46" w:rsidRPr="00CF4D6C" w:rsidRDefault="00265E46"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p w:rsidR="00CF4D6C" w:rsidRPr="00CF4D6C" w:rsidRDefault="00CF4D6C" w:rsidP="00CF4D6C">
      <w:pPr>
        <w:pStyle w:val="Header"/>
        <w:tabs>
          <w:tab w:val="left" w:pos="284"/>
        </w:tabs>
        <w:rPr>
          <w:sz w:val="22"/>
          <w:szCs w:val="22"/>
        </w:rPr>
      </w:pPr>
    </w:p>
    <w:tbl>
      <w:tblPr>
        <w:tblW w:w="10188" w:type="dxa"/>
        <w:tblLayout w:type="fixed"/>
        <w:tblLook w:val="0000" w:firstRow="0" w:lastRow="0" w:firstColumn="0" w:lastColumn="0" w:noHBand="0" w:noVBand="0"/>
      </w:tblPr>
      <w:tblGrid>
        <w:gridCol w:w="828"/>
        <w:gridCol w:w="360"/>
        <w:gridCol w:w="1620"/>
        <w:gridCol w:w="7380"/>
      </w:tblGrid>
      <w:tr w:rsidR="00CF4D6C" w:rsidRPr="00CF4D6C" w:rsidTr="005558C4">
        <w:tblPrEx>
          <w:tblCellMar>
            <w:top w:w="0" w:type="dxa"/>
            <w:bottom w:w="0" w:type="dxa"/>
          </w:tblCellMar>
        </w:tblPrEx>
        <w:trPr>
          <w:trHeight w:val="284"/>
        </w:trPr>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sz w:val="22"/>
                <w:szCs w:val="22"/>
              </w:rPr>
              <w:lastRenderedPageBreak/>
              <w:br w:type="page"/>
            </w:r>
            <w:r w:rsidRPr="00CF4D6C">
              <w:rPr>
                <w:b/>
                <w:bCs/>
                <w:sz w:val="22"/>
                <w:szCs w:val="22"/>
              </w:rPr>
              <w:t>1. IME LIJEKA</w:t>
            </w:r>
          </w:p>
        </w:tc>
      </w:tr>
      <w:tr w:rsidR="00CF4D6C" w:rsidRPr="00CF4D6C" w:rsidTr="005558C4">
        <w:tblPrEx>
          <w:tblCellMar>
            <w:top w:w="0" w:type="dxa"/>
            <w:bottom w:w="0" w:type="dxa"/>
          </w:tblCellMar>
        </w:tblPrEx>
        <w:trPr>
          <w:trHeight w:val="525"/>
        </w:trPr>
        <w:tc>
          <w:tcPr>
            <w:tcW w:w="10188" w:type="dxa"/>
            <w:gridSpan w:val="4"/>
            <w:vAlign w:val="center"/>
          </w:tcPr>
          <w:p w:rsidR="00CF4D6C" w:rsidRPr="00CF4D6C" w:rsidRDefault="00CF4D6C" w:rsidP="005558C4">
            <w:pPr>
              <w:pStyle w:val="Header"/>
              <w:tabs>
                <w:tab w:val="left" w:pos="284"/>
              </w:tabs>
              <w:rPr>
                <w:b/>
                <w:sz w:val="22"/>
                <w:szCs w:val="22"/>
              </w:rPr>
            </w:pPr>
            <w:r w:rsidRPr="00CF4D6C">
              <w:rPr>
                <w:b/>
                <w:sz w:val="22"/>
                <w:szCs w:val="22"/>
              </w:rPr>
              <w:t>GARDASIL</w:t>
            </w:r>
            <w:r w:rsidRPr="00CF4D6C">
              <w:rPr>
                <w:b/>
                <w:sz w:val="22"/>
                <w:szCs w:val="22"/>
                <w:vertAlign w:val="superscript"/>
              </w:rPr>
              <w:t>®</w:t>
            </w:r>
          </w:p>
        </w:tc>
      </w:tr>
      <w:tr w:rsidR="00CF4D6C" w:rsidRPr="00CF4D6C" w:rsidTr="005558C4">
        <w:tblPrEx>
          <w:tblCellMar>
            <w:top w:w="0" w:type="dxa"/>
            <w:bottom w:w="0" w:type="dxa"/>
          </w:tblCellMar>
        </w:tblPrEx>
        <w:trPr>
          <w:trHeight w:val="338"/>
        </w:trPr>
        <w:tc>
          <w:tcPr>
            <w:tcW w:w="828" w:type="dxa"/>
          </w:tcPr>
          <w:p w:rsidR="00CF4D6C" w:rsidRPr="00CF4D6C" w:rsidRDefault="00CF4D6C" w:rsidP="005558C4">
            <w:pPr>
              <w:pStyle w:val="Header"/>
              <w:tabs>
                <w:tab w:val="left" w:pos="284"/>
              </w:tabs>
              <w:rPr>
                <w:sz w:val="22"/>
                <w:szCs w:val="22"/>
              </w:rPr>
            </w:pPr>
            <w:r w:rsidRPr="00CF4D6C">
              <w:rPr>
                <w:sz w:val="22"/>
                <w:szCs w:val="22"/>
              </w:rPr>
              <w:t>INN:</w:t>
            </w:r>
          </w:p>
        </w:tc>
        <w:tc>
          <w:tcPr>
            <w:tcW w:w="9360" w:type="dxa"/>
            <w:gridSpan w:val="3"/>
            <w:vAlign w:val="center"/>
          </w:tcPr>
          <w:p w:rsidR="00CF4D6C" w:rsidRPr="00CF4D6C" w:rsidRDefault="00CF4D6C" w:rsidP="005558C4">
            <w:pPr>
              <w:pStyle w:val="Header"/>
              <w:tabs>
                <w:tab w:val="left" w:pos="284"/>
              </w:tabs>
              <w:rPr>
                <w:sz w:val="22"/>
                <w:szCs w:val="22"/>
              </w:rPr>
            </w:pPr>
            <w:r w:rsidRPr="00CF4D6C">
              <w:rPr>
                <w:sz w:val="22"/>
                <w:szCs w:val="22"/>
              </w:rPr>
              <w:t xml:space="preserve">vakcina protiv humanog papiloma virusa (tipovi 6, 11, 16 i 18), rekombinantna </w:t>
            </w:r>
          </w:p>
        </w:tc>
      </w:tr>
      <w:tr w:rsidR="00CF4D6C" w:rsidRPr="00CF4D6C" w:rsidTr="005558C4">
        <w:tblPrEx>
          <w:tblCellMar>
            <w:top w:w="0" w:type="dxa"/>
            <w:bottom w:w="0" w:type="dxa"/>
          </w:tblCellMar>
        </w:tblPrEx>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2. KVALITATIVNI I KVANTITATIVNI SASTAV</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Jedna doza (0.5ml) sadrži približno:</w:t>
            </w:r>
          </w:p>
          <w:p w:rsidR="00CF4D6C" w:rsidRPr="00CF4D6C" w:rsidRDefault="00CF4D6C" w:rsidP="005558C4">
            <w:pPr>
              <w:rPr>
                <w:sz w:val="22"/>
                <w:szCs w:val="22"/>
              </w:rPr>
            </w:pPr>
            <w:r w:rsidRPr="00CF4D6C">
              <w:rPr>
                <w:sz w:val="22"/>
                <w:szCs w:val="22"/>
              </w:rPr>
              <w:t>Humani papilomavirus</w:t>
            </w:r>
            <w:r w:rsidRPr="00CF4D6C">
              <w:rPr>
                <w:sz w:val="22"/>
                <w:szCs w:val="22"/>
                <w:vertAlign w:val="superscript"/>
              </w:rPr>
              <w:t>1</w:t>
            </w:r>
            <w:r w:rsidRPr="00CF4D6C">
              <w:rPr>
                <w:sz w:val="22"/>
                <w:szCs w:val="22"/>
              </w:rPr>
              <w:t xml:space="preserve"> Protein</w:t>
            </w:r>
            <w:r w:rsidRPr="00CF4D6C">
              <w:rPr>
                <w:sz w:val="22"/>
                <w:szCs w:val="22"/>
                <w:vertAlign w:val="superscript"/>
              </w:rPr>
              <w:t>2,3</w:t>
            </w:r>
            <w:r w:rsidRPr="00CF4D6C">
              <w:rPr>
                <w:sz w:val="22"/>
                <w:szCs w:val="22"/>
              </w:rPr>
              <w:t xml:space="preserve"> tipa 6 L1  </w:t>
            </w:r>
            <w:r w:rsidRPr="00CF4D6C">
              <w:rPr>
                <w:sz w:val="22"/>
                <w:szCs w:val="22"/>
              </w:rPr>
              <w:tab/>
              <w:t>20 mikrograma</w:t>
            </w:r>
          </w:p>
          <w:p w:rsidR="00CF4D6C" w:rsidRPr="00CF4D6C" w:rsidRDefault="00CF4D6C" w:rsidP="005558C4">
            <w:pPr>
              <w:rPr>
                <w:sz w:val="22"/>
                <w:szCs w:val="22"/>
              </w:rPr>
            </w:pPr>
            <w:r w:rsidRPr="00CF4D6C">
              <w:rPr>
                <w:sz w:val="22"/>
                <w:szCs w:val="22"/>
              </w:rPr>
              <w:t>Humani papilomavirus</w:t>
            </w:r>
            <w:r w:rsidRPr="00CF4D6C">
              <w:rPr>
                <w:sz w:val="22"/>
                <w:szCs w:val="22"/>
                <w:vertAlign w:val="superscript"/>
              </w:rPr>
              <w:t>1</w:t>
            </w:r>
            <w:r w:rsidRPr="00CF4D6C">
              <w:rPr>
                <w:sz w:val="22"/>
                <w:szCs w:val="22"/>
              </w:rPr>
              <w:t xml:space="preserve"> Protein</w:t>
            </w:r>
            <w:r w:rsidRPr="00CF4D6C">
              <w:rPr>
                <w:sz w:val="22"/>
                <w:szCs w:val="22"/>
                <w:vertAlign w:val="superscript"/>
              </w:rPr>
              <w:t>2,3</w:t>
            </w:r>
            <w:r w:rsidRPr="00CF4D6C">
              <w:rPr>
                <w:sz w:val="22"/>
                <w:szCs w:val="22"/>
              </w:rPr>
              <w:t xml:space="preserve"> tipa 11 L1  </w:t>
            </w:r>
            <w:r w:rsidRPr="00CF4D6C">
              <w:rPr>
                <w:sz w:val="22"/>
                <w:szCs w:val="22"/>
              </w:rPr>
              <w:tab/>
              <w:t>40 mikrograma</w:t>
            </w:r>
          </w:p>
          <w:p w:rsidR="00CF4D6C" w:rsidRPr="00CF4D6C" w:rsidRDefault="00CF4D6C" w:rsidP="005558C4">
            <w:pPr>
              <w:rPr>
                <w:sz w:val="22"/>
                <w:szCs w:val="22"/>
              </w:rPr>
            </w:pPr>
            <w:r w:rsidRPr="00CF4D6C">
              <w:rPr>
                <w:sz w:val="22"/>
                <w:szCs w:val="22"/>
              </w:rPr>
              <w:t>Humani papilomavirus</w:t>
            </w:r>
            <w:r w:rsidRPr="00CF4D6C">
              <w:rPr>
                <w:sz w:val="22"/>
                <w:szCs w:val="22"/>
                <w:vertAlign w:val="superscript"/>
              </w:rPr>
              <w:t>1</w:t>
            </w:r>
            <w:r w:rsidRPr="00CF4D6C">
              <w:rPr>
                <w:sz w:val="22"/>
                <w:szCs w:val="22"/>
              </w:rPr>
              <w:t xml:space="preserve"> Protein</w:t>
            </w:r>
            <w:r w:rsidRPr="00CF4D6C">
              <w:rPr>
                <w:sz w:val="22"/>
                <w:szCs w:val="22"/>
                <w:vertAlign w:val="superscript"/>
              </w:rPr>
              <w:t>2,3</w:t>
            </w:r>
            <w:r w:rsidRPr="00CF4D6C">
              <w:rPr>
                <w:sz w:val="22"/>
                <w:szCs w:val="22"/>
              </w:rPr>
              <w:t xml:space="preserve"> tipa 16 L1  </w:t>
            </w:r>
            <w:r w:rsidRPr="00CF4D6C">
              <w:rPr>
                <w:sz w:val="22"/>
                <w:szCs w:val="22"/>
              </w:rPr>
              <w:tab/>
              <w:t>40 mikrograma</w:t>
            </w:r>
          </w:p>
          <w:p w:rsidR="00CF4D6C" w:rsidRPr="00CF4D6C" w:rsidRDefault="00CF4D6C" w:rsidP="005558C4">
            <w:pPr>
              <w:rPr>
                <w:sz w:val="22"/>
                <w:szCs w:val="22"/>
              </w:rPr>
            </w:pPr>
            <w:r w:rsidRPr="00CF4D6C">
              <w:rPr>
                <w:sz w:val="22"/>
                <w:szCs w:val="22"/>
              </w:rPr>
              <w:t>Humani papilomavirus</w:t>
            </w:r>
            <w:r w:rsidRPr="00CF4D6C">
              <w:rPr>
                <w:sz w:val="22"/>
                <w:szCs w:val="22"/>
                <w:vertAlign w:val="superscript"/>
              </w:rPr>
              <w:t>1</w:t>
            </w:r>
            <w:r w:rsidRPr="00CF4D6C">
              <w:rPr>
                <w:sz w:val="22"/>
                <w:szCs w:val="22"/>
              </w:rPr>
              <w:t xml:space="preserve"> Protein</w:t>
            </w:r>
            <w:r w:rsidRPr="00CF4D6C">
              <w:rPr>
                <w:sz w:val="22"/>
                <w:szCs w:val="22"/>
                <w:vertAlign w:val="superscript"/>
              </w:rPr>
              <w:t>2,3</w:t>
            </w:r>
            <w:r w:rsidRPr="00CF4D6C">
              <w:rPr>
                <w:sz w:val="22"/>
                <w:szCs w:val="22"/>
              </w:rPr>
              <w:t xml:space="preserve"> tipa 18 L1  </w:t>
            </w:r>
            <w:r w:rsidRPr="00CF4D6C">
              <w:rPr>
                <w:sz w:val="22"/>
                <w:szCs w:val="22"/>
              </w:rPr>
              <w:tab/>
              <w:t>20 mikrograma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vertAlign w:val="superscript"/>
              </w:rPr>
              <w:t>1</w:t>
            </w:r>
            <w:r w:rsidRPr="00CF4D6C">
              <w:rPr>
                <w:sz w:val="22"/>
                <w:szCs w:val="22"/>
              </w:rPr>
              <w:t xml:space="preserve"> Humani papilomavirus = HPV.</w:t>
            </w:r>
          </w:p>
          <w:p w:rsidR="00CF4D6C" w:rsidRPr="00CF4D6C" w:rsidRDefault="00CF4D6C" w:rsidP="005558C4">
            <w:pPr>
              <w:rPr>
                <w:sz w:val="22"/>
                <w:szCs w:val="22"/>
              </w:rPr>
            </w:pPr>
            <w:r w:rsidRPr="00CF4D6C">
              <w:rPr>
                <w:sz w:val="22"/>
                <w:szCs w:val="22"/>
                <w:vertAlign w:val="superscript"/>
              </w:rPr>
              <w:t>2</w:t>
            </w:r>
            <w:r w:rsidRPr="00CF4D6C">
              <w:rPr>
                <w:sz w:val="22"/>
                <w:szCs w:val="22"/>
              </w:rPr>
              <w:t xml:space="preserve"> L1 protein u obliku partikula nalik virusu proizvedenih u ćelijama kvasca (</w:t>
            </w:r>
            <w:r w:rsidRPr="00CF4D6C">
              <w:rPr>
                <w:i/>
                <w:sz w:val="22"/>
                <w:szCs w:val="22"/>
              </w:rPr>
              <w:t>Saccharomyces cerevisiae</w:t>
            </w:r>
            <w:r w:rsidRPr="00CF4D6C">
              <w:rPr>
                <w:sz w:val="22"/>
                <w:szCs w:val="22"/>
              </w:rPr>
              <w:t xml:space="preserve"> CANADE 3C-5 (soj 1895)) rekombinantnom DNK tehnologijom.</w:t>
            </w:r>
          </w:p>
          <w:p w:rsidR="00CF4D6C" w:rsidRPr="00CF4D6C" w:rsidRDefault="00CF4D6C" w:rsidP="005558C4">
            <w:pPr>
              <w:rPr>
                <w:sz w:val="22"/>
                <w:szCs w:val="22"/>
              </w:rPr>
            </w:pPr>
            <w:r w:rsidRPr="00CF4D6C">
              <w:rPr>
                <w:sz w:val="22"/>
                <w:szCs w:val="22"/>
                <w:vertAlign w:val="superscript"/>
              </w:rPr>
              <w:t>3</w:t>
            </w:r>
            <w:r w:rsidRPr="00CF4D6C">
              <w:rPr>
                <w:sz w:val="22"/>
                <w:szCs w:val="22"/>
              </w:rPr>
              <w:t xml:space="preserve"> adsorbovan na amorfnom aluminijum hidroksifosfat sulfat adjuvantu (0,225 miligrama Al). </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Za spisak pomoćnih supstanci vidjeti odjeljak 6.1.</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3. FARMACEUTSKI OBLIK</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Suspenzija za injekciju.</w:t>
            </w:r>
          </w:p>
          <w:p w:rsidR="00CF4D6C" w:rsidRPr="00CF4D6C" w:rsidRDefault="00CF4D6C" w:rsidP="005558C4">
            <w:pPr>
              <w:rPr>
                <w:sz w:val="22"/>
                <w:szCs w:val="22"/>
              </w:rPr>
            </w:pPr>
            <w:r w:rsidRPr="00CF4D6C">
              <w:rPr>
                <w:sz w:val="22"/>
                <w:szCs w:val="22"/>
              </w:rPr>
              <w:t>Prije mućkanja</w:t>
            </w:r>
            <w:r w:rsidRPr="00CF4D6C">
              <w:rPr>
                <w:b/>
                <w:sz w:val="22"/>
                <w:szCs w:val="22"/>
              </w:rPr>
              <w:t xml:space="preserve">, </w:t>
            </w:r>
            <w:r w:rsidRPr="00CF4D6C">
              <w:rPr>
                <w:sz w:val="22"/>
                <w:szCs w:val="22"/>
              </w:rPr>
              <w:t>GARDASIL</w:t>
            </w:r>
            <w:r w:rsidRPr="00CF4D6C">
              <w:rPr>
                <w:sz w:val="22"/>
                <w:szCs w:val="22"/>
                <w:vertAlign w:val="superscript"/>
              </w:rPr>
              <w:t>®</w:t>
            </w:r>
            <w:r w:rsidRPr="00CF4D6C">
              <w:rPr>
                <w:sz w:val="22"/>
                <w:szCs w:val="22"/>
              </w:rPr>
              <w:t xml:space="preserve"> može izgledati kao bistra  tečnost sa bijelim precipitatom. Nakon što se dobro promućka GARDASIL</w:t>
            </w:r>
            <w:r w:rsidRPr="00CF4D6C">
              <w:rPr>
                <w:sz w:val="22"/>
                <w:szCs w:val="22"/>
                <w:vertAlign w:val="superscript"/>
              </w:rPr>
              <w:t>®</w:t>
            </w:r>
            <w:r w:rsidRPr="00CF4D6C">
              <w:rPr>
                <w:sz w:val="22"/>
                <w:szCs w:val="22"/>
              </w:rPr>
              <w:t xml:space="preserve"> postaje bijela, zamućena tečnost.</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4. KLINIČKI PODACI</w:t>
            </w: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4.1. Terapijske indikacije</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sz w:val="22"/>
                <w:szCs w:val="22"/>
              </w:rPr>
            </w:pPr>
            <w:r w:rsidRPr="00CF4D6C">
              <w:rPr>
                <w:b/>
                <w:sz w:val="22"/>
                <w:szCs w:val="22"/>
              </w:rPr>
              <w:t>GARDASIL</w:t>
            </w:r>
            <w:r w:rsidRPr="00CF4D6C">
              <w:rPr>
                <w:b/>
                <w:sz w:val="22"/>
                <w:szCs w:val="22"/>
                <w:vertAlign w:val="superscript"/>
              </w:rPr>
              <w:t>®</w:t>
            </w:r>
            <w:r w:rsidRPr="00CF4D6C">
              <w:rPr>
                <w:sz w:val="22"/>
                <w:szCs w:val="22"/>
              </w:rPr>
              <w:t xml:space="preserve"> je vakcina za upotrebu kod osoba uzrasta od 9 godina i starijih, za prevenciju:</w:t>
            </w:r>
          </w:p>
          <w:p w:rsidR="00CF4D6C" w:rsidRPr="00CF4D6C" w:rsidRDefault="00CF4D6C" w:rsidP="005558C4">
            <w:pPr>
              <w:rPr>
                <w:sz w:val="22"/>
                <w:szCs w:val="22"/>
              </w:rPr>
            </w:pPr>
            <w:r w:rsidRPr="00CF4D6C">
              <w:rPr>
                <w:sz w:val="22"/>
                <w:szCs w:val="22"/>
              </w:rPr>
              <w:t xml:space="preserve">- prekancerogenih genitalnih lezija (cervikalnih, vulvarnih i vaginalnih), premalignih analnih lezija, karcinoma grlića materice i karcinoma anusa izazvanih određenim onkogenim tipovima Humanog Papilomavirusa (HPV)  </w:t>
            </w:r>
          </w:p>
          <w:p w:rsidR="00CF4D6C" w:rsidRPr="00CF4D6C" w:rsidRDefault="00CF4D6C" w:rsidP="005558C4">
            <w:pPr>
              <w:rPr>
                <w:sz w:val="22"/>
                <w:szCs w:val="22"/>
              </w:rPr>
            </w:pPr>
            <w:r w:rsidRPr="00CF4D6C">
              <w:rPr>
                <w:sz w:val="22"/>
                <w:szCs w:val="22"/>
              </w:rPr>
              <w:t>- spoljašnjih genitalnih kondiloma (condilomata acuminata) izazvanih određenim tipovima Humanog Papilomavirusa (HPV).</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Pogledati djelove 4.4 i 5.1 za važne informacije o podacima koji podržavaju ovu indikaciju. </w:t>
            </w:r>
          </w:p>
          <w:p w:rsidR="00CF4D6C" w:rsidRPr="00CF4D6C" w:rsidRDefault="00CF4D6C" w:rsidP="005558C4">
            <w:pPr>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Upotreba vakcine </w:t>
            </w:r>
            <w:r w:rsidRPr="00CF4D6C">
              <w:rPr>
                <w:b/>
                <w:sz w:val="22"/>
                <w:szCs w:val="22"/>
              </w:rPr>
              <w:t>GARDASIL</w:t>
            </w:r>
            <w:r w:rsidRPr="00CF4D6C">
              <w:rPr>
                <w:b/>
                <w:sz w:val="22"/>
                <w:szCs w:val="22"/>
                <w:vertAlign w:val="superscript"/>
              </w:rPr>
              <w:t>®</w:t>
            </w:r>
            <w:r w:rsidRPr="00CF4D6C">
              <w:rPr>
                <w:sz w:val="22"/>
                <w:szCs w:val="22"/>
              </w:rPr>
              <w:t xml:space="preserve"> treba da bude u skladu sa zvaničnim preporukama.</w:t>
            </w: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p>
          <w:p w:rsidR="00CF4D6C" w:rsidRPr="00CF4D6C" w:rsidRDefault="00CF4D6C" w:rsidP="005558C4">
            <w:pPr>
              <w:pStyle w:val="Header"/>
              <w:tabs>
                <w:tab w:val="left" w:pos="284"/>
              </w:tabs>
              <w:spacing w:before="80" w:after="80"/>
              <w:rPr>
                <w:b/>
                <w:bCs/>
                <w:sz w:val="22"/>
                <w:szCs w:val="22"/>
              </w:rPr>
            </w:pPr>
            <w:r w:rsidRPr="00CF4D6C">
              <w:rPr>
                <w:b/>
                <w:bCs/>
                <w:sz w:val="22"/>
                <w:szCs w:val="22"/>
              </w:rPr>
              <w:t>4.2. Doziranje i način primjene</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u w:val="single"/>
              </w:rPr>
              <w:t>Doziranje</w:t>
            </w:r>
          </w:p>
          <w:p w:rsidR="00CF4D6C" w:rsidRPr="00CF4D6C" w:rsidRDefault="00CF4D6C" w:rsidP="005558C4">
            <w:pPr>
              <w:rPr>
                <w:i/>
                <w:noProof/>
                <w:sz w:val="22"/>
                <w:szCs w:val="22"/>
                <w:u w:val="single"/>
              </w:rPr>
            </w:pPr>
            <w:r w:rsidRPr="00CF4D6C">
              <w:rPr>
                <w:i/>
                <w:noProof/>
                <w:sz w:val="22"/>
                <w:szCs w:val="22"/>
                <w:u w:val="single"/>
              </w:rPr>
              <w:t>Osobe od 9 do i uključujući 13 godina starosti</w:t>
            </w:r>
          </w:p>
          <w:p w:rsidR="00CF4D6C" w:rsidRPr="00CF4D6C" w:rsidRDefault="00CF4D6C" w:rsidP="005558C4">
            <w:pPr>
              <w:rPr>
                <w:noProof/>
                <w:sz w:val="22"/>
                <w:szCs w:val="22"/>
              </w:rPr>
            </w:pPr>
            <w:r w:rsidRPr="00CF4D6C">
              <w:rPr>
                <w:noProof/>
                <w:sz w:val="22"/>
                <w:szCs w:val="22"/>
              </w:rPr>
              <w:t xml:space="preserve">Gardasil se može primjeniti prema rasporedu za 2 doze (0,5 ml primljeno u 0. i 6. mjesecu) (vidjeti odjeljak 5.1). </w:t>
            </w:r>
          </w:p>
          <w:p w:rsidR="00CF4D6C" w:rsidRPr="00CF4D6C" w:rsidRDefault="00CF4D6C" w:rsidP="005558C4">
            <w:pPr>
              <w:rPr>
                <w:sz w:val="22"/>
                <w:szCs w:val="22"/>
              </w:rPr>
            </w:pPr>
            <w:r w:rsidRPr="00CF4D6C">
              <w:rPr>
                <w:noProof/>
                <w:sz w:val="22"/>
                <w:szCs w:val="22"/>
              </w:rPr>
              <w:t xml:space="preserve">Ukoliko se druga doza vakcine primjeni ranije od 6 mjeseci nakon prve doze, tada se mora primjeniti i treća doza vakcine. </w:t>
            </w:r>
            <w:r w:rsidRPr="00CF4D6C">
              <w:rPr>
                <w:sz w:val="22"/>
                <w:szCs w:val="22"/>
              </w:rPr>
              <w:t xml:space="preserve"> </w:t>
            </w:r>
          </w:p>
          <w:p w:rsidR="00CF4D6C" w:rsidRPr="00CF4D6C" w:rsidRDefault="00CF4D6C" w:rsidP="005558C4">
            <w:pPr>
              <w:rPr>
                <w:sz w:val="22"/>
                <w:szCs w:val="22"/>
              </w:rPr>
            </w:pPr>
          </w:p>
          <w:p w:rsidR="00CF4D6C" w:rsidRPr="00CF4D6C" w:rsidRDefault="00CF4D6C" w:rsidP="005558C4">
            <w:pPr>
              <w:rPr>
                <w:sz w:val="22"/>
                <w:szCs w:val="22"/>
              </w:rPr>
            </w:pPr>
            <w:r w:rsidRPr="00CF4D6C">
              <w:rPr>
                <w:noProof/>
                <w:sz w:val="22"/>
                <w:szCs w:val="22"/>
              </w:rPr>
              <w:lastRenderedPageBreak/>
              <w:t>Takođe, vakcina Gardasil se može primjeniti i prema rasporedu za 3 doze (0,5 ml primljeno u 0., 2. i 6. mjesecu).</w:t>
            </w:r>
            <w:r w:rsidRPr="00CF4D6C">
              <w:rPr>
                <w:sz w:val="22"/>
                <w:szCs w:val="22"/>
              </w:rPr>
              <w:t xml:space="preserve"> Drugu dozu treba dati najmanje mjesec dana poslije prve doze, a treća doza najmanje tri mjeseca poslije druge doze. Sve tri doze treba primijeniti u roku od godinu dana.</w:t>
            </w:r>
          </w:p>
          <w:p w:rsidR="00CF4D6C" w:rsidRPr="00CF4D6C" w:rsidRDefault="00CF4D6C" w:rsidP="005558C4">
            <w:pPr>
              <w:rPr>
                <w:sz w:val="22"/>
                <w:szCs w:val="22"/>
              </w:rPr>
            </w:pPr>
          </w:p>
          <w:p w:rsidR="00CF4D6C" w:rsidRPr="00CF4D6C" w:rsidRDefault="00CF4D6C" w:rsidP="005558C4">
            <w:pPr>
              <w:rPr>
                <w:i/>
                <w:noProof/>
                <w:sz w:val="22"/>
                <w:szCs w:val="22"/>
                <w:u w:val="single"/>
              </w:rPr>
            </w:pPr>
            <w:r w:rsidRPr="00CF4D6C">
              <w:rPr>
                <w:i/>
                <w:noProof/>
                <w:sz w:val="22"/>
                <w:szCs w:val="22"/>
                <w:u w:val="single"/>
              </w:rPr>
              <w:t xml:space="preserve">Osobe od 14 godina i stariji </w:t>
            </w:r>
          </w:p>
          <w:p w:rsidR="00CF4D6C" w:rsidRPr="00CF4D6C" w:rsidRDefault="00CF4D6C" w:rsidP="005558C4">
            <w:pPr>
              <w:rPr>
                <w:noProof/>
                <w:sz w:val="22"/>
                <w:szCs w:val="22"/>
              </w:rPr>
            </w:pPr>
            <w:r w:rsidRPr="00CF4D6C">
              <w:rPr>
                <w:noProof/>
                <w:sz w:val="22"/>
                <w:szCs w:val="22"/>
              </w:rPr>
              <w:t xml:space="preserve">Vakcinu </w:t>
            </w:r>
            <w:r w:rsidRPr="00CF4D6C">
              <w:rPr>
                <w:b/>
                <w:noProof/>
                <w:sz w:val="22"/>
                <w:szCs w:val="22"/>
              </w:rPr>
              <w:t>GARDASIL</w:t>
            </w:r>
            <w:r w:rsidRPr="00CF4D6C">
              <w:rPr>
                <w:noProof/>
                <w:sz w:val="22"/>
                <w:szCs w:val="22"/>
              </w:rPr>
              <w:t xml:space="preserve"> treba primjeniti prema rasporedu za 3 doze (0,5 ml primljeno u 0., 2. i 6. mjesecu).</w:t>
            </w:r>
          </w:p>
          <w:p w:rsidR="00CF4D6C" w:rsidRPr="00CF4D6C" w:rsidRDefault="00CF4D6C" w:rsidP="005558C4">
            <w:pPr>
              <w:rPr>
                <w:noProof/>
                <w:sz w:val="22"/>
                <w:szCs w:val="22"/>
              </w:rPr>
            </w:pPr>
            <w:r w:rsidRPr="00CF4D6C">
              <w:rPr>
                <w:noProof/>
                <w:sz w:val="22"/>
                <w:szCs w:val="22"/>
              </w:rPr>
              <w:t>Drugu dozu treba dati najmanje mjesec dana poslije prve doze, a treću dozu najmanje tri mjeseca poslije druge doze. Sve tri doze treba primjeniti u roku od 1 godine.</w:t>
            </w:r>
          </w:p>
          <w:p w:rsidR="00CF4D6C" w:rsidRPr="00CF4D6C" w:rsidRDefault="00CF4D6C" w:rsidP="005558C4">
            <w:pPr>
              <w:rPr>
                <w:noProof/>
                <w:sz w:val="22"/>
                <w:szCs w:val="22"/>
              </w:rPr>
            </w:pPr>
          </w:p>
          <w:p w:rsidR="00CF4D6C" w:rsidRPr="00CF4D6C" w:rsidRDefault="00CF4D6C" w:rsidP="005558C4">
            <w:pPr>
              <w:rPr>
                <w:sz w:val="22"/>
                <w:szCs w:val="22"/>
              </w:rPr>
            </w:pPr>
            <w:r w:rsidRPr="00CF4D6C">
              <w:rPr>
                <w:noProof/>
                <w:sz w:val="22"/>
                <w:szCs w:val="22"/>
              </w:rPr>
              <w:t xml:space="preserve">Upotreba vakcine </w:t>
            </w:r>
            <w:r w:rsidRPr="00CF4D6C">
              <w:rPr>
                <w:b/>
                <w:noProof/>
                <w:sz w:val="22"/>
                <w:szCs w:val="22"/>
              </w:rPr>
              <w:t>GARDASIL</w:t>
            </w:r>
            <w:r w:rsidRPr="00CF4D6C">
              <w:rPr>
                <w:noProof/>
                <w:sz w:val="22"/>
                <w:szCs w:val="22"/>
              </w:rPr>
              <w:t xml:space="preserve"> treba da bude u skladu sa zvaničnim preporukama.</w:t>
            </w:r>
          </w:p>
          <w:p w:rsidR="00CF4D6C" w:rsidRPr="00CF4D6C" w:rsidRDefault="00CF4D6C" w:rsidP="005558C4">
            <w:pPr>
              <w:rPr>
                <w:sz w:val="22"/>
                <w:szCs w:val="22"/>
              </w:rPr>
            </w:pPr>
          </w:p>
          <w:p w:rsidR="00CF4D6C" w:rsidRPr="00CF4D6C" w:rsidRDefault="00CF4D6C" w:rsidP="005558C4">
            <w:pPr>
              <w:rPr>
                <w:i/>
                <w:sz w:val="22"/>
                <w:szCs w:val="22"/>
              </w:rPr>
            </w:pPr>
            <w:r w:rsidRPr="00CF4D6C">
              <w:rPr>
                <w:i/>
                <w:sz w:val="22"/>
                <w:szCs w:val="22"/>
              </w:rPr>
              <w:t>Pedijatrijska populacija:</w:t>
            </w:r>
          </w:p>
          <w:p w:rsidR="00CF4D6C" w:rsidRPr="00CF4D6C" w:rsidRDefault="00CF4D6C" w:rsidP="005558C4">
            <w:pPr>
              <w:rPr>
                <w:sz w:val="22"/>
                <w:szCs w:val="22"/>
              </w:rPr>
            </w:pPr>
            <w:r w:rsidRPr="00CF4D6C">
              <w:rPr>
                <w:noProof/>
                <w:sz w:val="22"/>
                <w:szCs w:val="22"/>
              </w:rPr>
              <w:t xml:space="preserve">Efikasnost i bezbjednost primjene vakcine </w:t>
            </w:r>
            <w:r w:rsidRPr="00CF4D6C">
              <w:rPr>
                <w:b/>
                <w:noProof/>
                <w:sz w:val="22"/>
                <w:szCs w:val="22"/>
              </w:rPr>
              <w:t xml:space="preserve">GARDASIL </w:t>
            </w:r>
            <w:r w:rsidRPr="00CF4D6C">
              <w:rPr>
                <w:noProof/>
                <w:sz w:val="22"/>
                <w:szCs w:val="22"/>
              </w:rPr>
              <w:t>kod djece mlađe od 9 godina nije utvrđena.</w:t>
            </w:r>
            <w:r w:rsidRPr="00CF4D6C">
              <w:rPr>
                <w:b/>
                <w:noProof/>
                <w:sz w:val="22"/>
                <w:szCs w:val="22"/>
              </w:rPr>
              <w:t xml:space="preserve"> </w:t>
            </w:r>
            <w:r w:rsidRPr="00CF4D6C">
              <w:rPr>
                <w:noProof/>
                <w:sz w:val="22"/>
                <w:szCs w:val="22"/>
              </w:rPr>
              <w:t xml:space="preserve">Ne postoje podaci o primjeni vakcine </w:t>
            </w:r>
            <w:r w:rsidRPr="00CF4D6C">
              <w:rPr>
                <w:b/>
                <w:noProof/>
                <w:sz w:val="22"/>
                <w:szCs w:val="22"/>
              </w:rPr>
              <w:t>GARDASIL</w:t>
            </w:r>
            <w:r w:rsidRPr="00CF4D6C">
              <w:rPr>
                <w:noProof/>
                <w:sz w:val="22"/>
                <w:szCs w:val="22"/>
              </w:rPr>
              <w:t xml:space="preserve"> kod djece mlađe od 9 godina. (vidjeti poglavlje 5.1).</w:t>
            </w:r>
          </w:p>
          <w:p w:rsidR="00CF4D6C" w:rsidRPr="00CF4D6C" w:rsidRDefault="00CF4D6C" w:rsidP="005558C4">
            <w:pPr>
              <w:rPr>
                <w:sz w:val="22"/>
                <w:szCs w:val="22"/>
              </w:rPr>
            </w:pPr>
          </w:p>
          <w:p w:rsidR="00CF4D6C" w:rsidRPr="00CF4D6C" w:rsidRDefault="00CF4D6C" w:rsidP="005558C4">
            <w:pPr>
              <w:rPr>
                <w:noProof/>
                <w:sz w:val="22"/>
                <w:szCs w:val="22"/>
              </w:rPr>
            </w:pPr>
            <w:r w:rsidRPr="00CF4D6C">
              <w:rPr>
                <w:noProof/>
                <w:sz w:val="22"/>
                <w:szCs w:val="22"/>
              </w:rPr>
              <w:t xml:space="preserve">Preporučuje se da pacijenti koji prime prvu dozu vakcine </w:t>
            </w:r>
            <w:r w:rsidRPr="00CF4D6C">
              <w:rPr>
                <w:b/>
                <w:noProof/>
                <w:sz w:val="22"/>
                <w:szCs w:val="22"/>
              </w:rPr>
              <w:t>GARDASIL</w:t>
            </w:r>
            <w:r w:rsidRPr="00CF4D6C">
              <w:rPr>
                <w:noProof/>
                <w:sz w:val="22"/>
                <w:szCs w:val="22"/>
              </w:rPr>
              <w:t xml:space="preserve"> do kraja sprovedu vakcinaciu vakcinom </w:t>
            </w:r>
            <w:r w:rsidRPr="00CF4D6C">
              <w:rPr>
                <w:b/>
                <w:noProof/>
                <w:sz w:val="22"/>
                <w:szCs w:val="22"/>
              </w:rPr>
              <w:t>GARDASIL</w:t>
            </w:r>
            <w:r w:rsidRPr="00CF4D6C">
              <w:rPr>
                <w:noProof/>
                <w:sz w:val="22"/>
                <w:szCs w:val="22"/>
              </w:rPr>
              <w:t xml:space="preserve"> (vidjeti poglavlje 4.4).</w:t>
            </w:r>
          </w:p>
          <w:p w:rsidR="00CF4D6C" w:rsidRPr="00CF4D6C" w:rsidRDefault="00CF4D6C" w:rsidP="005558C4">
            <w:pPr>
              <w:rPr>
                <w:sz w:val="22"/>
                <w:szCs w:val="22"/>
              </w:rPr>
            </w:pPr>
          </w:p>
          <w:p w:rsidR="00CF4D6C" w:rsidRPr="00CF4D6C" w:rsidRDefault="00CF4D6C" w:rsidP="005558C4">
            <w:pPr>
              <w:rPr>
                <w:noProof/>
                <w:sz w:val="22"/>
                <w:szCs w:val="22"/>
              </w:rPr>
            </w:pPr>
            <w:r w:rsidRPr="00CF4D6C">
              <w:rPr>
                <w:noProof/>
                <w:sz w:val="22"/>
                <w:szCs w:val="22"/>
              </w:rPr>
              <w:t>Potreba za dodatnom dozom vakcine nije utvrđena.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u w:val="single"/>
              </w:rPr>
              <w:t>Način primjene</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Vakcinu treba davati u obliku intramuskularne injekcije. Najpogodniji dio tijela je deltoidna regija nadlaktice ili  gornja anterolateralna površina butine. </w:t>
            </w:r>
          </w:p>
          <w:p w:rsidR="00CF4D6C" w:rsidRPr="00CF4D6C" w:rsidRDefault="00CF4D6C" w:rsidP="005558C4">
            <w:pPr>
              <w:rPr>
                <w:sz w:val="22"/>
                <w:szCs w:val="22"/>
              </w:rPr>
            </w:pPr>
          </w:p>
          <w:p w:rsidR="00CF4D6C" w:rsidRPr="00CF4D6C" w:rsidRDefault="00CF4D6C" w:rsidP="005558C4">
            <w:pPr>
              <w:rPr>
                <w:sz w:val="22"/>
                <w:szCs w:val="22"/>
              </w:rPr>
            </w:pPr>
            <w:bookmarkStart w:id="1" w:name="OLE_LINK1"/>
            <w:bookmarkStart w:id="2" w:name="OLE_LINK2"/>
            <w:r w:rsidRPr="00CF4D6C">
              <w:rPr>
                <w:sz w:val="22"/>
                <w:szCs w:val="22"/>
              </w:rPr>
              <w:t xml:space="preserve">Vakcina </w:t>
            </w:r>
            <w:r w:rsidRPr="00CF4D6C">
              <w:rPr>
                <w:b/>
                <w:sz w:val="22"/>
                <w:szCs w:val="22"/>
              </w:rPr>
              <w:t>GARDASIL</w:t>
            </w:r>
            <w:r w:rsidRPr="00CF4D6C">
              <w:rPr>
                <w:b/>
                <w:sz w:val="22"/>
                <w:szCs w:val="22"/>
                <w:vertAlign w:val="superscript"/>
              </w:rPr>
              <w:t>®</w:t>
            </w:r>
            <w:bookmarkEnd w:id="1"/>
            <w:bookmarkEnd w:id="2"/>
            <w:r w:rsidRPr="00CF4D6C">
              <w:rPr>
                <w:sz w:val="22"/>
                <w:szCs w:val="22"/>
              </w:rPr>
              <w:t xml:space="preserve"> se ne smije primjenjivati intravaskularno. Subkutana i intradermalna primjena nijesu ispitivane pa se stoga ne preporučuju (vidjeti odjeljak 6.6.).</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lastRenderedPageBreak/>
              <w:t>4.3. Kontraindikacije</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Preosjetljivost na aktivnu supstancu ili neku od pomoćnih supstanci.</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Osobe kod kojih se poslije primjene vakcine </w:t>
            </w:r>
            <w:r w:rsidRPr="00CF4D6C">
              <w:rPr>
                <w:b/>
                <w:sz w:val="22"/>
                <w:szCs w:val="22"/>
              </w:rPr>
              <w:t>GARDASIL</w:t>
            </w:r>
            <w:r w:rsidRPr="00CF4D6C">
              <w:rPr>
                <w:b/>
                <w:sz w:val="22"/>
                <w:szCs w:val="22"/>
                <w:vertAlign w:val="superscript"/>
              </w:rPr>
              <w:t>®</w:t>
            </w:r>
            <w:r w:rsidRPr="00CF4D6C">
              <w:rPr>
                <w:sz w:val="22"/>
                <w:szCs w:val="22"/>
              </w:rPr>
              <w:t xml:space="preserve">, jave simptomi preosjetljivosti ne treba da prime punu dozu vakcine </w:t>
            </w:r>
            <w:r w:rsidRPr="00CF4D6C">
              <w:rPr>
                <w:b/>
                <w:sz w:val="22"/>
                <w:szCs w:val="22"/>
              </w:rPr>
              <w:t>GARDASIL</w:t>
            </w:r>
            <w:r w:rsidRPr="00CF4D6C">
              <w:rPr>
                <w:b/>
                <w:sz w:val="22"/>
                <w:szCs w:val="22"/>
                <w:vertAlign w:val="superscript"/>
              </w:rPr>
              <w:t>®</w:t>
            </w:r>
            <w:r w:rsidRPr="00CF4D6C">
              <w:rPr>
                <w:sz w:val="22"/>
                <w:szCs w:val="22"/>
              </w:rPr>
              <w:t>.</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Primjena vakcine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mora biti odložena kod osoba koje imaju akutnu virusnu infekciju. Međutim, blage infekcije, kao što je blaga infekcija gornjih disajnih puteva i blago povišena temperatura ne predstavljaju kontraindikaciju za vakcinaciju.</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4.4. Posebna upozorenja i mjere opreza pri upotrebi lijeka</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noProof/>
                <w:color w:val="000000"/>
                <w:sz w:val="22"/>
                <w:szCs w:val="22"/>
              </w:rPr>
            </w:pPr>
            <w:r w:rsidRPr="00CF4D6C">
              <w:rPr>
                <w:noProof/>
                <w:color w:val="000000"/>
                <w:sz w:val="22"/>
                <w:szCs w:val="22"/>
              </w:rPr>
              <w:t>Odluku da se osoba vakciniše treba doneti uz prethodno razmatranje rizika od prethodne izloženosti HPV i potencijalne koristi vakcinacije.</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Kao i kod svih injekcionih vakcina, neophodno je da uvijek bude dostupna odgovarajuća terapija u slučaju nastanka rijetkih anafilaktičkih reakcija poslije davanja vakcine.</w:t>
            </w:r>
          </w:p>
          <w:p w:rsidR="00CF4D6C" w:rsidRPr="00CF4D6C" w:rsidRDefault="00CF4D6C" w:rsidP="005558C4">
            <w:pPr>
              <w:rPr>
                <w:sz w:val="22"/>
                <w:szCs w:val="22"/>
              </w:rPr>
            </w:pPr>
            <w:r w:rsidRPr="00CF4D6C">
              <w:rPr>
                <w:sz w:val="22"/>
                <w:szCs w:val="22"/>
              </w:rPr>
              <w:lastRenderedPageBreak/>
              <w:t xml:space="preserve">Sinkopa (nesvjestica) se može javiti pri bilo kojoj vakcinaciji, naročito kod adolescenata kao psihološki odgovor na ubod iglom. Sinkopa može biti praćena neurološkim znakovima kao što su prolazni poremećaj vida, parestezija i tonično/klonički pokreti udova u toku perioda oporavka. Stoga, trebalo bi pažljivo pratiti vakcinisane osobe tokom 15 minuta nakon administracije vakcine </w:t>
            </w:r>
            <w:r w:rsidRPr="00CF4D6C">
              <w:rPr>
                <w:b/>
                <w:sz w:val="22"/>
                <w:szCs w:val="22"/>
              </w:rPr>
              <w:t>GARDASIL</w:t>
            </w:r>
            <w:r w:rsidRPr="00CF4D6C">
              <w:rPr>
                <w:b/>
                <w:sz w:val="22"/>
                <w:szCs w:val="22"/>
                <w:vertAlign w:val="superscript"/>
              </w:rPr>
              <w:t>®</w:t>
            </w:r>
            <w:r w:rsidRPr="00CF4D6C">
              <w:rPr>
                <w:sz w:val="22"/>
                <w:szCs w:val="22"/>
              </w:rPr>
              <w:t>. Važno je preduzeti odgovarajuće mjere zaštite kako bi se izbegle povrede prilikom nesvestice.</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Kao i kod primjene drugih vakcina, vakcinacija vakcinom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 xml:space="preserve">možda neće zaštiti sve koji su primili vakcinu. </w:t>
            </w:r>
          </w:p>
          <w:p w:rsidR="00CF4D6C" w:rsidRPr="00CF4D6C" w:rsidRDefault="00CF4D6C" w:rsidP="005558C4">
            <w:pPr>
              <w:rPr>
                <w:sz w:val="22"/>
                <w:szCs w:val="22"/>
              </w:rPr>
            </w:pPr>
            <w:r w:rsidRPr="00CF4D6C">
              <w:rPr>
                <w:sz w:val="22"/>
                <w:szCs w:val="22"/>
              </w:rPr>
              <w:t xml:space="preserve">Takođe, vakcina </w:t>
            </w:r>
            <w:r w:rsidRPr="00CF4D6C">
              <w:rPr>
                <w:b/>
                <w:sz w:val="22"/>
                <w:szCs w:val="22"/>
              </w:rPr>
              <w:t>GARDASIL</w:t>
            </w:r>
            <w:r w:rsidRPr="00CF4D6C">
              <w:rPr>
                <w:b/>
                <w:sz w:val="22"/>
                <w:szCs w:val="22"/>
                <w:vertAlign w:val="superscript"/>
              </w:rPr>
              <w:t>®</w:t>
            </w:r>
            <w:r w:rsidRPr="00CF4D6C">
              <w:rPr>
                <w:sz w:val="22"/>
                <w:szCs w:val="22"/>
              </w:rPr>
              <w:t xml:space="preserve"> će jedino zaštititi protiv bolesti koje su uzrokovane HPV tipovima 6, 11, 16 i 18. Iz tog razloga, treba nastaviti sa adekvatnim mjerama predostrožnosti u cilju sprečavanja bolesti koje se prenose seksualnim putem.</w:t>
            </w:r>
          </w:p>
          <w:p w:rsidR="00CF4D6C" w:rsidRPr="00CF4D6C" w:rsidRDefault="00CF4D6C" w:rsidP="005558C4">
            <w:pPr>
              <w:rPr>
                <w:sz w:val="22"/>
                <w:szCs w:val="22"/>
              </w:rPr>
            </w:pPr>
          </w:p>
          <w:p w:rsidR="00CF4D6C" w:rsidRPr="00CF4D6C" w:rsidRDefault="00CF4D6C" w:rsidP="005558C4">
            <w:pPr>
              <w:autoSpaceDE w:val="0"/>
              <w:autoSpaceDN w:val="0"/>
              <w:adjustRightInd w:val="0"/>
              <w:rPr>
                <w:sz w:val="22"/>
                <w:szCs w:val="22"/>
              </w:rPr>
            </w:pPr>
            <w:r w:rsidRPr="00CF4D6C">
              <w:rPr>
                <w:b/>
                <w:sz w:val="22"/>
                <w:szCs w:val="22"/>
              </w:rPr>
              <w:t>GARDASIL</w:t>
            </w:r>
            <w:r w:rsidRPr="00CF4D6C">
              <w:rPr>
                <w:b/>
                <w:sz w:val="22"/>
                <w:szCs w:val="22"/>
                <w:vertAlign w:val="superscript"/>
              </w:rPr>
              <w:t>®</w:t>
            </w:r>
            <w:r w:rsidRPr="00CF4D6C">
              <w:rPr>
                <w:sz w:val="22"/>
                <w:szCs w:val="22"/>
              </w:rPr>
              <w:t xml:space="preserve"> je namijenjen za profilaktičku primjenu i nema efekat na aktivne infekcije HPV ili klinički razvijenu bolest. </w:t>
            </w:r>
            <w:r w:rsidRPr="00CF4D6C">
              <w:rPr>
                <w:b/>
                <w:sz w:val="22"/>
                <w:szCs w:val="22"/>
              </w:rPr>
              <w:t>GARDASIL</w:t>
            </w:r>
            <w:r w:rsidRPr="00CF4D6C">
              <w:rPr>
                <w:b/>
                <w:sz w:val="22"/>
                <w:szCs w:val="22"/>
                <w:vertAlign w:val="superscript"/>
              </w:rPr>
              <w:t>®</w:t>
            </w:r>
            <w:r w:rsidRPr="00CF4D6C">
              <w:rPr>
                <w:sz w:val="22"/>
                <w:szCs w:val="22"/>
              </w:rPr>
              <w:t xml:space="preserve"> nema terapijsku efekasnost i stoga se ne koristi za terapiju karcinoma grlića materice, displastičnih lezija visokog stepena grlića materice, vulve i vagine ili genitalnih kondiloma. Takođe, vakcina nije namijenjena sprečavanju progresije drugih lezija izazvanih HPV.</w:t>
            </w:r>
          </w:p>
          <w:p w:rsidR="00CF4D6C" w:rsidRPr="00CF4D6C" w:rsidRDefault="00CF4D6C" w:rsidP="005558C4">
            <w:pPr>
              <w:rPr>
                <w:sz w:val="22"/>
                <w:szCs w:val="22"/>
              </w:rPr>
            </w:pPr>
          </w:p>
          <w:p w:rsidR="00CF4D6C" w:rsidRPr="00CF4D6C" w:rsidRDefault="00CF4D6C" w:rsidP="005558C4">
            <w:pPr>
              <w:autoSpaceDE w:val="0"/>
              <w:autoSpaceDN w:val="0"/>
              <w:adjustRightInd w:val="0"/>
              <w:rPr>
                <w:sz w:val="22"/>
                <w:szCs w:val="22"/>
              </w:rPr>
            </w:pPr>
            <w:r w:rsidRPr="00CF4D6C">
              <w:rPr>
                <w:b/>
                <w:sz w:val="22"/>
                <w:szCs w:val="22"/>
              </w:rPr>
              <w:t>GARDASIL</w:t>
            </w:r>
            <w:r w:rsidRPr="00CF4D6C">
              <w:rPr>
                <w:b/>
                <w:sz w:val="22"/>
                <w:szCs w:val="22"/>
                <w:vertAlign w:val="superscript"/>
              </w:rPr>
              <w:t>®</w:t>
            </w:r>
            <w:r w:rsidRPr="00CF4D6C">
              <w:rPr>
                <w:sz w:val="22"/>
                <w:szCs w:val="22"/>
              </w:rPr>
              <w:t xml:space="preserve"> ne sprečava pojavu lezija izazvanih tipom HPV kod žena inficiranih tim tipom HPV (vidjeti poglavlje 5.1).</w:t>
            </w:r>
          </w:p>
          <w:p w:rsidR="00CF4D6C" w:rsidRPr="00CF4D6C" w:rsidRDefault="00CF4D6C" w:rsidP="005558C4">
            <w:pPr>
              <w:autoSpaceDE w:val="0"/>
              <w:autoSpaceDN w:val="0"/>
              <w:adjustRightInd w:val="0"/>
              <w:rPr>
                <w:sz w:val="22"/>
                <w:szCs w:val="22"/>
              </w:rPr>
            </w:pPr>
          </w:p>
          <w:p w:rsidR="00CF4D6C" w:rsidRPr="00CF4D6C" w:rsidRDefault="00CF4D6C" w:rsidP="005558C4">
            <w:pPr>
              <w:autoSpaceDE w:val="0"/>
              <w:autoSpaceDN w:val="0"/>
              <w:adjustRightInd w:val="0"/>
              <w:rPr>
                <w:sz w:val="22"/>
                <w:szCs w:val="22"/>
              </w:rPr>
            </w:pPr>
            <w:r w:rsidRPr="00CF4D6C">
              <w:rPr>
                <w:sz w:val="22"/>
                <w:szCs w:val="22"/>
              </w:rPr>
              <w:t xml:space="preserve">Pri upotrebi vakcine </w:t>
            </w:r>
            <w:r w:rsidRPr="00CF4D6C">
              <w:rPr>
                <w:b/>
                <w:sz w:val="22"/>
                <w:szCs w:val="22"/>
              </w:rPr>
              <w:t>GARDASIL</w:t>
            </w:r>
            <w:r w:rsidRPr="00CF4D6C">
              <w:rPr>
                <w:b/>
                <w:sz w:val="22"/>
                <w:szCs w:val="22"/>
                <w:vertAlign w:val="superscript"/>
              </w:rPr>
              <w:t>®</w:t>
            </w:r>
            <w:r w:rsidRPr="00CF4D6C">
              <w:rPr>
                <w:sz w:val="22"/>
                <w:szCs w:val="22"/>
              </w:rPr>
              <w:t xml:space="preserve"> kod žena treba uzeti u obzir prevalencu različitih tipova HPV u odnosu na geografsku regiju. </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Vakcina nije zamjena za rutinski pregled grlića materice. Periodični ginekološki pregledi, praćeni lokalnim preporukama ostaju veoma važni, s obzirom da nijedna vakcina nije 100% efikasna i, samim tim, vakcina </w:t>
            </w:r>
            <w:r w:rsidRPr="00CF4D6C">
              <w:rPr>
                <w:b/>
                <w:sz w:val="22"/>
                <w:szCs w:val="22"/>
              </w:rPr>
              <w:t>GARDASIL</w:t>
            </w:r>
            <w:r w:rsidRPr="00CF4D6C">
              <w:rPr>
                <w:b/>
                <w:sz w:val="22"/>
                <w:szCs w:val="22"/>
                <w:vertAlign w:val="superscript"/>
              </w:rPr>
              <w:t>®</w:t>
            </w:r>
            <w:r w:rsidRPr="00CF4D6C">
              <w:rPr>
                <w:sz w:val="22"/>
                <w:szCs w:val="22"/>
              </w:rPr>
              <w:t xml:space="preserve"> neće pružiti zaštitu protiv ostalih tipova HPV koji nijesu sastavni dio ove vakcine, ili već postojeće HPV infekcije.</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Bezbjednost i imunogenost vakcine je procjenjivana kod osoba uzrasta od 7 do 12 godina za koje se zna da su  inficirani virusom humane imunodeficijencije (HIV)(vidjeti poglavlje 5.1). Osobe sa smanjenim imunim odgovorom zbog primjene snažne imunosupresivne terapije, urođenog genetskog nedostatka, ili nekog drugog razloga, možda neće odgovoriti na vakcinu.</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Ovu vakcinu treba davati oprezno osobama sa trombocitopenijom ili poremećajima koagulacije jer se, poslije intramuskularne primjene, može javiti krvarenje.</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Trenutno su u toku studije dugotrajnog praćenja kako bi se odredilo vremensko trajanje zaštite (vidjeti poglavlje 5.1).</w:t>
            </w:r>
          </w:p>
          <w:p w:rsidR="00CF4D6C" w:rsidRPr="00CF4D6C" w:rsidRDefault="00CF4D6C" w:rsidP="005558C4">
            <w:pPr>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Ne postoje podaci o bezbjednosti, imunogenosti i efikasnosti koji bi išli u prilog zamjeni vakcine </w:t>
            </w:r>
            <w:r w:rsidRPr="00CF4D6C">
              <w:rPr>
                <w:b/>
                <w:sz w:val="22"/>
                <w:szCs w:val="22"/>
              </w:rPr>
              <w:t>GARDASIL</w:t>
            </w:r>
            <w:r w:rsidRPr="00CF4D6C">
              <w:rPr>
                <w:b/>
                <w:sz w:val="22"/>
                <w:szCs w:val="22"/>
                <w:vertAlign w:val="superscript"/>
              </w:rPr>
              <w:t>®</w:t>
            </w:r>
            <w:r w:rsidRPr="00CF4D6C">
              <w:rPr>
                <w:sz w:val="22"/>
                <w:szCs w:val="22"/>
              </w:rPr>
              <w:t xml:space="preserve"> drugim HPV vakcinama.</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lastRenderedPageBreak/>
              <w:t>4.5. Interakcije sa drugim ljekovima i druge vrste interakcija</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Osobe koje su primale imunoglobulin ili derivate krvi u periodu od šest mjeseci prije prve doze vakcine su bile isključene iz svih kliničkih studija.</w:t>
            </w:r>
          </w:p>
          <w:p w:rsidR="00CF4D6C" w:rsidRPr="00CF4D6C" w:rsidRDefault="00CF4D6C" w:rsidP="005558C4">
            <w:pPr>
              <w:rPr>
                <w:sz w:val="22"/>
                <w:szCs w:val="22"/>
              </w:rPr>
            </w:pPr>
          </w:p>
          <w:p w:rsidR="00CF4D6C" w:rsidRPr="00CF4D6C" w:rsidRDefault="00CF4D6C" w:rsidP="005558C4">
            <w:pPr>
              <w:rPr>
                <w:i/>
                <w:sz w:val="22"/>
                <w:szCs w:val="22"/>
              </w:rPr>
            </w:pPr>
            <w:r w:rsidRPr="00CF4D6C">
              <w:rPr>
                <w:i/>
                <w:sz w:val="22"/>
                <w:szCs w:val="22"/>
              </w:rPr>
              <w:lastRenderedPageBreak/>
              <w:t>Upotreba sa drugim vakcinama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Istovremena primjena vakcine </w:t>
            </w:r>
            <w:r w:rsidRPr="00CF4D6C">
              <w:rPr>
                <w:b/>
                <w:sz w:val="22"/>
                <w:szCs w:val="22"/>
              </w:rPr>
              <w:t>GARDASIL</w:t>
            </w:r>
            <w:r w:rsidRPr="00CF4D6C">
              <w:rPr>
                <w:b/>
                <w:sz w:val="22"/>
                <w:szCs w:val="22"/>
                <w:vertAlign w:val="superscript"/>
              </w:rPr>
              <w:t>®</w:t>
            </w:r>
            <w:r w:rsidRPr="00CF4D6C">
              <w:rPr>
                <w:sz w:val="22"/>
                <w:szCs w:val="22"/>
              </w:rPr>
              <w:t xml:space="preserve"> sa hepatitis B (rekombinantnom) vakcinom (ali na drugom mjestu primjene, za injekcione vakcine) nije dovela do promjene imunog odgovora na HPV tipove. Seroprotektivni odnos (određeni broj osoba koje su postigle seroprotektivni nivo anti-HBs≥10 mlIU/ml) nije bio poremećen (96,5% za istovremenu vakcinaciju i 97,5% samo za vakcinaciju hepatitits B vakcinom).  Titar Anti-HBs -antitijela je bio niži pri istovremenoj primjeni, ali klinička značajnost još uvijek nije poznata.</w:t>
            </w:r>
          </w:p>
          <w:p w:rsidR="00CF4D6C" w:rsidRPr="00CF4D6C" w:rsidRDefault="00CF4D6C" w:rsidP="005558C4">
            <w:pPr>
              <w:rPr>
                <w:sz w:val="22"/>
                <w:szCs w:val="22"/>
              </w:rPr>
            </w:pPr>
          </w:p>
          <w:p w:rsidR="00CF4D6C" w:rsidRPr="00CF4D6C" w:rsidRDefault="00CF4D6C" w:rsidP="005558C4">
            <w:pPr>
              <w:widowControl w:val="0"/>
              <w:rPr>
                <w:sz w:val="22"/>
                <w:szCs w:val="22"/>
              </w:rPr>
            </w:pPr>
            <w:r w:rsidRPr="00CF4D6C">
              <w:rPr>
                <w:sz w:val="22"/>
                <w:szCs w:val="22"/>
              </w:rPr>
              <w:t xml:space="preserve">Vakcina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 xml:space="preserve">se može primijeniti istovremeno sa kombinovanom "booster" vakcinom koja sadrži toxoid difterije (d) i tetanusa (T), antigene pertusisa [acelularni, komponenta] (ap) i/ili inaktivisani virus poliomijelitisa (IPV) (dTap, dT-IPV, dTap-IPV vakcine) bez značajnog uticaja na imunski odgovor na bilo koju komponentu bilo koje vakcine. Međutim, pojava nižeg anti-HPV GMTs je primijećena u grupi koja je primala obje vakcine. Klinički značaj ove pojave nije poznat. Ove informacije su dobijene na osnovu rezultata dobijenih iz kliničkih studija u kojima je kombinovana dTap-IPV vakcina bila istovremeno primijenjena sa prvom dozom vakcine </w:t>
            </w:r>
            <w:r w:rsidRPr="00CF4D6C">
              <w:rPr>
                <w:b/>
                <w:sz w:val="22"/>
                <w:szCs w:val="22"/>
              </w:rPr>
              <w:t>GARDASIL</w:t>
            </w:r>
            <w:r w:rsidRPr="00CF4D6C">
              <w:rPr>
                <w:b/>
                <w:sz w:val="22"/>
                <w:szCs w:val="22"/>
                <w:vertAlign w:val="superscript"/>
              </w:rPr>
              <w:t xml:space="preserve">® </w:t>
            </w:r>
            <w:r w:rsidRPr="00CF4D6C">
              <w:rPr>
                <w:sz w:val="22"/>
                <w:szCs w:val="22"/>
              </w:rPr>
              <w:t xml:space="preserve">(vidjeti odjeljak 4.8). </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Istovremena primjena vakcine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sa drugim vakcinama izuzev gore navedenih nije ispitivana.</w:t>
            </w:r>
          </w:p>
          <w:p w:rsidR="00CF4D6C" w:rsidRPr="00CF4D6C" w:rsidRDefault="00CF4D6C" w:rsidP="005558C4">
            <w:pPr>
              <w:rPr>
                <w:sz w:val="22"/>
                <w:szCs w:val="22"/>
              </w:rPr>
            </w:pPr>
          </w:p>
          <w:p w:rsidR="00CF4D6C" w:rsidRPr="00CF4D6C" w:rsidRDefault="00CF4D6C" w:rsidP="005558C4">
            <w:pPr>
              <w:rPr>
                <w:i/>
                <w:sz w:val="22"/>
                <w:szCs w:val="22"/>
              </w:rPr>
            </w:pPr>
            <w:r w:rsidRPr="00CF4D6C">
              <w:rPr>
                <w:i/>
                <w:sz w:val="22"/>
                <w:szCs w:val="22"/>
              </w:rPr>
              <w:t>Upotreba sa hormonskim kontraceptivima</w:t>
            </w:r>
          </w:p>
          <w:p w:rsidR="00CF4D6C" w:rsidRPr="00CF4D6C" w:rsidRDefault="00CF4D6C" w:rsidP="005558C4">
            <w:pPr>
              <w:rPr>
                <w:i/>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U kliničkim ispitivanjima je 57.5% žena starosti između 16 i 26 godina i 31.2% žena starosti između 24 i 45 godina starosti koje su primile </w:t>
            </w:r>
            <w:r w:rsidRPr="00CF4D6C">
              <w:rPr>
                <w:b/>
                <w:sz w:val="22"/>
                <w:szCs w:val="22"/>
              </w:rPr>
              <w:t>GARDASIL</w:t>
            </w:r>
            <w:r w:rsidRPr="00CF4D6C">
              <w:rPr>
                <w:b/>
                <w:sz w:val="22"/>
                <w:szCs w:val="22"/>
                <w:vertAlign w:val="superscript"/>
              </w:rPr>
              <w:t>®</w:t>
            </w:r>
            <w:r w:rsidRPr="00CF4D6C">
              <w:rPr>
                <w:sz w:val="22"/>
                <w:szCs w:val="22"/>
              </w:rPr>
              <w:t xml:space="preserve"> je koristilo hormonske kontraceptive. Nije se pokazalo da upotreba hormonskih kontraceptiva utiče na imuni odgovor na vakcinu </w:t>
            </w:r>
            <w:r w:rsidRPr="00CF4D6C">
              <w:rPr>
                <w:b/>
                <w:sz w:val="22"/>
                <w:szCs w:val="22"/>
              </w:rPr>
              <w:t>GARDASIL</w:t>
            </w:r>
            <w:r w:rsidRPr="00CF4D6C">
              <w:rPr>
                <w:b/>
                <w:sz w:val="22"/>
                <w:szCs w:val="22"/>
                <w:vertAlign w:val="superscript"/>
              </w:rPr>
              <w:t>®</w:t>
            </w:r>
            <w:r w:rsidRPr="00CF4D6C">
              <w:rPr>
                <w:sz w:val="22"/>
                <w:szCs w:val="22"/>
              </w:rPr>
              <w:t>.</w:t>
            </w: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p>
          <w:p w:rsidR="00CF4D6C" w:rsidRPr="00CF4D6C" w:rsidRDefault="00CF4D6C" w:rsidP="005558C4">
            <w:pPr>
              <w:pStyle w:val="Header"/>
              <w:tabs>
                <w:tab w:val="left" w:pos="284"/>
              </w:tabs>
              <w:spacing w:before="80" w:after="80"/>
              <w:rPr>
                <w:b/>
                <w:bCs/>
                <w:sz w:val="22"/>
                <w:szCs w:val="22"/>
              </w:rPr>
            </w:pPr>
            <w:r w:rsidRPr="00CF4D6C">
              <w:rPr>
                <w:b/>
                <w:bCs/>
                <w:sz w:val="22"/>
                <w:szCs w:val="22"/>
              </w:rPr>
              <w:t>4.6. Plodnost, trudnoća i dojenje</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u w:val="single"/>
              </w:rPr>
            </w:pPr>
            <w:r w:rsidRPr="00CF4D6C">
              <w:rPr>
                <w:sz w:val="22"/>
                <w:szCs w:val="22"/>
                <w:u w:val="single"/>
              </w:rPr>
              <w:t>Trudnoća</w:t>
            </w:r>
          </w:p>
          <w:p w:rsidR="00CF4D6C" w:rsidRPr="00CF4D6C" w:rsidRDefault="00CF4D6C" w:rsidP="005558C4">
            <w:pPr>
              <w:rPr>
                <w:sz w:val="22"/>
                <w:szCs w:val="22"/>
              </w:rPr>
            </w:pPr>
            <w:r w:rsidRPr="00CF4D6C">
              <w:rPr>
                <w:sz w:val="22"/>
                <w:szCs w:val="22"/>
              </w:rPr>
              <w:t xml:space="preserve">Ispitivanje vakcine na trudnicama nije vršeno. Međutim, tokom programa kliničkog razvoja, među 3819 žena (vakcina = 1894 u odnosu na placebo = 1925) bila je prijavljena bar jedna trudnoća. Nije bilo značajne razlike u tipovima anomalija ili broju trudnoća sa neželjenim ishodom koje su se javljale i u placebo grupi i grupi koja je primala </w:t>
            </w:r>
            <w:r w:rsidRPr="00CF4D6C">
              <w:rPr>
                <w:b/>
                <w:sz w:val="22"/>
                <w:szCs w:val="22"/>
              </w:rPr>
              <w:t>GARDASIL</w:t>
            </w:r>
            <w:r w:rsidRPr="00CF4D6C">
              <w:rPr>
                <w:b/>
                <w:sz w:val="22"/>
                <w:szCs w:val="22"/>
                <w:vertAlign w:val="superscript"/>
              </w:rPr>
              <w:t>®</w:t>
            </w:r>
            <w:r w:rsidRPr="00CF4D6C">
              <w:rPr>
                <w:sz w:val="22"/>
                <w:szCs w:val="22"/>
              </w:rPr>
              <w:t>. Ovi podaci o primjeni kod trudnica (više od 1000 izloženih slučajeva) ne ukazuju na malformirajuću niti feto/neonatalnu toksičnost.</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Podaci o primjeni vakcine GARDASIL za vreme trajanja trudnoće nije ukazala na bilo koji bezbjednosni signal. Ipak, ovi podaci nisu dovoljni da bi se mogla preporučiti primjena vakcine GARDASIL u toku trudnoće. Vakcinaciju treba odložiti do kraja trudnoće.</w:t>
            </w:r>
          </w:p>
          <w:p w:rsidR="00CF4D6C" w:rsidRPr="00CF4D6C" w:rsidRDefault="00CF4D6C" w:rsidP="005558C4">
            <w:pPr>
              <w:rPr>
                <w:sz w:val="22"/>
                <w:szCs w:val="22"/>
              </w:rPr>
            </w:pPr>
          </w:p>
          <w:p w:rsidR="00CF4D6C" w:rsidRPr="00CF4D6C" w:rsidRDefault="00CF4D6C" w:rsidP="005558C4">
            <w:pPr>
              <w:rPr>
                <w:sz w:val="22"/>
                <w:szCs w:val="22"/>
                <w:u w:val="single"/>
              </w:rPr>
            </w:pPr>
            <w:r w:rsidRPr="00CF4D6C">
              <w:rPr>
                <w:sz w:val="22"/>
                <w:szCs w:val="22"/>
                <w:u w:val="single"/>
              </w:rPr>
              <w:t>Dojenje</w:t>
            </w:r>
          </w:p>
          <w:p w:rsidR="00CF4D6C" w:rsidRPr="00CF4D6C" w:rsidRDefault="00CF4D6C" w:rsidP="005558C4">
            <w:pPr>
              <w:rPr>
                <w:sz w:val="22"/>
                <w:szCs w:val="22"/>
              </w:rPr>
            </w:pPr>
            <w:r w:rsidRPr="00CF4D6C">
              <w:rPr>
                <w:sz w:val="22"/>
                <w:szCs w:val="22"/>
              </w:rPr>
              <w:t xml:space="preserve">Kod majki dojilja, koje su primile vakcinu GARDASIL ili placebo u toku perioda vakcinacije u kliničkim ispitivanjima, stope neželjenih reakcija kod majki ili odojčadi bile su podjednake. Dodatno, imunogenost vakcine bila je slična kod dojilja i žena koje nisu dojile za vreme vakcinacije.  </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Vakcina GARDASIL se može koristiti tokom dojenja.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u w:val="single"/>
              </w:rPr>
              <w:t>Plodnost</w:t>
            </w:r>
          </w:p>
          <w:p w:rsidR="00CF4D6C" w:rsidRPr="00CF4D6C" w:rsidRDefault="00CF4D6C" w:rsidP="005558C4">
            <w:pPr>
              <w:rPr>
                <w:sz w:val="22"/>
                <w:szCs w:val="22"/>
              </w:rPr>
            </w:pPr>
            <w:r w:rsidRPr="00CF4D6C">
              <w:rPr>
                <w:sz w:val="22"/>
                <w:szCs w:val="22"/>
              </w:rPr>
              <w:t>Ispitivanja na životinjama nisu ukazale na direktan ili intirektan  štetni efekat na reproduktivnu toksičnost (vidjeti odjeljak 5.3). Nije zapažen uticaj na plodnost kod mužjaka pacova (vidjeti odjeljak 5.3).</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pacing w:val="-8"/>
                <w:sz w:val="22"/>
                <w:szCs w:val="22"/>
              </w:rPr>
            </w:pPr>
            <w:r w:rsidRPr="00CF4D6C">
              <w:rPr>
                <w:b/>
                <w:bCs/>
                <w:spacing w:val="-8"/>
                <w:sz w:val="22"/>
                <w:szCs w:val="22"/>
              </w:rPr>
              <w:lastRenderedPageBreak/>
              <w:t xml:space="preserve">4.7. Uticaj na </w:t>
            </w:r>
            <w:r w:rsidRPr="00CF4D6C">
              <w:rPr>
                <w:b/>
                <w:bCs/>
                <w:sz w:val="22"/>
                <w:szCs w:val="22"/>
              </w:rPr>
              <w:t xml:space="preserve">psihofizičke sposobnosti </w:t>
            </w:r>
            <w:r w:rsidRPr="00CF4D6C">
              <w:rPr>
                <w:b/>
                <w:bCs/>
                <w:spacing w:val="-8"/>
                <w:sz w:val="22"/>
                <w:szCs w:val="22"/>
              </w:rPr>
              <w:t>prilikom upravljanja motornim vozilima i rukovanja mašinama</w:t>
            </w:r>
          </w:p>
        </w:tc>
      </w:tr>
      <w:tr w:rsidR="00CF4D6C" w:rsidRPr="00CF4D6C" w:rsidTr="00265E46">
        <w:tblPrEx>
          <w:tblCellMar>
            <w:top w:w="0" w:type="dxa"/>
            <w:bottom w:w="0" w:type="dxa"/>
          </w:tblCellMar>
        </w:tblPrEx>
        <w:trPr>
          <w:trHeight w:val="742"/>
        </w:trPr>
        <w:tc>
          <w:tcPr>
            <w:tcW w:w="10188" w:type="dxa"/>
            <w:gridSpan w:val="4"/>
            <w:vAlign w:val="center"/>
          </w:tcPr>
          <w:p w:rsidR="00CF4D6C" w:rsidRPr="00CF4D6C" w:rsidRDefault="00CF4D6C" w:rsidP="005558C4">
            <w:pPr>
              <w:pStyle w:val="Header"/>
              <w:tabs>
                <w:tab w:val="left" w:pos="284"/>
              </w:tabs>
              <w:rPr>
                <w:sz w:val="22"/>
                <w:szCs w:val="22"/>
              </w:rPr>
            </w:pPr>
            <w:r w:rsidRPr="00CF4D6C">
              <w:rPr>
                <w:sz w:val="22"/>
                <w:szCs w:val="22"/>
              </w:rPr>
              <w:t>Nijesu sprovedena istraživanja o uticaju vakcine na sposobnost upravljanja motornim vozilom ili drugim mašinama.</w:t>
            </w:r>
          </w:p>
        </w:tc>
      </w:tr>
      <w:tr w:rsidR="00CF4D6C" w:rsidRPr="00CF4D6C" w:rsidTr="005558C4">
        <w:tblPrEx>
          <w:tblCellMar>
            <w:top w:w="0" w:type="dxa"/>
            <w:bottom w:w="0" w:type="dxa"/>
          </w:tblCellMar>
        </w:tblPrEx>
        <w:tc>
          <w:tcPr>
            <w:tcW w:w="10188" w:type="dxa"/>
            <w:gridSpan w:val="4"/>
            <w:vAlign w:val="center"/>
          </w:tcPr>
          <w:p w:rsidR="00265E46" w:rsidRDefault="00265E46" w:rsidP="005558C4">
            <w:pPr>
              <w:pStyle w:val="Header"/>
              <w:tabs>
                <w:tab w:val="left" w:pos="284"/>
              </w:tabs>
              <w:spacing w:before="80" w:after="80"/>
              <w:rPr>
                <w:b/>
                <w:bCs/>
                <w:sz w:val="22"/>
                <w:szCs w:val="22"/>
              </w:rPr>
            </w:pPr>
          </w:p>
          <w:p w:rsidR="00CF4D6C" w:rsidRPr="00CF4D6C" w:rsidRDefault="00CF4D6C" w:rsidP="005558C4">
            <w:pPr>
              <w:pStyle w:val="Header"/>
              <w:tabs>
                <w:tab w:val="left" w:pos="284"/>
              </w:tabs>
              <w:spacing w:before="80" w:after="80"/>
              <w:rPr>
                <w:b/>
                <w:bCs/>
                <w:sz w:val="22"/>
                <w:szCs w:val="22"/>
              </w:rPr>
            </w:pPr>
            <w:r w:rsidRPr="00CF4D6C">
              <w:rPr>
                <w:b/>
                <w:bCs/>
                <w:sz w:val="22"/>
                <w:szCs w:val="22"/>
              </w:rPr>
              <w:t>4.8. Neželjena dejstva</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rPr>
                <w:sz w:val="22"/>
                <w:szCs w:val="22"/>
              </w:rPr>
            </w:pPr>
          </w:p>
          <w:p w:rsidR="00CF4D6C" w:rsidRPr="00CF4D6C" w:rsidRDefault="00CF4D6C" w:rsidP="00CF4D6C">
            <w:pPr>
              <w:numPr>
                <w:ilvl w:val="0"/>
                <w:numId w:val="30"/>
              </w:numPr>
              <w:tabs>
                <w:tab w:val="left" w:pos="284"/>
              </w:tabs>
              <w:rPr>
                <w:b/>
                <w:i/>
                <w:sz w:val="22"/>
                <w:szCs w:val="22"/>
              </w:rPr>
            </w:pPr>
            <w:r w:rsidRPr="00CF4D6C">
              <w:rPr>
                <w:b/>
                <w:i/>
                <w:sz w:val="22"/>
                <w:szCs w:val="22"/>
              </w:rPr>
              <w:t>Sažetak bezbjednosnog profila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U 7 kliničkih ispitivanja (6 placebo kontrolisanih), ispitanici su primili vakcinu </w:t>
            </w:r>
            <w:r w:rsidRPr="00CF4D6C">
              <w:rPr>
                <w:b/>
                <w:sz w:val="22"/>
                <w:szCs w:val="22"/>
              </w:rPr>
              <w:t>GARDASIL</w:t>
            </w:r>
            <w:r w:rsidRPr="00CF4D6C">
              <w:rPr>
                <w:b/>
                <w:sz w:val="22"/>
                <w:szCs w:val="22"/>
                <w:vertAlign w:val="superscript"/>
              </w:rPr>
              <w:t>®</w:t>
            </w:r>
            <w:r w:rsidRPr="00CF4D6C">
              <w:rPr>
                <w:sz w:val="22"/>
                <w:szCs w:val="22"/>
              </w:rPr>
              <w:t xml:space="preserve"> ili placebo na dan uključivanja u ispitivanje i približno 2 i 6 mjeseci nakon toga. Nekoliko ispitanika (0,2%) odustalo je zbog neželjenih dejstava. Bezbjednost je procijenjivana ili u svim studijama, kod cijele populacije (6 studija), ili u prethodno definisanoj podgrupi (jedna studija) putem nadzora pomoću kartona vakcinacija (VRC - vaccination report card) tokom 14 dana poslije svake od injekcija vakcine </w:t>
            </w:r>
            <w:r w:rsidRPr="00CF4D6C">
              <w:rPr>
                <w:b/>
                <w:sz w:val="22"/>
                <w:szCs w:val="22"/>
              </w:rPr>
              <w:t>GARDASIL</w:t>
            </w:r>
            <w:r w:rsidRPr="00CF4D6C">
              <w:rPr>
                <w:b/>
                <w:sz w:val="22"/>
                <w:szCs w:val="22"/>
                <w:vertAlign w:val="superscript"/>
              </w:rPr>
              <w:t>®</w:t>
            </w:r>
            <w:r w:rsidRPr="00CF4D6C">
              <w:rPr>
                <w:sz w:val="22"/>
                <w:szCs w:val="22"/>
              </w:rPr>
              <w:t xml:space="preserve"> ili placeba. Kontrolisanim nadzorom pomoću kartona vakcinacije obuhvaćeno je 10.088 ispitanika (6.995 ženskog pola uzrasta od 9 do 45 godina, i 3.093 muškarca uzrasta od 9 do 26 godina u trenutku uključivanja) koji su primili vakcinu </w:t>
            </w:r>
            <w:r w:rsidRPr="00CF4D6C">
              <w:rPr>
                <w:b/>
                <w:sz w:val="22"/>
                <w:szCs w:val="22"/>
              </w:rPr>
              <w:t>GARDASIL</w:t>
            </w:r>
            <w:r w:rsidRPr="00CF4D6C">
              <w:rPr>
                <w:b/>
                <w:sz w:val="22"/>
                <w:szCs w:val="22"/>
                <w:vertAlign w:val="superscript"/>
              </w:rPr>
              <w:t>®</w:t>
            </w:r>
            <w:r w:rsidRPr="00CF4D6C">
              <w:rPr>
                <w:sz w:val="22"/>
                <w:szCs w:val="22"/>
              </w:rPr>
              <w:t xml:space="preserve"> i 7.995 ispitanika (5.692 ženskog i 2.303 muškog pola) koji su primili placebo.</w:t>
            </w:r>
          </w:p>
          <w:p w:rsidR="00CF4D6C" w:rsidRPr="00CF4D6C" w:rsidRDefault="00CF4D6C" w:rsidP="005558C4">
            <w:pPr>
              <w:rPr>
                <w:sz w:val="22"/>
                <w:szCs w:val="22"/>
              </w:rPr>
            </w:pPr>
          </w:p>
          <w:p w:rsidR="00CF4D6C" w:rsidRPr="00CF4D6C" w:rsidRDefault="00CF4D6C" w:rsidP="005558C4">
            <w:pPr>
              <w:rPr>
                <w:rFonts w:eastAsia="MS Mincho"/>
                <w:noProof/>
                <w:sz w:val="22"/>
                <w:szCs w:val="22"/>
                <w:lang w:eastAsia="ja-JP" w:bidi="gu-IN"/>
              </w:rPr>
            </w:pPr>
            <w:r w:rsidRPr="00CF4D6C">
              <w:rPr>
                <w:rFonts w:eastAsia="MS Mincho"/>
                <w:noProof/>
                <w:sz w:val="22"/>
                <w:szCs w:val="22"/>
                <w:lang w:eastAsia="ja-JP" w:bidi="gu-IN"/>
              </w:rPr>
              <w:t>Najčešće primijećene neželjene reakcije su one na mjestu primjene vakcine (77,1% vakcinisanih u periodu od 5 dana nakon bilo koje posjete zbog vakcinacije) i glavobolja (16,6% vakcinisanih). Ove neželjene reakcije su obično bile blagog ili umjerenog inteziteta.</w:t>
            </w:r>
          </w:p>
          <w:p w:rsidR="00CF4D6C" w:rsidRPr="00CF4D6C" w:rsidRDefault="00CF4D6C" w:rsidP="005558C4">
            <w:pPr>
              <w:rPr>
                <w:sz w:val="22"/>
                <w:szCs w:val="22"/>
              </w:rPr>
            </w:pPr>
          </w:p>
          <w:p w:rsidR="00CF4D6C" w:rsidRPr="00CF4D6C" w:rsidRDefault="00CF4D6C" w:rsidP="00CF4D6C">
            <w:pPr>
              <w:numPr>
                <w:ilvl w:val="0"/>
                <w:numId w:val="30"/>
              </w:numPr>
              <w:tabs>
                <w:tab w:val="left" w:pos="284"/>
              </w:tabs>
              <w:rPr>
                <w:b/>
                <w:i/>
                <w:sz w:val="22"/>
                <w:szCs w:val="22"/>
              </w:rPr>
            </w:pPr>
            <w:r w:rsidRPr="00CF4D6C">
              <w:rPr>
                <w:b/>
                <w:i/>
                <w:sz w:val="22"/>
                <w:szCs w:val="22"/>
              </w:rPr>
              <w:t>Tabelarni sažetak neželjenih reakcija</w:t>
            </w:r>
          </w:p>
          <w:p w:rsidR="00CF4D6C" w:rsidRPr="00CF4D6C" w:rsidRDefault="00CF4D6C" w:rsidP="005558C4">
            <w:pPr>
              <w:rPr>
                <w:sz w:val="22"/>
                <w:szCs w:val="22"/>
              </w:rPr>
            </w:pPr>
          </w:p>
          <w:p w:rsidR="00CF4D6C" w:rsidRPr="00CF4D6C" w:rsidRDefault="00CF4D6C" w:rsidP="005558C4">
            <w:pPr>
              <w:rPr>
                <w:b/>
                <w:sz w:val="22"/>
                <w:szCs w:val="22"/>
              </w:rPr>
            </w:pPr>
            <w:r w:rsidRPr="00CF4D6C">
              <w:rPr>
                <w:b/>
                <w:sz w:val="22"/>
                <w:szCs w:val="22"/>
              </w:rPr>
              <w:t>Kliničke studije</w:t>
            </w:r>
          </w:p>
          <w:p w:rsidR="00265E46" w:rsidRDefault="00265E46" w:rsidP="005558C4">
            <w:pPr>
              <w:rPr>
                <w:noProof/>
                <w:sz w:val="22"/>
                <w:szCs w:val="22"/>
              </w:rPr>
            </w:pPr>
          </w:p>
          <w:p w:rsidR="00CF4D6C" w:rsidRPr="00CF4D6C" w:rsidRDefault="00CF4D6C" w:rsidP="005558C4">
            <w:pPr>
              <w:rPr>
                <w:noProof/>
                <w:sz w:val="22"/>
                <w:szCs w:val="22"/>
              </w:rPr>
            </w:pPr>
            <w:r w:rsidRPr="00CF4D6C">
              <w:rPr>
                <w:noProof/>
                <w:sz w:val="22"/>
                <w:szCs w:val="22"/>
              </w:rPr>
              <w:t xml:space="preserve">Tabela 1 prikazuje neželjene reakcije primijećene kod osoba koje su primile vakcinu </w:t>
            </w:r>
            <w:r w:rsidRPr="00CF4D6C">
              <w:rPr>
                <w:b/>
                <w:noProof/>
                <w:sz w:val="22"/>
                <w:szCs w:val="22"/>
              </w:rPr>
              <w:t>GARDASIL</w:t>
            </w:r>
            <w:r w:rsidRPr="00CF4D6C">
              <w:rPr>
                <w:noProof/>
                <w:sz w:val="22"/>
                <w:szCs w:val="22"/>
              </w:rPr>
              <w:t xml:space="preserve"> sa učestalošću od najmanje 1,0% i sa većom učestalošću nego što je primijećena kod osoba koje su dobile placebo.</w:t>
            </w:r>
          </w:p>
          <w:p w:rsidR="00CF4D6C" w:rsidRPr="00CF4D6C" w:rsidRDefault="00CF4D6C" w:rsidP="005558C4">
            <w:pPr>
              <w:rPr>
                <w:noProof/>
                <w:sz w:val="22"/>
                <w:szCs w:val="22"/>
              </w:rPr>
            </w:pPr>
            <w:r w:rsidRPr="00CF4D6C">
              <w:rPr>
                <w:noProof/>
                <w:sz w:val="22"/>
                <w:szCs w:val="22"/>
              </w:rPr>
              <w:t>Neželjene reakcije su rangirane prema učestalosti po sljedećoj konvenciji:</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[Veoma česta (≥1/10), česta (≥1/100, &lt;1/10), povremena (≥1/1000, &lt;1/100), rijetka (≥1/10.000, &lt;1/1000), veoma rijetka (&lt;1/10.000)]</w:t>
            </w:r>
          </w:p>
          <w:p w:rsidR="00CF4D6C" w:rsidRPr="00CF4D6C" w:rsidRDefault="00CF4D6C" w:rsidP="005558C4">
            <w:pPr>
              <w:rPr>
                <w:noProof/>
                <w:sz w:val="22"/>
                <w:szCs w:val="22"/>
              </w:rPr>
            </w:pPr>
          </w:p>
          <w:p w:rsidR="00CF4D6C" w:rsidRPr="00CF4D6C" w:rsidRDefault="00CF4D6C" w:rsidP="005558C4">
            <w:pPr>
              <w:rPr>
                <w:b/>
                <w:noProof/>
                <w:sz w:val="22"/>
                <w:szCs w:val="22"/>
              </w:rPr>
            </w:pPr>
            <w:r w:rsidRPr="00CF4D6C">
              <w:rPr>
                <w:b/>
                <w:noProof/>
                <w:sz w:val="22"/>
                <w:szCs w:val="22"/>
              </w:rPr>
              <w:t>Postmarketinško iskustvo</w:t>
            </w:r>
          </w:p>
          <w:p w:rsidR="00265E46" w:rsidRDefault="00265E46" w:rsidP="005558C4">
            <w:pPr>
              <w:rPr>
                <w:iCs/>
                <w:noProof/>
                <w:sz w:val="22"/>
                <w:szCs w:val="22"/>
              </w:rPr>
            </w:pPr>
          </w:p>
          <w:p w:rsidR="00CF4D6C" w:rsidRPr="00CF4D6C" w:rsidRDefault="00CF4D6C" w:rsidP="005558C4">
            <w:pPr>
              <w:rPr>
                <w:iCs/>
                <w:noProof/>
                <w:sz w:val="22"/>
                <w:szCs w:val="22"/>
              </w:rPr>
            </w:pPr>
            <w:r w:rsidRPr="00CF4D6C">
              <w:rPr>
                <w:iCs/>
                <w:noProof/>
                <w:sz w:val="22"/>
                <w:szCs w:val="22"/>
              </w:rPr>
              <w:t xml:space="preserve">Tabela 1 takođe uključuje i neželjene događaje spontano prijavljivane u postmarketinškoj fazi za vakcinu </w:t>
            </w:r>
            <w:r w:rsidRPr="00CF4D6C">
              <w:rPr>
                <w:b/>
                <w:iCs/>
                <w:noProof/>
                <w:sz w:val="22"/>
                <w:szCs w:val="22"/>
              </w:rPr>
              <w:t>GARDASIL</w:t>
            </w:r>
            <w:r w:rsidRPr="00CF4D6C">
              <w:rPr>
                <w:iCs/>
                <w:noProof/>
                <w:sz w:val="22"/>
                <w:szCs w:val="22"/>
              </w:rPr>
              <w:t xml:space="preserve"> širom svijeta. </w:t>
            </w:r>
            <w:r w:rsidRPr="00CF4D6C">
              <w:rPr>
                <w:noProof/>
                <w:sz w:val="22"/>
                <w:szCs w:val="22"/>
              </w:rPr>
              <w:t>Kako su ovi događaji dobrovoljno prijavljivani u populaciji čija veličina nije određena, nije moguće pouzdano procijeniti njihovu učestalost ili ustanoviti, za sve događaje, uzročnu vezu sa izloženošću vakcini.</w:t>
            </w:r>
          </w:p>
          <w:p w:rsidR="00265E46" w:rsidRDefault="00265E46" w:rsidP="005558C4">
            <w:pPr>
              <w:rPr>
                <w:rFonts w:eastAsia="MS Mincho"/>
                <w:noProof/>
                <w:sz w:val="22"/>
                <w:szCs w:val="22"/>
                <w:lang w:eastAsia="ja-JP" w:bidi="gu-IN"/>
              </w:rPr>
            </w:pPr>
          </w:p>
          <w:p w:rsidR="00CF4D6C" w:rsidRPr="00CF4D6C" w:rsidRDefault="00CF4D6C" w:rsidP="005558C4">
            <w:pPr>
              <w:rPr>
                <w:noProof/>
                <w:sz w:val="22"/>
                <w:szCs w:val="22"/>
              </w:rPr>
            </w:pPr>
            <w:r w:rsidRPr="00CF4D6C">
              <w:rPr>
                <w:rFonts w:eastAsia="MS Mincho"/>
                <w:noProof/>
                <w:sz w:val="22"/>
                <w:szCs w:val="22"/>
                <w:lang w:eastAsia="ja-JP" w:bidi="gu-IN"/>
              </w:rPr>
              <w:t>Posljedično, učestalost ovih neželjenih događaja je kvalifikovana kao "nepoznata".</w:t>
            </w:r>
            <w:r w:rsidRPr="00CF4D6C">
              <w:rPr>
                <w:noProof/>
                <w:sz w:val="22"/>
                <w:szCs w:val="22"/>
              </w:rPr>
              <w:t xml:space="preserve">  </w:t>
            </w:r>
          </w:p>
          <w:p w:rsidR="00265E46" w:rsidRDefault="00265E46" w:rsidP="005558C4">
            <w:pPr>
              <w:autoSpaceDE w:val="0"/>
              <w:autoSpaceDN w:val="0"/>
              <w:adjustRightInd w:val="0"/>
              <w:jc w:val="center"/>
              <w:rPr>
                <w:rFonts w:eastAsia="MS Mincho"/>
                <w:i/>
                <w:noProof/>
                <w:sz w:val="22"/>
                <w:szCs w:val="22"/>
                <w:lang w:eastAsia="ja-JP" w:bidi="gu-IN"/>
              </w:rPr>
            </w:pPr>
          </w:p>
          <w:p w:rsidR="00265E46" w:rsidRDefault="00265E46" w:rsidP="005558C4">
            <w:pPr>
              <w:autoSpaceDE w:val="0"/>
              <w:autoSpaceDN w:val="0"/>
              <w:adjustRightInd w:val="0"/>
              <w:jc w:val="center"/>
              <w:rPr>
                <w:rFonts w:eastAsia="MS Mincho"/>
                <w:i/>
                <w:noProof/>
                <w:sz w:val="22"/>
                <w:szCs w:val="22"/>
                <w:lang w:eastAsia="ja-JP" w:bidi="gu-IN"/>
              </w:rPr>
            </w:pPr>
          </w:p>
          <w:p w:rsidR="00265E46" w:rsidRDefault="00265E46" w:rsidP="005558C4">
            <w:pPr>
              <w:autoSpaceDE w:val="0"/>
              <w:autoSpaceDN w:val="0"/>
              <w:adjustRightInd w:val="0"/>
              <w:jc w:val="center"/>
              <w:rPr>
                <w:rFonts w:eastAsia="MS Mincho"/>
                <w:i/>
                <w:noProof/>
                <w:sz w:val="22"/>
                <w:szCs w:val="22"/>
                <w:lang w:eastAsia="ja-JP" w:bidi="gu-IN"/>
              </w:rPr>
            </w:pPr>
          </w:p>
          <w:p w:rsidR="00265E46" w:rsidRDefault="00265E46" w:rsidP="005558C4">
            <w:pPr>
              <w:autoSpaceDE w:val="0"/>
              <w:autoSpaceDN w:val="0"/>
              <w:adjustRightInd w:val="0"/>
              <w:jc w:val="center"/>
              <w:rPr>
                <w:rFonts w:eastAsia="MS Mincho"/>
                <w:i/>
                <w:noProof/>
                <w:sz w:val="22"/>
                <w:szCs w:val="22"/>
                <w:lang w:eastAsia="ja-JP" w:bidi="gu-IN"/>
              </w:rPr>
            </w:pPr>
          </w:p>
          <w:p w:rsidR="00265E46" w:rsidRDefault="00265E46" w:rsidP="005558C4">
            <w:pPr>
              <w:autoSpaceDE w:val="0"/>
              <w:autoSpaceDN w:val="0"/>
              <w:adjustRightInd w:val="0"/>
              <w:jc w:val="center"/>
              <w:rPr>
                <w:rFonts w:eastAsia="MS Mincho"/>
                <w:i/>
                <w:noProof/>
                <w:sz w:val="22"/>
                <w:szCs w:val="22"/>
                <w:lang w:eastAsia="ja-JP" w:bidi="gu-IN"/>
              </w:rPr>
            </w:pPr>
          </w:p>
          <w:p w:rsidR="00CF4D6C" w:rsidRPr="00CF4D6C" w:rsidRDefault="00CF4D6C" w:rsidP="005558C4">
            <w:pPr>
              <w:autoSpaceDE w:val="0"/>
              <w:autoSpaceDN w:val="0"/>
              <w:adjustRightInd w:val="0"/>
              <w:jc w:val="center"/>
              <w:rPr>
                <w:rFonts w:eastAsia="MS Mincho"/>
                <w:i/>
                <w:noProof/>
                <w:sz w:val="22"/>
                <w:szCs w:val="22"/>
                <w:lang w:eastAsia="ja-JP" w:bidi="gu-IN"/>
              </w:rPr>
            </w:pPr>
            <w:r w:rsidRPr="00CF4D6C">
              <w:rPr>
                <w:rFonts w:eastAsia="MS Mincho"/>
                <w:i/>
                <w:noProof/>
                <w:sz w:val="22"/>
                <w:szCs w:val="22"/>
                <w:lang w:eastAsia="ja-JP" w:bidi="gu-IN"/>
              </w:rPr>
              <w:lastRenderedPageBreak/>
              <w:t>Tabela 1: Neželjeni događaji koji su se javili nakon primjene vakcine GARDASIL u kliničkim studijama i nakon stavljanja lijeka u promet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1450"/>
              <w:gridCol w:w="4212"/>
            </w:tblGrid>
            <w:tr w:rsidR="00CF4D6C" w:rsidRPr="00CF4D6C" w:rsidTr="005558C4">
              <w:tblPrEx>
                <w:tblCellMar>
                  <w:top w:w="0" w:type="dxa"/>
                  <w:bottom w:w="0" w:type="dxa"/>
                </w:tblCellMar>
              </w:tblPrEx>
              <w:trPr>
                <w:trHeight w:val="552"/>
                <w:jc w:val="center"/>
              </w:trPr>
              <w:tc>
                <w:tcPr>
                  <w:tcW w:w="2987" w:type="dxa"/>
                </w:tcPr>
                <w:p w:rsidR="00CF4D6C" w:rsidRPr="00CF4D6C" w:rsidRDefault="00CF4D6C" w:rsidP="005558C4">
                  <w:pPr>
                    <w:pStyle w:val="Default"/>
                    <w:rPr>
                      <w:noProof/>
                      <w:sz w:val="22"/>
                      <w:szCs w:val="22"/>
                      <w:lang w:val="sr-Latn-ME"/>
                    </w:rPr>
                  </w:pPr>
                  <w:r w:rsidRPr="00CF4D6C">
                    <w:rPr>
                      <w:b/>
                      <w:bCs/>
                      <w:noProof/>
                      <w:sz w:val="22"/>
                      <w:szCs w:val="22"/>
                      <w:lang w:val="sr-Latn-ME"/>
                    </w:rPr>
                    <w:t xml:space="preserve">Klasa sistema organa </w:t>
                  </w:r>
                </w:p>
              </w:tc>
              <w:tc>
                <w:tcPr>
                  <w:tcW w:w="1450" w:type="dxa"/>
                </w:tcPr>
                <w:p w:rsidR="00CF4D6C" w:rsidRPr="00CF4D6C" w:rsidRDefault="00CF4D6C" w:rsidP="005558C4">
                  <w:pPr>
                    <w:pStyle w:val="Default"/>
                    <w:jc w:val="center"/>
                    <w:rPr>
                      <w:noProof/>
                      <w:sz w:val="22"/>
                      <w:szCs w:val="22"/>
                      <w:lang w:val="sr-Latn-ME"/>
                    </w:rPr>
                  </w:pPr>
                  <w:r w:rsidRPr="00CF4D6C">
                    <w:rPr>
                      <w:b/>
                      <w:bCs/>
                      <w:noProof/>
                      <w:sz w:val="22"/>
                      <w:szCs w:val="22"/>
                      <w:lang w:val="sr-Latn-ME"/>
                    </w:rPr>
                    <w:t>Učestalost</w:t>
                  </w:r>
                </w:p>
              </w:tc>
              <w:tc>
                <w:tcPr>
                  <w:tcW w:w="4212" w:type="dxa"/>
                </w:tcPr>
                <w:p w:rsidR="00CF4D6C" w:rsidRPr="00CF4D6C" w:rsidRDefault="00CF4D6C" w:rsidP="005558C4">
                  <w:pPr>
                    <w:pStyle w:val="Default"/>
                    <w:rPr>
                      <w:noProof/>
                      <w:sz w:val="22"/>
                      <w:szCs w:val="22"/>
                      <w:lang w:val="sr-Latn-ME"/>
                    </w:rPr>
                  </w:pPr>
                  <w:r w:rsidRPr="00CF4D6C">
                    <w:rPr>
                      <w:b/>
                      <w:bCs/>
                      <w:noProof/>
                      <w:sz w:val="22"/>
                      <w:szCs w:val="22"/>
                      <w:lang w:val="sr-Latn-ME"/>
                    </w:rPr>
                    <w:t xml:space="preserve">Neželjeni događaj </w:t>
                  </w:r>
                </w:p>
              </w:tc>
            </w:tr>
            <w:tr w:rsidR="00CF4D6C" w:rsidRPr="00CF4D6C" w:rsidTr="005558C4">
              <w:tblPrEx>
                <w:tblCellMar>
                  <w:top w:w="0" w:type="dxa"/>
                  <w:bottom w:w="0" w:type="dxa"/>
                </w:tblCellMar>
              </w:tblPrEx>
              <w:trPr>
                <w:trHeight w:val="552"/>
                <w:jc w:val="center"/>
              </w:trPr>
              <w:tc>
                <w:tcPr>
                  <w:tcW w:w="2987" w:type="dxa"/>
                </w:tcPr>
                <w:p w:rsidR="00CF4D6C" w:rsidRPr="00CF4D6C" w:rsidRDefault="00CF4D6C" w:rsidP="005558C4">
                  <w:pPr>
                    <w:pStyle w:val="Default"/>
                    <w:rPr>
                      <w:bCs/>
                      <w:i/>
                      <w:noProof/>
                      <w:sz w:val="22"/>
                      <w:szCs w:val="22"/>
                      <w:lang w:val="sr-Latn-ME"/>
                    </w:rPr>
                  </w:pPr>
                  <w:r w:rsidRPr="00CF4D6C">
                    <w:rPr>
                      <w:bCs/>
                      <w:i/>
                      <w:noProof/>
                      <w:sz w:val="22"/>
                      <w:szCs w:val="22"/>
                      <w:lang w:val="sr-Latn-ME"/>
                    </w:rPr>
                    <w:t>Infekcije i infestacije</w:t>
                  </w:r>
                </w:p>
              </w:tc>
              <w:tc>
                <w:tcPr>
                  <w:tcW w:w="1450" w:type="dxa"/>
                </w:tcPr>
                <w:p w:rsidR="00CF4D6C" w:rsidRPr="00CF4D6C" w:rsidRDefault="00CF4D6C" w:rsidP="005558C4">
                  <w:pPr>
                    <w:pStyle w:val="Default"/>
                    <w:rPr>
                      <w:bCs/>
                      <w:noProof/>
                      <w:sz w:val="22"/>
                      <w:szCs w:val="22"/>
                      <w:lang w:val="sr-Latn-ME"/>
                    </w:rPr>
                  </w:pPr>
                  <w:r w:rsidRPr="00CF4D6C">
                    <w:rPr>
                      <w:bCs/>
                      <w:noProof/>
                      <w:sz w:val="22"/>
                      <w:szCs w:val="22"/>
                      <w:lang w:val="sr-Latn-ME"/>
                    </w:rPr>
                    <w:t>Nepoznata</w:t>
                  </w:r>
                </w:p>
              </w:tc>
              <w:tc>
                <w:tcPr>
                  <w:tcW w:w="4212" w:type="dxa"/>
                </w:tcPr>
                <w:p w:rsidR="00CF4D6C" w:rsidRPr="00CF4D6C" w:rsidRDefault="00CF4D6C" w:rsidP="005558C4">
                  <w:pPr>
                    <w:pStyle w:val="Default"/>
                    <w:rPr>
                      <w:bCs/>
                      <w:noProof/>
                      <w:sz w:val="22"/>
                      <w:szCs w:val="22"/>
                      <w:lang w:val="sr-Latn-ME"/>
                    </w:rPr>
                  </w:pPr>
                  <w:r w:rsidRPr="00CF4D6C">
                    <w:rPr>
                      <w:bCs/>
                      <w:noProof/>
                      <w:sz w:val="22"/>
                      <w:szCs w:val="22"/>
                      <w:lang w:val="sr-Latn-ME"/>
                    </w:rPr>
                    <w:t>celulitis na mjestu ubrizgavanja*</w:t>
                  </w:r>
                </w:p>
              </w:tc>
            </w:tr>
            <w:tr w:rsidR="00CF4D6C" w:rsidRPr="00CF4D6C" w:rsidTr="005558C4">
              <w:tblPrEx>
                <w:tblCellMar>
                  <w:top w:w="0" w:type="dxa"/>
                  <w:bottom w:w="0" w:type="dxa"/>
                </w:tblCellMar>
              </w:tblPrEx>
              <w:trPr>
                <w:trHeight w:val="550"/>
                <w:jc w:val="center"/>
              </w:trPr>
              <w:tc>
                <w:tcPr>
                  <w:tcW w:w="2987" w:type="dxa"/>
                  <w:vAlign w:val="center"/>
                </w:tcPr>
                <w:p w:rsidR="00CF4D6C" w:rsidRPr="00CF4D6C" w:rsidRDefault="00CF4D6C" w:rsidP="005558C4">
                  <w:pPr>
                    <w:pStyle w:val="Default"/>
                    <w:rPr>
                      <w:noProof/>
                      <w:color w:val="auto"/>
                      <w:sz w:val="22"/>
                      <w:szCs w:val="22"/>
                      <w:lang w:val="sr-Latn-ME"/>
                    </w:rPr>
                  </w:pPr>
                  <w:r w:rsidRPr="00CF4D6C">
                    <w:rPr>
                      <w:i/>
                      <w:noProof/>
                      <w:color w:val="auto"/>
                      <w:sz w:val="22"/>
                      <w:szCs w:val="22"/>
                      <w:lang w:val="sr-Latn-ME"/>
                    </w:rPr>
                    <w:t>Poremećaji na nivou krvi i limfnog sistema</w:t>
                  </w: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Nepoznata </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idiopatska trombocitopenijska purpura*, limfadenopatija*</w:t>
                  </w:r>
                </w:p>
              </w:tc>
            </w:tr>
            <w:tr w:rsidR="00CF4D6C" w:rsidRPr="00CF4D6C" w:rsidTr="005558C4">
              <w:tblPrEx>
                <w:tblCellMar>
                  <w:top w:w="0" w:type="dxa"/>
                  <w:bottom w:w="0" w:type="dxa"/>
                </w:tblCellMar>
              </w:tblPrEx>
              <w:trPr>
                <w:trHeight w:val="550"/>
                <w:jc w:val="center"/>
              </w:trPr>
              <w:tc>
                <w:tcPr>
                  <w:tcW w:w="2987" w:type="dxa"/>
                  <w:vAlign w:val="center"/>
                </w:tcPr>
                <w:p w:rsidR="00CF4D6C" w:rsidRPr="00CF4D6C" w:rsidRDefault="00CF4D6C" w:rsidP="005558C4">
                  <w:pPr>
                    <w:pStyle w:val="Default"/>
                    <w:rPr>
                      <w:noProof/>
                      <w:color w:val="auto"/>
                      <w:sz w:val="22"/>
                      <w:szCs w:val="22"/>
                      <w:lang w:val="sr-Latn-ME"/>
                    </w:rPr>
                  </w:pPr>
                  <w:r w:rsidRPr="00CF4D6C">
                    <w:rPr>
                      <w:i/>
                      <w:noProof/>
                      <w:color w:val="auto"/>
                      <w:sz w:val="22"/>
                      <w:szCs w:val="22"/>
                      <w:lang w:val="sr-Latn-ME"/>
                    </w:rPr>
                    <w:t xml:space="preserve">Imunološki poremećaji </w:t>
                  </w: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Nepoznata</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reakcije preosjetljivosti, uključujući anafilaksu/anafilaktoidne reakcije* </w:t>
                  </w:r>
                </w:p>
              </w:tc>
            </w:tr>
            <w:tr w:rsidR="00CF4D6C" w:rsidRPr="00CF4D6C" w:rsidTr="005558C4">
              <w:tblPrEx>
                <w:tblCellMar>
                  <w:top w:w="0" w:type="dxa"/>
                  <w:bottom w:w="0" w:type="dxa"/>
                </w:tblCellMar>
              </w:tblPrEx>
              <w:trPr>
                <w:trHeight w:val="265"/>
                <w:jc w:val="center"/>
              </w:trPr>
              <w:tc>
                <w:tcPr>
                  <w:tcW w:w="2987" w:type="dxa"/>
                  <w:vMerge w:val="restart"/>
                  <w:vAlign w:val="center"/>
                </w:tcPr>
                <w:p w:rsidR="00CF4D6C" w:rsidRPr="00CF4D6C" w:rsidRDefault="00CF4D6C" w:rsidP="005558C4">
                  <w:pPr>
                    <w:pStyle w:val="Default"/>
                    <w:rPr>
                      <w:noProof/>
                      <w:color w:val="auto"/>
                      <w:sz w:val="22"/>
                      <w:szCs w:val="22"/>
                      <w:lang w:val="sr-Latn-ME"/>
                    </w:rPr>
                  </w:pPr>
                  <w:r w:rsidRPr="00CF4D6C">
                    <w:rPr>
                      <w:i/>
                      <w:noProof/>
                      <w:color w:val="auto"/>
                      <w:sz w:val="22"/>
                      <w:szCs w:val="22"/>
                      <w:lang w:val="sr-Latn-ME"/>
                    </w:rPr>
                    <w:t>Poremećaji nervnog sistema</w:t>
                  </w: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Veoma česta</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glavobolja </w:t>
                  </w:r>
                </w:p>
              </w:tc>
            </w:tr>
            <w:tr w:rsidR="00CF4D6C" w:rsidRPr="00CF4D6C" w:rsidTr="005558C4">
              <w:tblPrEx>
                <w:tblCellMar>
                  <w:top w:w="0" w:type="dxa"/>
                  <w:bottom w:w="0" w:type="dxa"/>
                </w:tblCellMar>
              </w:tblPrEx>
              <w:trPr>
                <w:trHeight w:val="830"/>
                <w:jc w:val="center"/>
              </w:trPr>
              <w:tc>
                <w:tcPr>
                  <w:tcW w:w="2987" w:type="dxa"/>
                  <w:vMerge/>
                </w:tcPr>
                <w:p w:rsidR="00CF4D6C" w:rsidRPr="00CF4D6C" w:rsidRDefault="00CF4D6C" w:rsidP="005558C4">
                  <w:pPr>
                    <w:pStyle w:val="Default"/>
                    <w:rPr>
                      <w:noProof/>
                      <w:color w:val="auto"/>
                      <w:sz w:val="22"/>
                      <w:szCs w:val="22"/>
                      <w:lang w:val="sr-Latn-ME"/>
                    </w:rPr>
                  </w:pP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Nepoznata</w:t>
                  </w:r>
                </w:p>
              </w:tc>
              <w:tc>
                <w:tcPr>
                  <w:tcW w:w="4212" w:type="dxa"/>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vrtoglavica</w:t>
                  </w:r>
                  <w:r w:rsidRPr="00CF4D6C">
                    <w:rPr>
                      <w:noProof/>
                      <w:color w:val="auto"/>
                      <w:sz w:val="22"/>
                      <w:szCs w:val="22"/>
                      <w:vertAlign w:val="superscript"/>
                      <w:lang w:val="sr-Latn-ME"/>
                    </w:rPr>
                    <w:t>1</w:t>
                  </w:r>
                  <w:r w:rsidRPr="00CF4D6C">
                    <w:rPr>
                      <w:noProof/>
                      <w:color w:val="auto"/>
                      <w:sz w:val="22"/>
                      <w:szCs w:val="22"/>
                      <w:lang w:val="sr-Latn-ME"/>
                    </w:rPr>
                    <w:t xml:space="preserve">*, Žilijen-Bareov sindrom*, </w:t>
                  </w:r>
                </w:p>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sinkopa ponekad praćena tonično-kloničnim pokretima* </w:t>
                  </w:r>
                </w:p>
              </w:tc>
            </w:tr>
            <w:tr w:rsidR="00CF4D6C" w:rsidRPr="00CF4D6C" w:rsidTr="005558C4">
              <w:tblPrEx>
                <w:tblCellMar>
                  <w:top w:w="0" w:type="dxa"/>
                  <w:bottom w:w="0" w:type="dxa"/>
                </w:tblCellMar>
              </w:tblPrEx>
              <w:trPr>
                <w:trHeight w:val="265"/>
                <w:jc w:val="center"/>
              </w:trPr>
              <w:tc>
                <w:tcPr>
                  <w:tcW w:w="2987" w:type="dxa"/>
                  <w:vMerge w:val="restart"/>
                </w:tcPr>
                <w:p w:rsidR="00CF4D6C" w:rsidRPr="00CF4D6C" w:rsidRDefault="00CF4D6C" w:rsidP="005558C4">
                  <w:pPr>
                    <w:pStyle w:val="Default"/>
                    <w:rPr>
                      <w:noProof/>
                      <w:color w:val="auto"/>
                      <w:sz w:val="22"/>
                      <w:szCs w:val="22"/>
                      <w:lang w:val="sr-Latn-ME"/>
                    </w:rPr>
                  </w:pPr>
                  <w:r w:rsidRPr="00CF4D6C">
                    <w:rPr>
                      <w:i/>
                      <w:noProof/>
                      <w:color w:val="auto"/>
                      <w:sz w:val="22"/>
                      <w:szCs w:val="22"/>
                      <w:lang w:val="sr-Latn-ME"/>
                    </w:rPr>
                    <w:t>Gastrointestinalni poremećaji</w:t>
                  </w:r>
                  <w:r w:rsidRPr="00CF4D6C">
                    <w:rPr>
                      <w:noProof/>
                      <w:color w:val="auto"/>
                      <w:sz w:val="22"/>
                      <w:szCs w:val="22"/>
                      <w:lang w:val="sr-Latn-ME"/>
                    </w:rPr>
                    <w:t xml:space="preserve"> </w:t>
                  </w: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Česta </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nauzeja </w:t>
                  </w:r>
                </w:p>
              </w:tc>
            </w:tr>
            <w:tr w:rsidR="00CF4D6C" w:rsidRPr="00CF4D6C" w:rsidTr="005558C4">
              <w:tblPrEx>
                <w:tblCellMar>
                  <w:top w:w="0" w:type="dxa"/>
                  <w:bottom w:w="0" w:type="dxa"/>
                </w:tblCellMar>
              </w:tblPrEx>
              <w:trPr>
                <w:trHeight w:val="262"/>
                <w:jc w:val="center"/>
              </w:trPr>
              <w:tc>
                <w:tcPr>
                  <w:tcW w:w="2987" w:type="dxa"/>
                  <w:vMerge/>
                </w:tcPr>
                <w:p w:rsidR="00CF4D6C" w:rsidRPr="00CF4D6C" w:rsidRDefault="00CF4D6C" w:rsidP="005558C4">
                  <w:pPr>
                    <w:pStyle w:val="Default"/>
                    <w:rPr>
                      <w:noProof/>
                      <w:color w:val="auto"/>
                      <w:sz w:val="22"/>
                      <w:szCs w:val="22"/>
                      <w:lang w:val="sr-Latn-ME"/>
                    </w:rPr>
                  </w:pP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Nepoznata</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povraćanje* </w:t>
                  </w:r>
                </w:p>
              </w:tc>
            </w:tr>
            <w:tr w:rsidR="00CF4D6C" w:rsidRPr="00CF4D6C" w:rsidTr="005558C4">
              <w:tblPrEx>
                <w:tblCellMar>
                  <w:top w:w="0" w:type="dxa"/>
                  <w:bottom w:w="0" w:type="dxa"/>
                </w:tblCellMar>
              </w:tblPrEx>
              <w:trPr>
                <w:trHeight w:val="265"/>
                <w:jc w:val="center"/>
              </w:trPr>
              <w:tc>
                <w:tcPr>
                  <w:tcW w:w="2987" w:type="dxa"/>
                  <w:vMerge w:val="restart"/>
                  <w:vAlign w:val="center"/>
                </w:tcPr>
                <w:p w:rsidR="00CF4D6C" w:rsidRPr="00CF4D6C" w:rsidRDefault="00CF4D6C" w:rsidP="005558C4">
                  <w:pPr>
                    <w:pStyle w:val="Default"/>
                    <w:rPr>
                      <w:noProof/>
                      <w:color w:val="auto"/>
                      <w:sz w:val="22"/>
                      <w:szCs w:val="22"/>
                      <w:lang w:val="sr-Latn-ME"/>
                    </w:rPr>
                  </w:pPr>
                  <w:r w:rsidRPr="00CF4D6C">
                    <w:rPr>
                      <w:i/>
                      <w:noProof/>
                      <w:color w:val="auto"/>
                      <w:sz w:val="22"/>
                      <w:szCs w:val="22"/>
                      <w:lang w:val="sr-Latn-ME"/>
                    </w:rPr>
                    <w:t>Poremećaji mišićno-skeletnog i vezivnog tkiva</w:t>
                  </w: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Česta </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bol u ekstremitetima </w:t>
                  </w:r>
                </w:p>
              </w:tc>
            </w:tr>
            <w:tr w:rsidR="00CF4D6C" w:rsidRPr="00CF4D6C" w:rsidTr="005558C4">
              <w:tblPrEx>
                <w:tblCellMar>
                  <w:top w:w="0" w:type="dxa"/>
                  <w:bottom w:w="0" w:type="dxa"/>
                </w:tblCellMar>
              </w:tblPrEx>
              <w:trPr>
                <w:trHeight w:val="262"/>
                <w:jc w:val="center"/>
              </w:trPr>
              <w:tc>
                <w:tcPr>
                  <w:tcW w:w="2987" w:type="dxa"/>
                  <w:vMerge/>
                  <w:vAlign w:val="center"/>
                </w:tcPr>
                <w:p w:rsidR="00CF4D6C" w:rsidRPr="00CF4D6C" w:rsidRDefault="00CF4D6C" w:rsidP="005558C4">
                  <w:pPr>
                    <w:pStyle w:val="Default"/>
                    <w:rPr>
                      <w:noProof/>
                      <w:color w:val="auto"/>
                      <w:sz w:val="22"/>
                      <w:szCs w:val="22"/>
                      <w:lang w:val="sr-Latn-ME"/>
                    </w:rPr>
                  </w:pP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Nepoznata</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artralgija*, mialgija* </w:t>
                  </w:r>
                </w:p>
              </w:tc>
            </w:tr>
            <w:tr w:rsidR="00CF4D6C" w:rsidRPr="00CF4D6C" w:rsidTr="005558C4">
              <w:tblPrEx>
                <w:tblCellMar>
                  <w:top w:w="0" w:type="dxa"/>
                  <w:bottom w:w="0" w:type="dxa"/>
                </w:tblCellMar>
              </w:tblPrEx>
              <w:trPr>
                <w:trHeight w:val="790"/>
                <w:jc w:val="center"/>
              </w:trPr>
              <w:tc>
                <w:tcPr>
                  <w:tcW w:w="2987" w:type="dxa"/>
                  <w:vMerge w:val="restart"/>
                  <w:vAlign w:val="center"/>
                </w:tcPr>
                <w:p w:rsidR="00CF4D6C" w:rsidRPr="00CF4D6C" w:rsidRDefault="00CF4D6C" w:rsidP="005558C4">
                  <w:pPr>
                    <w:rPr>
                      <w:noProof/>
                      <w:sz w:val="22"/>
                      <w:szCs w:val="22"/>
                    </w:rPr>
                  </w:pPr>
                  <w:r w:rsidRPr="00CF4D6C">
                    <w:rPr>
                      <w:i/>
                      <w:noProof/>
                      <w:sz w:val="22"/>
                      <w:szCs w:val="22"/>
                    </w:rPr>
                    <w:t>Opšti poremećaji i reakcije na mjestu primjene</w:t>
                  </w:r>
                </w:p>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 </w:t>
                  </w: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Veoma česta</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na mjestu ubrizgavanja: eritem, bol, otok </w:t>
                  </w:r>
                </w:p>
              </w:tc>
            </w:tr>
            <w:tr w:rsidR="00CF4D6C" w:rsidRPr="00CF4D6C" w:rsidTr="005558C4">
              <w:tblPrEx>
                <w:tblCellMar>
                  <w:top w:w="0" w:type="dxa"/>
                  <w:bottom w:w="0" w:type="dxa"/>
                </w:tblCellMar>
              </w:tblPrEx>
              <w:trPr>
                <w:trHeight w:val="556"/>
                <w:jc w:val="center"/>
              </w:trPr>
              <w:tc>
                <w:tcPr>
                  <w:tcW w:w="2987" w:type="dxa"/>
                  <w:vMerge/>
                </w:tcPr>
                <w:p w:rsidR="00CF4D6C" w:rsidRPr="00CF4D6C" w:rsidRDefault="00CF4D6C" w:rsidP="005558C4">
                  <w:pPr>
                    <w:pStyle w:val="Default"/>
                    <w:rPr>
                      <w:noProof/>
                      <w:color w:val="auto"/>
                      <w:sz w:val="22"/>
                      <w:szCs w:val="22"/>
                      <w:lang w:val="sr-Latn-ME"/>
                    </w:rPr>
                  </w:pPr>
                </w:p>
              </w:tc>
              <w:tc>
                <w:tcPr>
                  <w:tcW w:w="1450"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Česta </w:t>
                  </w:r>
                </w:p>
              </w:tc>
              <w:tc>
                <w:tcPr>
                  <w:tcW w:w="4212" w:type="dxa"/>
                  <w:vAlign w:val="center"/>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pireksija </w:t>
                  </w:r>
                </w:p>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na mjestu ubrizgavanja: modrice, svrab </w:t>
                  </w:r>
                </w:p>
              </w:tc>
            </w:tr>
            <w:tr w:rsidR="00CF4D6C" w:rsidRPr="00CF4D6C" w:rsidTr="005558C4">
              <w:tblPrEx>
                <w:tblCellMar>
                  <w:top w:w="0" w:type="dxa"/>
                  <w:bottom w:w="0" w:type="dxa"/>
                </w:tblCellMar>
              </w:tblPrEx>
              <w:trPr>
                <w:trHeight w:val="365"/>
                <w:jc w:val="center"/>
              </w:trPr>
              <w:tc>
                <w:tcPr>
                  <w:tcW w:w="2987" w:type="dxa"/>
                  <w:vMerge/>
                </w:tcPr>
                <w:p w:rsidR="00CF4D6C" w:rsidRPr="00CF4D6C" w:rsidRDefault="00CF4D6C" w:rsidP="005558C4">
                  <w:pPr>
                    <w:pStyle w:val="Default"/>
                    <w:rPr>
                      <w:noProof/>
                      <w:color w:val="auto"/>
                      <w:sz w:val="22"/>
                      <w:szCs w:val="22"/>
                      <w:lang w:val="sr-Latn-ME"/>
                    </w:rPr>
                  </w:pPr>
                </w:p>
              </w:tc>
              <w:tc>
                <w:tcPr>
                  <w:tcW w:w="1450" w:type="dxa"/>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Nepoznata</w:t>
                  </w:r>
                </w:p>
              </w:tc>
              <w:tc>
                <w:tcPr>
                  <w:tcW w:w="4212" w:type="dxa"/>
                </w:tcPr>
                <w:p w:rsidR="00CF4D6C" w:rsidRPr="00CF4D6C" w:rsidRDefault="00CF4D6C" w:rsidP="005558C4">
                  <w:pPr>
                    <w:pStyle w:val="Default"/>
                    <w:rPr>
                      <w:noProof/>
                      <w:color w:val="auto"/>
                      <w:sz w:val="22"/>
                      <w:szCs w:val="22"/>
                      <w:lang w:val="sr-Latn-ME"/>
                    </w:rPr>
                  </w:pPr>
                  <w:r w:rsidRPr="00CF4D6C">
                    <w:rPr>
                      <w:noProof/>
                      <w:color w:val="auto"/>
                      <w:sz w:val="22"/>
                      <w:szCs w:val="22"/>
                      <w:lang w:val="sr-Latn-ME"/>
                    </w:rPr>
                    <w:t xml:space="preserve">astenija*, drhtavica*, zamor *, malaksalost* </w:t>
                  </w:r>
                </w:p>
              </w:tc>
            </w:tr>
          </w:tbl>
          <w:p w:rsidR="00CF4D6C" w:rsidRPr="00CF4D6C" w:rsidRDefault="00CF4D6C" w:rsidP="005558C4">
            <w:pPr>
              <w:autoSpaceDE w:val="0"/>
              <w:autoSpaceDN w:val="0"/>
              <w:adjustRightInd w:val="0"/>
              <w:rPr>
                <w:rFonts w:eastAsia="MS Mincho"/>
                <w:noProof/>
                <w:sz w:val="22"/>
                <w:szCs w:val="22"/>
                <w:lang w:eastAsia="ja-JP" w:bidi="gu-IN"/>
              </w:rPr>
            </w:pPr>
            <w:r w:rsidRPr="00CF4D6C">
              <w:rPr>
                <w:rFonts w:eastAsia="MS Mincho"/>
                <w:noProof/>
                <w:sz w:val="22"/>
                <w:szCs w:val="22"/>
                <w:lang w:eastAsia="ja-JP" w:bidi="gu-IN"/>
              </w:rPr>
              <w:t>* Neželjeni događaji iz postmarketinškog iskustva (učestalost se ne može utvrditi na osnovu dostupnih podataka).</w:t>
            </w:r>
          </w:p>
          <w:p w:rsidR="00CF4D6C" w:rsidRPr="00CF4D6C" w:rsidRDefault="00CF4D6C" w:rsidP="005558C4">
            <w:pPr>
              <w:rPr>
                <w:rFonts w:eastAsia="MS Mincho"/>
                <w:noProof/>
                <w:sz w:val="22"/>
                <w:szCs w:val="22"/>
                <w:lang w:eastAsia="ja-JP" w:bidi="gu-IN"/>
              </w:rPr>
            </w:pPr>
            <w:r w:rsidRPr="00CF4D6C">
              <w:rPr>
                <w:rFonts w:eastAsia="MS Mincho"/>
                <w:noProof/>
                <w:sz w:val="22"/>
                <w:szCs w:val="22"/>
                <w:lang w:eastAsia="ja-JP" w:bidi="gu-IN"/>
              </w:rPr>
              <w:t>1 U toku kliničkih studija, vrtoglavica je primjećena kao česta neželjena reakcija kod žena. Kod muškaraca, vrtoglavica nije primjećena u većem boju slučajeva kod primalaca vakcine u odnosu na osobe koje su primile placebo.</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Dodatno, sljedeće neželjene reakcije prijavljene od strane ispitivača u procentu manjem od 1%, a koje su povezane sa primjenom vakcine ili placeba:</w:t>
            </w:r>
          </w:p>
          <w:p w:rsidR="00CF4D6C" w:rsidRPr="00CF4D6C" w:rsidRDefault="00CF4D6C" w:rsidP="005558C4">
            <w:pPr>
              <w:rPr>
                <w:noProof/>
                <w:sz w:val="22"/>
                <w:szCs w:val="22"/>
              </w:rPr>
            </w:pPr>
          </w:p>
          <w:p w:rsidR="00CF4D6C" w:rsidRPr="00CF4D6C" w:rsidRDefault="00CF4D6C" w:rsidP="005558C4">
            <w:pPr>
              <w:rPr>
                <w:i/>
                <w:noProof/>
                <w:sz w:val="22"/>
                <w:szCs w:val="22"/>
              </w:rPr>
            </w:pPr>
            <w:r w:rsidRPr="00CF4D6C">
              <w:rPr>
                <w:i/>
                <w:noProof/>
                <w:sz w:val="22"/>
                <w:szCs w:val="22"/>
              </w:rPr>
              <w:t>Respiratorni, torakalni i medijastinalni poremećaji:</w:t>
            </w:r>
          </w:p>
          <w:p w:rsidR="00CF4D6C" w:rsidRPr="00CF4D6C" w:rsidRDefault="00CF4D6C" w:rsidP="005558C4">
            <w:pPr>
              <w:rPr>
                <w:noProof/>
                <w:sz w:val="22"/>
                <w:szCs w:val="22"/>
              </w:rPr>
            </w:pPr>
            <w:r w:rsidRPr="00CF4D6C">
              <w:rPr>
                <w:noProof/>
                <w:sz w:val="22"/>
                <w:szCs w:val="22"/>
              </w:rPr>
              <w:t xml:space="preserve">Veoma rijetka: bronhospazam. </w:t>
            </w:r>
          </w:p>
          <w:p w:rsidR="00CF4D6C" w:rsidRPr="00CF4D6C" w:rsidRDefault="00CF4D6C" w:rsidP="005558C4">
            <w:pPr>
              <w:rPr>
                <w:noProof/>
                <w:sz w:val="22"/>
                <w:szCs w:val="22"/>
              </w:rPr>
            </w:pPr>
          </w:p>
          <w:p w:rsidR="00CF4D6C" w:rsidRPr="00CF4D6C" w:rsidRDefault="00CF4D6C" w:rsidP="005558C4">
            <w:pPr>
              <w:rPr>
                <w:i/>
                <w:noProof/>
                <w:sz w:val="22"/>
                <w:szCs w:val="22"/>
              </w:rPr>
            </w:pPr>
            <w:r w:rsidRPr="00CF4D6C">
              <w:rPr>
                <w:i/>
                <w:noProof/>
                <w:sz w:val="22"/>
                <w:szCs w:val="22"/>
              </w:rPr>
              <w:t>Poremećaji na nivou kože i  potkožnog  tkiva:</w:t>
            </w:r>
          </w:p>
          <w:p w:rsidR="00CF4D6C" w:rsidRPr="00CF4D6C" w:rsidRDefault="00CF4D6C" w:rsidP="005558C4">
            <w:pPr>
              <w:rPr>
                <w:noProof/>
                <w:sz w:val="22"/>
                <w:szCs w:val="22"/>
              </w:rPr>
            </w:pPr>
            <w:r w:rsidRPr="00CF4D6C">
              <w:rPr>
                <w:noProof/>
                <w:sz w:val="22"/>
                <w:szCs w:val="22"/>
              </w:rPr>
              <w:t>Rijetko: urtikarija</w:t>
            </w:r>
          </w:p>
          <w:p w:rsidR="00CF4D6C" w:rsidRPr="00CF4D6C" w:rsidRDefault="00CF4D6C" w:rsidP="005558C4">
            <w:pPr>
              <w:rPr>
                <w:noProof/>
                <w:sz w:val="22"/>
                <w:szCs w:val="22"/>
              </w:rPr>
            </w:pPr>
            <w:r w:rsidRPr="00CF4D6C">
              <w:rPr>
                <w:noProof/>
                <w:sz w:val="22"/>
                <w:szCs w:val="22"/>
              </w:rPr>
              <w:t xml:space="preserve">Devet slučajeva urtikarije (0,06%) je prijavljeno u grupi koja je primala vakcinu </w:t>
            </w:r>
            <w:r w:rsidRPr="00CF4D6C">
              <w:rPr>
                <w:b/>
                <w:noProof/>
                <w:sz w:val="22"/>
                <w:szCs w:val="22"/>
              </w:rPr>
              <w:t>GARDASIL</w:t>
            </w:r>
            <w:r w:rsidRPr="00CF4D6C">
              <w:rPr>
                <w:noProof/>
                <w:sz w:val="22"/>
                <w:szCs w:val="22"/>
              </w:rPr>
              <w:t xml:space="preserve"> i 20 slučajeva (0,15%) u placebo grupi (koji sadrži adjuvant).</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 xml:space="preserve">U kliničkim studijama, pojedinci su prijavljivali bilo koje promjene u svom zdravstvenom stanju tokom perioda praćenja. Među 15.706 pojedinaca koji su primili vakcinu </w:t>
            </w:r>
            <w:r w:rsidRPr="00CF4D6C">
              <w:rPr>
                <w:b/>
                <w:noProof/>
                <w:sz w:val="22"/>
                <w:szCs w:val="22"/>
              </w:rPr>
              <w:t>GARDASIL</w:t>
            </w:r>
            <w:r w:rsidRPr="00CF4D6C">
              <w:rPr>
                <w:noProof/>
                <w:sz w:val="22"/>
                <w:szCs w:val="22"/>
              </w:rPr>
              <w:t xml:space="preserve"> i 13.617 pojedinaca koji su primili placebo, bilo je 39 prijavljenih slučajeva nespecifičnog artritisa/artropatije, od kojih 24 u grupi koja je primila vakcinu </w:t>
            </w:r>
            <w:r w:rsidRPr="00CF4D6C">
              <w:rPr>
                <w:b/>
                <w:noProof/>
                <w:sz w:val="22"/>
                <w:szCs w:val="22"/>
              </w:rPr>
              <w:t>GARDASIL</w:t>
            </w:r>
            <w:r w:rsidRPr="00CF4D6C">
              <w:rPr>
                <w:noProof/>
                <w:sz w:val="22"/>
                <w:szCs w:val="22"/>
              </w:rPr>
              <w:t xml:space="preserve"> i 15 u placebo grupi.</w:t>
            </w:r>
          </w:p>
          <w:p w:rsidR="00CF4D6C" w:rsidRPr="00CF4D6C" w:rsidRDefault="00CF4D6C" w:rsidP="005558C4">
            <w:pPr>
              <w:pStyle w:val="PlainText"/>
              <w:widowControl w:val="0"/>
              <w:rPr>
                <w:rFonts w:ascii="Times New Roman" w:hAnsi="Times New Roman"/>
                <w:color w:val="000000"/>
                <w:sz w:val="22"/>
                <w:szCs w:val="22"/>
              </w:rPr>
            </w:pPr>
            <w:bookmarkStart w:id="3" w:name="OLE_LINK17"/>
            <w:bookmarkStart w:id="4" w:name="OLE_LINK18"/>
            <w:r w:rsidRPr="00CF4D6C">
              <w:rPr>
                <w:rFonts w:ascii="Times New Roman" w:hAnsi="Times New Roman"/>
                <w:color w:val="000000"/>
                <w:sz w:val="22"/>
                <w:szCs w:val="22"/>
              </w:rPr>
              <w:lastRenderedPageBreak/>
              <w:t xml:space="preserve">U kliničkoj studiji na 843 zdrava adolescenta (muškog i ženskog pola) starosti od 11 do 17 godina, pokazalo se da je, pri primjeni prve doze vakcine </w:t>
            </w:r>
            <w:r w:rsidRPr="00CF4D6C">
              <w:rPr>
                <w:rFonts w:ascii="Times New Roman" w:hAnsi="Times New Roman"/>
                <w:b/>
                <w:sz w:val="22"/>
                <w:szCs w:val="22"/>
              </w:rPr>
              <w:t>GARDASIL</w:t>
            </w:r>
            <w:r w:rsidRPr="00CF4D6C">
              <w:rPr>
                <w:rFonts w:ascii="Times New Roman" w:hAnsi="Times New Roman"/>
                <w:b/>
                <w:sz w:val="22"/>
                <w:szCs w:val="22"/>
                <w:vertAlign w:val="superscript"/>
              </w:rPr>
              <w:t>®</w:t>
            </w:r>
            <w:r w:rsidRPr="00CF4D6C">
              <w:rPr>
                <w:rFonts w:ascii="Times New Roman" w:hAnsi="Times New Roman"/>
                <w:b/>
                <w:sz w:val="22"/>
                <w:szCs w:val="22"/>
              </w:rPr>
              <w:t xml:space="preserve"> </w:t>
            </w:r>
            <w:r w:rsidRPr="00CF4D6C">
              <w:rPr>
                <w:rFonts w:ascii="Times New Roman" w:hAnsi="Times New Roman"/>
                <w:color w:val="000000"/>
                <w:sz w:val="22"/>
                <w:szCs w:val="22"/>
              </w:rPr>
              <w:t xml:space="preserve">istovremeno sa  kombinovanom </w:t>
            </w:r>
            <w:r w:rsidRPr="00CF4D6C">
              <w:rPr>
                <w:rFonts w:ascii="Times New Roman" w:hAnsi="Times New Roman"/>
                <w:bCs/>
                <w:color w:val="000000"/>
                <w:sz w:val="22"/>
                <w:szCs w:val="22"/>
              </w:rPr>
              <w:t xml:space="preserve"> </w:t>
            </w:r>
            <w:r w:rsidRPr="00CF4D6C">
              <w:rPr>
                <w:rFonts w:ascii="Times New Roman" w:hAnsi="Times New Roman"/>
                <w:sz w:val="22"/>
                <w:szCs w:val="22"/>
              </w:rPr>
              <w:t xml:space="preserve">vakcinom koja sadrži toksoid difterije i tetanusa, antigene pertusisa [acelularni, komponenta] i inaktivisan virus poliomijelitisa, </w:t>
            </w:r>
            <w:r w:rsidRPr="00CF4D6C">
              <w:rPr>
                <w:rFonts w:ascii="Times New Roman" w:hAnsi="Times New Roman"/>
                <w:color w:val="000000"/>
                <w:sz w:val="22"/>
                <w:szCs w:val="22"/>
              </w:rPr>
              <w:t>prijavljena češća pojava oticanja na mjestu primjene i glavobolja koje su pratile istovremenu primjenu. Primijećena razlika iznosila je &lt; 10% i kod najvećeg broja ispitanika, prijavljena neželjena dejstva su bila blagog do srednjeg intenziteta.</w:t>
            </w:r>
          </w:p>
          <w:bookmarkEnd w:id="3"/>
          <w:bookmarkEnd w:id="4"/>
          <w:p w:rsidR="00CF4D6C" w:rsidRPr="00CF4D6C" w:rsidRDefault="00CF4D6C" w:rsidP="005558C4">
            <w:pPr>
              <w:rPr>
                <w:sz w:val="22"/>
                <w:szCs w:val="22"/>
              </w:rPr>
            </w:pPr>
          </w:p>
          <w:p w:rsidR="00CF4D6C" w:rsidRPr="00CF4D6C" w:rsidRDefault="00CF4D6C" w:rsidP="005558C4">
            <w:pPr>
              <w:spacing w:line="276" w:lineRule="auto"/>
              <w:rPr>
                <w:sz w:val="22"/>
                <w:szCs w:val="22"/>
                <w:u w:val="single"/>
              </w:rPr>
            </w:pPr>
            <w:r w:rsidRPr="00CF4D6C">
              <w:rPr>
                <w:sz w:val="22"/>
                <w:szCs w:val="22"/>
                <w:u w:val="single"/>
              </w:rPr>
              <w:t>Prijavljivanje sumnji na neželjena dejstva</w:t>
            </w:r>
          </w:p>
          <w:p w:rsidR="00CF4D6C" w:rsidRPr="00CF4D6C" w:rsidRDefault="00CF4D6C" w:rsidP="005558C4">
            <w:pPr>
              <w:spacing w:line="276" w:lineRule="auto"/>
              <w:rPr>
                <w:sz w:val="22"/>
                <w:szCs w:val="22"/>
              </w:rPr>
            </w:pPr>
            <w:r w:rsidRPr="00CF4D6C">
              <w:rPr>
                <w:sz w:val="22"/>
                <w:szCs w:val="22"/>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CF4D6C" w:rsidRPr="00CF4D6C" w:rsidRDefault="00CF4D6C" w:rsidP="005558C4">
            <w:pPr>
              <w:spacing w:line="276" w:lineRule="auto"/>
              <w:rPr>
                <w:sz w:val="22"/>
                <w:szCs w:val="22"/>
              </w:rPr>
            </w:pPr>
          </w:p>
          <w:p w:rsidR="00CF4D6C" w:rsidRPr="00CF4D6C" w:rsidRDefault="00CF4D6C" w:rsidP="005558C4">
            <w:pPr>
              <w:spacing w:line="276" w:lineRule="auto"/>
              <w:rPr>
                <w:sz w:val="22"/>
                <w:szCs w:val="22"/>
              </w:rPr>
            </w:pPr>
            <w:r w:rsidRPr="00CF4D6C">
              <w:rPr>
                <w:sz w:val="22"/>
                <w:szCs w:val="22"/>
              </w:rPr>
              <w:t>Agencija za ljekove i medicinska sredstva Crne Gore</w:t>
            </w:r>
          </w:p>
          <w:p w:rsidR="00CF4D6C" w:rsidRPr="00CF4D6C" w:rsidRDefault="00CF4D6C" w:rsidP="005558C4">
            <w:pPr>
              <w:spacing w:line="276" w:lineRule="auto"/>
              <w:rPr>
                <w:sz w:val="22"/>
                <w:szCs w:val="22"/>
              </w:rPr>
            </w:pPr>
            <w:r w:rsidRPr="00CF4D6C">
              <w:rPr>
                <w:sz w:val="22"/>
                <w:szCs w:val="22"/>
              </w:rPr>
              <w:t>Odjeljenje za farmakovigilancu</w:t>
            </w:r>
          </w:p>
          <w:p w:rsidR="00CF4D6C" w:rsidRPr="00CF4D6C" w:rsidRDefault="00CF4D6C" w:rsidP="005558C4">
            <w:pPr>
              <w:spacing w:line="276" w:lineRule="auto"/>
              <w:rPr>
                <w:sz w:val="22"/>
                <w:szCs w:val="22"/>
              </w:rPr>
            </w:pPr>
            <w:r w:rsidRPr="00CF4D6C">
              <w:rPr>
                <w:sz w:val="22"/>
                <w:szCs w:val="22"/>
              </w:rPr>
              <w:t>Bulevar Ivana Crnojevića 64a, 81000 Podgorica</w:t>
            </w:r>
          </w:p>
          <w:p w:rsidR="00CF4D6C" w:rsidRPr="00CF4D6C" w:rsidRDefault="00CF4D6C" w:rsidP="005558C4">
            <w:pPr>
              <w:spacing w:line="276" w:lineRule="auto"/>
              <w:rPr>
                <w:sz w:val="22"/>
                <w:szCs w:val="22"/>
              </w:rPr>
            </w:pPr>
          </w:p>
          <w:p w:rsidR="00CF4D6C" w:rsidRPr="00CF4D6C" w:rsidRDefault="00CF4D6C" w:rsidP="005558C4">
            <w:pPr>
              <w:spacing w:line="276" w:lineRule="auto"/>
              <w:rPr>
                <w:sz w:val="22"/>
                <w:szCs w:val="22"/>
              </w:rPr>
            </w:pPr>
            <w:r w:rsidRPr="00CF4D6C">
              <w:rPr>
                <w:sz w:val="22"/>
                <w:szCs w:val="22"/>
              </w:rPr>
              <w:t>tel: +382 (0) 20 310 280</w:t>
            </w:r>
          </w:p>
          <w:p w:rsidR="00CF4D6C" w:rsidRPr="00CF4D6C" w:rsidRDefault="00CF4D6C" w:rsidP="005558C4">
            <w:pPr>
              <w:spacing w:line="276" w:lineRule="auto"/>
              <w:rPr>
                <w:sz w:val="22"/>
                <w:szCs w:val="22"/>
              </w:rPr>
            </w:pPr>
            <w:r w:rsidRPr="00CF4D6C">
              <w:rPr>
                <w:sz w:val="22"/>
                <w:szCs w:val="22"/>
              </w:rPr>
              <w:t>fax:+382 (0) 20 310 581</w:t>
            </w:r>
          </w:p>
          <w:p w:rsidR="00CF4D6C" w:rsidRPr="00CF4D6C" w:rsidRDefault="00CF4D6C" w:rsidP="005558C4">
            <w:pPr>
              <w:spacing w:line="276" w:lineRule="auto"/>
              <w:rPr>
                <w:sz w:val="22"/>
                <w:szCs w:val="22"/>
              </w:rPr>
            </w:pPr>
          </w:p>
          <w:p w:rsidR="00CF4D6C" w:rsidRPr="00CF4D6C" w:rsidRDefault="00CF4D6C" w:rsidP="005558C4">
            <w:pPr>
              <w:spacing w:line="276" w:lineRule="auto"/>
              <w:rPr>
                <w:sz w:val="22"/>
                <w:szCs w:val="22"/>
              </w:rPr>
            </w:pPr>
            <w:hyperlink r:id="rId8" w:history="1">
              <w:r w:rsidRPr="00CF4D6C">
                <w:rPr>
                  <w:sz w:val="22"/>
                  <w:szCs w:val="22"/>
                </w:rPr>
                <w:t>www.calims.me</w:t>
              </w:r>
            </w:hyperlink>
          </w:p>
          <w:p w:rsidR="00CF4D6C" w:rsidRPr="00CF4D6C" w:rsidRDefault="00CF4D6C" w:rsidP="005558C4">
            <w:pPr>
              <w:spacing w:line="276" w:lineRule="auto"/>
              <w:rPr>
                <w:sz w:val="22"/>
                <w:szCs w:val="22"/>
              </w:rPr>
            </w:pPr>
            <w:hyperlink r:id="rId9" w:history="1">
              <w:r w:rsidRPr="00CF4D6C">
                <w:rPr>
                  <w:sz w:val="22"/>
                  <w:szCs w:val="22"/>
                </w:rPr>
                <w:t>nezeljenadejstva@calims.me</w:t>
              </w:r>
            </w:hyperlink>
          </w:p>
          <w:p w:rsidR="00CF4D6C" w:rsidRPr="00CF4D6C" w:rsidRDefault="00CF4D6C" w:rsidP="005558C4">
            <w:pPr>
              <w:spacing w:line="276" w:lineRule="auto"/>
              <w:rPr>
                <w:sz w:val="22"/>
                <w:szCs w:val="22"/>
              </w:rPr>
            </w:pPr>
          </w:p>
          <w:p w:rsidR="00CF4D6C" w:rsidRPr="00CF4D6C" w:rsidRDefault="00CF4D6C" w:rsidP="005558C4">
            <w:pPr>
              <w:rPr>
                <w:sz w:val="22"/>
                <w:szCs w:val="22"/>
              </w:rPr>
            </w:pPr>
            <w:r w:rsidRPr="00CF4D6C">
              <w:rPr>
                <w:sz w:val="22"/>
                <w:szCs w:val="22"/>
              </w:rPr>
              <w:t>putem IS zdravstvene zaštite</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lastRenderedPageBreak/>
              <w:t>4.9. Predoziranje</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pStyle w:val="Header"/>
              <w:tabs>
                <w:tab w:val="left" w:pos="284"/>
              </w:tabs>
              <w:rPr>
                <w:sz w:val="22"/>
                <w:szCs w:val="22"/>
              </w:rPr>
            </w:pPr>
            <w:r w:rsidRPr="00CF4D6C">
              <w:rPr>
                <w:sz w:val="22"/>
                <w:szCs w:val="22"/>
              </w:rPr>
              <w:t xml:space="preserve">Postoje izvještaji o primjeni većih doza vakcine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 xml:space="preserve">od preporučenih. Uglavnom je profil neželjenih dejstava opisan kod predoziranja odgovarao profilu opisanom kod upotrebe preporučenih pojedinačnih doza vakcine </w:t>
            </w:r>
            <w:r w:rsidRPr="00CF4D6C">
              <w:rPr>
                <w:b/>
                <w:sz w:val="22"/>
                <w:szCs w:val="22"/>
              </w:rPr>
              <w:t>GARDASIL</w:t>
            </w:r>
            <w:r w:rsidRPr="00CF4D6C">
              <w:rPr>
                <w:b/>
                <w:sz w:val="22"/>
                <w:szCs w:val="22"/>
                <w:vertAlign w:val="superscript"/>
              </w:rPr>
              <w:t>®</w:t>
            </w:r>
            <w:r w:rsidRPr="00CF4D6C">
              <w:rPr>
                <w:sz w:val="22"/>
                <w:szCs w:val="22"/>
              </w:rPr>
              <w:t>.</w:t>
            </w:r>
          </w:p>
        </w:tc>
      </w:tr>
      <w:tr w:rsidR="00CF4D6C" w:rsidRPr="00CF4D6C" w:rsidTr="005558C4">
        <w:tblPrEx>
          <w:tblCellMar>
            <w:top w:w="0" w:type="dxa"/>
            <w:bottom w:w="0" w:type="dxa"/>
          </w:tblCellMar>
        </w:tblPrEx>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5. FARMAKOLOŠKI PODACI</w:t>
            </w: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5.1. Farmakodinamski podaci</w:t>
            </w:r>
          </w:p>
        </w:tc>
      </w:tr>
      <w:tr w:rsidR="00CF4D6C" w:rsidRPr="00CF4D6C" w:rsidTr="005558C4">
        <w:tblPrEx>
          <w:tblCellMar>
            <w:top w:w="0" w:type="dxa"/>
            <w:bottom w:w="0" w:type="dxa"/>
          </w:tblCellMar>
        </w:tblPrEx>
        <w:trPr>
          <w:trHeight w:val="576"/>
        </w:trPr>
        <w:tc>
          <w:tcPr>
            <w:tcW w:w="2808" w:type="dxa"/>
            <w:gridSpan w:val="3"/>
            <w:vAlign w:val="center"/>
          </w:tcPr>
          <w:p w:rsidR="00CF4D6C" w:rsidRPr="00CF4D6C" w:rsidRDefault="00CF4D6C" w:rsidP="005558C4">
            <w:pPr>
              <w:pStyle w:val="Header"/>
              <w:tabs>
                <w:tab w:val="left" w:pos="284"/>
              </w:tabs>
              <w:rPr>
                <w:b/>
                <w:bCs/>
                <w:sz w:val="22"/>
                <w:szCs w:val="22"/>
              </w:rPr>
            </w:pPr>
            <w:r w:rsidRPr="00CF4D6C">
              <w:rPr>
                <w:b/>
                <w:bCs/>
                <w:sz w:val="22"/>
                <w:szCs w:val="22"/>
              </w:rPr>
              <w:t>Farmakoterapijska grupa:</w:t>
            </w:r>
          </w:p>
        </w:tc>
        <w:tc>
          <w:tcPr>
            <w:tcW w:w="7380" w:type="dxa"/>
            <w:vAlign w:val="center"/>
          </w:tcPr>
          <w:p w:rsidR="00CF4D6C" w:rsidRPr="00CF4D6C" w:rsidRDefault="00CF4D6C" w:rsidP="005558C4">
            <w:pPr>
              <w:pStyle w:val="Header"/>
              <w:tabs>
                <w:tab w:val="left" w:pos="284"/>
              </w:tabs>
              <w:rPr>
                <w:sz w:val="22"/>
                <w:szCs w:val="22"/>
              </w:rPr>
            </w:pPr>
            <w:r w:rsidRPr="00CF4D6C">
              <w:rPr>
                <w:sz w:val="22"/>
                <w:szCs w:val="22"/>
              </w:rPr>
              <w:t>antivirusne vakcine</w:t>
            </w:r>
          </w:p>
        </w:tc>
      </w:tr>
      <w:tr w:rsidR="00CF4D6C" w:rsidRPr="00CF4D6C" w:rsidTr="005558C4">
        <w:tblPrEx>
          <w:tblCellMar>
            <w:top w:w="0" w:type="dxa"/>
            <w:bottom w:w="0" w:type="dxa"/>
          </w:tblCellMar>
        </w:tblPrEx>
        <w:trPr>
          <w:trHeight w:val="542"/>
        </w:trPr>
        <w:tc>
          <w:tcPr>
            <w:tcW w:w="1188" w:type="dxa"/>
            <w:gridSpan w:val="2"/>
            <w:vAlign w:val="center"/>
          </w:tcPr>
          <w:p w:rsidR="00CF4D6C" w:rsidRPr="00CF4D6C" w:rsidRDefault="00CF4D6C" w:rsidP="005558C4">
            <w:pPr>
              <w:pStyle w:val="Header"/>
              <w:tabs>
                <w:tab w:val="left" w:pos="284"/>
              </w:tabs>
              <w:rPr>
                <w:b/>
                <w:bCs/>
                <w:sz w:val="22"/>
                <w:szCs w:val="22"/>
              </w:rPr>
            </w:pPr>
            <w:r w:rsidRPr="00CF4D6C">
              <w:rPr>
                <w:b/>
                <w:bCs/>
                <w:sz w:val="22"/>
                <w:szCs w:val="22"/>
              </w:rPr>
              <w:t>ATC kod:</w:t>
            </w:r>
          </w:p>
        </w:tc>
        <w:tc>
          <w:tcPr>
            <w:tcW w:w="9000" w:type="dxa"/>
            <w:gridSpan w:val="2"/>
            <w:vAlign w:val="center"/>
          </w:tcPr>
          <w:p w:rsidR="00CF4D6C" w:rsidRPr="00CF4D6C" w:rsidRDefault="00CF4D6C" w:rsidP="005558C4">
            <w:pPr>
              <w:pStyle w:val="Header"/>
              <w:tabs>
                <w:tab w:val="left" w:pos="284"/>
              </w:tabs>
              <w:rPr>
                <w:sz w:val="22"/>
                <w:szCs w:val="22"/>
              </w:rPr>
            </w:pPr>
            <w:r w:rsidRPr="00CF4D6C">
              <w:rPr>
                <w:sz w:val="22"/>
                <w:szCs w:val="22"/>
              </w:rPr>
              <w:t>J07BM01</w:t>
            </w:r>
          </w:p>
        </w:tc>
      </w:tr>
      <w:tr w:rsidR="00CF4D6C" w:rsidRPr="00CF4D6C" w:rsidTr="005558C4">
        <w:tblPrEx>
          <w:tblCellMar>
            <w:top w:w="0" w:type="dxa"/>
            <w:bottom w:w="0" w:type="dxa"/>
          </w:tblCellMar>
        </w:tblPrEx>
        <w:trPr>
          <w:trHeight w:val="1145"/>
        </w:trPr>
        <w:tc>
          <w:tcPr>
            <w:tcW w:w="10188" w:type="dxa"/>
            <w:gridSpan w:val="4"/>
            <w:vAlign w:val="center"/>
          </w:tcPr>
          <w:p w:rsidR="00CF4D6C" w:rsidRPr="00CF4D6C" w:rsidRDefault="00CF4D6C" w:rsidP="005558C4">
            <w:pPr>
              <w:pStyle w:val="Header"/>
              <w:tabs>
                <w:tab w:val="left" w:pos="284"/>
              </w:tabs>
              <w:rPr>
                <w:i/>
                <w:sz w:val="22"/>
                <w:szCs w:val="22"/>
              </w:rPr>
            </w:pPr>
            <w:r w:rsidRPr="00CF4D6C">
              <w:rPr>
                <w:i/>
                <w:sz w:val="22"/>
                <w:szCs w:val="22"/>
              </w:rPr>
              <w:t>Mehanizam dejstva</w:t>
            </w:r>
          </w:p>
          <w:p w:rsidR="00CF4D6C" w:rsidRPr="00CF4D6C" w:rsidRDefault="00CF4D6C" w:rsidP="005558C4">
            <w:pPr>
              <w:pStyle w:val="Header"/>
              <w:tabs>
                <w:tab w:val="left" w:pos="284"/>
              </w:tabs>
              <w:rPr>
                <w:b/>
                <w:sz w:val="22"/>
                <w:szCs w:val="22"/>
              </w:rPr>
            </w:pPr>
          </w:p>
          <w:p w:rsidR="00CF4D6C" w:rsidRPr="00CF4D6C" w:rsidRDefault="00CF4D6C" w:rsidP="005558C4">
            <w:pPr>
              <w:pStyle w:val="Header"/>
              <w:tabs>
                <w:tab w:val="left" w:pos="284"/>
              </w:tabs>
              <w:rPr>
                <w:sz w:val="22"/>
                <w:szCs w:val="22"/>
              </w:rPr>
            </w:pPr>
            <w:r w:rsidRPr="00CF4D6C">
              <w:rPr>
                <w:b/>
                <w:sz w:val="22"/>
                <w:szCs w:val="22"/>
              </w:rPr>
              <w:t>GARDASIL</w:t>
            </w:r>
            <w:r w:rsidRPr="00CF4D6C">
              <w:rPr>
                <w:b/>
                <w:sz w:val="22"/>
                <w:szCs w:val="22"/>
                <w:vertAlign w:val="superscript"/>
              </w:rPr>
              <w:t>®</w:t>
            </w:r>
            <w:r w:rsidRPr="00CF4D6C">
              <w:rPr>
                <w:sz w:val="22"/>
                <w:szCs w:val="22"/>
              </w:rPr>
              <w:t xml:space="preserve"> je adjuvantna neinfektivna rekombinantna kvadrivalentna vakcina koja sadrži visoko prečišćene partikule nalik virusu (VLPs) glavnog proteina L1 HPV tipova 6, 11, 16 i 18. VLPs ne sadrže virusnu DNK, tako da ne mogu inficirati ćelije niti se mogu umnožavati ili izazvati bolest. HPV-om se inficiraju ljudi, ali studije na životinjama sa analozima papilomavirusa pokazuju da efikasnost L1 VLP vakcine posreduje u nastanku humoralnog imunog odgovora.</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rPr>
            </w:pPr>
            <w:r w:rsidRPr="00CF4D6C">
              <w:rPr>
                <w:sz w:val="22"/>
                <w:szCs w:val="22"/>
              </w:rPr>
              <w:lastRenderedPageBreak/>
              <w:t>HPV tipovi 16 i 18 su odgovorni za nastanak približno 70% karcinoma grlića materice i 75-80 % karcinoma anusa; 80% adenokarcinoma in situ (AIS), 45-70% intraepitelnih neoplazija grlića materice visokog stepena (CIN 2/3); 25% intraepitelnih neoplazija grlića materice niskog stepena (CIN 1); za nastatnak približno 70% visoko stepenih intraepitelnih neoplazija vulve (VIN 2/3) i vagine (VaIN 2/3) prouzrokovanih HPV  kao i 80% analnih intraepitalnih neoplazija visokog stepena (AIN 2/3) povezanih sa HPV.  HPV 6 i 11 su odgovorni za približno 90% genitalnih kondiloma i 10 % intraepitelnih neoplazija grlića materice niskog stepena (CIN 1). CIN 3 i AIS su prihvaćeni kao neposredni prekursori invazivnog karcinoma grlića materice.</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Termin "premaligne genitalne lezije" u dijelu 4.1. odgovara intraepitelnim neoplazijama grlića materice visokog stepena (CIN 2/3), </w:t>
            </w:r>
            <w:bookmarkStart w:id="5" w:name="OLE_LINK3"/>
            <w:r w:rsidRPr="00CF4D6C">
              <w:rPr>
                <w:sz w:val="22"/>
                <w:szCs w:val="22"/>
              </w:rPr>
              <w:t>intraepitelnim neoplazijama vulve visokog stepena (VIN 2/3</w:t>
            </w:r>
            <w:bookmarkEnd w:id="5"/>
            <w:r w:rsidRPr="00CF4D6C">
              <w:rPr>
                <w:sz w:val="22"/>
                <w:szCs w:val="22"/>
              </w:rPr>
              <w:t>) i  intraepitelnim neoplazijama vagine visokog stepena (VaIN 2/3).</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rPr>
            </w:pPr>
            <w:r w:rsidRPr="00CF4D6C">
              <w:rPr>
                <w:sz w:val="22"/>
                <w:szCs w:val="22"/>
              </w:rPr>
              <w:t>Termin „premaligne analne lezije“ u dijelu 4.1 odgovara analnoj intraepitelnoj neoplaziji visokog stepena (AIN 2/3).</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Indikacija je zasnovana na pokazanoj efikasnosti vakcine </w:t>
            </w:r>
            <w:r w:rsidRPr="00CF4D6C">
              <w:rPr>
                <w:b/>
                <w:sz w:val="22"/>
                <w:szCs w:val="22"/>
              </w:rPr>
              <w:t>GARDASIL</w:t>
            </w:r>
            <w:r w:rsidRPr="00CF4D6C">
              <w:rPr>
                <w:b/>
                <w:sz w:val="22"/>
                <w:szCs w:val="22"/>
                <w:vertAlign w:val="superscript"/>
              </w:rPr>
              <w:t>®</w:t>
            </w:r>
            <w:r w:rsidRPr="00CF4D6C">
              <w:rPr>
                <w:sz w:val="22"/>
                <w:szCs w:val="22"/>
              </w:rPr>
              <w:t xml:space="preserve"> kod žena starosti od 16 do 45 godina i muškaraca starosti od 16 do 26 godina, kao i na pokazanoj imunogenosti vakcine </w:t>
            </w:r>
            <w:r w:rsidRPr="00CF4D6C">
              <w:rPr>
                <w:b/>
                <w:sz w:val="22"/>
                <w:szCs w:val="22"/>
              </w:rPr>
              <w:t>GARDASIL</w:t>
            </w:r>
            <w:r w:rsidRPr="00CF4D6C">
              <w:rPr>
                <w:b/>
                <w:sz w:val="22"/>
                <w:szCs w:val="22"/>
                <w:vertAlign w:val="superscript"/>
              </w:rPr>
              <w:t>®</w:t>
            </w:r>
            <w:r w:rsidRPr="00CF4D6C">
              <w:rPr>
                <w:sz w:val="22"/>
                <w:szCs w:val="22"/>
              </w:rPr>
              <w:t xml:space="preserve"> kod djece i adolescenata starosti od 9 do 15 godina.</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i/>
                <w:sz w:val="22"/>
                <w:szCs w:val="22"/>
              </w:rPr>
            </w:pPr>
            <w:r w:rsidRPr="00CF4D6C">
              <w:rPr>
                <w:i/>
                <w:sz w:val="22"/>
                <w:szCs w:val="22"/>
              </w:rPr>
              <w:t>Kliničke studije</w:t>
            </w:r>
          </w:p>
          <w:p w:rsidR="00CF4D6C" w:rsidRPr="00CF4D6C" w:rsidRDefault="00CF4D6C" w:rsidP="005558C4">
            <w:pPr>
              <w:pStyle w:val="Header"/>
              <w:tabs>
                <w:tab w:val="left" w:pos="284"/>
              </w:tabs>
              <w:rPr>
                <w:i/>
                <w:sz w:val="22"/>
                <w:szCs w:val="22"/>
              </w:rPr>
            </w:pPr>
          </w:p>
          <w:p w:rsidR="00CF4D6C" w:rsidRPr="00CF4D6C" w:rsidRDefault="00CF4D6C" w:rsidP="005558C4">
            <w:pPr>
              <w:rPr>
                <w:sz w:val="22"/>
                <w:szCs w:val="22"/>
                <w:u w:val="single"/>
              </w:rPr>
            </w:pPr>
            <w:r w:rsidRPr="00CF4D6C">
              <w:rPr>
                <w:sz w:val="22"/>
                <w:szCs w:val="22"/>
                <w:u w:val="single"/>
              </w:rPr>
              <w:t>Efikasnost kod žena starosti od 16 do 26 godina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Efikasnost </w:t>
            </w:r>
            <w:bookmarkStart w:id="6" w:name="OLE_LINK4"/>
            <w:r w:rsidRPr="00CF4D6C">
              <w:rPr>
                <w:sz w:val="22"/>
                <w:szCs w:val="22"/>
              </w:rPr>
              <w:t xml:space="preserve">vakcine </w:t>
            </w:r>
            <w:r w:rsidRPr="00CF4D6C">
              <w:rPr>
                <w:b/>
                <w:sz w:val="22"/>
                <w:szCs w:val="22"/>
              </w:rPr>
              <w:t>GARDASIL</w:t>
            </w:r>
            <w:r w:rsidRPr="00CF4D6C">
              <w:rPr>
                <w:b/>
                <w:sz w:val="22"/>
                <w:szCs w:val="22"/>
                <w:vertAlign w:val="superscript"/>
              </w:rPr>
              <w:t>®</w:t>
            </w:r>
            <w:bookmarkEnd w:id="6"/>
            <w:r w:rsidRPr="00CF4D6C">
              <w:rPr>
                <w:sz w:val="22"/>
                <w:szCs w:val="22"/>
                <w:vertAlign w:val="superscript"/>
              </w:rPr>
              <w:t xml:space="preserve"> </w:t>
            </w:r>
            <w:r w:rsidRPr="00CF4D6C">
              <w:rPr>
                <w:sz w:val="22"/>
                <w:szCs w:val="22"/>
              </w:rPr>
              <w:t>procijenjivana je u 4 placebo-kontrolisane, dvostruko-slijepe, randomizovane kliničke studije faze II i III uključujući ukupno 20.541 žena starosti 16-26 godina koje su vakcinisane bez prethodne provjere na postojanje HPV infekcije.</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Primarni cilj je uključivao praćenje efikasnosti vakcine na lezije vulve i vagine izazvane HPV 6, 11, 16, ili 18 (genitalni kondilomi, VIN, VaIN) i CIN bilo kog stepena (protokol 013, FUTURE I), CIN 2/3 i AIS izazvane HPV 16, ili 18 (protokol 015, FUTURE II), i druge trajne infekcije izazvane HPV 6, 11, 16 ili 18 (protokol 007) i trajne infekcije izazvane HPV 16 (protokol 005).</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Rezultati praćenja efikasnosti su prikazani za kombinovane analize protokola studija. Efikasnost vakcine prema CIN 2/3 ili AIS izazvanih HPV 16/18 je zasnovana na podacima iz protokola 005 (ciljevi vezani samo za 16), 007, 013 i 015. Srednji period praćenja bio je 4.0, 3.0, 3.0 i 3.0 godine za protokole 005, 007, 013 i 015. Srednji period za protokole (005, 007, 013 i 015) bio je 3,6 godina praćenja za kombinovane. Efikasnost u slučaju svih drugih ciljeva je zasnovana na protokolima 007, 013 i 015. Rezultati dobijeni u pojedinačnim studijama podržavaju rezultate iz kombinovanih analiza. </w:t>
            </w:r>
            <w:r w:rsidRPr="00CF4D6C">
              <w:rPr>
                <w:b/>
                <w:sz w:val="22"/>
                <w:szCs w:val="22"/>
              </w:rPr>
              <w:t>GARDASIL</w:t>
            </w:r>
            <w:r w:rsidRPr="00CF4D6C">
              <w:rPr>
                <w:b/>
                <w:sz w:val="22"/>
                <w:szCs w:val="22"/>
                <w:vertAlign w:val="superscript"/>
              </w:rPr>
              <w:t>®</w:t>
            </w:r>
            <w:r w:rsidRPr="00CF4D6C">
              <w:rPr>
                <w:sz w:val="22"/>
                <w:szCs w:val="22"/>
              </w:rPr>
              <w:t xml:space="preserve"> je pokazao efikasnost protiv oboljenja izazvanih bilo kojom od četiri vrste HPV.  Na kraju studije, ispitanici uključeni u dvije studije faze III (protokol 013 i Protokol 015) praćeni su do 4 godine (u prosjeku 3,7 godina).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Intraepitelna neoplazija grlića materice (CIN) stepena 2/3 (displazija umjerenog do visokog stepena) i adenokarcinom </w:t>
            </w:r>
            <w:r w:rsidRPr="00CF4D6C">
              <w:rPr>
                <w:i/>
                <w:sz w:val="22"/>
                <w:szCs w:val="22"/>
              </w:rPr>
              <w:t xml:space="preserve">in situ </w:t>
            </w:r>
            <w:r w:rsidRPr="00CF4D6C">
              <w:rPr>
                <w:sz w:val="22"/>
                <w:szCs w:val="22"/>
              </w:rPr>
              <w:t>(AIS) je korišćena u kliničkim studijama kao surogat marker za karcinom grlića materice.</w:t>
            </w:r>
          </w:p>
          <w:p w:rsidR="00CF4D6C" w:rsidRPr="00CF4D6C" w:rsidRDefault="00CF4D6C" w:rsidP="005558C4">
            <w:pPr>
              <w:rPr>
                <w:i/>
                <w:sz w:val="22"/>
                <w:szCs w:val="22"/>
              </w:rPr>
            </w:pPr>
          </w:p>
          <w:p w:rsidR="00CF4D6C" w:rsidRPr="00CF4D6C" w:rsidRDefault="00CF4D6C" w:rsidP="005558C4">
            <w:pPr>
              <w:rPr>
                <w:sz w:val="22"/>
                <w:szCs w:val="22"/>
                <w:u w:val="single"/>
              </w:rPr>
            </w:pPr>
            <w:r w:rsidRPr="00CF4D6C">
              <w:rPr>
                <w:sz w:val="22"/>
                <w:szCs w:val="22"/>
                <w:u w:val="single"/>
              </w:rPr>
              <w:t>Efikasnost kod žena bez infekcije HPV tipovima 6, 11, 16 ili 18</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Primarna analiza efikasnosti sprovedena je u vidu praćenja efikasnosti u odnosu na tipove HPV - 6, 11, 16 ili 18 u populaciji po protokolu (PPE), koja se sastojala od osoba koje su dobile sve 3 doze vakcine u roku od 1 godine </w:t>
            </w:r>
            <w:r w:rsidRPr="00CF4D6C">
              <w:rPr>
                <w:sz w:val="22"/>
                <w:szCs w:val="22"/>
              </w:rPr>
              <w:lastRenderedPageBreak/>
              <w:t>od uključivanja u studiju, koje nijesu pokazale veliko odstupanje od studijskog protokola i nijesu bile izložene odgovarajućim HPV tipovima prije doze jedan kao ni tokom mjesec dana poslije doze 3 (7. mjesec). Efikasnost je mjerena počev od posjete u 7. mjesecu. Ukupno, 73% pojedinaca je bilo bez infekcije (PCR negativni i seronegativni) na sva četiri tipa HPV tokom uključivanja.</w:t>
            </w:r>
          </w:p>
          <w:p w:rsidR="00CF4D6C" w:rsidRPr="00CF4D6C" w:rsidRDefault="00CF4D6C" w:rsidP="005558C4">
            <w:pPr>
              <w:widowControl w:val="0"/>
              <w:rPr>
                <w:sz w:val="22"/>
                <w:szCs w:val="22"/>
                <w:u w:val="single"/>
              </w:rPr>
            </w:pPr>
            <w:r w:rsidRPr="00CF4D6C">
              <w:rPr>
                <w:sz w:val="22"/>
                <w:szCs w:val="22"/>
              </w:rPr>
              <w:t xml:space="preserve"> </w:t>
            </w:r>
          </w:p>
          <w:p w:rsidR="00CF4D6C" w:rsidRPr="00CF4D6C" w:rsidRDefault="00CF4D6C" w:rsidP="005558C4">
            <w:pPr>
              <w:pStyle w:val="Header"/>
              <w:tabs>
                <w:tab w:val="left" w:pos="284"/>
              </w:tabs>
              <w:rPr>
                <w:sz w:val="22"/>
                <w:szCs w:val="22"/>
              </w:rPr>
            </w:pPr>
            <w:r w:rsidRPr="00CF4D6C">
              <w:rPr>
                <w:sz w:val="22"/>
                <w:szCs w:val="22"/>
              </w:rPr>
              <w:t>Rezultati efikasnosti za relevantne ciljeve analizirane u 2. godini po upisu i na kraju studije (srednje trajanje praćenja 3,6 godina)  populaciji po protokolu prikazani su u tabeli 2.</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U suplementnoj analizi, efikasnost vakcine </w:t>
            </w:r>
            <w:r w:rsidRPr="00CF4D6C">
              <w:rPr>
                <w:b/>
                <w:sz w:val="22"/>
                <w:szCs w:val="22"/>
              </w:rPr>
              <w:t>GARDASIL</w:t>
            </w:r>
            <w:r w:rsidRPr="00CF4D6C">
              <w:rPr>
                <w:b/>
                <w:sz w:val="22"/>
                <w:szCs w:val="22"/>
                <w:vertAlign w:val="superscript"/>
              </w:rPr>
              <w:t>®</w:t>
            </w:r>
            <w:r w:rsidRPr="00CF4D6C">
              <w:rPr>
                <w:sz w:val="22"/>
                <w:szCs w:val="22"/>
              </w:rPr>
              <w:t xml:space="preserve"> je procjenjivana na osnovu CIN 3 i AIS izazvanih HPV 16/18.</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b/>
                <w:i/>
                <w:sz w:val="22"/>
                <w:szCs w:val="22"/>
              </w:rPr>
            </w:pPr>
            <w:r w:rsidRPr="00CF4D6C">
              <w:rPr>
                <w:b/>
                <w:i/>
                <w:sz w:val="22"/>
                <w:szCs w:val="22"/>
              </w:rPr>
              <w:t>Tabela 2: Analiza efikasnosti vakcine GARDASIL</w:t>
            </w:r>
            <w:r w:rsidRPr="00CF4D6C">
              <w:rPr>
                <w:b/>
                <w:i/>
                <w:sz w:val="22"/>
                <w:szCs w:val="22"/>
                <w:vertAlign w:val="superscript"/>
              </w:rPr>
              <w:t>®</w:t>
            </w:r>
            <w:r w:rsidRPr="00CF4D6C">
              <w:rPr>
                <w:sz w:val="22"/>
                <w:szCs w:val="22"/>
                <w:vertAlign w:val="superscript"/>
              </w:rPr>
              <w:t xml:space="preserve"> </w:t>
            </w:r>
            <w:r w:rsidRPr="00CF4D6C">
              <w:rPr>
                <w:b/>
                <w:i/>
                <w:sz w:val="22"/>
                <w:szCs w:val="22"/>
              </w:rPr>
              <w:t>protiv visokostepenih lezija na grliću materice u PPE populaciji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1255"/>
              <w:gridCol w:w="1164"/>
              <w:gridCol w:w="1299"/>
              <w:gridCol w:w="1138"/>
              <w:gridCol w:w="1283"/>
              <w:gridCol w:w="1484"/>
              <w:tblGridChange w:id="7">
                <w:tblGrid>
                  <w:gridCol w:w="2339"/>
                  <w:gridCol w:w="1255"/>
                  <w:gridCol w:w="1164"/>
                  <w:gridCol w:w="1299"/>
                  <w:gridCol w:w="1138"/>
                  <w:gridCol w:w="1283"/>
                  <w:gridCol w:w="1484"/>
                </w:tblGrid>
              </w:tblGridChange>
            </w:tblGrid>
            <w:tr w:rsidR="00CF4D6C" w:rsidRPr="00CF4D6C" w:rsidTr="005558C4">
              <w:trPr>
                <w:cantSplit/>
                <w:jc w:val="center"/>
              </w:trPr>
              <w:tc>
                <w:tcPr>
                  <w:tcW w:w="1174" w:type="pct"/>
                  <w:tcBorders>
                    <w:top w:val="single" w:sz="4" w:space="0" w:color="auto"/>
                    <w:left w:val="single" w:sz="4" w:space="0" w:color="auto"/>
                    <w:bottom w:val="nil"/>
                  </w:tcBorders>
                </w:tcPr>
                <w:p w:rsidR="00CF4D6C" w:rsidRPr="00CF4D6C" w:rsidRDefault="00CF4D6C" w:rsidP="005558C4">
                  <w:pPr>
                    <w:rPr>
                      <w:b/>
                      <w:bCs/>
                      <w:iCs/>
                      <w:sz w:val="22"/>
                      <w:szCs w:val="22"/>
                    </w:rPr>
                  </w:pPr>
                </w:p>
              </w:tc>
              <w:tc>
                <w:tcPr>
                  <w:tcW w:w="630" w:type="pct"/>
                  <w:tcBorders>
                    <w:top w:val="single" w:sz="4" w:space="0" w:color="auto"/>
                  </w:tcBorders>
                </w:tcPr>
                <w:p w:rsidR="00CF4D6C" w:rsidRPr="00CF4D6C" w:rsidRDefault="00CF4D6C" w:rsidP="005558C4">
                  <w:pPr>
                    <w:jc w:val="center"/>
                    <w:rPr>
                      <w:b/>
                      <w:bCs/>
                      <w:iCs/>
                      <w:sz w:val="22"/>
                      <w:szCs w:val="22"/>
                    </w:rPr>
                  </w:pPr>
                  <w:r w:rsidRPr="00CF4D6C">
                    <w:rPr>
                      <w:b/>
                      <w:bCs/>
                      <w:sz w:val="22"/>
                      <w:szCs w:val="22"/>
                    </w:rPr>
                    <w:t>Gardasil</w:t>
                  </w:r>
                </w:p>
              </w:tc>
              <w:tc>
                <w:tcPr>
                  <w:tcW w:w="584" w:type="pct"/>
                  <w:tcBorders>
                    <w:top w:val="single" w:sz="4" w:space="0" w:color="auto"/>
                  </w:tcBorders>
                </w:tcPr>
                <w:p w:rsidR="00CF4D6C" w:rsidRPr="00CF4D6C" w:rsidRDefault="00CF4D6C" w:rsidP="005558C4">
                  <w:pPr>
                    <w:jc w:val="center"/>
                    <w:rPr>
                      <w:b/>
                      <w:bCs/>
                      <w:iCs/>
                      <w:sz w:val="22"/>
                      <w:szCs w:val="22"/>
                    </w:rPr>
                  </w:pPr>
                  <w:r w:rsidRPr="00CF4D6C">
                    <w:rPr>
                      <w:b/>
                      <w:bCs/>
                      <w:sz w:val="22"/>
                      <w:szCs w:val="22"/>
                    </w:rPr>
                    <w:t>Placebo</w:t>
                  </w:r>
                </w:p>
              </w:tc>
              <w:tc>
                <w:tcPr>
                  <w:tcW w:w="652" w:type="pct"/>
                  <w:vMerge w:val="restart"/>
                  <w:tcBorders>
                    <w:top w:val="single" w:sz="4" w:space="0" w:color="auto"/>
                    <w:right w:val="single" w:sz="18" w:space="0" w:color="auto"/>
                  </w:tcBorders>
                  <w:vAlign w:val="center"/>
                </w:tcPr>
                <w:p w:rsidR="00CF4D6C" w:rsidRPr="00CF4D6C" w:rsidRDefault="00CF4D6C" w:rsidP="005558C4">
                  <w:pPr>
                    <w:jc w:val="center"/>
                    <w:rPr>
                      <w:b/>
                      <w:bCs/>
                      <w:sz w:val="22"/>
                      <w:szCs w:val="22"/>
                    </w:rPr>
                  </w:pPr>
                  <w:r w:rsidRPr="00CF4D6C">
                    <w:rPr>
                      <w:b/>
                      <w:bCs/>
                      <w:sz w:val="22"/>
                      <w:szCs w:val="22"/>
                    </w:rPr>
                    <w:t>% Efikasnost</w:t>
                  </w:r>
                </w:p>
                <w:p w:rsidR="00CF4D6C" w:rsidRPr="00CF4D6C" w:rsidRDefault="00CF4D6C" w:rsidP="005558C4">
                  <w:pPr>
                    <w:jc w:val="center"/>
                    <w:rPr>
                      <w:b/>
                      <w:bCs/>
                      <w:sz w:val="22"/>
                      <w:szCs w:val="22"/>
                    </w:rPr>
                  </w:pPr>
                  <w:r w:rsidRPr="00CF4D6C">
                    <w:rPr>
                      <w:b/>
                      <w:bCs/>
                      <w:sz w:val="22"/>
                      <w:szCs w:val="22"/>
                    </w:rPr>
                    <w:t>poslije 2 godine</w:t>
                  </w:r>
                </w:p>
                <w:p w:rsidR="00CF4D6C" w:rsidRPr="00CF4D6C" w:rsidRDefault="00CF4D6C" w:rsidP="005558C4">
                  <w:pPr>
                    <w:jc w:val="center"/>
                    <w:rPr>
                      <w:b/>
                      <w:bCs/>
                      <w:iCs/>
                      <w:sz w:val="22"/>
                      <w:szCs w:val="22"/>
                    </w:rPr>
                  </w:pPr>
                  <w:r w:rsidRPr="00CF4D6C">
                    <w:rPr>
                      <w:b/>
                      <w:bCs/>
                      <w:sz w:val="22"/>
                      <w:szCs w:val="22"/>
                    </w:rPr>
                    <w:t>(95% CI)</w:t>
                  </w:r>
                </w:p>
              </w:tc>
              <w:tc>
                <w:tcPr>
                  <w:tcW w:w="571" w:type="pct"/>
                  <w:tcBorders>
                    <w:top w:val="single" w:sz="4" w:space="0" w:color="auto"/>
                    <w:left w:val="single" w:sz="18" w:space="0" w:color="auto"/>
                    <w:bottom w:val="single" w:sz="4" w:space="0" w:color="auto"/>
                  </w:tcBorders>
                </w:tcPr>
                <w:p w:rsidR="00CF4D6C" w:rsidRPr="00CF4D6C" w:rsidRDefault="00CF4D6C" w:rsidP="005558C4">
                  <w:pPr>
                    <w:jc w:val="center"/>
                    <w:rPr>
                      <w:b/>
                      <w:bCs/>
                      <w:iCs/>
                      <w:sz w:val="22"/>
                      <w:szCs w:val="22"/>
                    </w:rPr>
                  </w:pPr>
                  <w:r w:rsidRPr="00CF4D6C">
                    <w:rPr>
                      <w:b/>
                      <w:bCs/>
                      <w:sz w:val="22"/>
                      <w:szCs w:val="22"/>
                    </w:rPr>
                    <w:t>Gardasil</w:t>
                  </w:r>
                </w:p>
              </w:tc>
              <w:tc>
                <w:tcPr>
                  <w:tcW w:w="644" w:type="pct"/>
                  <w:tcBorders>
                    <w:top w:val="single" w:sz="4" w:space="0" w:color="auto"/>
                  </w:tcBorders>
                </w:tcPr>
                <w:p w:rsidR="00CF4D6C" w:rsidRPr="00CF4D6C" w:rsidRDefault="00CF4D6C" w:rsidP="005558C4">
                  <w:pPr>
                    <w:jc w:val="center"/>
                    <w:rPr>
                      <w:b/>
                      <w:bCs/>
                      <w:iCs/>
                      <w:sz w:val="22"/>
                      <w:szCs w:val="22"/>
                    </w:rPr>
                  </w:pPr>
                  <w:r w:rsidRPr="00CF4D6C">
                    <w:rPr>
                      <w:b/>
                      <w:bCs/>
                      <w:sz w:val="22"/>
                      <w:szCs w:val="22"/>
                    </w:rPr>
                    <w:t>Placebo</w:t>
                  </w:r>
                </w:p>
              </w:tc>
              <w:tc>
                <w:tcPr>
                  <w:tcW w:w="745" w:type="pct"/>
                  <w:vMerge w:val="restart"/>
                  <w:tcBorders>
                    <w:top w:val="single" w:sz="4" w:space="0" w:color="auto"/>
                  </w:tcBorders>
                  <w:vAlign w:val="center"/>
                </w:tcPr>
                <w:p w:rsidR="00CF4D6C" w:rsidRPr="00CF4D6C" w:rsidRDefault="00CF4D6C" w:rsidP="005558C4">
                  <w:pPr>
                    <w:jc w:val="center"/>
                    <w:rPr>
                      <w:b/>
                      <w:bCs/>
                      <w:sz w:val="22"/>
                      <w:szCs w:val="22"/>
                    </w:rPr>
                  </w:pPr>
                  <w:r w:rsidRPr="00CF4D6C">
                    <w:rPr>
                      <w:b/>
                      <w:bCs/>
                      <w:sz w:val="22"/>
                      <w:szCs w:val="22"/>
                    </w:rPr>
                    <w:t>% Efikasnost***</w:t>
                  </w:r>
                </w:p>
                <w:p w:rsidR="00CF4D6C" w:rsidRPr="00CF4D6C" w:rsidRDefault="00CF4D6C" w:rsidP="005558C4">
                  <w:pPr>
                    <w:jc w:val="center"/>
                    <w:rPr>
                      <w:b/>
                      <w:bCs/>
                      <w:sz w:val="22"/>
                      <w:szCs w:val="22"/>
                    </w:rPr>
                  </w:pPr>
                  <w:r w:rsidRPr="00CF4D6C">
                    <w:rPr>
                      <w:b/>
                      <w:bCs/>
                      <w:sz w:val="22"/>
                      <w:szCs w:val="22"/>
                    </w:rPr>
                    <w:t>na kraju studije</w:t>
                  </w:r>
                </w:p>
                <w:p w:rsidR="00CF4D6C" w:rsidRPr="00CF4D6C" w:rsidRDefault="00CF4D6C" w:rsidP="005558C4">
                  <w:pPr>
                    <w:jc w:val="center"/>
                    <w:rPr>
                      <w:b/>
                      <w:bCs/>
                      <w:iCs/>
                      <w:sz w:val="22"/>
                      <w:szCs w:val="22"/>
                    </w:rPr>
                  </w:pPr>
                  <w:r w:rsidRPr="00CF4D6C">
                    <w:rPr>
                      <w:b/>
                      <w:bCs/>
                      <w:sz w:val="22"/>
                      <w:szCs w:val="22"/>
                    </w:rPr>
                    <w:t xml:space="preserve"> (95% CI)</w:t>
                  </w:r>
                </w:p>
              </w:tc>
            </w:tr>
            <w:tr w:rsidR="00CF4D6C" w:rsidRPr="00CF4D6C" w:rsidTr="005558C4">
              <w:trPr>
                <w:cantSplit/>
                <w:jc w:val="center"/>
              </w:trPr>
              <w:tc>
                <w:tcPr>
                  <w:tcW w:w="1174" w:type="pct"/>
                  <w:tcBorders>
                    <w:top w:val="nil"/>
                    <w:left w:val="single" w:sz="4" w:space="0" w:color="auto"/>
                  </w:tcBorders>
                </w:tcPr>
                <w:p w:rsidR="00CF4D6C" w:rsidRPr="00CF4D6C" w:rsidRDefault="00CF4D6C" w:rsidP="005558C4">
                  <w:pPr>
                    <w:rPr>
                      <w:b/>
                      <w:bCs/>
                      <w:iCs/>
                      <w:sz w:val="22"/>
                      <w:szCs w:val="22"/>
                    </w:rPr>
                  </w:pPr>
                </w:p>
              </w:tc>
              <w:tc>
                <w:tcPr>
                  <w:tcW w:w="630" w:type="pct"/>
                </w:tcPr>
                <w:p w:rsidR="00CF4D6C" w:rsidRPr="00CF4D6C" w:rsidRDefault="00CF4D6C" w:rsidP="005558C4">
                  <w:pPr>
                    <w:pBdr>
                      <w:bottom w:val="single" w:sz="6" w:space="1" w:color="auto"/>
                    </w:pBdr>
                    <w:jc w:val="center"/>
                    <w:rPr>
                      <w:b/>
                      <w:bCs/>
                      <w:sz w:val="22"/>
                      <w:szCs w:val="22"/>
                    </w:rPr>
                  </w:pPr>
                  <w:r w:rsidRPr="00CF4D6C">
                    <w:rPr>
                      <w:b/>
                      <w:bCs/>
                      <w:sz w:val="22"/>
                      <w:szCs w:val="22"/>
                    </w:rPr>
                    <w:t>Broj slučajeva</w:t>
                  </w:r>
                </w:p>
                <w:p w:rsidR="00CF4D6C" w:rsidRPr="00CF4D6C" w:rsidRDefault="00CF4D6C" w:rsidP="005558C4">
                  <w:pPr>
                    <w:jc w:val="center"/>
                    <w:rPr>
                      <w:b/>
                      <w:bCs/>
                      <w:sz w:val="22"/>
                      <w:szCs w:val="22"/>
                    </w:rPr>
                  </w:pPr>
                  <w:r w:rsidRPr="00CF4D6C">
                    <w:rPr>
                      <w:b/>
                      <w:bCs/>
                      <w:sz w:val="22"/>
                      <w:szCs w:val="22"/>
                    </w:rPr>
                    <w:t>Broj subjekata*</w:t>
                  </w:r>
                </w:p>
              </w:tc>
              <w:tc>
                <w:tcPr>
                  <w:tcW w:w="584" w:type="pct"/>
                </w:tcPr>
                <w:p w:rsidR="00CF4D6C" w:rsidRPr="00CF4D6C" w:rsidRDefault="00CF4D6C" w:rsidP="005558C4">
                  <w:pPr>
                    <w:pBdr>
                      <w:bottom w:val="single" w:sz="6" w:space="1" w:color="auto"/>
                    </w:pBdr>
                    <w:jc w:val="center"/>
                    <w:rPr>
                      <w:b/>
                      <w:bCs/>
                      <w:sz w:val="22"/>
                      <w:szCs w:val="22"/>
                    </w:rPr>
                  </w:pPr>
                  <w:r w:rsidRPr="00CF4D6C">
                    <w:rPr>
                      <w:b/>
                      <w:bCs/>
                      <w:sz w:val="22"/>
                      <w:szCs w:val="22"/>
                    </w:rPr>
                    <w:t>Broj slučajeva</w:t>
                  </w:r>
                </w:p>
                <w:p w:rsidR="00CF4D6C" w:rsidRPr="00CF4D6C" w:rsidRDefault="00CF4D6C" w:rsidP="005558C4">
                  <w:pPr>
                    <w:jc w:val="center"/>
                    <w:rPr>
                      <w:b/>
                      <w:bCs/>
                      <w:sz w:val="22"/>
                      <w:szCs w:val="22"/>
                    </w:rPr>
                  </w:pPr>
                  <w:r w:rsidRPr="00CF4D6C">
                    <w:rPr>
                      <w:b/>
                      <w:bCs/>
                      <w:sz w:val="22"/>
                      <w:szCs w:val="22"/>
                    </w:rPr>
                    <w:t>Broj subjekata*</w:t>
                  </w:r>
                </w:p>
              </w:tc>
              <w:tc>
                <w:tcPr>
                  <w:tcW w:w="652" w:type="pct"/>
                  <w:vMerge/>
                  <w:tcBorders>
                    <w:right w:val="single" w:sz="18" w:space="0" w:color="auto"/>
                  </w:tcBorders>
                </w:tcPr>
                <w:p w:rsidR="00CF4D6C" w:rsidRPr="00CF4D6C" w:rsidRDefault="00CF4D6C" w:rsidP="005558C4">
                  <w:pPr>
                    <w:jc w:val="center"/>
                    <w:rPr>
                      <w:b/>
                      <w:bCs/>
                      <w:sz w:val="22"/>
                      <w:szCs w:val="22"/>
                    </w:rPr>
                  </w:pPr>
                </w:p>
              </w:tc>
              <w:tc>
                <w:tcPr>
                  <w:tcW w:w="571" w:type="pct"/>
                  <w:tcBorders>
                    <w:left w:val="single" w:sz="18" w:space="0" w:color="auto"/>
                  </w:tcBorders>
                </w:tcPr>
                <w:p w:rsidR="00CF4D6C" w:rsidRPr="00CF4D6C" w:rsidRDefault="00CF4D6C" w:rsidP="005558C4">
                  <w:pPr>
                    <w:pBdr>
                      <w:bottom w:val="single" w:sz="6" w:space="1" w:color="auto"/>
                    </w:pBdr>
                    <w:jc w:val="center"/>
                    <w:rPr>
                      <w:b/>
                      <w:bCs/>
                      <w:sz w:val="22"/>
                      <w:szCs w:val="22"/>
                    </w:rPr>
                  </w:pPr>
                  <w:r w:rsidRPr="00CF4D6C">
                    <w:rPr>
                      <w:b/>
                      <w:bCs/>
                      <w:sz w:val="22"/>
                      <w:szCs w:val="22"/>
                    </w:rPr>
                    <w:t>Broj slučajeva</w:t>
                  </w:r>
                </w:p>
                <w:p w:rsidR="00CF4D6C" w:rsidRPr="00CF4D6C" w:rsidRDefault="00CF4D6C" w:rsidP="005558C4">
                  <w:pPr>
                    <w:jc w:val="center"/>
                    <w:rPr>
                      <w:b/>
                      <w:bCs/>
                      <w:sz w:val="22"/>
                      <w:szCs w:val="22"/>
                    </w:rPr>
                  </w:pPr>
                  <w:r w:rsidRPr="00CF4D6C">
                    <w:rPr>
                      <w:b/>
                      <w:bCs/>
                      <w:sz w:val="22"/>
                      <w:szCs w:val="22"/>
                    </w:rPr>
                    <w:t>Broj subjekata*</w:t>
                  </w:r>
                </w:p>
              </w:tc>
              <w:tc>
                <w:tcPr>
                  <w:tcW w:w="644" w:type="pct"/>
                </w:tcPr>
                <w:p w:rsidR="00CF4D6C" w:rsidRPr="00CF4D6C" w:rsidRDefault="00CF4D6C" w:rsidP="005558C4">
                  <w:pPr>
                    <w:pBdr>
                      <w:bottom w:val="single" w:sz="6" w:space="1" w:color="auto"/>
                    </w:pBdr>
                    <w:jc w:val="center"/>
                    <w:rPr>
                      <w:b/>
                      <w:bCs/>
                      <w:sz w:val="22"/>
                      <w:szCs w:val="22"/>
                    </w:rPr>
                  </w:pPr>
                  <w:r w:rsidRPr="00CF4D6C">
                    <w:rPr>
                      <w:b/>
                      <w:bCs/>
                      <w:sz w:val="22"/>
                      <w:szCs w:val="22"/>
                    </w:rPr>
                    <w:t>Broj slučajeva</w:t>
                  </w:r>
                </w:p>
                <w:p w:rsidR="00CF4D6C" w:rsidRPr="00CF4D6C" w:rsidRDefault="00CF4D6C" w:rsidP="005558C4">
                  <w:pPr>
                    <w:jc w:val="center"/>
                    <w:rPr>
                      <w:b/>
                      <w:bCs/>
                      <w:sz w:val="22"/>
                      <w:szCs w:val="22"/>
                    </w:rPr>
                  </w:pPr>
                  <w:r w:rsidRPr="00CF4D6C">
                    <w:rPr>
                      <w:b/>
                      <w:bCs/>
                      <w:sz w:val="22"/>
                      <w:szCs w:val="22"/>
                    </w:rPr>
                    <w:t>Broj subjekata*</w:t>
                  </w:r>
                </w:p>
              </w:tc>
              <w:tc>
                <w:tcPr>
                  <w:tcW w:w="745" w:type="pct"/>
                  <w:vMerge/>
                </w:tcPr>
                <w:p w:rsidR="00CF4D6C" w:rsidRPr="00CF4D6C" w:rsidRDefault="00CF4D6C" w:rsidP="005558C4">
                  <w:pPr>
                    <w:jc w:val="center"/>
                    <w:rPr>
                      <w:b/>
                      <w:bCs/>
                      <w:sz w:val="22"/>
                      <w:szCs w:val="22"/>
                    </w:rPr>
                  </w:pPr>
                </w:p>
              </w:tc>
            </w:tr>
            <w:tr w:rsidR="00CF4D6C" w:rsidRPr="00CF4D6C" w:rsidTr="005558C4">
              <w:trPr>
                <w:trHeight w:val="545"/>
                <w:jc w:val="center"/>
              </w:trPr>
              <w:tc>
                <w:tcPr>
                  <w:tcW w:w="1174" w:type="pct"/>
                </w:tcPr>
                <w:p w:rsidR="00CF4D6C" w:rsidRPr="00CF4D6C" w:rsidRDefault="00CF4D6C" w:rsidP="005558C4">
                  <w:pPr>
                    <w:rPr>
                      <w:b/>
                      <w:bCs/>
                      <w:iCs/>
                      <w:sz w:val="22"/>
                      <w:szCs w:val="22"/>
                    </w:rPr>
                  </w:pPr>
                  <w:r w:rsidRPr="00CF4D6C">
                    <w:rPr>
                      <w:b/>
                      <w:bCs/>
                      <w:sz w:val="22"/>
                      <w:szCs w:val="22"/>
                    </w:rPr>
                    <w:t>CIN 2/3 ili AIS izazvani HPV 16/18</w:t>
                  </w:r>
                </w:p>
              </w:tc>
              <w:tc>
                <w:tcPr>
                  <w:tcW w:w="630" w:type="pct"/>
                </w:tcPr>
                <w:p w:rsidR="00CF4D6C" w:rsidRPr="00CF4D6C" w:rsidRDefault="00CF4D6C" w:rsidP="005558C4">
                  <w:pPr>
                    <w:pBdr>
                      <w:bottom w:val="single" w:sz="6" w:space="1" w:color="auto"/>
                    </w:pBdr>
                    <w:jc w:val="center"/>
                    <w:rPr>
                      <w:bCs/>
                      <w:sz w:val="22"/>
                      <w:szCs w:val="22"/>
                    </w:rPr>
                  </w:pPr>
                  <w:r w:rsidRPr="00CF4D6C">
                    <w:rPr>
                      <w:bCs/>
                      <w:sz w:val="22"/>
                      <w:szCs w:val="22"/>
                    </w:rPr>
                    <w:t>0</w:t>
                  </w:r>
                </w:p>
                <w:p w:rsidR="00CF4D6C" w:rsidRPr="00CF4D6C" w:rsidRDefault="00CF4D6C" w:rsidP="005558C4">
                  <w:pPr>
                    <w:jc w:val="center"/>
                    <w:rPr>
                      <w:bCs/>
                      <w:sz w:val="22"/>
                      <w:szCs w:val="22"/>
                    </w:rPr>
                  </w:pPr>
                  <w:r w:rsidRPr="00CF4D6C">
                    <w:rPr>
                      <w:bCs/>
                      <w:sz w:val="22"/>
                      <w:szCs w:val="22"/>
                    </w:rPr>
                    <w:t>8487</w:t>
                  </w:r>
                </w:p>
              </w:tc>
              <w:tc>
                <w:tcPr>
                  <w:tcW w:w="584" w:type="pct"/>
                </w:tcPr>
                <w:p w:rsidR="00CF4D6C" w:rsidRPr="00CF4D6C" w:rsidRDefault="00CF4D6C" w:rsidP="005558C4">
                  <w:pPr>
                    <w:pBdr>
                      <w:bottom w:val="single" w:sz="6" w:space="1" w:color="auto"/>
                    </w:pBdr>
                    <w:jc w:val="center"/>
                    <w:rPr>
                      <w:bCs/>
                      <w:sz w:val="22"/>
                      <w:szCs w:val="22"/>
                    </w:rPr>
                  </w:pPr>
                  <w:r w:rsidRPr="00CF4D6C">
                    <w:rPr>
                      <w:bCs/>
                      <w:sz w:val="22"/>
                      <w:szCs w:val="22"/>
                    </w:rPr>
                    <w:t>53</w:t>
                  </w:r>
                </w:p>
                <w:p w:rsidR="00CF4D6C" w:rsidRPr="00CF4D6C" w:rsidRDefault="00CF4D6C" w:rsidP="005558C4">
                  <w:pPr>
                    <w:jc w:val="center"/>
                    <w:rPr>
                      <w:bCs/>
                      <w:sz w:val="22"/>
                      <w:szCs w:val="22"/>
                    </w:rPr>
                  </w:pPr>
                  <w:r w:rsidRPr="00CF4D6C">
                    <w:rPr>
                      <w:bCs/>
                      <w:sz w:val="22"/>
                      <w:szCs w:val="22"/>
                    </w:rPr>
                    <w:t>8460</w:t>
                  </w:r>
                </w:p>
              </w:tc>
              <w:tc>
                <w:tcPr>
                  <w:tcW w:w="652" w:type="pct"/>
                  <w:tcBorders>
                    <w:right w:val="single" w:sz="18" w:space="0" w:color="auto"/>
                  </w:tcBorders>
                </w:tcPr>
                <w:p w:rsidR="00CF4D6C" w:rsidRPr="00CF4D6C" w:rsidRDefault="00CF4D6C" w:rsidP="005558C4">
                  <w:pPr>
                    <w:jc w:val="center"/>
                    <w:rPr>
                      <w:sz w:val="22"/>
                      <w:szCs w:val="22"/>
                    </w:rPr>
                  </w:pPr>
                  <w:r w:rsidRPr="00CF4D6C">
                    <w:rPr>
                      <w:sz w:val="22"/>
                      <w:szCs w:val="22"/>
                    </w:rPr>
                    <w:t>100.0</w:t>
                  </w:r>
                </w:p>
                <w:p w:rsidR="00CF4D6C" w:rsidRPr="00CF4D6C" w:rsidRDefault="00CF4D6C" w:rsidP="005558C4">
                  <w:pPr>
                    <w:jc w:val="center"/>
                    <w:rPr>
                      <w:bCs/>
                      <w:sz w:val="22"/>
                      <w:szCs w:val="22"/>
                    </w:rPr>
                  </w:pPr>
                  <w:r w:rsidRPr="00CF4D6C">
                    <w:rPr>
                      <w:sz w:val="22"/>
                      <w:szCs w:val="22"/>
                    </w:rPr>
                    <w:t>(92.9, 100.0)</w:t>
                  </w:r>
                </w:p>
              </w:tc>
              <w:tc>
                <w:tcPr>
                  <w:tcW w:w="571" w:type="pct"/>
                  <w:tcBorders>
                    <w:left w:val="single" w:sz="18"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2**</w:t>
                  </w:r>
                </w:p>
                <w:p w:rsidR="00CF4D6C" w:rsidRPr="00CF4D6C" w:rsidRDefault="00CF4D6C" w:rsidP="005558C4">
                  <w:pPr>
                    <w:jc w:val="center"/>
                    <w:rPr>
                      <w:bCs/>
                      <w:sz w:val="22"/>
                      <w:szCs w:val="22"/>
                    </w:rPr>
                  </w:pPr>
                  <w:r w:rsidRPr="00CF4D6C">
                    <w:rPr>
                      <w:bCs/>
                      <w:sz w:val="22"/>
                      <w:szCs w:val="22"/>
                    </w:rPr>
                    <w:t>8493</w:t>
                  </w:r>
                </w:p>
              </w:tc>
              <w:tc>
                <w:tcPr>
                  <w:tcW w:w="644" w:type="pct"/>
                </w:tcPr>
                <w:p w:rsidR="00CF4D6C" w:rsidRPr="00CF4D6C" w:rsidRDefault="00CF4D6C" w:rsidP="005558C4">
                  <w:pPr>
                    <w:pBdr>
                      <w:bottom w:val="single" w:sz="6" w:space="1" w:color="auto"/>
                    </w:pBdr>
                    <w:jc w:val="center"/>
                    <w:rPr>
                      <w:bCs/>
                      <w:sz w:val="22"/>
                      <w:szCs w:val="22"/>
                    </w:rPr>
                  </w:pPr>
                  <w:r w:rsidRPr="00CF4D6C">
                    <w:rPr>
                      <w:bCs/>
                      <w:sz w:val="22"/>
                      <w:szCs w:val="22"/>
                    </w:rPr>
                    <w:t>112</w:t>
                  </w:r>
                </w:p>
                <w:p w:rsidR="00CF4D6C" w:rsidRPr="00CF4D6C" w:rsidRDefault="00CF4D6C" w:rsidP="005558C4">
                  <w:pPr>
                    <w:jc w:val="center"/>
                    <w:rPr>
                      <w:bCs/>
                      <w:sz w:val="22"/>
                      <w:szCs w:val="22"/>
                    </w:rPr>
                  </w:pPr>
                  <w:r w:rsidRPr="00CF4D6C">
                    <w:rPr>
                      <w:bCs/>
                      <w:sz w:val="22"/>
                      <w:szCs w:val="22"/>
                    </w:rPr>
                    <w:t>8464</w:t>
                  </w:r>
                </w:p>
              </w:tc>
              <w:tc>
                <w:tcPr>
                  <w:tcW w:w="745" w:type="pct"/>
                </w:tcPr>
                <w:p w:rsidR="00CF4D6C" w:rsidRPr="00CF4D6C" w:rsidRDefault="00CF4D6C" w:rsidP="005558C4">
                  <w:pPr>
                    <w:jc w:val="center"/>
                    <w:rPr>
                      <w:sz w:val="22"/>
                      <w:szCs w:val="22"/>
                    </w:rPr>
                  </w:pPr>
                  <w:r w:rsidRPr="00CF4D6C">
                    <w:rPr>
                      <w:sz w:val="22"/>
                      <w:szCs w:val="22"/>
                    </w:rPr>
                    <w:t>98.2</w:t>
                  </w:r>
                </w:p>
                <w:p w:rsidR="00CF4D6C" w:rsidRPr="00CF4D6C" w:rsidRDefault="00CF4D6C" w:rsidP="005558C4">
                  <w:pPr>
                    <w:jc w:val="center"/>
                    <w:rPr>
                      <w:bCs/>
                      <w:sz w:val="22"/>
                      <w:szCs w:val="22"/>
                    </w:rPr>
                  </w:pPr>
                  <w:r w:rsidRPr="00CF4D6C">
                    <w:rPr>
                      <w:sz w:val="22"/>
                      <w:szCs w:val="22"/>
                    </w:rPr>
                    <w:t>(93.5, 99.8)</w:t>
                  </w:r>
                </w:p>
              </w:tc>
            </w:tr>
            <w:tr w:rsidR="00CF4D6C" w:rsidRPr="00CF4D6C" w:rsidTr="005558C4">
              <w:trPr>
                <w:trHeight w:val="545"/>
                <w:jc w:val="center"/>
              </w:trPr>
              <w:tc>
                <w:tcPr>
                  <w:tcW w:w="1174" w:type="pct"/>
                </w:tcPr>
                <w:p w:rsidR="00CF4D6C" w:rsidRPr="00CF4D6C" w:rsidRDefault="00CF4D6C" w:rsidP="005558C4">
                  <w:pPr>
                    <w:rPr>
                      <w:b/>
                      <w:bCs/>
                      <w:sz w:val="22"/>
                      <w:szCs w:val="22"/>
                    </w:rPr>
                  </w:pPr>
                  <w:r w:rsidRPr="00CF4D6C">
                    <w:rPr>
                      <w:b/>
                      <w:iCs/>
                      <w:sz w:val="22"/>
                      <w:szCs w:val="22"/>
                    </w:rPr>
                    <w:t xml:space="preserve">CIN 3 </w:t>
                  </w:r>
                  <w:r w:rsidRPr="00CF4D6C">
                    <w:rPr>
                      <w:b/>
                      <w:bCs/>
                      <w:sz w:val="22"/>
                      <w:szCs w:val="22"/>
                    </w:rPr>
                    <w:t>izazvani HPV 16/18</w:t>
                  </w:r>
                </w:p>
              </w:tc>
              <w:tc>
                <w:tcPr>
                  <w:tcW w:w="630" w:type="pct"/>
                </w:tcPr>
                <w:p w:rsidR="00CF4D6C" w:rsidRPr="00CF4D6C" w:rsidRDefault="00CF4D6C" w:rsidP="005558C4">
                  <w:pPr>
                    <w:pBdr>
                      <w:bottom w:val="single" w:sz="6" w:space="1" w:color="auto"/>
                    </w:pBdr>
                    <w:jc w:val="center"/>
                    <w:rPr>
                      <w:bCs/>
                      <w:sz w:val="22"/>
                      <w:szCs w:val="22"/>
                    </w:rPr>
                  </w:pPr>
                  <w:r w:rsidRPr="00CF4D6C">
                    <w:rPr>
                      <w:bCs/>
                      <w:sz w:val="22"/>
                      <w:szCs w:val="22"/>
                    </w:rPr>
                    <w:t>0</w:t>
                  </w:r>
                </w:p>
                <w:p w:rsidR="00CF4D6C" w:rsidRPr="00CF4D6C" w:rsidRDefault="00CF4D6C" w:rsidP="005558C4">
                  <w:pPr>
                    <w:jc w:val="center"/>
                    <w:rPr>
                      <w:sz w:val="22"/>
                      <w:szCs w:val="22"/>
                    </w:rPr>
                  </w:pPr>
                  <w:r w:rsidRPr="00CF4D6C">
                    <w:rPr>
                      <w:bCs/>
                      <w:sz w:val="22"/>
                      <w:szCs w:val="22"/>
                    </w:rPr>
                    <w:t>8487</w:t>
                  </w:r>
                </w:p>
              </w:tc>
              <w:tc>
                <w:tcPr>
                  <w:tcW w:w="584" w:type="pct"/>
                </w:tcPr>
                <w:p w:rsidR="00CF4D6C" w:rsidRPr="00CF4D6C" w:rsidRDefault="00CF4D6C" w:rsidP="005558C4">
                  <w:pPr>
                    <w:pBdr>
                      <w:bottom w:val="single" w:sz="6" w:space="1" w:color="auto"/>
                    </w:pBdr>
                    <w:jc w:val="center"/>
                    <w:rPr>
                      <w:bCs/>
                      <w:sz w:val="22"/>
                      <w:szCs w:val="22"/>
                    </w:rPr>
                  </w:pPr>
                  <w:r w:rsidRPr="00CF4D6C">
                    <w:rPr>
                      <w:bCs/>
                      <w:sz w:val="22"/>
                      <w:szCs w:val="22"/>
                    </w:rPr>
                    <w:t>29</w:t>
                  </w:r>
                </w:p>
                <w:p w:rsidR="00CF4D6C" w:rsidRPr="00CF4D6C" w:rsidRDefault="00CF4D6C" w:rsidP="005558C4">
                  <w:pPr>
                    <w:jc w:val="center"/>
                    <w:rPr>
                      <w:sz w:val="22"/>
                      <w:szCs w:val="22"/>
                    </w:rPr>
                  </w:pPr>
                  <w:r w:rsidRPr="00CF4D6C">
                    <w:rPr>
                      <w:bCs/>
                      <w:sz w:val="22"/>
                      <w:szCs w:val="22"/>
                    </w:rPr>
                    <w:t>8460</w:t>
                  </w:r>
                </w:p>
              </w:tc>
              <w:tc>
                <w:tcPr>
                  <w:tcW w:w="652" w:type="pct"/>
                  <w:tcBorders>
                    <w:right w:val="single" w:sz="18" w:space="0" w:color="auto"/>
                  </w:tcBorders>
                </w:tcPr>
                <w:p w:rsidR="00CF4D6C" w:rsidRPr="00CF4D6C" w:rsidRDefault="00CF4D6C" w:rsidP="005558C4">
                  <w:pPr>
                    <w:jc w:val="center"/>
                    <w:rPr>
                      <w:sz w:val="22"/>
                      <w:szCs w:val="22"/>
                    </w:rPr>
                  </w:pPr>
                  <w:r w:rsidRPr="00CF4D6C">
                    <w:rPr>
                      <w:sz w:val="22"/>
                      <w:szCs w:val="22"/>
                    </w:rPr>
                    <w:t>100</w:t>
                  </w:r>
                </w:p>
                <w:p w:rsidR="00CF4D6C" w:rsidRPr="00CF4D6C" w:rsidRDefault="00CF4D6C" w:rsidP="005558C4">
                  <w:pPr>
                    <w:jc w:val="center"/>
                    <w:rPr>
                      <w:sz w:val="22"/>
                      <w:szCs w:val="22"/>
                    </w:rPr>
                  </w:pPr>
                  <w:r w:rsidRPr="00CF4D6C">
                    <w:rPr>
                      <w:sz w:val="22"/>
                      <w:szCs w:val="22"/>
                    </w:rPr>
                    <w:t>(86.5, 100.0)</w:t>
                  </w:r>
                </w:p>
              </w:tc>
              <w:tc>
                <w:tcPr>
                  <w:tcW w:w="571" w:type="pct"/>
                  <w:tcBorders>
                    <w:left w:val="single" w:sz="18"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2**</w:t>
                  </w:r>
                </w:p>
                <w:p w:rsidR="00CF4D6C" w:rsidRPr="00CF4D6C" w:rsidRDefault="00CF4D6C" w:rsidP="005558C4">
                  <w:pPr>
                    <w:tabs>
                      <w:tab w:val="left" w:pos="810"/>
                    </w:tabs>
                    <w:jc w:val="center"/>
                    <w:rPr>
                      <w:sz w:val="22"/>
                      <w:szCs w:val="22"/>
                    </w:rPr>
                  </w:pPr>
                  <w:r w:rsidRPr="00CF4D6C">
                    <w:rPr>
                      <w:bCs/>
                      <w:sz w:val="22"/>
                      <w:szCs w:val="22"/>
                    </w:rPr>
                    <w:t>8493</w:t>
                  </w:r>
                </w:p>
              </w:tc>
              <w:tc>
                <w:tcPr>
                  <w:tcW w:w="644" w:type="pct"/>
                </w:tcPr>
                <w:p w:rsidR="00CF4D6C" w:rsidRPr="00CF4D6C" w:rsidRDefault="00CF4D6C" w:rsidP="005558C4">
                  <w:pPr>
                    <w:pBdr>
                      <w:bottom w:val="single" w:sz="6" w:space="1" w:color="auto"/>
                    </w:pBdr>
                    <w:jc w:val="center"/>
                    <w:rPr>
                      <w:bCs/>
                      <w:sz w:val="22"/>
                      <w:szCs w:val="22"/>
                    </w:rPr>
                  </w:pPr>
                  <w:r w:rsidRPr="00CF4D6C">
                    <w:rPr>
                      <w:bCs/>
                      <w:sz w:val="22"/>
                      <w:szCs w:val="22"/>
                    </w:rPr>
                    <w:t>64</w:t>
                  </w:r>
                </w:p>
                <w:p w:rsidR="00CF4D6C" w:rsidRPr="00CF4D6C" w:rsidRDefault="00CF4D6C" w:rsidP="005558C4">
                  <w:pPr>
                    <w:jc w:val="center"/>
                    <w:rPr>
                      <w:sz w:val="22"/>
                      <w:szCs w:val="22"/>
                    </w:rPr>
                  </w:pPr>
                  <w:r w:rsidRPr="00CF4D6C">
                    <w:rPr>
                      <w:bCs/>
                      <w:sz w:val="22"/>
                      <w:szCs w:val="22"/>
                    </w:rPr>
                    <w:t>8464</w:t>
                  </w:r>
                </w:p>
              </w:tc>
              <w:tc>
                <w:tcPr>
                  <w:tcW w:w="745" w:type="pct"/>
                </w:tcPr>
                <w:p w:rsidR="00CF4D6C" w:rsidRPr="00CF4D6C" w:rsidRDefault="00CF4D6C" w:rsidP="005558C4">
                  <w:pPr>
                    <w:jc w:val="center"/>
                    <w:rPr>
                      <w:sz w:val="22"/>
                      <w:szCs w:val="22"/>
                    </w:rPr>
                  </w:pPr>
                  <w:r w:rsidRPr="00CF4D6C">
                    <w:rPr>
                      <w:sz w:val="22"/>
                      <w:szCs w:val="22"/>
                    </w:rPr>
                    <w:t>96,9</w:t>
                  </w:r>
                </w:p>
                <w:p w:rsidR="00CF4D6C" w:rsidRPr="00CF4D6C" w:rsidRDefault="00CF4D6C" w:rsidP="005558C4">
                  <w:pPr>
                    <w:jc w:val="center"/>
                    <w:rPr>
                      <w:sz w:val="22"/>
                      <w:szCs w:val="22"/>
                    </w:rPr>
                  </w:pPr>
                  <w:r w:rsidRPr="00CF4D6C">
                    <w:rPr>
                      <w:sz w:val="22"/>
                      <w:szCs w:val="22"/>
                    </w:rPr>
                    <w:t>(88.4, 99.6)</w:t>
                  </w:r>
                </w:p>
              </w:tc>
            </w:tr>
            <w:tr w:rsidR="00CF4D6C" w:rsidRPr="00CF4D6C" w:rsidTr="005558C4">
              <w:trPr>
                <w:trHeight w:val="545"/>
                <w:jc w:val="center"/>
              </w:trPr>
              <w:tc>
                <w:tcPr>
                  <w:tcW w:w="1174" w:type="pct"/>
                </w:tcPr>
                <w:p w:rsidR="00CF4D6C" w:rsidRPr="00CF4D6C" w:rsidRDefault="00CF4D6C" w:rsidP="005558C4">
                  <w:pPr>
                    <w:rPr>
                      <w:b/>
                      <w:iCs/>
                      <w:sz w:val="22"/>
                      <w:szCs w:val="22"/>
                    </w:rPr>
                  </w:pPr>
                  <w:r w:rsidRPr="00CF4D6C">
                    <w:rPr>
                      <w:b/>
                      <w:iCs/>
                      <w:sz w:val="22"/>
                      <w:szCs w:val="22"/>
                    </w:rPr>
                    <w:t xml:space="preserve">AIS </w:t>
                  </w:r>
                  <w:r w:rsidRPr="00CF4D6C">
                    <w:rPr>
                      <w:b/>
                      <w:bCs/>
                      <w:sz w:val="22"/>
                      <w:szCs w:val="22"/>
                    </w:rPr>
                    <w:t>izazvani HPV 16/18</w:t>
                  </w:r>
                </w:p>
              </w:tc>
              <w:tc>
                <w:tcPr>
                  <w:tcW w:w="630" w:type="pct"/>
                </w:tcPr>
                <w:p w:rsidR="00CF4D6C" w:rsidRPr="00CF4D6C" w:rsidRDefault="00CF4D6C" w:rsidP="005558C4">
                  <w:pPr>
                    <w:pBdr>
                      <w:bottom w:val="single" w:sz="6" w:space="1" w:color="auto"/>
                    </w:pBdr>
                    <w:jc w:val="center"/>
                    <w:rPr>
                      <w:bCs/>
                      <w:sz w:val="22"/>
                      <w:szCs w:val="22"/>
                    </w:rPr>
                  </w:pPr>
                  <w:r w:rsidRPr="00CF4D6C">
                    <w:rPr>
                      <w:bCs/>
                      <w:sz w:val="22"/>
                      <w:szCs w:val="22"/>
                    </w:rPr>
                    <w:t>0</w:t>
                  </w:r>
                </w:p>
                <w:p w:rsidR="00CF4D6C" w:rsidRPr="00CF4D6C" w:rsidRDefault="00CF4D6C" w:rsidP="005558C4">
                  <w:pPr>
                    <w:jc w:val="center"/>
                    <w:rPr>
                      <w:sz w:val="22"/>
                      <w:szCs w:val="22"/>
                    </w:rPr>
                  </w:pPr>
                  <w:r w:rsidRPr="00CF4D6C">
                    <w:rPr>
                      <w:bCs/>
                      <w:sz w:val="22"/>
                      <w:szCs w:val="22"/>
                    </w:rPr>
                    <w:t>8487</w:t>
                  </w:r>
                </w:p>
              </w:tc>
              <w:tc>
                <w:tcPr>
                  <w:tcW w:w="584" w:type="pct"/>
                </w:tcPr>
                <w:p w:rsidR="00CF4D6C" w:rsidRPr="00CF4D6C" w:rsidRDefault="00CF4D6C" w:rsidP="005558C4">
                  <w:pPr>
                    <w:pBdr>
                      <w:bottom w:val="single" w:sz="6" w:space="1" w:color="auto"/>
                    </w:pBdr>
                    <w:jc w:val="center"/>
                    <w:rPr>
                      <w:bCs/>
                      <w:sz w:val="22"/>
                      <w:szCs w:val="22"/>
                    </w:rPr>
                  </w:pPr>
                  <w:r w:rsidRPr="00CF4D6C">
                    <w:rPr>
                      <w:bCs/>
                      <w:sz w:val="22"/>
                      <w:szCs w:val="22"/>
                    </w:rPr>
                    <w:t>6</w:t>
                  </w:r>
                </w:p>
                <w:p w:rsidR="00CF4D6C" w:rsidRPr="00CF4D6C" w:rsidRDefault="00CF4D6C" w:rsidP="005558C4">
                  <w:pPr>
                    <w:jc w:val="center"/>
                    <w:rPr>
                      <w:sz w:val="22"/>
                      <w:szCs w:val="22"/>
                    </w:rPr>
                  </w:pPr>
                  <w:r w:rsidRPr="00CF4D6C">
                    <w:rPr>
                      <w:bCs/>
                      <w:sz w:val="22"/>
                      <w:szCs w:val="22"/>
                    </w:rPr>
                    <w:t>8460</w:t>
                  </w:r>
                </w:p>
              </w:tc>
              <w:tc>
                <w:tcPr>
                  <w:tcW w:w="652" w:type="pct"/>
                  <w:tcBorders>
                    <w:right w:val="single" w:sz="18" w:space="0" w:color="auto"/>
                  </w:tcBorders>
                </w:tcPr>
                <w:p w:rsidR="00CF4D6C" w:rsidRPr="00CF4D6C" w:rsidRDefault="00CF4D6C" w:rsidP="005558C4">
                  <w:pPr>
                    <w:jc w:val="center"/>
                    <w:rPr>
                      <w:sz w:val="22"/>
                      <w:szCs w:val="22"/>
                    </w:rPr>
                  </w:pPr>
                  <w:r w:rsidRPr="00CF4D6C">
                    <w:rPr>
                      <w:sz w:val="22"/>
                      <w:szCs w:val="22"/>
                    </w:rPr>
                    <w:t>100</w:t>
                  </w:r>
                </w:p>
                <w:p w:rsidR="00CF4D6C" w:rsidRPr="00CF4D6C" w:rsidRDefault="00CF4D6C" w:rsidP="005558C4">
                  <w:pPr>
                    <w:jc w:val="center"/>
                    <w:rPr>
                      <w:sz w:val="22"/>
                      <w:szCs w:val="22"/>
                    </w:rPr>
                  </w:pPr>
                  <w:r w:rsidRPr="00CF4D6C">
                    <w:rPr>
                      <w:sz w:val="22"/>
                      <w:szCs w:val="22"/>
                    </w:rPr>
                    <w:t>(14.8, 100.0)</w:t>
                  </w:r>
                </w:p>
              </w:tc>
              <w:tc>
                <w:tcPr>
                  <w:tcW w:w="571" w:type="pct"/>
                  <w:tcBorders>
                    <w:left w:val="single" w:sz="18"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0</w:t>
                  </w:r>
                </w:p>
                <w:p w:rsidR="00CF4D6C" w:rsidRPr="00CF4D6C" w:rsidRDefault="00CF4D6C" w:rsidP="005558C4">
                  <w:pPr>
                    <w:jc w:val="center"/>
                    <w:rPr>
                      <w:sz w:val="22"/>
                      <w:szCs w:val="22"/>
                    </w:rPr>
                  </w:pPr>
                  <w:r w:rsidRPr="00CF4D6C">
                    <w:rPr>
                      <w:bCs/>
                      <w:sz w:val="22"/>
                      <w:szCs w:val="22"/>
                    </w:rPr>
                    <w:t>8493</w:t>
                  </w:r>
                </w:p>
              </w:tc>
              <w:tc>
                <w:tcPr>
                  <w:tcW w:w="644" w:type="pct"/>
                </w:tcPr>
                <w:p w:rsidR="00CF4D6C" w:rsidRPr="00CF4D6C" w:rsidRDefault="00CF4D6C" w:rsidP="005558C4">
                  <w:pPr>
                    <w:pBdr>
                      <w:bottom w:val="single" w:sz="6" w:space="1" w:color="auto"/>
                    </w:pBdr>
                    <w:jc w:val="center"/>
                    <w:rPr>
                      <w:bCs/>
                      <w:sz w:val="22"/>
                      <w:szCs w:val="22"/>
                    </w:rPr>
                  </w:pPr>
                  <w:r w:rsidRPr="00CF4D6C">
                    <w:rPr>
                      <w:bCs/>
                      <w:sz w:val="22"/>
                      <w:szCs w:val="22"/>
                    </w:rPr>
                    <w:t>7</w:t>
                  </w:r>
                </w:p>
                <w:p w:rsidR="00CF4D6C" w:rsidRPr="00CF4D6C" w:rsidRDefault="00CF4D6C" w:rsidP="005558C4">
                  <w:pPr>
                    <w:jc w:val="center"/>
                    <w:rPr>
                      <w:sz w:val="22"/>
                      <w:szCs w:val="22"/>
                    </w:rPr>
                  </w:pPr>
                  <w:r w:rsidRPr="00CF4D6C">
                    <w:rPr>
                      <w:bCs/>
                      <w:sz w:val="22"/>
                      <w:szCs w:val="22"/>
                    </w:rPr>
                    <w:t>8464</w:t>
                  </w:r>
                </w:p>
              </w:tc>
              <w:tc>
                <w:tcPr>
                  <w:tcW w:w="745" w:type="pct"/>
                </w:tcPr>
                <w:p w:rsidR="00CF4D6C" w:rsidRPr="00CF4D6C" w:rsidRDefault="00CF4D6C" w:rsidP="005558C4">
                  <w:pPr>
                    <w:jc w:val="center"/>
                    <w:rPr>
                      <w:sz w:val="22"/>
                      <w:szCs w:val="22"/>
                    </w:rPr>
                  </w:pPr>
                  <w:r w:rsidRPr="00CF4D6C">
                    <w:rPr>
                      <w:sz w:val="22"/>
                      <w:szCs w:val="22"/>
                    </w:rPr>
                    <w:t>100</w:t>
                  </w:r>
                </w:p>
                <w:p w:rsidR="00CF4D6C" w:rsidRPr="00CF4D6C" w:rsidRDefault="00CF4D6C" w:rsidP="005558C4">
                  <w:pPr>
                    <w:jc w:val="center"/>
                    <w:rPr>
                      <w:sz w:val="22"/>
                      <w:szCs w:val="22"/>
                    </w:rPr>
                  </w:pPr>
                  <w:r w:rsidRPr="00CF4D6C">
                    <w:rPr>
                      <w:sz w:val="22"/>
                      <w:szCs w:val="22"/>
                    </w:rPr>
                    <w:t>(30.6, 100.0)</w:t>
                  </w:r>
                </w:p>
              </w:tc>
            </w:tr>
          </w:tbl>
          <w:p w:rsidR="00CF4D6C" w:rsidRPr="00CF4D6C" w:rsidRDefault="00CF4D6C" w:rsidP="005558C4">
            <w:pPr>
              <w:pStyle w:val="Header"/>
              <w:tabs>
                <w:tab w:val="left" w:pos="284"/>
              </w:tabs>
              <w:rPr>
                <w:bCs/>
                <w:sz w:val="22"/>
                <w:szCs w:val="22"/>
              </w:rPr>
            </w:pPr>
            <w:r w:rsidRPr="00CF4D6C">
              <w:rPr>
                <w:bCs/>
                <w:sz w:val="22"/>
                <w:szCs w:val="22"/>
              </w:rPr>
              <w:t>* Broj ispitanika sa najmanje jednom posjetom koja je uslijedila poslije 7. mjeseca</w:t>
            </w:r>
          </w:p>
          <w:p w:rsidR="00CF4D6C" w:rsidRPr="00CF4D6C" w:rsidRDefault="00CF4D6C" w:rsidP="005558C4">
            <w:pPr>
              <w:pStyle w:val="Header"/>
              <w:tabs>
                <w:tab w:val="left" w:pos="284"/>
              </w:tabs>
              <w:rPr>
                <w:bCs/>
                <w:sz w:val="22"/>
                <w:szCs w:val="22"/>
              </w:rPr>
            </w:pPr>
            <w:r w:rsidRPr="00CF4D6C">
              <w:rPr>
                <w:bCs/>
                <w:sz w:val="22"/>
                <w:szCs w:val="22"/>
              </w:rPr>
              <w:t>** Na osnovu viroloških dokaza, prvi CIN 3 slučaj kod pacijenata hronično inficiranih HPV 52 je najvjerovatnije uzročno povezan sa HPV 52. HPV 16 je nadjen kod samo jednog uzorka od 11 (u 32,5-om mjesecu) i nije detektovan u tkivu isiječenom tokom LEEP (Loop Electro-Excision Procedure). U drugom CIN 3 slučaju praćenom kod pacijentkinje sa HPV 51 u Danu 1 (u 2 od 9 uzoraka) ; HPV 16 je detektovan samo u 1 od 9 uzoraka u biopsiji u 51. mjesecu i HPV 56 u 3 od 9 uzoraka u 52. mjesecu u tkivu uzorkovanom tokom LEEP.</w:t>
            </w:r>
          </w:p>
          <w:p w:rsidR="00CF4D6C" w:rsidRPr="00CF4D6C" w:rsidRDefault="00CF4D6C" w:rsidP="005558C4">
            <w:pPr>
              <w:pStyle w:val="Header"/>
              <w:tabs>
                <w:tab w:val="left" w:pos="284"/>
              </w:tabs>
              <w:rPr>
                <w:bCs/>
                <w:sz w:val="22"/>
                <w:szCs w:val="22"/>
              </w:rPr>
            </w:pPr>
            <w:r w:rsidRPr="00CF4D6C">
              <w:rPr>
                <w:bCs/>
                <w:sz w:val="22"/>
                <w:szCs w:val="22"/>
              </w:rPr>
              <w:t>***Pacijenti su praćeni do 4 godine (medijana 3,6 godina).</w:t>
            </w:r>
          </w:p>
          <w:p w:rsidR="00CF4D6C" w:rsidRPr="00CF4D6C" w:rsidRDefault="00CF4D6C" w:rsidP="005558C4">
            <w:pPr>
              <w:pStyle w:val="Header"/>
              <w:tabs>
                <w:tab w:val="left" w:pos="284"/>
              </w:tabs>
              <w:rPr>
                <w:bCs/>
                <w:sz w:val="22"/>
                <w:szCs w:val="22"/>
              </w:rPr>
            </w:pPr>
            <w:r w:rsidRPr="00CF4D6C">
              <w:rPr>
                <w:bCs/>
                <w:sz w:val="22"/>
                <w:szCs w:val="22"/>
              </w:rPr>
              <w:t>Napomena: Tačke procjene i intervali pouzdanosti su prilagodjeni osobi-vremenu praćenja.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Na kraju studije i u kombinovanim protokolima:</w:t>
            </w:r>
          </w:p>
          <w:p w:rsidR="00CF4D6C" w:rsidRPr="00CF4D6C" w:rsidRDefault="00CF4D6C" w:rsidP="005558C4">
            <w:pPr>
              <w:rPr>
                <w:sz w:val="22"/>
                <w:szCs w:val="22"/>
              </w:rPr>
            </w:pPr>
            <w:r w:rsidRPr="00CF4D6C">
              <w:rPr>
                <w:sz w:val="22"/>
                <w:szCs w:val="22"/>
              </w:rPr>
              <w:t xml:space="preserve">Efikasnost vakcine </w:t>
            </w:r>
            <w:r w:rsidRPr="00CF4D6C">
              <w:rPr>
                <w:b/>
                <w:sz w:val="22"/>
                <w:szCs w:val="22"/>
              </w:rPr>
              <w:t>GARDASIL</w:t>
            </w:r>
            <w:r w:rsidRPr="00CF4D6C">
              <w:rPr>
                <w:b/>
                <w:sz w:val="22"/>
                <w:szCs w:val="22"/>
                <w:vertAlign w:val="superscript"/>
              </w:rPr>
              <w:t>®</w:t>
            </w:r>
            <w:r w:rsidRPr="00CF4D6C">
              <w:rPr>
                <w:sz w:val="22"/>
                <w:szCs w:val="22"/>
              </w:rPr>
              <w:t xml:space="preserve"> protiv HPV tipova 6, 11, 16 i 18, odnosno njima izazvanih CIN 1 iznosila je 95,9% (95% CI: 91,4, 98,4).</w:t>
            </w:r>
          </w:p>
          <w:p w:rsidR="00CF4D6C" w:rsidRPr="00CF4D6C" w:rsidRDefault="00CF4D6C" w:rsidP="005558C4">
            <w:pPr>
              <w:pStyle w:val="Header"/>
              <w:tabs>
                <w:tab w:val="left" w:pos="284"/>
              </w:tabs>
              <w:rPr>
                <w:sz w:val="22"/>
                <w:szCs w:val="22"/>
              </w:rPr>
            </w:pPr>
          </w:p>
          <w:p w:rsidR="00CF4D6C" w:rsidRPr="00CF4D6C" w:rsidRDefault="00CF4D6C" w:rsidP="005558C4">
            <w:pPr>
              <w:rPr>
                <w:sz w:val="22"/>
                <w:szCs w:val="22"/>
              </w:rPr>
            </w:pPr>
            <w:r w:rsidRPr="00CF4D6C">
              <w:rPr>
                <w:sz w:val="22"/>
                <w:szCs w:val="22"/>
              </w:rPr>
              <w:t xml:space="preserve">Efikasnost vakcine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protiv HPV tipova 6,11,16 i 18, odnosno njima izazvanih CIN (1, 2, 3) ili AIS, iznosila je 96,0% (95% CI: 92,3, 98,2).</w:t>
            </w:r>
          </w:p>
          <w:p w:rsidR="00CF4D6C" w:rsidRPr="00CF4D6C" w:rsidRDefault="00CF4D6C" w:rsidP="005558C4">
            <w:pPr>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Efikasnost vakcine </w:t>
            </w:r>
            <w:r w:rsidRPr="00CF4D6C">
              <w:rPr>
                <w:b/>
                <w:sz w:val="22"/>
                <w:szCs w:val="22"/>
              </w:rPr>
              <w:t>GARDASIL</w:t>
            </w:r>
            <w:r w:rsidRPr="00CF4D6C">
              <w:rPr>
                <w:b/>
                <w:sz w:val="22"/>
                <w:szCs w:val="22"/>
                <w:vertAlign w:val="superscript"/>
              </w:rPr>
              <w:t>®</w:t>
            </w:r>
            <w:r w:rsidRPr="00CF4D6C">
              <w:rPr>
                <w:sz w:val="22"/>
                <w:szCs w:val="22"/>
              </w:rPr>
              <w:t xml:space="preserve"> protiv HPV tipova 6, 11, 16 i 18, odnosno njima izazvanih lezija vulve visokog stepena (VIN 2/3)  i vagine (VaIN 2/3) je iznosila 100% (95% CI: 67,2, 100,0) i 100% (95% CI, 55,4, 100).</w:t>
            </w:r>
          </w:p>
          <w:p w:rsidR="00CF4D6C" w:rsidRPr="00CF4D6C" w:rsidRDefault="00CF4D6C" w:rsidP="005558C4">
            <w:pPr>
              <w:pStyle w:val="Header"/>
              <w:tabs>
                <w:tab w:val="left" w:pos="284"/>
              </w:tabs>
              <w:rPr>
                <w:sz w:val="22"/>
                <w:szCs w:val="22"/>
              </w:rPr>
            </w:pPr>
            <w:r w:rsidRPr="00CF4D6C">
              <w:rPr>
                <w:sz w:val="22"/>
                <w:szCs w:val="22"/>
              </w:rPr>
              <w:lastRenderedPageBreak/>
              <w:t xml:space="preserve">Efikasnost vakcine </w:t>
            </w:r>
            <w:r w:rsidRPr="00CF4D6C">
              <w:rPr>
                <w:b/>
                <w:sz w:val="22"/>
                <w:szCs w:val="22"/>
              </w:rPr>
              <w:t>GARDASIL</w:t>
            </w:r>
            <w:r w:rsidRPr="00CF4D6C">
              <w:rPr>
                <w:b/>
                <w:sz w:val="22"/>
                <w:szCs w:val="22"/>
                <w:vertAlign w:val="superscript"/>
              </w:rPr>
              <w:t>®</w:t>
            </w:r>
            <w:r w:rsidRPr="00CF4D6C">
              <w:rPr>
                <w:sz w:val="22"/>
                <w:szCs w:val="22"/>
              </w:rPr>
              <w:t xml:space="preserve"> protiv HPV tipova 6, 11, 16 i 18,  odnosno njima izazvanih genitalnih kondiloma je iznosila 99,0% (95% CI: 96,2, 99,9).</w:t>
            </w:r>
          </w:p>
          <w:p w:rsidR="00CF4D6C" w:rsidRPr="00CF4D6C" w:rsidRDefault="00CF4D6C" w:rsidP="005558C4">
            <w:pPr>
              <w:pStyle w:val="Header"/>
              <w:tabs>
                <w:tab w:val="left" w:pos="284"/>
              </w:tabs>
              <w:rPr>
                <w:sz w:val="22"/>
                <w:szCs w:val="22"/>
              </w:rPr>
            </w:pPr>
          </w:p>
          <w:p w:rsidR="00CF4D6C" w:rsidRPr="00CF4D6C" w:rsidRDefault="00CF4D6C" w:rsidP="005558C4">
            <w:pPr>
              <w:widowControl w:val="0"/>
              <w:rPr>
                <w:b/>
                <w:sz w:val="22"/>
                <w:szCs w:val="22"/>
              </w:rPr>
            </w:pPr>
            <w:r w:rsidRPr="00CF4D6C">
              <w:rPr>
                <w:bCs/>
                <w:sz w:val="22"/>
                <w:szCs w:val="22"/>
              </w:rPr>
              <w:t xml:space="preserve">U protokolu 012 efikasnost vakcine </w:t>
            </w:r>
            <w:r w:rsidRPr="00CF4D6C">
              <w:rPr>
                <w:b/>
                <w:sz w:val="22"/>
                <w:szCs w:val="22"/>
              </w:rPr>
              <w:t>GARDASIL</w:t>
            </w:r>
            <w:r w:rsidRPr="00CF4D6C">
              <w:rPr>
                <w:b/>
                <w:sz w:val="22"/>
                <w:szCs w:val="22"/>
                <w:vertAlign w:val="superscript"/>
              </w:rPr>
              <w:t>®</w:t>
            </w:r>
            <w:r w:rsidRPr="00CF4D6C">
              <w:rPr>
                <w:sz w:val="22"/>
                <w:szCs w:val="22"/>
              </w:rPr>
              <w:t xml:space="preserve"> protiv 6-mjesečne trajne infekcije [uzorci pozitivni tokom 2 ili više konsekutivnih posjeta u razmaku od 6 mjeseci (±1 mjesec) ili duže</w:t>
            </w:r>
            <w:r w:rsidRPr="00CF4D6C">
              <w:rPr>
                <w:bCs/>
                <w:sz w:val="22"/>
                <w:szCs w:val="22"/>
              </w:rPr>
              <w:t>]</w:t>
            </w:r>
            <w:r w:rsidRPr="00CF4D6C">
              <w:rPr>
                <w:bCs/>
                <w:iCs/>
                <w:sz w:val="22"/>
                <w:szCs w:val="22"/>
              </w:rPr>
              <w:t xml:space="preserve"> izazvane HPV 16 iznosila je </w:t>
            </w:r>
            <w:r w:rsidRPr="00CF4D6C">
              <w:rPr>
                <w:sz w:val="22"/>
                <w:szCs w:val="22"/>
              </w:rPr>
              <w:t xml:space="preserve">98,7 % </w:t>
            </w:r>
            <w:r w:rsidRPr="00CF4D6C">
              <w:rPr>
                <w:bCs/>
                <w:iCs/>
                <w:sz w:val="22"/>
                <w:szCs w:val="22"/>
              </w:rPr>
              <w:t xml:space="preserve">(95% CI: </w:t>
            </w:r>
            <w:r w:rsidRPr="00CF4D6C">
              <w:rPr>
                <w:sz w:val="22"/>
                <w:szCs w:val="22"/>
              </w:rPr>
              <w:t>95,1, 99,8</w:t>
            </w:r>
            <w:r w:rsidRPr="00CF4D6C">
              <w:rPr>
                <w:bCs/>
                <w:iCs/>
                <w:sz w:val="22"/>
                <w:szCs w:val="22"/>
              </w:rPr>
              <w:t xml:space="preserve">) i </w:t>
            </w:r>
            <w:r w:rsidRPr="00CF4D6C">
              <w:rPr>
                <w:sz w:val="22"/>
                <w:szCs w:val="22"/>
              </w:rPr>
              <w:t>100,0% (</w:t>
            </w:r>
            <w:r w:rsidRPr="00CF4D6C">
              <w:rPr>
                <w:bCs/>
                <w:iCs/>
                <w:sz w:val="22"/>
                <w:szCs w:val="22"/>
              </w:rPr>
              <w:t xml:space="preserve">95% CI: </w:t>
            </w:r>
            <w:r w:rsidRPr="00CF4D6C">
              <w:rPr>
                <w:sz w:val="22"/>
                <w:szCs w:val="22"/>
              </w:rPr>
              <w:t>93,2, 100,0)</w:t>
            </w:r>
            <w:r w:rsidRPr="00CF4D6C">
              <w:rPr>
                <w:bCs/>
                <w:iCs/>
                <w:sz w:val="22"/>
                <w:szCs w:val="22"/>
              </w:rPr>
              <w:t xml:space="preserve"> za HPV 18-</w:t>
            </w:r>
            <w:r w:rsidRPr="00CF4D6C">
              <w:rPr>
                <w:sz w:val="22"/>
                <w:szCs w:val="22"/>
              </w:rPr>
              <w:t xml:space="preserve"> redom</w:t>
            </w:r>
            <w:r w:rsidRPr="00CF4D6C">
              <w:rPr>
                <w:bCs/>
                <w:iCs/>
                <w:sz w:val="22"/>
                <w:szCs w:val="22"/>
              </w:rPr>
              <w:t xml:space="preserve">, poslije praćenja od do 4 godine (srednja vrijednost od 3,6 godina).  </w:t>
            </w:r>
            <w:r w:rsidRPr="00CF4D6C">
              <w:rPr>
                <w:sz w:val="22"/>
                <w:szCs w:val="22"/>
              </w:rPr>
              <w:t>Protiv 12-mjesečne trajne infekcije</w:t>
            </w:r>
            <w:r w:rsidRPr="00CF4D6C">
              <w:rPr>
                <w:bCs/>
                <w:iCs/>
                <w:sz w:val="22"/>
                <w:szCs w:val="22"/>
              </w:rPr>
              <w:t xml:space="preserve">, efikasnost protiv HPV 16 iznosila je </w:t>
            </w:r>
            <w:r w:rsidRPr="00CF4D6C">
              <w:rPr>
                <w:sz w:val="22"/>
                <w:szCs w:val="22"/>
              </w:rPr>
              <w:t xml:space="preserve">100,0 % </w:t>
            </w:r>
            <w:r w:rsidRPr="00CF4D6C">
              <w:rPr>
                <w:bCs/>
                <w:iCs/>
                <w:sz w:val="22"/>
                <w:szCs w:val="22"/>
              </w:rPr>
              <w:t xml:space="preserve">(95% CI: </w:t>
            </w:r>
            <w:r w:rsidRPr="00CF4D6C">
              <w:rPr>
                <w:sz w:val="22"/>
                <w:szCs w:val="22"/>
              </w:rPr>
              <w:t>93,9, 100,0</w:t>
            </w:r>
            <w:r w:rsidRPr="00CF4D6C">
              <w:rPr>
                <w:bCs/>
                <w:iCs/>
                <w:sz w:val="22"/>
                <w:szCs w:val="22"/>
              </w:rPr>
              <w:t xml:space="preserve">) i </w:t>
            </w:r>
            <w:r w:rsidRPr="00CF4D6C">
              <w:rPr>
                <w:sz w:val="22"/>
                <w:szCs w:val="22"/>
              </w:rPr>
              <w:t>100,0 % (</w:t>
            </w:r>
            <w:r w:rsidRPr="00CF4D6C">
              <w:rPr>
                <w:bCs/>
                <w:iCs/>
                <w:sz w:val="22"/>
                <w:szCs w:val="22"/>
              </w:rPr>
              <w:t xml:space="preserve">95% CI: </w:t>
            </w:r>
            <w:r w:rsidRPr="00CF4D6C">
              <w:rPr>
                <w:sz w:val="22"/>
                <w:szCs w:val="22"/>
              </w:rPr>
              <w:t>79,9, 100,0) za HPV 18</w:t>
            </w:r>
            <w:r w:rsidRPr="00CF4D6C">
              <w:rPr>
                <w:b/>
                <w:sz w:val="22"/>
                <w:szCs w:val="22"/>
              </w:rPr>
              <w:t>.</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u w:val="single"/>
              </w:rPr>
            </w:pPr>
            <w:r w:rsidRPr="00CF4D6C">
              <w:rPr>
                <w:sz w:val="22"/>
                <w:szCs w:val="22"/>
                <w:u w:val="single"/>
              </w:rPr>
              <w:t>Efikasnost kod žena sa dokazanom infekcijom ili oboljenjem izazvanim HPV tipom 6, 11, 16 i 18 u Danu 1</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rPr>
            </w:pPr>
            <w:r w:rsidRPr="00CF4D6C">
              <w:rPr>
                <w:sz w:val="22"/>
                <w:szCs w:val="22"/>
              </w:rPr>
              <w:t>Žene koje su prije vakcinacije već bile zaražene jednim ili više HPV tipovima sadržanim u vakcini, su bile zaštićene od nastanka oboljenja uzrokovanih drugim tipovima HPV-a sadržanih u vakcini. Međutim, ne postoje dokazi o zaštiti od oboljenja izazvanog HPV tipovima kod žena kod kojih je PCR  pozitivan i/ili seropozitivan u Danu 1.</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u w:val="single"/>
              </w:rPr>
            </w:pPr>
            <w:r w:rsidRPr="00CF4D6C">
              <w:rPr>
                <w:sz w:val="22"/>
                <w:szCs w:val="22"/>
                <w:u w:val="single"/>
              </w:rPr>
              <w:t>Efikasnost kod žena sa ili bez prethodne infekcije izazvane HPV 6, 11, 16 ili 18</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b/>
                <w:i/>
                <w:sz w:val="22"/>
                <w:szCs w:val="22"/>
              </w:rPr>
            </w:pPr>
            <w:r w:rsidRPr="00CF4D6C">
              <w:rPr>
                <w:sz w:val="22"/>
                <w:szCs w:val="22"/>
              </w:rPr>
              <w:t xml:space="preserve">Modifikovana (ITT) (intention to treat) populacija je uključivala i žene koje su dobile najmanje jednu dozu vakcine bez obzira na vrijednosti HPV na dan 1, i kod kojih je praćenje slučajeva počelo 1 mjesec nakon doze 1. Ova populacija predstavlja opštu populaciju žena u odnosu na prevalencu HPV infekcije i oboljenja u trenutku uključivanja. Rezultati su prikazani u tabeli 3. </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b/>
                <w:i/>
                <w:sz w:val="22"/>
                <w:szCs w:val="22"/>
              </w:rPr>
            </w:pPr>
            <w:r w:rsidRPr="00CF4D6C">
              <w:rPr>
                <w:b/>
                <w:i/>
                <w:sz w:val="22"/>
                <w:szCs w:val="22"/>
              </w:rPr>
              <w:t>Tabela 3 : Efikasnost vekcine GARDASIL</w:t>
            </w:r>
            <w:r w:rsidRPr="00CF4D6C">
              <w:rPr>
                <w:b/>
                <w:i/>
                <w:sz w:val="22"/>
                <w:szCs w:val="22"/>
                <w:vertAlign w:val="superscript"/>
              </w:rPr>
              <w:t>®</w:t>
            </w:r>
            <w:r w:rsidRPr="00CF4D6C">
              <w:rPr>
                <w:b/>
                <w:i/>
                <w:sz w:val="22"/>
                <w:szCs w:val="22"/>
              </w:rPr>
              <w:t xml:space="preserve"> u izmijenjenoj ITT-populaciji uključujući žene bez obzira na granični HPV status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656"/>
              <w:gridCol w:w="1289"/>
              <w:gridCol w:w="1333"/>
              <w:gridCol w:w="1227"/>
              <w:gridCol w:w="1227"/>
              <w:gridCol w:w="1279"/>
            </w:tblGrid>
            <w:tr w:rsidR="00CF4D6C" w:rsidRPr="00CF4D6C" w:rsidTr="005558C4">
              <w:trPr>
                <w:jc w:val="center"/>
              </w:trPr>
              <w:tc>
                <w:tcPr>
                  <w:tcW w:w="979" w:type="pct"/>
                  <w:vMerge w:val="restart"/>
                  <w:tcBorders>
                    <w:top w:val="single" w:sz="4" w:space="0" w:color="auto"/>
                    <w:left w:val="single" w:sz="4" w:space="0" w:color="auto"/>
                  </w:tcBorders>
                </w:tcPr>
                <w:p w:rsidR="00CF4D6C" w:rsidRPr="00CF4D6C" w:rsidRDefault="00CF4D6C" w:rsidP="005558C4">
                  <w:pPr>
                    <w:jc w:val="center"/>
                    <w:rPr>
                      <w:b/>
                      <w:bCs/>
                      <w:iCs/>
                      <w:sz w:val="22"/>
                      <w:szCs w:val="22"/>
                    </w:rPr>
                  </w:pPr>
                </w:p>
              </w:tc>
              <w:tc>
                <w:tcPr>
                  <w:tcW w:w="831" w:type="pct"/>
                </w:tcPr>
                <w:p w:rsidR="00CF4D6C" w:rsidRPr="00CF4D6C" w:rsidRDefault="00CF4D6C" w:rsidP="005558C4">
                  <w:pPr>
                    <w:jc w:val="center"/>
                    <w:rPr>
                      <w:b/>
                      <w:bCs/>
                      <w:iCs/>
                      <w:sz w:val="22"/>
                      <w:szCs w:val="22"/>
                    </w:rPr>
                  </w:pPr>
                  <w:r w:rsidRPr="00CF4D6C">
                    <w:rPr>
                      <w:b/>
                      <w:bCs/>
                      <w:sz w:val="22"/>
                      <w:szCs w:val="22"/>
                    </w:rPr>
                    <w:t>Gardasil</w:t>
                  </w:r>
                </w:p>
              </w:tc>
              <w:tc>
                <w:tcPr>
                  <w:tcW w:w="647" w:type="pct"/>
                </w:tcPr>
                <w:p w:rsidR="00CF4D6C" w:rsidRPr="00CF4D6C" w:rsidRDefault="00CF4D6C" w:rsidP="005558C4">
                  <w:pPr>
                    <w:jc w:val="center"/>
                    <w:rPr>
                      <w:b/>
                      <w:bCs/>
                      <w:iCs/>
                      <w:sz w:val="22"/>
                      <w:szCs w:val="22"/>
                    </w:rPr>
                  </w:pPr>
                  <w:r w:rsidRPr="00CF4D6C">
                    <w:rPr>
                      <w:b/>
                      <w:bCs/>
                      <w:sz w:val="22"/>
                      <w:szCs w:val="22"/>
                    </w:rPr>
                    <w:t>Placebo</w:t>
                  </w:r>
                </w:p>
              </w:tc>
              <w:tc>
                <w:tcPr>
                  <w:tcW w:w="669" w:type="pct"/>
                  <w:vMerge w:val="restart"/>
                  <w:tcBorders>
                    <w:right w:val="single" w:sz="18" w:space="0" w:color="auto"/>
                  </w:tcBorders>
                  <w:vAlign w:val="center"/>
                </w:tcPr>
                <w:p w:rsidR="00CF4D6C" w:rsidRPr="00CF4D6C" w:rsidRDefault="00CF4D6C" w:rsidP="005558C4">
                  <w:pPr>
                    <w:jc w:val="center"/>
                    <w:rPr>
                      <w:b/>
                      <w:bCs/>
                      <w:sz w:val="22"/>
                      <w:szCs w:val="22"/>
                    </w:rPr>
                  </w:pPr>
                  <w:r w:rsidRPr="00CF4D6C">
                    <w:rPr>
                      <w:b/>
                      <w:bCs/>
                      <w:sz w:val="22"/>
                      <w:szCs w:val="22"/>
                    </w:rPr>
                    <w:t>% Efikasnost</w:t>
                  </w:r>
                </w:p>
                <w:p w:rsidR="00CF4D6C" w:rsidRPr="00CF4D6C" w:rsidRDefault="00CF4D6C" w:rsidP="005558C4">
                  <w:pPr>
                    <w:jc w:val="center"/>
                    <w:rPr>
                      <w:b/>
                      <w:bCs/>
                      <w:sz w:val="22"/>
                      <w:szCs w:val="22"/>
                    </w:rPr>
                  </w:pPr>
                  <w:r w:rsidRPr="00CF4D6C">
                    <w:rPr>
                      <w:b/>
                      <w:bCs/>
                      <w:sz w:val="22"/>
                      <w:szCs w:val="22"/>
                    </w:rPr>
                    <w:t>poslije 2 godine</w:t>
                  </w:r>
                </w:p>
                <w:p w:rsidR="00CF4D6C" w:rsidRPr="00CF4D6C" w:rsidRDefault="00CF4D6C" w:rsidP="005558C4">
                  <w:pPr>
                    <w:jc w:val="center"/>
                    <w:rPr>
                      <w:b/>
                      <w:bCs/>
                      <w:iCs/>
                      <w:sz w:val="22"/>
                      <w:szCs w:val="22"/>
                    </w:rPr>
                  </w:pPr>
                  <w:r w:rsidRPr="00CF4D6C">
                    <w:rPr>
                      <w:b/>
                      <w:bCs/>
                      <w:sz w:val="22"/>
                      <w:szCs w:val="22"/>
                    </w:rPr>
                    <w:t>(95% CI)</w:t>
                  </w:r>
                </w:p>
              </w:tc>
              <w:tc>
                <w:tcPr>
                  <w:tcW w:w="616" w:type="pct"/>
                  <w:tcBorders>
                    <w:left w:val="single" w:sz="18" w:space="0" w:color="auto"/>
                  </w:tcBorders>
                </w:tcPr>
                <w:p w:rsidR="00CF4D6C" w:rsidRPr="00CF4D6C" w:rsidRDefault="00CF4D6C" w:rsidP="005558C4">
                  <w:pPr>
                    <w:jc w:val="center"/>
                    <w:rPr>
                      <w:b/>
                      <w:bCs/>
                      <w:iCs/>
                      <w:sz w:val="22"/>
                      <w:szCs w:val="22"/>
                    </w:rPr>
                  </w:pPr>
                  <w:r w:rsidRPr="00CF4D6C">
                    <w:rPr>
                      <w:b/>
                      <w:bCs/>
                      <w:sz w:val="22"/>
                      <w:szCs w:val="22"/>
                    </w:rPr>
                    <w:t>Gardasil</w:t>
                  </w:r>
                </w:p>
              </w:tc>
              <w:tc>
                <w:tcPr>
                  <w:tcW w:w="616" w:type="pct"/>
                </w:tcPr>
                <w:p w:rsidR="00CF4D6C" w:rsidRPr="00CF4D6C" w:rsidRDefault="00CF4D6C" w:rsidP="005558C4">
                  <w:pPr>
                    <w:jc w:val="center"/>
                    <w:rPr>
                      <w:b/>
                      <w:bCs/>
                      <w:iCs/>
                      <w:sz w:val="22"/>
                      <w:szCs w:val="22"/>
                    </w:rPr>
                  </w:pPr>
                  <w:r w:rsidRPr="00CF4D6C">
                    <w:rPr>
                      <w:b/>
                      <w:bCs/>
                      <w:sz w:val="22"/>
                      <w:szCs w:val="22"/>
                    </w:rPr>
                    <w:t>Placebo</w:t>
                  </w:r>
                </w:p>
              </w:tc>
              <w:tc>
                <w:tcPr>
                  <w:tcW w:w="642" w:type="pct"/>
                  <w:vMerge w:val="restart"/>
                  <w:vAlign w:val="center"/>
                </w:tcPr>
                <w:p w:rsidR="00CF4D6C" w:rsidRPr="00CF4D6C" w:rsidRDefault="00CF4D6C" w:rsidP="005558C4">
                  <w:pPr>
                    <w:jc w:val="center"/>
                    <w:rPr>
                      <w:b/>
                      <w:bCs/>
                      <w:sz w:val="22"/>
                      <w:szCs w:val="22"/>
                    </w:rPr>
                  </w:pPr>
                  <w:r w:rsidRPr="00CF4D6C">
                    <w:rPr>
                      <w:b/>
                      <w:bCs/>
                      <w:sz w:val="22"/>
                      <w:szCs w:val="22"/>
                    </w:rPr>
                    <w:t>% Efikasnost**</w:t>
                  </w:r>
                </w:p>
                <w:p w:rsidR="00CF4D6C" w:rsidRPr="00CF4D6C" w:rsidRDefault="00CF4D6C" w:rsidP="005558C4">
                  <w:pPr>
                    <w:jc w:val="center"/>
                    <w:rPr>
                      <w:b/>
                      <w:bCs/>
                      <w:sz w:val="22"/>
                      <w:szCs w:val="22"/>
                    </w:rPr>
                  </w:pPr>
                  <w:r w:rsidRPr="00CF4D6C">
                    <w:rPr>
                      <w:b/>
                      <w:bCs/>
                      <w:sz w:val="22"/>
                      <w:szCs w:val="22"/>
                    </w:rPr>
                    <w:t>na kraju studije</w:t>
                  </w:r>
                </w:p>
                <w:p w:rsidR="00CF4D6C" w:rsidRPr="00CF4D6C" w:rsidRDefault="00CF4D6C" w:rsidP="005558C4">
                  <w:pPr>
                    <w:jc w:val="center"/>
                    <w:rPr>
                      <w:b/>
                      <w:bCs/>
                      <w:iCs/>
                      <w:sz w:val="22"/>
                      <w:szCs w:val="22"/>
                    </w:rPr>
                  </w:pPr>
                  <w:r w:rsidRPr="00CF4D6C">
                    <w:rPr>
                      <w:b/>
                      <w:bCs/>
                      <w:sz w:val="22"/>
                      <w:szCs w:val="22"/>
                    </w:rPr>
                    <w:t xml:space="preserve"> (95% CI)</w:t>
                  </w:r>
                </w:p>
              </w:tc>
            </w:tr>
            <w:tr w:rsidR="00CF4D6C" w:rsidRPr="00CF4D6C" w:rsidTr="005558C4">
              <w:trPr>
                <w:jc w:val="center"/>
              </w:trPr>
              <w:tc>
                <w:tcPr>
                  <w:tcW w:w="979" w:type="pct"/>
                  <w:vMerge/>
                  <w:tcBorders>
                    <w:left w:val="single" w:sz="4" w:space="0" w:color="auto"/>
                  </w:tcBorders>
                </w:tcPr>
                <w:p w:rsidR="00CF4D6C" w:rsidRPr="00CF4D6C" w:rsidRDefault="00CF4D6C" w:rsidP="005558C4">
                  <w:pPr>
                    <w:jc w:val="center"/>
                    <w:rPr>
                      <w:b/>
                      <w:bCs/>
                      <w:iCs/>
                      <w:sz w:val="22"/>
                      <w:szCs w:val="22"/>
                    </w:rPr>
                  </w:pPr>
                </w:p>
              </w:tc>
              <w:tc>
                <w:tcPr>
                  <w:tcW w:w="831" w:type="pct"/>
                </w:tcPr>
                <w:p w:rsidR="00CF4D6C" w:rsidRPr="00CF4D6C" w:rsidRDefault="00CF4D6C" w:rsidP="005558C4">
                  <w:pPr>
                    <w:pBdr>
                      <w:bottom w:val="single" w:sz="6" w:space="1" w:color="auto"/>
                    </w:pBdr>
                    <w:jc w:val="center"/>
                    <w:rPr>
                      <w:b/>
                      <w:bCs/>
                      <w:sz w:val="22"/>
                      <w:szCs w:val="22"/>
                    </w:rPr>
                  </w:pPr>
                </w:p>
                <w:p w:rsidR="00CF4D6C" w:rsidRPr="00CF4D6C" w:rsidRDefault="00CF4D6C" w:rsidP="005558C4">
                  <w:pPr>
                    <w:pBdr>
                      <w:bottom w:val="single" w:sz="6" w:space="1" w:color="auto"/>
                    </w:pBdr>
                    <w:jc w:val="center"/>
                    <w:rPr>
                      <w:b/>
                      <w:bCs/>
                      <w:sz w:val="22"/>
                      <w:szCs w:val="22"/>
                    </w:rPr>
                  </w:pPr>
                  <w:r w:rsidRPr="00CF4D6C">
                    <w:rPr>
                      <w:b/>
                      <w:bCs/>
                      <w:sz w:val="22"/>
                      <w:szCs w:val="22"/>
                    </w:rPr>
                    <w:t>Broj slučajeva</w:t>
                  </w:r>
                </w:p>
                <w:p w:rsidR="00CF4D6C" w:rsidRPr="00CF4D6C" w:rsidRDefault="00CF4D6C" w:rsidP="005558C4">
                  <w:pPr>
                    <w:jc w:val="center"/>
                    <w:rPr>
                      <w:b/>
                      <w:bCs/>
                      <w:sz w:val="22"/>
                      <w:szCs w:val="22"/>
                    </w:rPr>
                  </w:pPr>
                  <w:r w:rsidRPr="00CF4D6C">
                    <w:rPr>
                      <w:b/>
                      <w:bCs/>
                      <w:sz w:val="22"/>
                      <w:szCs w:val="22"/>
                    </w:rPr>
                    <w:t>Broj subjekata*</w:t>
                  </w:r>
                </w:p>
              </w:tc>
              <w:tc>
                <w:tcPr>
                  <w:tcW w:w="647" w:type="pct"/>
                </w:tcPr>
                <w:p w:rsidR="00CF4D6C" w:rsidRPr="00CF4D6C" w:rsidRDefault="00CF4D6C" w:rsidP="005558C4">
                  <w:pPr>
                    <w:pBdr>
                      <w:bottom w:val="single" w:sz="6" w:space="1" w:color="auto"/>
                    </w:pBdr>
                    <w:jc w:val="center"/>
                    <w:rPr>
                      <w:b/>
                      <w:bCs/>
                      <w:sz w:val="22"/>
                      <w:szCs w:val="22"/>
                    </w:rPr>
                  </w:pPr>
                  <w:r w:rsidRPr="00CF4D6C">
                    <w:rPr>
                      <w:b/>
                      <w:bCs/>
                      <w:sz w:val="22"/>
                      <w:szCs w:val="22"/>
                    </w:rPr>
                    <w:t>Broj slučajeva</w:t>
                  </w:r>
                </w:p>
                <w:p w:rsidR="00CF4D6C" w:rsidRPr="00CF4D6C" w:rsidRDefault="00CF4D6C" w:rsidP="005558C4">
                  <w:pPr>
                    <w:jc w:val="center"/>
                    <w:rPr>
                      <w:b/>
                      <w:bCs/>
                      <w:sz w:val="22"/>
                      <w:szCs w:val="22"/>
                    </w:rPr>
                  </w:pPr>
                  <w:r w:rsidRPr="00CF4D6C">
                    <w:rPr>
                      <w:b/>
                      <w:bCs/>
                      <w:sz w:val="22"/>
                      <w:szCs w:val="22"/>
                    </w:rPr>
                    <w:t>Broj subjekata*</w:t>
                  </w:r>
                </w:p>
              </w:tc>
              <w:tc>
                <w:tcPr>
                  <w:tcW w:w="669" w:type="pct"/>
                  <w:vMerge/>
                  <w:tcBorders>
                    <w:right w:val="single" w:sz="18" w:space="0" w:color="auto"/>
                  </w:tcBorders>
                </w:tcPr>
                <w:p w:rsidR="00CF4D6C" w:rsidRPr="00CF4D6C" w:rsidRDefault="00CF4D6C" w:rsidP="005558C4">
                  <w:pPr>
                    <w:jc w:val="center"/>
                    <w:rPr>
                      <w:b/>
                      <w:bCs/>
                      <w:sz w:val="22"/>
                      <w:szCs w:val="22"/>
                    </w:rPr>
                  </w:pPr>
                </w:p>
              </w:tc>
              <w:tc>
                <w:tcPr>
                  <w:tcW w:w="616" w:type="pct"/>
                  <w:tcBorders>
                    <w:left w:val="single" w:sz="18" w:space="0" w:color="auto"/>
                  </w:tcBorders>
                </w:tcPr>
                <w:p w:rsidR="00CF4D6C" w:rsidRPr="00CF4D6C" w:rsidRDefault="00CF4D6C" w:rsidP="005558C4">
                  <w:pPr>
                    <w:pBdr>
                      <w:bottom w:val="single" w:sz="6" w:space="1" w:color="auto"/>
                    </w:pBdr>
                    <w:jc w:val="center"/>
                    <w:rPr>
                      <w:b/>
                      <w:bCs/>
                      <w:sz w:val="22"/>
                      <w:szCs w:val="22"/>
                    </w:rPr>
                  </w:pPr>
                  <w:r w:rsidRPr="00CF4D6C">
                    <w:rPr>
                      <w:b/>
                      <w:bCs/>
                      <w:sz w:val="22"/>
                      <w:szCs w:val="22"/>
                    </w:rPr>
                    <w:t>Broj slučajeva</w:t>
                  </w:r>
                </w:p>
                <w:p w:rsidR="00CF4D6C" w:rsidRPr="00CF4D6C" w:rsidRDefault="00CF4D6C" w:rsidP="005558C4">
                  <w:pPr>
                    <w:jc w:val="center"/>
                    <w:rPr>
                      <w:b/>
                      <w:bCs/>
                      <w:sz w:val="22"/>
                      <w:szCs w:val="22"/>
                    </w:rPr>
                  </w:pPr>
                  <w:r w:rsidRPr="00CF4D6C">
                    <w:rPr>
                      <w:b/>
                      <w:bCs/>
                      <w:sz w:val="22"/>
                      <w:szCs w:val="22"/>
                    </w:rPr>
                    <w:t>Broj subjekata*</w:t>
                  </w:r>
                </w:p>
              </w:tc>
              <w:tc>
                <w:tcPr>
                  <w:tcW w:w="616" w:type="pct"/>
                </w:tcPr>
                <w:p w:rsidR="00CF4D6C" w:rsidRPr="00CF4D6C" w:rsidRDefault="00CF4D6C" w:rsidP="005558C4">
                  <w:pPr>
                    <w:pBdr>
                      <w:bottom w:val="single" w:sz="6" w:space="1" w:color="auto"/>
                    </w:pBdr>
                    <w:jc w:val="center"/>
                    <w:rPr>
                      <w:b/>
                      <w:bCs/>
                      <w:sz w:val="22"/>
                      <w:szCs w:val="22"/>
                    </w:rPr>
                  </w:pPr>
                  <w:r w:rsidRPr="00CF4D6C">
                    <w:rPr>
                      <w:b/>
                      <w:bCs/>
                      <w:sz w:val="22"/>
                      <w:szCs w:val="22"/>
                    </w:rPr>
                    <w:t>Broj slučajeva</w:t>
                  </w:r>
                </w:p>
                <w:p w:rsidR="00CF4D6C" w:rsidRPr="00CF4D6C" w:rsidRDefault="00CF4D6C" w:rsidP="005558C4">
                  <w:pPr>
                    <w:jc w:val="center"/>
                    <w:rPr>
                      <w:b/>
                      <w:bCs/>
                      <w:sz w:val="22"/>
                      <w:szCs w:val="22"/>
                    </w:rPr>
                  </w:pPr>
                  <w:r w:rsidRPr="00CF4D6C">
                    <w:rPr>
                      <w:b/>
                      <w:bCs/>
                      <w:sz w:val="22"/>
                      <w:szCs w:val="22"/>
                    </w:rPr>
                    <w:t>Broj subjekata*</w:t>
                  </w:r>
                </w:p>
              </w:tc>
              <w:tc>
                <w:tcPr>
                  <w:tcW w:w="642" w:type="pct"/>
                  <w:vMerge/>
                </w:tcPr>
                <w:p w:rsidR="00CF4D6C" w:rsidRPr="00CF4D6C" w:rsidRDefault="00CF4D6C" w:rsidP="005558C4">
                  <w:pPr>
                    <w:jc w:val="center"/>
                    <w:rPr>
                      <w:b/>
                      <w:bCs/>
                      <w:sz w:val="22"/>
                      <w:szCs w:val="22"/>
                    </w:rPr>
                  </w:pPr>
                </w:p>
              </w:tc>
            </w:tr>
            <w:tr w:rsidR="00CF4D6C" w:rsidRPr="00CF4D6C" w:rsidTr="005558C4">
              <w:trPr>
                <w:jc w:val="center"/>
              </w:trPr>
              <w:tc>
                <w:tcPr>
                  <w:tcW w:w="979" w:type="pct"/>
                </w:tcPr>
                <w:p w:rsidR="00CF4D6C" w:rsidRPr="00CF4D6C" w:rsidRDefault="00CF4D6C" w:rsidP="005558C4">
                  <w:pPr>
                    <w:rPr>
                      <w:b/>
                      <w:bCs/>
                      <w:iCs/>
                      <w:sz w:val="22"/>
                      <w:szCs w:val="22"/>
                    </w:rPr>
                  </w:pPr>
                  <w:r w:rsidRPr="00CF4D6C">
                    <w:rPr>
                      <w:b/>
                      <w:bCs/>
                      <w:sz w:val="22"/>
                      <w:szCs w:val="22"/>
                    </w:rPr>
                    <w:t>CIN 2/3 ili AIS izazvani HPV 16/18</w:t>
                  </w:r>
                </w:p>
              </w:tc>
              <w:tc>
                <w:tcPr>
                  <w:tcW w:w="831" w:type="pct"/>
                  <w:tcBorders>
                    <w:bottom w:val="single" w:sz="4"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122</w:t>
                  </w:r>
                </w:p>
                <w:p w:rsidR="00CF4D6C" w:rsidRPr="00CF4D6C" w:rsidRDefault="00CF4D6C" w:rsidP="005558C4">
                  <w:pPr>
                    <w:jc w:val="center"/>
                    <w:rPr>
                      <w:bCs/>
                      <w:sz w:val="22"/>
                      <w:szCs w:val="22"/>
                    </w:rPr>
                  </w:pPr>
                  <w:r w:rsidRPr="00CF4D6C">
                    <w:rPr>
                      <w:bCs/>
                      <w:sz w:val="22"/>
                      <w:szCs w:val="22"/>
                    </w:rPr>
                    <w:t>9831</w:t>
                  </w:r>
                </w:p>
              </w:tc>
              <w:tc>
                <w:tcPr>
                  <w:tcW w:w="647" w:type="pct"/>
                </w:tcPr>
                <w:p w:rsidR="00CF4D6C" w:rsidRPr="00CF4D6C" w:rsidRDefault="00CF4D6C" w:rsidP="005558C4">
                  <w:pPr>
                    <w:pBdr>
                      <w:bottom w:val="single" w:sz="6" w:space="1" w:color="auto"/>
                    </w:pBdr>
                    <w:jc w:val="center"/>
                    <w:rPr>
                      <w:bCs/>
                      <w:sz w:val="22"/>
                      <w:szCs w:val="22"/>
                    </w:rPr>
                  </w:pPr>
                  <w:r w:rsidRPr="00CF4D6C">
                    <w:rPr>
                      <w:bCs/>
                      <w:sz w:val="22"/>
                      <w:szCs w:val="22"/>
                    </w:rPr>
                    <w:t>201</w:t>
                  </w:r>
                </w:p>
                <w:p w:rsidR="00CF4D6C" w:rsidRPr="00CF4D6C" w:rsidRDefault="00CF4D6C" w:rsidP="005558C4">
                  <w:pPr>
                    <w:jc w:val="center"/>
                    <w:rPr>
                      <w:bCs/>
                      <w:sz w:val="22"/>
                      <w:szCs w:val="22"/>
                    </w:rPr>
                  </w:pPr>
                  <w:r w:rsidRPr="00CF4D6C">
                    <w:rPr>
                      <w:bCs/>
                      <w:sz w:val="22"/>
                      <w:szCs w:val="22"/>
                    </w:rPr>
                    <w:t>9896</w:t>
                  </w:r>
                </w:p>
              </w:tc>
              <w:tc>
                <w:tcPr>
                  <w:tcW w:w="669" w:type="pct"/>
                  <w:tcBorders>
                    <w:right w:val="single" w:sz="18" w:space="0" w:color="auto"/>
                  </w:tcBorders>
                </w:tcPr>
                <w:p w:rsidR="00CF4D6C" w:rsidRPr="00CF4D6C" w:rsidRDefault="00CF4D6C" w:rsidP="005558C4">
                  <w:pPr>
                    <w:jc w:val="center"/>
                    <w:rPr>
                      <w:sz w:val="22"/>
                      <w:szCs w:val="22"/>
                    </w:rPr>
                  </w:pPr>
                  <w:r w:rsidRPr="00CF4D6C">
                    <w:rPr>
                      <w:sz w:val="22"/>
                      <w:szCs w:val="22"/>
                    </w:rPr>
                    <w:t>39,0</w:t>
                  </w:r>
                </w:p>
                <w:p w:rsidR="00CF4D6C" w:rsidRPr="00CF4D6C" w:rsidRDefault="00CF4D6C" w:rsidP="005558C4">
                  <w:pPr>
                    <w:jc w:val="center"/>
                    <w:rPr>
                      <w:bCs/>
                      <w:sz w:val="22"/>
                      <w:szCs w:val="22"/>
                    </w:rPr>
                  </w:pPr>
                  <w:r w:rsidRPr="00CF4D6C">
                    <w:rPr>
                      <w:sz w:val="22"/>
                      <w:szCs w:val="22"/>
                    </w:rPr>
                    <w:t>(23,3, 51,7)</w:t>
                  </w:r>
                </w:p>
              </w:tc>
              <w:tc>
                <w:tcPr>
                  <w:tcW w:w="616" w:type="pct"/>
                  <w:tcBorders>
                    <w:left w:val="single" w:sz="18"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146</w:t>
                  </w:r>
                </w:p>
                <w:p w:rsidR="00CF4D6C" w:rsidRPr="00CF4D6C" w:rsidRDefault="00CF4D6C" w:rsidP="005558C4">
                  <w:pPr>
                    <w:jc w:val="center"/>
                    <w:rPr>
                      <w:bCs/>
                      <w:sz w:val="22"/>
                      <w:szCs w:val="22"/>
                    </w:rPr>
                  </w:pPr>
                  <w:r w:rsidRPr="00CF4D6C">
                    <w:rPr>
                      <w:bCs/>
                      <w:sz w:val="22"/>
                      <w:szCs w:val="22"/>
                    </w:rPr>
                    <w:t>9836</w:t>
                  </w:r>
                </w:p>
              </w:tc>
              <w:tc>
                <w:tcPr>
                  <w:tcW w:w="616" w:type="pct"/>
                </w:tcPr>
                <w:p w:rsidR="00CF4D6C" w:rsidRPr="00CF4D6C" w:rsidRDefault="00CF4D6C" w:rsidP="005558C4">
                  <w:pPr>
                    <w:pBdr>
                      <w:bottom w:val="single" w:sz="6" w:space="1" w:color="auto"/>
                    </w:pBdr>
                    <w:jc w:val="center"/>
                    <w:rPr>
                      <w:bCs/>
                      <w:sz w:val="22"/>
                      <w:szCs w:val="22"/>
                    </w:rPr>
                  </w:pPr>
                  <w:r w:rsidRPr="00CF4D6C">
                    <w:rPr>
                      <w:bCs/>
                      <w:sz w:val="22"/>
                      <w:szCs w:val="22"/>
                    </w:rPr>
                    <w:t>303</w:t>
                  </w:r>
                </w:p>
                <w:p w:rsidR="00CF4D6C" w:rsidRPr="00CF4D6C" w:rsidRDefault="00CF4D6C" w:rsidP="005558C4">
                  <w:pPr>
                    <w:jc w:val="center"/>
                    <w:rPr>
                      <w:bCs/>
                      <w:sz w:val="22"/>
                      <w:szCs w:val="22"/>
                    </w:rPr>
                  </w:pPr>
                  <w:r w:rsidRPr="00CF4D6C">
                    <w:rPr>
                      <w:bCs/>
                      <w:sz w:val="22"/>
                      <w:szCs w:val="22"/>
                    </w:rPr>
                    <w:t>9904</w:t>
                  </w:r>
                </w:p>
              </w:tc>
              <w:tc>
                <w:tcPr>
                  <w:tcW w:w="642" w:type="pct"/>
                </w:tcPr>
                <w:p w:rsidR="00CF4D6C" w:rsidRPr="00CF4D6C" w:rsidRDefault="00CF4D6C" w:rsidP="005558C4">
                  <w:pPr>
                    <w:jc w:val="center"/>
                    <w:rPr>
                      <w:bCs/>
                      <w:iCs/>
                      <w:sz w:val="22"/>
                      <w:szCs w:val="22"/>
                    </w:rPr>
                  </w:pPr>
                  <w:r w:rsidRPr="00CF4D6C">
                    <w:rPr>
                      <w:bCs/>
                      <w:iCs/>
                      <w:sz w:val="22"/>
                      <w:szCs w:val="22"/>
                    </w:rPr>
                    <w:t>51,8</w:t>
                  </w:r>
                </w:p>
                <w:p w:rsidR="00CF4D6C" w:rsidRPr="00CF4D6C" w:rsidRDefault="00CF4D6C" w:rsidP="005558C4">
                  <w:pPr>
                    <w:jc w:val="center"/>
                    <w:rPr>
                      <w:bCs/>
                      <w:sz w:val="22"/>
                      <w:szCs w:val="22"/>
                    </w:rPr>
                  </w:pPr>
                  <w:r w:rsidRPr="00CF4D6C">
                    <w:rPr>
                      <w:bCs/>
                      <w:iCs/>
                      <w:sz w:val="22"/>
                      <w:szCs w:val="22"/>
                    </w:rPr>
                    <w:t>(41,1, 60,7)</w:t>
                  </w:r>
                </w:p>
              </w:tc>
            </w:tr>
            <w:tr w:rsidR="00CF4D6C" w:rsidRPr="00CF4D6C" w:rsidTr="005558C4">
              <w:trPr>
                <w:trHeight w:val="563"/>
                <w:jc w:val="center"/>
              </w:trPr>
              <w:tc>
                <w:tcPr>
                  <w:tcW w:w="979" w:type="pct"/>
                </w:tcPr>
                <w:p w:rsidR="00CF4D6C" w:rsidRPr="00CF4D6C" w:rsidRDefault="00CF4D6C" w:rsidP="005558C4">
                  <w:pPr>
                    <w:rPr>
                      <w:b/>
                      <w:bCs/>
                      <w:sz w:val="22"/>
                      <w:szCs w:val="22"/>
                    </w:rPr>
                  </w:pPr>
                  <w:r w:rsidRPr="00CF4D6C">
                    <w:rPr>
                      <w:b/>
                      <w:iCs/>
                      <w:sz w:val="22"/>
                      <w:szCs w:val="22"/>
                    </w:rPr>
                    <w:t xml:space="preserve">CIN 3 </w:t>
                  </w:r>
                  <w:r w:rsidRPr="00CF4D6C">
                    <w:rPr>
                      <w:b/>
                      <w:bCs/>
                      <w:sz w:val="22"/>
                      <w:szCs w:val="22"/>
                    </w:rPr>
                    <w:t>izazvani HPV 16/18</w:t>
                  </w:r>
                </w:p>
              </w:tc>
              <w:tc>
                <w:tcPr>
                  <w:tcW w:w="831" w:type="pct"/>
                  <w:tcBorders>
                    <w:bottom w:val="single" w:sz="4"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83</w:t>
                  </w:r>
                </w:p>
                <w:p w:rsidR="00CF4D6C" w:rsidRPr="00CF4D6C" w:rsidRDefault="00CF4D6C" w:rsidP="005558C4">
                  <w:pPr>
                    <w:jc w:val="center"/>
                    <w:rPr>
                      <w:sz w:val="22"/>
                      <w:szCs w:val="22"/>
                    </w:rPr>
                  </w:pPr>
                  <w:r w:rsidRPr="00CF4D6C">
                    <w:rPr>
                      <w:bCs/>
                      <w:sz w:val="22"/>
                      <w:szCs w:val="22"/>
                    </w:rPr>
                    <w:t>9831</w:t>
                  </w:r>
                </w:p>
              </w:tc>
              <w:tc>
                <w:tcPr>
                  <w:tcW w:w="647" w:type="pct"/>
                </w:tcPr>
                <w:p w:rsidR="00CF4D6C" w:rsidRPr="00CF4D6C" w:rsidRDefault="00CF4D6C" w:rsidP="005558C4">
                  <w:pPr>
                    <w:pBdr>
                      <w:bottom w:val="single" w:sz="6" w:space="1" w:color="auto"/>
                    </w:pBdr>
                    <w:jc w:val="center"/>
                    <w:rPr>
                      <w:bCs/>
                      <w:sz w:val="22"/>
                      <w:szCs w:val="22"/>
                    </w:rPr>
                  </w:pPr>
                  <w:r w:rsidRPr="00CF4D6C">
                    <w:rPr>
                      <w:bCs/>
                      <w:sz w:val="22"/>
                      <w:szCs w:val="22"/>
                    </w:rPr>
                    <w:t>127</w:t>
                  </w:r>
                </w:p>
                <w:p w:rsidR="00CF4D6C" w:rsidRPr="00CF4D6C" w:rsidRDefault="00CF4D6C" w:rsidP="005558C4">
                  <w:pPr>
                    <w:jc w:val="center"/>
                    <w:rPr>
                      <w:sz w:val="22"/>
                      <w:szCs w:val="22"/>
                    </w:rPr>
                  </w:pPr>
                  <w:r w:rsidRPr="00CF4D6C">
                    <w:rPr>
                      <w:bCs/>
                      <w:sz w:val="22"/>
                      <w:szCs w:val="22"/>
                    </w:rPr>
                    <w:t>9896</w:t>
                  </w:r>
                </w:p>
              </w:tc>
              <w:tc>
                <w:tcPr>
                  <w:tcW w:w="669" w:type="pct"/>
                  <w:tcBorders>
                    <w:right w:val="single" w:sz="18" w:space="0" w:color="auto"/>
                  </w:tcBorders>
                </w:tcPr>
                <w:p w:rsidR="00CF4D6C" w:rsidRPr="00CF4D6C" w:rsidRDefault="00CF4D6C" w:rsidP="005558C4">
                  <w:pPr>
                    <w:jc w:val="center"/>
                    <w:rPr>
                      <w:sz w:val="22"/>
                      <w:szCs w:val="22"/>
                    </w:rPr>
                  </w:pPr>
                  <w:r w:rsidRPr="00CF4D6C">
                    <w:rPr>
                      <w:sz w:val="22"/>
                      <w:szCs w:val="22"/>
                    </w:rPr>
                    <w:t xml:space="preserve">34,3 </w:t>
                  </w:r>
                </w:p>
                <w:p w:rsidR="00CF4D6C" w:rsidRPr="00CF4D6C" w:rsidRDefault="00CF4D6C" w:rsidP="005558C4">
                  <w:pPr>
                    <w:jc w:val="center"/>
                    <w:rPr>
                      <w:sz w:val="22"/>
                      <w:szCs w:val="22"/>
                    </w:rPr>
                  </w:pPr>
                  <w:r w:rsidRPr="00CF4D6C">
                    <w:rPr>
                      <w:sz w:val="22"/>
                      <w:szCs w:val="22"/>
                    </w:rPr>
                    <w:t xml:space="preserve">(12,7, 50,8) </w:t>
                  </w:r>
                </w:p>
              </w:tc>
              <w:tc>
                <w:tcPr>
                  <w:tcW w:w="616" w:type="pct"/>
                  <w:tcBorders>
                    <w:left w:val="single" w:sz="18"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103</w:t>
                  </w:r>
                </w:p>
                <w:p w:rsidR="00CF4D6C" w:rsidRPr="00CF4D6C" w:rsidRDefault="00CF4D6C" w:rsidP="005558C4">
                  <w:pPr>
                    <w:jc w:val="center"/>
                    <w:rPr>
                      <w:sz w:val="22"/>
                      <w:szCs w:val="22"/>
                    </w:rPr>
                  </w:pPr>
                  <w:r w:rsidRPr="00CF4D6C">
                    <w:rPr>
                      <w:bCs/>
                      <w:sz w:val="22"/>
                      <w:szCs w:val="22"/>
                    </w:rPr>
                    <w:t>9836</w:t>
                  </w:r>
                </w:p>
              </w:tc>
              <w:tc>
                <w:tcPr>
                  <w:tcW w:w="616" w:type="pct"/>
                </w:tcPr>
                <w:p w:rsidR="00CF4D6C" w:rsidRPr="00CF4D6C" w:rsidRDefault="00CF4D6C" w:rsidP="005558C4">
                  <w:pPr>
                    <w:pBdr>
                      <w:bottom w:val="single" w:sz="6" w:space="1" w:color="auto"/>
                    </w:pBdr>
                    <w:jc w:val="center"/>
                    <w:rPr>
                      <w:bCs/>
                      <w:sz w:val="22"/>
                      <w:szCs w:val="22"/>
                    </w:rPr>
                  </w:pPr>
                  <w:r w:rsidRPr="00CF4D6C">
                    <w:rPr>
                      <w:bCs/>
                      <w:sz w:val="22"/>
                      <w:szCs w:val="22"/>
                    </w:rPr>
                    <w:t>191</w:t>
                  </w:r>
                </w:p>
                <w:p w:rsidR="00CF4D6C" w:rsidRPr="00CF4D6C" w:rsidRDefault="00CF4D6C" w:rsidP="005558C4">
                  <w:pPr>
                    <w:jc w:val="center"/>
                    <w:rPr>
                      <w:sz w:val="22"/>
                      <w:szCs w:val="22"/>
                    </w:rPr>
                  </w:pPr>
                  <w:r w:rsidRPr="00CF4D6C">
                    <w:rPr>
                      <w:bCs/>
                      <w:sz w:val="22"/>
                      <w:szCs w:val="22"/>
                    </w:rPr>
                    <w:t>9904</w:t>
                  </w:r>
                </w:p>
              </w:tc>
              <w:tc>
                <w:tcPr>
                  <w:tcW w:w="642" w:type="pct"/>
                </w:tcPr>
                <w:p w:rsidR="00CF4D6C" w:rsidRPr="00CF4D6C" w:rsidRDefault="00CF4D6C" w:rsidP="005558C4">
                  <w:pPr>
                    <w:jc w:val="center"/>
                    <w:rPr>
                      <w:bCs/>
                      <w:sz w:val="22"/>
                      <w:szCs w:val="22"/>
                    </w:rPr>
                  </w:pPr>
                  <w:r w:rsidRPr="00CF4D6C">
                    <w:rPr>
                      <w:bCs/>
                      <w:sz w:val="22"/>
                      <w:szCs w:val="22"/>
                    </w:rPr>
                    <w:t xml:space="preserve">46,0 </w:t>
                  </w:r>
                </w:p>
                <w:p w:rsidR="00CF4D6C" w:rsidRPr="00CF4D6C" w:rsidRDefault="00CF4D6C" w:rsidP="005558C4">
                  <w:pPr>
                    <w:jc w:val="center"/>
                    <w:rPr>
                      <w:bCs/>
                      <w:iCs/>
                      <w:sz w:val="22"/>
                      <w:szCs w:val="22"/>
                    </w:rPr>
                  </w:pPr>
                  <w:r w:rsidRPr="00CF4D6C">
                    <w:rPr>
                      <w:bCs/>
                      <w:sz w:val="22"/>
                      <w:szCs w:val="22"/>
                    </w:rPr>
                    <w:t>(31,0, 57,9)</w:t>
                  </w:r>
                </w:p>
              </w:tc>
            </w:tr>
            <w:tr w:rsidR="00CF4D6C" w:rsidRPr="00CF4D6C" w:rsidTr="005558C4">
              <w:trPr>
                <w:trHeight w:val="557"/>
                <w:jc w:val="center"/>
              </w:trPr>
              <w:tc>
                <w:tcPr>
                  <w:tcW w:w="979" w:type="pct"/>
                </w:tcPr>
                <w:p w:rsidR="00CF4D6C" w:rsidRPr="00CF4D6C" w:rsidRDefault="00CF4D6C" w:rsidP="005558C4">
                  <w:pPr>
                    <w:rPr>
                      <w:b/>
                      <w:iCs/>
                      <w:sz w:val="22"/>
                      <w:szCs w:val="22"/>
                    </w:rPr>
                  </w:pPr>
                  <w:r w:rsidRPr="00CF4D6C">
                    <w:rPr>
                      <w:b/>
                      <w:iCs/>
                      <w:sz w:val="22"/>
                      <w:szCs w:val="22"/>
                    </w:rPr>
                    <w:t xml:space="preserve">AIS </w:t>
                  </w:r>
                  <w:r w:rsidRPr="00CF4D6C">
                    <w:rPr>
                      <w:b/>
                      <w:bCs/>
                      <w:sz w:val="22"/>
                      <w:szCs w:val="22"/>
                    </w:rPr>
                    <w:t>izazvani HPV 16/18</w:t>
                  </w:r>
                </w:p>
              </w:tc>
              <w:tc>
                <w:tcPr>
                  <w:tcW w:w="831" w:type="pct"/>
                  <w:tcBorders>
                    <w:bottom w:val="single" w:sz="4"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5</w:t>
                  </w:r>
                </w:p>
                <w:p w:rsidR="00CF4D6C" w:rsidRPr="00CF4D6C" w:rsidRDefault="00CF4D6C" w:rsidP="005558C4">
                  <w:pPr>
                    <w:jc w:val="center"/>
                    <w:rPr>
                      <w:sz w:val="22"/>
                      <w:szCs w:val="22"/>
                    </w:rPr>
                  </w:pPr>
                  <w:r w:rsidRPr="00CF4D6C">
                    <w:rPr>
                      <w:bCs/>
                      <w:sz w:val="22"/>
                      <w:szCs w:val="22"/>
                    </w:rPr>
                    <w:t>9831</w:t>
                  </w:r>
                </w:p>
              </w:tc>
              <w:tc>
                <w:tcPr>
                  <w:tcW w:w="647" w:type="pct"/>
                </w:tcPr>
                <w:p w:rsidR="00CF4D6C" w:rsidRPr="00CF4D6C" w:rsidRDefault="00CF4D6C" w:rsidP="005558C4">
                  <w:pPr>
                    <w:pBdr>
                      <w:bottom w:val="single" w:sz="6" w:space="1" w:color="auto"/>
                    </w:pBdr>
                    <w:jc w:val="center"/>
                    <w:rPr>
                      <w:bCs/>
                      <w:sz w:val="22"/>
                      <w:szCs w:val="22"/>
                    </w:rPr>
                  </w:pPr>
                  <w:r w:rsidRPr="00CF4D6C">
                    <w:rPr>
                      <w:bCs/>
                      <w:sz w:val="22"/>
                      <w:szCs w:val="22"/>
                    </w:rPr>
                    <w:t>11</w:t>
                  </w:r>
                </w:p>
                <w:p w:rsidR="00CF4D6C" w:rsidRPr="00CF4D6C" w:rsidRDefault="00CF4D6C" w:rsidP="005558C4">
                  <w:pPr>
                    <w:jc w:val="center"/>
                    <w:rPr>
                      <w:sz w:val="22"/>
                      <w:szCs w:val="22"/>
                    </w:rPr>
                  </w:pPr>
                  <w:r w:rsidRPr="00CF4D6C">
                    <w:rPr>
                      <w:bCs/>
                      <w:sz w:val="22"/>
                      <w:szCs w:val="22"/>
                    </w:rPr>
                    <w:t>9896</w:t>
                  </w:r>
                </w:p>
              </w:tc>
              <w:tc>
                <w:tcPr>
                  <w:tcW w:w="669" w:type="pct"/>
                  <w:tcBorders>
                    <w:right w:val="single" w:sz="18" w:space="0" w:color="auto"/>
                  </w:tcBorders>
                </w:tcPr>
                <w:p w:rsidR="00CF4D6C" w:rsidRPr="00CF4D6C" w:rsidRDefault="00CF4D6C" w:rsidP="005558C4">
                  <w:pPr>
                    <w:jc w:val="center"/>
                    <w:rPr>
                      <w:sz w:val="22"/>
                      <w:szCs w:val="22"/>
                    </w:rPr>
                  </w:pPr>
                  <w:r w:rsidRPr="00CF4D6C">
                    <w:rPr>
                      <w:sz w:val="22"/>
                      <w:szCs w:val="22"/>
                    </w:rPr>
                    <w:t>54,3</w:t>
                  </w:r>
                </w:p>
                <w:p w:rsidR="00CF4D6C" w:rsidRPr="00CF4D6C" w:rsidRDefault="00CF4D6C" w:rsidP="005558C4">
                  <w:pPr>
                    <w:jc w:val="center"/>
                    <w:rPr>
                      <w:sz w:val="22"/>
                      <w:szCs w:val="22"/>
                    </w:rPr>
                  </w:pPr>
                  <w:r w:rsidRPr="00CF4D6C">
                    <w:rPr>
                      <w:sz w:val="22"/>
                      <w:szCs w:val="22"/>
                    </w:rPr>
                    <w:t>(&lt;0 ; 87,6)</w:t>
                  </w:r>
                </w:p>
              </w:tc>
              <w:tc>
                <w:tcPr>
                  <w:tcW w:w="616" w:type="pct"/>
                  <w:tcBorders>
                    <w:left w:val="single" w:sz="18" w:space="0" w:color="auto"/>
                  </w:tcBorders>
                </w:tcPr>
                <w:p w:rsidR="00CF4D6C" w:rsidRPr="00CF4D6C" w:rsidRDefault="00CF4D6C" w:rsidP="005558C4">
                  <w:pPr>
                    <w:pBdr>
                      <w:bottom w:val="single" w:sz="6" w:space="1" w:color="auto"/>
                    </w:pBdr>
                    <w:jc w:val="center"/>
                    <w:rPr>
                      <w:bCs/>
                      <w:sz w:val="22"/>
                      <w:szCs w:val="22"/>
                    </w:rPr>
                  </w:pPr>
                  <w:r w:rsidRPr="00CF4D6C">
                    <w:rPr>
                      <w:bCs/>
                      <w:sz w:val="22"/>
                      <w:szCs w:val="22"/>
                    </w:rPr>
                    <w:t>6</w:t>
                  </w:r>
                </w:p>
                <w:p w:rsidR="00CF4D6C" w:rsidRPr="00CF4D6C" w:rsidRDefault="00CF4D6C" w:rsidP="005558C4">
                  <w:pPr>
                    <w:jc w:val="center"/>
                    <w:rPr>
                      <w:sz w:val="22"/>
                      <w:szCs w:val="22"/>
                    </w:rPr>
                  </w:pPr>
                  <w:r w:rsidRPr="00CF4D6C">
                    <w:rPr>
                      <w:bCs/>
                      <w:sz w:val="22"/>
                      <w:szCs w:val="22"/>
                    </w:rPr>
                    <w:t>9836</w:t>
                  </w:r>
                </w:p>
              </w:tc>
              <w:tc>
                <w:tcPr>
                  <w:tcW w:w="616" w:type="pct"/>
                </w:tcPr>
                <w:p w:rsidR="00CF4D6C" w:rsidRPr="00CF4D6C" w:rsidRDefault="00CF4D6C" w:rsidP="005558C4">
                  <w:pPr>
                    <w:pBdr>
                      <w:bottom w:val="single" w:sz="6" w:space="1" w:color="auto"/>
                    </w:pBdr>
                    <w:jc w:val="center"/>
                    <w:rPr>
                      <w:bCs/>
                      <w:sz w:val="22"/>
                      <w:szCs w:val="22"/>
                    </w:rPr>
                  </w:pPr>
                  <w:r w:rsidRPr="00CF4D6C">
                    <w:rPr>
                      <w:bCs/>
                      <w:sz w:val="22"/>
                      <w:szCs w:val="22"/>
                    </w:rPr>
                    <w:t>15</w:t>
                  </w:r>
                </w:p>
                <w:p w:rsidR="00CF4D6C" w:rsidRPr="00CF4D6C" w:rsidRDefault="00CF4D6C" w:rsidP="005558C4">
                  <w:pPr>
                    <w:jc w:val="center"/>
                    <w:rPr>
                      <w:sz w:val="22"/>
                      <w:szCs w:val="22"/>
                    </w:rPr>
                  </w:pPr>
                  <w:r w:rsidRPr="00CF4D6C">
                    <w:rPr>
                      <w:bCs/>
                      <w:sz w:val="22"/>
                      <w:szCs w:val="22"/>
                    </w:rPr>
                    <w:t>9904</w:t>
                  </w:r>
                </w:p>
              </w:tc>
              <w:tc>
                <w:tcPr>
                  <w:tcW w:w="642" w:type="pct"/>
                </w:tcPr>
                <w:p w:rsidR="00CF4D6C" w:rsidRPr="00CF4D6C" w:rsidRDefault="00CF4D6C" w:rsidP="005558C4">
                  <w:pPr>
                    <w:jc w:val="center"/>
                    <w:rPr>
                      <w:bCs/>
                      <w:iCs/>
                      <w:sz w:val="22"/>
                      <w:szCs w:val="22"/>
                    </w:rPr>
                  </w:pPr>
                  <w:r w:rsidRPr="00CF4D6C">
                    <w:rPr>
                      <w:bCs/>
                      <w:iCs/>
                      <w:sz w:val="22"/>
                      <w:szCs w:val="22"/>
                    </w:rPr>
                    <w:t xml:space="preserve">60,0 </w:t>
                  </w:r>
                </w:p>
                <w:p w:rsidR="00CF4D6C" w:rsidRPr="00CF4D6C" w:rsidRDefault="00CF4D6C" w:rsidP="005558C4">
                  <w:pPr>
                    <w:jc w:val="center"/>
                    <w:rPr>
                      <w:bCs/>
                      <w:iCs/>
                      <w:sz w:val="22"/>
                      <w:szCs w:val="22"/>
                    </w:rPr>
                  </w:pPr>
                  <w:r w:rsidRPr="00CF4D6C">
                    <w:rPr>
                      <w:bCs/>
                      <w:iCs/>
                      <w:sz w:val="22"/>
                      <w:szCs w:val="22"/>
                    </w:rPr>
                    <w:t>(&lt;0 ; 87,3)</w:t>
                  </w:r>
                </w:p>
              </w:tc>
            </w:tr>
          </w:tbl>
          <w:p w:rsidR="00CF4D6C" w:rsidRPr="00CF4D6C" w:rsidRDefault="00CF4D6C" w:rsidP="005558C4">
            <w:pPr>
              <w:pStyle w:val="Header"/>
              <w:tabs>
                <w:tab w:val="left" w:pos="284"/>
              </w:tabs>
              <w:rPr>
                <w:bCs/>
                <w:sz w:val="22"/>
                <w:szCs w:val="22"/>
              </w:rPr>
            </w:pPr>
            <w:r w:rsidRPr="00CF4D6C">
              <w:rPr>
                <w:bCs/>
                <w:sz w:val="22"/>
                <w:szCs w:val="22"/>
              </w:rPr>
              <w:t>* Broj ispitanika sa najmanje jednom posjetom koja je uslijedila 30 dana poslije Dana 1</w:t>
            </w:r>
          </w:p>
          <w:p w:rsidR="00CF4D6C" w:rsidRPr="00CF4D6C" w:rsidRDefault="00CF4D6C" w:rsidP="005558C4">
            <w:pPr>
              <w:pStyle w:val="Header"/>
              <w:tabs>
                <w:tab w:val="left" w:pos="284"/>
              </w:tabs>
              <w:rPr>
                <w:bCs/>
                <w:sz w:val="22"/>
                <w:szCs w:val="22"/>
              </w:rPr>
            </w:pPr>
            <w:r w:rsidRPr="00CF4D6C">
              <w:rPr>
                <w:bCs/>
                <w:sz w:val="22"/>
                <w:szCs w:val="22"/>
              </w:rPr>
              <w:t>** Procentualna efikasnost je izračunata na osnovu kombinovanih protokola. Efikasnost prema CIN 2/3 ili AIS  izazvanih HPV 16/18 je zasnovana na podacima iz protokola 005 (ciljevi vezani samo za tip 16), 007, 013 i 015. Pacijenti su bili praćeni do 4 godine (srednje vrijeme praćenja 4,6 godina)</w:t>
            </w:r>
          </w:p>
          <w:p w:rsidR="00CF4D6C" w:rsidRPr="00CF4D6C" w:rsidRDefault="00CF4D6C" w:rsidP="005558C4">
            <w:pPr>
              <w:pStyle w:val="Header"/>
              <w:tabs>
                <w:tab w:val="left" w:pos="284"/>
              </w:tabs>
              <w:rPr>
                <w:bCs/>
                <w:sz w:val="22"/>
                <w:szCs w:val="22"/>
              </w:rPr>
            </w:pPr>
            <w:r w:rsidRPr="00CF4D6C">
              <w:rPr>
                <w:bCs/>
                <w:sz w:val="22"/>
                <w:szCs w:val="22"/>
              </w:rPr>
              <w:t>Napomena: Tačke procjene i intervali pouzdanosti su prilagodjeni osobi-vremenu praćenja.</w:t>
            </w:r>
          </w:p>
          <w:p w:rsidR="00CF4D6C" w:rsidRPr="00CF4D6C" w:rsidRDefault="00CF4D6C" w:rsidP="005558C4">
            <w:pPr>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Efikasnost vakcine </w:t>
            </w:r>
            <w:r w:rsidRPr="00CF4D6C">
              <w:rPr>
                <w:b/>
                <w:sz w:val="22"/>
                <w:szCs w:val="22"/>
              </w:rPr>
              <w:t>GARDASIL</w:t>
            </w:r>
            <w:r w:rsidRPr="00CF4D6C">
              <w:rPr>
                <w:b/>
                <w:sz w:val="22"/>
                <w:szCs w:val="22"/>
                <w:vertAlign w:val="superscript"/>
              </w:rPr>
              <w:t>®</w:t>
            </w:r>
            <w:r w:rsidRPr="00CF4D6C">
              <w:rPr>
                <w:sz w:val="22"/>
                <w:szCs w:val="22"/>
              </w:rPr>
              <w:t xml:space="preserve"> protiv HPV tipova 6, 11, 16 i 18, odnosno njima izazvanih lezija vulve visokog stepena (VIN 2/3) iznosila je 73,3% (95% CI: 40,3; 89,4), protiv HPV tipova 6, 11, 16 i 18, odnosno njima izazvanih lezija vagine (VaIN 2/3) je iznosila 85,7% (95% CI: 37,6; 98,4), protiv HPV tipova 6, 11, 16 i </w:t>
            </w:r>
            <w:r w:rsidRPr="00CF4D6C">
              <w:rPr>
                <w:sz w:val="22"/>
                <w:szCs w:val="22"/>
              </w:rPr>
              <w:lastRenderedPageBreak/>
              <w:t>18,  odnosno njima izazvanih genitalnih kondiloma je iznosila 80.3% (95% CI: 73,9; 85,3) u kombinovanim protokolima na kraju studije.</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Ukupno 12% populacije iz kombinovanih studija je imalo abnormalni Papa test koji je ukazivao na CIN u danu 1. Među ženama sa abnormalnim Papa testom u danu 1, a koje su bili u danu 1 osjetljive (naive) na određene HPV tipove(6, 11, 16 i 18), efikasnost vakcine je bila velika. Među ženama sa patološkim Papa testom u danu 1 koji su već bili inficirani nekim od ovih HPV tipova u danu 1, efikasnost vakcine nije zabilježena.</w:t>
            </w:r>
          </w:p>
          <w:p w:rsidR="00CF4D6C" w:rsidRPr="00CF4D6C" w:rsidRDefault="00CF4D6C" w:rsidP="005558C4">
            <w:pPr>
              <w:rPr>
                <w:sz w:val="22"/>
                <w:szCs w:val="22"/>
              </w:rPr>
            </w:pPr>
          </w:p>
          <w:p w:rsidR="00CF4D6C" w:rsidRPr="00CF4D6C" w:rsidRDefault="00CF4D6C" w:rsidP="005558C4">
            <w:pPr>
              <w:widowControl w:val="0"/>
              <w:autoSpaceDE w:val="0"/>
              <w:autoSpaceDN w:val="0"/>
              <w:adjustRightInd w:val="0"/>
              <w:rPr>
                <w:bCs/>
                <w:sz w:val="22"/>
                <w:szCs w:val="22"/>
                <w:u w:val="single"/>
              </w:rPr>
            </w:pPr>
            <w:r w:rsidRPr="00CF4D6C">
              <w:rPr>
                <w:bCs/>
                <w:sz w:val="22"/>
                <w:szCs w:val="22"/>
                <w:u w:val="single"/>
              </w:rPr>
              <w:t>Zaštita od ukupne prevalence oboljenja cerviksa izazvanog HPV kod žen starosti od 16 do 26 kodina</w:t>
            </w:r>
          </w:p>
          <w:p w:rsidR="00CF4D6C" w:rsidRPr="00CF4D6C" w:rsidRDefault="00CF4D6C" w:rsidP="005558C4">
            <w:pPr>
              <w:widowControl w:val="0"/>
              <w:autoSpaceDE w:val="0"/>
              <w:autoSpaceDN w:val="0"/>
              <w:adjustRightInd w:val="0"/>
              <w:rPr>
                <w:bCs/>
                <w:sz w:val="22"/>
                <w:szCs w:val="22"/>
              </w:rPr>
            </w:pPr>
          </w:p>
          <w:p w:rsidR="00CF4D6C" w:rsidRPr="00CF4D6C" w:rsidRDefault="00CF4D6C" w:rsidP="005558C4">
            <w:pPr>
              <w:widowControl w:val="0"/>
              <w:autoSpaceDE w:val="0"/>
              <w:autoSpaceDN w:val="0"/>
              <w:adjustRightInd w:val="0"/>
              <w:rPr>
                <w:sz w:val="22"/>
                <w:szCs w:val="22"/>
              </w:rPr>
            </w:pPr>
            <w:r w:rsidRPr="00CF4D6C">
              <w:rPr>
                <w:bCs/>
                <w:sz w:val="22"/>
                <w:szCs w:val="22"/>
              </w:rPr>
              <w:t xml:space="preserve">Uticaj vakcine </w:t>
            </w:r>
            <w:r w:rsidRPr="00CF4D6C">
              <w:rPr>
                <w:b/>
                <w:sz w:val="22"/>
                <w:szCs w:val="22"/>
              </w:rPr>
              <w:t>GARDASIL</w:t>
            </w:r>
            <w:r w:rsidRPr="00CF4D6C">
              <w:rPr>
                <w:b/>
                <w:sz w:val="22"/>
                <w:szCs w:val="22"/>
                <w:vertAlign w:val="superscript"/>
              </w:rPr>
              <w:t>®</w:t>
            </w:r>
            <w:r w:rsidRPr="00CF4D6C">
              <w:rPr>
                <w:bCs/>
                <w:sz w:val="22"/>
                <w:szCs w:val="22"/>
              </w:rPr>
              <w:t xml:space="preserve"> na ukupni rizik pojave oboljenja cerviksa izazvanog</w:t>
            </w:r>
            <w:r w:rsidRPr="00CF4D6C" w:rsidDel="00DF10ED">
              <w:rPr>
                <w:bCs/>
                <w:sz w:val="22"/>
                <w:szCs w:val="22"/>
              </w:rPr>
              <w:t xml:space="preserve"> </w:t>
            </w:r>
            <w:r w:rsidRPr="00CF4D6C">
              <w:rPr>
                <w:bCs/>
                <w:sz w:val="22"/>
                <w:szCs w:val="22"/>
              </w:rPr>
              <w:t xml:space="preserve">HPV (npr. oboljenje izazvano bilo kojim tipom HPV) je procjenjivan 30 dana nakon prve doze kod 17599 pojedinaca uključenih u dve studije efikasnosti Faze III (Protokoli 013 i 015). Među ženama koje su bile </w:t>
            </w:r>
            <w:r w:rsidRPr="00CF4D6C">
              <w:rPr>
                <w:sz w:val="22"/>
                <w:szCs w:val="22"/>
              </w:rPr>
              <w:t xml:space="preserve">osjetljive (naive) </w:t>
            </w:r>
            <w:r w:rsidRPr="00CF4D6C">
              <w:rPr>
                <w:bCs/>
                <w:sz w:val="22"/>
                <w:szCs w:val="22"/>
              </w:rPr>
              <w:t xml:space="preserve">na 14 zajedničkih HPV tipova i imale su negativan Papa test u Danu 1, primjena vakcine </w:t>
            </w:r>
            <w:r w:rsidRPr="00CF4D6C">
              <w:rPr>
                <w:b/>
                <w:sz w:val="22"/>
                <w:szCs w:val="22"/>
              </w:rPr>
              <w:t>GARDASIL</w:t>
            </w:r>
            <w:r w:rsidRPr="00CF4D6C">
              <w:rPr>
                <w:b/>
                <w:sz w:val="22"/>
                <w:szCs w:val="22"/>
                <w:vertAlign w:val="superscript"/>
              </w:rPr>
              <w:t>®</w:t>
            </w:r>
            <w:r w:rsidRPr="00CF4D6C">
              <w:rPr>
                <w:bCs/>
                <w:sz w:val="22"/>
                <w:szCs w:val="22"/>
              </w:rPr>
              <w:t xml:space="preserve"> je pokazala smanjenje pojavljivanja CIN 2/3 ili AIS izazvanih HPV tipovima povezanim ili nepovezanim sa vakcinom za 42,7% (95% CI: 23,7; 57,3) </w:t>
            </w:r>
            <w:r w:rsidRPr="00CF4D6C">
              <w:rPr>
                <w:sz w:val="22"/>
                <w:szCs w:val="22"/>
              </w:rPr>
              <w:t>i smanjenje pojavljivanja genitalnih kondiloma za</w:t>
            </w:r>
            <w:r w:rsidRPr="00CF4D6C">
              <w:rPr>
                <w:bCs/>
                <w:sz w:val="22"/>
                <w:szCs w:val="22"/>
              </w:rPr>
              <w:t xml:space="preserve"> 82.8% (95% CI: 74,3; 88,8) na kraju studije.</w:t>
            </w:r>
          </w:p>
          <w:p w:rsidR="00CF4D6C" w:rsidRPr="00CF4D6C" w:rsidRDefault="00CF4D6C" w:rsidP="005558C4">
            <w:pPr>
              <w:widowControl w:val="0"/>
              <w:rPr>
                <w:sz w:val="22"/>
                <w:szCs w:val="22"/>
                <w:u w:val="single"/>
              </w:rPr>
            </w:pPr>
          </w:p>
          <w:p w:rsidR="00CF4D6C" w:rsidRPr="00CF4D6C" w:rsidRDefault="00CF4D6C" w:rsidP="005558C4">
            <w:pPr>
              <w:widowControl w:val="0"/>
              <w:rPr>
                <w:sz w:val="22"/>
                <w:szCs w:val="22"/>
              </w:rPr>
            </w:pPr>
            <w:r w:rsidRPr="00CF4D6C">
              <w:rPr>
                <w:sz w:val="22"/>
                <w:szCs w:val="22"/>
              </w:rPr>
              <w:t xml:space="preserve">U izmijenjenoj ITT populaciji, korist od vakcine u odnosu na ukupnu incidencu CIN 2/3 ili AIS (izazvanih bilo kojim tipom HPV) i u odnosu na genitalne kondilome je bila znatno niža, sa smanjenjem od 18,4% (95% CI: 7,0; 28,.4) i 62,5% (95% CI: 54,0; 69,5), istim redosljedom, jer vakcina </w:t>
            </w:r>
            <w:r w:rsidRPr="00CF4D6C">
              <w:rPr>
                <w:b/>
                <w:sz w:val="22"/>
                <w:szCs w:val="22"/>
              </w:rPr>
              <w:t>GARDASIL</w:t>
            </w:r>
            <w:r w:rsidRPr="00CF4D6C">
              <w:rPr>
                <w:b/>
                <w:sz w:val="22"/>
                <w:szCs w:val="22"/>
                <w:vertAlign w:val="superscript"/>
              </w:rPr>
              <w:t>®</w:t>
            </w:r>
            <w:r w:rsidRPr="00CF4D6C">
              <w:rPr>
                <w:sz w:val="22"/>
                <w:szCs w:val="22"/>
              </w:rPr>
              <w:t xml:space="preserve"> ne utiče na tok infekcije ili oboljenja prisutnih u trenutku vakcinacije.</w:t>
            </w:r>
          </w:p>
          <w:p w:rsidR="00CF4D6C" w:rsidRPr="00CF4D6C" w:rsidRDefault="00CF4D6C" w:rsidP="005558C4">
            <w:pPr>
              <w:widowControl w:val="0"/>
              <w:rPr>
                <w:sz w:val="22"/>
                <w:szCs w:val="22"/>
                <w:u w:val="single"/>
              </w:rPr>
            </w:pPr>
          </w:p>
          <w:p w:rsidR="00CF4D6C" w:rsidRPr="00CF4D6C" w:rsidRDefault="00CF4D6C" w:rsidP="005558C4">
            <w:pPr>
              <w:widowControl w:val="0"/>
              <w:rPr>
                <w:sz w:val="22"/>
                <w:szCs w:val="22"/>
                <w:u w:val="single"/>
              </w:rPr>
            </w:pPr>
            <w:r w:rsidRPr="00CF4D6C">
              <w:rPr>
                <w:sz w:val="22"/>
                <w:szCs w:val="22"/>
                <w:u w:val="single"/>
              </w:rPr>
              <w:t xml:space="preserve">Uticaj na odlučujuće procedure terapije cerviksa </w:t>
            </w:r>
          </w:p>
          <w:p w:rsidR="00CF4D6C" w:rsidRPr="00CF4D6C" w:rsidRDefault="00CF4D6C" w:rsidP="005558C4">
            <w:pPr>
              <w:widowControl w:val="0"/>
              <w:rPr>
                <w:sz w:val="22"/>
                <w:szCs w:val="22"/>
              </w:rPr>
            </w:pPr>
          </w:p>
          <w:p w:rsidR="00CF4D6C" w:rsidRPr="00CF4D6C" w:rsidRDefault="00CF4D6C" w:rsidP="005558C4">
            <w:pPr>
              <w:widowControl w:val="0"/>
              <w:rPr>
                <w:rStyle w:val="BodyChar"/>
                <w:rFonts w:ascii="Times New Roman" w:hAnsi="Times New Roman"/>
                <w:b/>
                <w:i/>
                <w:sz w:val="22"/>
                <w:szCs w:val="22"/>
                <w:lang w:val="sr-Latn-ME"/>
              </w:rPr>
            </w:pPr>
            <w:r w:rsidRPr="00CF4D6C">
              <w:rPr>
                <w:sz w:val="22"/>
                <w:szCs w:val="22"/>
              </w:rPr>
              <w:t xml:space="preserve">Uticaj vakcine </w:t>
            </w:r>
            <w:r w:rsidRPr="00CF4D6C">
              <w:rPr>
                <w:b/>
                <w:sz w:val="22"/>
                <w:szCs w:val="22"/>
              </w:rPr>
              <w:t>GARDASIL</w:t>
            </w:r>
            <w:r w:rsidRPr="00CF4D6C">
              <w:rPr>
                <w:b/>
                <w:sz w:val="22"/>
                <w:szCs w:val="22"/>
                <w:vertAlign w:val="superscript"/>
              </w:rPr>
              <w:t>®</w:t>
            </w:r>
            <w:r w:rsidRPr="00CF4D6C">
              <w:rPr>
                <w:sz w:val="22"/>
                <w:szCs w:val="22"/>
              </w:rPr>
              <w:t xml:space="preserve"> na nivoe odlučujućih procedura terapije cerviksa nezavisno od uzročnih tipova HPV je procjenjivan kod 18150 pojedinaca uključenih u Protokol 007, Protokol 013 i 015. </w:t>
            </w:r>
            <w:r w:rsidRPr="00CF4D6C">
              <w:rPr>
                <w:rStyle w:val="BodyChar"/>
                <w:rFonts w:ascii="Times New Roman" w:hAnsi="Times New Roman"/>
                <w:sz w:val="22"/>
                <w:szCs w:val="22"/>
                <w:lang w:val="sr-Latn-ME"/>
              </w:rPr>
              <w:t xml:space="preserve">U </w:t>
            </w:r>
            <w:r w:rsidRPr="00CF4D6C">
              <w:rPr>
                <w:sz w:val="22"/>
                <w:szCs w:val="22"/>
              </w:rPr>
              <w:t xml:space="preserve">HPV naive populaciji (osetljive na 14 zajedničkih HPV tipova i koje su imale negativan Papa test u Danu 1), vakcina </w:t>
            </w:r>
            <w:r w:rsidRPr="00CF4D6C">
              <w:rPr>
                <w:b/>
                <w:sz w:val="22"/>
                <w:szCs w:val="22"/>
              </w:rPr>
              <w:t>GARDASIL</w:t>
            </w:r>
            <w:r w:rsidRPr="00CF4D6C">
              <w:rPr>
                <w:b/>
                <w:sz w:val="22"/>
                <w:szCs w:val="22"/>
                <w:vertAlign w:val="superscript"/>
              </w:rPr>
              <w:t>®</w:t>
            </w:r>
            <w:r w:rsidRPr="00CF4D6C">
              <w:rPr>
                <w:rStyle w:val="BodyChar"/>
                <w:rFonts w:ascii="Times New Roman" w:hAnsi="Times New Roman"/>
                <w:sz w:val="22"/>
                <w:szCs w:val="22"/>
                <w:lang w:val="sr-Latn-ME"/>
              </w:rPr>
              <w:t xml:space="preserve"> je smanjila procenat žena koje su prošle kroz </w:t>
            </w:r>
            <w:r w:rsidRPr="00CF4D6C">
              <w:rPr>
                <w:sz w:val="22"/>
                <w:szCs w:val="22"/>
              </w:rPr>
              <w:t>odlučujuću proceduru terapije cerviksa</w:t>
            </w:r>
            <w:r w:rsidRPr="00CF4D6C">
              <w:rPr>
                <w:rStyle w:val="BodyChar"/>
                <w:rFonts w:ascii="Times New Roman" w:hAnsi="Times New Roman"/>
                <w:sz w:val="22"/>
                <w:szCs w:val="22"/>
                <w:lang w:val="sr-Latn-ME"/>
              </w:rPr>
              <w:t xml:space="preserve"> (Loop Electro-Excision Procedure ili Cold-Knife Conization) </w:t>
            </w:r>
            <w:r w:rsidRPr="00CF4D6C">
              <w:rPr>
                <w:sz w:val="22"/>
                <w:szCs w:val="22"/>
              </w:rPr>
              <w:t>za 41.9% (95% CI: 27.7, 53.5)</w:t>
            </w:r>
            <w:r w:rsidRPr="00CF4D6C">
              <w:rPr>
                <w:rStyle w:val="BodyChar"/>
                <w:rFonts w:ascii="Times New Roman" w:hAnsi="Times New Roman"/>
                <w:sz w:val="22"/>
                <w:szCs w:val="22"/>
                <w:lang w:val="sr-Latn-ME"/>
              </w:rPr>
              <w:t xml:space="preserve"> </w:t>
            </w:r>
            <w:r w:rsidRPr="00CF4D6C">
              <w:rPr>
                <w:bCs/>
                <w:sz w:val="22"/>
                <w:szCs w:val="22"/>
              </w:rPr>
              <w:t>na kraju studije</w:t>
            </w:r>
            <w:r w:rsidRPr="00CF4D6C">
              <w:rPr>
                <w:rStyle w:val="BodyChar"/>
                <w:rFonts w:ascii="Times New Roman" w:hAnsi="Times New Roman"/>
                <w:sz w:val="22"/>
                <w:szCs w:val="22"/>
                <w:lang w:val="sr-Latn-ME"/>
              </w:rPr>
              <w:t>. U ITT populaciji, odgovarajuće smanjenje iznosilo je 23.9% (</w:t>
            </w:r>
            <w:r w:rsidRPr="00CF4D6C">
              <w:rPr>
                <w:sz w:val="22"/>
                <w:szCs w:val="22"/>
              </w:rPr>
              <w:t xml:space="preserve">95% CI: </w:t>
            </w:r>
            <w:r w:rsidRPr="00CF4D6C">
              <w:rPr>
                <w:rStyle w:val="BodyChar"/>
                <w:rFonts w:ascii="Times New Roman" w:hAnsi="Times New Roman"/>
                <w:sz w:val="22"/>
                <w:szCs w:val="22"/>
                <w:lang w:val="sr-Latn-ME"/>
              </w:rPr>
              <w:t>15.2, 31.7).</w:t>
            </w:r>
          </w:p>
          <w:p w:rsidR="00CF4D6C" w:rsidRPr="00CF4D6C" w:rsidRDefault="00CF4D6C" w:rsidP="005558C4">
            <w:pPr>
              <w:autoSpaceDE w:val="0"/>
              <w:autoSpaceDN w:val="0"/>
              <w:adjustRightInd w:val="0"/>
              <w:rPr>
                <w:bCs/>
                <w:iCs/>
                <w:sz w:val="22"/>
                <w:szCs w:val="22"/>
                <w:u w:val="single"/>
              </w:rPr>
            </w:pPr>
          </w:p>
          <w:p w:rsidR="00CF4D6C" w:rsidRPr="00CF4D6C" w:rsidRDefault="00CF4D6C" w:rsidP="005558C4">
            <w:pPr>
              <w:autoSpaceDE w:val="0"/>
              <w:autoSpaceDN w:val="0"/>
              <w:adjustRightInd w:val="0"/>
              <w:rPr>
                <w:bCs/>
                <w:iCs/>
                <w:sz w:val="22"/>
                <w:szCs w:val="22"/>
                <w:u w:val="single"/>
              </w:rPr>
            </w:pPr>
            <w:r w:rsidRPr="00CF4D6C">
              <w:rPr>
                <w:bCs/>
                <w:iCs/>
                <w:sz w:val="22"/>
                <w:szCs w:val="22"/>
                <w:u w:val="single"/>
              </w:rPr>
              <w:t>Efikasnost unakrsne zaštite</w:t>
            </w:r>
          </w:p>
          <w:p w:rsidR="00265E46" w:rsidRDefault="00265E46" w:rsidP="005558C4">
            <w:pPr>
              <w:pStyle w:val="Header"/>
              <w:tabs>
                <w:tab w:val="left" w:pos="284"/>
              </w:tabs>
              <w:rPr>
                <w:bCs/>
                <w:iCs/>
                <w:sz w:val="22"/>
                <w:szCs w:val="22"/>
              </w:rPr>
            </w:pPr>
          </w:p>
          <w:p w:rsidR="00CF4D6C" w:rsidRPr="00CF4D6C" w:rsidRDefault="00CF4D6C" w:rsidP="005558C4">
            <w:pPr>
              <w:pStyle w:val="Header"/>
              <w:tabs>
                <w:tab w:val="left" w:pos="284"/>
              </w:tabs>
              <w:rPr>
                <w:sz w:val="22"/>
                <w:szCs w:val="22"/>
              </w:rPr>
            </w:pPr>
            <w:r w:rsidRPr="00CF4D6C">
              <w:rPr>
                <w:bCs/>
                <w:iCs/>
                <w:sz w:val="22"/>
                <w:szCs w:val="22"/>
              </w:rPr>
              <w:t xml:space="preserve">Efikasnost vakcine </w:t>
            </w:r>
            <w:r w:rsidRPr="00CF4D6C">
              <w:rPr>
                <w:b/>
                <w:sz w:val="22"/>
                <w:szCs w:val="22"/>
              </w:rPr>
              <w:t>GARDASIL</w:t>
            </w:r>
            <w:r w:rsidRPr="00CF4D6C">
              <w:rPr>
                <w:b/>
                <w:sz w:val="22"/>
                <w:szCs w:val="22"/>
                <w:vertAlign w:val="superscript"/>
              </w:rPr>
              <w:t>®</w:t>
            </w:r>
            <w:r w:rsidRPr="00CF4D6C">
              <w:rPr>
                <w:bCs/>
                <w:iCs/>
                <w:sz w:val="22"/>
                <w:szCs w:val="22"/>
              </w:rPr>
              <w:t xml:space="preserve"> protiv CIN (bilo kog stepena) i CIN 2/3 ili AIS prouzrokovanih od strane 10 HPV tipova (HPV 31, 33, 35, 39, 45, 51, 52, 56, 58, 59) strukturno povezanih sa HPV 16 ili HPV 18 je procijenjena u kombinovanoj bazi podataka Faze III o efikasnosti (N = 17599) poslije srednjeg vremena praćenja 3,7 godina (na kraju studije). Mjerena je efikasnost u odnosu na oboljenja izazvana prespecificiranom kombinacijom  navedenih HPV tipova. Studije nijesu mogle da daju procjenu efikasnosti protiv oboljenja izazvanih pojedinačnim HPV tipovima.</w:t>
            </w:r>
          </w:p>
          <w:p w:rsidR="00CF4D6C" w:rsidRPr="00CF4D6C" w:rsidRDefault="00CF4D6C" w:rsidP="005558C4">
            <w:pPr>
              <w:pStyle w:val="Header"/>
              <w:tabs>
                <w:tab w:val="left" w:pos="284"/>
              </w:tabs>
              <w:rPr>
                <w:sz w:val="22"/>
                <w:szCs w:val="22"/>
              </w:rPr>
            </w:pPr>
          </w:p>
          <w:p w:rsidR="00CF4D6C" w:rsidRPr="00CF4D6C" w:rsidRDefault="00CF4D6C" w:rsidP="005558C4">
            <w:pPr>
              <w:rPr>
                <w:iCs/>
                <w:sz w:val="22"/>
                <w:szCs w:val="22"/>
              </w:rPr>
            </w:pPr>
            <w:r w:rsidRPr="00CF4D6C">
              <w:rPr>
                <w:iCs/>
                <w:sz w:val="22"/>
                <w:szCs w:val="22"/>
              </w:rPr>
              <w:t>Primarne analize su rađene u tipno specifičnoj populaciji koje su zahtijevale da žene imaju negativan rezultat na tip koji se analizira, ali koje su mogle da budu pozitivne na druge HPV tipove (96% ukupne populacije)</w:t>
            </w:r>
            <w:r w:rsidRPr="00CF4D6C">
              <w:rPr>
                <w:bCs/>
                <w:sz w:val="22"/>
                <w:szCs w:val="22"/>
              </w:rPr>
              <w:t>.</w:t>
            </w:r>
            <w:r w:rsidRPr="00CF4D6C">
              <w:rPr>
                <w:iCs/>
                <w:sz w:val="22"/>
                <w:szCs w:val="22"/>
              </w:rPr>
              <w:t xml:space="preserve"> Primarna vremenska tačka analize poslije 3 godine nije dostigla statistički značaj za sve prethodno definisane ciljeve. Finalni rezultati dobijeni na kraju studije za kombinovanu incidencu CIN 2/3 ili AIS u ovoj populaciji poslije srednje vrijednosti praćenja od 3,7 godina</w:t>
            </w:r>
            <w:r w:rsidRPr="00CF4D6C">
              <w:rPr>
                <w:bCs/>
                <w:iCs/>
                <w:sz w:val="22"/>
                <w:szCs w:val="22"/>
              </w:rPr>
              <w:t xml:space="preserve"> </w:t>
            </w:r>
            <w:r w:rsidRPr="00CF4D6C">
              <w:rPr>
                <w:iCs/>
                <w:sz w:val="22"/>
                <w:szCs w:val="22"/>
              </w:rPr>
              <w:t>su prikazani u Tabeli 4.</w:t>
            </w:r>
            <w:r w:rsidRPr="00CF4D6C">
              <w:rPr>
                <w:sz w:val="22"/>
                <w:szCs w:val="22"/>
              </w:rPr>
              <w:t xml:space="preserve"> Za složene ciljeve</w:t>
            </w:r>
            <w:r w:rsidRPr="00CF4D6C">
              <w:rPr>
                <w:iCs/>
                <w:sz w:val="22"/>
                <w:szCs w:val="22"/>
              </w:rPr>
              <w:t>, statistički značajna efikasnost protiv oboljenja, bila je demonstrirana protiv HPV tipova filogenetski povezanih sa HPV 16 (primarno HPV 31) gdje nije pokazana statistički značajna efikasnost za HPV tipove filogenetski povezane sa HPV 18 (uključujući i HPV 45). Za 10 pojedinačnih HPV tipova, statistički značaj je postignut samo za HPV 31.</w:t>
            </w:r>
          </w:p>
          <w:p w:rsidR="00CF4D6C" w:rsidRPr="00CF4D6C" w:rsidRDefault="00CF4D6C" w:rsidP="005558C4">
            <w:pPr>
              <w:rPr>
                <w:b/>
                <w:i/>
                <w:iCs/>
                <w:sz w:val="22"/>
                <w:szCs w:val="22"/>
                <w:u w:val="double"/>
              </w:rPr>
            </w:pPr>
          </w:p>
          <w:p w:rsidR="00CF4D6C" w:rsidRPr="00CF4D6C" w:rsidRDefault="00CF4D6C" w:rsidP="00555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b/>
                <w:i/>
                <w:sz w:val="22"/>
                <w:szCs w:val="22"/>
              </w:rPr>
            </w:pPr>
            <w:r w:rsidRPr="00CF4D6C">
              <w:rPr>
                <w:b/>
                <w:i/>
                <w:iCs/>
                <w:sz w:val="22"/>
                <w:szCs w:val="22"/>
                <w:u w:val="double"/>
              </w:rPr>
              <w:br w:type="page"/>
            </w:r>
            <w:r w:rsidRPr="00CF4D6C">
              <w:rPr>
                <w:b/>
                <w:i/>
                <w:sz w:val="22"/>
                <w:szCs w:val="22"/>
              </w:rPr>
              <w:t>Tabela 4: Rezultati za CIN 2/3 ili AIS kod tipno specifičnih HPV-Osjetljivih (Naive) Pojedinaca</w:t>
            </w:r>
            <w:r w:rsidRPr="00CF4D6C">
              <w:rPr>
                <w:b/>
                <w:i/>
                <w:sz w:val="22"/>
                <w:szCs w:val="22"/>
                <w:vertAlign w:val="superscript"/>
              </w:rPr>
              <w:t xml:space="preserve">† </w:t>
            </w:r>
            <w:r w:rsidRPr="00CF4D6C">
              <w:rPr>
                <w:b/>
                <w:i/>
                <w:sz w:val="22"/>
                <w:szCs w:val="22"/>
              </w:rPr>
              <w:t>(rezultati na kraju studije)</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531"/>
              <w:gridCol w:w="1444"/>
              <w:gridCol w:w="1755"/>
              <w:gridCol w:w="1755"/>
            </w:tblGrid>
            <w:tr w:rsidR="00CF4D6C" w:rsidRPr="00CF4D6C" w:rsidTr="005558C4">
              <w:tc>
                <w:tcPr>
                  <w:tcW w:w="8820" w:type="dxa"/>
                  <w:gridSpan w:val="5"/>
                  <w:shd w:val="clear" w:color="auto" w:fill="E6E6E6"/>
                </w:tcPr>
                <w:p w:rsidR="00CF4D6C" w:rsidRPr="00CF4D6C" w:rsidRDefault="00CF4D6C" w:rsidP="005558C4">
                  <w:pPr>
                    <w:rPr>
                      <w:sz w:val="22"/>
                      <w:szCs w:val="22"/>
                    </w:rPr>
                  </w:pPr>
                  <w:r w:rsidRPr="00CF4D6C">
                    <w:rPr>
                      <w:sz w:val="22"/>
                      <w:szCs w:val="22"/>
                    </w:rPr>
                    <w:t>Naive prema ≥ 1 HPV Tipu</w:t>
                  </w:r>
                </w:p>
              </w:tc>
            </w:tr>
            <w:tr w:rsidR="00CF4D6C" w:rsidRPr="00CF4D6C" w:rsidTr="005558C4">
              <w:tc>
                <w:tcPr>
                  <w:tcW w:w="2335" w:type="dxa"/>
                  <w:vMerge w:val="restart"/>
                  <w:shd w:val="clear" w:color="auto" w:fill="E6E6E6"/>
                  <w:vAlign w:val="bottom"/>
                </w:tcPr>
                <w:p w:rsidR="00CF4D6C" w:rsidRPr="00CF4D6C" w:rsidRDefault="00CF4D6C" w:rsidP="005558C4">
                  <w:pPr>
                    <w:rPr>
                      <w:sz w:val="22"/>
                      <w:szCs w:val="22"/>
                    </w:rPr>
                  </w:pPr>
                  <w:r w:rsidRPr="00CF4D6C">
                    <w:rPr>
                      <w:sz w:val="22"/>
                      <w:szCs w:val="22"/>
                    </w:rPr>
                    <w:t>Složeni ciljevi</w:t>
                  </w:r>
                </w:p>
              </w:tc>
              <w:tc>
                <w:tcPr>
                  <w:tcW w:w="1531" w:type="dxa"/>
                  <w:shd w:val="clear" w:color="auto" w:fill="E6E6E6"/>
                  <w:vAlign w:val="bottom"/>
                </w:tcPr>
                <w:p w:rsidR="00CF4D6C" w:rsidRPr="00CF4D6C" w:rsidRDefault="00CF4D6C" w:rsidP="005558C4">
                  <w:pPr>
                    <w:jc w:val="center"/>
                    <w:rPr>
                      <w:sz w:val="22"/>
                      <w:szCs w:val="22"/>
                    </w:rPr>
                  </w:pPr>
                  <w:r w:rsidRPr="00CF4D6C">
                    <w:rPr>
                      <w:sz w:val="22"/>
                      <w:szCs w:val="22"/>
                    </w:rPr>
                    <w:t>GARDASIL</w:t>
                  </w:r>
                  <w:r w:rsidRPr="00CF4D6C">
                    <w:rPr>
                      <w:sz w:val="22"/>
                      <w:szCs w:val="22"/>
                      <w:vertAlign w:val="superscript"/>
                    </w:rPr>
                    <w:t>®</w:t>
                  </w:r>
                </w:p>
              </w:tc>
              <w:tc>
                <w:tcPr>
                  <w:tcW w:w="1444" w:type="dxa"/>
                  <w:shd w:val="clear" w:color="auto" w:fill="E6E6E6"/>
                  <w:vAlign w:val="bottom"/>
                </w:tcPr>
                <w:p w:rsidR="00CF4D6C" w:rsidRPr="00CF4D6C" w:rsidRDefault="00CF4D6C" w:rsidP="005558C4">
                  <w:pPr>
                    <w:jc w:val="center"/>
                    <w:rPr>
                      <w:sz w:val="22"/>
                      <w:szCs w:val="22"/>
                    </w:rPr>
                  </w:pPr>
                  <w:r w:rsidRPr="00CF4D6C">
                    <w:rPr>
                      <w:sz w:val="22"/>
                      <w:szCs w:val="22"/>
                    </w:rPr>
                    <w:t>Placebo</w:t>
                  </w:r>
                </w:p>
              </w:tc>
              <w:tc>
                <w:tcPr>
                  <w:tcW w:w="1755" w:type="dxa"/>
                  <w:vMerge w:val="restart"/>
                  <w:shd w:val="clear" w:color="auto" w:fill="E6E6E6"/>
                  <w:vAlign w:val="bottom"/>
                </w:tcPr>
                <w:p w:rsidR="00CF4D6C" w:rsidRPr="00CF4D6C" w:rsidRDefault="00CF4D6C" w:rsidP="005558C4">
                  <w:pPr>
                    <w:jc w:val="center"/>
                    <w:rPr>
                      <w:sz w:val="22"/>
                      <w:szCs w:val="22"/>
                    </w:rPr>
                  </w:pPr>
                  <w:r w:rsidRPr="00CF4D6C">
                    <w:rPr>
                      <w:sz w:val="22"/>
                      <w:szCs w:val="22"/>
                    </w:rPr>
                    <w:t>% Efikasnost</w:t>
                  </w:r>
                </w:p>
              </w:tc>
              <w:tc>
                <w:tcPr>
                  <w:tcW w:w="1755" w:type="dxa"/>
                  <w:vMerge w:val="restart"/>
                  <w:shd w:val="clear" w:color="auto" w:fill="E6E6E6"/>
                  <w:vAlign w:val="bottom"/>
                </w:tcPr>
                <w:p w:rsidR="00CF4D6C" w:rsidRPr="00CF4D6C" w:rsidRDefault="00CF4D6C" w:rsidP="005558C4">
                  <w:pPr>
                    <w:jc w:val="center"/>
                    <w:rPr>
                      <w:sz w:val="22"/>
                      <w:szCs w:val="22"/>
                    </w:rPr>
                  </w:pPr>
                  <w:r w:rsidRPr="00CF4D6C">
                    <w:rPr>
                      <w:sz w:val="22"/>
                      <w:szCs w:val="22"/>
                    </w:rPr>
                    <w:t>95% CI</w:t>
                  </w:r>
                </w:p>
              </w:tc>
            </w:tr>
            <w:tr w:rsidR="00CF4D6C" w:rsidRPr="00CF4D6C" w:rsidTr="005558C4">
              <w:tc>
                <w:tcPr>
                  <w:tcW w:w="2335" w:type="dxa"/>
                  <w:vMerge/>
                  <w:shd w:val="clear" w:color="auto" w:fill="E6E6E6"/>
                  <w:vAlign w:val="bottom"/>
                </w:tcPr>
                <w:p w:rsidR="00CF4D6C" w:rsidRPr="00CF4D6C" w:rsidRDefault="00CF4D6C" w:rsidP="005558C4">
                  <w:pPr>
                    <w:rPr>
                      <w:sz w:val="22"/>
                      <w:szCs w:val="22"/>
                    </w:rPr>
                  </w:pPr>
                </w:p>
              </w:tc>
              <w:tc>
                <w:tcPr>
                  <w:tcW w:w="1531" w:type="dxa"/>
                  <w:shd w:val="clear" w:color="auto" w:fill="E6E6E6"/>
                  <w:vAlign w:val="bottom"/>
                </w:tcPr>
                <w:p w:rsidR="00CF4D6C" w:rsidRPr="00CF4D6C" w:rsidRDefault="00CF4D6C" w:rsidP="005558C4">
                  <w:pPr>
                    <w:jc w:val="center"/>
                    <w:rPr>
                      <w:sz w:val="22"/>
                      <w:szCs w:val="22"/>
                    </w:rPr>
                  </w:pPr>
                  <w:r w:rsidRPr="00CF4D6C">
                    <w:rPr>
                      <w:sz w:val="22"/>
                      <w:szCs w:val="22"/>
                    </w:rPr>
                    <w:t>slučajevi</w:t>
                  </w:r>
                </w:p>
              </w:tc>
              <w:tc>
                <w:tcPr>
                  <w:tcW w:w="1444" w:type="dxa"/>
                  <w:shd w:val="clear" w:color="auto" w:fill="E6E6E6"/>
                  <w:vAlign w:val="bottom"/>
                </w:tcPr>
                <w:p w:rsidR="00CF4D6C" w:rsidRPr="00CF4D6C" w:rsidRDefault="00CF4D6C" w:rsidP="005558C4">
                  <w:pPr>
                    <w:jc w:val="center"/>
                    <w:rPr>
                      <w:sz w:val="22"/>
                      <w:szCs w:val="22"/>
                    </w:rPr>
                  </w:pPr>
                  <w:r w:rsidRPr="00CF4D6C">
                    <w:rPr>
                      <w:sz w:val="22"/>
                      <w:szCs w:val="22"/>
                    </w:rPr>
                    <w:t>slučajevi</w:t>
                  </w:r>
                </w:p>
              </w:tc>
              <w:tc>
                <w:tcPr>
                  <w:tcW w:w="1755" w:type="dxa"/>
                  <w:vMerge/>
                  <w:shd w:val="clear" w:color="auto" w:fill="E6E6E6"/>
                </w:tcPr>
                <w:p w:rsidR="00CF4D6C" w:rsidRPr="00CF4D6C" w:rsidRDefault="00CF4D6C" w:rsidP="005558C4">
                  <w:pPr>
                    <w:jc w:val="center"/>
                    <w:rPr>
                      <w:sz w:val="22"/>
                      <w:szCs w:val="22"/>
                    </w:rPr>
                  </w:pPr>
                </w:p>
              </w:tc>
              <w:tc>
                <w:tcPr>
                  <w:tcW w:w="1755" w:type="dxa"/>
                  <w:vMerge/>
                  <w:shd w:val="clear" w:color="auto" w:fill="E6E6E6"/>
                </w:tcPr>
                <w:p w:rsidR="00CF4D6C" w:rsidRPr="00CF4D6C" w:rsidRDefault="00CF4D6C" w:rsidP="005558C4">
                  <w:pPr>
                    <w:jc w:val="center"/>
                    <w:rPr>
                      <w:sz w:val="22"/>
                      <w:szCs w:val="22"/>
                    </w:rPr>
                  </w:pPr>
                </w:p>
              </w:tc>
            </w:tr>
            <w:tr w:rsidR="00CF4D6C" w:rsidRPr="00CF4D6C" w:rsidTr="005558C4">
              <w:tc>
                <w:tcPr>
                  <w:tcW w:w="2335" w:type="dxa"/>
                  <w:shd w:val="clear" w:color="auto" w:fill="auto"/>
                </w:tcPr>
                <w:p w:rsidR="00CF4D6C" w:rsidRPr="00CF4D6C" w:rsidRDefault="00CF4D6C" w:rsidP="005558C4">
                  <w:pPr>
                    <w:rPr>
                      <w:sz w:val="22"/>
                      <w:szCs w:val="22"/>
                    </w:rPr>
                  </w:pPr>
                  <w:r w:rsidRPr="00CF4D6C">
                    <w:rPr>
                      <w:sz w:val="22"/>
                      <w:szCs w:val="22"/>
                    </w:rPr>
                    <w:t>(HPV 31/45)</w:t>
                  </w:r>
                  <w:r w:rsidRPr="00CF4D6C">
                    <w:rPr>
                      <w:sz w:val="22"/>
                      <w:szCs w:val="22"/>
                      <w:vertAlign w:val="superscript"/>
                    </w:rPr>
                    <w:t xml:space="preserve"> ‡</w:t>
                  </w:r>
                </w:p>
              </w:tc>
              <w:tc>
                <w:tcPr>
                  <w:tcW w:w="1531" w:type="dxa"/>
                  <w:shd w:val="clear" w:color="auto" w:fill="auto"/>
                </w:tcPr>
                <w:p w:rsidR="00CF4D6C" w:rsidRPr="00CF4D6C" w:rsidRDefault="00CF4D6C" w:rsidP="005558C4">
                  <w:pPr>
                    <w:jc w:val="center"/>
                    <w:rPr>
                      <w:sz w:val="22"/>
                      <w:szCs w:val="22"/>
                    </w:rPr>
                  </w:pPr>
                  <w:r w:rsidRPr="00CF4D6C">
                    <w:rPr>
                      <w:sz w:val="22"/>
                      <w:szCs w:val="22"/>
                    </w:rPr>
                    <w:t>34</w:t>
                  </w:r>
                </w:p>
              </w:tc>
              <w:tc>
                <w:tcPr>
                  <w:tcW w:w="1444" w:type="dxa"/>
                  <w:shd w:val="clear" w:color="auto" w:fill="auto"/>
                </w:tcPr>
                <w:p w:rsidR="00CF4D6C" w:rsidRPr="00CF4D6C" w:rsidRDefault="00CF4D6C" w:rsidP="005558C4">
                  <w:pPr>
                    <w:jc w:val="center"/>
                    <w:rPr>
                      <w:sz w:val="22"/>
                      <w:szCs w:val="22"/>
                    </w:rPr>
                  </w:pPr>
                  <w:r w:rsidRPr="00CF4D6C">
                    <w:rPr>
                      <w:sz w:val="22"/>
                      <w:szCs w:val="22"/>
                    </w:rPr>
                    <w:t>60</w:t>
                  </w:r>
                </w:p>
              </w:tc>
              <w:tc>
                <w:tcPr>
                  <w:tcW w:w="1755" w:type="dxa"/>
                  <w:shd w:val="clear" w:color="auto" w:fill="auto"/>
                </w:tcPr>
                <w:p w:rsidR="00CF4D6C" w:rsidRPr="00CF4D6C" w:rsidRDefault="00CF4D6C" w:rsidP="005558C4">
                  <w:pPr>
                    <w:jc w:val="center"/>
                    <w:rPr>
                      <w:sz w:val="22"/>
                      <w:szCs w:val="22"/>
                    </w:rPr>
                  </w:pPr>
                  <w:r w:rsidRPr="00CF4D6C">
                    <w:rPr>
                      <w:sz w:val="22"/>
                      <w:szCs w:val="22"/>
                    </w:rPr>
                    <w:t>43.2%</w:t>
                  </w:r>
                </w:p>
              </w:tc>
              <w:tc>
                <w:tcPr>
                  <w:tcW w:w="1755" w:type="dxa"/>
                  <w:shd w:val="clear" w:color="auto" w:fill="auto"/>
                </w:tcPr>
                <w:p w:rsidR="00CF4D6C" w:rsidRPr="00CF4D6C" w:rsidRDefault="00CF4D6C" w:rsidP="005558C4">
                  <w:pPr>
                    <w:jc w:val="center"/>
                    <w:rPr>
                      <w:sz w:val="22"/>
                      <w:szCs w:val="22"/>
                    </w:rPr>
                  </w:pPr>
                  <w:r w:rsidRPr="00CF4D6C">
                    <w:rPr>
                      <w:sz w:val="22"/>
                      <w:szCs w:val="22"/>
                    </w:rPr>
                    <w:t>12.1, 63.9</w:t>
                  </w:r>
                </w:p>
              </w:tc>
            </w:tr>
            <w:tr w:rsidR="00CF4D6C" w:rsidRPr="00CF4D6C" w:rsidTr="005558C4">
              <w:tc>
                <w:tcPr>
                  <w:tcW w:w="2335" w:type="dxa"/>
                  <w:shd w:val="clear" w:color="auto" w:fill="auto"/>
                </w:tcPr>
                <w:p w:rsidR="00CF4D6C" w:rsidRPr="00CF4D6C" w:rsidRDefault="00CF4D6C" w:rsidP="005558C4">
                  <w:pPr>
                    <w:rPr>
                      <w:sz w:val="22"/>
                      <w:szCs w:val="22"/>
                    </w:rPr>
                  </w:pPr>
                  <w:r w:rsidRPr="00CF4D6C">
                    <w:rPr>
                      <w:sz w:val="22"/>
                      <w:szCs w:val="22"/>
                    </w:rPr>
                    <w:t>(HPV 31/33/45/52/58)</w:t>
                  </w:r>
                  <w:r w:rsidRPr="00CF4D6C">
                    <w:rPr>
                      <w:sz w:val="22"/>
                      <w:szCs w:val="22"/>
                      <w:vertAlign w:val="superscript"/>
                    </w:rPr>
                    <w:t xml:space="preserve"> § </w:t>
                  </w:r>
                </w:p>
              </w:tc>
              <w:tc>
                <w:tcPr>
                  <w:tcW w:w="1531" w:type="dxa"/>
                  <w:shd w:val="clear" w:color="auto" w:fill="auto"/>
                </w:tcPr>
                <w:p w:rsidR="00CF4D6C" w:rsidRPr="00CF4D6C" w:rsidRDefault="00CF4D6C" w:rsidP="005558C4">
                  <w:pPr>
                    <w:jc w:val="center"/>
                    <w:rPr>
                      <w:sz w:val="22"/>
                      <w:szCs w:val="22"/>
                    </w:rPr>
                  </w:pPr>
                  <w:r w:rsidRPr="00CF4D6C">
                    <w:rPr>
                      <w:sz w:val="22"/>
                      <w:szCs w:val="22"/>
                    </w:rPr>
                    <w:t>111</w:t>
                  </w:r>
                </w:p>
              </w:tc>
              <w:tc>
                <w:tcPr>
                  <w:tcW w:w="1444" w:type="dxa"/>
                  <w:shd w:val="clear" w:color="auto" w:fill="auto"/>
                </w:tcPr>
                <w:p w:rsidR="00CF4D6C" w:rsidRPr="00CF4D6C" w:rsidRDefault="00CF4D6C" w:rsidP="005558C4">
                  <w:pPr>
                    <w:jc w:val="center"/>
                    <w:rPr>
                      <w:sz w:val="22"/>
                      <w:szCs w:val="22"/>
                    </w:rPr>
                  </w:pPr>
                  <w:r w:rsidRPr="00CF4D6C">
                    <w:rPr>
                      <w:sz w:val="22"/>
                      <w:szCs w:val="22"/>
                    </w:rPr>
                    <w:t>150</w:t>
                  </w:r>
                </w:p>
              </w:tc>
              <w:tc>
                <w:tcPr>
                  <w:tcW w:w="1755" w:type="dxa"/>
                  <w:shd w:val="clear" w:color="auto" w:fill="auto"/>
                </w:tcPr>
                <w:p w:rsidR="00CF4D6C" w:rsidRPr="00CF4D6C" w:rsidRDefault="00CF4D6C" w:rsidP="005558C4">
                  <w:pPr>
                    <w:jc w:val="center"/>
                    <w:rPr>
                      <w:sz w:val="22"/>
                      <w:szCs w:val="22"/>
                    </w:rPr>
                  </w:pPr>
                  <w:r w:rsidRPr="00CF4D6C">
                    <w:rPr>
                      <w:sz w:val="22"/>
                      <w:szCs w:val="22"/>
                    </w:rPr>
                    <w:t>25.8%</w:t>
                  </w:r>
                </w:p>
              </w:tc>
              <w:tc>
                <w:tcPr>
                  <w:tcW w:w="1755" w:type="dxa"/>
                  <w:shd w:val="clear" w:color="auto" w:fill="auto"/>
                </w:tcPr>
                <w:p w:rsidR="00CF4D6C" w:rsidRPr="00CF4D6C" w:rsidRDefault="00CF4D6C" w:rsidP="005558C4">
                  <w:pPr>
                    <w:jc w:val="center"/>
                    <w:rPr>
                      <w:sz w:val="22"/>
                      <w:szCs w:val="22"/>
                    </w:rPr>
                  </w:pPr>
                  <w:r w:rsidRPr="00CF4D6C">
                    <w:rPr>
                      <w:sz w:val="22"/>
                      <w:szCs w:val="22"/>
                    </w:rPr>
                    <w:t>4.6, 42.5</w:t>
                  </w:r>
                </w:p>
              </w:tc>
            </w:tr>
            <w:tr w:rsidR="00CF4D6C" w:rsidRPr="00CF4D6C" w:rsidTr="005558C4">
              <w:tc>
                <w:tcPr>
                  <w:tcW w:w="2335" w:type="dxa"/>
                  <w:shd w:val="clear" w:color="auto" w:fill="auto"/>
                </w:tcPr>
                <w:p w:rsidR="00CF4D6C" w:rsidRPr="00CF4D6C" w:rsidRDefault="00CF4D6C" w:rsidP="005558C4">
                  <w:pPr>
                    <w:rPr>
                      <w:sz w:val="22"/>
                      <w:szCs w:val="22"/>
                    </w:rPr>
                  </w:pPr>
                  <w:r w:rsidRPr="00CF4D6C">
                    <w:rPr>
                      <w:sz w:val="22"/>
                      <w:szCs w:val="22"/>
                    </w:rPr>
                    <w:t>10 HPV Tipova</w:t>
                  </w:r>
                  <w:r w:rsidRPr="00CF4D6C">
                    <w:rPr>
                      <w:sz w:val="22"/>
                      <w:szCs w:val="22"/>
                      <w:vertAlign w:val="superscript"/>
                    </w:rPr>
                    <w:t xml:space="preserve">║ </w:t>
                  </w:r>
                  <w:r w:rsidRPr="00CF4D6C">
                    <w:rPr>
                      <w:i/>
                      <w:sz w:val="22"/>
                      <w:szCs w:val="22"/>
                    </w:rPr>
                    <w:t>nepovezanih sa vakcinom</w:t>
                  </w:r>
                </w:p>
              </w:tc>
              <w:tc>
                <w:tcPr>
                  <w:tcW w:w="1531" w:type="dxa"/>
                  <w:shd w:val="clear" w:color="auto" w:fill="auto"/>
                </w:tcPr>
                <w:p w:rsidR="00CF4D6C" w:rsidRPr="00CF4D6C" w:rsidRDefault="00CF4D6C" w:rsidP="005558C4">
                  <w:pPr>
                    <w:jc w:val="center"/>
                    <w:rPr>
                      <w:sz w:val="22"/>
                      <w:szCs w:val="22"/>
                    </w:rPr>
                  </w:pPr>
                  <w:r w:rsidRPr="00CF4D6C">
                    <w:rPr>
                      <w:sz w:val="22"/>
                      <w:szCs w:val="22"/>
                    </w:rPr>
                    <w:t>162</w:t>
                  </w:r>
                </w:p>
              </w:tc>
              <w:tc>
                <w:tcPr>
                  <w:tcW w:w="1444" w:type="dxa"/>
                  <w:shd w:val="clear" w:color="auto" w:fill="auto"/>
                </w:tcPr>
                <w:p w:rsidR="00CF4D6C" w:rsidRPr="00CF4D6C" w:rsidRDefault="00CF4D6C" w:rsidP="005558C4">
                  <w:pPr>
                    <w:jc w:val="center"/>
                    <w:rPr>
                      <w:sz w:val="22"/>
                      <w:szCs w:val="22"/>
                    </w:rPr>
                  </w:pPr>
                  <w:r w:rsidRPr="00CF4D6C">
                    <w:rPr>
                      <w:sz w:val="22"/>
                      <w:szCs w:val="22"/>
                    </w:rPr>
                    <w:t>211</w:t>
                  </w:r>
                </w:p>
              </w:tc>
              <w:tc>
                <w:tcPr>
                  <w:tcW w:w="1755" w:type="dxa"/>
                  <w:shd w:val="clear" w:color="auto" w:fill="auto"/>
                </w:tcPr>
                <w:p w:rsidR="00CF4D6C" w:rsidRPr="00CF4D6C" w:rsidRDefault="00CF4D6C" w:rsidP="005558C4">
                  <w:pPr>
                    <w:jc w:val="center"/>
                    <w:rPr>
                      <w:sz w:val="22"/>
                      <w:szCs w:val="22"/>
                    </w:rPr>
                  </w:pPr>
                  <w:r w:rsidRPr="00CF4D6C">
                    <w:rPr>
                      <w:sz w:val="22"/>
                      <w:szCs w:val="22"/>
                    </w:rPr>
                    <w:t>23.0%</w:t>
                  </w:r>
                </w:p>
              </w:tc>
              <w:tc>
                <w:tcPr>
                  <w:tcW w:w="1755" w:type="dxa"/>
                  <w:shd w:val="clear" w:color="auto" w:fill="auto"/>
                </w:tcPr>
                <w:p w:rsidR="00CF4D6C" w:rsidRPr="00CF4D6C" w:rsidRDefault="00CF4D6C" w:rsidP="005558C4">
                  <w:pPr>
                    <w:jc w:val="center"/>
                    <w:rPr>
                      <w:sz w:val="22"/>
                      <w:szCs w:val="22"/>
                    </w:rPr>
                  </w:pPr>
                  <w:r w:rsidRPr="00CF4D6C">
                    <w:rPr>
                      <w:sz w:val="22"/>
                      <w:szCs w:val="22"/>
                    </w:rPr>
                    <w:t>5.1, 37.7</w:t>
                  </w:r>
                </w:p>
              </w:tc>
            </w:tr>
            <w:tr w:rsidR="00CF4D6C" w:rsidRPr="00CF4D6C" w:rsidTr="005558C4">
              <w:tc>
                <w:tcPr>
                  <w:tcW w:w="2335" w:type="dxa"/>
                  <w:shd w:val="clear" w:color="auto" w:fill="auto"/>
                </w:tcPr>
                <w:p w:rsidR="00CF4D6C" w:rsidRPr="00CF4D6C" w:rsidRDefault="00CF4D6C" w:rsidP="005558C4">
                  <w:pPr>
                    <w:rPr>
                      <w:i/>
                      <w:sz w:val="22"/>
                      <w:szCs w:val="22"/>
                      <w:u w:val="single"/>
                    </w:rPr>
                  </w:pPr>
                  <w:r w:rsidRPr="00CF4D6C">
                    <w:rPr>
                      <w:i/>
                      <w:sz w:val="22"/>
                      <w:szCs w:val="22"/>
                    </w:rPr>
                    <w:t xml:space="preserve"> HPV-tipovi (A9 vrste) u vezi sa HPV- 16</w:t>
                  </w:r>
                </w:p>
              </w:tc>
              <w:tc>
                <w:tcPr>
                  <w:tcW w:w="1531" w:type="dxa"/>
                  <w:shd w:val="clear" w:color="auto" w:fill="auto"/>
                </w:tcPr>
                <w:p w:rsidR="00CF4D6C" w:rsidRPr="00CF4D6C" w:rsidRDefault="00CF4D6C" w:rsidP="005558C4">
                  <w:pPr>
                    <w:jc w:val="center"/>
                    <w:rPr>
                      <w:sz w:val="22"/>
                      <w:szCs w:val="22"/>
                    </w:rPr>
                  </w:pPr>
                  <w:r w:rsidRPr="00CF4D6C">
                    <w:rPr>
                      <w:sz w:val="22"/>
                      <w:szCs w:val="22"/>
                    </w:rPr>
                    <w:t>111</w:t>
                  </w:r>
                </w:p>
              </w:tc>
              <w:tc>
                <w:tcPr>
                  <w:tcW w:w="1444" w:type="dxa"/>
                  <w:shd w:val="clear" w:color="auto" w:fill="auto"/>
                </w:tcPr>
                <w:p w:rsidR="00CF4D6C" w:rsidRPr="00CF4D6C" w:rsidRDefault="00CF4D6C" w:rsidP="005558C4">
                  <w:pPr>
                    <w:jc w:val="center"/>
                    <w:rPr>
                      <w:sz w:val="22"/>
                      <w:szCs w:val="22"/>
                    </w:rPr>
                  </w:pPr>
                  <w:r w:rsidRPr="00CF4D6C">
                    <w:rPr>
                      <w:sz w:val="22"/>
                      <w:szCs w:val="22"/>
                    </w:rPr>
                    <w:t>157</w:t>
                  </w:r>
                </w:p>
              </w:tc>
              <w:tc>
                <w:tcPr>
                  <w:tcW w:w="1755" w:type="dxa"/>
                  <w:shd w:val="clear" w:color="auto" w:fill="auto"/>
                </w:tcPr>
                <w:p w:rsidR="00CF4D6C" w:rsidRPr="00CF4D6C" w:rsidRDefault="00CF4D6C" w:rsidP="005558C4">
                  <w:pPr>
                    <w:jc w:val="center"/>
                    <w:rPr>
                      <w:sz w:val="22"/>
                      <w:szCs w:val="22"/>
                    </w:rPr>
                  </w:pPr>
                  <w:r w:rsidRPr="00CF4D6C">
                    <w:rPr>
                      <w:sz w:val="22"/>
                      <w:szCs w:val="22"/>
                    </w:rPr>
                    <w:t>29.1%</w:t>
                  </w:r>
                </w:p>
              </w:tc>
              <w:tc>
                <w:tcPr>
                  <w:tcW w:w="1755" w:type="dxa"/>
                  <w:shd w:val="clear" w:color="auto" w:fill="auto"/>
                </w:tcPr>
                <w:p w:rsidR="00CF4D6C" w:rsidRPr="00CF4D6C" w:rsidRDefault="00CF4D6C" w:rsidP="005558C4">
                  <w:pPr>
                    <w:jc w:val="center"/>
                    <w:rPr>
                      <w:sz w:val="22"/>
                      <w:szCs w:val="22"/>
                    </w:rPr>
                  </w:pPr>
                  <w:r w:rsidRPr="00CF4D6C">
                    <w:rPr>
                      <w:sz w:val="22"/>
                      <w:szCs w:val="22"/>
                    </w:rPr>
                    <w:t>9.1, 44.9</w:t>
                  </w:r>
                </w:p>
              </w:tc>
            </w:tr>
            <w:tr w:rsidR="00CF4D6C" w:rsidRPr="00CF4D6C" w:rsidTr="005558C4">
              <w:tc>
                <w:tcPr>
                  <w:tcW w:w="2335" w:type="dxa"/>
                  <w:shd w:val="clear" w:color="auto" w:fill="auto"/>
                </w:tcPr>
                <w:p w:rsidR="00CF4D6C" w:rsidRPr="00CF4D6C" w:rsidRDefault="00CF4D6C" w:rsidP="005558C4">
                  <w:pPr>
                    <w:ind w:left="240"/>
                    <w:rPr>
                      <w:sz w:val="22"/>
                      <w:szCs w:val="22"/>
                    </w:rPr>
                  </w:pPr>
                  <w:r w:rsidRPr="00CF4D6C">
                    <w:rPr>
                      <w:sz w:val="22"/>
                      <w:szCs w:val="22"/>
                    </w:rPr>
                    <w:t>HPV 31</w:t>
                  </w:r>
                </w:p>
              </w:tc>
              <w:tc>
                <w:tcPr>
                  <w:tcW w:w="1531" w:type="dxa"/>
                  <w:shd w:val="clear" w:color="auto" w:fill="auto"/>
                </w:tcPr>
                <w:p w:rsidR="00CF4D6C" w:rsidRPr="00CF4D6C" w:rsidRDefault="00CF4D6C" w:rsidP="005558C4">
                  <w:pPr>
                    <w:jc w:val="center"/>
                    <w:rPr>
                      <w:sz w:val="22"/>
                      <w:szCs w:val="22"/>
                    </w:rPr>
                  </w:pPr>
                  <w:r w:rsidRPr="00CF4D6C">
                    <w:rPr>
                      <w:sz w:val="22"/>
                      <w:szCs w:val="22"/>
                    </w:rPr>
                    <w:t>23</w:t>
                  </w:r>
                </w:p>
              </w:tc>
              <w:tc>
                <w:tcPr>
                  <w:tcW w:w="1444" w:type="dxa"/>
                  <w:shd w:val="clear" w:color="auto" w:fill="auto"/>
                </w:tcPr>
                <w:p w:rsidR="00CF4D6C" w:rsidRPr="00CF4D6C" w:rsidRDefault="00CF4D6C" w:rsidP="005558C4">
                  <w:pPr>
                    <w:jc w:val="center"/>
                    <w:rPr>
                      <w:sz w:val="22"/>
                      <w:szCs w:val="22"/>
                    </w:rPr>
                  </w:pPr>
                  <w:r w:rsidRPr="00CF4D6C">
                    <w:rPr>
                      <w:sz w:val="22"/>
                      <w:szCs w:val="22"/>
                    </w:rPr>
                    <w:t>52</w:t>
                  </w:r>
                </w:p>
              </w:tc>
              <w:tc>
                <w:tcPr>
                  <w:tcW w:w="1755" w:type="dxa"/>
                  <w:shd w:val="clear" w:color="auto" w:fill="auto"/>
                </w:tcPr>
                <w:p w:rsidR="00CF4D6C" w:rsidRPr="00CF4D6C" w:rsidRDefault="00CF4D6C" w:rsidP="005558C4">
                  <w:pPr>
                    <w:jc w:val="center"/>
                    <w:rPr>
                      <w:sz w:val="22"/>
                      <w:szCs w:val="22"/>
                    </w:rPr>
                  </w:pPr>
                  <w:r w:rsidRPr="00CF4D6C">
                    <w:rPr>
                      <w:sz w:val="22"/>
                      <w:szCs w:val="22"/>
                    </w:rPr>
                    <w:t>55.6%</w:t>
                  </w:r>
                </w:p>
              </w:tc>
              <w:tc>
                <w:tcPr>
                  <w:tcW w:w="1755" w:type="dxa"/>
                  <w:shd w:val="clear" w:color="auto" w:fill="auto"/>
                </w:tcPr>
                <w:p w:rsidR="00CF4D6C" w:rsidRPr="00CF4D6C" w:rsidRDefault="00CF4D6C" w:rsidP="005558C4">
                  <w:pPr>
                    <w:jc w:val="center"/>
                    <w:rPr>
                      <w:sz w:val="22"/>
                      <w:szCs w:val="22"/>
                    </w:rPr>
                  </w:pPr>
                  <w:r w:rsidRPr="00CF4D6C">
                    <w:rPr>
                      <w:sz w:val="22"/>
                      <w:szCs w:val="22"/>
                    </w:rPr>
                    <w:t>26.2, 74.1</w:t>
                  </w:r>
                  <w:r w:rsidRPr="00CF4D6C">
                    <w:rPr>
                      <w:sz w:val="22"/>
                      <w:szCs w:val="22"/>
                      <w:vertAlign w:val="superscript"/>
                    </w:rPr>
                    <w:t>†</w:t>
                  </w:r>
                </w:p>
              </w:tc>
            </w:tr>
            <w:tr w:rsidR="00CF4D6C" w:rsidRPr="00CF4D6C" w:rsidTr="005558C4">
              <w:tc>
                <w:tcPr>
                  <w:tcW w:w="2335" w:type="dxa"/>
                  <w:shd w:val="clear" w:color="auto" w:fill="auto"/>
                </w:tcPr>
                <w:p w:rsidR="00CF4D6C" w:rsidRPr="00CF4D6C" w:rsidRDefault="00CF4D6C" w:rsidP="005558C4">
                  <w:pPr>
                    <w:ind w:left="240"/>
                    <w:rPr>
                      <w:sz w:val="22"/>
                      <w:szCs w:val="22"/>
                    </w:rPr>
                  </w:pPr>
                  <w:r w:rsidRPr="00CF4D6C">
                    <w:rPr>
                      <w:sz w:val="22"/>
                      <w:szCs w:val="22"/>
                    </w:rPr>
                    <w:t>HPV 33</w:t>
                  </w:r>
                </w:p>
              </w:tc>
              <w:tc>
                <w:tcPr>
                  <w:tcW w:w="1531" w:type="dxa"/>
                  <w:shd w:val="clear" w:color="auto" w:fill="auto"/>
                </w:tcPr>
                <w:p w:rsidR="00CF4D6C" w:rsidRPr="00CF4D6C" w:rsidRDefault="00CF4D6C" w:rsidP="005558C4">
                  <w:pPr>
                    <w:jc w:val="center"/>
                    <w:rPr>
                      <w:sz w:val="22"/>
                      <w:szCs w:val="22"/>
                    </w:rPr>
                  </w:pPr>
                  <w:r w:rsidRPr="00CF4D6C">
                    <w:rPr>
                      <w:sz w:val="22"/>
                      <w:szCs w:val="22"/>
                    </w:rPr>
                    <w:t>29</w:t>
                  </w:r>
                </w:p>
              </w:tc>
              <w:tc>
                <w:tcPr>
                  <w:tcW w:w="1444" w:type="dxa"/>
                  <w:shd w:val="clear" w:color="auto" w:fill="auto"/>
                </w:tcPr>
                <w:p w:rsidR="00CF4D6C" w:rsidRPr="00CF4D6C" w:rsidRDefault="00CF4D6C" w:rsidP="005558C4">
                  <w:pPr>
                    <w:jc w:val="center"/>
                    <w:rPr>
                      <w:sz w:val="22"/>
                      <w:szCs w:val="22"/>
                    </w:rPr>
                  </w:pPr>
                  <w:r w:rsidRPr="00CF4D6C">
                    <w:rPr>
                      <w:sz w:val="22"/>
                      <w:szCs w:val="22"/>
                    </w:rPr>
                    <w:t>36</w:t>
                  </w:r>
                </w:p>
              </w:tc>
              <w:tc>
                <w:tcPr>
                  <w:tcW w:w="1755" w:type="dxa"/>
                  <w:shd w:val="clear" w:color="auto" w:fill="auto"/>
                </w:tcPr>
                <w:p w:rsidR="00CF4D6C" w:rsidRPr="00CF4D6C" w:rsidRDefault="00CF4D6C" w:rsidP="005558C4">
                  <w:pPr>
                    <w:jc w:val="center"/>
                    <w:rPr>
                      <w:sz w:val="22"/>
                      <w:szCs w:val="22"/>
                    </w:rPr>
                  </w:pPr>
                  <w:r w:rsidRPr="00CF4D6C">
                    <w:rPr>
                      <w:sz w:val="22"/>
                      <w:szCs w:val="22"/>
                    </w:rPr>
                    <w:t>19.1%</w:t>
                  </w:r>
                </w:p>
              </w:tc>
              <w:tc>
                <w:tcPr>
                  <w:tcW w:w="1755" w:type="dxa"/>
                  <w:shd w:val="clear" w:color="auto" w:fill="auto"/>
                </w:tcPr>
                <w:p w:rsidR="00CF4D6C" w:rsidRPr="00CF4D6C" w:rsidRDefault="00CF4D6C" w:rsidP="005558C4">
                  <w:pPr>
                    <w:jc w:val="center"/>
                    <w:rPr>
                      <w:sz w:val="22"/>
                      <w:szCs w:val="22"/>
                    </w:rPr>
                  </w:pPr>
                  <w:r w:rsidRPr="00CF4D6C">
                    <w:rPr>
                      <w:sz w:val="22"/>
                      <w:szCs w:val="22"/>
                    </w:rPr>
                    <w:t>&lt;0, 52.1</w:t>
                  </w:r>
                  <w:r w:rsidRPr="00CF4D6C">
                    <w:rPr>
                      <w:sz w:val="22"/>
                      <w:szCs w:val="22"/>
                      <w:vertAlign w:val="superscript"/>
                    </w:rPr>
                    <w:t>†</w:t>
                  </w:r>
                </w:p>
              </w:tc>
            </w:tr>
            <w:tr w:rsidR="00CF4D6C" w:rsidRPr="00CF4D6C" w:rsidTr="005558C4">
              <w:tc>
                <w:tcPr>
                  <w:tcW w:w="2335" w:type="dxa"/>
                  <w:shd w:val="clear" w:color="auto" w:fill="auto"/>
                </w:tcPr>
                <w:p w:rsidR="00CF4D6C" w:rsidRPr="00CF4D6C" w:rsidRDefault="00CF4D6C" w:rsidP="005558C4">
                  <w:pPr>
                    <w:ind w:left="240"/>
                    <w:rPr>
                      <w:sz w:val="22"/>
                      <w:szCs w:val="22"/>
                    </w:rPr>
                  </w:pPr>
                  <w:r w:rsidRPr="00CF4D6C">
                    <w:rPr>
                      <w:sz w:val="22"/>
                      <w:szCs w:val="22"/>
                    </w:rPr>
                    <w:t>HPV 35</w:t>
                  </w:r>
                </w:p>
              </w:tc>
              <w:tc>
                <w:tcPr>
                  <w:tcW w:w="1531" w:type="dxa"/>
                  <w:shd w:val="clear" w:color="auto" w:fill="auto"/>
                </w:tcPr>
                <w:p w:rsidR="00CF4D6C" w:rsidRPr="00CF4D6C" w:rsidRDefault="00CF4D6C" w:rsidP="005558C4">
                  <w:pPr>
                    <w:jc w:val="center"/>
                    <w:rPr>
                      <w:sz w:val="22"/>
                      <w:szCs w:val="22"/>
                    </w:rPr>
                  </w:pPr>
                  <w:r w:rsidRPr="00CF4D6C">
                    <w:rPr>
                      <w:sz w:val="22"/>
                      <w:szCs w:val="22"/>
                    </w:rPr>
                    <w:t>13</w:t>
                  </w:r>
                </w:p>
              </w:tc>
              <w:tc>
                <w:tcPr>
                  <w:tcW w:w="1444" w:type="dxa"/>
                  <w:shd w:val="clear" w:color="auto" w:fill="auto"/>
                </w:tcPr>
                <w:p w:rsidR="00CF4D6C" w:rsidRPr="00CF4D6C" w:rsidRDefault="00CF4D6C" w:rsidP="005558C4">
                  <w:pPr>
                    <w:jc w:val="center"/>
                    <w:rPr>
                      <w:sz w:val="22"/>
                      <w:szCs w:val="22"/>
                    </w:rPr>
                  </w:pPr>
                  <w:r w:rsidRPr="00CF4D6C">
                    <w:rPr>
                      <w:sz w:val="22"/>
                      <w:szCs w:val="22"/>
                    </w:rPr>
                    <w:t>15</w:t>
                  </w:r>
                </w:p>
              </w:tc>
              <w:tc>
                <w:tcPr>
                  <w:tcW w:w="1755" w:type="dxa"/>
                  <w:shd w:val="clear" w:color="auto" w:fill="auto"/>
                </w:tcPr>
                <w:p w:rsidR="00CF4D6C" w:rsidRPr="00CF4D6C" w:rsidRDefault="00CF4D6C" w:rsidP="005558C4">
                  <w:pPr>
                    <w:jc w:val="center"/>
                    <w:rPr>
                      <w:sz w:val="22"/>
                      <w:szCs w:val="22"/>
                    </w:rPr>
                  </w:pPr>
                  <w:r w:rsidRPr="00CF4D6C">
                    <w:rPr>
                      <w:sz w:val="22"/>
                      <w:szCs w:val="22"/>
                    </w:rPr>
                    <w:t>13.0%</w:t>
                  </w:r>
                </w:p>
              </w:tc>
              <w:tc>
                <w:tcPr>
                  <w:tcW w:w="1755" w:type="dxa"/>
                  <w:shd w:val="clear" w:color="auto" w:fill="auto"/>
                </w:tcPr>
                <w:p w:rsidR="00CF4D6C" w:rsidRPr="00CF4D6C" w:rsidRDefault="00CF4D6C" w:rsidP="005558C4">
                  <w:pPr>
                    <w:jc w:val="center"/>
                    <w:rPr>
                      <w:sz w:val="22"/>
                      <w:szCs w:val="22"/>
                    </w:rPr>
                  </w:pPr>
                  <w:r w:rsidRPr="00CF4D6C">
                    <w:rPr>
                      <w:sz w:val="22"/>
                      <w:szCs w:val="22"/>
                    </w:rPr>
                    <w:t>&lt;0, 61.9</w:t>
                  </w:r>
                  <w:r w:rsidRPr="00CF4D6C">
                    <w:rPr>
                      <w:sz w:val="22"/>
                      <w:szCs w:val="22"/>
                      <w:vertAlign w:val="superscript"/>
                    </w:rPr>
                    <w:t>†</w:t>
                  </w:r>
                </w:p>
              </w:tc>
            </w:tr>
            <w:tr w:rsidR="00CF4D6C" w:rsidRPr="00CF4D6C" w:rsidTr="005558C4">
              <w:tc>
                <w:tcPr>
                  <w:tcW w:w="2335" w:type="dxa"/>
                  <w:shd w:val="clear" w:color="auto" w:fill="auto"/>
                </w:tcPr>
                <w:p w:rsidR="00CF4D6C" w:rsidRPr="00CF4D6C" w:rsidRDefault="00CF4D6C" w:rsidP="005558C4">
                  <w:pPr>
                    <w:ind w:left="240"/>
                    <w:rPr>
                      <w:sz w:val="22"/>
                      <w:szCs w:val="22"/>
                    </w:rPr>
                  </w:pPr>
                  <w:r w:rsidRPr="00CF4D6C">
                    <w:rPr>
                      <w:sz w:val="22"/>
                      <w:szCs w:val="22"/>
                    </w:rPr>
                    <w:t>HPV 52</w:t>
                  </w:r>
                </w:p>
              </w:tc>
              <w:tc>
                <w:tcPr>
                  <w:tcW w:w="1531" w:type="dxa"/>
                  <w:shd w:val="clear" w:color="auto" w:fill="auto"/>
                </w:tcPr>
                <w:p w:rsidR="00CF4D6C" w:rsidRPr="00CF4D6C" w:rsidRDefault="00CF4D6C" w:rsidP="005558C4">
                  <w:pPr>
                    <w:jc w:val="center"/>
                    <w:rPr>
                      <w:sz w:val="22"/>
                      <w:szCs w:val="22"/>
                    </w:rPr>
                  </w:pPr>
                  <w:r w:rsidRPr="00CF4D6C">
                    <w:rPr>
                      <w:sz w:val="22"/>
                      <w:szCs w:val="22"/>
                    </w:rPr>
                    <w:t>44</w:t>
                  </w:r>
                </w:p>
              </w:tc>
              <w:tc>
                <w:tcPr>
                  <w:tcW w:w="1444" w:type="dxa"/>
                  <w:shd w:val="clear" w:color="auto" w:fill="auto"/>
                </w:tcPr>
                <w:p w:rsidR="00CF4D6C" w:rsidRPr="00CF4D6C" w:rsidRDefault="00CF4D6C" w:rsidP="005558C4">
                  <w:pPr>
                    <w:jc w:val="center"/>
                    <w:rPr>
                      <w:sz w:val="22"/>
                      <w:szCs w:val="22"/>
                    </w:rPr>
                  </w:pPr>
                  <w:r w:rsidRPr="00CF4D6C">
                    <w:rPr>
                      <w:sz w:val="22"/>
                      <w:szCs w:val="22"/>
                    </w:rPr>
                    <w:t>52</w:t>
                  </w:r>
                </w:p>
              </w:tc>
              <w:tc>
                <w:tcPr>
                  <w:tcW w:w="1755" w:type="dxa"/>
                  <w:shd w:val="clear" w:color="auto" w:fill="auto"/>
                </w:tcPr>
                <w:p w:rsidR="00CF4D6C" w:rsidRPr="00CF4D6C" w:rsidRDefault="00CF4D6C" w:rsidP="005558C4">
                  <w:pPr>
                    <w:jc w:val="center"/>
                    <w:rPr>
                      <w:sz w:val="22"/>
                      <w:szCs w:val="22"/>
                    </w:rPr>
                  </w:pPr>
                  <w:r w:rsidRPr="00CF4D6C">
                    <w:rPr>
                      <w:sz w:val="22"/>
                      <w:szCs w:val="22"/>
                    </w:rPr>
                    <w:t>14.7%</w:t>
                  </w:r>
                </w:p>
              </w:tc>
              <w:tc>
                <w:tcPr>
                  <w:tcW w:w="1755" w:type="dxa"/>
                  <w:shd w:val="clear" w:color="auto" w:fill="auto"/>
                </w:tcPr>
                <w:p w:rsidR="00CF4D6C" w:rsidRPr="00CF4D6C" w:rsidRDefault="00CF4D6C" w:rsidP="005558C4">
                  <w:pPr>
                    <w:jc w:val="center"/>
                    <w:rPr>
                      <w:sz w:val="22"/>
                      <w:szCs w:val="22"/>
                    </w:rPr>
                  </w:pPr>
                  <w:r w:rsidRPr="00CF4D6C">
                    <w:rPr>
                      <w:sz w:val="22"/>
                      <w:szCs w:val="22"/>
                    </w:rPr>
                    <w:t>&lt;0, 44.2</w:t>
                  </w:r>
                  <w:r w:rsidRPr="00CF4D6C">
                    <w:rPr>
                      <w:sz w:val="22"/>
                      <w:szCs w:val="22"/>
                      <w:vertAlign w:val="superscript"/>
                    </w:rPr>
                    <w:t>†</w:t>
                  </w:r>
                </w:p>
              </w:tc>
            </w:tr>
            <w:tr w:rsidR="00CF4D6C" w:rsidRPr="00CF4D6C" w:rsidTr="005558C4">
              <w:tc>
                <w:tcPr>
                  <w:tcW w:w="2335" w:type="dxa"/>
                  <w:shd w:val="clear" w:color="auto" w:fill="auto"/>
                </w:tcPr>
                <w:p w:rsidR="00CF4D6C" w:rsidRPr="00CF4D6C" w:rsidRDefault="00CF4D6C" w:rsidP="005558C4">
                  <w:pPr>
                    <w:ind w:left="240"/>
                    <w:rPr>
                      <w:sz w:val="22"/>
                      <w:szCs w:val="22"/>
                    </w:rPr>
                  </w:pPr>
                  <w:r w:rsidRPr="00CF4D6C">
                    <w:rPr>
                      <w:sz w:val="22"/>
                      <w:szCs w:val="22"/>
                    </w:rPr>
                    <w:t>HPV 58</w:t>
                  </w:r>
                </w:p>
              </w:tc>
              <w:tc>
                <w:tcPr>
                  <w:tcW w:w="1531" w:type="dxa"/>
                  <w:shd w:val="clear" w:color="auto" w:fill="auto"/>
                </w:tcPr>
                <w:p w:rsidR="00CF4D6C" w:rsidRPr="00CF4D6C" w:rsidRDefault="00CF4D6C" w:rsidP="005558C4">
                  <w:pPr>
                    <w:jc w:val="center"/>
                    <w:rPr>
                      <w:sz w:val="22"/>
                      <w:szCs w:val="22"/>
                    </w:rPr>
                  </w:pPr>
                  <w:r w:rsidRPr="00CF4D6C">
                    <w:rPr>
                      <w:sz w:val="22"/>
                      <w:szCs w:val="22"/>
                    </w:rPr>
                    <w:t>24</w:t>
                  </w:r>
                </w:p>
              </w:tc>
              <w:tc>
                <w:tcPr>
                  <w:tcW w:w="1444" w:type="dxa"/>
                  <w:shd w:val="clear" w:color="auto" w:fill="auto"/>
                </w:tcPr>
                <w:p w:rsidR="00CF4D6C" w:rsidRPr="00CF4D6C" w:rsidRDefault="00CF4D6C" w:rsidP="005558C4">
                  <w:pPr>
                    <w:jc w:val="center"/>
                    <w:rPr>
                      <w:sz w:val="22"/>
                      <w:szCs w:val="22"/>
                    </w:rPr>
                  </w:pPr>
                  <w:r w:rsidRPr="00CF4D6C">
                    <w:rPr>
                      <w:sz w:val="22"/>
                      <w:szCs w:val="22"/>
                    </w:rPr>
                    <w:t>35</w:t>
                  </w:r>
                </w:p>
              </w:tc>
              <w:tc>
                <w:tcPr>
                  <w:tcW w:w="1755" w:type="dxa"/>
                  <w:shd w:val="clear" w:color="auto" w:fill="auto"/>
                </w:tcPr>
                <w:p w:rsidR="00CF4D6C" w:rsidRPr="00CF4D6C" w:rsidRDefault="00CF4D6C" w:rsidP="005558C4">
                  <w:pPr>
                    <w:jc w:val="center"/>
                    <w:rPr>
                      <w:sz w:val="22"/>
                      <w:szCs w:val="22"/>
                    </w:rPr>
                  </w:pPr>
                  <w:r w:rsidRPr="00CF4D6C">
                    <w:rPr>
                      <w:sz w:val="22"/>
                      <w:szCs w:val="22"/>
                    </w:rPr>
                    <w:t>31.5%</w:t>
                  </w:r>
                </w:p>
              </w:tc>
              <w:tc>
                <w:tcPr>
                  <w:tcW w:w="1755" w:type="dxa"/>
                  <w:shd w:val="clear" w:color="auto" w:fill="auto"/>
                </w:tcPr>
                <w:p w:rsidR="00CF4D6C" w:rsidRPr="00CF4D6C" w:rsidRDefault="00CF4D6C" w:rsidP="005558C4">
                  <w:pPr>
                    <w:jc w:val="center"/>
                    <w:rPr>
                      <w:sz w:val="22"/>
                      <w:szCs w:val="22"/>
                    </w:rPr>
                  </w:pPr>
                  <w:r w:rsidRPr="00CF4D6C">
                    <w:rPr>
                      <w:sz w:val="22"/>
                      <w:szCs w:val="22"/>
                    </w:rPr>
                    <w:t>&lt;0, 61.0</w:t>
                  </w:r>
                  <w:r w:rsidRPr="00CF4D6C">
                    <w:rPr>
                      <w:sz w:val="22"/>
                      <w:szCs w:val="22"/>
                      <w:vertAlign w:val="superscript"/>
                    </w:rPr>
                    <w:t>†</w:t>
                  </w:r>
                </w:p>
              </w:tc>
            </w:tr>
            <w:tr w:rsidR="00CF4D6C" w:rsidRPr="00CF4D6C" w:rsidTr="005558C4">
              <w:tc>
                <w:tcPr>
                  <w:tcW w:w="2335" w:type="dxa"/>
                  <w:shd w:val="clear" w:color="auto" w:fill="auto"/>
                </w:tcPr>
                <w:p w:rsidR="00CF4D6C" w:rsidRPr="00CF4D6C" w:rsidRDefault="00CF4D6C" w:rsidP="005558C4">
                  <w:pPr>
                    <w:rPr>
                      <w:i/>
                      <w:sz w:val="22"/>
                      <w:szCs w:val="22"/>
                    </w:rPr>
                  </w:pPr>
                  <w:r w:rsidRPr="00CF4D6C">
                    <w:rPr>
                      <w:i/>
                      <w:sz w:val="22"/>
                      <w:szCs w:val="22"/>
                    </w:rPr>
                    <w:t>HPV-tipovi (A7 vrste) u vezi sa HPV - 18</w:t>
                  </w:r>
                </w:p>
              </w:tc>
              <w:tc>
                <w:tcPr>
                  <w:tcW w:w="1531" w:type="dxa"/>
                  <w:shd w:val="clear" w:color="auto" w:fill="auto"/>
                </w:tcPr>
                <w:p w:rsidR="00CF4D6C" w:rsidRPr="00CF4D6C" w:rsidRDefault="00CF4D6C" w:rsidP="005558C4">
                  <w:pPr>
                    <w:jc w:val="center"/>
                    <w:rPr>
                      <w:sz w:val="22"/>
                      <w:szCs w:val="22"/>
                    </w:rPr>
                  </w:pPr>
                  <w:r w:rsidRPr="00CF4D6C">
                    <w:rPr>
                      <w:sz w:val="22"/>
                      <w:szCs w:val="22"/>
                    </w:rPr>
                    <w:t>34</w:t>
                  </w:r>
                </w:p>
              </w:tc>
              <w:tc>
                <w:tcPr>
                  <w:tcW w:w="1444" w:type="dxa"/>
                  <w:shd w:val="clear" w:color="auto" w:fill="auto"/>
                </w:tcPr>
                <w:p w:rsidR="00CF4D6C" w:rsidRPr="00CF4D6C" w:rsidRDefault="00CF4D6C" w:rsidP="005558C4">
                  <w:pPr>
                    <w:jc w:val="center"/>
                    <w:rPr>
                      <w:sz w:val="22"/>
                      <w:szCs w:val="22"/>
                    </w:rPr>
                  </w:pPr>
                  <w:r w:rsidRPr="00CF4D6C">
                    <w:rPr>
                      <w:sz w:val="22"/>
                      <w:szCs w:val="22"/>
                    </w:rPr>
                    <w:t>46</w:t>
                  </w:r>
                </w:p>
              </w:tc>
              <w:tc>
                <w:tcPr>
                  <w:tcW w:w="1755" w:type="dxa"/>
                  <w:shd w:val="clear" w:color="auto" w:fill="auto"/>
                </w:tcPr>
                <w:p w:rsidR="00CF4D6C" w:rsidRPr="00CF4D6C" w:rsidRDefault="00CF4D6C" w:rsidP="005558C4">
                  <w:pPr>
                    <w:jc w:val="center"/>
                    <w:rPr>
                      <w:sz w:val="22"/>
                      <w:szCs w:val="22"/>
                    </w:rPr>
                  </w:pPr>
                  <w:r w:rsidRPr="00CF4D6C">
                    <w:rPr>
                      <w:sz w:val="22"/>
                      <w:szCs w:val="22"/>
                    </w:rPr>
                    <w:t>25.9%</w:t>
                  </w:r>
                </w:p>
              </w:tc>
              <w:tc>
                <w:tcPr>
                  <w:tcW w:w="1755" w:type="dxa"/>
                  <w:shd w:val="clear" w:color="auto" w:fill="auto"/>
                </w:tcPr>
                <w:p w:rsidR="00CF4D6C" w:rsidRPr="00CF4D6C" w:rsidRDefault="00CF4D6C" w:rsidP="005558C4">
                  <w:pPr>
                    <w:jc w:val="center"/>
                    <w:rPr>
                      <w:sz w:val="22"/>
                      <w:szCs w:val="22"/>
                    </w:rPr>
                  </w:pPr>
                  <w:r w:rsidRPr="00CF4D6C">
                    <w:rPr>
                      <w:sz w:val="22"/>
                      <w:szCs w:val="22"/>
                    </w:rPr>
                    <w:t>&lt;0, 53.9</w:t>
                  </w:r>
                </w:p>
              </w:tc>
            </w:tr>
            <w:tr w:rsidR="00CF4D6C" w:rsidRPr="00CF4D6C" w:rsidTr="005558C4">
              <w:tc>
                <w:tcPr>
                  <w:tcW w:w="2335" w:type="dxa"/>
                  <w:shd w:val="clear" w:color="auto" w:fill="auto"/>
                </w:tcPr>
                <w:p w:rsidR="00CF4D6C" w:rsidRPr="00CF4D6C" w:rsidRDefault="00CF4D6C" w:rsidP="005558C4">
                  <w:pPr>
                    <w:ind w:left="240"/>
                    <w:rPr>
                      <w:sz w:val="22"/>
                      <w:szCs w:val="22"/>
                    </w:rPr>
                  </w:pPr>
                  <w:r w:rsidRPr="00CF4D6C">
                    <w:rPr>
                      <w:sz w:val="22"/>
                      <w:szCs w:val="22"/>
                    </w:rPr>
                    <w:t>HPV 39</w:t>
                  </w:r>
                </w:p>
              </w:tc>
              <w:tc>
                <w:tcPr>
                  <w:tcW w:w="1531" w:type="dxa"/>
                  <w:shd w:val="clear" w:color="auto" w:fill="auto"/>
                </w:tcPr>
                <w:p w:rsidR="00CF4D6C" w:rsidRPr="00CF4D6C" w:rsidRDefault="00CF4D6C" w:rsidP="005558C4">
                  <w:pPr>
                    <w:jc w:val="center"/>
                    <w:rPr>
                      <w:sz w:val="22"/>
                      <w:szCs w:val="22"/>
                    </w:rPr>
                  </w:pPr>
                  <w:r w:rsidRPr="00CF4D6C">
                    <w:rPr>
                      <w:sz w:val="22"/>
                      <w:szCs w:val="22"/>
                    </w:rPr>
                    <w:t>15</w:t>
                  </w:r>
                </w:p>
              </w:tc>
              <w:tc>
                <w:tcPr>
                  <w:tcW w:w="1444" w:type="dxa"/>
                  <w:shd w:val="clear" w:color="auto" w:fill="auto"/>
                </w:tcPr>
                <w:p w:rsidR="00CF4D6C" w:rsidRPr="00CF4D6C" w:rsidRDefault="00CF4D6C" w:rsidP="005558C4">
                  <w:pPr>
                    <w:jc w:val="center"/>
                    <w:rPr>
                      <w:sz w:val="22"/>
                      <w:szCs w:val="22"/>
                    </w:rPr>
                  </w:pPr>
                  <w:r w:rsidRPr="00CF4D6C">
                    <w:rPr>
                      <w:sz w:val="22"/>
                      <w:szCs w:val="22"/>
                    </w:rPr>
                    <w:t>24</w:t>
                  </w:r>
                </w:p>
              </w:tc>
              <w:tc>
                <w:tcPr>
                  <w:tcW w:w="1755" w:type="dxa"/>
                  <w:shd w:val="clear" w:color="auto" w:fill="auto"/>
                </w:tcPr>
                <w:p w:rsidR="00CF4D6C" w:rsidRPr="00CF4D6C" w:rsidRDefault="00CF4D6C" w:rsidP="005558C4">
                  <w:pPr>
                    <w:jc w:val="center"/>
                    <w:rPr>
                      <w:sz w:val="22"/>
                      <w:szCs w:val="22"/>
                    </w:rPr>
                  </w:pPr>
                  <w:r w:rsidRPr="00CF4D6C">
                    <w:rPr>
                      <w:sz w:val="22"/>
                      <w:szCs w:val="22"/>
                    </w:rPr>
                    <w:t>37.5%</w:t>
                  </w:r>
                </w:p>
              </w:tc>
              <w:tc>
                <w:tcPr>
                  <w:tcW w:w="1755" w:type="dxa"/>
                  <w:shd w:val="clear" w:color="auto" w:fill="auto"/>
                </w:tcPr>
                <w:p w:rsidR="00CF4D6C" w:rsidRPr="00CF4D6C" w:rsidRDefault="00CF4D6C" w:rsidP="005558C4">
                  <w:pPr>
                    <w:jc w:val="center"/>
                    <w:rPr>
                      <w:sz w:val="22"/>
                      <w:szCs w:val="22"/>
                    </w:rPr>
                  </w:pPr>
                  <w:r w:rsidRPr="00CF4D6C">
                    <w:rPr>
                      <w:sz w:val="22"/>
                      <w:szCs w:val="22"/>
                    </w:rPr>
                    <w:t>&lt;0, 69.5</w:t>
                  </w:r>
                  <w:r w:rsidRPr="00CF4D6C">
                    <w:rPr>
                      <w:sz w:val="22"/>
                      <w:szCs w:val="22"/>
                      <w:vertAlign w:val="superscript"/>
                    </w:rPr>
                    <w:t>†</w:t>
                  </w:r>
                </w:p>
              </w:tc>
            </w:tr>
            <w:tr w:rsidR="00CF4D6C" w:rsidRPr="00CF4D6C" w:rsidTr="005558C4">
              <w:tc>
                <w:tcPr>
                  <w:tcW w:w="2335" w:type="dxa"/>
                  <w:shd w:val="clear" w:color="auto" w:fill="auto"/>
                </w:tcPr>
                <w:p w:rsidR="00CF4D6C" w:rsidRPr="00CF4D6C" w:rsidRDefault="00CF4D6C" w:rsidP="005558C4">
                  <w:pPr>
                    <w:ind w:left="240"/>
                    <w:rPr>
                      <w:sz w:val="22"/>
                      <w:szCs w:val="22"/>
                    </w:rPr>
                  </w:pPr>
                  <w:r w:rsidRPr="00CF4D6C">
                    <w:rPr>
                      <w:sz w:val="22"/>
                      <w:szCs w:val="22"/>
                    </w:rPr>
                    <w:t>HPV 45</w:t>
                  </w:r>
                </w:p>
              </w:tc>
              <w:tc>
                <w:tcPr>
                  <w:tcW w:w="1531" w:type="dxa"/>
                  <w:shd w:val="clear" w:color="auto" w:fill="auto"/>
                </w:tcPr>
                <w:p w:rsidR="00CF4D6C" w:rsidRPr="00CF4D6C" w:rsidRDefault="00CF4D6C" w:rsidP="005558C4">
                  <w:pPr>
                    <w:jc w:val="center"/>
                    <w:rPr>
                      <w:sz w:val="22"/>
                      <w:szCs w:val="22"/>
                    </w:rPr>
                  </w:pPr>
                  <w:r w:rsidRPr="00CF4D6C">
                    <w:rPr>
                      <w:sz w:val="22"/>
                      <w:szCs w:val="22"/>
                    </w:rPr>
                    <w:t>11</w:t>
                  </w:r>
                </w:p>
              </w:tc>
              <w:tc>
                <w:tcPr>
                  <w:tcW w:w="1444" w:type="dxa"/>
                  <w:shd w:val="clear" w:color="auto" w:fill="auto"/>
                </w:tcPr>
                <w:p w:rsidR="00CF4D6C" w:rsidRPr="00CF4D6C" w:rsidRDefault="00CF4D6C" w:rsidP="005558C4">
                  <w:pPr>
                    <w:jc w:val="center"/>
                    <w:rPr>
                      <w:sz w:val="22"/>
                      <w:szCs w:val="22"/>
                    </w:rPr>
                  </w:pPr>
                  <w:r w:rsidRPr="00CF4D6C">
                    <w:rPr>
                      <w:sz w:val="22"/>
                      <w:szCs w:val="22"/>
                    </w:rPr>
                    <w:t>11</w:t>
                  </w:r>
                </w:p>
              </w:tc>
              <w:tc>
                <w:tcPr>
                  <w:tcW w:w="1755" w:type="dxa"/>
                  <w:shd w:val="clear" w:color="auto" w:fill="auto"/>
                </w:tcPr>
                <w:p w:rsidR="00CF4D6C" w:rsidRPr="00CF4D6C" w:rsidRDefault="00CF4D6C" w:rsidP="005558C4">
                  <w:pPr>
                    <w:jc w:val="center"/>
                    <w:rPr>
                      <w:sz w:val="22"/>
                      <w:szCs w:val="22"/>
                    </w:rPr>
                  </w:pPr>
                  <w:r w:rsidRPr="00CF4D6C">
                    <w:rPr>
                      <w:sz w:val="22"/>
                      <w:szCs w:val="22"/>
                    </w:rPr>
                    <w:t>0.0%</w:t>
                  </w:r>
                </w:p>
              </w:tc>
              <w:tc>
                <w:tcPr>
                  <w:tcW w:w="1755" w:type="dxa"/>
                  <w:shd w:val="clear" w:color="auto" w:fill="auto"/>
                </w:tcPr>
                <w:p w:rsidR="00CF4D6C" w:rsidRPr="00CF4D6C" w:rsidRDefault="00CF4D6C" w:rsidP="005558C4">
                  <w:pPr>
                    <w:jc w:val="center"/>
                    <w:rPr>
                      <w:sz w:val="22"/>
                      <w:szCs w:val="22"/>
                    </w:rPr>
                  </w:pPr>
                  <w:r w:rsidRPr="00CF4D6C">
                    <w:rPr>
                      <w:sz w:val="22"/>
                      <w:szCs w:val="22"/>
                    </w:rPr>
                    <w:t>&lt;0, 60.7</w:t>
                  </w:r>
                  <w:r w:rsidRPr="00CF4D6C">
                    <w:rPr>
                      <w:sz w:val="22"/>
                      <w:szCs w:val="22"/>
                      <w:vertAlign w:val="superscript"/>
                    </w:rPr>
                    <w:t>†</w:t>
                  </w:r>
                </w:p>
              </w:tc>
            </w:tr>
            <w:tr w:rsidR="00CF4D6C" w:rsidRPr="00CF4D6C" w:rsidTr="005558C4">
              <w:tc>
                <w:tcPr>
                  <w:tcW w:w="2335" w:type="dxa"/>
                  <w:shd w:val="clear" w:color="auto" w:fill="auto"/>
                </w:tcPr>
                <w:p w:rsidR="00CF4D6C" w:rsidRPr="00CF4D6C" w:rsidRDefault="00CF4D6C" w:rsidP="005558C4">
                  <w:pPr>
                    <w:ind w:left="240"/>
                    <w:rPr>
                      <w:sz w:val="22"/>
                      <w:szCs w:val="22"/>
                    </w:rPr>
                  </w:pPr>
                  <w:r w:rsidRPr="00CF4D6C">
                    <w:rPr>
                      <w:sz w:val="22"/>
                      <w:szCs w:val="22"/>
                    </w:rPr>
                    <w:t>HPV 59</w:t>
                  </w:r>
                </w:p>
              </w:tc>
              <w:tc>
                <w:tcPr>
                  <w:tcW w:w="1531" w:type="dxa"/>
                  <w:shd w:val="clear" w:color="auto" w:fill="auto"/>
                </w:tcPr>
                <w:p w:rsidR="00CF4D6C" w:rsidRPr="00CF4D6C" w:rsidRDefault="00CF4D6C" w:rsidP="005558C4">
                  <w:pPr>
                    <w:jc w:val="center"/>
                    <w:rPr>
                      <w:sz w:val="22"/>
                      <w:szCs w:val="22"/>
                    </w:rPr>
                  </w:pPr>
                  <w:r w:rsidRPr="00CF4D6C">
                    <w:rPr>
                      <w:sz w:val="22"/>
                      <w:szCs w:val="22"/>
                    </w:rPr>
                    <w:t>9</w:t>
                  </w:r>
                </w:p>
              </w:tc>
              <w:tc>
                <w:tcPr>
                  <w:tcW w:w="1444" w:type="dxa"/>
                  <w:shd w:val="clear" w:color="auto" w:fill="auto"/>
                </w:tcPr>
                <w:p w:rsidR="00CF4D6C" w:rsidRPr="00CF4D6C" w:rsidRDefault="00CF4D6C" w:rsidP="005558C4">
                  <w:pPr>
                    <w:jc w:val="center"/>
                    <w:rPr>
                      <w:sz w:val="22"/>
                      <w:szCs w:val="22"/>
                    </w:rPr>
                  </w:pPr>
                  <w:r w:rsidRPr="00CF4D6C">
                    <w:rPr>
                      <w:sz w:val="22"/>
                      <w:szCs w:val="22"/>
                    </w:rPr>
                    <w:t>15</w:t>
                  </w:r>
                </w:p>
              </w:tc>
              <w:tc>
                <w:tcPr>
                  <w:tcW w:w="1755" w:type="dxa"/>
                  <w:shd w:val="clear" w:color="auto" w:fill="auto"/>
                </w:tcPr>
                <w:p w:rsidR="00CF4D6C" w:rsidRPr="00CF4D6C" w:rsidRDefault="00CF4D6C" w:rsidP="005558C4">
                  <w:pPr>
                    <w:jc w:val="center"/>
                    <w:rPr>
                      <w:sz w:val="22"/>
                      <w:szCs w:val="22"/>
                    </w:rPr>
                  </w:pPr>
                  <w:r w:rsidRPr="00CF4D6C">
                    <w:rPr>
                      <w:sz w:val="22"/>
                      <w:szCs w:val="22"/>
                    </w:rPr>
                    <w:t>39.9%</w:t>
                  </w:r>
                </w:p>
              </w:tc>
              <w:tc>
                <w:tcPr>
                  <w:tcW w:w="1755" w:type="dxa"/>
                  <w:shd w:val="clear" w:color="auto" w:fill="auto"/>
                </w:tcPr>
                <w:p w:rsidR="00CF4D6C" w:rsidRPr="00CF4D6C" w:rsidRDefault="00CF4D6C" w:rsidP="005558C4">
                  <w:pPr>
                    <w:jc w:val="center"/>
                    <w:rPr>
                      <w:sz w:val="22"/>
                      <w:szCs w:val="22"/>
                    </w:rPr>
                  </w:pPr>
                  <w:r w:rsidRPr="00CF4D6C">
                    <w:rPr>
                      <w:sz w:val="22"/>
                      <w:szCs w:val="22"/>
                    </w:rPr>
                    <w:t>&lt;0, 76.8</w:t>
                  </w:r>
                  <w:r w:rsidRPr="00CF4D6C">
                    <w:rPr>
                      <w:sz w:val="22"/>
                      <w:szCs w:val="22"/>
                      <w:vertAlign w:val="superscript"/>
                    </w:rPr>
                    <w:t>†</w:t>
                  </w:r>
                </w:p>
              </w:tc>
            </w:tr>
            <w:tr w:rsidR="00CF4D6C" w:rsidRPr="00CF4D6C" w:rsidTr="005558C4">
              <w:tc>
                <w:tcPr>
                  <w:tcW w:w="2335" w:type="dxa"/>
                  <w:shd w:val="clear" w:color="auto" w:fill="auto"/>
                </w:tcPr>
                <w:p w:rsidR="00CF4D6C" w:rsidRPr="00CF4D6C" w:rsidRDefault="00CF4D6C" w:rsidP="005558C4">
                  <w:pPr>
                    <w:rPr>
                      <w:sz w:val="22"/>
                      <w:szCs w:val="22"/>
                    </w:rPr>
                  </w:pPr>
                  <w:r w:rsidRPr="00CF4D6C">
                    <w:rPr>
                      <w:sz w:val="22"/>
                      <w:szCs w:val="22"/>
                    </w:rPr>
                    <w:t xml:space="preserve"> A5 vrste (HPV 51)</w:t>
                  </w:r>
                </w:p>
              </w:tc>
              <w:tc>
                <w:tcPr>
                  <w:tcW w:w="1531" w:type="dxa"/>
                  <w:shd w:val="clear" w:color="auto" w:fill="auto"/>
                </w:tcPr>
                <w:p w:rsidR="00CF4D6C" w:rsidRPr="00CF4D6C" w:rsidRDefault="00CF4D6C" w:rsidP="005558C4">
                  <w:pPr>
                    <w:jc w:val="center"/>
                    <w:rPr>
                      <w:sz w:val="22"/>
                      <w:szCs w:val="22"/>
                    </w:rPr>
                  </w:pPr>
                  <w:r w:rsidRPr="00CF4D6C">
                    <w:rPr>
                      <w:sz w:val="22"/>
                      <w:szCs w:val="22"/>
                    </w:rPr>
                    <w:t>34</w:t>
                  </w:r>
                </w:p>
              </w:tc>
              <w:tc>
                <w:tcPr>
                  <w:tcW w:w="1444" w:type="dxa"/>
                  <w:shd w:val="clear" w:color="auto" w:fill="auto"/>
                </w:tcPr>
                <w:p w:rsidR="00CF4D6C" w:rsidRPr="00CF4D6C" w:rsidRDefault="00CF4D6C" w:rsidP="005558C4">
                  <w:pPr>
                    <w:jc w:val="center"/>
                    <w:rPr>
                      <w:sz w:val="22"/>
                      <w:szCs w:val="22"/>
                    </w:rPr>
                  </w:pPr>
                  <w:r w:rsidRPr="00CF4D6C">
                    <w:rPr>
                      <w:sz w:val="22"/>
                      <w:szCs w:val="22"/>
                    </w:rPr>
                    <w:t>41</w:t>
                  </w:r>
                </w:p>
              </w:tc>
              <w:tc>
                <w:tcPr>
                  <w:tcW w:w="1755" w:type="dxa"/>
                  <w:shd w:val="clear" w:color="auto" w:fill="auto"/>
                </w:tcPr>
                <w:p w:rsidR="00CF4D6C" w:rsidRPr="00CF4D6C" w:rsidRDefault="00CF4D6C" w:rsidP="005558C4">
                  <w:pPr>
                    <w:jc w:val="center"/>
                    <w:rPr>
                      <w:sz w:val="22"/>
                      <w:szCs w:val="22"/>
                    </w:rPr>
                  </w:pPr>
                  <w:r w:rsidRPr="00CF4D6C">
                    <w:rPr>
                      <w:sz w:val="22"/>
                      <w:szCs w:val="22"/>
                    </w:rPr>
                    <w:t>16.3%</w:t>
                  </w:r>
                </w:p>
              </w:tc>
              <w:tc>
                <w:tcPr>
                  <w:tcW w:w="1755" w:type="dxa"/>
                  <w:shd w:val="clear" w:color="auto" w:fill="auto"/>
                </w:tcPr>
                <w:p w:rsidR="00CF4D6C" w:rsidRPr="00CF4D6C" w:rsidRDefault="00CF4D6C" w:rsidP="005558C4">
                  <w:pPr>
                    <w:jc w:val="center"/>
                    <w:rPr>
                      <w:sz w:val="22"/>
                      <w:szCs w:val="22"/>
                    </w:rPr>
                  </w:pPr>
                  <w:r w:rsidRPr="00CF4D6C">
                    <w:rPr>
                      <w:sz w:val="22"/>
                      <w:szCs w:val="22"/>
                    </w:rPr>
                    <w:t>&lt;0, 48.5</w:t>
                  </w:r>
                  <w:r w:rsidRPr="00CF4D6C">
                    <w:rPr>
                      <w:sz w:val="22"/>
                      <w:szCs w:val="22"/>
                      <w:vertAlign w:val="superscript"/>
                    </w:rPr>
                    <w:t>†</w:t>
                  </w:r>
                </w:p>
              </w:tc>
            </w:tr>
            <w:tr w:rsidR="00CF4D6C" w:rsidRPr="00CF4D6C" w:rsidTr="005558C4">
              <w:tc>
                <w:tcPr>
                  <w:tcW w:w="2335" w:type="dxa"/>
                  <w:tcBorders>
                    <w:bottom w:val="single" w:sz="4" w:space="0" w:color="auto"/>
                  </w:tcBorders>
                  <w:shd w:val="clear" w:color="auto" w:fill="auto"/>
                </w:tcPr>
                <w:p w:rsidR="00CF4D6C" w:rsidRPr="00CF4D6C" w:rsidRDefault="00CF4D6C" w:rsidP="005558C4">
                  <w:pPr>
                    <w:rPr>
                      <w:sz w:val="22"/>
                      <w:szCs w:val="22"/>
                    </w:rPr>
                  </w:pPr>
                  <w:r w:rsidRPr="00CF4D6C">
                    <w:rPr>
                      <w:sz w:val="22"/>
                      <w:szCs w:val="22"/>
                    </w:rPr>
                    <w:t>A6  vrste (HPV 56)</w:t>
                  </w:r>
                </w:p>
              </w:tc>
              <w:tc>
                <w:tcPr>
                  <w:tcW w:w="1531" w:type="dxa"/>
                  <w:tcBorders>
                    <w:bottom w:val="single" w:sz="4" w:space="0" w:color="auto"/>
                  </w:tcBorders>
                  <w:shd w:val="clear" w:color="auto" w:fill="auto"/>
                </w:tcPr>
                <w:p w:rsidR="00CF4D6C" w:rsidRPr="00CF4D6C" w:rsidRDefault="00CF4D6C" w:rsidP="005558C4">
                  <w:pPr>
                    <w:jc w:val="center"/>
                    <w:rPr>
                      <w:sz w:val="22"/>
                      <w:szCs w:val="22"/>
                    </w:rPr>
                  </w:pPr>
                  <w:r w:rsidRPr="00CF4D6C">
                    <w:rPr>
                      <w:sz w:val="22"/>
                      <w:szCs w:val="22"/>
                    </w:rPr>
                    <w:t>34</w:t>
                  </w:r>
                </w:p>
              </w:tc>
              <w:tc>
                <w:tcPr>
                  <w:tcW w:w="1444" w:type="dxa"/>
                  <w:tcBorders>
                    <w:bottom w:val="single" w:sz="4" w:space="0" w:color="auto"/>
                  </w:tcBorders>
                  <w:shd w:val="clear" w:color="auto" w:fill="auto"/>
                </w:tcPr>
                <w:p w:rsidR="00CF4D6C" w:rsidRPr="00CF4D6C" w:rsidRDefault="00CF4D6C" w:rsidP="005558C4">
                  <w:pPr>
                    <w:jc w:val="center"/>
                    <w:rPr>
                      <w:sz w:val="22"/>
                      <w:szCs w:val="22"/>
                    </w:rPr>
                  </w:pPr>
                  <w:r w:rsidRPr="00CF4D6C">
                    <w:rPr>
                      <w:sz w:val="22"/>
                      <w:szCs w:val="22"/>
                    </w:rPr>
                    <w:t>30</w:t>
                  </w:r>
                </w:p>
              </w:tc>
              <w:tc>
                <w:tcPr>
                  <w:tcW w:w="1755" w:type="dxa"/>
                  <w:tcBorders>
                    <w:bottom w:val="single" w:sz="4" w:space="0" w:color="auto"/>
                  </w:tcBorders>
                  <w:shd w:val="clear" w:color="auto" w:fill="auto"/>
                </w:tcPr>
                <w:p w:rsidR="00CF4D6C" w:rsidRPr="00CF4D6C" w:rsidRDefault="00CF4D6C" w:rsidP="005558C4">
                  <w:pPr>
                    <w:jc w:val="center"/>
                    <w:rPr>
                      <w:sz w:val="22"/>
                      <w:szCs w:val="22"/>
                    </w:rPr>
                  </w:pPr>
                  <w:r w:rsidRPr="00CF4D6C">
                    <w:rPr>
                      <w:sz w:val="22"/>
                      <w:szCs w:val="22"/>
                    </w:rPr>
                    <w:t>-13.7%</w:t>
                  </w:r>
                </w:p>
              </w:tc>
              <w:tc>
                <w:tcPr>
                  <w:tcW w:w="1755" w:type="dxa"/>
                  <w:tcBorders>
                    <w:bottom w:val="single" w:sz="4" w:space="0" w:color="auto"/>
                  </w:tcBorders>
                  <w:shd w:val="clear" w:color="auto" w:fill="auto"/>
                </w:tcPr>
                <w:p w:rsidR="00CF4D6C" w:rsidRPr="00CF4D6C" w:rsidRDefault="00CF4D6C" w:rsidP="005558C4">
                  <w:pPr>
                    <w:jc w:val="center"/>
                    <w:rPr>
                      <w:sz w:val="22"/>
                      <w:szCs w:val="22"/>
                    </w:rPr>
                  </w:pPr>
                  <w:r w:rsidRPr="00CF4D6C">
                    <w:rPr>
                      <w:sz w:val="22"/>
                      <w:szCs w:val="22"/>
                    </w:rPr>
                    <w:t>&lt;0, 32.5</w:t>
                  </w:r>
                  <w:r w:rsidRPr="00CF4D6C">
                    <w:rPr>
                      <w:sz w:val="22"/>
                      <w:szCs w:val="22"/>
                      <w:vertAlign w:val="superscript"/>
                    </w:rPr>
                    <w:t>†</w:t>
                  </w:r>
                </w:p>
              </w:tc>
            </w:tr>
            <w:tr w:rsidR="00CF4D6C" w:rsidRPr="00CF4D6C" w:rsidTr="005558C4">
              <w:tc>
                <w:tcPr>
                  <w:tcW w:w="8820" w:type="dxa"/>
                  <w:gridSpan w:val="5"/>
                  <w:tcBorders>
                    <w:bottom w:val="nil"/>
                  </w:tcBorders>
                </w:tcPr>
                <w:p w:rsidR="00CF4D6C" w:rsidRPr="00CF4D6C" w:rsidRDefault="00CF4D6C" w:rsidP="00555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before="20" w:after="20"/>
                    <w:ind w:left="432" w:hanging="432"/>
                    <w:rPr>
                      <w:sz w:val="22"/>
                      <w:szCs w:val="22"/>
                    </w:rPr>
                  </w:pPr>
                  <w:r w:rsidRPr="00CF4D6C">
                    <w:rPr>
                      <w:sz w:val="22"/>
                      <w:szCs w:val="22"/>
                      <w:vertAlign w:val="superscript"/>
                    </w:rPr>
                    <w:t>†</w:t>
                  </w:r>
                  <w:r w:rsidRPr="00CF4D6C">
                    <w:rPr>
                      <w:sz w:val="22"/>
                      <w:szCs w:val="22"/>
                    </w:rPr>
                    <w:tab/>
                  </w:r>
                  <w:r w:rsidRPr="00CF4D6C">
                    <w:rPr>
                      <w:bCs/>
                      <w:iCs/>
                      <w:sz w:val="22"/>
                      <w:szCs w:val="22"/>
                    </w:rPr>
                    <w:t>Studije nijesu mogle da daju procjenu efikasnosti protiv oboljenja izazvanih pojedinačnim HPV tipovima.</w:t>
                  </w:r>
                  <w:r w:rsidRPr="00CF4D6C">
                    <w:rPr>
                      <w:sz w:val="22"/>
                      <w:szCs w:val="22"/>
                    </w:rPr>
                    <w:t>.</w:t>
                  </w:r>
                </w:p>
              </w:tc>
            </w:tr>
            <w:tr w:rsidR="00CF4D6C" w:rsidRPr="00CF4D6C" w:rsidTr="005558C4">
              <w:tc>
                <w:tcPr>
                  <w:tcW w:w="8820" w:type="dxa"/>
                  <w:gridSpan w:val="5"/>
                  <w:tcBorders>
                    <w:top w:val="nil"/>
                    <w:bottom w:val="nil"/>
                  </w:tcBorders>
                </w:tcPr>
                <w:p w:rsidR="00CF4D6C" w:rsidRPr="00CF4D6C" w:rsidRDefault="00CF4D6C" w:rsidP="00555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before="20" w:after="20"/>
                    <w:ind w:left="432" w:hanging="432"/>
                    <w:rPr>
                      <w:sz w:val="22"/>
                      <w:szCs w:val="22"/>
                    </w:rPr>
                  </w:pPr>
                  <w:r w:rsidRPr="00CF4D6C">
                    <w:rPr>
                      <w:sz w:val="22"/>
                      <w:szCs w:val="22"/>
                      <w:vertAlign w:val="superscript"/>
                    </w:rPr>
                    <w:t>‡</w:t>
                  </w:r>
                  <w:r w:rsidRPr="00CF4D6C">
                    <w:rPr>
                      <w:sz w:val="22"/>
                      <w:szCs w:val="22"/>
                      <w:vertAlign w:val="superscript"/>
                    </w:rPr>
                    <w:tab/>
                  </w:r>
                  <w:r w:rsidRPr="00CF4D6C">
                    <w:rPr>
                      <w:sz w:val="22"/>
                      <w:szCs w:val="22"/>
                    </w:rPr>
                    <w:t>Efikasnost je zasnovana na smanjenju CIN 2/3 ili AIS izazvanih HPV 31 tipom</w:t>
                  </w:r>
                </w:p>
              </w:tc>
            </w:tr>
            <w:tr w:rsidR="00CF4D6C" w:rsidRPr="00CF4D6C" w:rsidTr="005558C4">
              <w:tc>
                <w:tcPr>
                  <w:tcW w:w="8820" w:type="dxa"/>
                  <w:gridSpan w:val="5"/>
                  <w:tcBorders>
                    <w:top w:val="nil"/>
                    <w:bottom w:val="nil"/>
                  </w:tcBorders>
                </w:tcPr>
                <w:p w:rsidR="00CF4D6C" w:rsidRPr="00CF4D6C" w:rsidRDefault="00CF4D6C" w:rsidP="00555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before="20" w:after="20"/>
                    <w:ind w:left="432" w:hanging="432"/>
                    <w:rPr>
                      <w:sz w:val="22"/>
                      <w:szCs w:val="22"/>
                      <w:vertAlign w:val="superscript"/>
                    </w:rPr>
                  </w:pPr>
                  <w:r w:rsidRPr="00CF4D6C">
                    <w:rPr>
                      <w:sz w:val="22"/>
                      <w:szCs w:val="22"/>
                      <w:vertAlign w:val="superscript"/>
                    </w:rPr>
                    <w:t>§</w:t>
                  </w:r>
                  <w:r w:rsidRPr="00CF4D6C">
                    <w:rPr>
                      <w:sz w:val="22"/>
                      <w:szCs w:val="22"/>
                    </w:rPr>
                    <w:tab/>
                    <w:t>Efikasnost je zasnovana na smanjenju CIN 2/3 ili AIS</w:t>
                  </w:r>
                  <w:r w:rsidRPr="00CF4D6C" w:rsidDel="002037E6">
                    <w:rPr>
                      <w:sz w:val="22"/>
                      <w:szCs w:val="22"/>
                    </w:rPr>
                    <w:t xml:space="preserve"> </w:t>
                  </w:r>
                  <w:r w:rsidRPr="00CF4D6C">
                    <w:rPr>
                      <w:sz w:val="22"/>
                      <w:szCs w:val="22"/>
                    </w:rPr>
                    <w:t>izazvanih</w:t>
                  </w:r>
                  <w:r w:rsidRPr="00CF4D6C" w:rsidDel="002037E6">
                    <w:rPr>
                      <w:sz w:val="22"/>
                      <w:szCs w:val="22"/>
                    </w:rPr>
                    <w:t xml:space="preserve"> </w:t>
                  </w:r>
                  <w:r w:rsidRPr="00CF4D6C">
                    <w:rPr>
                      <w:sz w:val="22"/>
                      <w:szCs w:val="22"/>
                    </w:rPr>
                    <w:t>HPV 31, 33, 52 i 58 tipovima</w:t>
                  </w:r>
                </w:p>
              </w:tc>
            </w:tr>
            <w:tr w:rsidR="00CF4D6C" w:rsidRPr="00CF4D6C" w:rsidTr="005558C4">
              <w:tc>
                <w:tcPr>
                  <w:tcW w:w="8820" w:type="dxa"/>
                  <w:gridSpan w:val="5"/>
                  <w:tcBorders>
                    <w:top w:val="nil"/>
                  </w:tcBorders>
                </w:tcPr>
                <w:p w:rsidR="00CF4D6C" w:rsidRPr="00CF4D6C" w:rsidRDefault="00CF4D6C" w:rsidP="00555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before="20" w:after="20"/>
                    <w:ind w:left="432" w:hanging="432"/>
                    <w:rPr>
                      <w:sz w:val="22"/>
                      <w:szCs w:val="22"/>
                    </w:rPr>
                  </w:pPr>
                  <w:r w:rsidRPr="00CF4D6C">
                    <w:rPr>
                      <w:sz w:val="22"/>
                      <w:szCs w:val="22"/>
                      <w:vertAlign w:val="superscript"/>
                    </w:rPr>
                    <w:t xml:space="preserve">║ </w:t>
                  </w:r>
                  <w:r w:rsidRPr="00CF4D6C">
                    <w:rPr>
                      <w:sz w:val="22"/>
                      <w:szCs w:val="22"/>
                      <w:vertAlign w:val="superscript"/>
                    </w:rPr>
                    <w:tab/>
                  </w:r>
                  <w:r w:rsidRPr="00CF4D6C">
                    <w:rPr>
                      <w:i/>
                      <w:sz w:val="22"/>
                      <w:szCs w:val="22"/>
                    </w:rPr>
                    <w:t>Uključuje esej-identifikovane nepovezane sa vakcinom HPV 31, 33, 35, 39, 45, 51, 52, 56, 58 i 59 tipove</w:t>
                  </w:r>
                </w:p>
              </w:tc>
            </w:tr>
          </w:tbl>
          <w:p w:rsidR="00CF4D6C" w:rsidRPr="00CF4D6C" w:rsidRDefault="00CF4D6C" w:rsidP="005558C4">
            <w:pPr>
              <w:pStyle w:val="Header"/>
              <w:tabs>
                <w:tab w:val="left" w:pos="284"/>
              </w:tabs>
              <w:rPr>
                <w:sz w:val="22"/>
                <w:szCs w:val="22"/>
              </w:rPr>
            </w:pPr>
          </w:p>
          <w:p w:rsidR="00CF4D6C" w:rsidRPr="00CF4D6C" w:rsidRDefault="00CF4D6C" w:rsidP="005558C4">
            <w:pPr>
              <w:widowControl w:val="0"/>
              <w:shd w:val="clear" w:color="auto" w:fill="FFFFFF"/>
              <w:rPr>
                <w:b/>
                <w:color w:val="000000"/>
                <w:sz w:val="22"/>
                <w:szCs w:val="22"/>
                <w:u w:val="single"/>
              </w:rPr>
            </w:pPr>
            <w:r w:rsidRPr="00CF4D6C">
              <w:rPr>
                <w:b/>
                <w:color w:val="000000"/>
                <w:sz w:val="22"/>
                <w:szCs w:val="22"/>
                <w:u w:val="single"/>
              </w:rPr>
              <w:t>Efikasnost kod žena starosti od 24 do 45 godina</w:t>
            </w:r>
          </w:p>
          <w:p w:rsidR="00CF4D6C" w:rsidRPr="00CF4D6C" w:rsidRDefault="00CF4D6C" w:rsidP="005558C4">
            <w:pPr>
              <w:widowControl w:val="0"/>
              <w:shd w:val="clear" w:color="auto" w:fill="FFFFFF"/>
              <w:rPr>
                <w:b/>
                <w:color w:val="000000"/>
                <w:sz w:val="22"/>
                <w:szCs w:val="22"/>
              </w:rPr>
            </w:pPr>
          </w:p>
          <w:p w:rsidR="00CF4D6C" w:rsidRPr="00CF4D6C" w:rsidRDefault="00CF4D6C" w:rsidP="005558C4">
            <w:pPr>
              <w:widowControl w:val="0"/>
              <w:shd w:val="clear" w:color="auto" w:fill="FFFFFF"/>
              <w:rPr>
                <w:rFonts w:eastAsia="MS Mincho"/>
                <w:bCs/>
                <w:i/>
                <w:color w:val="000000"/>
                <w:sz w:val="22"/>
                <w:szCs w:val="22"/>
              </w:rPr>
            </w:pPr>
            <w:r w:rsidRPr="00CF4D6C">
              <w:rPr>
                <w:color w:val="000000"/>
                <w:sz w:val="22"/>
                <w:szCs w:val="22"/>
              </w:rPr>
              <w:t xml:space="preserve">Efikasnost vakcine </w:t>
            </w:r>
            <w:r w:rsidRPr="00CF4D6C">
              <w:rPr>
                <w:b/>
                <w:sz w:val="22"/>
                <w:szCs w:val="22"/>
              </w:rPr>
              <w:t>GARDASIL</w:t>
            </w:r>
            <w:r w:rsidRPr="00CF4D6C">
              <w:rPr>
                <w:b/>
                <w:sz w:val="22"/>
                <w:szCs w:val="22"/>
                <w:vertAlign w:val="superscript"/>
              </w:rPr>
              <w:t>®</w:t>
            </w:r>
            <w:r w:rsidRPr="00CF4D6C">
              <w:rPr>
                <w:b/>
                <w:sz w:val="22"/>
                <w:szCs w:val="22"/>
              </w:rPr>
              <w:t xml:space="preserve"> </w:t>
            </w:r>
            <w:r w:rsidRPr="00CF4D6C">
              <w:rPr>
                <w:sz w:val="22"/>
                <w:szCs w:val="22"/>
              </w:rPr>
              <w:t>kod žena starosti od 24 do 45 godina</w:t>
            </w:r>
            <w:r w:rsidRPr="00CF4D6C">
              <w:rPr>
                <w:color w:val="000000"/>
                <w:sz w:val="22"/>
                <w:szCs w:val="22"/>
              </w:rPr>
              <w:t xml:space="preserve"> je procjenjivana u jednoj placebo-kontrolisanoj, dvostruko slijepoj randomizovanoj studiji Faze III (Protokol 019, FUTURE III) na ukupno 3817 žena, koje su uključene u studiju i vakcinisane bez prethodnog pregleda na postojanje HPV infekcije.</w:t>
            </w:r>
            <w:r w:rsidRPr="00CF4D6C">
              <w:rPr>
                <w:rFonts w:eastAsia="MS Mincho"/>
                <w:bCs/>
                <w:color w:val="000000"/>
                <w:sz w:val="22"/>
                <w:szCs w:val="22"/>
              </w:rPr>
              <w:t xml:space="preserve"> </w:t>
            </w:r>
          </w:p>
          <w:p w:rsidR="00CF4D6C" w:rsidRPr="00CF4D6C" w:rsidRDefault="00CF4D6C" w:rsidP="005558C4">
            <w:pPr>
              <w:widowControl w:val="0"/>
              <w:shd w:val="clear" w:color="auto" w:fill="FFFFFF"/>
              <w:rPr>
                <w:b/>
                <w:color w:val="000000"/>
                <w:sz w:val="22"/>
                <w:szCs w:val="22"/>
              </w:rPr>
            </w:pPr>
          </w:p>
          <w:p w:rsidR="00CF4D6C" w:rsidRPr="00CF4D6C" w:rsidRDefault="00CF4D6C" w:rsidP="005558C4">
            <w:pPr>
              <w:rPr>
                <w:color w:val="000000"/>
                <w:sz w:val="22"/>
                <w:szCs w:val="22"/>
              </w:rPr>
            </w:pPr>
            <w:r w:rsidRPr="00CF4D6C">
              <w:rPr>
                <w:iCs/>
                <w:color w:val="000000"/>
                <w:sz w:val="22"/>
                <w:szCs w:val="22"/>
                <w:shd w:val="clear" w:color="auto" w:fill="FFFFFF"/>
                <w:lang w:eastAsia="sv-SE"/>
              </w:rPr>
              <w:t xml:space="preserve">Primarne tačke efikasnosti uključivale su kombinovanu incidencu perzistentne infekcije (6 mjeseci) izazvane  HPV tipom 6, 11, 16 ili 18 i kombinovanu incidencu perzistentne infekcije, genitalnih kondiloma, vulvarnih i vaginalnih lezija, CIN bilo kog stepena, AIS, i karcinoma cerviksa i kombinovana incidenca tih promjena povezanih sa HPV tipovima 16 i 18.. </w:t>
            </w:r>
            <w:r w:rsidRPr="00CF4D6C">
              <w:rPr>
                <w:rFonts w:eastAsia="MS Mincho"/>
                <w:bCs/>
                <w:color w:val="000000"/>
                <w:sz w:val="22"/>
                <w:szCs w:val="22"/>
                <w:shd w:val="clear" w:color="auto" w:fill="FFFFFF"/>
              </w:rPr>
              <w:t>Srednje trajanje praćenja za ovu studiju je iznosilo 4,0 godine.</w:t>
            </w:r>
          </w:p>
          <w:p w:rsidR="00CF4D6C" w:rsidRPr="00CF4D6C" w:rsidRDefault="00CF4D6C" w:rsidP="005558C4">
            <w:pPr>
              <w:autoSpaceDE w:val="0"/>
              <w:autoSpaceDN w:val="0"/>
              <w:adjustRightInd w:val="0"/>
              <w:rPr>
                <w:color w:val="000000"/>
                <w:sz w:val="22"/>
                <w:szCs w:val="22"/>
                <w:u w:val="single"/>
              </w:rPr>
            </w:pPr>
          </w:p>
          <w:p w:rsidR="00265E46" w:rsidRDefault="00265E46" w:rsidP="005558C4">
            <w:pPr>
              <w:autoSpaceDE w:val="0"/>
              <w:autoSpaceDN w:val="0"/>
              <w:adjustRightInd w:val="0"/>
              <w:rPr>
                <w:color w:val="000000"/>
                <w:sz w:val="22"/>
                <w:szCs w:val="22"/>
                <w:u w:val="single"/>
              </w:rPr>
            </w:pPr>
          </w:p>
          <w:p w:rsidR="00265E46" w:rsidRDefault="00265E46" w:rsidP="005558C4">
            <w:pPr>
              <w:autoSpaceDE w:val="0"/>
              <w:autoSpaceDN w:val="0"/>
              <w:adjustRightInd w:val="0"/>
              <w:rPr>
                <w:color w:val="000000"/>
                <w:sz w:val="22"/>
                <w:szCs w:val="22"/>
                <w:u w:val="single"/>
              </w:rPr>
            </w:pPr>
          </w:p>
          <w:p w:rsidR="00CF4D6C" w:rsidRPr="00CF4D6C" w:rsidRDefault="00CF4D6C" w:rsidP="005558C4">
            <w:pPr>
              <w:autoSpaceDE w:val="0"/>
              <w:autoSpaceDN w:val="0"/>
              <w:adjustRightInd w:val="0"/>
              <w:rPr>
                <w:b/>
                <w:i/>
                <w:color w:val="000000"/>
                <w:sz w:val="22"/>
                <w:szCs w:val="22"/>
              </w:rPr>
            </w:pPr>
            <w:r w:rsidRPr="00CF4D6C">
              <w:rPr>
                <w:color w:val="000000"/>
                <w:sz w:val="22"/>
                <w:szCs w:val="22"/>
                <w:u w:val="single"/>
              </w:rPr>
              <w:lastRenderedPageBreak/>
              <w:t>Efikasnost kod žena koje nijesu bile prethodno izložene HPV tip(ovima) ) 6, 11, 16 ili 18</w:t>
            </w:r>
          </w:p>
          <w:p w:rsidR="00CF4D6C" w:rsidRPr="00CF4D6C" w:rsidRDefault="00CF4D6C" w:rsidP="005558C4">
            <w:pPr>
              <w:autoSpaceDE w:val="0"/>
              <w:autoSpaceDN w:val="0"/>
              <w:adjustRightInd w:val="0"/>
              <w:rPr>
                <w:color w:val="000000"/>
                <w:sz w:val="22"/>
                <w:szCs w:val="22"/>
                <w:lang w:eastAsia="fr-FR"/>
              </w:rPr>
            </w:pPr>
          </w:p>
          <w:p w:rsidR="00CF4D6C" w:rsidRPr="00CF4D6C" w:rsidRDefault="00CF4D6C" w:rsidP="005558C4">
            <w:pPr>
              <w:autoSpaceDE w:val="0"/>
              <w:autoSpaceDN w:val="0"/>
              <w:adjustRightInd w:val="0"/>
              <w:rPr>
                <w:bCs/>
                <w:iCs/>
                <w:color w:val="000000"/>
                <w:sz w:val="22"/>
                <w:szCs w:val="22"/>
              </w:rPr>
            </w:pPr>
            <w:r w:rsidRPr="00CF4D6C">
              <w:rPr>
                <w:color w:val="000000"/>
                <w:sz w:val="22"/>
                <w:szCs w:val="22"/>
              </w:rPr>
              <w:t xml:space="preserve">Primarne analize efikasnosti su sprovedene u populaciji po protokolu (PPE) </w:t>
            </w:r>
            <w:r w:rsidRPr="00CF4D6C">
              <w:rPr>
                <w:bCs/>
                <w:iCs/>
                <w:color w:val="000000"/>
                <w:sz w:val="22"/>
                <w:szCs w:val="22"/>
              </w:rPr>
              <w:t>(t.j. sve 3 vakcinacije u okviru prve godine od uvođenja u studiju, bez većih devijacija u odnosu na protokol i bez prethodnog kontakta sa HPV 6-, 11-, 16- ili 18-tipovima prije prve doze i u toku jednog mjeseca nakon doze 3 (Mjesec 7)).</w:t>
            </w:r>
            <w:r w:rsidRPr="00CF4D6C">
              <w:rPr>
                <w:color w:val="000000"/>
                <w:sz w:val="22"/>
                <w:szCs w:val="22"/>
              </w:rPr>
              <w:t xml:space="preserve"> Efikasnost je mjerena od posjete u 7. Mjesecu. Ukupno,</w:t>
            </w:r>
            <w:r w:rsidRPr="00CF4D6C">
              <w:rPr>
                <w:bCs/>
                <w:iCs/>
                <w:color w:val="000000"/>
                <w:sz w:val="22"/>
                <w:szCs w:val="22"/>
              </w:rPr>
              <w:t xml:space="preserve"> 67% žena su prilikom uvođenja u studiju bili "naïve" (PCR negativne i seronegativne) na sva 4 HPV tipa</w:t>
            </w:r>
            <w:r w:rsidRPr="00CF4D6C" w:rsidDel="00DC5DD7">
              <w:rPr>
                <w:bCs/>
                <w:iCs/>
                <w:color w:val="000000"/>
                <w:sz w:val="22"/>
                <w:szCs w:val="22"/>
              </w:rPr>
              <w:t>.</w:t>
            </w:r>
          </w:p>
          <w:p w:rsidR="00CF4D6C" w:rsidRPr="00CF4D6C" w:rsidDel="003A7340" w:rsidRDefault="00CF4D6C" w:rsidP="005558C4">
            <w:pPr>
              <w:autoSpaceDE w:val="0"/>
              <w:autoSpaceDN w:val="0"/>
              <w:adjustRightInd w:val="0"/>
              <w:rPr>
                <w:color w:val="000000"/>
                <w:sz w:val="22"/>
                <w:szCs w:val="22"/>
              </w:rPr>
            </w:pPr>
          </w:p>
          <w:p w:rsidR="00CF4D6C" w:rsidRPr="00CF4D6C" w:rsidRDefault="00CF4D6C" w:rsidP="005558C4">
            <w:pPr>
              <w:autoSpaceDE w:val="0"/>
              <w:autoSpaceDN w:val="0"/>
              <w:adjustRightInd w:val="0"/>
              <w:rPr>
                <w:color w:val="000000"/>
                <w:sz w:val="22"/>
                <w:szCs w:val="22"/>
              </w:rPr>
            </w:pPr>
            <w:r w:rsidRPr="00CF4D6C">
              <w:rPr>
                <w:color w:val="000000"/>
                <w:sz w:val="22"/>
                <w:szCs w:val="22"/>
              </w:rPr>
              <w:t xml:space="preserve">Efikasnost vakcine </w:t>
            </w:r>
            <w:r w:rsidRPr="00CF4D6C">
              <w:rPr>
                <w:b/>
                <w:sz w:val="22"/>
                <w:szCs w:val="22"/>
              </w:rPr>
              <w:t>GARDASIL</w:t>
            </w:r>
            <w:r w:rsidRPr="00CF4D6C">
              <w:rPr>
                <w:b/>
                <w:sz w:val="22"/>
                <w:szCs w:val="22"/>
                <w:vertAlign w:val="superscript"/>
              </w:rPr>
              <w:t>®</w:t>
            </w:r>
            <w:r w:rsidRPr="00CF4D6C">
              <w:rPr>
                <w:b/>
                <w:sz w:val="22"/>
                <w:szCs w:val="22"/>
              </w:rPr>
              <w:t xml:space="preserve"> </w:t>
            </w:r>
            <w:r w:rsidRPr="00CF4D6C">
              <w:rPr>
                <w:sz w:val="22"/>
                <w:szCs w:val="22"/>
              </w:rPr>
              <w:t>prema kombinovanoj incidenci perzistentnih HPV 6-, 11-, 16- ili 18- infekcija</w:t>
            </w:r>
            <w:r w:rsidRPr="00CF4D6C">
              <w:rPr>
                <w:color w:val="000000"/>
                <w:sz w:val="22"/>
                <w:szCs w:val="22"/>
              </w:rPr>
              <w:t xml:space="preserve">, </w:t>
            </w:r>
            <w:r w:rsidRPr="00CF4D6C">
              <w:rPr>
                <w:iCs/>
                <w:color w:val="000000"/>
                <w:sz w:val="22"/>
                <w:szCs w:val="22"/>
                <w:shd w:val="clear" w:color="auto" w:fill="FFFFFF"/>
                <w:lang w:eastAsia="sv-SE"/>
              </w:rPr>
              <w:t>genitalnih kondiloma, vulvarnih i vaginalnih lezija, CIN bilo kog stepena, AIS, i karcinoma cerviksa</w:t>
            </w:r>
            <w:r w:rsidRPr="00CF4D6C">
              <w:rPr>
                <w:color w:val="000000"/>
                <w:sz w:val="22"/>
                <w:szCs w:val="22"/>
              </w:rPr>
              <w:t xml:space="preserve"> iznosila je 88.7% (95% CI: 78.1, 94.8). </w:t>
            </w:r>
          </w:p>
          <w:p w:rsidR="00CF4D6C" w:rsidRPr="00CF4D6C" w:rsidRDefault="00CF4D6C" w:rsidP="005558C4">
            <w:pPr>
              <w:autoSpaceDE w:val="0"/>
              <w:autoSpaceDN w:val="0"/>
              <w:adjustRightInd w:val="0"/>
              <w:rPr>
                <w:color w:val="000000"/>
                <w:sz w:val="22"/>
                <w:szCs w:val="22"/>
              </w:rPr>
            </w:pPr>
          </w:p>
          <w:p w:rsidR="00CF4D6C" w:rsidRPr="00CF4D6C" w:rsidRDefault="00CF4D6C" w:rsidP="005558C4">
            <w:pPr>
              <w:autoSpaceDE w:val="0"/>
              <w:autoSpaceDN w:val="0"/>
              <w:adjustRightInd w:val="0"/>
              <w:rPr>
                <w:color w:val="000000"/>
                <w:sz w:val="22"/>
                <w:szCs w:val="22"/>
              </w:rPr>
            </w:pPr>
            <w:r w:rsidRPr="00CF4D6C">
              <w:rPr>
                <w:color w:val="000000"/>
                <w:sz w:val="22"/>
                <w:szCs w:val="22"/>
              </w:rPr>
              <w:t xml:space="preserve">Efikasnost vakcine </w:t>
            </w:r>
            <w:r w:rsidRPr="00CF4D6C">
              <w:rPr>
                <w:b/>
                <w:sz w:val="22"/>
                <w:szCs w:val="22"/>
              </w:rPr>
              <w:t>GARDASIL</w:t>
            </w:r>
            <w:r w:rsidRPr="00CF4D6C">
              <w:rPr>
                <w:b/>
                <w:sz w:val="22"/>
                <w:szCs w:val="22"/>
                <w:vertAlign w:val="superscript"/>
              </w:rPr>
              <w:t>®</w:t>
            </w:r>
            <w:r w:rsidRPr="00CF4D6C">
              <w:rPr>
                <w:b/>
                <w:sz w:val="22"/>
                <w:szCs w:val="22"/>
              </w:rPr>
              <w:t xml:space="preserve"> </w:t>
            </w:r>
            <w:r w:rsidRPr="00CF4D6C">
              <w:rPr>
                <w:sz w:val="22"/>
                <w:szCs w:val="22"/>
              </w:rPr>
              <w:t xml:space="preserve">prema kombinovanoj incidenci perzistentnih HPV 16- ili18- infekcija </w:t>
            </w:r>
            <w:r w:rsidRPr="00CF4D6C">
              <w:rPr>
                <w:color w:val="000000"/>
                <w:sz w:val="22"/>
                <w:szCs w:val="22"/>
              </w:rPr>
              <w:t xml:space="preserve">, </w:t>
            </w:r>
            <w:r w:rsidRPr="00CF4D6C">
              <w:rPr>
                <w:iCs/>
                <w:color w:val="000000"/>
                <w:sz w:val="22"/>
                <w:szCs w:val="22"/>
                <w:shd w:val="clear" w:color="auto" w:fill="FFFFFF"/>
                <w:lang w:eastAsia="sv-SE"/>
              </w:rPr>
              <w:t>genitalnih kondiloma, vulvarnih i vaginalnih lezija, CIN bilo kog stepena, AIS, i karcinoma cerviksa</w:t>
            </w:r>
            <w:r w:rsidRPr="00CF4D6C">
              <w:rPr>
                <w:color w:val="000000"/>
                <w:sz w:val="22"/>
                <w:szCs w:val="22"/>
              </w:rPr>
              <w:t xml:space="preserve"> iznosila je 84.7% (95% CI: 67.5, 93.7).</w:t>
            </w:r>
          </w:p>
          <w:p w:rsidR="00CF4D6C" w:rsidRPr="00CF4D6C" w:rsidRDefault="00CF4D6C" w:rsidP="005558C4">
            <w:pPr>
              <w:autoSpaceDE w:val="0"/>
              <w:autoSpaceDN w:val="0"/>
              <w:adjustRightInd w:val="0"/>
              <w:rPr>
                <w:color w:val="000000"/>
                <w:sz w:val="22"/>
                <w:szCs w:val="22"/>
              </w:rPr>
            </w:pPr>
          </w:p>
          <w:p w:rsidR="00CF4D6C" w:rsidRPr="00CF4D6C" w:rsidRDefault="00CF4D6C" w:rsidP="005558C4">
            <w:pPr>
              <w:widowControl w:val="0"/>
              <w:rPr>
                <w:iCs/>
                <w:color w:val="000000"/>
                <w:sz w:val="22"/>
                <w:szCs w:val="22"/>
                <w:lang w:eastAsia="sv-SE"/>
              </w:rPr>
            </w:pPr>
            <w:r w:rsidRPr="00CF4D6C">
              <w:rPr>
                <w:iCs/>
                <w:color w:val="000000"/>
                <w:sz w:val="22"/>
                <w:szCs w:val="22"/>
                <w:u w:val="single"/>
                <w:lang w:eastAsia="sv-SE"/>
              </w:rPr>
              <w:t>Efikasnost kod žena sa ili bez prethodne infekcije ili oboljenja usljed infekcije HPV 6, 11, 16, ili 18</w:t>
            </w:r>
          </w:p>
          <w:p w:rsidR="00CF4D6C" w:rsidRPr="00CF4D6C" w:rsidRDefault="00CF4D6C" w:rsidP="005558C4">
            <w:pPr>
              <w:autoSpaceDE w:val="0"/>
              <w:autoSpaceDN w:val="0"/>
              <w:adjustRightInd w:val="0"/>
              <w:rPr>
                <w:iCs/>
                <w:color w:val="000000"/>
                <w:sz w:val="22"/>
                <w:szCs w:val="22"/>
                <w:lang w:eastAsia="sv-SE"/>
              </w:rPr>
            </w:pPr>
          </w:p>
          <w:p w:rsidR="00CF4D6C" w:rsidRPr="00CF4D6C" w:rsidRDefault="00CF4D6C" w:rsidP="005558C4">
            <w:pPr>
              <w:autoSpaceDE w:val="0"/>
              <w:autoSpaceDN w:val="0"/>
              <w:adjustRightInd w:val="0"/>
              <w:rPr>
                <w:iCs/>
                <w:color w:val="000000"/>
                <w:sz w:val="22"/>
                <w:szCs w:val="22"/>
                <w:u w:val="single"/>
                <w:lang w:eastAsia="sv-SE"/>
              </w:rPr>
            </w:pPr>
            <w:r w:rsidRPr="00CF4D6C">
              <w:rPr>
                <w:iCs/>
                <w:color w:val="000000"/>
                <w:sz w:val="22"/>
                <w:szCs w:val="22"/>
                <w:lang w:eastAsia="sv-SE"/>
              </w:rPr>
              <w:t>Populacija "Full Analysis Set" (takođe poznata i kao ITT populacija) je uključivala žene nezavisno od početnog HPV statusa pri Danu 1, koje su primile barem jednu dozu i kod kojih je računanje slučaja počelo od Dana 1. Ova populacija se aproksimira na opštu populaciju žena u odnosu na prevalencu infekcija ili oboljenja usljed infekcije HPV u trenutku uvođenja u studiju.</w:t>
            </w:r>
          </w:p>
          <w:p w:rsidR="00CF4D6C" w:rsidRPr="00CF4D6C" w:rsidRDefault="00CF4D6C" w:rsidP="005558C4">
            <w:pPr>
              <w:autoSpaceDE w:val="0"/>
              <w:autoSpaceDN w:val="0"/>
              <w:adjustRightInd w:val="0"/>
              <w:rPr>
                <w:iCs/>
                <w:color w:val="000000"/>
                <w:sz w:val="22"/>
                <w:szCs w:val="22"/>
                <w:u w:val="single"/>
                <w:lang w:eastAsia="sv-SE"/>
              </w:rPr>
            </w:pPr>
          </w:p>
          <w:p w:rsidR="00CF4D6C" w:rsidRPr="00CF4D6C" w:rsidRDefault="00CF4D6C" w:rsidP="005558C4">
            <w:pPr>
              <w:autoSpaceDE w:val="0"/>
              <w:autoSpaceDN w:val="0"/>
              <w:adjustRightInd w:val="0"/>
              <w:rPr>
                <w:color w:val="000000"/>
                <w:sz w:val="22"/>
                <w:szCs w:val="22"/>
              </w:rPr>
            </w:pPr>
            <w:r w:rsidRPr="00CF4D6C">
              <w:rPr>
                <w:color w:val="000000"/>
                <w:sz w:val="22"/>
                <w:szCs w:val="22"/>
              </w:rPr>
              <w:t xml:space="preserve">Efikasnost vakcine </w:t>
            </w:r>
            <w:r w:rsidRPr="00CF4D6C">
              <w:rPr>
                <w:b/>
                <w:sz w:val="22"/>
                <w:szCs w:val="22"/>
              </w:rPr>
              <w:t>GARDASIL</w:t>
            </w:r>
            <w:r w:rsidRPr="00CF4D6C">
              <w:rPr>
                <w:b/>
                <w:sz w:val="22"/>
                <w:szCs w:val="22"/>
                <w:vertAlign w:val="superscript"/>
              </w:rPr>
              <w:t>®</w:t>
            </w:r>
            <w:r w:rsidRPr="00CF4D6C">
              <w:rPr>
                <w:b/>
                <w:sz w:val="22"/>
                <w:szCs w:val="22"/>
              </w:rPr>
              <w:t xml:space="preserve"> </w:t>
            </w:r>
            <w:r w:rsidRPr="00CF4D6C">
              <w:rPr>
                <w:sz w:val="22"/>
                <w:szCs w:val="22"/>
              </w:rPr>
              <w:t xml:space="preserve">prema kombinovanoj incidenci perzistentnih infekcija izazvanih </w:t>
            </w:r>
            <w:r w:rsidRPr="00CF4D6C">
              <w:rPr>
                <w:color w:val="000000"/>
                <w:sz w:val="22"/>
                <w:szCs w:val="22"/>
              </w:rPr>
              <w:t xml:space="preserve">HPV 6, 11, 16, ili 18 tipovima, genitalnih kondiloma, vulvarnih i vaginalnih lezija, </w:t>
            </w:r>
            <w:r w:rsidRPr="00CF4D6C">
              <w:rPr>
                <w:iCs/>
                <w:color w:val="000000"/>
                <w:sz w:val="22"/>
                <w:szCs w:val="22"/>
                <w:shd w:val="clear" w:color="auto" w:fill="FFFFFF"/>
                <w:lang w:eastAsia="sv-SE"/>
              </w:rPr>
              <w:t xml:space="preserve">CIN bilo kog stepena, AIS, i karcinoma cerviksa </w:t>
            </w:r>
            <w:r w:rsidRPr="00CF4D6C">
              <w:rPr>
                <w:color w:val="000000"/>
                <w:sz w:val="22"/>
                <w:szCs w:val="22"/>
              </w:rPr>
              <w:t xml:space="preserve"> iznosila je 47.2% (95% CI: 33.5, 58.2). </w:t>
            </w:r>
          </w:p>
          <w:p w:rsidR="00CF4D6C" w:rsidRPr="00CF4D6C" w:rsidRDefault="00CF4D6C" w:rsidP="005558C4">
            <w:pPr>
              <w:autoSpaceDE w:val="0"/>
              <w:autoSpaceDN w:val="0"/>
              <w:adjustRightInd w:val="0"/>
              <w:rPr>
                <w:color w:val="000000"/>
                <w:sz w:val="22"/>
                <w:szCs w:val="22"/>
              </w:rPr>
            </w:pPr>
          </w:p>
          <w:p w:rsidR="00CF4D6C" w:rsidRPr="00CF4D6C" w:rsidRDefault="00CF4D6C" w:rsidP="005558C4">
            <w:pPr>
              <w:rPr>
                <w:color w:val="000000"/>
                <w:sz w:val="22"/>
                <w:szCs w:val="22"/>
              </w:rPr>
            </w:pPr>
            <w:r w:rsidRPr="00CF4D6C">
              <w:rPr>
                <w:color w:val="000000"/>
                <w:sz w:val="22"/>
                <w:szCs w:val="22"/>
              </w:rPr>
              <w:t xml:space="preserve">Efikasnost vakcine </w:t>
            </w:r>
            <w:r w:rsidRPr="00CF4D6C">
              <w:rPr>
                <w:b/>
                <w:sz w:val="22"/>
                <w:szCs w:val="22"/>
              </w:rPr>
              <w:t>GARDASIL</w:t>
            </w:r>
            <w:r w:rsidRPr="00CF4D6C">
              <w:rPr>
                <w:b/>
                <w:sz w:val="22"/>
                <w:szCs w:val="22"/>
                <w:vertAlign w:val="superscript"/>
              </w:rPr>
              <w:t>®</w:t>
            </w:r>
            <w:r w:rsidRPr="00CF4D6C">
              <w:rPr>
                <w:b/>
                <w:sz w:val="22"/>
                <w:szCs w:val="22"/>
              </w:rPr>
              <w:t xml:space="preserve"> </w:t>
            </w:r>
            <w:r w:rsidRPr="00CF4D6C">
              <w:rPr>
                <w:color w:val="000000"/>
                <w:sz w:val="22"/>
                <w:szCs w:val="22"/>
              </w:rPr>
              <w:t xml:space="preserve">prema </w:t>
            </w:r>
            <w:r w:rsidRPr="00CF4D6C">
              <w:rPr>
                <w:sz w:val="22"/>
                <w:szCs w:val="22"/>
              </w:rPr>
              <w:t xml:space="preserve">kombinovanoj incidenci perzistentnih infekcija izazvanih </w:t>
            </w:r>
            <w:r w:rsidRPr="00CF4D6C">
              <w:rPr>
                <w:color w:val="000000"/>
                <w:sz w:val="22"/>
                <w:szCs w:val="22"/>
              </w:rPr>
              <w:t xml:space="preserve">HPV 16 ili 18 tipovima, genitalnh kondiloma, vulvarnih i vaginalnih lezija, </w:t>
            </w:r>
            <w:r w:rsidRPr="00CF4D6C">
              <w:rPr>
                <w:iCs/>
                <w:color w:val="000000"/>
                <w:sz w:val="22"/>
                <w:szCs w:val="22"/>
                <w:shd w:val="clear" w:color="auto" w:fill="FFFFFF"/>
                <w:lang w:eastAsia="sv-SE"/>
              </w:rPr>
              <w:t>CIN bilo kog stepena, AIS, i karcinoma cerviksa</w:t>
            </w:r>
            <w:r w:rsidRPr="00CF4D6C">
              <w:rPr>
                <w:color w:val="000000"/>
                <w:sz w:val="22"/>
                <w:szCs w:val="22"/>
              </w:rPr>
              <w:t xml:space="preserve"> je iznosila 41.6% (95% CI: 24.3, 55.2).</w:t>
            </w:r>
          </w:p>
          <w:p w:rsidR="00CF4D6C" w:rsidRPr="00CF4D6C" w:rsidRDefault="00CF4D6C" w:rsidP="005558C4">
            <w:pPr>
              <w:rPr>
                <w:color w:val="000000"/>
                <w:sz w:val="22"/>
                <w:szCs w:val="22"/>
              </w:rPr>
            </w:pPr>
          </w:p>
          <w:p w:rsidR="00CF4D6C" w:rsidRPr="00CF4D6C" w:rsidRDefault="00CF4D6C" w:rsidP="005558C4">
            <w:pPr>
              <w:rPr>
                <w:color w:val="000000"/>
                <w:sz w:val="22"/>
                <w:szCs w:val="22"/>
                <w:u w:val="single"/>
              </w:rPr>
            </w:pPr>
            <w:r w:rsidRPr="00CF4D6C">
              <w:rPr>
                <w:color w:val="000000"/>
                <w:sz w:val="22"/>
                <w:szCs w:val="22"/>
                <w:u w:val="single"/>
              </w:rPr>
              <w:t>Efikasnost kod žena (starosti od 16 do 45 godina) kod kojih postoji dokaz o prethodnoj infekciji nekim od HPV tipova sadržanih u vakcini (seropozitivne) nije više bila detektovana od trenutka početka vakcinacije (PCR negativne).</w:t>
            </w:r>
          </w:p>
          <w:p w:rsidR="00CF4D6C" w:rsidRPr="00CF4D6C" w:rsidRDefault="00CF4D6C" w:rsidP="005558C4">
            <w:pPr>
              <w:rPr>
                <w:color w:val="000000"/>
                <w:sz w:val="22"/>
                <w:szCs w:val="22"/>
              </w:rPr>
            </w:pPr>
          </w:p>
          <w:p w:rsidR="00CF4D6C" w:rsidRPr="00CF4D6C" w:rsidRDefault="00CF4D6C" w:rsidP="005558C4">
            <w:pPr>
              <w:rPr>
                <w:color w:val="000000"/>
                <w:sz w:val="22"/>
                <w:szCs w:val="22"/>
              </w:rPr>
            </w:pPr>
            <w:r w:rsidRPr="00CF4D6C">
              <w:rPr>
                <w:color w:val="000000"/>
                <w:sz w:val="22"/>
                <w:szCs w:val="22"/>
              </w:rPr>
              <w:t xml:space="preserve">U post hoc analizama pojedinaca (koji su bili vakcinisani najmanje jednom) kod kojih postoji dokaz o prethodnoj infekciji nekim od HPV tipova sadržanih u vakcini (seropozitivni) kod kojih efikasnost više nije detektabilna od trenutka vakcinacije (PCR negativni), efikasnost vakcine </w:t>
            </w:r>
            <w:r w:rsidRPr="00CF4D6C">
              <w:rPr>
                <w:b/>
                <w:sz w:val="22"/>
                <w:szCs w:val="22"/>
              </w:rPr>
              <w:t>GARDASIL</w:t>
            </w:r>
            <w:r w:rsidRPr="00CF4D6C">
              <w:rPr>
                <w:b/>
                <w:sz w:val="22"/>
                <w:szCs w:val="22"/>
                <w:vertAlign w:val="superscript"/>
              </w:rPr>
              <w:t>®</w:t>
            </w:r>
            <w:r w:rsidRPr="00CF4D6C">
              <w:rPr>
                <w:b/>
                <w:sz w:val="22"/>
                <w:szCs w:val="22"/>
              </w:rPr>
              <w:t xml:space="preserve"> </w:t>
            </w:r>
            <w:r w:rsidRPr="00CF4D6C">
              <w:rPr>
                <w:color w:val="000000"/>
                <w:sz w:val="22"/>
                <w:szCs w:val="22"/>
              </w:rPr>
              <w:t xml:space="preserve">prema ponovnom javljanju istih HPV tipova iznosila je 100 % (95 % CI: 62,8, 100,0; 0 naspram 12 slučajeva [n = 2572 iz studija na mladim ženama]) prema </w:t>
            </w:r>
            <w:r w:rsidRPr="00CF4D6C">
              <w:rPr>
                <w:sz w:val="22"/>
                <w:szCs w:val="22"/>
              </w:rPr>
              <w:t xml:space="preserve">CIN 2/3, VIN 2/3, VaIN 2/3, i genitalnim kondilomima uzorkovanim </w:t>
            </w:r>
            <w:r w:rsidRPr="00CF4D6C">
              <w:rPr>
                <w:color w:val="000000"/>
                <w:sz w:val="22"/>
                <w:szCs w:val="22"/>
              </w:rPr>
              <w:t xml:space="preserve">HPV tipovima 6, 11, 16 i 18, kod žena starosti od 16 do 26 godina. Efikasnost je iznosila 68,2 % (95 % CI: 17,9, 89,5; 6 vs. 20 slučajeva [n = 832 iz studija na mladim i odraslim ženama, kombinovano]) prema perzistentnim infekcijama </w:t>
            </w:r>
            <w:r w:rsidRPr="00CF4D6C">
              <w:rPr>
                <w:sz w:val="22"/>
                <w:szCs w:val="22"/>
              </w:rPr>
              <w:t xml:space="preserve">uzorkovanim </w:t>
            </w:r>
            <w:r w:rsidRPr="00CF4D6C">
              <w:rPr>
                <w:color w:val="000000"/>
                <w:sz w:val="22"/>
                <w:szCs w:val="22"/>
              </w:rPr>
              <w:t>HPV tipovima 16 i 18 kod žena starosti od 16 do 45 godina.</w:t>
            </w:r>
          </w:p>
          <w:p w:rsidR="00CF4D6C" w:rsidRPr="00CF4D6C" w:rsidRDefault="00CF4D6C" w:rsidP="005558C4">
            <w:pPr>
              <w:rPr>
                <w:color w:val="000000"/>
                <w:sz w:val="22"/>
                <w:szCs w:val="22"/>
              </w:rPr>
            </w:pPr>
          </w:p>
          <w:p w:rsidR="00CF4D6C" w:rsidRPr="00CF4D6C" w:rsidRDefault="00CF4D6C" w:rsidP="005558C4">
            <w:pPr>
              <w:rPr>
                <w:color w:val="000000"/>
                <w:sz w:val="22"/>
                <w:szCs w:val="22"/>
                <w:u w:val="single"/>
              </w:rPr>
            </w:pPr>
            <w:r w:rsidRPr="00CF4D6C">
              <w:rPr>
                <w:color w:val="000000"/>
                <w:sz w:val="22"/>
                <w:szCs w:val="22"/>
                <w:u w:val="single"/>
              </w:rPr>
              <w:t>Efikasnost kod muškaraca od 16 do 26 godina</w:t>
            </w:r>
          </w:p>
          <w:p w:rsidR="00CF4D6C" w:rsidRPr="00CF4D6C" w:rsidRDefault="00CF4D6C" w:rsidP="005558C4">
            <w:pPr>
              <w:rPr>
                <w:i/>
                <w:sz w:val="22"/>
                <w:szCs w:val="22"/>
              </w:rPr>
            </w:pPr>
          </w:p>
          <w:p w:rsidR="00CF4D6C" w:rsidRPr="00CF4D6C" w:rsidRDefault="00CF4D6C" w:rsidP="005558C4">
            <w:pPr>
              <w:rPr>
                <w:noProof/>
                <w:sz w:val="22"/>
                <w:szCs w:val="22"/>
              </w:rPr>
            </w:pPr>
            <w:r w:rsidRPr="00CF4D6C">
              <w:rPr>
                <w:noProof/>
                <w:sz w:val="22"/>
                <w:szCs w:val="22"/>
              </w:rPr>
              <w:t xml:space="preserve">Efikasnost vakcine </w:t>
            </w:r>
            <w:r w:rsidRPr="00CF4D6C">
              <w:rPr>
                <w:b/>
                <w:noProof/>
                <w:sz w:val="22"/>
                <w:szCs w:val="22"/>
              </w:rPr>
              <w:t>GARDASIL</w:t>
            </w:r>
            <w:r w:rsidRPr="00CF4D6C">
              <w:rPr>
                <w:noProof/>
                <w:sz w:val="22"/>
                <w:szCs w:val="22"/>
                <w:vertAlign w:val="superscript"/>
              </w:rPr>
              <w:t xml:space="preserve"> </w:t>
            </w:r>
            <w:r w:rsidRPr="00CF4D6C">
              <w:rPr>
                <w:noProof/>
                <w:sz w:val="22"/>
                <w:szCs w:val="22"/>
              </w:rPr>
              <w:t>procenjivana je protiv spoljašnjih genitalnih kondiloma, penilne/perinealne/perianalne intraepitalne neoplazije (PIN) stepena 1/2/3, i perzistentne infekcije.</w:t>
            </w:r>
          </w:p>
          <w:p w:rsidR="00CF4D6C" w:rsidRPr="00CF4D6C" w:rsidRDefault="00CF4D6C" w:rsidP="005558C4">
            <w:pPr>
              <w:rPr>
                <w:noProof/>
                <w:sz w:val="22"/>
                <w:szCs w:val="22"/>
              </w:rPr>
            </w:pPr>
            <w:r w:rsidRPr="00CF4D6C">
              <w:rPr>
                <w:noProof/>
                <w:sz w:val="22"/>
                <w:szCs w:val="22"/>
              </w:rPr>
              <w:lastRenderedPageBreak/>
              <w:t xml:space="preserve">Efikasnost vakcine </w:t>
            </w:r>
            <w:r w:rsidRPr="00CF4D6C">
              <w:rPr>
                <w:b/>
                <w:noProof/>
                <w:sz w:val="22"/>
                <w:szCs w:val="22"/>
              </w:rPr>
              <w:t>GARDASIL</w:t>
            </w:r>
            <w:r w:rsidRPr="00CF4D6C">
              <w:rPr>
                <w:noProof/>
                <w:sz w:val="22"/>
                <w:szCs w:val="22"/>
                <w:vertAlign w:val="superscript"/>
              </w:rPr>
              <w:t xml:space="preserve"> </w:t>
            </w:r>
            <w:r w:rsidRPr="00CF4D6C">
              <w:rPr>
                <w:noProof/>
                <w:sz w:val="22"/>
                <w:szCs w:val="22"/>
              </w:rPr>
              <w:t>kod muškaraca starosti 16 do 26 godina procenjivana je u 1 placebo-kontrolisanoj, dvostruko-slijepoj, randomizovanoj kliničkoj studiji faze III (Protokol 020) uključujući ukupno 4055 muškaraca koji su vakcinisani i uključeni u studiju bez prethodne provjere na postojanje HPV infekcije. Srednje vrijeme praćenja iznosilo je 2,9 godina.</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U podgrupi od 598 muškaraca (</w:t>
            </w:r>
            <w:r w:rsidRPr="00CF4D6C">
              <w:rPr>
                <w:b/>
                <w:noProof/>
                <w:sz w:val="22"/>
                <w:szCs w:val="22"/>
              </w:rPr>
              <w:t>GARDASIL</w:t>
            </w:r>
            <w:r w:rsidRPr="00CF4D6C">
              <w:rPr>
                <w:noProof/>
                <w:sz w:val="22"/>
                <w:szCs w:val="22"/>
              </w:rPr>
              <w:t xml:space="preserve">=299; placebo=299) u Protokolu 020 koji su se izjasnili da imaju seksualne odnose sa muškarcima (MSM), procenjivana je efikasnost vakcine </w:t>
            </w:r>
            <w:r w:rsidRPr="00CF4D6C">
              <w:rPr>
                <w:b/>
                <w:noProof/>
                <w:sz w:val="22"/>
                <w:szCs w:val="22"/>
              </w:rPr>
              <w:t>GARDASIL</w:t>
            </w:r>
            <w:r w:rsidRPr="00CF4D6C">
              <w:rPr>
                <w:noProof/>
                <w:sz w:val="22"/>
                <w:szCs w:val="22"/>
                <w:vertAlign w:val="superscript"/>
              </w:rPr>
              <w:t xml:space="preserve"> </w:t>
            </w:r>
            <w:r w:rsidRPr="00CF4D6C">
              <w:rPr>
                <w:noProof/>
                <w:sz w:val="22"/>
                <w:szCs w:val="22"/>
              </w:rPr>
              <w:t>protiv analne intraepitalne neoplazije (AIN stepena 1/2/3) i analnog karcinoma, i intraanalne perzistentne infekcije.</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Populacija MSM je u većem riziku od analne HPV infekcije u donosu na opštu populaciju; apsolutna korist od vakcinacije u smislu sprečavanja nastanka analnog karcinoma u opštoj populaciji se očekuje da je vrlo niska.</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HIV infekcija je bila kriterijum za isključenje iz studije (vidjeti odjeljak 4.4).</w:t>
            </w:r>
          </w:p>
          <w:p w:rsidR="00CF4D6C" w:rsidRPr="00CF4D6C" w:rsidRDefault="00CF4D6C" w:rsidP="005558C4">
            <w:pPr>
              <w:rPr>
                <w:sz w:val="22"/>
                <w:szCs w:val="22"/>
              </w:rPr>
            </w:pPr>
          </w:p>
          <w:p w:rsidR="00CF4D6C" w:rsidRPr="00CF4D6C" w:rsidRDefault="00CF4D6C" w:rsidP="005558C4">
            <w:pPr>
              <w:rPr>
                <w:noProof/>
                <w:sz w:val="22"/>
                <w:szCs w:val="22"/>
                <w:u w:val="single"/>
              </w:rPr>
            </w:pPr>
            <w:r w:rsidRPr="00CF4D6C">
              <w:rPr>
                <w:noProof/>
                <w:sz w:val="22"/>
                <w:szCs w:val="22"/>
                <w:u w:val="single"/>
              </w:rPr>
              <w:t>Efikasnost kod muškaraca bez infekcije HPV tipovima 6, 11, 16 ili 18</w:t>
            </w:r>
          </w:p>
          <w:p w:rsidR="00CF4D6C" w:rsidRPr="00CF4D6C" w:rsidRDefault="00CF4D6C" w:rsidP="005558C4">
            <w:pPr>
              <w:rPr>
                <w:sz w:val="22"/>
                <w:szCs w:val="22"/>
              </w:rPr>
            </w:pPr>
          </w:p>
          <w:p w:rsidR="00CF4D6C" w:rsidRPr="00CF4D6C" w:rsidRDefault="00CF4D6C" w:rsidP="005558C4">
            <w:pPr>
              <w:rPr>
                <w:sz w:val="22"/>
                <w:szCs w:val="22"/>
              </w:rPr>
            </w:pPr>
            <w:r w:rsidRPr="00CF4D6C">
              <w:rPr>
                <w:noProof/>
                <w:sz w:val="22"/>
                <w:szCs w:val="22"/>
              </w:rPr>
              <w:t>Primarna analiza efikasnosti sprovedena je u vidu praćenja efikasnosti u odnosu na tipove HPV - 6, 11, 16 ili 18 u populaciji po protokolu (PPE) (tj. kod osoba koje su dobile sve 3 doze vakcine u roku od 1 godine od uključivanja u studiju, koje nijesu pokazale veliko odstupanje od studijskog protokola i nijesu bile izložene odgovarajućim HPV tipovima prije doze jedan kao ni tokom mjesec dana poslije doze 3 (7. Mjesec)). Efikasnost je mjerena počev od posjete u 7. mjesecu. Ukupno, 83% muškaraca (87% heteroseksualnih osoba i 61% MSM osoba) je bilo bez infekcije (PCR negativni i seronegativni) na sva četiri tipa HPV tokom uključivanja.</w:t>
            </w:r>
          </w:p>
          <w:p w:rsidR="00CF4D6C" w:rsidRPr="00CF4D6C" w:rsidRDefault="00CF4D6C" w:rsidP="005558C4">
            <w:pPr>
              <w:rPr>
                <w:sz w:val="22"/>
                <w:szCs w:val="22"/>
              </w:rPr>
            </w:pPr>
          </w:p>
          <w:p w:rsidR="00CF4D6C" w:rsidRPr="00CF4D6C" w:rsidRDefault="00CF4D6C" w:rsidP="005558C4">
            <w:pPr>
              <w:rPr>
                <w:sz w:val="22"/>
                <w:szCs w:val="22"/>
              </w:rPr>
            </w:pPr>
            <w:r w:rsidRPr="00CF4D6C">
              <w:rPr>
                <w:noProof/>
                <w:sz w:val="22"/>
                <w:szCs w:val="22"/>
              </w:rPr>
              <w:t>Analna intraepitelna neoplazija (AIN) stepena 2/3 (displazija umjerena do visokog stepena) je korišćena u kliničkoj studiji kao surogat marker za analni karcinom.</w:t>
            </w:r>
          </w:p>
          <w:p w:rsidR="00CF4D6C" w:rsidRPr="00CF4D6C" w:rsidRDefault="00CF4D6C" w:rsidP="005558C4">
            <w:pPr>
              <w:rPr>
                <w:sz w:val="22"/>
                <w:szCs w:val="22"/>
              </w:rPr>
            </w:pPr>
          </w:p>
          <w:p w:rsidR="00CF4D6C" w:rsidRPr="00CF4D6C" w:rsidRDefault="00CF4D6C" w:rsidP="005558C4">
            <w:pPr>
              <w:pStyle w:val="Header"/>
              <w:tabs>
                <w:tab w:val="left" w:pos="284"/>
              </w:tabs>
              <w:rPr>
                <w:noProof/>
                <w:sz w:val="22"/>
                <w:szCs w:val="22"/>
              </w:rPr>
            </w:pPr>
            <w:r w:rsidRPr="00CF4D6C">
              <w:rPr>
                <w:noProof/>
                <w:sz w:val="22"/>
                <w:szCs w:val="22"/>
              </w:rPr>
              <w:t>Rezultati efikasnosti za relevantne ciljeve analizirane na kraju studije (srednje trajanje praćenja 2.4 godine) u populaciji po protokolu prikazani su u tabeli 5. Efikasnost protiv PIN stepena 1/2/3 nije prikazana.</w:t>
            </w:r>
          </w:p>
          <w:p w:rsidR="00CF4D6C" w:rsidRPr="00CF4D6C" w:rsidRDefault="00CF4D6C" w:rsidP="005558C4">
            <w:pPr>
              <w:rPr>
                <w:sz w:val="22"/>
                <w:szCs w:val="22"/>
              </w:rPr>
            </w:pPr>
          </w:p>
          <w:p w:rsidR="00CF4D6C" w:rsidRPr="00CF4D6C" w:rsidRDefault="00CF4D6C" w:rsidP="005558C4">
            <w:pPr>
              <w:pStyle w:val="Header"/>
              <w:tabs>
                <w:tab w:val="left" w:pos="284"/>
              </w:tabs>
              <w:rPr>
                <w:b/>
                <w:i/>
                <w:noProof/>
                <w:sz w:val="22"/>
                <w:szCs w:val="22"/>
              </w:rPr>
            </w:pPr>
            <w:r w:rsidRPr="00CF4D6C">
              <w:rPr>
                <w:b/>
                <w:i/>
                <w:noProof/>
                <w:sz w:val="22"/>
                <w:szCs w:val="22"/>
              </w:rPr>
              <w:t>Tabela 5: Efikasnost vakcine GARDASIL</w:t>
            </w:r>
            <w:r w:rsidRPr="00CF4D6C">
              <w:rPr>
                <w:noProof/>
                <w:sz w:val="22"/>
                <w:szCs w:val="22"/>
                <w:vertAlign w:val="superscript"/>
              </w:rPr>
              <w:t xml:space="preserve"> </w:t>
            </w:r>
            <w:r w:rsidRPr="00CF4D6C">
              <w:rPr>
                <w:b/>
                <w:i/>
                <w:noProof/>
                <w:sz w:val="22"/>
                <w:szCs w:val="22"/>
              </w:rPr>
              <w:t>protiv spoljnjih genitalnih lezija u PPE* populaciji muškaraca starosti 16-26 godina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8"/>
              <w:gridCol w:w="1140"/>
              <w:gridCol w:w="1064"/>
              <w:gridCol w:w="915"/>
              <w:gridCol w:w="1068"/>
              <w:gridCol w:w="1879"/>
            </w:tblGrid>
            <w:tr w:rsidR="00CF4D6C" w:rsidRPr="00CF4D6C" w:rsidTr="005558C4">
              <w:trPr>
                <w:cantSplit/>
                <w:jc w:val="center"/>
              </w:trPr>
              <w:tc>
                <w:tcPr>
                  <w:tcW w:w="1950" w:type="pct"/>
                  <w:tcBorders>
                    <w:top w:val="single" w:sz="4" w:space="0" w:color="auto"/>
                    <w:left w:val="single" w:sz="4" w:space="0" w:color="auto"/>
                    <w:bottom w:val="nil"/>
                  </w:tcBorders>
                  <w:vAlign w:val="center"/>
                </w:tcPr>
                <w:p w:rsidR="00CF4D6C" w:rsidRPr="00CF4D6C" w:rsidRDefault="00CF4D6C" w:rsidP="005558C4">
                  <w:pPr>
                    <w:rPr>
                      <w:b/>
                      <w:bCs/>
                      <w:iCs/>
                      <w:noProof/>
                      <w:sz w:val="22"/>
                      <w:szCs w:val="22"/>
                    </w:rPr>
                  </w:pPr>
                </w:p>
              </w:tc>
              <w:tc>
                <w:tcPr>
                  <w:tcW w:w="1108" w:type="pct"/>
                  <w:gridSpan w:val="2"/>
                  <w:tcBorders>
                    <w:top w:val="single" w:sz="4" w:space="0" w:color="auto"/>
                  </w:tcBorders>
                  <w:vAlign w:val="center"/>
                </w:tcPr>
                <w:p w:rsidR="00CF4D6C" w:rsidRPr="00CF4D6C" w:rsidRDefault="00CF4D6C" w:rsidP="005558C4">
                  <w:pPr>
                    <w:rPr>
                      <w:b/>
                      <w:bCs/>
                      <w:iCs/>
                      <w:noProof/>
                      <w:sz w:val="22"/>
                      <w:szCs w:val="22"/>
                    </w:rPr>
                  </w:pPr>
                  <w:r w:rsidRPr="00CF4D6C">
                    <w:rPr>
                      <w:b/>
                      <w:bCs/>
                      <w:noProof/>
                      <w:sz w:val="22"/>
                      <w:szCs w:val="22"/>
                    </w:rPr>
                    <w:t>Gardasil</w:t>
                  </w:r>
                </w:p>
              </w:tc>
              <w:tc>
                <w:tcPr>
                  <w:tcW w:w="997" w:type="pct"/>
                  <w:gridSpan w:val="2"/>
                  <w:tcBorders>
                    <w:top w:val="single" w:sz="4" w:space="0" w:color="auto"/>
                  </w:tcBorders>
                  <w:vAlign w:val="center"/>
                </w:tcPr>
                <w:p w:rsidR="00CF4D6C" w:rsidRPr="00CF4D6C" w:rsidRDefault="00CF4D6C" w:rsidP="005558C4">
                  <w:pPr>
                    <w:rPr>
                      <w:b/>
                      <w:bCs/>
                      <w:iCs/>
                      <w:noProof/>
                      <w:sz w:val="22"/>
                      <w:szCs w:val="22"/>
                    </w:rPr>
                  </w:pPr>
                  <w:r w:rsidRPr="00CF4D6C">
                    <w:rPr>
                      <w:b/>
                      <w:bCs/>
                      <w:noProof/>
                      <w:sz w:val="22"/>
                      <w:szCs w:val="22"/>
                    </w:rPr>
                    <w:t>Placebo</w:t>
                  </w:r>
                </w:p>
              </w:tc>
              <w:tc>
                <w:tcPr>
                  <w:tcW w:w="945" w:type="pct"/>
                  <w:vMerge w:val="restart"/>
                  <w:tcBorders>
                    <w:top w:val="single" w:sz="4" w:space="0" w:color="auto"/>
                    <w:right w:val="single" w:sz="18" w:space="0" w:color="auto"/>
                  </w:tcBorders>
                  <w:vAlign w:val="center"/>
                </w:tcPr>
                <w:p w:rsidR="00CF4D6C" w:rsidRPr="00CF4D6C" w:rsidRDefault="00CF4D6C" w:rsidP="005558C4">
                  <w:pPr>
                    <w:rPr>
                      <w:b/>
                      <w:bCs/>
                      <w:noProof/>
                      <w:sz w:val="22"/>
                      <w:szCs w:val="22"/>
                    </w:rPr>
                  </w:pPr>
                  <w:r w:rsidRPr="00CF4D6C">
                    <w:rPr>
                      <w:b/>
                      <w:bCs/>
                      <w:noProof/>
                      <w:sz w:val="22"/>
                      <w:szCs w:val="22"/>
                    </w:rPr>
                    <w:t>% Efikasnost</w:t>
                  </w:r>
                </w:p>
                <w:p w:rsidR="00CF4D6C" w:rsidRPr="00CF4D6C" w:rsidRDefault="00CF4D6C" w:rsidP="005558C4">
                  <w:pPr>
                    <w:rPr>
                      <w:b/>
                      <w:bCs/>
                      <w:iCs/>
                      <w:noProof/>
                      <w:sz w:val="22"/>
                      <w:szCs w:val="22"/>
                    </w:rPr>
                  </w:pPr>
                  <w:r w:rsidRPr="00CF4D6C">
                    <w:rPr>
                      <w:b/>
                      <w:bCs/>
                      <w:noProof/>
                      <w:sz w:val="22"/>
                      <w:szCs w:val="22"/>
                    </w:rPr>
                    <w:t xml:space="preserve"> (95% CI)</w:t>
                  </w:r>
                </w:p>
              </w:tc>
            </w:tr>
            <w:tr w:rsidR="00CF4D6C" w:rsidRPr="00CF4D6C" w:rsidTr="005558C4">
              <w:trPr>
                <w:cantSplit/>
                <w:jc w:val="center"/>
              </w:trPr>
              <w:tc>
                <w:tcPr>
                  <w:tcW w:w="1950" w:type="pct"/>
                  <w:tcBorders>
                    <w:top w:val="nil"/>
                    <w:left w:val="single" w:sz="4" w:space="0" w:color="auto"/>
                  </w:tcBorders>
                  <w:vAlign w:val="center"/>
                </w:tcPr>
                <w:p w:rsidR="00CF4D6C" w:rsidRPr="00CF4D6C" w:rsidRDefault="00CF4D6C" w:rsidP="005558C4">
                  <w:pPr>
                    <w:rPr>
                      <w:b/>
                      <w:bCs/>
                      <w:iCs/>
                      <w:noProof/>
                      <w:sz w:val="22"/>
                      <w:szCs w:val="22"/>
                    </w:rPr>
                  </w:pPr>
                  <w:r w:rsidRPr="00CF4D6C">
                    <w:rPr>
                      <w:b/>
                      <w:bCs/>
                      <w:iCs/>
                      <w:noProof/>
                      <w:sz w:val="22"/>
                      <w:szCs w:val="22"/>
                    </w:rPr>
                    <w:t>Ishod</w:t>
                  </w:r>
                </w:p>
              </w:tc>
              <w:tc>
                <w:tcPr>
                  <w:tcW w:w="573" w:type="pct"/>
                  <w:vAlign w:val="center"/>
                </w:tcPr>
                <w:p w:rsidR="00CF4D6C" w:rsidRPr="00CF4D6C" w:rsidRDefault="00CF4D6C" w:rsidP="005558C4">
                  <w:pPr>
                    <w:rPr>
                      <w:b/>
                      <w:bCs/>
                      <w:noProof/>
                      <w:sz w:val="22"/>
                      <w:szCs w:val="22"/>
                    </w:rPr>
                  </w:pPr>
                  <w:r w:rsidRPr="00CF4D6C">
                    <w:rPr>
                      <w:b/>
                      <w:bCs/>
                      <w:noProof/>
                      <w:sz w:val="22"/>
                      <w:szCs w:val="22"/>
                    </w:rPr>
                    <w:t>N</w:t>
                  </w:r>
                </w:p>
              </w:tc>
              <w:tc>
                <w:tcPr>
                  <w:tcW w:w="535" w:type="pct"/>
                  <w:vAlign w:val="center"/>
                </w:tcPr>
                <w:p w:rsidR="00CF4D6C" w:rsidRPr="00CF4D6C" w:rsidRDefault="00CF4D6C" w:rsidP="005558C4">
                  <w:pPr>
                    <w:rPr>
                      <w:b/>
                      <w:bCs/>
                      <w:noProof/>
                      <w:sz w:val="22"/>
                      <w:szCs w:val="22"/>
                    </w:rPr>
                  </w:pPr>
                  <w:r w:rsidRPr="00CF4D6C">
                    <w:rPr>
                      <w:b/>
                      <w:bCs/>
                      <w:noProof/>
                      <w:sz w:val="22"/>
                      <w:szCs w:val="22"/>
                    </w:rPr>
                    <w:t>Broj slučajeva</w:t>
                  </w:r>
                </w:p>
              </w:tc>
              <w:tc>
                <w:tcPr>
                  <w:tcW w:w="460" w:type="pct"/>
                  <w:vAlign w:val="center"/>
                </w:tcPr>
                <w:p w:rsidR="00CF4D6C" w:rsidRPr="00CF4D6C" w:rsidRDefault="00CF4D6C" w:rsidP="005558C4">
                  <w:pPr>
                    <w:rPr>
                      <w:b/>
                      <w:bCs/>
                      <w:noProof/>
                      <w:sz w:val="22"/>
                      <w:szCs w:val="22"/>
                    </w:rPr>
                  </w:pPr>
                  <w:r w:rsidRPr="00CF4D6C">
                    <w:rPr>
                      <w:b/>
                      <w:bCs/>
                      <w:noProof/>
                      <w:sz w:val="22"/>
                      <w:szCs w:val="22"/>
                    </w:rPr>
                    <w:t>N</w:t>
                  </w:r>
                </w:p>
              </w:tc>
              <w:tc>
                <w:tcPr>
                  <w:tcW w:w="537" w:type="pct"/>
                  <w:vAlign w:val="center"/>
                </w:tcPr>
                <w:p w:rsidR="00CF4D6C" w:rsidRPr="00CF4D6C" w:rsidRDefault="00CF4D6C" w:rsidP="005558C4">
                  <w:pPr>
                    <w:rPr>
                      <w:b/>
                      <w:bCs/>
                      <w:noProof/>
                      <w:sz w:val="22"/>
                      <w:szCs w:val="22"/>
                    </w:rPr>
                  </w:pPr>
                  <w:r w:rsidRPr="00CF4D6C">
                    <w:rPr>
                      <w:b/>
                      <w:bCs/>
                      <w:noProof/>
                      <w:sz w:val="22"/>
                      <w:szCs w:val="22"/>
                    </w:rPr>
                    <w:t>Broj slučajeva</w:t>
                  </w:r>
                </w:p>
              </w:tc>
              <w:tc>
                <w:tcPr>
                  <w:tcW w:w="945" w:type="pct"/>
                  <w:vMerge/>
                  <w:tcBorders>
                    <w:right w:val="single" w:sz="18" w:space="0" w:color="auto"/>
                  </w:tcBorders>
                  <w:vAlign w:val="center"/>
                </w:tcPr>
                <w:p w:rsidR="00CF4D6C" w:rsidRPr="00CF4D6C" w:rsidRDefault="00CF4D6C" w:rsidP="005558C4">
                  <w:pPr>
                    <w:rPr>
                      <w:b/>
                      <w:bCs/>
                      <w:noProof/>
                      <w:sz w:val="22"/>
                      <w:szCs w:val="22"/>
                    </w:rPr>
                  </w:pPr>
                </w:p>
              </w:tc>
            </w:tr>
            <w:tr w:rsidR="00CF4D6C" w:rsidRPr="00CF4D6C" w:rsidTr="005558C4">
              <w:trPr>
                <w:trHeight w:val="238"/>
                <w:jc w:val="center"/>
              </w:trPr>
              <w:tc>
                <w:tcPr>
                  <w:tcW w:w="5000" w:type="pct"/>
                  <w:gridSpan w:val="6"/>
                  <w:tcBorders>
                    <w:right w:val="single" w:sz="18" w:space="0" w:color="auto"/>
                  </w:tcBorders>
                  <w:vAlign w:val="center"/>
                </w:tcPr>
                <w:p w:rsidR="00CF4D6C" w:rsidRPr="00CF4D6C" w:rsidRDefault="00CF4D6C" w:rsidP="005558C4">
                  <w:pPr>
                    <w:rPr>
                      <w:bCs/>
                      <w:noProof/>
                      <w:sz w:val="22"/>
                      <w:szCs w:val="22"/>
                    </w:rPr>
                  </w:pPr>
                  <w:r w:rsidRPr="00CF4D6C">
                    <w:rPr>
                      <w:b/>
                      <w:bCs/>
                      <w:noProof/>
                      <w:sz w:val="22"/>
                      <w:szCs w:val="22"/>
                    </w:rPr>
                    <w:t>Spoljnje genitalne lezije izazvane HPV tipovima 6/11/16/18</w:t>
                  </w:r>
                </w:p>
              </w:tc>
            </w:tr>
            <w:tr w:rsidR="00CF4D6C" w:rsidRPr="00CF4D6C" w:rsidTr="005558C4">
              <w:trPr>
                <w:trHeight w:val="545"/>
                <w:jc w:val="center"/>
              </w:trPr>
              <w:tc>
                <w:tcPr>
                  <w:tcW w:w="1950" w:type="pct"/>
                  <w:vAlign w:val="center"/>
                </w:tcPr>
                <w:p w:rsidR="00CF4D6C" w:rsidRPr="00CF4D6C" w:rsidRDefault="00CF4D6C" w:rsidP="005558C4">
                  <w:pPr>
                    <w:rPr>
                      <w:b/>
                      <w:bCs/>
                      <w:iCs/>
                      <w:noProof/>
                      <w:sz w:val="22"/>
                      <w:szCs w:val="22"/>
                    </w:rPr>
                  </w:pPr>
                  <w:r w:rsidRPr="00CF4D6C">
                    <w:rPr>
                      <w:b/>
                      <w:bCs/>
                      <w:noProof/>
                      <w:sz w:val="22"/>
                      <w:szCs w:val="22"/>
                    </w:rPr>
                    <w:t>Spoljnje genitalne lezije</w:t>
                  </w:r>
                </w:p>
              </w:tc>
              <w:tc>
                <w:tcPr>
                  <w:tcW w:w="573" w:type="pct"/>
                  <w:vAlign w:val="center"/>
                </w:tcPr>
                <w:p w:rsidR="00CF4D6C" w:rsidRPr="00CF4D6C" w:rsidRDefault="00CF4D6C" w:rsidP="005558C4">
                  <w:pPr>
                    <w:rPr>
                      <w:bCs/>
                      <w:noProof/>
                      <w:sz w:val="22"/>
                      <w:szCs w:val="22"/>
                    </w:rPr>
                  </w:pPr>
                  <w:r w:rsidRPr="00CF4D6C">
                    <w:rPr>
                      <w:bCs/>
                      <w:noProof/>
                      <w:sz w:val="22"/>
                      <w:szCs w:val="22"/>
                    </w:rPr>
                    <w:t>1394</w:t>
                  </w:r>
                </w:p>
              </w:tc>
              <w:tc>
                <w:tcPr>
                  <w:tcW w:w="535" w:type="pct"/>
                  <w:vAlign w:val="center"/>
                </w:tcPr>
                <w:p w:rsidR="00CF4D6C" w:rsidRPr="00CF4D6C" w:rsidRDefault="00CF4D6C" w:rsidP="005558C4">
                  <w:pPr>
                    <w:rPr>
                      <w:bCs/>
                      <w:noProof/>
                      <w:sz w:val="22"/>
                      <w:szCs w:val="22"/>
                    </w:rPr>
                  </w:pPr>
                  <w:r w:rsidRPr="00CF4D6C">
                    <w:rPr>
                      <w:bCs/>
                      <w:noProof/>
                      <w:sz w:val="22"/>
                      <w:szCs w:val="22"/>
                    </w:rPr>
                    <w:t>3</w:t>
                  </w:r>
                </w:p>
              </w:tc>
              <w:tc>
                <w:tcPr>
                  <w:tcW w:w="460" w:type="pct"/>
                  <w:vAlign w:val="center"/>
                </w:tcPr>
                <w:p w:rsidR="00CF4D6C" w:rsidRPr="00CF4D6C" w:rsidRDefault="00CF4D6C" w:rsidP="005558C4">
                  <w:pPr>
                    <w:rPr>
                      <w:bCs/>
                      <w:noProof/>
                      <w:sz w:val="22"/>
                      <w:szCs w:val="22"/>
                    </w:rPr>
                  </w:pPr>
                  <w:r w:rsidRPr="00CF4D6C">
                    <w:rPr>
                      <w:bCs/>
                      <w:noProof/>
                      <w:sz w:val="22"/>
                      <w:szCs w:val="22"/>
                    </w:rPr>
                    <w:t>1404</w:t>
                  </w:r>
                </w:p>
              </w:tc>
              <w:tc>
                <w:tcPr>
                  <w:tcW w:w="537" w:type="pct"/>
                  <w:vAlign w:val="center"/>
                </w:tcPr>
                <w:p w:rsidR="00CF4D6C" w:rsidRPr="00CF4D6C" w:rsidRDefault="00CF4D6C" w:rsidP="005558C4">
                  <w:pPr>
                    <w:rPr>
                      <w:bCs/>
                      <w:noProof/>
                      <w:sz w:val="22"/>
                      <w:szCs w:val="22"/>
                    </w:rPr>
                  </w:pPr>
                  <w:r w:rsidRPr="00CF4D6C">
                    <w:rPr>
                      <w:bCs/>
                      <w:noProof/>
                      <w:sz w:val="22"/>
                      <w:szCs w:val="22"/>
                    </w:rPr>
                    <w:t>32</w:t>
                  </w:r>
                </w:p>
              </w:tc>
              <w:tc>
                <w:tcPr>
                  <w:tcW w:w="945" w:type="pct"/>
                  <w:tcBorders>
                    <w:right w:val="single" w:sz="18" w:space="0" w:color="auto"/>
                  </w:tcBorders>
                  <w:vAlign w:val="center"/>
                </w:tcPr>
                <w:p w:rsidR="00CF4D6C" w:rsidRPr="00CF4D6C" w:rsidRDefault="00CF4D6C" w:rsidP="005558C4">
                  <w:pPr>
                    <w:rPr>
                      <w:bCs/>
                      <w:noProof/>
                      <w:sz w:val="22"/>
                      <w:szCs w:val="22"/>
                    </w:rPr>
                  </w:pPr>
                  <w:r w:rsidRPr="00CF4D6C">
                    <w:rPr>
                      <w:bCs/>
                      <w:noProof/>
                      <w:sz w:val="22"/>
                      <w:szCs w:val="22"/>
                    </w:rPr>
                    <w:t xml:space="preserve">90.6 (70.1, 98.2)     </w:t>
                  </w:r>
                </w:p>
              </w:tc>
            </w:tr>
            <w:tr w:rsidR="00CF4D6C" w:rsidRPr="00CF4D6C" w:rsidTr="005558C4">
              <w:trPr>
                <w:trHeight w:val="545"/>
                <w:jc w:val="center"/>
              </w:trPr>
              <w:tc>
                <w:tcPr>
                  <w:tcW w:w="1950" w:type="pct"/>
                  <w:vAlign w:val="center"/>
                </w:tcPr>
                <w:p w:rsidR="00CF4D6C" w:rsidRPr="00CF4D6C" w:rsidRDefault="00CF4D6C" w:rsidP="005558C4">
                  <w:pPr>
                    <w:rPr>
                      <w:b/>
                      <w:bCs/>
                      <w:noProof/>
                      <w:sz w:val="22"/>
                      <w:szCs w:val="22"/>
                    </w:rPr>
                  </w:pPr>
                  <w:r w:rsidRPr="00CF4D6C">
                    <w:rPr>
                      <w:b/>
                      <w:iCs/>
                      <w:noProof/>
                      <w:sz w:val="22"/>
                      <w:szCs w:val="22"/>
                    </w:rPr>
                    <w:t>Genitalni kondilomi</w:t>
                  </w:r>
                </w:p>
              </w:tc>
              <w:tc>
                <w:tcPr>
                  <w:tcW w:w="573" w:type="pct"/>
                  <w:vAlign w:val="center"/>
                </w:tcPr>
                <w:p w:rsidR="00CF4D6C" w:rsidRPr="00CF4D6C" w:rsidRDefault="00CF4D6C" w:rsidP="005558C4">
                  <w:pPr>
                    <w:rPr>
                      <w:noProof/>
                      <w:sz w:val="22"/>
                      <w:szCs w:val="22"/>
                    </w:rPr>
                  </w:pPr>
                  <w:r w:rsidRPr="00CF4D6C">
                    <w:rPr>
                      <w:bCs/>
                      <w:noProof/>
                      <w:sz w:val="22"/>
                      <w:szCs w:val="22"/>
                    </w:rPr>
                    <w:t>1394</w:t>
                  </w:r>
                </w:p>
              </w:tc>
              <w:tc>
                <w:tcPr>
                  <w:tcW w:w="535" w:type="pct"/>
                  <w:vAlign w:val="center"/>
                </w:tcPr>
                <w:p w:rsidR="00CF4D6C" w:rsidRPr="00CF4D6C" w:rsidRDefault="00CF4D6C" w:rsidP="005558C4">
                  <w:pPr>
                    <w:rPr>
                      <w:noProof/>
                      <w:sz w:val="22"/>
                      <w:szCs w:val="22"/>
                    </w:rPr>
                  </w:pPr>
                  <w:r w:rsidRPr="00CF4D6C">
                    <w:rPr>
                      <w:noProof/>
                      <w:sz w:val="22"/>
                      <w:szCs w:val="22"/>
                    </w:rPr>
                    <w:t>3</w:t>
                  </w:r>
                </w:p>
              </w:tc>
              <w:tc>
                <w:tcPr>
                  <w:tcW w:w="460" w:type="pct"/>
                  <w:vAlign w:val="center"/>
                </w:tcPr>
                <w:p w:rsidR="00CF4D6C" w:rsidRPr="00CF4D6C" w:rsidRDefault="00CF4D6C" w:rsidP="005558C4">
                  <w:pPr>
                    <w:rPr>
                      <w:noProof/>
                      <w:sz w:val="22"/>
                      <w:szCs w:val="22"/>
                    </w:rPr>
                  </w:pPr>
                  <w:r w:rsidRPr="00CF4D6C">
                    <w:rPr>
                      <w:bCs/>
                      <w:noProof/>
                      <w:sz w:val="22"/>
                      <w:szCs w:val="22"/>
                    </w:rPr>
                    <w:t>1404</w:t>
                  </w:r>
                </w:p>
              </w:tc>
              <w:tc>
                <w:tcPr>
                  <w:tcW w:w="537" w:type="pct"/>
                  <w:vAlign w:val="center"/>
                </w:tcPr>
                <w:p w:rsidR="00CF4D6C" w:rsidRPr="00CF4D6C" w:rsidRDefault="00CF4D6C" w:rsidP="005558C4">
                  <w:pPr>
                    <w:rPr>
                      <w:noProof/>
                      <w:sz w:val="22"/>
                      <w:szCs w:val="22"/>
                    </w:rPr>
                  </w:pPr>
                  <w:r w:rsidRPr="00CF4D6C">
                    <w:rPr>
                      <w:noProof/>
                      <w:sz w:val="22"/>
                      <w:szCs w:val="22"/>
                    </w:rPr>
                    <w:t>28</w:t>
                  </w:r>
                </w:p>
              </w:tc>
              <w:tc>
                <w:tcPr>
                  <w:tcW w:w="945" w:type="pct"/>
                  <w:tcBorders>
                    <w:right w:val="single" w:sz="18" w:space="0" w:color="auto"/>
                  </w:tcBorders>
                  <w:vAlign w:val="center"/>
                </w:tcPr>
                <w:p w:rsidR="00CF4D6C" w:rsidRPr="00CF4D6C" w:rsidRDefault="00CF4D6C" w:rsidP="005558C4">
                  <w:pPr>
                    <w:rPr>
                      <w:noProof/>
                      <w:sz w:val="22"/>
                      <w:szCs w:val="22"/>
                    </w:rPr>
                  </w:pPr>
                  <w:r w:rsidRPr="00CF4D6C">
                    <w:rPr>
                      <w:bCs/>
                      <w:noProof/>
                      <w:sz w:val="22"/>
                      <w:szCs w:val="22"/>
                    </w:rPr>
                    <w:t xml:space="preserve">89.3 (65.3, 97.9)     </w:t>
                  </w:r>
                </w:p>
              </w:tc>
            </w:tr>
            <w:tr w:rsidR="00CF4D6C" w:rsidRPr="00CF4D6C" w:rsidTr="005558C4">
              <w:trPr>
                <w:trHeight w:val="545"/>
                <w:jc w:val="center"/>
              </w:trPr>
              <w:tc>
                <w:tcPr>
                  <w:tcW w:w="1950" w:type="pct"/>
                  <w:vAlign w:val="center"/>
                </w:tcPr>
                <w:p w:rsidR="00CF4D6C" w:rsidRPr="00CF4D6C" w:rsidRDefault="00CF4D6C" w:rsidP="005558C4">
                  <w:pPr>
                    <w:rPr>
                      <w:b/>
                      <w:iCs/>
                      <w:noProof/>
                      <w:sz w:val="22"/>
                      <w:szCs w:val="22"/>
                    </w:rPr>
                  </w:pPr>
                  <w:r w:rsidRPr="00CF4D6C">
                    <w:rPr>
                      <w:b/>
                      <w:iCs/>
                      <w:noProof/>
                      <w:sz w:val="22"/>
                      <w:szCs w:val="22"/>
                    </w:rPr>
                    <w:t>PIN 1/2/3</w:t>
                  </w:r>
                </w:p>
              </w:tc>
              <w:tc>
                <w:tcPr>
                  <w:tcW w:w="573" w:type="pct"/>
                  <w:vAlign w:val="center"/>
                </w:tcPr>
                <w:p w:rsidR="00CF4D6C" w:rsidRPr="00CF4D6C" w:rsidRDefault="00CF4D6C" w:rsidP="005558C4">
                  <w:pPr>
                    <w:rPr>
                      <w:noProof/>
                      <w:sz w:val="22"/>
                      <w:szCs w:val="22"/>
                    </w:rPr>
                  </w:pPr>
                  <w:r w:rsidRPr="00CF4D6C">
                    <w:rPr>
                      <w:bCs/>
                      <w:noProof/>
                      <w:sz w:val="22"/>
                      <w:szCs w:val="22"/>
                    </w:rPr>
                    <w:t>1394</w:t>
                  </w:r>
                </w:p>
              </w:tc>
              <w:tc>
                <w:tcPr>
                  <w:tcW w:w="535" w:type="pct"/>
                  <w:vAlign w:val="center"/>
                </w:tcPr>
                <w:p w:rsidR="00CF4D6C" w:rsidRPr="00CF4D6C" w:rsidRDefault="00CF4D6C" w:rsidP="005558C4">
                  <w:pPr>
                    <w:rPr>
                      <w:noProof/>
                      <w:sz w:val="22"/>
                      <w:szCs w:val="22"/>
                    </w:rPr>
                  </w:pPr>
                  <w:r w:rsidRPr="00CF4D6C">
                    <w:rPr>
                      <w:noProof/>
                      <w:sz w:val="22"/>
                      <w:szCs w:val="22"/>
                    </w:rPr>
                    <w:t>0</w:t>
                  </w:r>
                </w:p>
              </w:tc>
              <w:tc>
                <w:tcPr>
                  <w:tcW w:w="460" w:type="pct"/>
                  <w:vAlign w:val="center"/>
                </w:tcPr>
                <w:p w:rsidR="00CF4D6C" w:rsidRPr="00CF4D6C" w:rsidRDefault="00CF4D6C" w:rsidP="005558C4">
                  <w:pPr>
                    <w:rPr>
                      <w:noProof/>
                      <w:sz w:val="22"/>
                      <w:szCs w:val="22"/>
                    </w:rPr>
                  </w:pPr>
                  <w:r w:rsidRPr="00CF4D6C">
                    <w:rPr>
                      <w:bCs/>
                      <w:noProof/>
                      <w:sz w:val="22"/>
                      <w:szCs w:val="22"/>
                    </w:rPr>
                    <w:t>1404</w:t>
                  </w:r>
                </w:p>
              </w:tc>
              <w:tc>
                <w:tcPr>
                  <w:tcW w:w="537" w:type="pct"/>
                  <w:vAlign w:val="center"/>
                </w:tcPr>
                <w:p w:rsidR="00CF4D6C" w:rsidRPr="00CF4D6C" w:rsidRDefault="00CF4D6C" w:rsidP="005558C4">
                  <w:pPr>
                    <w:rPr>
                      <w:noProof/>
                      <w:sz w:val="22"/>
                      <w:szCs w:val="22"/>
                    </w:rPr>
                  </w:pPr>
                  <w:r w:rsidRPr="00CF4D6C">
                    <w:rPr>
                      <w:noProof/>
                      <w:sz w:val="22"/>
                      <w:szCs w:val="22"/>
                    </w:rPr>
                    <w:t>4</w:t>
                  </w:r>
                </w:p>
              </w:tc>
              <w:tc>
                <w:tcPr>
                  <w:tcW w:w="945" w:type="pct"/>
                  <w:tcBorders>
                    <w:right w:val="single" w:sz="18" w:space="0" w:color="auto"/>
                  </w:tcBorders>
                  <w:vAlign w:val="center"/>
                </w:tcPr>
                <w:p w:rsidR="00CF4D6C" w:rsidRPr="00CF4D6C" w:rsidRDefault="00CF4D6C" w:rsidP="005558C4">
                  <w:pPr>
                    <w:rPr>
                      <w:noProof/>
                      <w:sz w:val="22"/>
                      <w:szCs w:val="22"/>
                    </w:rPr>
                  </w:pPr>
                  <w:r w:rsidRPr="00CF4D6C">
                    <w:rPr>
                      <w:bCs/>
                      <w:noProof/>
                      <w:sz w:val="22"/>
                      <w:szCs w:val="22"/>
                    </w:rPr>
                    <w:t xml:space="preserve">100.0 (-52.1, 100.0)     </w:t>
                  </w:r>
                </w:p>
              </w:tc>
            </w:tr>
          </w:tbl>
          <w:p w:rsidR="00CF4D6C" w:rsidRPr="00CF4D6C" w:rsidRDefault="00CF4D6C" w:rsidP="005558C4">
            <w:pPr>
              <w:pStyle w:val="Header"/>
              <w:tabs>
                <w:tab w:val="left" w:pos="284"/>
              </w:tabs>
              <w:rPr>
                <w:bCs/>
                <w:noProof/>
                <w:sz w:val="22"/>
                <w:szCs w:val="22"/>
              </w:rPr>
            </w:pPr>
            <w:r w:rsidRPr="00CF4D6C">
              <w:rPr>
                <w:bCs/>
                <w:noProof/>
                <w:sz w:val="22"/>
                <w:szCs w:val="22"/>
              </w:rPr>
              <w:t xml:space="preserve">* Osobe </w:t>
            </w:r>
            <w:r w:rsidRPr="00CF4D6C">
              <w:rPr>
                <w:noProof/>
                <w:sz w:val="22"/>
                <w:szCs w:val="22"/>
              </w:rPr>
              <w:t>u PPE populaciji su dobile sve 3 doze vakcine u roku od 1 godine od uključivanja u studiju, koje nijesu pokazale veliko odstupanje od studijskog protokola i nijesu bile izložene odgovarajućim HPV tipovima prije doze jedan kao ni tokom mjesec dana poslije doze 3 (7. Mjesec).</w:t>
            </w:r>
          </w:p>
          <w:p w:rsidR="00CF4D6C" w:rsidRPr="00CF4D6C" w:rsidRDefault="00CF4D6C" w:rsidP="005558C4">
            <w:pPr>
              <w:rPr>
                <w:sz w:val="22"/>
                <w:szCs w:val="22"/>
              </w:rPr>
            </w:pPr>
          </w:p>
          <w:p w:rsidR="00CF4D6C" w:rsidRPr="00CF4D6C" w:rsidRDefault="00CF4D6C" w:rsidP="005558C4">
            <w:pPr>
              <w:rPr>
                <w:sz w:val="22"/>
                <w:szCs w:val="22"/>
              </w:rPr>
            </w:pPr>
            <w:r w:rsidRPr="00CF4D6C">
              <w:rPr>
                <w:noProof/>
                <w:sz w:val="22"/>
                <w:szCs w:val="22"/>
              </w:rPr>
              <w:t xml:space="preserve">Na kraju studije u MSM populaciji za analne lezije (srednje trajanje praćenja 2.15 godina), efekat prevencije </w:t>
            </w:r>
            <w:r w:rsidRPr="00CF4D6C">
              <w:rPr>
                <w:noProof/>
                <w:sz w:val="22"/>
                <w:szCs w:val="22"/>
              </w:rPr>
              <w:lastRenderedPageBreak/>
              <w:t>HPV tipovima 6, 11, 16, i 18 izazvane AIN 2/3 iznosila je 74.9% (95%CI: 8.8, 95.4; 3/194 naspram 13/208) i HPV tipovma 16 ili 18 izazvane AIN 2/3 86.6% (95%CI: 0.0, 99.7; 1/194 naspram 8/208).</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Trenutno nije poznato koliko traje zaštita od karcinoma anusa . U dugotrajnom produžetku studije po Protokolu 020 kod muškaraca starosti od 16 do 26 godina, u PPE populaciji muškaraca vakcinisanih vakcinom GARDASIL u osnovnoj studiji, nisu bili zabilježeni slučajevi HPV bolesti (HPV tipovima 6/11 povezanih sa genitalnim kondilomima i HPV 6/11/16/18 spoljašnjim genitalnim kondilomima i HPV 6/11/16/18 bilo kod stepena AIN u MSM populaciji) u vremenskom periodu do približno 6 godina.</w:t>
            </w:r>
          </w:p>
          <w:p w:rsidR="00CF4D6C" w:rsidRPr="00CF4D6C" w:rsidRDefault="00CF4D6C" w:rsidP="005558C4">
            <w:pPr>
              <w:rPr>
                <w:sz w:val="22"/>
                <w:szCs w:val="22"/>
              </w:rPr>
            </w:pPr>
          </w:p>
          <w:p w:rsidR="00CF4D6C" w:rsidRPr="00CF4D6C" w:rsidRDefault="00CF4D6C" w:rsidP="005558C4">
            <w:pPr>
              <w:rPr>
                <w:sz w:val="22"/>
                <w:szCs w:val="22"/>
              </w:rPr>
            </w:pPr>
            <w:r w:rsidRPr="00CF4D6C">
              <w:rPr>
                <w:iCs/>
                <w:noProof/>
                <w:color w:val="000000"/>
                <w:sz w:val="22"/>
                <w:szCs w:val="22"/>
                <w:u w:val="single"/>
                <w:lang w:eastAsia="sv-SE"/>
              </w:rPr>
              <w:t>Efikasnost kod muškaraca sa ili bez prethodne infekcije ili oboljenja usled infekcije HPV 6, 11, 16, ili 18</w:t>
            </w:r>
          </w:p>
          <w:p w:rsidR="00CF4D6C" w:rsidRPr="00CF4D6C" w:rsidRDefault="00CF4D6C" w:rsidP="005558C4">
            <w:pPr>
              <w:rPr>
                <w:sz w:val="22"/>
                <w:szCs w:val="22"/>
              </w:rPr>
            </w:pPr>
          </w:p>
          <w:p w:rsidR="00CF4D6C" w:rsidRPr="00CF4D6C" w:rsidRDefault="00CF4D6C" w:rsidP="005558C4">
            <w:pPr>
              <w:rPr>
                <w:sz w:val="22"/>
                <w:szCs w:val="22"/>
              </w:rPr>
            </w:pPr>
            <w:r w:rsidRPr="00CF4D6C">
              <w:rPr>
                <w:iCs/>
                <w:noProof/>
                <w:color w:val="000000"/>
                <w:sz w:val="22"/>
                <w:szCs w:val="22"/>
                <w:lang w:eastAsia="sv-SE"/>
              </w:rPr>
              <w:t>Populacija "Full Analysis Set" (FAS) je uključivala muškarce nezavisno od početnog HPV statusa pri Danu 1, koji su primili barem jednu dozu i kod kojih je računanje slučaja počelo od Dana 1. Ova populacija se aproksimira na opštu populaciju muškarca u odnosu na prevalencu infekcija ili oboljenja izazvanih HPV virusom u trenutku uvođenja u studiju.</w:t>
            </w:r>
          </w:p>
          <w:p w:rsidR="00CF4D6C" w:rsidRPr="00CF4D6C" w:rsidRDefault="00CF4D6C" w:rsidP="005558C4">
            <w:pPr>
              <w:rPr>
                <w:sz w:val="22"/>
                <w:szCs w:val="22"/>
              </w:rPr>
            </w:pPr>
          </w:p>
          <w:p w:rsidR="00CF4D6C" w:rsidRPr="00CF4D6C" w:rsidRDefault="00CF4D6C" w:rsidP="005558C4">
            <w:pPr>
              <w:rPr>
                <w:sz w:val="22"/>
                <w:szCs w:val="22"/>
              </w:rPr>
            </w:pPr>
            <w:r w:rsidRPr="00CF4D6C">
              <w:rPr>
                <w:noProof/>
                <w:color w:val="000000"/>
                <w:sz w:val="22"/>
                <w:szCs w:val="22"/>
              </w:rPr>
              <w:t xml:space="preserve">Efikasnost vakcine </w:t>
            </w:r>
            <w:r w:rsidRPr="00CF4D6C">
              <w:rPr>
                <w:b/>
                <w:noProof/>
                <w:sz w:val="22"/>
                <w:szCs w:val="22"/>
              </w:rPr>
              <w:t xml:space="preserve">GARDASIL </w:t>
            </w:r>
            <w:r w:rsidRPr="00CF4D6C">
              <w:rPr>
                <w:noProof/>
                <w:sz w:val="22"/>
                <w:szCs w:val="22"/>
              </w:rPr>
              <w:t xml:space="preserve">protiv </w:t>
            </w:r>
            <w:r w:rsidRPr="00CF4D6C">
              <w:rPr>
                <w:noProof/>
                <w:color w:val="000000"/>
                <w:sz w:val="22"/>
                <w:szCs w:val="22"/>
              </w:rPr>
              <w:t>HPV tipovima</w:t>
            </w:r>
            <w:r w:rsidRPr="00CF4D6C">
              <w:rPr>
                <w:noProof/>
                <w:sz w:val="22"/>
                <w:szCs w:val="22"/>
              </w:rPr>
              <w:t xml:space="preserve"> </w:t>
            </w:r>
            <w:r w:rsidRPr="00CF4D6C">
              <w:rPr>
                <w:noProof/>
                <w:color w:val="000000"/>
                <w:sz w:val="22"/>
                <w:szCs w:val="22"/>
              </w:rPr>
              <w:t xml:space="preserve">6, 11, 16, ili 18 </w:t>
            </w:r>
            <w:r w:rsidRPr="00CF4D6C">
              <w:rPr>
                <w:noProof/>
                <w:sz w:val="22"/>
                <w:szCs w:val="22"/>
              </w:rPr>
              <w:t xml:space="preserve">izazvanih spoljašnjih </w:t>
            </w:r>
            <w:r w:rsidRPr="00CF4D6C">
              <w:rPr>
                <w:noProof/>
                <w:color w:val="000000"/>
                <w:sz w:val="22"/>
                <w:szCs w:val="22"/>
              </w:rPr>
              <w:t>genitalnih kondiloma iznosila je 68.1% (95% CI: 48.8, 79.3).</w:t>
            </w:r>
          </w:p>
          <w:p w:rsidR="00CF4D6C" w:rsidRPr="00CF4D6C" w:rsidRDefault="00CF4D6C" w:rsidP="005558C4">
            <w:pPr>
              <w:rPr>
                <w:sz w:val="22"/>
                <w:szCs w:val="22"/>
              </w:rPr>
            </w:pPr>
          </w:p>
          <w:p w:rsidR="00CF4D6C" w:rsidRPr="00CF4D6C" w:rsidRDefault="00CF4D6C" w:rsidP="005558C4">
            <w:pPr>
              <w:rPr>
                <w:sz w:val="22"/>
                <w:szCs w:val="22"/>
              </w:rPr>
            </w:pPr>
            <w:r w:rsidRPr="00CF4D6C">
              <w:rPr>
                <w:noProof/>
                <w:color w:val="000000"/>
                <w:sz w:val="22"/>
                <w:szCs w:val="22"/>
              </w:rPr>
              <w:t xml:space="preserve">Efikasnost vakcine </w:t>
            </w:r>
            <w:r w:rsidRPr="00CF4D6C">
              <w:rPr>
                <w:b/>
                <w:noProof/>
                <w:sz w:val="22"/>
                <w:szCs w:val="22"/>
              </w:rPr>
              <w:t xml:space="preserve">GARDASIL </w:t>
            </w:r>
            <w:r w:rsidRPr="00CF4D6C">
              <w:rPr>
                <w:noProof/>
                <w:color w:val="000000"/>
                <w:sz w:val="22"/>
                <w:szCs w:val="22"/>
              </w:rPr>
              <w:t>protiv</w:t>
            </w:r>
            <w:r w:rsidRPr="00CF4D6C">
              <w:rPr>
                <w:noProof/>
                <w:sz w:val="22"/>
                <w:szCs w:val="22"/>
              </w:rPr>
              <w:t xml:space="preserve"> </w:t>
            </w:r>
            <w:r w:rsidRPr="00CF4D6C">
              <w:rPr>
                <w:noProof/>
                <w:color w:val="000000"/>
                <w:sz w:val="22"/>
                <w:szCs w:val="22"/>
              </w:rPr>
              <w:t xml:space="preserve">HPV tipovima 6, 11, 16, ili 18 </w:t>
            </w:r>
            <w:r w:rsidRPr="00CF4D6C">
              <w:rPr>
                <w:noProof/>
                <w:sz w:val="22"/>
                <w:szCs w:val="22"/>
              </w:rPr>
              <w:t xml:space="preserve">izazvane </w:t>
            </w:r>
            <w:r w:rsidRPr="00CF4D6C">
              <w:rPr>
                <w:iCs/>
                <w:noProof/>
                <w:color w:val="000000"/>
                <w:sz w:val="22"/>
                <w:szCs w:val="22"/>
                <w:shd w:val="clear" w:color="auto" w:fill="FFFFFF"/>
                <w:lang w:eastAsia="sv-SE"/>
              </w:rPr>
              <w:t xml:space="preserve">AIN 2/3 i </w:t>
            </w:r>
            <w:r w:rsidRPr="00CF4D6C">
              <w:rPr>
                <w:noProof/>
                <w:color w:val="000000"/>
                <w:sz w:val="22"/>
                <w:szCs w:val="22"/>
              </w:rPr>
              <w:t xml:space="preserve">HPV tipovima 16 ili 18 </w:t>
            </w:r>
            <w:r w:rsidRPr="00CF4D6C">
              <w:rPr>
                <w:noProof/>
                <w:sz w:val="22"/>
                <w:szCs w:val="22"/>
              </w:rPr>
              <w:t xml:space="preserve">izazvane </w:t>
            </w:r>
            <w:r w:rsidRPr="00CF4D6C">
              <w:rPr>
                <w:iCs/>
                <w:noProof/>
                <w:color w:val="000000"/>
                <w:sz w:val="22"/>
                <w:szCs w:val="22"/>
                <w:shd w:val="clear" w:color="auto" w:fill="FFFFFF"/>
                <w:lang w:eastAsia="sv-SE"/>
              </w:rPr>
              <w:t xml:space="preserve">AIN 2/3, u MSM podgrupi, </w:t>
            </w:r>
            <w:r w:rsidRPr="00CF4D6C">
              <w:rPr>
                <w:noProof/>
                <w:color w:val="000000"/>
                <w:sz w:val="22"/>
                <w:szCs w:val="22"/>
              </w:rPr>
              <w:t>iznosila je 54.2% (95% CI: 18.0, 75.3; 18/275 naspram 39/276), odnosno 57.5% (95% CI: -1.8, 83.9; 8/275 naspram 19/276).</w:t>
            </w:r>
          </w:p>
          <w:p w:rsidR="00CF4D6C" w:rsidRPr="00CF4D6C" w:rsidRDefault="00CF4D6C" w:rsidP="005558C4">
            <w:pPr>
              <w:rPr>
                <w:sz w:val="22"/>
                <w:szCs w:val="22"/>
              </w:rPr>
            </w:pPr>
          </w:p>
          <w:p w:rsidR="00CF4D6C" w:rsidRPr="00CF4D6C" w:rsidRDefault="00CF4D6C" w:rsidP="005558C4">
            <w:pPr>
              <w:widowControl w:val="0"/>
              <w:autoSpaceDE w:val="0"/>
              <w:autoSpaceDN w:val="0"/>
              <w:adjustRightInd w:val="0"/>
              <w:rPr>
                <w:bCs/>
                <w:noProof/>
                <w:sz w:val="22"/>
                <w:szCs w:val="22"/>
                <w:u w:val="single"/>
              </w:rPr>
            </w:pPr>
            <w:r w:rsidRPr="00CF4D6C">
              <w:rPr>
                <w:bCs/>
                <w:noProof/>
                <w:sz w:val="22"/>
                <w:szCs w:val="22"/>
                <w:u w:val="single"/>
              </w:rPr>
              <w:t xml:space="preserve">Uticaj vakcine </w:t>
            </w:r>
            <w:r w:rsidRPr="00CF4D6C">
              <w:rPr>
                <w:b/>
                <w:noProof/>
                <w:sz w:val="22"/>
                <w:szCs w:val="22"/>
                <w:u w:val="single"/>
              </w:rPr>
              <w:t>GARDASIL</w:t>
            </w:r>
            <w:r w:rsidRPr="00CF4D6C">
              <w:rPr>
                <w:bCs/>
                <w:noProof/>
                <w:sz w:val="22"/>
                <w:szCs w:val="22"/>
                <w:u w:val="single"/>
              </w:rPr>
              <w:t xml:space="preserve"> na ukupni rizik pojave oboljenja izazvanog HPV kod muškaraca starosti 16 do 26 godina </w:t>
            </w:r>
          </w:p>
          <w:p w:rsidR="00CF4D6C" w:rsidRPr="00CF4D6C" w:rsidRDefault="00CF4D6C" w:rsidP="005558C4">
            <w:pPr>
              <w:rPr>
                <w:sz w:val="22"/>
                <w:szCs w:val="22"/>
              </w:rPr>
            </w:pPr>
          </w:p>
          <w:p w:rsidR="00CF4D6C" w:rsidRPr="00CF4D6C" w:rsidRDefault="00CF4D6C" w:rsidP="005558C4">
            <w:pPr>
              <w:rPr>
                <w:sz w:val="22"/>
                <w:szCs w:val="22"/>
              </w:rPr>
            </w:pPr>
            <w:r w:rsidRPr="00CF4D6C">
              <w:rPr>
                <w:bCs/>
                <w:noProof/>
                <w:sz w:val="22"/>
                <w:szCs w:val="22"/>
              </w:rPr>
              <w:t xml:space="preserve">Uticaj vakcine </w:t>
            </w:r>
            <w:r w:rsidRPr="00CF4D6C">
              <w:rPr>
                <w:b/>
                <w:noProof/>
                <w:sz w:val="22"/>
                <w:szCs w:val="22"/>
              </w:rPr>
              <w:t>GARDASIL</w:t>
            </w:r>
            <w:r w:rsidRPr="00CF4D6C">
              <w:rPr>
                <w:bCs/>
                <w:noProof/>
                <w:sz w:val="22"/>
                <w:szCs w:val="22"/>
              </w:rPr>
              <w:t xml:space="preserve"> na ukupni rizik pojave spoljašnjih genitalnih lezija izazvanih</w:t>
            </w:r>
            <w:r w:rsidRPr="00CF4D6C" w:rsidDel="00DF10ED">
              <w:rPr>
                <w:bCs/>
                <w:noProof/>
                <w:sz w:val="22"/>
                <w:szCs w:val="22"/>
              </w:rPr>
              <w:t xml:space="preserve"> </w:t>
            </w:r>
            <w:r w:rsidRPr="00CF4D6C">
              <w:rPr>
                <w:bCs/>
                <w:noProof/>
                <w:sz w:val="22"/>
                <w:szCs w:val="22"/>
              </w:rPr>
              <w:t xml:space="preserve">HPV je procjenjivan nakon prve doze kod 2545 pojedinaca uključenih u studiju efikasnosti Faze III (Protokoli 020). Medju muškarcima koji su bilii </w:t>
            </w:r>
            <w:r w:rsidRPr="00CF4D6C">
              <w:rPr>
                <w:noProof/>
                <w:sz w:val="22"/>
                <w:szCs w:val="22"/>
              </w:rPr>
              <w:t xml:space="preserve">osetljivi (naive) </w:t>
            </w:r>
            <w:r w:rsidRPr="00CF4D6C">
              <w:rPr>
                <w:bCs/>
                <w:noProof/>
                <w:sz w:val="22"/>
                <w:szCs w:val="22"/>
              </w:rPr>
              <w:t xml:space="preserve">na 14 zajedničkih HPV tipova, primjena vakcine </w:t>
            </w:r>
            <w:r w:rsidRPr="00CF4D6C">
              <w:rPr>
                <w:b/>
                <w:noProof/>
                <w:sz w:val="22"/>
                <w:szCs w:val="22"/>
              </w:rPr>
              <w:t>GARDASIL</w:t>
            </w:r>
            <w:r w:rsidRPr="00CF4D6C">
              <w:rPr>
                <w:bCs/>
                <w:noProof/>
                <w:sz w:val="22"/>
                <w:szCs w:val="22"/>
              </w:rPr>
              <w:t xml:space="preserve"> je pokazala smanjenje incidence spoljašnjih genitalnih lezija izazvanih HPV tipovima povezanim ili nepovezanim sa vakcinom za 81.5% (95% CI: 58.0, 93.0).</w:t>
            </w:r>
            <w:r w:rsidRPr="00CF4D6C">
              <w:rPr>
                <w:iCs/>
                <w:noProof/>
                <w:color w:val="000000"/>
                <w:sz w:val="22"/>
                <w:szCs w:val="22"/>
                <w:lang w:eastAsia="sv-SE"/>
              </w:rPr>
              <w:t xml:space="preserve"> U "Full Analysis Set" populaciji, korist vakcine u odnosu na ukupnu incidencu spoljašnjih genitalnih kondiloma je bila niža, sa smanjenjem od 59.3% (95%CI: 40.0, 72.9), jer </w:t>
            </w:r>
            <w:r w:rsidRPr="00CF4D6C">
              <w:rPr>
                <w:b/>
                <w:noProof/>
                <w:sz w:val="22"/>
                <w:szCs w:val="22"/>
              </w:rPr>
              <w:t>GARDASIL</w:t>
            </w:r>
            <w:r w:rsidRPr="00CF4D6C">
              <w:rPr>
                <w:b/>
                <w:noProof/>
                <w:sz w:val="22"/>
                <w:szCs w:val="22"/>
                <w:vertAlign w:val="superscript"/>
              </w:rPr>
              <w:t xml:space="preserve"> </w:t>
            </w:r>
            <w:r w:rsidRPr="00CF4D6C">
              <w:rPr>
                <w:noProof/>
                <w:sz w:val="22"/>
                <w:szCs w:val="22"/>
              </w:rPr>
              <w:t>ne utiče na tok infekcije ili oboljenja koji su prisutni na početku vakcinacije.</w:t>
            </w:r>
          </w:p>
          <w:p w:rsidR="00CF4D6C" w:rsidRPr="00CF4D6C" w:rsidRDefault="00CF4D6C" w:rsidP="005558C4">
            <w:pPr>
              <w:rPr>
                <w:sz w:val="22"/>
                <w:szCs w:val="22"/>
              </w:rPr>
            </w:pPr>
          </w:p>
          <w:p w:rsidR="00CF4D6C" w:rsidRPr="00CF4D6C" w:rsidRDefault="00CF4D6C" w:rsidP="005558C4">
            <w:pPr>
              <w:widowControl w:val="0"/>
              <w:rPr>
                <w:noProof/>
                <w:sz w:val="22"/>
                <w:szCs w:val="22"/>
                <w:u w:val="single"/>
              </w:rPr>
            </w:pPr>
            <w:r w:rsidRPr="00CF4D6C">
              <w:rPr>
                <w:noProof/>
                <w:sz w:val="22"/>
                <w:szCs w:val="22"/>
                <w:u w:val="single"/>
              </w:rPr>
              <w:t xml:space="preserve">Uticaj na biopsiju i odlučujuće procedure terapije </w:t>
            </w:r>
          </w:p>
          <w:p w:rsidR="00CF4D6C" w:rsidRPr="00CF4D6C" w:rsidRDefault="00CF4D6C" w:rsidP="005558C4">
            <w:pPr>
              <w:widowControl w:val="0"/>
              <w:rPr>
                <w:noProof/>
                <w:sz w:val="22"/>
                <w:szCs w:val="22"/>
              </w:rPr>
            </w:pPr>
          </w:p>
          <w:p w:rsidR="00CF4D6C" w:rsidRPr="00CF4D6C" w:rsidRDefault="00CF4D6C" w:rsidP="005558C4">
            <w:pPr>
              <w:rPr>
                <w:rStyle w:val="BodyChar"/>
                <w:rFonts w:ascii="Times New Roman" w:hAnsi="Times New Roman"/>
                <w:noProof/>
                <w:sz w:val="22"/>
                <w:szCs w:val="22"/>
                <w:lang w:val="sr-Latn-ME"/>
              </w:rPr>
            </w:pPr>
            <w:r w:rsidRPr="00CF4D6C">
              <w:rPr>
                <w:noProof/>
                <w:sz w:val="22"/>
                <w:szCs w:val="22"/>
              </w:rPr>
              <w:t xml:space="preserve">Uticaj vakcine </w:t>
            </w:r>
            <w:r w:rsidRPr="00CF4D6C">
              <w:rPr>
                <w:b/>
                <w:noProof/>
                <w:sz w:val="22"/>
                <w:szCs w:val="22"/>
              </w:rPr>
              <w:t>GARDASIL</w:t>
            </w:r>
            <w:r w:rsidRPr="00CF4D6C">
              <w:rPr>
                <w:noProof/>
                <w:sz w:val="22"/>
                <w:szCs w:val="22"/>
              </w:rPr>
              <w:t xml:space="preserve"> na nivoe biopsije i odlučujućih procedura terapije spoljašnjih genitalnih kondiloma nezavisno od uzročnih tipova HPV je procenjivan kod 2545 pojedinaca uključenih u Protokol 020. </w:t>
            </w:r>
            <w:r w:rsidRPr="00CF4D6C">
              <w:rPr>
                <w:rStyle w:val="BodyChar"/>
                <w:rFonts w:ascii="Times New Roman" w:hAnsi="Times New Roman"/>
                <w:noProof/>
                <w:sz w:val="22"/>
                <w:szCs w:val="22"/>
                <w:lang w:val="sr-Latn-ME"/>
              </w:rPr>
              <w:t xml:space="preserve">U </w:t>
            </w:r>
            <w:r w:rsidRPr="00CF4D6C">
              <w:rPr>
                <w:noProof/>
                <w:sz w:val="22"/>
                <w:szCs w:val="22"/>
              </w:rPr>
              <w:t xml:space="preserve">HPV naive populaciji (osjetljivi </w:t>
            </w:r>
            <w:r w:rsidRPr="00CF4D6C">
              <w:rPr>
                <w:bCs/>
                <w:noProof/>
                <w:sz w:val="22"/>
                <w:szCs w:val="22"/>
              </w:rPr>
              <w:t>na 14 zajedničkih HPV tipova)</w:t>
            </w:r>
            <w:r w:rsidRPr="00CF4D6C">
              <w:rPr>
                <w:noProof/>
                <w:sz w:val="22"/>
                <w:szCs w:val="22"/>
              </w:rPr>
              <w:t xml:space="preserve">, vakcina </w:t>
            </w:r>
            <w:r w:rsidRPr="00CF4D6C">
              <w:rPr>
                <w:b/>
                <w:noProof/>
                <w:sz w:val="22"/>
                <w:szCs w:val="22"/>
              </w:rPr>
              <w:t>GARDASIL</w:t>
            </w:r>
            <w:r w:rsidRPr="00CF4D6C">
              <w:rPr>
                <w:rStyle w:val="BodyChar"/>
                <w:rFonts w:ascii="Times New Roman" w:hAnsi="Times New Roman"/>
                <w:noProof/>
                <w:sz w:val="22"/>
                <w:szCs w:val="22"/>
                <w:lang w:val="sr-Latn-ME"/>
              </w:rPr>
              <w:t xml:space="preserve"> je smanjila procenat muškaraca koji su imali biopsiju za 54.2% (95%CI: 28.3, 71.4) i koji su primili </w:t>
            </w:r>
            <w:r w:rsidRPr="00CF4D6C">
              <w:rPr>
                <w:noProof/>
                <w:sz w:val="22"/>
                <w:szCs w:val="22"/>
              </w:rPr>
              <w:t>terapiju za 47.7% (95% CI: 18.4, 67.1)</w:t>
            </w:r>
            <w:r w:rsidRPr="00CF4D6C">
              <w:rPr>
                <w:rStyle w:val="BodyChar"/>
                <w:rFonts w:ascii="Times New Roman" w:hAnsi="Times New Roman"/>
                <w:noProof/>
                <w:sz w:val="22"/>
                <w:szCs w:val="22"/>
                <w:lang w:val="sr-Latn-ME"/>
              </w:rPr>
              <w:t xml:space="preserve"> </w:t>
            </w:r>
            <w:r w:rsidRPr="00CF4D6C">
              <w:rPr>
                <w:bCs/>
                <w:noProof/>
                <w:sz w:val="22"/>
                <w:szCs w:val="22"/>
              </w:rPr>
              <w:t>na kraju studije</w:t>
            </w:r>
            <w:r w:rsidRPr="00CF4D6C">
              <w:rPr>
                <w:rStyle w:val="BodyChar"/>
                <w:rFonts w:ascii="Times New Roman" w:hAnsi="Times New Roman"/>
                <w:noProof/>
                <w:sz w:val="22"/>
                <w:szCs w:val="22"/>
                <w:lang w:val="sr-Latn-ME"/>
              </w:rPr>
              <w:t>. U FAS populaciji, odgovarajuće smanjenje iznosilo je 45.7% (</w:t>
            </w:r>
            <w:r w:rsidRPr="00CF4D6C">
              <w:rPr>
                <w:noProof/>
                <w:sz w:val="22"/>
                <w:szCs w:val="22"/>
              </w:rPr>
              <w:t xml:space="preserve">95% CI: </w:t>
            </w:r>
            <w:r w:rsidRPr="00CF4D6C">
              <w:rPr>
                <w:rStyle w:val="BodyChar"/>
                <w:rFonts w:ascii="Times New Roman" w:hAnsi="Times New Roman"/>
                <w:noProof/>
                <w:sz w:val="22"/>
                <w:szCs w:val="22"/>
                <w:lang w:val="sr-Latn-ME"/>
              </w:rPr>
              <w:t>29.0, 58.7) i 38.1% (</w:t>
            </w:r>
            <w:r w:rsidRPr="00CF4D6C">
              <w:rPr>
                <w:noProof/>
                <w:sz w:val="22"/>
                <w:szCs w:val="22"/>
              </w:rPr>
              <w:t xml:space="preserve">95% CI: </w:t>
            </w:r>
            <w:r w:rsidRPr="00CF4D6C">
              <w:rPr>
                <w:rStyle w:val="BodyChar"/>
                <w:rFonts w:ascii="Times New Roman" w:hAnsi="Times New Roman"/>
                <w:noProof/>
                <w:sz w:val="22"/>
                <w:szCs w:val="22"/>
                <w:lang w:val="sr-Latn-ME"/>
              </w:rPr>
              <w:t>19.4, 52.6).</w:t>
            </w:r>
          </w:p>
          <w:p w:rsidR="00CF4D6C" w:rsidRPr="00CF4D6C" w:rsidRDefault="00CF4D6C" w:rsidP="005558C4">
            <w:pPr>
              <w:rPr>
                <w:sz w:val="22"/>
                <w:szCs w:val="22"/>
              </w:rPr>
            </w:pPr>
          </w:p>
          <w:p w:rsidR="00CF4D6C" w:rsidRPr="00CF4D6C" w:rsidRDefault="00CF4D6C" w:rsidP="005558C4">
            <w:pPr>
              <w:rPr>
                <w:sz w:val="22"/>
                <w:szCs w:val="22"/>
              </w:rPr>
            </w:pPr>
            <w:r w:rsidRPr="00CF4D6C">
              <w:rPr>
                <w:i/>
                <w:sz w:val="22"/>
                <w:szCs w:val="22"/>
              </w:rPr>
              <w:t>Imunogenost</w:t>
            </w:r>
          </w:p>
          <w:p w:rsidR="00CF4D6C" w:rsidRPr="00CF4D6C" w:rsidRDefault="00CF4D6C" w:rsidP="005558C4">
            <w:pPr>
              <w:rPr>
                <w:sz w:val="22"/>
                <w:szCs w:val="22"/>
                <w:u w:val="single"/>
              </w:rPr>
            </w:pPr>
          </w:p>
          <w:p w:rsidR="00CF4D6C" w:rsidRPr="00CF4D6C" w:rsidRDefault="00CF4D6C" w:rsidP="005558C4">
            <w:pPr>
              <w:rPr>
                <w:sz w:val="22"/>
                <w:szCs w:val="22"/>
              </w:rPr>
            </w:pPr>
            <w:r w:rsidRPr="00CF4D6C">
              <w:rPr>
                <w:sz w:val="22"/>
                <w:szCs w:val="22"/>
                <w:u w:val="single"/>
              </w:rPr>
              <w:t>Metode za mjerenje imunog odgovora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Nije identifikovan minimalni nivo antitijela koji je povezan sa zaštitom kod HPV vakcina.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Imunogenost vakcine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procijenjena je kod 20132 (</w:t>
            </w:r>
            <w:r w:rsidRPr="00CF4D6C">
              <w:rPr>
                <w:b/>
                <w:sz w:val="22"/>
                <w:szCs w:val="22"/>
              </w:rPr>
              <w:t>GARDASIL</w:t>
            </w:r>
            <w:r w:rsidRPr="00CF4D6C">
              <w:rPr>
                <w:b/>
                <w:sz w:val="22"/>
                <w:szCs w:val="22"/>
                <w:vertAlign w:val="superscript"/>
              </w:rPr>
              <w:t>®</w:t>
            </w:r>
            <w:r w:rsidRPr="00CF4D6C">
              <w:rPr>
                <w:sz w:val="22"/>
                <w:szCs w:val="22"/>
              </w:rPr>
              <w:t xml:space="preserve"> n=10723; placebo n=9409) djevojčica i žena između 9 i 26 godina, 5417 (</w:t>
            </w:r>
            <w:bookmarkStart w:id="8" w:name="OLE_LINK5"/>
            <w:bookmarkStart w:id="9" w:name="OLE_LINK6"/>
            <w:r w:rsidRPr="00CF4D6C">
              <w:rPr>
                <w:b/>
                <w:sz w:val="22"/>
                <w:szCs w:val="22"/>
              </w:rPr>
              <w:t>GARDASIL</w:t>
            </w:r>
            <w:r w:rsidRPr="00CF4D6C">
              <w:rPr>
                <w:b/>
                <w:sz w:val="22"/>
                <w:szCs w:val="22"/>
                <w:vertAlign w:val="superscript"/>
              </w:rPr>
              <w:t>®</w:t>
            </w:r>
            <w:r w:rsidRPr="00CF4D6C">
              <w:rPr>
                <w:sz w:val="22"/>
                <w:szCs w:val="22"/>
              </w:rPr>
              <w:t xml:space="preserve"> n=3109; placebo n=</w:t>
            </w:r>
            <w:bookmarkEnd w:id="8"/>
            <w:bookmarkEnd w:id="9"/>
            <w:r w:rsidRPr="00CF4D6C">
              <w:rPr>
                <w:sz w:val="22"/>
                <w:szCs w:val="22"/>
              </w:rPr>
              <w:t>2308)</w:t>
            </w:r>
            <w:r w:rsidRPr="00CF4D6C" w:rsidDel="00D1324D">
              <w:rPr>
                <w:sz w:val="22"/>
                <w:szCs w:val="22"/>
              </w:rPr>
              <w:t xml:space="preserve"> </w:t>
            </w:r>
            <w:r w:rsidRPr="00CF4D6C">
              <w:rPr>
                <w:sz w:val="22"/>
                <w:szCs w:val="22"/>
              </w:rPr>
              <w:t>dječaka i muškaraca uzrasta od 9 do 26 godina i 3.819 žena starosti od 24 do 45 godina (</w:t>
            </w:r>
            <w:r w:rsidRPr="00CF4D6C">
              <w:rPr>
                <w:b/>
                <w:sz w:val="22"/>
                <w:szCs w:val="22"/>
              </w:rPr>
              <w:t>GARDASIL</w:t>
            </w:r>
            <w:r w:rsidRPr="00CF4D6C">
              <w:rPr>
                <w:b/>
                <w:sz w:val="22"/>
                <w:szCs w:val="22"/>
                <w:vertAlign w:val="superscript"/>
              </w:rPr>
              <w:t>®</w:t>
            </w:r>
            <w:r w:rsidRPr="00CF4D6C">
              <w:rPr>
                <w:sz w:val="22"/>
                <w:szCs w:val="22"/>
              </w:rPr>
              <w:t xml:space="preserve"> n=1.911; placebo n=1.908). </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Tip-specifični imunoeseji, upoređujući Luminex-imunoeseji (cLIA) sa tip-specifičnim standardima korišćeni su za procjenu imunogenosti svakog od tipova vakcine. Ovi eseji mjerili su‚ pojedinačna neutrališuća (funkcionalna) antitijela protiv svakog od tipova HPV pojedinačno.</w:t>
            </w:r>
          </w:p>
          <w:p w:rsidR="00CF4D6C" w:rsidRPr="00CF4D6C" w:rsidRDefault="00CF4D6C" w:rsidP="005558C4">
            <w:pPr>
              <w:rPr>
                <w:sz w:val="22"/>
                <w:szCs w:val="22"/>
              </w:rPr>
            </w:pPr>
          </w:p>
          <w:p w:rsidR="00CF4D6C" w:rsidRPr="00CF4D6C" w:rsidRDefault="00CF4D6C" w:rsidP="005558C4">
            <w:pPr>
              <w:rPr>
                <w:sz w:val="22"/>
                <w:szCs w:val="22"/>
                <w:u w:val="single"/>
              </w:rPr>
            </w:pPr>
            <w:r w:rsidRPr="00CF4D6C">
              <w:rPr>
                <w:sz w:val="22"/>
                <w:szCs w:val="22"/>
                <w:u w:val="single"/>
              </w:rPr>
              <w:t xml:space="preserve">Imuni odgovor na vakcinu </w:t>
            </w:r>
            <w:r w:rsidRPr="00CF4D6C">
              <w:rPr>
                <w:b/>
                <w:sz w:val="22"/>
                <w:szCs w:val="22"/>
                <w:u w:val="single"/>
              </w:rPr>
              <w:t>GARDASIL</w:t>
            </w:r>
            <w:r w:rsidRPr="00CF4D6C">
              <w:rPr>
                <w:b/>
                <w:sz w:val="22"/>
                <w:szCs w:val="22"/>
                <w:u w:val="single"/>
                <w:vertAlign w:val="superscript"/>
              </w:rPr>
              <w:t xml:space="preserve">® </w:t>
            </w:r>
            <w:r w:rsidRPr="00CF4D6C">
              <w:rPr>
                <w:sz w:val="22"/>
                <w:szCs w:val="22"/>
                <w:u w:val="single"/>
              </w:rPr>
              <w:t>u prvom mjesecu poslije treće doze</w:t>
            </w:r>
          </w:p>
          <w:p w:rsidR="00CF4D6C" w:rsidRPr="00CF4D6C" w:rsidRDefault="00CF4D6C" w:rsidP="005558C4">
            <w:pPr>
              <w:rPr>
                <w:sz w:val="22"/>
                <w:szCs w:val="22"/>
              </w:rPr>
            </w:pPr>
            <w:r w:rsidRPr="00CF4D6C">
              <w:rPr>
                <w:noProof/>
                <w:sz w:val="22"/>
                <w:szCs w:val="22"/>
              </w:rPr>
              <w:t>U kliničkoj studiji na ženama od 16</w:t>
            </w:r>
            <w:r w:rsidRPr="00CF4D6C">
              <w:rPr>
                <w:noProof/>
                <w:color w:val="000000"/>
                <w:sz w:val="22"/>
                <w:szCs w:val="22"/>
              </w:rPr>
              <w:t xml:space="preserve"> do 26 godina starosti</w:t>
            </w:r>
            <w:r w:rsidRPr="00CF4D6C">
              <w:rPr>
                <w:noProof/>
                <w:sz w:val="22"/>
                <w:szCs w:val="22"/>
              </w:rPr>
              <w:t xml:space="preserve"> 99.8%, 99.8% i 99.8% i 99.5% osoba koje su dobile vakcinu </w:t>
            </w:r>
            <w:r w:rsidRPr="00CF4D6C">
              <w:rPr>
                <w:b/>
                <w:noProof/>
                <w:sz w:val="22"/>
                <w:szCs w:val="22"/>
              </w:rPr>
              <w:t>GARDASIL</w:t>
            </w:r>
            <w:r w:rsidRPr="00CF4D6C">
              <w:rPr>
                <w:noProof/>
                <w:sz w:val="22"/>
                <w:szCs w:val="22"/>
              </w:rPr>
              <w:t xml:space="preserve"> postale su seropozitivne na HPV 6, HPV 11, HPV 16 i HPV 18, u roku od mjesec dana poslije 3. doze. U kliničkoj studiji na ženama od 24</w:t>
            </w:r>
            <w:r w:rsidRPr="00CF4D6C">
              <w:rPr>
                <w:noProof/>
                <w:color w:val="000000"/>
                <w:sz w:val="22"/>
                <w:szCs w:val="22"/>
              </w:rPr>
              <w:t xml:space="preserve"> do 45 godina starosti, 98.4%, 98.1%, 98.8%, i 97.4% žena koje su primile vakcinu </w:t>
            </w:r>
            <w:r w:rsidRPr="00CF4D6C">
              <w:rPr>
                <w:b/>
                <w:noProof/>
                <w:sz w:val="22"/>
                <w:szCs w:val="22"/>
              </w:rPr>
              <w:t>GARDASIL</w:t>
            </w:r>
            <w:r w:rsidRPr="00CF4D6C">
              <w:rPr>
                <w:noProof/>
                <w:sz w:val="22"/>
                <w:szCs w:val="22"/>
                <w:vertAlign w:val="superscript"/>
              </w:rPr>
              <w:t xml:space="preserve"> </w:t>
            </w:r>
            <w:r w:rsidRPr="00CF4D6C">
              <w:rPr>
                <w:noProof/>
                <w:color w:val="000000"/>
                <w:sz w:val="22"/>
                <w:szCs w:val="22"/>
              </w:rPr>
              <w:t>su postale anti-HPV 6, anti-HPV 11, anti-HPV 16, i anti-HPV 18 pozitivne, istim redosledom, u toku 1 mjeseca Postdose 3.</w:t>
            </w:r>
            <w:r w:rsidRPr="00CF4D6C">
              <w:rPr>
                <w:noProof/>
                <w:sz w:val="22"/>
                <w:szCs w:val="22"/>
              </w:rPr>
              <w:t xml:space="preserve"> U kliničkoj studiji na muškarcima od 16</w:t>
            </w:r>
            <w:r w:rsidRPr="00CF4D6C">
              <w:rPr>
                <w:noProof/>
                <w:color w:val="000000"/>
                <w:sz w:val="22"/>
                <w:szCs w:val="22"/>
              </w:rPr>
              <w:t xml:space="preserve"> do 26 godina starosti</w:t>
            </w:r>
            <w:r w:rsidRPr="00CF4D6C">
              <w:rPr>
                <w:noProof/>
                <w:sz w:val="22"/>
                <w:szCs w:val="22"/>
              </w:rPr>
              <w:t xml:space="preserve"> 98.9%, 99.2% i 98.8% i 97.4% osoba koje su dobile vakcinu </w:t>
            </w:r>
            <w:r w:rsidRPr="00CF4D6C">
              <w:rPr>
                <w:b/>
                <w:noProof/>
                <w:sz w:val="22"/>
                <w:szCs w:val="22"/>
              </w:rPr>
              <w:t>GARDASIL</w:t>
            </w:r>
            <w:r w:rsidRPr="00CF4D6C">
              <w:rPr>
                <w:noProof/>
                <w:sz w:val="22"/>
                <w:szCs w:val="22"/>
              </w:rPr>
              <w:t xml:space="preserve"> postale su seropozitivne na HPV 6, HPV 11, HPV 16 i HPV 18, u roku od mjesec dana poslije 3. doze.</w:t>
            </w:r>
            <w:r w:rsidRPr="00CF4D6C">
              <w:rPr>
                <w:noProof/>
                <w:color w:val="000000"/>
                <w:sz w:val="22"/>
                <w:szCs w:val="22"/>
              </w:rPr>
              <w:t xml:space="preserve"> </w:t>
            </w:r>
            <w:r w:rsidRPr="00CF4D6C">
              <w:rPr>
                <w:noProof/>
                <w:sz w:val="22"/>
                <w:szCs w:val="22"/>
              </w:rPr>
              <w:t xml:space="preserve">Vakcina </w:t>
            </w:r>
            <w:r w:rsidRPr="00CF4D6C">
              <w:rPr>
                <w:b/>
                <w:noProof/>
                <w:sz w:val="22"/>
                <w:szCs w:val="22"/>
              </w:rPr>
              <w:t>GARDASIL</w:t>
            </w:r>
            <w:r w:rsidRPr="00CF4D6C">
              <w:rPr>
                <w:noProof/>
                <w:sz w:val="22"/>
                <w:szCs w:val="22"/>
              </w:rPr>
              <w:t xml:space="preserve"> je indukovala visok titar anti-HPV antitijela (GMTs) jedan mjesec poslije 3. doze u svim ispitivanim dobnim grupama. </w:t>
            </w:r>
            <w:r w:rsidRPr="00CF4D6C">
              <w:rPr>
                <w:sz w:val="22"/>
                <w:szCs w:val="22"/>
              </w:rPr>
              <w:t xml:space="preserve"> </w:t>
            </w:r>
          </w:p>
          <w:p w:rsidR="00CF4D6C" w:rsidRPr="00CF4D6C" w:rsidRDefault="00CF4D6C" w:rsidP="005558C4">
            <w:pPr>
              <w:rPr>
                <w:sz w:val="22"/>
                <w:szCs w:val="22"/>
              </w:rPr>
            </w:pPr>
          </w:p>
          <w:p w:rsidR="00CF4D6C" w:rsidRPr="00CF4D6C" w:rsidRDefault="00CF4D6C" w:rsidP="005558C4">
            <w:pPr>
              <w:widowControl w:val="0"/>
              <w:rPr>
                <w:sz w:val="22"/>
                <w:szCs w:val="22"/>
              </w:rPr>
            </w:pPr>
            <w:r w:rsidRPr="00CF4D6C">
              <w:rPr>
                <w:sz w:val="22"/>
                <w:szCs w:val="22"/>
              </w:rPr>
              <w:t>Kao što se očekivalo kod žena starosti od 24 do 45 godina (Protokol 019), praćeni titri antitijela su bili niži nego oni detektovani kod žena starosti od 16 do 26 godina.</w:t>
            </w:r>
          </w:p>
          <w:p w:rsidR="00CF4D6C" w:rsidRPr="00CF4D6C" w:rsidRDefault="00CF4D6C" w:rsidP="005558C4">
            <w:pPr>
              <w:widowControl w:val="0"/>
              <w:rPr>
                <w:sz w:val="22"/>
                <w:szCs w:val="22"/>
              </w:rPr>
            </w:pPr>
          </w:p>
          <w:p w:rsidR="00CF4D6C" w:rsidRPr="00CF4D6C" w:rsidRDefault="00CF4D6C" w:rsidP="005558C4">
            <w:pPr>
              <w:rPr>
                <w:sz w:val="22"/>
                <w:szCs w:val="22"/>
              </w:rPr>
            </w:pPr>
            <w:r w:rsidRPr="00CF4D6C">
              <w:rPr>
                <w:sz w:val="22"/>
                <w:szCs w:val="22"/>
              </w:rPr>
              <w:t xml:space="preserve">Nivoi Anti-HPV kod osoba u placebo grupi koji su imali jasnu HPV infekciju (seropozitivni i PCR negativni) bili su značajno niži nego oni indukovani vakcinom. Anti-HPV nivoi (GMTs) su, čak, ostali dosta iznad serostatusnog cutoff nivoa kod vakcinisanih osoba tokom dugotrajnog praćenja u studijama faze III </w:t>
            </w:r>
            <w:r w:rsidRPr="00CF4D6C">
              <w:rPr>
                <w:noProof/>
                <w:sz w:val="22"/>
                <w:szCs w:val="22"/>
              </w:rPr>
              <w:t xml:space="preserve">(vidjeti podnaslov </w:t>
            </w:r>
            <w:r w:rsidRPr="00CF4D6C">
              <w:rPr>
                <w:i/>
                <w:noProof/>
                <w:sz w:val="22"/>
                <w:szCs w:val="22"/>
              </w:rPr>
              <w:t xml:space="preserve">Dužina trajanja imunog odgovora kod primjene lijeka </w:t>
            </w:r>
            <w:r w:rsidRPr="00CF4D6C">
              <w:rPr>
                <w:b/>
                <w:i/>
                <w:noProof/>
                <w:sz w:val="22"/>
                <w:szCs w:val="22"/>
              </w:rPr>
              <w:t xml:space="preserve">GARDASIL </w:t>
            </w:r>
            <w:r w:rsidRPr="00CF4D6C">
              <w:rPr>
                <w:i/>
                <w:noProof/>
                <w:sz w:val="22"/>
                <w:szCs w:val="22"/>
              </w:rPr>
              <w:t>u kliničkim studijama</w:t>
            </w:r>
            <w:r w:rsidRPr="00CF4D6C">
              <w:rPr>
                <w:noProof/>
                <w:sz w:val="22"/>
                <w:szCs w:val="22"/>
              </w:rPr>
              <w:t>).</w:t>
            </w:r>
          </w:p>
          <w:p w:rsidR="00CF4D6C" w:rsidRPr="00CF4D6C" w:rsidRDefault="00CF4D6C" w:rsidP="005558C4">
            <w:pPr>
              <w:rPr>
                <w:i/>
                <w:sz w:val="22"/>
                <w:szCs w:val="22"/>
              </w:rPr>
            </w:pPr>
          </w:p>
          <w:p w:rsidR="00CF4D6C" w:rsidRPr="00CF4D6C" w:rsidRDefault="00CF4D6C" w:rsidP="005558C4">
            <w:pPr>
              <w:rPr>
                <w:sz w:val="22"/>
                <w:szCs w:val="22"/>
              </w:rPr>
            </w:pPr>
            <w:r w:rsidRPr="00CF4D6C">
              <w:rPr>
                <w:noProof/>
                <w:sz w:val="22"/>
                <w:szCs w:val="22"/>
                <w:u w:val="single"/>
              </w:rPr>
              <w:t xml:space="preserve">Premošćavanje efikasnosti vakcine </w:t>
            </w:r>
            <w:r w:rsidRPr="00CF4D6C">
              <w:rPr>
                <w:b/>
                <w:noProof/>
                <w:sz w:val="22"/>
                <w:szCs w:val="22"/>
                <w:u w:val="single"/>
              </w:rPr>
              <w:t>GARDASIL</w:t>
            </w:r>
            <w:r w:rsidRPr="00CF4D6C">
              <w:rPr>
                <w:noProof/>
                <w:sz w:val="22"/>
                <w:szCs w:val="22"/>
                <w:u w:val="single"/>
              </w:rPr>
              <w:t xml:space="preserve"> od žena do djevojčica</w:t>
            </w:r>
            <w:r w:rsidRPr="00CF4D6C" w:rsidDel="000033C4">
              <w:rPr>
                <w:i/>
                <w:sz w:val="22"/>
                <w:szCs w:val="22"/>
              </w:rPr>
              <w:t xml:space="preserve"> </w:t>
            </w:r>
          </w:p>
          <w:p w:rsidR="00CF4D6C" w:rsidRPr="00CF4D6C" w:rsidRDefault="00CF4D6C" w:rsidP="005558C4">
            <w:pPr>
              <w:rPr>
                <w:sz w:val="22"/>
                <w:szCs w:val="22"/>
              </w:rPr>
            </w:pPr>
            <w:r w:rsidRPr="00CF4D6C">
              <w:rPr>
                <w:sz w:val="22"/>
                <w:szCs w:val="22"/>
              </w:rPr>
              <w:t xml:space="preserve">Kliničko ispitivanje (protokol 016) je poredilo imunogenost vakcine </w:t>
            </w:r>
            <w:r w:rsidRPr="00CF4D6C">
              <w:rPr>
                <w:b/>
                <w:sz w:val="22"/>
                <w:szCs w:val="22"/>
              </w:rPr>
              <w:t>GARDASIL</w:t>
            </w:r>
            <w:r w:rsidRPr="00CF4D6C">
              <w:rPr>
                <w:b/>
                <w:sz w:val="22"/>
                <w:szCs w:val="22"/>
                <w:vertAlign w:val="superscript"/>
              </w:rPr>
              <w:t>®</w:t>
            </w:r>
            <w:r w:rsidRPr="00CF4D6C">
              <w:rPr>
                <w:sz w:val="22"/>
                <w:szCs w:val="22"/>
              </w:rPr>
              <w:t xml:space="preserve"> kod djevojčica uzrasta od 10 do 15 godina i mladih žena uzrasta 16 do 23 godine. Među osobama koje su dobile vakcinu </w:t>
            </w:r>
            <w:r w:rsidRPr="00CF4D6C">
              <w:rPr>
                <w:b/>
                <w:sz w:val="22"/>
                <w:szCs w:val="22"/>
              </w:rPr>
              <w:t>GARDASIL</w:t>
            </w:r>
            <w:r w:rsidRPr="00CF4D6C">
              <w:rPr>
                <w:b/>
                <w:sz w:val="22"/>
                <w:szCs w:val="22"/>
                <w:vertAlign w:val="superscript"/>
              </w:rPr>
              <w:t>®</w:t>
            </w:r>
            <w:r w:rsidRPr="00CF4D6C">
              <w:rPr>
                <w:sz w:val="22"/>
                <w:szCs w:val="22"/>
              </w:rPr>
              <w:t xml:space="preserve">, 99.1 do 100%  postalo je seropozitivno na sve serotipove vakcine u roku od mjesec dana poslije 3. doze. </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Tabela 6 upoređuje anti-HPV 6, 11, 16 i 18 GMT kod djevojčica uzrasta 9 do 15 godina i mladih žena uzrasta 16 do 26 godina, prvi mjesec poslije 3. doze.</w:t>
            </w:r>
          </w:p>
          <w:p w:rsidR="00CF4D6C" w:rsidRPr="00CF4D6C" w:rsidRDefault="00CF4D6C" w:rsidP="005558C4">
            <w:pPr>
              <w:rPr>
                <w:sz w:val="22"/>
                <w:szCs w:val="22"/>
              </w:rPr>
            </w:pPr>
          </w:p>
          <w:p w:rsidR="00CF4D6C" w:rsidRPr="00CF4D6C" w:rsidRDefault="00CF4D6C" w:rsidP="005558C4">
            <w:pPr>
              <w:rPr>
                <w:b/>
                <w:sz w:val="22"/>
                <w:szCs w:val="22"/>
              </w:rPr>
            </w:pPr>
            <w:r w:rsidRPr="00CF4D6C">
              <w:rPr>
                <w:b/>
                <w:sz w:val="22"/>
                <w:szCs w:val="22"/>
              </w:rPr>
              <w:t>Tabela 6: Povezivanje imunogenosti između djevojčica uzrasta 9 do 15 godina i mladih žena uzrasta 16 do 26 godine (populacija u protokolu) zasnovano na mjerenju titra antitijela sa cLIA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949"/>
              <w:gridCol w:w="2586"/>
              <w:gridCol w:w="992"/>
              <w:gridCol w:w="3969"/>
              <w:gridCol w:w="39"/>
            </w:tblGrid>
            <w:tr w:rsidR="00CF4D6C" w:rsidRPr="00CF4D6C" w:rsidTr="005558C4">
              <w:trPr>
                <w:gridAfter w:val="1"/>
                <w:wAfter w:w="39" w:type="dxa"/>
              </w:trPr>
              <w:tc>
                <w:tcPr>
                  <w:tcW w:w="1422" w:type="dxa"/>
                  <w:vMerge w:val="restart"/>
                  <w:shd w:val="clear" w:color="auto" w:fill="auto"/>
                </w:tcPr>
                <w:p w:rsidR="00CF4D6C" w:rsidRPr="00CF4D6C" w:rsidRDefault="00CF4D6C" w:rsidP="005558C4">
                  <w:pPr>
                    <w:rPr>
                      <w:b/>
                      <w:sz w:val="22"/>
                      <w:szCs w:val="22"/>
                    </w:rPr>
                  </w:pPr>
                </w:p>
              </w:tc>
              <w:tc>
                <w:tcPr>
                  <w:tcW w:w="3535" w:type="dxa"/>
                  <w:gridSpan w:val="2"/>
                  <w:shd w:val="clear" w:color="auto" w:fill="auto"/>
                </w:tcPr>
                <w:p w:rsidR="00CF4D6C" w:rsidRPr="00CF4D6C" w:rsidRDefault="00CF4D6C" w:rsidP="005558C4">
                  <w:pPr>
                    <w:jc w:val="center"/>
                    <w:rPr>
                      <w:b/>
                      <w:sz w:val="22"/>
                      <w:szCs w:val="22"/>
                    </w:rPr>
                  </w:pPr>
                  <w:r w:rsidRPr="00CF4D6C">
                    <w:rPr>
                      <w:b/>
                      <w:sz w:val="22"/>
                      <w:szCs w:val="22"/>
                    </w:rPr>
                    <w:t>Osobe ženskog pola uzrasta 9-15 godina</w:t>
                  </w:r>
                </w:p>
                <w:p w:rsidR="00CF4D6C" w:rsidRPr="00CF4D6C" w:rsidRDefault="00CF4D6C" w:rsidP="005558C4">
                  <w:pPr>
                    <w:jc w:val="center"/>
                    <w:rPr>
                      <w:b/>
                      <w:sz w:val="22"/>
                      <w:szCs w:val="22"/>
                    </w:rPr>
                  </w:pPr>
                  <w:r w:rsidRPr="00CF4D6C">
                    <w:rPr>
                      <w:b/>
                      <w:sz w:val="22"/>
                      <w:szCs w:val="22"/>
                    </w:rPr>
                    <w:t>(protokol 016 i 018)</w:t>
                  </w:r>
                </w:p>
              </w:tc>
              <w:tc>
                <w:tcPr>
                  <w:tcW w:w="4961" w:type="dxa"/>
                  <w:gridSpan w:val="2"/>
                  <w:shd w:val="clear" w:color="auto" w:fill="auto"/>
                </w:tcPr>
                <w:p w:rsidR="00CF4D6C" w:rsidRPr="00CF4D6C" w:rsidRDefault="00CF4D6C" w:rsidP="005558C4">
                  <w:pPr>
                    <w:jc w:val="center"/>
                    <w:rPr>
                      <w:b/>
                      <w:sz w:val="22"/>
                      <w:szCs w:val="22"/>
                    </w:rPr>
                  </w:pPr>
                  <w:r w:rsidRPr="00CF4D6C">
                    <w:rPr>
                      <w:b/>
                      <w:sz w:val="22"/>
                      <w:szCs w:val="22"/>
                    </w:rPr>
                    <w:t>Osobe ženskog pola uzrasta 16-26 godina</w:t>
                  </w:r>
                </w:p>
                <w:p w:rsidR="00CF4D6C" w:rsidRPr="00CF4D6C" w:rsidRDefault="00CF4D6C" w:rsidP="005558C4">
                  <w:pPr>
                    <w:jc w:val="center"/>
                    <w:rPr>
                      <w:b/>
                      <w:sz w:val="22"/>
                      <w:szCs w:val="22"/>
                    </w:rPr>
                  </w:pPr>
                  <w:r w:rsidRPr="00CF4D6C">
                    <w:rPr>
                      <w:b/>
                      <w:sz w:val="22"/>
                      <w:szCs w:val="22"/>
                    </w:rPr>
                    <w:t>(protokol 013 i 015)</w:t>
                  </w:r>
                </w:p>
              </w:tc>
            </w:tr>
            <w:tr w:rsidR="00CF4D6C" w:rsidRPr="00CF4D6C" w:rsidTr="005558C4">
              <w:trPr>
                <w:gridAfter w:val="1"/>
                <w:wAfter w:w="39" w:type="dxa"/>
              </w:trPr>
              <w:tc>
                <w:tcPr>
                  <w:tcW w:w="1422" w:type="dxa"/>
                  <w:vMerge/>
                  <w:shd w:val="clear" w:color="auto" w:fill="auto"/>
                </w:tcPr>
                <w:p w:rsidR="00CF4D6C" w:rsidRPr="00CF4D6C" w:rsidRDefault="00CF4D6C" w:rsidP="005558C4">
                  <w:pPr>
                    <w:rPr>
                      <w:b/>
                      <w:sz w:val="22"/>
                      <w:szCs w:val="22"/>
                    </w:rPr>
                  </w:pPr>
                </w:p>
              </w:tc>
              <w:tc>
                <w:tcPr>
                  <w:tcW w:w="949" w:type="dxa"/>
                  <w:shd w:val="clear" w:color="auto" w:fill="auto"/>
                </w:tcPr>
                <w:p w:rsidR="00CF4D6C" w:rsidRPr="00CF4D6C" w:rsidRDefault="00CF4D6C" w:rsidP="005558C4">
                  <w:pPr>
                    <w:jc w:val="center"/>
                    <w:rPr>
                      <w:b/>
                      <w:sz w:val="22"/>
                      <w:szCs w:val="22"/>
                    </w:rPr>
                  </w:pPr>
                  <w:r w:rsidRPr="00CF4D6C">
                    <w:rPr>
                      <w:b/>
                      <w:sz w:val="22"/>
                      <w:szCs w:val="22"/>
                    </w:rPr>
                    <w:t>n</w:t>
                  </w:r>
                </w:p>
              </w:tc>
              <w:tc>
                <w:tcPr>
                  <w:tcW w:w="2586" w:type="dxa"/>
                  <w:shd w:val="clear" w:color="auto" w:fill="auto"/>
                </w:tcPr>
                <w:p w:rsidR="00CF4D6C" w:rsidRPr="00CF4D6C" w:rsidRDefault="00CF4D6C" w:rsidP="005558C4">
                  <w:pPr>
                    <w:jc w:val="center"/>
                    <w:rPr>
                      <w:b/>
                      <w:sz w:val="22"/>
                      <w:szCs w:val="22"/>
                    </w:rPr>
                  </w:pPr>
                  <w:r w:rsidRPr="00CF4D6C">
                    <w:rPr>
                      <w:b/>
                      <w:sz w:val="22"/>
                      <w:szCs w:val="22"/>
                    </w:rPr>
                    <w:t>GMT (95% CI)</w:t>
                  </w:r>
                </w:p>
              </w:tc>
              <w:tc>
                <w:tcPr>
                  <w:tcW w:w="992" w:type="dxa"/>
                  <w:shd w:val="clear" w:color="auto" w:fill="auto"/>
                </w:tcPr>
                <w:p w:rsidR="00CF4D6C" w:rsidRPr="00CF4D6C" w:rsidRDefault="00CF4D6C" w:rsidP="005558C4">
                  <w:pPr>
                    <w:jc w:val="center"/>
                    <w:rPr>
                      <w:b/>
                      <w:sz w:val="22"/>
                      <w:szCs w:val="22"/>
                    </w:rPr>
                  </w:pPr>
                  <w:r w:rsidRPr="00CF4D6C">
                    <w:rPr>
                      <w:b/>
                      <w:sz w:val="22"/>
                      <w:szCs w:val="22"/>
                    </w:rPr>
                    <w:t>n</w:t>
                  </w:r>
                </w:p>
              </w:tc>
              <w:tc>
                <w:tcPr>
                  <w:tcW w:w="3969" w:type="dxa"/>
                  <w:shd w:val="clear" w:color="auto" w:fill="auto"/>
                </w:tcPr>
                <w:p w:rsidR="00CF4D6C" w:rsidRPr="00CF4D6C" w:rsidRDefault="00CF4D6C" w:rsidP="005558C4">
                  <w:pPr>
                    <w:jc w:val="center"/>
                    <w:rPr>
                      <w:b/>
                      <w:sz w:val="22"/>
                      <w:szCs w:val="22"/>
                    </w:rPr>
                  </w:pPr>
                  <w:r w:rsidRPr="00CF4D6C">
                    <w:rPr>
                      <w:b/>
                      <w:sz w:val="22"/>
                      <w:szCs w:val="22"/>
                    </w:rPr>
                    <w:t>GMT (95% CI)</w:t>
                  </w:r>
                </w:p>
              </w:tc>
            </w:tr>
            <w:tr w:rsidR="00CF4D6C" w:rsidRPr="00CF4D6C" w:rsidTr="005558C4">
              <w:trPr>
                <w:gridAfter w:val="1"/>
                <w:wAfter w:w="39" w:type="dxa"/>
              </w:trPr>
              <w:tc>
                <w:tcPr>
                  <w:tcW w:w="1422" w:type="dxa"/>
                  <w:shd w:val="clear" w:color="auto" w:fill="auto"/>
                </w:tcPr>
                <w:p w:rsidR="00CF4D6C" w:rsidRPr="00CF4D6C" w:rsidRDefault="00CF4D6C" w:rsidP="005558C4">
                  <w:pPr>
                    <w:rPr>
                      <w:sz w:val="22"/>
                      <w:szCs w:val="22"/>
                    </w:rPr>
                  </w:pPr>
                  <w:r w:rsidRPr="00CF4D6C">
                    <w:rPr>
                      <w:sz w:val="22"/>
                      <w:szCs w:val="22"/>
                    </w:rPr>
                    <w:t>HPV 6</w:t>
                  </w:r>
                </w:p>
              </w:tc>
              <w:tc>
                <w:tcPr>
                  <w:tcW w:w="949" w:type="dxa"/>
                  <w:shd w:val="clear" w:color="auto" w:fill="auto"/>
                </w:tcPr>
                <w:p w:rsidR="00CF4D6C" w:rsidRPr="00CF4D6C" w:rsidRDefault="00CF4D6C" w:rsidP="005558C4">
                  <w:pPr>
                    <w:jc w:val="center"/>
                    <w:rPr>
                      <w:sz w:val="22"/>
                      <w:szCs w:val="22"/>
                    </w:rPr>
                  </w:pPr>
                  <w:r w:rsidRPr="00CF4D6C">
                    <w:rPr>
                      <w:sz w:val="22"/>
                      <w:szCs w:val="22"/>
                    </w:rPr>
                    <w:t>915</w:t>
                  </w:r>
                </w:p>
              </w:tc>
              <w:tc>
                <w:tcPr>
                  <w:tcW w:w="2586" w:type="dxa"/>
                  <w:shd w:val="clear" w:color="auto" w:fill="auto"/>
                </w:tcPr>
                <w:p w:rsidR="00CF4D6C" w:rsidRPr="00CF4D6C" w:rsidRDefault="00CF4D6C" w:rsidP="005558C4">
                  <w:pPr>
                    <w:jc w:val="center"/>
                    <w:rPr>
                      <w:sz w:val="22"/>
                      <w:szCs w:val="22"/>
                    </w:rPr>
                  </w:pPr>
                  <w:r w:rsidRPr="00CF4D6C">
                    <w:rPr>
                      <w:sz w:val="22"/>
                      <w:szCs w:val="22"/>
                    </w:rPr>
                    <w:t>929 (874, 987)</w:t>
                  </w:r>
                </w:p>
              </w:tc>
              <w:tc>
                <w:tcPr>
                  <w:tcW w:w="992" w:type="dxa"/>
                  <w:shd w:val="clear" w:color="auto" w:fill="auto"/>
                </w:tcPr>
                <w:p w:rsidR="00CF4D6C" w:rsidRPr="00CF4D6C" w:rsidRDefault="00CF4D6C" w:rsidP="005558C4">
                  <w:pPr>
                    <w:jc w:val="center"/>
                    <w:rPr>
                      <w:sz w:val="22"/>
                      <w:szCs w:val="22"/>
                    </w:rPr>
                  </w:pPr>
                  <w:r w:rsidRPr="00CF4D6C">
                    <w:rPr>
                      <w:sz w:val="22"/>
                      <w:szCs w:val="22"/>
                    </w:rPr>
                    <w:t>2631</w:t>
                  </w:r>
                </w:p>
              </w:tc>
              <w:tc>
                <w:tcPr>
                  <w:tcW w:w="3969" w:type="dxa"/>
                  <w:shd w:val="clear" w:color="auto" w:fill="auto"/>
                </w:tcPr>
                <w:p w:rsidR="00CF4D6C" w:rsidRPr="00CF4D6C" w:rsidRDefault="00CF4D6C" w:rsidP="005558C4">
                  <w:pPr>
                    <w:jc w:val="center"/>
                    <w:rPr>
                      <w:sz w:val="22"/>
                      <w:szCs w:val="22"/>
                    </w:rPr>
                  </w:pPr>
                  <w:r w:rsidRPr="00CF4D6C">
                    <w:rPr>
                      <w:sz w:val="22"/>
                      <w:szCs w:val="22"/>
                    </w:rPr>
                    <w:t>543 (526, 560)</w:t>
                  </w:r>
                </w:p>
              </w:tc>
            </w:tr>
            <w:tr w:rsidR="00CF4D6C" w:rsidRPr="00CF4D6C" w:rsidTr="005558C4">
              <w:trPr>
                <w:gridAfter w:val="1"/>
                <w:wAfter w:w="39" w:type="dxa"/>
              </w:trPr>
              <w:tc>
                <w:tcPr>
                  <w:tcW w:w="1422" w:type="dxa"/>
                  <w:shd w:val="clear" w:color="auto" w:fill="auto"/>
                </w:tcPr>
                <w:p w:rsidR="00CF4D6C" w:rsidRPr="00CF4D6C" w:rsidRDefault="00CF4D6C" w:rsidP="005558C4">
                  <w:pPr>
                    <w:rPr>
                      <w:sz w:val="22"/>
                      <w:szCs w:val="22"/>
                    </w:rPr>
                  </w:pPr>
                  <w:r w:rsidRPr="00CF4D6C">
                    <w:rPr>
                      <w:sz w:val="22"/>
                      <w:szCs w:val="22"/>
                    </w:rPr>
                    <w:t>HPV 11</w:t>
                  </w:r>
                </w:p>
              </w:tc>
              <w:tc>
                <w:tcPr>
                  <w:tcW w:w="949" w:type="dxa"/>
                  <w:shd w:val="clear" w:color="auto" w:fill="auto"/>
                </w:tcPr>
                <w:p w:rsidR="00CF4D6C" w:rsidRPr="00CF4D6C" w:rsidRDefault="00CF4D6C" w:rsidP="005558C4">
                  <w:pPr>
                    <w:jc w:val="center"/>
                    <w:rPr>
                      <w:sz w:val="22"/>
                      <w:szCs w:val="22"/>
                    </w:rPr>
                  </w:pPr>
                  <w:r w:rsidRPr="00CF4D6C">
                    <w:rPr>
                      <w:sz w:val="22"/>
                      <w:szCs w:val="22"/>
                    </w:rPr>
                    <w:t>915</w:t>
                  </w:r>
                </w:p>
              </w:tc>
              <w:tc>
                <w:tcPr>
                  <w:tcW w:w="2586" w:type="dxa"/>
                  <w:shd w:val="clear" w:color="auto" w:fill="auto"/>
                </w:tcPr>
                <w:p w:rsidR="00CF4D6C" w:rsidRPr="00CF4D6C" w:rsidRDefault="00CF4D6C" w:rsidP="005558C4">
                  <w:pPr>
                    <w:jc w:val="center"/>
                    <w:rPr>
                      <w:sz w:val="22"/>
                      <w:szCs w:val="22"/>
                    </w:rPr>
                  </w:pPr>
                  <w:r w:rsidRPr="00CF4D6C">
                    <w:rPr>
                      <w:sz w:val="22"/>
                      <w:szCs w:val="22"/>
                    </w:rPr>
                    <w:t>1303 (1223, 1388)</w:t>
                  </w:r>
                </w:p>
              </w:tc>
              <w:tc>
                <w:tcPr>
                  <w:tcW w:w="992" w:type="dxa"/>
                  <w:shd w:val="clear" w:color="auto" w:fill="auto"/>
                </w:tcPr>
                <w:p w:rsidR="00CF4D6C" w:rsidRPr="00CF4D6C" w:rsidRDefault="00CF4D6C" w:rsidP="005558C4">
                  <w:pPr>
                    <w:jc w:val="center"/>
                    <w:rPr>
                      <w:sz w:val="22"/>
                      <w:szCs w:val="22"/>
                    </w:rPr>
                  </w:pPr>
                  <w:r w:rsidRPr="00CF4D6C">
                    <w:rPr>
                      <w:sz w:val="22"/>
                      <w:szCs w:val="22"/>
                    </w:rPr>
                    <w:t>2655</w:t>
                  </w:r>
                </w:p>
              </w:tc>
              <w:tc>
                <w:tcPr>
                  <w:tcW w:w="3969" w:type="dxa"/>
                  <w:shd w:val="clear" w:color="auto" w:fill="auto"/>
                </w:tcPr>
                <w:p w:rsidR="00CF4D6C" w:rsidRPr="00CF4D6C" w:rsidRDefault="00CF4D6C" w:rsidP="005558C4">
                  <w:pPr>
                    <w:jc w:val="center"/>
                    <w:rPr>
                      <w:sz w:val="22"/>
                      <w:szCs w:val="22"/>
                    </w:rPr>
                  </w:pPr>
                  <w:r w:rsidRPr="00CF4D6C">
                    <w:rPr>
                      <w:sz w:val="22"/>
                      <w:szCs w:val="22"/>
                    </w:rPr>
                    <w:t>762 (735, 789)</w:t>
                  </w:r>
                </w:p>
              </w:tc>
            </w:tr>
            <w:tr w:rsidR="00CF4D6C" w:rsidRPr="00CF4D6C" w:rsidTr="005558C4">
              <w:trPr>
                <w:gridAfter w:val="1"/>
                <w:wAfter w:w="39" w:type="dxa"/>
              </w:trPr>
              <w:tc>
                <w:tcPr>
                  <w:tcW w:w="1422" w:type="dxa"/>
                  <w:shd w:val="clear" w:color="auto" w:fill="auto"/>
                </w:tcPr>
                <w:p w:rsidR="00CF4D6C" w:rsidRPr="00CF4D6C" w:rsidRDefault="00CF4D6C" w:rsidP="005558C4">
                  <w:pPr>
                    <w:rPr>
                      <w:sz w:val="22"/>
                      <w:szCs w:val="22"/>
                    </w:rPr>
                  </w:pPr>
                  <w:r w:rsidRPr="00CF4D6C">
                    <w:rPr>
                      <w:sz w:val="22"/>
                      <w:szCs w:val="22"/>
                    </w:rPr>
                    <w:t>HPV 16</w:t>
                  </w:r>
                </w:p>
              </w:tc>
              <w:tc>
                <w:tcPr>
                  <w:tcW w:w="949" w:type="dxa"/>
                  <w:shd w:val="clear" w:color="auto" w:fill="auto"/>
                </w:tcPr>
                <w:p w:rsidR="00CF4D6C" w:rsidRPr="00CF4D6C" w:rsidRDefault="00CF4D6C" w:rsidP="005558C4">
                  <w:pPr>
                    <w:jc w:val="center"/>
                    <w:rPr>
                      <w:sz w:val="22"/>
                      <w:szCs w:val="22"/>
                    </w:rPr>
                  </w:pPr>
                  <w:r w:rsidRPr="00CF4D6C">
                    <w:rPr>
                      <w:sz w:val="22"/>
                      <w:szCs w:val="22"/>
                    </w:rPr>
                    <w:t>913</w:t>
                  </w:r>
                </w:p>
              </w:tc>
              <w:tc>
                <w:tcPr>
                  <w:tcW w:w="2586" w:type="dxa"/>
                  <w:shd w:val="clear" w:color="auto" w:fill="auto"/>
                </w:tcPr>
                <w:p w:rsidR="00CF4D6C" w:rsidRPr="00CF4D6C" w:rsidRDefault="00CF4D6C" w:rsidP="005558C4">
                  <w:pPr>
                    <w:jc w:val="center"/>
                    <w:rPr>
                      <w:sz w:val="22"/>
                      <w:szCs w:val="22"/>
                    </w:rPr>
                  </w:pPr>
                  <w:r w:rsidRPr="00CF4D6C">
                    <w:rPr>
                      <w:sz w:val="22"/>
                      <w:szCs w:val="22"/>
                    </w:rPr>
                    <w:t>4909 (4548, 5300)</w:t>
                  </w:r>
                </w:p>
              </w:tc>
              <w:tc>
                <w:tcPr>
                  <w:tcW w:w="992" w:type="dxa"/>
                  <w:shd w:val="clear" w:color="auto" w:fill="auto"/>
                </w:tcPr>
                <w:p w:rsidR="00CF4D6C" w:rsidRPr="00CF4D6C" w:rsidRDefault="00CF4D6C" w:rsidP="005558C4">
                  <w:pPr>
                    <w:jc w:val="center"/>
                    <w:rPr>
                      <w:sz w:val="22"/>
                      <w:szCs w:val="22"/>
                    </w:rPr>
                  </w:pPr>
                  <w:r w:rsidRPr="00CF4D6C">
                    <w:rPr>
                      <w:sz w:val="22"/>
                      <w:szCs w:val="22"/>
                    </w:rPr>
                    <w:t>2570</w:t>
                  </w:r>
                </w:p>
              </w:tc>
              <w:tc>
                <w:tcPr>
                  <w:tcW w:w="3969" w:type="dxa"/>
                  <w:shd w:val="clear" w:color="auto" w:fill="auto"/>
                </w:tcPr>
                <w:p w:rsidR="00CF4D6C" w:rsidRPr="00CF4D6C" w:rsidRDefault="00CF4D6C" w:rsidP="005558C4">
                  <w:pPr>
                    <w:jc w:val="center"/>
                    <w:rPr>
                      <w:sz w:val="22"/>
                      <w:szCs w:val="22"/>
                    </w:rPr>
                  </w:pPr>
                  <w:r w:rsidRPr="00CF4D6C">
                    <w:rPr>
                      <w:sz w:val="22"/>
                      <w:szCs w:val="22"/>
                    </w:rPr>
                    <w:t>2294 (2185, 2408)</w:t>
                  </w:r>
                </w:p>
              </w:tc>
            </w:tr>
            <w:tr w:rsidR="00CF4D6C" w:rsidRPr="00CF4D6C" w:rsidTr="005558C4">
              <w:trPr>
                <w:gridAfter w:val="1"/>
                <w:wAfter w:w="39" w:type="dxa"/>
              </w:trPr>
              <w:tc>
                <w:tcPr>
                  <w:tcW w:w="1422" w:type="dxa"/>
                  <w:shd w:val="clear" w:color="auto" w:fill="auto"/>
                </w:tcPr>
                <w:p w:rsidR="00CF4D6C" w:rsidRPr="00CF4D6C" w:rsidRDefault="00CF4D6C" w:rsidP="005558C4">
                  <w:pPr>
                    <w:rPr>
                      <w:sz w:val="22"/>
                      <w:szCs w:val="22"/>
                    </w:rPr>
                  </w:pPr>
                  <w:r w:rsidRPr="00CF4D6C">
                    <w:rPr>
                      <w:sz w:val="22"/>
                      <w:szCs w:val="22"/>
                    </w:rPr>
                    <w:t>HPV 18</w:t>
                  </w:r>
                </w:p>
              </w:tc>
              <w:tc>
                <w:tcPr>
                  <w:tcW w:w="949" w:type="dxa"/>
                  <w:shd w:val="clear" w:color="auto" w:fill="auto"/>
                </w:tcPr>
                <w:p w:rsidR="00CF4D6C" w:rsidRPr="00CF4D6C" w:rsidRDefault="00CF4D6C" w:rsidP="005558C4">
                  <w:pPr>
                    <w:jc w:val="center"/>
                    <w:rPr>
                      <w:sz w:val="22"/>
                      <w:szCs w:val="22"/>
                    </w:rPr>
                  </w:pPr>
                  <w:r w:rsidRPr="00CF4D6C">
                    <w:rPr>
                      <w:sz w:val="22"/>
                      <w:szCs w:val="22"/>
                    </w:rPr>
                    <w:t>920</w:t>
                  </w:r>
                </w:p>
              </w:tc>
              <w:tc>
                <w:tcPr>
                  <w:tcW w:w="2586" w:type="dxa"/>
                  <w:shd w:val="clear" w:color="auto" w:fill="auto"/>
                </w:tcPr>
                <w:p w:rsidR="00CF4D6C" w:rsidRPr="00CF4D6C" w:rsidRDefault="00CF4D6C" w:rsidP="005558C4">
                  <w:pPr>
                    <w:jc w:val="center"/>
                    <w:rPr>
                      <w:sz w:val="22"/>
                      <w:szCs w:val="22"/>
                    </w:rPr>
                  </w:pPr>
                  <w:r w:rsidRPr="00CF4D6C">
                    <w:rPr>
                      <w:sz w:val="22"/>
                      <w:szCs w:val="22"/>
                    </w:rPr>
                    <w:t>1040 (965, 1120)</w:t>
                  </w:r>
                </w:p>
              </w:tc>
              <w:tc>
                <w:tcPr>
                  <w:tcW w:w="992" w:type="dxa"/>
                  <w:shd w:val="clear" w:color="auto" w:fill="auto"/>
                </w:tcPr>
                <w:p w:rsidR="00CF4D6C" w:rsidRPr="00CF4D6C" w:rsidRDefault="00CF4D6C" w:rsidP="005558C4">
                  <w:pPr>
                    <w:jc w:val="center"/>
                    <w:rPr>
                      <w:sz w:val="22"/>
                      <w:szCs w:val="22"/>
                    </w:rPr>
                  </w:pPr>
                  <w:r w:rsidRPr="00CF4D6C">
                    <w:rPr>
                      <w:sz w:val="22"/>
                      <w:szCs w:val="22"/>
                    </w:rPr>
                    <w:t>2796</w:t>
                  </w:r>
                </w:p>
              </w:tc>
              <w:tc>
                <w:tcPr>
                  <w:tcW w:w="3969" w:type="dxa"/>
                  <w:shd w:val="clear" w:color="auto" w:fill="auto"/>
                </w:tcPr>
                <w:p w:rsidR="00CF4D6C" w:rsidRPr="00CF4D6C" w:rsidRDefault="00CF4D6C" w:rsidP="005558C4">
                  <w:pPr>
                    <w:jc w:val="center"/>
                    <w:rPr>
                      <w:sz w:val="22"/>
                      <w:szCs w:val="22"/>
                    </w:rPr>
                  </w:pPr>
                  <w:r w:rsidRPr="00CF4D6C">
                    <w:rPr>
                      <w:sz w:val="22"/>
                      <w:szCs w:val="22"/>
                    </w:rPr>
                    <w:t>462 (444, 480)</w:t>
                  </w:r>
                </w:p>
              </w:tc>
            </w:tr>
            <w:tr w:rsidR="00CF4D6C" w:rsidRPr="00CF4D6C" w:rsidTr="005558C4">
              <w:tc>
                <w:tcPr>
                  <w:tcW w:w="9957" w:type="dxa"/>
                  <w:gridSpan w:val="6"/>
                  <w:tcBorders>
                    <w:left w:val="nil"/>
                    <w:bottom w:val="nil"/>
                    <w:right w:val="nil"/>
                  </w:tcBorders>
                  <w:shd w:val="clear" w:color="auto" w:fill="auto"/>
                </w:tcPr>
                <w:p w:rsidR="00CF4D6C" w:rsidRPr="00CF4D6C" w:rsidRDefault="00CF4D6C" w:rsidP="005558C4">
                  <w:pPr>
                    <w:rPr>
                      <w:sz w:val="22"/>
                      <w:szCs w:val="22"/>
                    </w:rPr>
                  </w:pPr>
                  <w:r w:rsidRPr="00CF4D6C">
                    <w:rPr>
                      <w:sz w:val="22"/>
                      <w:szCs w:val="22"/>
                    </w:rPr>
                    <w:t>GMT- Geometrijska sredina titra u mMU/ml (mMU=mili-Merck jedinica)</w:t>
                  </w:r>
                </w:p>
              </w:tc>
            </w:tr>
          </w:tbl>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lastRenderedPageBreak/>
              <w:t>Anti-HPV odgovori u 7. mjesecu kod djevojčicauzrasta 9 do15 godina su bili slični anti-HPV odgovoru kod mladih žena uzrasta 16 do 26 godina, kod kojih je efikasnost potvrđena u kliničkim studijama faze III. Imunogenost je bila povezana sa uzrastom i anti-HPV nivoi u 7. mjesecu su bili značajno viši kod osoba mlađih od 12 godina u odnosu na one uzrasta preko 12 godina.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Na osnovu ovog povezivanja imunogenosti, izvedena je efikasnost vekcine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kod djevojčica uzrasta 9 do 15 godina.</w:t>
            </w:r>
          </w:p>
          <w:p w:rsidR="00CF4D6C" w:rsidRPr="00CF4D6C" w:rsidRDefault="00CF4D6C" w:rsidP="005558C4">
            <w:pPr>
              <w:rPr>
                <w:sz w:val="22"/>
                <w:szCs w:val="22"/>
              </w:rPr>
            </w:pPr>
          </w:p>
          <w:p w:rsidR="00CF4D6C" w:rsidRPr="00CF4D6C" w:rsidRDefault="00CF4D6C" w:rsidP="005558C4">
            <w:pPr>
              <w:rPr>
                <w:noProof/>
                <w:sz w:val="22"/>
                <w:szCs w:val="22"/>
                <w:u w:val="single"/>
              </w:rPr>
            </w:pPr>
            <w:r w:rsidRPr="00CF4D6C">
              <w:rPr>
                <w:noProof/>
                <w:sz w:val="22"/>
                <w:szCs w:val="22"/>
                <w:u w:val="single"/>
              </w:rPr>
              <w:t xml:space="preserve">Premošćavanje efikasnosti vakcine </w:t>
            </w:r>
            <w:r w:rsidRPr="00CF4D6C">
              <w:rPr>
                <w:b/>
                <w:noProof/>
                <w:sz w:val="22"/>
                <w:szCs w:val="22"/>
                <w:u w:val="single"/>
              </w:rPr>
              <w:t>GARDASIL</w:t>
            </w:r>
            <w:r w:rsidRPr="00CF4D6C">
              <w:rPr>
                <w:noProof/>
                <w:sz w:val="22"/>
                <w:szCs w:val="22"/>
                <w:u w:val="single"/>
              </w:rPr>
              <w:t xml:space="preserve"> od muškaraca do dječaka </w:t>
            </w:r>
          </w:p>
          <w:p w:rsidR="00CF4D6C" w:rsidRPr="00CF4D6C" w:rsidRDefault="00CF4D6C" w:rsidP="005558C4">
            <w:pPr>
              <w:rPr>
                <w:sz w:val="22"/>
                <w:szCs w:val="22"/>
              </w:rPr>
            </w:pPr>
            <w:r w:rsidRPr="00CF4D6C">
              <w:rPr>
                <w:noProof/>
                <w:sz w:val="22"/>
                <w:szCs w:val="22"/>
              </w:rPr>
              <w:t xml:space="preserve">Tri klinička ispitivanja (protokol 016, 018 i 020) je poredilo imunogenost vakcine </w:t>
            </w:r>
            <w:r w:rsidRPr="00CF4D6C">
              <w:rPr>
                <w:b/>
                <w:noProof/>
                <w:sz w:val="22"/>
                <w:szCs w:val="22"/>
              </w:rPr>
              <w:t>GARDASIL</w:t>
            </w:r>
            <w:r w:rsidRPr="00CF4D6C">
              <w:rPr>
                <w:noProof/>
                <w:sz w:val="22"/>
                <w:szCs w:val="22"/>
              </w:rPr>
              <w:t xml:space="preserve"> kod dečaka uzrasta 9 do 15 godina i muškaraca uzrasta 16 do 26 godina. Među osobama koje su dobile vakcinu </w:t>
            </w:r>
            <w:r w:rsidRPr="00CF4D6C">
              <w:rPr>
                <w:b/>
                <w:noProof/>
                <w:sz w:val="22"/>
                <w:szCs w:val="22"/>
              </w:rPr>
              <w:t>GARDASIL</w:t>
            </w:r>
            <w:r w:rsidRPr="00CF4D6C">
              <w:rPr>
                <w:noProof/>
                <w:sz w:val="22"/>
                <w:szCs w:val="22"/>
              </w:rPr>
              <w:t>, 97.4 do 99.9%  postalo je seropozitivno na sve serotipove vakcine u roku od mjesec dana poslije 3. doze.</w:t>
            </w:r>
          </w:p>
          <w:p w:rsidR="00CF4D6C" w:rsidRPr="00CF4D6C" w:rsidRDefault="00CF4D6C" w:rsidP="005558C4">
            <w:pPr>
              <w:rPr>
                <w:sz w:val="22"/>
                <w:szCs w:val="22"/>
              </w:rPr>
            </w:pPr>
          </w:p>
          <w:p w:rsidR="00CF4D6C" w:rsidRPr="00CF4D6C" w:rsidRDefault="00CF4D6C" w:rsidP="005558C4">
            <w:pPr>
              <w:rPr>
                <w:noProof/>
                <w:sz w:val="22"/>
                <w:szCs w:val="22"/>
              </w:rPr>
            </w:pPr>
            <w:r w:rsidRPr="00CF4D6C">
              <w:rPr>
                <w:noProof/>
                <w:sz w:val="22"/>
                <w:szCs w:val="22"/>
              </w:rPr>
              <w:t>Tabela 7 upoređuje anti-HPV 6, 11, 16 i 18 GMT kod dečaka uzrasta 9 do 15 godina i muškaraca uzrasta 16 do 26 godina, prvi mjesec poslije 3. doze.</w:t>
            </w:r>
          </w:p>
          <w:p w:rsidR="00CF4D6C" w:rsidRPr="00CF4D6C" w:rsidRDefault="00CF4D6C" w:rsidP="005558C4">
            <w:pPr>
              <w:rPr>
                <w:noProof/>
                <w:sz w:val="22"/>
                <w:szCs w:val="22"/>
              </w:rPr>
            </w:pPr>
          </w:p>
          <w:p w:rsidR="00CF4D6C" w:rsidRPr="00CF4D6C" w:rsidRDefault="00CF4D6C" w:rsidP="005558C4">
            <w:pPr>
              <w:rPr>
                <w:b/>
                <w:noProof/>
                <w:sz w:val="22"/>
                <w:szCs w:val="22"/>
              </w:rPr>
            </w:pPr>
            <w:r w:rsidRPr="00CF4D6C">
              <w:rPr>
                <w:b/>
                <w:noProof/>
                <w:sz w:val="22"/>
                <w:szCs w:val="22"/>
              </w:rPr>
              <w:t>Tabela 7: Povezivanje imunogenosti između dečaka uzrasta 9 do 15 godina i muškaraca uzrasta 16 do 26 godine (populacija u protokolu) zasnovano na mjerenju titra antitijela sa cLIA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329"/>
              <w:gridCol w:w="2656"/>
              <w:gridCol w:w="1379"/>
              <w:gridCol w:w="2606"/>
            </w:tblGrid>
            <w:tr w:rsidR="00CF4D6C" w:rsidRPr="00CF4D6C" w:rsidTr="005558C4">
              <w:tc>
                <w:tcPr>
                  <w:tcW w:w="1000" w:type="pct"/>
                  <w:vMerge w:val="restart"/>
                  <w:shd w:val="clear" w:color="auto" w:fill="auto"/>
                </w:tcPr>
                <w:p w:rsidR="00CF4D6C" w:rsidRPr="00CF4D6C" w:rsidRDefault="00CF4D6C" w:rsidP="005558C4">
                  <w:pPr>
                    <w:autoSpaceDE w:val="0"/>
                    <w:autoSpaceDN w:val="0"/>
                    <w:adjustRightInd w:val="0"/>
                    <w:rPr>
                      <w:rFonts w:eastAsia="MS Mincho"/>
                      <w:b/>
                      <w:color w:val="000000"/>
                      <w:sz w:val="22"/>
                      <w:szCs w:val="22"/>
                    </w:rPr>
                  </w:pPr>
                </w:p>
              </w:tc>
              <w:tc>
                <w:tcPr>
                  <w:tcW w:w="2000" w:type="pct"/>
                  <w:gridSpan w:val="2"/>
                  <w:shd w:val="clear" w:color="auto" w:fill="auto"/>
                </w:tcPr>
                <w:p w:rsidR="00CF4D6C" w:rsidRPr="00CF4D6C" w:rsidRDefault="00CF4D6C" w:rsidP="005558C4">
                  <w:pPr>
                    <w:autoSpaceDE w:val="0"/>
                    <w:autoSpaceDN w:val="0"/>
                    <w:adjustRightInd w:val="0"/>
                    <w:jc w:val="center"/>
                    <w:rPr>
                      <w:rFonts w:eastAsia="MS Mincho"/>
                      <w:b/>
                      <w:color w:val="000000"/>
                      <w:sz w:val="22"/>
                      <w:szCs w:val="22"/>
                    </w:rPr>
                  </w:pPr>
                  <w:r w:rsidRPr="00CF4D6C">
                    <w:rPr>
                      <w:rFonts w:eastAsia="MS Mincho"/>
                      <w:b/>
                      <w:color w:val="000000"/>
                      <w:sz w:val="22"/>
                      <w:szCs w:val="22"/>
                    </w:rPr>
                    <w:t>Osobe muškog pola uzrasta 9-15 godina</w:t>
                  </w:r>
                </w:p>
                <w:p w:rsidR="00CF4D6C" w:rsidRPr="00CF4D6C" w:rsidRDefault="00CF4D6C" w:rsidP="005558C4">
                  <w:pPr>
                    <w:autoSpaceDE w:val="0"/>
                    <w:autoSpaceDN w:val="0"/>
                    <w:adjustRightInd w:val="0"/>
                    <w:jc w:val="center"/>
                    <w:rPr>
                      <w:rFonts w:eastAsia="MS Mincho"/>
                      <w:b/>
                      <w:color w:val="000000"/>
                      <w:sz w:val="22"/>
                      <w:szCs w:val="22"/>
                    </w:rPr>
                  </w:pPr>
                </w:p>
              </w:tc>
              <w:tc>
                <w:tcPr>
                  <w:tcW w:w="2001" w:type="pct"/>
                  <w:gridSpan w:val="2"/>
                  <w:shd w:val="clear" w:color="auto" w:fill="auto"/>
                </w:tcPr>
                <w:p w:rsidR="00CF4D6C" w:rsidRPr="00CF4D6C" w:rsidRDefault="00CF4D6C" w:rsidP="005558C4">
                  <w:pPr>
                    <w:autoSpaceDE w:val="0"/>
                    <w:autoSpaceDN w:val="0"/>
                    <w:adjustRightInd w:val="0"/>
                    <w:jc w:val="center"/>
                    <w:rPr>
                      <w:rFonts w:eastAsia="MS Mincho"/>
                      <w:b/>
                      <w:color w:val="000000"/>
                      <w:sz w:val="22"/>
                      <w:szCs w:val="22"/>
                    </w:rPr>
                  </w:pPr>
                  <w:r w:rsidRPr="00CF4D6C">
                    <w:rPr>
                      <w:rFonts w:eastAsia="MS Mincho"/>
                      <w:b/>
                      <w:color w:val="000000"/>
                      <w:sz w:val="22"/>
                      <w:szCs w:val="22"/>
                    </w:rPr>
                    <w:t>Osobe muškog pola uzrasta 16-26 godina</w:t>
                  </w:r>
                </w:p>
                <w:p w:rsidR="00CF4D6C" w:rsidRPr="00CF4D6C" w:rsidRDefault="00CF4D6C" w:rsidP="005558C4">
                  <w:pPr>
                    <w:autoSpaceDE w:val="0"/>
                    <w:autoSpaceDN w:val="0"/>
                    <w:adjustRightInd w:val="0"/>
                    <w:jc w:val="center"/>
                    <w:rPr>
                      <w:rFonts w:eastAsia="MS Mincho"/>
                      <w:b/>
                      <w:color w:val="000000"/>
                      <w:sz w:val="22"/>
                      <w:szCs w:val="22"/>
                    </w:rPr>
                  </w:pPr>
                </w:p>
              </w:tc>
            </w:tr>
            <w:tr w:rsidR="00CF4D6C" w:rsidRPr="00CF4D6C" w:rsidTr="005558C4">
              <w:tc>
                <w:tcPr>
                  <w:tcW w:w="1000" w:type="pct"/>
                  <w:vMerge/>
                  <w:shd w:val="clear" w:color="auto" w:fill="auto"/>
                </w:tcPr>
                <w:p w:rsidR="00CF4D6C" w:rsidRPr="00CF4D6C" w:rsidRDefault="00CF4D6C" w:rsidP="005558C4">
                  <w:pPr>
                    <w:autoSpaceDE w:val="0"/>
                    <w:autoSpaceDN w:val="0"/>
                    <w:adjustRightInd w:val="0"/>
                    <w:rPr>
                      <w:rFonts w:eastAsia="MS Mincho"/>
                      <w:b/>
                      <w:color w:val="000000"/>
                      <w:sz w:val="22"/>
                      <w:szCs w:val="22"/>
                    </w:rPr>
                  </w:pPr>
                </w:p>
              </w:tc>
              <w:tc>
                <w:tcPr>
                  <w:tcW w:w="667" w:type="pct"/>
                  <w:shd w:val="clear" w:color="auto" w:fill="auto"/>
                </w:tcPr>
                <w:p w:rsidR="00CF4D6C" w:rsidRPr="00CF4D6C" w:rsidRDefault="00CF4D6C" w:rsidP="005558C4">
                  <w:pPr>
                    <w:autoSpaceDE w:val="0"/>
                    <w:autoSpaceDN w:val="0"/>
                    <w:adjustRightInd w:val="0"/>
                    <w:jc w:val="center"/>
                    <w:rPr>
                      <w:rFonts w:eastAsia="MS Mincho"/>
                      <w:b/>
                      <w:color w:val="000000"/>
                      <w:sz w:val="22"/>
                      <w:szCs w:val="22"/>
                    </w:rPr>
                  </w:pPr>
                  <w:r w:rsidRPr="00CF4D6C">
                    <w:rPr>
                      <w:rFonts w:eastAsia="MS Mincho"/>
                      <w:b/>
                      <w:color w:val="000000"/>
                      <w:sz w:val="22"/>
                      <w:szCs w:val="22"/>
                    </w:rPr>
                    <w:t>n</w:t>
                  </w:r>
                </w:p>
              </w:tc>
              <w:tc>
                <w:tcPr>
                  <w:tcW w:w="1333" w:type="pct"/>
                  <w:shd w:val="clear" w:color="auto" w:fill="auto"/>
                </w:tcPr>
                <w:p w:rsidR="00CF4D6C" w:rsidRPr="00CF4D6C" w:rsidRDefault="00CF4D6C" w:rsidP="005558C4">
                  <w:pPr>
                    <w:autoSpaceDE w:val="0"/>
                    <w:autoSpaceDN w:val="0"/>
                    <w:adjustRightInd w:val="0"/>
                    <w:jc w:val="center"/>
                    <w:rPr>
                      <w:rFonts w:eastAsia="MS Mincho"/>
                      <w:b/>
                      <w:color w:val="000000"/>
                      <w:sz w:val="22"/>
                      <w:szCs w:val="22"/>
                    </w:rPr>
                  </w:pPr>
                  <w:r w:rsidRPr="00CF4D6C">
                    <w:rPr>
                      <w:rFonts w:eastAsia="MS Mincho"/>
                      <w:b/>
                      <w:color w:val="000000"/>
                      <w:sz w:val="22"/>
                      <w:szCs w:val="22"/>
                    </w:rPr>
                    <w:t>GMT (95% CI)</w:t>
                  </w:r>
                </w:p>
              </w:tc>
              <w:tc>
                <w:tcPr>
                  <w:tcW w:w="692" w:type="pct"/>
                  <w:shd w:val="clear" w:color="auto" w:fill="auto"/>
                </w:tcPr>
                <w:p w:rsidR="00CF4D6C" w:rsidRPr="00CF4D6C" w:rsidRDefault="00CF4D6C" w:rsidP="005558C4">
                  <w:pPr>
                    <w:autoSpaceDE w:val="0"/>
                    <w:autoSpaceDN w:val="0"/>
                    <w:adjustRightInd w:val="0"/>
                    <w:jc w:val="center"/>
                    <w:rPr>
                      <w:rFonts w:eastAsia="MS Mincho"/>
                      <w:b/>
                      <w:color w:val="000000"/>
                      <w:sz w:val="22"/>
                      <w:szCs w:val="22"/>
                    </w:rPr>
                  </w:pPr>
                  <w:r w:rsidRPr="00CF4D6C">
                    <w:rPr>
                      <w:rFonts w:eastAsia="MS Mincho"/>
                      <w:b/>
                      <w:color w:val="000000"/>
                      <w:sz w:val="22"/>
                      <w:szCs w:val="22"/>
                    </w:rPr>
                    <w:t>n</w:t>
                  </w:r>
                </w:p>
              </w:tc>
              <w:tc>
                <w:tcPr>
                  <w:tcW w:w="1309" w:type="pct"/>
                  <w:shd w:val="clear" w:color="auto" w:fill="auto"/>
                </w:tcPr>
                <w:p w:rsidR="00CF4D6C" w:rsidRPr="00CF4D6C" w:rsidRDefault="00CF4D6C" w:rsidP="005558C4">
                  <w:pPr>
                    <w:autoSpaceDE w:val="0"/>
                    <w:autoSpaceDN w:val="0"/>
                    <w:adjustRightInd w:val="0"/>
                    <w:jc w:val="center"/>
                    <w:rPr>
                      <w:rFonts w:eastAsia="MS Mincho"/>
                      <w:b/>
                      <w:color w:val="000000"/>
                      <w:sz w:val="22"/>
                      <w:szCs w:val="22"/>
                    </w:rPr>
                  </w:pPr>
                  <w:r w:rsidRPr="00CF4D6C">
                    <w:rPr>
                      <w:rFonts w:eastAsia="MS Mincho"/>
                      <w:b/>
                      <w:color w:val="000000"/>
                      <w:sz w:val="22"/>
                      <w:szCs w:val="22"/>
                    </w:rPr>
                    <w:t>GMT (95% CI)</w:t>
                  </w:r>
                </w:p>
              </w:tc>
            </w:tr>
            <w:tr w:rsidR="00CF4D6C" w:rsidRPr="00CF4D6C" w:rsidTr="005558C4">
              <w:tc>
                <w:tcPr>
                  <w:tcW w:w="1000" w:type="pct"/>
                  <w:shd w:val="clear" w:color="auto" w:fill="auto"/>
                </w:tcPr>
                <w:p w:rsidR="00CF4D6C" w:rsidRPr="00CF4D6C" w:rsidRDefault="00CF4D6C" w:rsidP="005558C4">
                  <w:pPr>
                    <w:autoSpaceDE w:val="0"/>
                    <w:autoSpaceDN w:val="0"/>
                    <w:adjustRightInd w:val="0"/>
                    <w:rPr>
                      <w:rFonts w:eastAsia="MS Mincho"/>
                      <w:color w:val="000000"/>
                      <w:sz w:val="22"/>
                      <w:szCs w:val="22"/>
                    </w:rPr>
                  </w:pPr>
                  <w:r w:rsidRPr="00CF4D6C">
                    <w:rPr>
                      <w:rFonts w:eastAsia="MS Mincho"/>
                      <w:color w:val="000000"/>
                      <w:sz w:val="22"/>
                      <w:szCs w:val="22"/>
                    </w:rPr>
                    <w:t>HPV 6</w:t>
                  </w:r>
                </w:p>
              </w:tc>
              <w:tc>
                <w:tcPr>
                  <w:tcW w:w="667"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884</w:t>
                  </w:r>
                </w:p>
              </w:tc>
              <w:tc>
                <w:tcPr>
                  <w:tcW w:w="1333"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1038 (964, 1117)</w:t>
                  </w:r>
                </w:p>
              </w:tc>
              <w:tc>
                <w:tcPr>
                  <w:tcW w:w="692"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1093</w:t>
                  </w:r>
                </w:p>
              </w:tc>
              <w:tc>
                <w:tcPr>
                  <w:tcW w:w="1309"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448 (419, 479)</w:t>
                  </w:r>
                </w:p>
              </w:tc>
            </w:tr>
            <w:tr w:rsidR="00CF4D6C" w:rsidRPr="00CF4D6C" w:rsidTr="005558C4">
              <w:tc>
                <w:tcPr>
                  <w:tcW w:w="1000" w:type="pct"/>
                  <w:shd w:val="clear" w:color="auto" w:fill="auto"/>
                </w:tcPr>
                <w:p w:rsidR="00CF4D6C" w:rsidRPr="00CF4D6C" w:rsidRDefault="00CF4D6C" w:rsidP="005558C4">
                  <w:pPr>
                    <w:autoSpaceDE w:val="0"/>
                    <w:autoSpaceDN w:val="0"/>
                    <w:adjustRightInd w:val="0"/>
                    <w:rPr>
                      <w:rFonts w:eastAsia="MS Mincho"/>
                      <w:color w:val="000000"/>
                      <w:sz w:val="22"/>
                      <w:szCs w:val="22"/>
                    </w:rPr>
                  </w:pPr>
                  <w:r w:rsidRPr="00CF4D6C">
                    <w:rPr>
                      <w:rFonts w:eastAsia="MS Mincho"/>
                      <w:color w:val="000000"/>
                      <w:sz w:val="22"/>
                      <w:szCs w:val="22"/>
                    </w:rPr>
                    <w:t>HPV 11</w:t>
                  </w:r>
                </w:p>
              </w:tc>
              <w:tc>
                <w:tcPr>
                  <w:tcW w:w="667"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885</w:t>
                  </w:r>
                </w:p>
              </w:tc>
              <w:tc>
                <w:tcPr>
                  <w:tcW w:w="1333"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1387 (1299, 1481)</w:t>
                  </w:r>
                </w:p>
              </w:tc>
              <w:tc>
                <w:tcPr>
                  <w:tcW w:w="692"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1093</w:t>
                  </w:r>
                </w:p>
              </w:tc>
              <w:tc>
                <w:tcPr>
                  <w:tcW w:w="1309"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624 (588, 662)</w:t>
                  </w:r>
                </w:p>
              </w:tc>
            </w:tr>
            <w:tr w:rsidR="00CF4D6C" w:rsidRPr="00CF4D6C" w:rsidTr="005558C4">
              <w:tc>
                <w:tcPr>
                  <w:tcW w:w="1000" w:type="pct"/>
                  <w:shd w:val="clear" w:color="auto" w:fill="auto"/>
                </w:tcPr>
                <w:p w:rsidR="00CF4D6C" w:rsidRPr="00CF4D6C" w:rsidRDefault="00CF4D6C" w:rsidP="005558C4">
                  <w:pPr>
                    <w:autoSpaceDE w:val="0"/>
                    <w:autoSpaceDN w:val="0"/>
                    <w:adjustRightInd w:val="0"/>
                    <w:rPr>
                      <w:rFonts w:eastAsia="MS Mincho"/>
                      <w:color w:val="000000"/>
                      <w:sz w:val="22"/>
                      <w:szCs w:val="22"/>
                    </w:rPr>
                  </w:pPr>
                  <w:r w:rsidRPr="00CF4D6C">
                    <w:rPr>
                      <w:rFonts w:eastAsia="MS Mincho"/>
                      <w:color w:val="000000"/>
                      <w:sz w:val="22"/>
                      <w:szCs w:val="22"/>
                    </w:rPr>
                    <w:t>HPV 16</w:t>
                  </w:r>
                </w:p>
              </w:tc>
              <w:tc>
                <w:tcPr>
                  <w:tcW w:w="667"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882</w:t>
                  </w:r>
                </w:p>
              </w:tc>
              <w:tc>
                <w:tcPr>
                  <w:tcW w:w="1333"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6057 (5601, 6549)</w:t>
                  </w:r>
                </w:p>
              </w:tc>
              <w:tc>
                <w:tcPr>
                  <w:tcW w:w="692"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1136</w:t>
                  </w:r>
                </w:p>
              </w:tc>
              <w:tc>
                <w:tcPr>
                  <w:tcW w:w="1309"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2403 (2243, 2575)</w:t>
                  </w:r>
                </w:p>
              </w:tc>
            </w:tr>
            <w:tr w:rsidR="00CF4D6C" w:rsidRPr="00CF4D6C" w:rsidTr="005558C4">
              <w:tc>
                <w:tcPr>
                  <w:tcW w:w="1000" w:type="pct"/>
                  <w:shd w:val="clear" w:color="auto" w:fill="auto"/>
                </w:tcPr>
                <w:p w:rsidR="00CF4D6C" w:rsidRPr="00CF4D6C" w:rsidRDefault="00CF4D6C" w:rsidP="005558C4">
                  <w:pPr>
                    <w:autoSpaceDE w:val="0"/>
                    <w:autoSpaceDN w:val="0"/>
                    <w:adjustRightInd w:val="0"/>
                    <w:rPr>
                      <w:rFonts w:eastAsia="MS Mincho"/>
                      <w:color w:val="000000"/>
                      <w:sz w:val="22"/>
                      <w:szCs w:val="22"/>
                    </w:rPr>
                  </w:pPr>
                  <w:r w:rsidRPr="00CF4D6C">
                    <w:rPr>
                      <w:rFonts w:eastAsia="MS Mincho"/>
                      <w:color w:val="000000"/>
                      <w:sz w:val="22"/>
                      <w:szCs w:val="22"/>
                    </w:rPr>
                    <w:t>HPV 18</w:t>
                  </w:r>
                </w:p>
              </w:tc>
              <w:tc>
                <w:tcPr>
                  <w:tcW w:w="667"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887</w:t>
                  </w:r>
                </w:p>
              </w:tc>
              <w:tc>
                <w:tcPr>
                  <w:tcW w:w="1333"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1357 (1249, 1475)</w:t>
                  </w:r>
                </w:p>
              </w:tc>
              <w:tc>
                <w:tcPr>
                  <w:tcW w:w="692"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1175</w:t>
                  </w:r>
                </w:p>
              </w:tc>
              <w:tc>
                <w:tcPr>
                  <w:tcW w:w="1309" w:type="pct"/>
                  <w:shd w:val="clear" w:color="auto" w:fill="auto"/>
                </w:tcPr>
                <w:p w:rsidR="00CF4D6C" w:rsidRPr="00CF4D6C" w:rsidRDefault="00CF4D6C" w:rsidP="005558C4">
                  <w:pPr>
                    <w:autoSpaceDE w:val="0"/>
                    <w:autoSpaceDN w:val="0"/>
                    <w:adjustRightInd w:val="0"/>
                    <w:jc w:val="center"/>
                    <w:rPr>
                      <w:rFonts w:eastAsia="MS Mincho"/>
                      <w:color w:val="000000"/>
                      <w:sz w:val="22"/>
                      <w:szCs w:val="22"/>
                    </w:rPr>
                  </w:pPr>
                  <w:r w:rsidRPr="00CF4D6C">
                    <w:rPr>
                      <w:rFonts w:eastAsia="MS Mincho"/>
                      <w:color w:val="000000"/>
                      <w:sz w:val="22"/>
                      <w:szCs w:val="22"/>
                    </w:rPr>
                    <w:t>403 (375, 433)</w:t>
                  </w:r>
                </w:p>
              </w:tc>
            </w:tr>
          </w:tbl>
          <w:p w:rsidR="00CF4D6C" w:rsidRPr="00CF4D6C" w:rsidRDefault="00CF4D6C" w:rsidP="005558C4">
            <w:pPr>
              <w:rPr>
                <w:noProof/>
                <w:sz w:val="22"/>
                <w:szCs w:val="22"/>
              </w:rPr>
            </w:pPr>
            <w:r w:rsidRPr="00CF4D6C">
              <w:rPr>
                <w:noProof/>
                <w:sz w:val="22"/>
                <w:szCs w:val="22"/>
              </w:rPr>
              <w:t>GMT - Geometrijska sredina titra u mMU/ml (mMU=mili-Merck jedinica)</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Anti-HPV odgovori u 7. mjesecu kod dečaka uzrasta 9 do15 godina su bili slični anti-HPV odgovoru kod muškarca uzrasta 16 do 26 godina, kod kojih je efikasnost potvrđena u kliničkim studijama faze III. Imunogenost je bila povezana sa uzrastom i anti-HPV nivoi u 7. mjesecu su bili značajno viši kod mlađih osoba.</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 xml:space="preserve">Na osnovu ovog povezivanja imunogenosti, izvedena je efikasnost vakcine </w:t>
            </w:r>
            <w:r w:rsidRPr="00CF4D6C">
              <w:rPr>
                <w:b/>
                <w:noProof/>
                <w:sz w:val="22"/>
                <w:szCs w:val="22"/>
              </w:rPr>
              <w:t>GARDASIL</w:t>
            </w:r>
            <w:r w:rsidRPr="00CF4D6C">
              <w:rPr>
                <w:noProof/>
                <w:sz w:val="22"/>
                <w:szCs w:val="22"/>
                <w:vertAlign w:val="superscript"/>
              </w:rPr>
              <w:t xml:space="preserve"> </w:t>
            </w:r>
            <w:r w:rsidRPr="00CF4D6C">
              <w:rPr>
                <w:noProof/>
                <w:sz w:val="22"/>
                <w:szCs w:val="22"/>
              </w:rPr>
              <w:t>kod dečaka uzrasta 9 do 15 godina.</w:t>
            </w:r>
          </w:p>
          <w:p w:rsidR="00CF4D6C" w:rsidRPr="00CF4D6C" w:rsidRDefault="00CF4D6C" w:rsidP="005558C4">
            <w:pPr>
              <w:rPr>
                <w:sz w:val="22"/>
                <w:szCs w:val="22"/>
              </w:rPr>
            </w:pPr>
          </w:p>
          <w:p w:rsidR="00CF4D6C" w:rsidRPr="00CF4D6C" w:rsidRDefault="00CF4D6C" w:rsidP="005558C4">
            <w:pPr>
              <w:rPr>
                <w:sz w:val="22"/>
                <w:szCs w:val="22"/>
                <w:u w:val="single"/>
              </w:rPr>
            </w:pPr>
            <w:r w:rsidRPr="00CF4D6C">
              <w:rPr>
                <w:sz w:val="22"/>
                <w:szCs w:val="22"/>
                <w:u w:val="single"/>
              </w:rPr>
              <w:t>Dužina trajanja imunog odgovora kod primjene lijeka GARDASIL u kliničkim studijama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Kod žena starosti od 16 do 26 godina, najduže praćenje imunogenosti je bilo u protokolu 007 gde je maksimum anti-HPV 6, 11, 16, 18 GMT bio praćen u 7. mjesecu. Vrednost GMT je opadala tokom 24. mjeseca, a zatim se stabilizovala na kraju 60. mjeseca. Tačno trajanje imuniteta nakon 3.doze nije utvrđeno.</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U fazi III studija kod žena starosti od 16 do 26 godina, na kraju studije, 90 %, 95 %, 98 % i 60 % pojedinaca koji su primili vakcinu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prema protokolu imunogenost populacije je bila seropozitivna na HPV tipove 6, 11, 16 i 18 u cLIA, redom.</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U fazi III studija kod žena starosti od 24 do 45 godina, nakon srednjeg praćenja od 4,0 godine, 91,5 %, 92,0 %, </w:t>
            </w:r>
            <w:r w:rsidRPr="00CF4D6C">
              <w:rPr>
                <w:sz w:val="22"/>
                <w:szCs w:val="22"/>
              </w:rPr>
              <w:lastRenderedPageBreak/>
              <w:t xml:space="preserve">97,4 % i 47,9 % pojedinaca koji su primili vakcinu </w:t>
            </w:r>
            <w:r w:rsidRPr="00CF4D6C">
              <w:rPr>
                <w:b/>
                <w:sz w:val="22"/>
                <w:szCs w:val="22"/>
              </w:rPr>
              <w:t>GARDASIL</w:t>
            </w:r>
            <w:r w:rsidRPr="00CF4D6C">
              <w:rPr>
                <w:b/>
                <w:sz w:val="22"/>
                <w:szCs w:val="22"/>
                <w:vertAlign w:val="superscript"/>
              </w:rPr>
              <w:t>®</w:t>
            </w:r>
            <w:r w:rsidRPr="00CF4D6C">
              <w:rPr>
                <w:sz w:val="22"/>
                <w:szCs w:val="22"/>
                <w:vertAlign w:val="superscript"/>
              </w:rPr>
              <w:t xml:space="preserve"> </w:t>
            </w:r>
            <w:r w:rsidRPr="00CF4D6C">
              <w:rPr>
                <w:sz w:val="22"/>
                <w:szCs w:val="22"/>
              </w:rPr>
              <w:t>prema protokolu imunogenost populacije je bila seropozitivna na HPV tipove 6, 11, 16 i 18 u cLIA, redom.</w:t>
            </w:r>
          </w:p>
          <w:p w:rsidR="00CF4D6C" w:rsidRPr="00CF4D6C" w:rsidRDefault="00CF4D6C" w:rsidP="005558C4">
            <w:pPr>
              <w:rPr>
                <w:noProof/>
                <w:sz w:val="22"/>
                <w:szCs w:val="22"/>
              </w:rPr>
            </w:pPr>
            <w:r w:rsidRPr="00CF4D6C">
              <w:rPr>
                <w:noProof/>
                <w:sz w:val="22"/>
                <w:szCs w:val="22"/>
              </w:rPr>
              <w:t xml:space="preserve">U fazi III studija kod muškaraca starosti od 16 do 26 godina, nakon srednjeg praćenja od 2.9 godina, 88,9 %, 94,0 %, 97,9 % i 57,1 % pojedinaca koji su primili vakcinu </w:t>
            </w:r>
            <w:r w:rsidRPr="00CF4D6C">
              <w:rPr>
                <w:b/>
                <w:noProof/>
                <w:sz w:val="22"/>
                <w:szCs w:val="22"/>
              </w:rPr>
              <w:t>GARDASIL</w:t>
            </w:r>
            <w:r w:rsidRPr="00CF4D6C">
              <w:rPr>
                <w:noProof/>
                <w:sz w:val="22"/>
                <w:szCs w:val="22"/>
                <w:vertAlign w:val="superscript"/>
              </w:rPr>
              <w:t xml:space="preserve"> </w:t>
            </w:r>
            <w:r w:rsidRPr="00CF4D6C">
              <w:rPr>
                <w:noProof/>
                <w:sz w:val="22"/>
                <w:szCs w:val="22"/>
              </w:rPr>
              <w:t>u PPE populaciji je bilo seropozitivno na HPV tipove 6, 11, 16 i 18 u cLIA, redom.</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U dužem praćenju kod žena starosti od 16 do 45 godina i muškaraca starosti od 16 do 26 godina, pojedinci koji su bili seronegativni na HPV tipove 6, 11, 16 i 18 u cLIA, na kraju studije, su i dalje bili zaštićeni od pojave kliničkog oboljenja.</w:t>
            </w:r>
          </w:p>
          <w:p w:rsidR="00CF4D6C" w:rsidRPr="00CF4D6C" w:rsidRDefault="00CF4D6C" w:rsidP="005558C4">
            <w:pPr>
              <w:rPr>
                <w:sz w:val="22"/>
                <w:szCs w:val="22"/>
              </w:rPr>
            </w:pPr>
          </w:p>
          <w:p w:rsidR="00CF4D6C" w:rsidRPr="00CF4D6C" w:rsidRDefault="00CF4D6C" w:rsidP="005558C4">
            <w:pPr>
              <w:rPr>
                <w:sz w:val="22"/>
                <w:szCs w:val="22"/>
                <w:u w:val="single"/>
              </w:rPr>
            </w:pPr>
            <w:r w:rsidRPr="00CF4D6C">
              <w:rPr>
                <w:sz w:val="22"/>
                <w:szCs w:val="22"/>
                <w:u w:val="single"/>
              </w:rPr>
              <w:t>Dokaz anamnestičkog odgovora (imunološka memorija)</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 xml:space="preserve">Dokaz anamnestičkog odgovora je viđen kod vakcinisanih osoba koje su bile seropozitivne na odgovarajuće HPV tipove pre vakcinacije. Dodatno, grupa vakcinisanih osoba koja je primila dozu vakcine </w:t>
            </w:r>
            <w:r w:rsidRPr="00CF4D6C">
              <w:rPr>
                <w:b/>
                <w:sz w:val="22"/>
                <w:szCs w:val="22"/>
              </w:rPr>
              <w:t>GARDASIL</w:t>
            </w:r>
            <w:r w:rsidRPr="00CF4D6C">
              <w:rPr>
                <w:b/>
                <w:sz w:val="22"/>
                <w:szCs w:val="22"/>
                <w:vertAlign w:val="superscript"/>
              </w:rPr>
              <w:t>®</w:t>
            </w:r>
            <w:r w:rsidRPr="00CF4D6C">
              <w:rPr>
                <w:sz w:val="22"/>
                <w:szCs w:val="22"/>
              </w:rPr>
              <w:t xml:space="preserve"> 5 godina nakon početka vakcinacije, pokazala je brz i snažan anamnestički odgovor koji je prevazišao anti-HPV GMT zapažen u 1. mjesecu poslije 3. doze. </w:t>
            </w:r>
          </w:p>
          <w:p w:rsidR="00CF4D6C" w:rsidRPr="00CF4D6C" w:rsidRDefault="00CF4D6C" w:rsidP="005558C4">
            <w:pPr>
              <w:rPr>
                <w:sz w:val="22"/>
                <w:szCs w:val="22"/>
              </w:rPr>
            </w:pPr>
          </w:p>
          <w:p w:rsidR="00CF4D6C" w:rsidRPr="00CF4D6C" w:rsidRDefault="00CF4D6C" w:rsidP="005558C4">
            <w:pPr>
              <w:rPr>
                <w:noProof/>
                <w:sz w:val="22"/>
                <w:szCs w:val="22"/>
                <w:u w:val="single"/>
              </w:rPr>
            </w:pPr>
            <w:r w:rsidRPr="00CF4D6C">
              <w:rPr>
                <w:noProof/>
                <w:sz w:val="22"/>
                <w:szCs w:val="22"/>
                <w:u w:val="single"/>
              </w:rPr>
              <w:t>Osobe inficirane HIV-om</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 xml:space="preserve">Sprovedeno je nekomercijalno (akademsko) kliničko ispitivanje bezbjednosti i imunogenosti vakcine </w:t>
            </w:r>
            <w:r w:rsidRPr="00CF4D6C">
              <w:rPr>
                <w:b/>
                <w:noProof/>
                <w:sz w:val="22"/>
                <w:szCs w:val="22"/>
              </w:rPr>
              <w:t>GARDASIL</w:t>
            </w:r>
            <w:r w:rsidRPr="00CF4D6C">
              <w:rPr>
                <w:noProof/>
                <w:sz w:val="22"/>
                <w:szCs w:val="22"/>
              </w:rPr>
              <w:t xml:space="preserve"> na 126 ispitanika inficiranih HIV-ov uzrasta  od 7 do 12 godina (od kojih je 96 primilo </w:t>
            </w:r>
            <w:r w:rsidRPr="00CF4D6C">
              <w:rPr>
                <w:b/>
                <w:noProof/>
                <w:sz w:val="22"/>
                <w:szCs w:val="22"/>
              </w:rPr>
              <w:t>GARDASIL</w:t>
            </w:r>
            <w:r w:rsidRPr="00CF4D6C">
              <w:rPr>
                <w:noProof/>
                <w:sz w:val="22"/>
                <w:szCs w:val="22"/>
              </w:rPr>
              <w:t>). Serokonverzija sva četiri antigena zapažena je u više od 96% ispitanika. GMT je bio nešto niži nego GMT koji je zabilježen u drugim studijama kod ispitanika istih godina koji nisu bili inficirani HIV-om. Klinički značaj smanjenog odgovora nije poznat. Bezbjednosni profil je bio sličan onom koji je zabilježen u drugim studijama kod ispitanika koji nisu bili inficirani HIV-om. Vakcinacija nije uticala na procenat CD4 niti na HIV RNA u plazmi.</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u w:val="single"/>
              </w:rPr>
              <w:t>Imuni odgovor na vakcinu Gardasil kod osoba uzrasta 9 do 13 godina nakon primjene prema rasporedu za 2 doze</w:t>
            </w:r>
          </w:p>
          <w:p w:rsidR="00CF4D6C" w:rsidRPr="00CF4D6C" w:rsidRDefault="00CF4D6C" w:rsidP="005558C4">
            <w:pPr>
              <w:rPr>
                <w:noProof/>
                <w:sz w:val="22"/>
                <w:szCs w:val="22"/>
              </w:rPr>
            </w:pPr>
          </w:p>
          <w:p w:rsidR="00CF4D6C" w:rsidRPr="00CF4D6C" w:rsidRDefault="00CF4D6C" w:rsidP="005558C4">
            <w:pPr>
              <w:rPr>
                <w:noProof/>
                <w:sz w:val="22"/>
                <w:szCs w:val="22"/>
                <w:u w:val="single"/>
              </w:rPr>
            </w:pPr>
            <w:r w:rsidRPr="00CF4D6C">
              <w:rPr>
                <w:noProof/>
                <w:sz w:val="22"/>
                <w:szCs w:val="22"/>
              </w:rPr>
              <w:t>Jedno kliničko ispitivanje pokazalo je da stvaranje antitijela na 4 tipa HPV virusa, mjesec dana nakon poslednje doze kod djevojčica koje su primile 2 doze vakcine protiv HPV virusa u razmaku od 6 mjeseci, bilo slično onom kod mladih žena koje su primile 3 doze vakcine tokom 6 mjeseci.</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U 7. mjesecu, u PPE populaciji, imuni odgovor kod djevojčica uzrasta 9 do 13 godina (n=241) koje su primile dve doze vakcine Gardasil (u 0. i 6.mjesecu) bio je sličan i brojčano viši od imunog odgovora kod žena od 16 do 26 godina starosti (n=246) koje su primile tri doze vakcine Gardasil (u 0., 2. i 6. mjesecu).</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 xml:space="preserve">Nakon 36 mjeseci praćenja GMT kod djevojčica (2 doze, n=86) ostao je sličan vrijednosti GMT kod žena (3 doze, n=86) za sva četiri tipa HPV virusa. </w:t>
            </w:r>
          </w:p>
          <w:p w:rsidR="00CF4D6C" w:rsidRPr="00CF4D6C" w:rsidRDefault="00CF4D6C" w:rsidP="005558C4">
            <w:pPr>
              <w:rPr>
                <w:noProof/>
                <w:sz w:val="22"/>
                <w:szCs w:val="22"/>
              </w:rPr>
            </w:pPr>
          </w:p>
          <w:p w:rsidR="00CF4D6C" w:rsidRPr="00CF4D6C" w:rsidRDefault="00CF4D6C" w:rsidP="005558C4">
            <w:pPr>
              <w:rPr>
                <w:noProof/>
                <w:sz w:val="22"/>
                <w:szCs w:val="22"/>
              </w:rPr>
            </w:pPr>
            <w:r w:rsidRPr="00CF4D6C">
              <w:rPr>
                <w:noProof/>
                <w:sz w:val="22"/>
                <w:szCs w:val="22"/>
              </w:rPr>
              <w:t>U istoj studiji, kod djevojčica uzrasta 9 do 13 godina, nakon primanja vakcine prema rasporedu za 2 doze, imuni odgovor bio je brojčano niži nego nakon primanja vakcine prema rasporedu za 3 doze (n=248 u 7. mjesecu; n=82 u 36. mjesecu). Klinički značaj ovih podataka nije poznat.</w:t>
            </w:r>
          </w:p>
          <w:p w:rsidR="00CF4D6C" w:rsidRPr="00CF4D6C" w:rsidRDefault="00CF4D6C" w:rsidP="005558C4">
            <w:pPr>
              <w:rPr>
                <w:noProof/>
                <w:sz w:val="22"/>
                <w:szCs w:val="22"/>
              </w:rPr>
            </w:pPr>
          </w:p>
          <w:p w:rsidR="00CF4D6C" w:rsidRPr="00CF4D6C" w:rsidRDefault="00CF4D6C" w:rsidP="005558C4">
            <w:pPr>
              <w:rPr>
                <w:sz w:val="22"/>
                <w:szCs w:val="22"/>
              </w:rPr>
            </w:pPr>
            <w:r w:rsidRPr="00CF4D6C">
              <w:rPr>
                <w:noProof/>
                <w:sz w:val="22"/>
                <w:szCs w:val="22"/>
              </w:rPr>
              <w:t>Dužina trajanja zaštite nakon primjene vakcine Gardasil prema rasporedu za 2 doze nije utvrđeno.</w:t>
            </w:r>
          </w:p>
          <w:p w:rsidR="00CF4D6C" w:rsidRPr="00CF4D6C" w:rsidRDefault="00CF4D6C" w:rsidP="005558C4">
            <w:pPr>
              <w:rPr>
                <w:sz w:val="22"/>
                <w:szCs w:val="22"/>
              </w:rPr>
            </w:pPr>
          </w:p>
        </w:tc>
      </w:tr>
      <w:tr w:rsidR="00CF4D6C" w:rsidRPr="00CF4D6C" w:rsidTr="005558C4">
        <w:tblPrEx>
          <w:tblCellMar>
            <w:top w:w="0" w:type="dxa"/>
            <w:bottom w:w="0" w:type="dxa"/>
          </w:tblCellMar>
        </w:tblPrEx>
        <w:tc>
          <w:tcPr>
            <w:tcW w:w="10188" w:type="dxa"/>
            <w:gridSpan w:val="4"/>
            <w:vAlign w:val="center"/>
          </w:tcPr>
          <w:p w:rsidR="00265E46" w:rsidRDefault="00265E46" w:rsidP="005558C4">
            <w:pPr>
              <w:pStyle w:val="Header"/>
              <w:tabs>
                <w:tab w:val="left" w:pos="284"/>
              </w:tabs>
              <w:spacing w:before="80" w:after="80"/>
              <w:rPr>
                <w:b/>
                <w:bCs/>
                <w:sz w:val="22"/>
                <w:szCs w:val="22"/>
              </w:rPr>
            </w:pPr>
          </w:p>
          <w:p w:rsidR="00CF4D6C" w:rsidRPr="00CF4D6C" w:rsidRDefault="00CF4D6C" w:rsidP="005558C4">
            <w:pPr>
              <w:pStyle w:val="Header"/>
              <w:tabs>
                <w:tab w:val="left" w:pos="284"/>
              </w:tabs>
              <w:spacing w:before="80" w:after="80"/>
              <w:rPr>
                <w:b/>
                <w:bCs/>
                <w:sz w:val="22"/>
                <w:szCs w:val="22"/>
              </w:rPr>
            </w:pPr>
            <w:r w:rsidRPr="00CF4D6C">
              <w:rPr>
                <w:b/>
                <w:bCs/>
                <w:sz w:val="22"/>
                <w:szCs w:val="22"/>
              </w:rPr>
              <w:lastRenderedPageBreak/>
              <w:t>5.2. Farmakokinetički podaci</w:t>
            </w:r>
          </w:p>
        </w:tc>
      </w:tr>
      <w:tr w:rsidR="00CF4D6C" w:rsidRPr="00CF4D6C" w:rsidTr="00265E46">
        <w:tblPrEx>
          <w:tblCellMar>
            <w:top w:w="0" w:type="dxa"/>
            <w:bottom w:w="0" w:type="dxa"/>
          </w:tblCellMar>
        </w:tblPrEx>
        <w:trPr>
          <w:trHeight w:val="684"/>
        </w:trPr>
        <w:tc>
          <w:tcPr>
            <w:tcW w:w="10188" w:type="dxa"/>
            <w:gridSpan w:val="4"/>
            <w:vAlign w:val="center"/>
          </w:tcPr>
          <w:p w:rsidR="00CF4D6C" w:rsidRPr="00CF4D6C" w:rsidRDefault="00CF4D6C" w:rsidP="005558C4">
            <w:pPr>
              <w:rPr>
                <w:sz w:val="22"/>
                <w:szCs w:val="22"/>
              </w:rPr>
            </w:pPr>
            <w:r w:rsidRPr="00CF4D6C">
              <w:rPr>
                <w:sz w:val="22"/>
                <w:szCs w:val="22"/>
              </w:rPr>
              <w:lastRenderedPageBreak/>
              <w:t>Za vakcine se ne zahtijeva procjena farmakokinetičkih studija.</w:t>
            </w: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5.3. Pretklinički podaci o bezbjednosti lijeka</w:t>
            </w:r>
          </w:p>
        </w:tc>
      </w:tr>
      <w:tr w:rsidR="00CF4D6C" w:rsidRPr="00CF4D6C" w:rsidTr="005558C4">
        <w:tblPrEx>
          <w:tblCellMar>
            <w:top w:w="0" w:type="dxa"/>
            <w:bottom w:w="0" w:type="dxa"/>
          </w:tblCellMar>
        </w:tblPrEx>
        <w:trPr>
          <w:trHeight w:val="1823"/>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Ispitivanja toksičnosti pojedinačnih doza  i ponovljenih doza kao ni ispitivanja lokalne podnošljivosti nijesu otkrila posebne opasnosti za ljude.</w:t>
            </w:r>
          </w:p>
          <w:p w:rsidR="00CF4D6C" w:rsidRPr="00CF4D6C" w:rsidRDefault="00CF4D6C" w:rsidP="005558C4">
            <w:pPr>
              <w:rPr>
                <w:sz w:val="22"/>
                <w:szCs w:val="22"/>
              </w:rPr>
            </w:pPr>
          </w:p>
          <w:p w:rsidR="00CF4D6C" w:rsidRPr="00CF4D6C" w:rsidRDefault="00CF4D6C" w:rsidP="005558C4">
            <w:pPr>
              <w:pStyle w:val="Header"/>
              <w:tabs>
                <w:tab w:val="left" w:pos="284"/>
              </w:tabs>
              <w:rPr>
                <w:sz w:val="22"/>
                <w:szCs w:val="22"/>
              </w:rPr>
            </w:pPr>
            <w:r w:rsidRPr="00CF4D6C">
              <w:rPr>
                <w:sz w:val="22"/>
                <w:szCs w:val="22"/>
              </w:rPr>
              <w:t xml:space="preserve">Vakcina </w:t>
            </w:r>
            <w:r w:rsidRPr="00CF4D6C">
              <w:rPr>
                <w:b/>
                <w:sz w:val="22"/>
                <w:szCs w:val="22"/>
              </w:rPr>
              <w:t>GARDASIL</w:t>
            </w:r>
            <w:r w:rsidRPr="00CF4D6C">
              <w:rPr>
                <w:b/>
                <w:sz w:val="22"/>
                <w:szCs w:val="22"/>
                <w:vertAlign w:val="superscript"/>
              </w:rPr>
              <w:t>®</w:t>
            </w:r>
            <w:r w:rsidRPr="00CF4D6C">
              <w:rPr>
                <w:sz w:val="22"/>
                <w:szCs w:val="22"/>
              </w:rPr>
              <w:t xml:space="preserve"> je indukovala stvaranje specifičnih antitijela protiv HPV tipova 6, 11, 16 i 18 kod skotnih pacova, poslije jedne kao i poslije više intramuskularnih injekcija. Antitijela protiv sva 4 tipa HPV prenošena su na potomke u toku gestacije, a moguće čak i u toku dojenja. Nije bilo dejstava na razvoj, ponašanje, reproduktivnu sposobnost kao ni na plodnost potomaka, a koja su posljedica terapije.</w:t>
            </w:r>
          </w:p>
          <w:p w:rsidR="00CF4D6C" w:rsidRPr="00CF4D6C" w:rsidRDefault="00CF4D6C" w:rsidP="005558C4">
            <w:pPr>
              <w:pStyle w:val="Header"/>
              <w:tabs>
                <w:tab w:val="left" w:pos="284"/>
              </w:tabs>
              <w:rPr>
                <w:sz w:val="22"/>
                <w:szCs w:val="22"/>
              </w:rPr>
            </w:pPr>
          </w:p>
          <w:p w:rsidR="00CF4D6C" w:rsidRPr="00CF4D6C" w:rsidRDefault="00CF4D6C" w:rsidP="005558C4">
            <w:pPr>
              <w:pStyle w:val="Header"/>
              <w:tabs>
                <w:tab w:val="left" w:pos="284"/>
              </w:tabs>
              <w:rPr>
                <w:sz w:val="22"/>
                <w:szCs w:val="22"/>
              </w:rPr>
            </w:pPr>
            <w:r w:rsidRPr="00CF4D6C">
              <w:rPr>
                <w:noProof/>
                <w:sz w:val="22"/>
                <w:szCs w:val="22"/>
              </w:rPr>
              <w:t xml:space="preserve">Vakcina </w:t>
            </w:r>
            <w:r w:rsidRPr="00CF4D6C">
              <w:rPr>
                <w:b/>
                <w:noProof/>
                <w:sz w:val="22"/>
                <w:szCs w:val="22"/>
              </w:rPr>
              <w:t xml:space="preserve">GARDASIL </w:t>
            </w:r>
            <w:r w:rsidRPr="00CF4D6C">
              <w:rPr>
                <w:noProof/>
                <w:sz w:val="22"/>
                <w:szCs w:val="22"/>
              </w:rPr>
              <w:t>primjenjena kod mužjaka pacova u punoj dozi (120 mikrograma ukupnih proteina) nije imala efekta na reproduktivne sposobnosti pacova, uključujući plodnost, pokretljivost spermatozoida i broj spermatozoida, a takođe nije bilo ni vakcinom izazvanih vidljivih ili histomorfoloških promena na testisima niti promene u težini testisa.</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6. FARMACEUTSKI PODACI</w:t>
            </w: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6.1. Lista pomoćnih supstanci</w:t>
            </w:r>
          </w:p>
        </w:tc>
      </w:tr>
      <w:tr w:rsidR="00CF4D6C" w:rsidRPr="00CF4D6C" w:rsidTr="005558C4">
        <w:tblPrEx>
          <w:tblCellMar>
            <w:top w:w="0" w:type="dxa"/>
            <w:bottom w:w="0" w:type="dxa"/>
          </w:tblCellMar>
        </w:tblPrEx>
        <w:trPr>
          <w:trHeight w:val="779"/>
        </w:trPr>
        <w:tc>
          <w:tcPr>
            <w:tcW w:w="10188" w:type="dxa"/>
            <w:gridSpan w:val="4"/>
            <w:vAlign w:val="center"/>
          </w:tcPr>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Natrijum hlorid</w:t>
            </w:r>
          </w:p>
          <w:p w:rsidR="00CF4D6C" w:rsidRPr="00CF4D6C" w:rsidRDefault="00CF4D6C" w:rsidP="005558C4">
            <w:pPr>
              <w:rPr>
                <w:sz w:val="22"/>
                <w:szCs w:val="22"/>
              </w:rPr>
            </w:pPr>
            <w:r w:rsidRPr="00CF4D6C">
              <w:rPr>
                <w:sz w:val="22"/>
                <w:szCs w:val="22"/>
              </w:rPr>
              <w:t>L-histidin</w:t>
            </w:r>
          </w:p>
          <w:p w:rsidR="00CF4D6C" w:rsidRPr="00CF4D6C" w:rsidRDefault="00CF4D6C" w:rsidP="005558C4">
            <w:pPr>
              <w:rPr>
                <w:sz w:val="22"/>
                <w:szCs w:val="22"/>
              </w:rPr>
            </w:pPr>
            <w:r w:rsidRPr="00CF4D6C">
              <w:rPr>
                <w:sz w:val="22"/>
                <w:szCs w:val="22"/>
              </w:rPr>
              <w:t>Polisorbat 80</w:t>
            </w:r>
          </w:p>
          <w:p w:rsidR="00CF4D6C" w:rsidRPr="00CF4D6C" w:rsidRDefault="00CF4D6C" w:rsidP="005558C4">
            <w:pPr>
              <w:rPr>
                <w:sz w:val="22"/>
                <w:szCs w:val="22"/>
              </w:rPr>
            </w:pPr>
            <w:r w:rsidRPr="00CF4D6C">
              <w:rPr>
                <w:sz w:val="22"/>
                <w:szCs w:val="22"/>
              </w:rPr>
              <w:t>Natrijum borat</w:t>
            </w:r>
          </w:p>
          <w:p w:rsidR="00CF4D6C" w:rsidRPr="00CF4D6C" w:rsidRDefault="00CF4D6C" w:rsidP="005558C4">
            <w:pPr>
              <w:rPr>
                <w:sz w:val="22"/>
                <w:szCs w:val="22"/>
              </w:rPr>
            </w:pPr>
            <w:r w:rsidRPr="00CF4D6C">
              <w:rPr>
                <w:sz w:val="22"/>
                <w:szCs w:val="22"/>
              </w:rPr>
              <w:t>Voda za injekcije</w:t>
            </w:r>
          </w:p>
          <w:p w:rsidR="00CF4D6C" w:rsidRPr="00CF4D6C" w:rsidRDefault="00CF4D6C" w:rsidP="005558C4">
            <w:pPr>
              <w:rPr>
                <w:sz w:val="22"/>
                <w:szCs w:val="22"/>
              </w:rPr>
            </w:pPr>
          </w:p>
          <w:p w:rsidR="00CF4D6C" w:rsidRPr="00CF4D6C" w:rsidRDefault="00CF4D6C" w:rsidP="005558C4">
            <w:pPr>
              <w:rPr>
                <w:sz w:val="22"/>
                <w:szCs w:val="22"/>
              </w:rPr>
            </w:pPr>
            <w:r w:rsidRPr="00CF4D6C">
              <w:rPr>
                <w:sz w:val="22"/>
                <w:szCs w:val="22"/>
              </w:rPr>
              <w:t>Za adjuvant, vidjeti odjeljak 2.</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6.2. Inkompatibilnost</w:t>
            </w:r>
          </w:p>
        </w:tc>
      </w:tr>
      <w:tr w:rsidR="00CF4D6C" w:rsidRPr="00CF4D6C" w:rsidTr="005558C4">
        <w:tblPrEx>
          <w:tblCellMar>
            <w:top w:w="0" w:type="dxa"/>
            <w:bottom w:w="0" w:type="dxa"/>
          </w:tblCellMar>
        </w:tblPrEx>
        <w:trPr>
          <w:trHeight w:val="833"/>
        </w:trPr>
        <w:tc>
          <w:tcPr>
            <w:tcW w:w="10188" w:type="dxa"/>
            <w:gridSpan w:val="4"/>
            <w:vAlign w:val="center"/>
          </w:tcPr>
          <w:p w:rsidR="00CF4D6C" w:rsidRPr="00CF4D6C" w:rsidRDefault="00CF4D6C" w:rsidP="005558C4">
            <w:pPr>
              <w:pStyle w:val="Header"/>
              <w:tabs>
                <w:tab w:val="left" w:pos="284"/>
              </w:tabs>
              <w:rPr>
                <w:sz w:val="22"/>
                <w:szCs w:val="22"/>
              </w:rPr>
            </w:pPr>
            <w:r w:rsidRPr="00CF4D6C">
              <w:rPr>
                <w:sz w:val="22"/>
                <w:szCs w:val="22"/>
              </w:rPr>
              <w:t>Zbog nedostatka ispitivanja kompatibilnosti, ovaj lijek se ne smije miješati sa drugim ljekovima.</w:t>
            </w: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6.3. Rok upotrebe</w:t>
            </w:r>
          </w:p>
        </w:tc>
      </w:tr>
      <w:tr w:rsidR="00CF4D6C" w:rsidRPr="00CF4D6C" w:rsidTr="005558C4">
        <w:tblPrEx>
          <w:tblCellMar>
            <w:top w:w="0" w:type="dxa"/>
            <w:bottom w:w="0" w:type="dxa"/>
          </w:tblCellMar>
        </w:tblPrEx>
        <w:trPr>
          <w:trHeight w:val="851"/>
        </w:trPr>
        <w:tc>
          <w:tcPr>
            <w:tcW w:w="10188" w:type="dxa"/>
            <w:gridSpan w:val="4"/>
            <w:vAlign w:val="center"/>
          </w:tcPr>
          <w:p w:rsidR="00CF4D6C" w:rsidRPr="00CF4D6C" w:rsidRDefault="00CF4D6C" w:rsidP="005558C4">
            <w:pPr>
              <w:pStyle w:val="Header"/>
              <w:tabs>
                <w:tab w:val="left" w:pos="284"/>
              </w:tabs>
              <w:rPr>
                <w:sz w:val="22"/>
                <w:szCs w:val="22"/>
              </w:rPr>
            </w:pPr>
            <w:r w:rsidRPr="00CF4D6C">
              <w:rPr>
                <w:sz w:val="22"/>
                <w:szCs w:val="22"/>
              </w:rPr>
              <w:t>3 godine.</w:t>
            </w: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6.4. Posebne mjere upozorenja pri čuvanju</w:t>
            </w:r>
          </w:p>
        </w:tc>
      </w:tr>
      <w:tr w:rsidR="00CF4D6C" w:rsidRPr="00CF4D6C" w:rsidTr="005558C4">
        <w:tblPrEx>
          <w:tblCellMar>
            <w:top w:w="0" w:type="dxa"/>
            <w:bottom w:w="0" w:type="dxa"/>
          </w:tblCellMar>
        </w:tblPrEx>
        <w:trPr>
          <w:trHeight w:val="671"/>
        </w:trPr>
        <w:tc>
          <w:tcPr>
            <w:tcW w:w="10188" w:type="dxa"/>
            <w:gridSpan w:val="4"/>
            <w:vAlign w:val="center"/>
          </w:tcPr>
          <w:p w:rsidR="00CF4D6C" w:rsidRPr="00CF4D6C" w:rsidRDefault="00CF4D6C" w:rsidP="005558C4">
            <w:pPr>
              <w:tabs>
                <w:tab w:val="left" w:pos="-720"/>
                <w:tab w:val="left" w:pos="540"/>
              </w:tabs>
              <w:rPr>
                <w:sz w:val="22"/>
                <w:szCs w:val="22"/>
              </w:rPr>
            </w:pPr>
          </w:p>
          <w:p w:rsidR="00CF4D6C" w:rsidRPr="00CF4D6C" w:rsidRDefault="00CF4D6C" w:rsidP="005558C4">
            <w:pPr>
              <w:tabs>
                <w:tab w:val="left" w:pos="-720"/>
                <w:tab w:val="left" w:pos="540"/>
              </w:tabs>
              <w:rPr>
                <w:sz w:val="22"/>
                <w:szCs w:val="22"/>
              </w:rPr>
            </w:pPr>
            <w:r w:rsidRPr="00CF4D6C">
              <w:rPr>
                <w:sz w:val="22"/>
                <w:szCs w:val="22"/>
              </w:rPr>
              <w:t>Čuvati u frižideru (2ºC do 8 ºC).</w:t>
            </w:r>
          </w:p>
          <w:p w:rsidR="00CF4D6C" w:rsidRPr="00CF4D6C" w:rsidRDefault="00CF4D6C" w:rsidP="005558C4">
            <w:pPr>
              <w:pStyle w:val="Header"/>
              <w:tabs>
                <w:tab w:val="left" w:pos="284"/>
              </w:tabs>
              <w:rPr>
                <w:sz w:val="22"/>
                <w:szCs w:val="22"/>
              </w:rPr>
            </w:pPr>
            <w:r w:rsidRPr="00CF4D6C">
              <w:rPr>
                <w:sz w:val="22"/>
                <w:szCs w:val="22"/>
              </w:rPr>
              <w:t>Ne zamrzavati. Napunjeni injekcioni špric čuvati u spoljašnjoj kartonskoj kutiji radi zaštite od svjetlosti.</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lastRenderedPageBreak/>
              <w:t>6.5. Priroda i sadržaj kontaktne ambalaže</w:t>
            </w:r>
          </w:p>
        </w:tc>
      </w:tr>
      <w:tr w:rsidR="00CF4D6C" w:rsidRPr="00CF4D6C" w:rsidTr="005558C4">
        <w:tblPrEx>
          <w:tblCellMar>
            <w:top w:w="0" w:type="dxa"/>
            <w:bottom w:w="0" w:type="dxa"/>
          </w:tblCellMar>
        </w:tblPrEx>
        <w:trPr>
          <w:trHeight w:val="671"/>
        </w:trPr>
        <w:tc>
          <w:tcPr>
            <w:tcW w:w="10188" w:type="dxa"/>
            <w:gridSpan w:val="4"/>
            <w:vAlign w:val="center"/>
          </w:tcPr>
          <w:p w:rsidR="00CF4D6C" w:rsidRPr="00CF4D6C" w:rsidRDefault="00CF4D6C" w:rsidP="005558C4">
            <w:pPr>
              <w:rPr>
                <w:i/>
                <w:sz w:val="22"/>
                <w:szCs w:val="22"/>
                <w:highlight w:val="yellow"/>
              </w:rPr>
            </w:pPr>
          </w:p>
          <w:p w:rsidR="00CF4D6C" w:rsidRPr="00CF4D6C" w:rsidRDefault="00CF4D6C" w:rsidP="005558C4">
            <w:pPr>
              <w:rPr>
                <w:sz w:val="22"/>
                <w:szCs w:val="22"/>
              </w:rPr>
            </w:pPr>
            <w:r w:rsidRPr="00CF4D6C">
              <w:rPr>
                <w:sz w:val="22"/>
                <w:szCs w:val="22"/>
              </w:rPr>
              <w:t xml:space="preserve">0.5 ml suspenzije nalazi se u napunjenom injekcionom špricu (staklo tipa 1) sa klipom (silikonom obloženi FluroTec bromobutil elastomer ili neobloženi hlorobutil elastomer) i kapicom na vrhu (bromobutil) sa dvije igle i zaštitom za iglu u pakovanju od jednog napunjenog injekcionog šprica. </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vAlign w:val="center"/>
          </w:tcPr>
          <w:p w:rsidR="00CF4D6C" w:rsidRPr="00CF4D6C" w:rsidRDefault="00CF4D6C" w:rsidP="005558C4">
            <w:pPr>
              <w:pStyle w:val="Header"/>
              <w:tabs>
                <w:tab w:val="left" w:pos="284"/>
              </w:tabs>
              <w:spacing w:before="80" w:after="80"/>
              <w:rPr>
                <w:b/>
                <w:bCs/>
                <w:sz w:val="22"/>
                <w:szCs w:val="22"/>
              </w:rPr>
            </w:pPr>
            <w:r w:rsidRPr="00CF4D6C">
              <w:rPr>
                <w:b/>
                <w:bCs/>
                <w:sz w:val="22"/>
                <w:szCs w:val="22"/>
              </w:rPr>
              <w:t xml:space="preserve">6.6. Posebne mjere opreza pri odlaganju materijala koji treba odbaciti nakon primjene lijeka </w:t>
            </w:r>
          </w:p>
        </w:tc>
      </w:tr>
      <w:tr w:rsidR="00CF4D6C" w:rsidRPr="00CF4D6C" w:rsidTr="005558C4">
        <w:tblPrEx>
          <w:tblCellMar>
            <w:top w:w="0" w:type="dxa"/>
            <w:bottom w:w="0" w:type="dxa"/>
          </w:tblCellMar>
        </w:tblPrEx>
        <w:trPr>
          <w:trHeight w:val="1031"/>
        </w:trPr>
        <w:tc>
          <w:tcPr>
            <w:tcW w:w="10188" w:type="dxa"/>
            <w:gridSpan w:val="4"/>
            <w:vAlign w:val="center"/>
          </w:tcPr>
          <w:p w:rsidR="00CF4D6C" w:rsidRPr="00CF4D6C" w:rsidRDefault="00CF4D6C" w:rsidP="005558C4">
            <w:pPr>
              <w:rPr>
                <w:sz w:val="22"/>
                <w:szCs w:val="22"/>
              </w:rPr>
            </w:pPr>
          </w:p>
          <w:p w:rsidR="00CF4D6C" w:rsidRPr="00CF4D6C" w:rsidRDefault="00CF4D6C" w:rsidP="005558C4">
            <w:pPr>
              <w:widowControl w:val="0"/>
              <w:rPr>
                <w:sz w:val="22"/>
                <w:szCs w:val="22"/>
              </w:rPr>
            </w:pPr>
            <w:r w:rsidRPr="00CF4D6C">
              <w:rPr>
                <w:sz w:val="22"/>
                <w:szCs w:val="22"/>
              </w:rPr>
              <w:t xml:space="preserve">Vakcina </w:t>
            </w:r>
            <w:r w:rsidRPr="00CF4D6C">
              <w:rPr>
                <w:b/>
                <w:sz w:val="22"/>
                <w:szCs w:val="22"/>
              </w:rPr>
              <w:t>GARDASIL</w:t>
            </w:r>
            <w:r w:rsidRPr="00CF4D6C">
              <w:rPr>
                <w:b/>
                <w:sz w:val="22"/>
                <w:szCs w:val="22"/>
                <w:vertAlign w:val="superscript"/>
              </w:rPr>
              <w:t>®</w:t>
            </w:r>
            <w:r w:rsidRPr="00CF4D6C">
              <w:rPr>
                <w:sz w:val="22"/>
                <w:szCs w:val="22"/>
              </w:rPr>
              <w:t xml:space="preserve"> je dostupna u obliku prethodno napunjenog šprica spremnog za upotrebu kao intramuskularna injekcija (i.m.), namijenjena prvenstveno za primjenu u deltoidnoj regiji nadlaktice. </w:t>
            </w:r>
          </w:p>
          <w:p w:rsidR="00CF4D6C" w:rsidRPr="00CF4D6C" w:rsidRDefault="00CF4D6C" w:rsidP="005558C4">
            <w:pPr>
              <w:widowControl w:val="0"/>
              <w:rPr>
                <w:sz w:val="22"/>
                <w:szCs w:val="22"/>
              </w:rPr>
            </w:pPr>
            <w:r w:rsidRPr="00CF4D6C">
              <w:rPr>
                <w:sz w:val="22"/>
                <w:szCs w:val="22"/>
              </w:rPr>
              <w:t xml:space="preserve">Ako su u pakovanju priložene 2 igle različite dužine, odaberite odgovarajuću iglu da bi ste obezbijedili i.m. primjenu prema dimenzijama i težini vašeg pacijenta. </w:t>
            </w:r>
          </w:p>
          <w:p w:rsidR="00CF4D6C" w:rsidRPr="00CF4D6C" w:rsidRDefault="00CF4D6C" w:rsidP="005558C4">
            <w:pPr>
              <w:widowControl w:val="0"/>
              <w:rPr>
                <w:sz w:val="22"/>
                <w:szCs w:val="22"/>
              </w:rPr>
            </w:pPr>
            <w:r w:rsidRPr="00CF4D6C">
              <w:rPr>
                <w:sz w:val="22"/>
                <w:szCs w:val="22"/>
              </w:rPr>
              <w:t>Ljekove za parenteralnu primjenu neophodno je prije primjene dobro vizuelno provjeriti da bi se utvrdilo eventualno prisustvo čestica ili obezbojavanja. Proizvodi kod kojih su prisutne čestice ili obezbojavanje ne smiju se koristiti. Odlaganje neupotrebljenog proizvoda i otpadnog materijala vrši se u skladu sa lokalnim propisima.</w:t>
            </w:r>
          </w:p>
          <w:p w:rsidR="00CF4D6C" w:rsidRPr="00CF4D6C" w:rsidRDefault="00CF4D6C" w:rsidP="005558C4">
            <w:pPr>
              <w:rPr>
                <w:b/>
                <w:sz w:val="22"/>
                <w:szCs w:val="22"/>
              </w:rPr>
            </w:pPr>
          </w:p>
          <w:p w:rsidR="00CF4D6C" w:rsidRPr="00CF4D6C" w:rsidRDefault="00CF4D6C" w:rsidP="005558C4">
            <w:pPr>
              <w:widowControl w:val="0"/>
              <w:rPr>
                <w:bCs/>
                <w:sz w:val="22"/>
                <w:szCs w:val="22"/>
                <w:u w:val="single"/>
              </w:rPr>
            </w:pPr>
            <w:r w:rsidRPr="00CF4D6C">
              <w:rPr>
                <w:b/>
                <w:sz w:val="22"/>
                <w:szCs w:val="22"/>
                <w:u w:val="single"/>
              </w:rPr>
              <w:t xml:space="preserve">Upotreba napunjenog šprica </w:t>
            </w:r>
          </w:p>
          <w:p w:rsidR="00CF4D6C" w:rsidRPr="00CF4D6C" w:rsidRDefault="00CF4D6C" w:rsidP="005558C4">
            <w:pPr>
              <w:widowControl w:val="0"/>
              <w:ind w:left="700"/>
              <w:rPr>
                <w:bCs/>
                <w:sz w:val="22"/>
                <w:szCs w:val="22"/>
                <w:u w:val="single"/>
              </w:rPr>
            </w:pPr>
          </w:p>
          <w:p w:rsidR="00CF4D6C" w:rsidRPr="00CF4D6C" w:rsidRDefault="00CF4D6C" w:rsidP="005558C4">
            <w:pPr>
              <w:rPr>
                <w:b/>
                <w:sz w:val="22"/>
                <w:szCs w:val="22"/>
              </w:rPr>
            </w:pPr>
            <w:r w:rsidRPr="00CF4D6C">
              <w:rPr>
                <w:sz w:val="22"/>
                <w:szCs w:val="22"/>
              </w:rPr>
              <w:t xml:space="preserve">Dobro promućkajte prije upotrebe. Namjestite iglu okrećući je u smjeru kazaljke na satu sve dok igla ne bude sigurno pričvršćena na špric. Ubrizgajte </w:t>
            </w:r>
            <w:r w:rsidRPr="00CF4D6C">
              <w:rPr>
                <w:b/>
                <w:sz w:val="22"/>
                <w:szCs w:val="22"/>
              </w:rPr>
              <w:t>cijelu dozu</w:t>
            </w:r>
            <w:r w:rsidRPr="00CF4D6C">
              <w:rPr>
                <w:sz w:val="22"/>
                <w:szCs w:val="22"/>
              </w:rPr>
              <w:t xml:space="preserve"> prema standarnom protokolu.</w:t>
            </w:r>
          </w:p>
          <w:p w:rsidR="00CF4D6C" w:rsidRPr="00CF4D6C" w:rsidRDefault="00CF4D6C" w:rsidP="005558C4">
            <w:pPr>
              <w:rPr>
                <w:b/>
                <w:sz w:val="22"/>
                <w:szCs w:val="22"/>
              </w:rPr>
            </w:pPr>
          </w:p>
          <w:p w:rsidR="00CF4D6C" w:rsidRPr="00CF4D6C" w:rsidRDefault="00CF4D6C" w:rsidP="005558C4">
            <w:pPr>
              <w:pStyle w:val="Header"/>
              <w:tabs>
                <w:tab w:val="left" w:pos="284"/>
              </w:tabs>
              <w:rPr>
                <w:b/>
                <w:sz w:val="22"/>
                <w:szCs w:val="22"/>
              </w:rPr>
            </w:pPr>
            <w:r w:rsidRPr="00CF4D6C">
              <w:rPr>
                <w:b/>
                <w:sz w:val="22"/>
                <w:szCs w:val="22"/>
              </w:rPr>
              <w:t>6.7 Režim izdavanja lijeka</w:t>
            </w:r>
          </w:p>
          <w:p w:rsidR="00CF4D6C" w:rsidRPr="00CF4D6C" w:rsidRDefault="00CF4D6C" w:rsidP="005558C4">
            <w:pPr>
              <w:pStyle w:val="Header"/>
              <w:tabs>
                <w:tab w:val="left" w:pos="284"/>
              </w:tabs>
              <w:rPr>
                <w:b/>
                <w:sz w:val="22"/>
                <w:szCs w:val="22"/>
              </w:rPr>
            </w:pPr>
          </w:p>
          <w:p w:rsidR="00CF4D6C" w:rsidRPr="00CF4D6C" w:rsidRDefault="00CF4D6C" w:rsidP="005558C4">
            <w:pPr>
              <w:widowControl w:val="0"/>
              <w:rPr>
                <w:sz w:val="22"/>
                <w:szCs w:val="22"/>
              </w:rPr>
            </w:pPr>
            <w:r w:rsidRPr="00CF4D6C">
              <w:rPr>
                <w:sz w:val="22"/>
                <w:szCs w:val="22"/>
              </w:rPr>
              <w:t>Lijek se može upotrebljavati u zdravstvenoj ustanovi.</w:t>
            </w:r>
          </w:p>
        </w:tc>
      </w:tr>
      <w:tr w:rsidR="00CF4D6C" w:rsidRPr="00CF4D6C" w:rsidTr="005558C4">
        <w:tblPrEx>
          <w:tblCellMar>
            <w:top w:w="0" w:type="dxa"/>
            <w:bottom w:w="0" w:type="dxa"/>
          </w:tblCellMar>
        </w:tblPrEx>
        <w:trPr>
          <w:trHeight w:val="356"/>
        </w:trPr>
        <w:tc>
          <w:tcPr>
            <w:tcW w:w="10188" w:type="dxa"/>
            <w:gridSpan w:val="4"/>
            <w:shd w:val="clear" w:color="auto" w:fill="auto"/>
            <w:vAlign w:val="center"/>
          </w:tcPr>
          <w:p w:rsidR="00CF4D6C" w:rsidRPr="00CF4D6C" w:rsidRDefault="00CF4D6C" w:rsidP="005558C4">
            <w:pPr>
              <w:rPr>
                <w:sz w:val="22"/>
                <w:szCs w:val="22"/>
              </w:rPr>
            </w:pPr>
          </w:p>
        </w:tc>
      </w:tr>
      <w:tr w:rsidR="00CF4D6C" w:rsidRPr="00CF4D6C" w:rsidTr="005558C4">
        <w:tblPrEx>
          <w:tblCellMar>
            <w:top w:w="0" w:type="dxa"/>
            <w:bottom w:w="0" w:type="dxa"/>
          </w:tblCellMar>
        </w:tblPrEx>
        <w:trPr>
          <w:trHeight w:val="356"/>
        </w:trPr>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 xml:space="preserve">7. NOSILAC DOZVOLE </w:t>
            </w:r>
          </w:p>
        </w:tc>
      </w:tr>
      <w:tr w:rsidR="00CF4D6C" w:rsidRPr="00CF4D6C" w:rsidTr="005558C4">
        <w:tblPrEx>
          <w:tblCellMar>
            <w:top w:w="0" w:type="dxa"/>
            <w:bottom w:w="0" w:type="dxa"/>
          </w:tblCellMar>
        </w:tblPrEx>
        <w:trPr>
          <w:trHeight w:val="896"/>
        </w:trPr>
        <w:tc>
          <w:tcPr>
            <w:tcW w:w="10188" w:type="dxa"/>
            <w:gridSpan w:val="4"/>
            <w:vAlign w:val="center"/>
          </w:tcPr>
          <w:p w:rsidR="00CF4D6C" w:rsidRPr="00CF4D6C" w:rsidRDefault="00CF4D6C" w:rsidP="005558C4">
            <w:pPr>
              <w:rPr>
                <w:sz w:val="22"/>
                <w:szCs w:val="22"/>
              </w:rPr>
            </w:pPr>
          </w:p>
          <w:p w:rsidR="00CF4D6C" w:rsidRPr="00CF4D6C" w:rsidRDefault="00CF4D6C" w:rsidP="005558C4">
            <w:pPr>
              <w:pStyle w:val="Header"/>
              <w:tabs>
                <w:tab w:val="left" w:pos="284"/>
              </w:tabs>
              <w:rPr>
                <w:sz w:val="22"/>
                <w:szCs w:val="22"/>
              </w:rPr>
            </w:pPr>
            <w:r w:rsidRPr="00CF4D6C">
              <w:rPr>
                <w:sz w:val="22"/>
                <w:szCs w:val="22"/>
              </w:rPr>
              <w:t>DRUŠTVO ZA TRGOVINU NA VELIKO FARMACEUTSKIM PROIZVODIMA „GLOSARIJ“ D.O.O., Vojislavljevića 76, Podgorica, Crna Gora.</w:t>
            </w:r>
          </w:p>
          <w:p w:rsidR="00CF4D6C" w:rsidRPr="00CF4D6C" w:rsidRDefault="00CF4D6C" w:rsidP="005558C4">
            <w:pPr>
              <w:pStyle w:val="Header"/>
              <w:tabs>
                <w:tab w:val="left" w:pos="284"/>
              </w:tabs>
              <w:rPr>
                <w:sz w:val="22"/>
                <w:szCs w:val="22"/>
              </w:rPr>
            </w:pPr>
          </w:p>
        </w:tc>
      </w:tr>
      <w:tr w:rsidR="00CF4D6C" w:rsidRPr="00CF4D6C" w:rsidTr="005558C4">
        <w:tblPrEx>
          <w:tblCellMar>
            <w:top w:w="0" w:type="dxa"/>
            <w:bottom w:w="0" w:type="dxa"/>
          </w:tblCellMar>
        </w:tblPrEx>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8. BROJ PRVE DOZVOLE I OBNOVE DOZVOLE</w:t>
            </w:r>
          </w:p>
        </w:tc>
      </w:tr>
      <w:tr w:rsidR="00CF4D6C" w:rsidRPr="00CF4D6C" w:rsidTr="005558C4">
        <w:tblPrEx>
          <w:tblCellMar>
            <w:top w:w="0" w:type="dxa"/>
            <w:bottom w:w="0" w:type="dxa"/>
          </w:tblCellMar>
        </w:tblPrEx>
        <w:trPr>
          <w:trHeight w:val="869"/>
        </w:trPr>
        <w:tc>
          <w:tcPr>
            <w:tcW w:w="10188" w:type="dxa"/>
            <w:gridSpan w:val="4"/>
            <w:vAlign w:val="center"/>
          </w:tcPr>
          <w:p w:rsidR="00CF4D6C" w:rsidRPr="00CF4D6C" w:rsidRDefault="008842F8" w:rsidP="008842F8">
            <w:pPr>
              <w:rPr>
                <w:sz w:val="22"/>
                <w:szCs w:val="22"/>
              </w:rPr>
            </w:pPr>
            <w:r w:rsidRPr="008842F8">
              <w:rPr>
                <w:sz w:val="22"/>
                <w:szCs w:val="22"/>
              </w:rPr>
              <w:t>Gardasil</w:t>
            </w:r>
            <w:r w:rsidRPr="008842F8">
              <w:rPr>
                <w:sz w:val="22"/>
                <w:szCs w:val="22"/>
                <w:vertAlign w:val="superscript"/>
              </w:rPr>
              <w:t>®</w:t>
            </w:r>
            <w:r w:rsidRPr="008842F8">
              <w:rPr>
                <w:sz w:val="22"/>
                <w:szCs w:val="22"/>
              </w:rPr>
              <w:t>,</w:t>
            </w:r>
            <w:r>
              <w:rPr>
                <w:sz w:val="22"/>
                <w:szCs w:val="22"/>
              </w:rPr>
              <w:t xml:space="preserve"> s</w:t>
            </w:r>
            <w:r w:rsidRPr="008842F8">
              <w:rPr>
                <w:sz w:val="22"/>
                <w:szCs w:val="22"/>
              </w:rPr>
              <w:t>uspenzija za injekciju,</w:t>
            </w:r>
            <w:r>
              <w:rPr>
                <w:sz w:val="22"/>
                <w:szCs w:val="22"/>
              </w:rPr>
              <w:t xml:space="preserve"> </w:t>
            </w:r>
            <w:r w:rsidRPr="008842F8">
              <w:rPr>
                <w:sz w:val="22"/>
                <w:szCs w:val="22"/>
              </w:rPr>
              <w:t>20 mcg + 40 mcg + 40 mcg + 20 mcg,</w:t>
            </w:r>
            <w:r>
              <w:rPr>
                <w:sz w:val="22"/>
                <w:szCs w:val="22"/>
              </w:rPr>
              <w:t xml:space="preserve"> </w:t>
            </w:r>
            <w:r w:rsidRPr="008842F8">
              <w:rPr>
                <w:sz w:val="22"/>
                <w:szCs w:val="22"/>
              </w:rPr>
              <w:t>napunjen  injekcioni špric, 1x0,5 ml</w:t>
            </w:r>
            <w:r>
              <w:rPr>
                <w:sz w:val="22"/>
                <w:szCs w:val="22"/>
              </w:rPr>
              <w:t xml:space="preserve">: </w:t>
            </w:r>
            <w:r w:rsidRPr="008842F8">
              <w:rPr>
                <w:sz w:val="22"/>
                <w:szCs w:val="22"/>
              </w:rPr>
              <w:t>2030/14/175 - 2025</w:t>
            </w:r>
          </w:p>
        </w:tc>
      </w:tr>
      <w:tr w:rsidR="00CF4D6C" w:rsidRPr="00CF4D6C" w:rsidTr="005558C4">
        <w:tblPrEx>
          <w:tblCellMar>
            <w:top w:w="0" w:type="dxa"/>
            <w:bottom w:w="0" w:type="dxa"/>
          </w:tblCellMar>
        </w:tblPrEx>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9. DATUM PRVE DOZVOLE I DATUM OBNOVE DOZVOLE</w:t>
            </w:r>
          </w:p>
        </w:tc>
      </w:tr>
      <w:tr w:rsidR="00CF4D6C" w:rsidRPr="00CF4D6C" w:rsidTr="005558C4">
        <w:tblPrEx>
          <w:tblCellMar>
            <w:top w:w="0" w:type="dxa"/>
            <w:bottom w:w="0" w:type="dxa"/>
          </w:tblCellMar>
        </w:tblPrEx>
        <w:trPr>
          <w:trHeight w:val="824"/>
        </w:trPr>
        <w:tc>
          <w:tcPr>
            <w:tcW w:w="10188" w:type="dxa"/>
            <w:gridSpan w:val="4"/>
            <w:vAlign w:val="center"/>
          </w:tcPr>
          <w:p w:rsidR="00CF4D6C" w:rsidRPr="00CF4D6C" w:rsidRDefault="008842F8" w:rsidP="005558C4">
            <w:pPr>
              <w:pStyle w:val="Header"/>
              <w:tabs>
                <w:tab w:val="left" w:pos="284"/>
              </w:tabs>
              <w:rPr>
                <w:sz w:val="22"/>
                <w:szCs w:val="22"/>
              </w:rPr>
            </w:pPr>
            <w:r w:rsidRPr="008842F8">
              <w:rPr>
                <w:sz w:val="22"/>
                <w:szCs w:val="22"/>
              </w:rPr>
              <w:t>Gardasil</w:t>
            </w:r>
            <w:r w:rsidRPr="008842F8">
              <w:rPr>
                <w:sz w:val="22"/>
                <w:szCs w:val="22"/>
                <w:vertAlign w:val="superscript"/>
              </w:rPr>
              <w:t>®</w:t>
            </w:r>
            <w:r w:rsidRPr="008842F8">
              <w:rPr>
                <w:sz w:val="22"/>
                <w:szCs w:val="22"/>
              </w:rPr>
              <w:t>,</w:t>
            </w:r>
            <w:r>
              <w:rPr>
                <w:sz w:val="22"/>
                <w:szCs w:val="22"/>
              </w:rPr>
              <w:t xml:space="preserve"> s</w:t>
            </w:r>
            <w:r w:rsidRPr="008842F8">
              <w:rPr>
                <w:sz w:val="22"/>
                <w:szCs w:val="22"/>
              </w:rPr>
              <w:t>uspenzija za injekciju,</w:t>
            </w:r>
            <w:r>
              <w:rPr>
                <w:sz w:val="22"/>
                <w:szCs w:val="22"/>
              </w:rPr>
              <w:t xml:space="preserve"> </w:t>
            </w:r>
            <w:r w:rsidRPr="008842F8">
              <w:rPr>
                <w:sz w:val="22"/>
                <w:szCs w:val="22"/>
              </w:rPr>
              <w:t>20 mcg + 40 mcg + 40 mcg + 20 mcg,</w:t>
            </w:r>
            <w:r>
              <w:rPr>
                <w:sz w:val="22"/>
                <w:szCs w:val="22"/>
              </w:rPr>
              <w:t xml:space="preserve"> </w:t>
            </w:r>
            <w:r w:rsidRPr="008842F8">
              <w:rPr>
                <w:sz w:val="22"/>
                <w:szCs w:val="22"/>
              </w:rPr>
              <w:t>napunjen  injekcioni špric, 1x0,5 ml</w:t>
            </w:r>
            <w:r>
              <w:rPr>
                <w:sz w:val="22"/>
                <w:szCs w:val="22"/>
              </w:rPr>
              <w:t xml:space="preserve">: </w:t>
            </w:r>
            <w:r w:rsidRPr="008842F8">
              <w:rPr>
                <w:sz w:val="22"/>
                <w:szCs w:val="22"/>
              </w:rPr>
              <w:t>24.04.2014. godine</w:t>
            </w:r>
          </w:p>
        </w:tc>
      </w:tr>
      <w:tr w:rsidR="00CF4D6C" w:rsidRPr="00CF4D6C" w:rsidTr="005558C4">
        <w:tblPrEx>
          <w:tblCellMar>
            <w:top w:w="0" w:type="dxa"/>
            <w:bottom w:w="0" w:type="dxa"/>
          </w:tblCellMar>
        </w:tblPrEx>
        <w:tc>
          <w:tcPr>
            <w:tcW w:w="10188" w:type="dxa"/>
            <w:gridSpan w:val="4"/>
            <w:shd w:val="clear" w:color="auto" w:fill="E0E0E0"/>
            <w:vAlign w:val="center"/>
          </w:tcPr>
          <w:p w:rsidR="00CF4D6C" w:rsidRPr="00CF4D6C" w:rsidRDefault="00CF4D6C" w:rsidP="005558C4">
            <w:pPr>
              <w:pStyle w:val="Header"/>
              <w:tabs>
                <w:tab w:val="left" w:pos="284"/>
              </w:tabs>
              <w:rPr>
                <w:b/>
                <w:bCs/>
                <w:sz w:val="22"/>
                <w:szCs w:val="22"/>
              </w:rPr>
            </w:pPr>
            <w:r w:rsidRPr="00CF4D6C">
              <w:rPr>
                <w:b/>
                <w:bCs/>
                <w:sz w:val="22"/>
                <w:szCs w:val="22"/>
              </w:rPr>
              <w:t>10. DATUM REVIZIJE TEKSTA</w:t>
            </w:r>
          </w:p>
        </w:tc>
      </w:tr>
      <w:tr w:rsidR="00CF4D6C" w:rsidRPr="00CF4D6C" w:rsidTr="005558C4">
        <w:tblPrEx>
          <w:tblCellMar>
            <w:top w:w="0" w:type="dxa"/>
            <w:bottom w:w="0" w:type="dxa"/>
          </w:tblCellMar>
        </w:tblPrEx>
        <w:trPr>
          <w:trHeight w:val="824"/>
        </w:trPr>
        <w:tc>
          <w:tcPr>
            <w:tcW w:w="10188" w:type="dxa"/>
            <w:gridSpan w:val="4"/>
            <w:vAlign w:val="center"/>
          </w:tcPr>
          <w:p w:rsidR="00CF4D6C" w:rsidRPr="00CF4D6C" w:rsidRDefault="008842F8" w:rsidP="005558C4">
            <w:pPr>
              <w:pStyle w:val="Header"/>
              <w:tabs>
                <w:tab w:val="left" w:pos="284"/>
              </w:tabs>
              <w:rPr>
                <w:sz w:val="22"/>
                <w:szCs w:val="22"/>
              </w:rPr>
            </w:pPr>
            <w:r>
              <w:rPr>
                <w:sz w:val="22"/>
                <w:szCs w:val="22"/>
              </w:rPr>
              <w:t>April, 2014.</w:t>
            </w:r>
          </w:p>
        </w:tc>
      </w:tr>
    </w:tbl>
    <w:p w:rsidR="00CF4D6C" w:rsidRPr="00CF4D6C" w:rsidRDefault="00CF4D6C" w:rsidP="00CF4D6C">
      <w:pPr>
        <w:rPr>
          <w:sz w:val="22"/>
          <w:szCs w:val="22"/>
        </w:rPr>
      </w:pPr>
    </w:p>
    <w:p w:rsidR="006768CB" w:rsidRPr="00CF4D6C" w:rsidRDefault="006768CB" w:rsidP="00CF4D6C">
      <w:pPr>
        <w:rPr>
          <w:sz w:val="22"/>
          <w:szCs w:val="22"/>
        </w:rPr>
      </w:pPr>
    </w:p>
    <w:sectPr w:rsidR="006768CB" w:rsidRPr="00CF4D6C" w:rsidSect="00B86396">
      <w:headerReference w:type="default" r:id="rId10"/>
      <w:footerReference w:type="even" r:id="rId11"/>
      <w:footerReference w:type="default" r:id="rId12"/>
      <w:headerReference w:type="first" r:id="rId13"/>
      <w:footerReference w:type="first" r:id="rId14"/>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95" w:rsidRDefault="00D36595">
      <w:r>
        <w:separator/>
      </w:r>
    </w:p>
  </w:endnote>
  <w:endnote w:type="continuationSeparator" w:id="0">
    <w:p w:rsidR="00D36595" w:rsidRDefault="00D3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20B0606020202060204"/>
    <w:charset w:val="EE"/>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EE"/>
    <w:family w:val="roman"/>
    <w:pitch w:val="variable"/>
    <w:sig w:usb0="20002A87" w:usb1="00000000" w:usb2="00000000"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20002A87" w:usb1="00000000" w:usb2="00000000" w:usb3="00000000" w:csb0="000001FF" w:csb1="00000000"/>
  </w:font>
  <w:font w:name="Dutch">
    <w:altName w:val="Courier New"/>
    <w:charset w:val="00"/>
    <w:family w:val="roman"/>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Pr>
        <w:rStyle w:val="PageNumber"/>
      </w:rPr>
      <w:fldChar w:fldCharType="separate"/>
    </w:r>
    <w:r w:rsidR="00413141">
      <w:rPr>
        <w:rStyle w:val="PageNumber"/>
        <w:noProof/>
      </w:rPr>
      <w:t>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Pr>
        <w:rStyle w:val="PageNumber"/>
      </w:rPr>
      <w:fldChar w:fldCharType="separate"/>
    </w:r>
    <w:r w:rsidR="00413141">
      <w:rPr>
        <w:rStyle w:val="PageNumber"/>
        <w:noProof/>
      </w:rPr>
      <w:t>21</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95" w:rsidRDefault="00D36595">
      <w:r>
        <w:separator/>
      </w:r>
    </w:p>
  </w:footnote>
  <w:footnote w:type="continuationSeparator" w:id="0">
    <w:p w:rsidR="00D36595" w:rsidRDefault="00D36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615ADD">
    <w:pPr>
      <w:pStyle w:val="Header"/>
      <w:rPr>
        <w:sz w:val="16"/>
        <w:szCs w:val="16"/>
      </w:rPr>
    </w:pPr>
  </w:p>
  <w:p w:rsidR="00756FDD" w:rsidRPr="00615ADD" w:rsidRDefault="00413141" w:rsidP="00471E3E">
    <w:pPr>
      <w:pStyle w:val="Header"/>
      <w:pBdr>
        <w:top w:val="thinThickSmallGap" w:sz="24" w:space="2" w:color="auto"/>
      </w:pBdr>
    </w:pPr>
    <w:r>
      <w:rPr>
        <w:noProof/>
        <w:sz w:val="16"/>
        <w:szCs w:val="16"/>
        <w:lang w:eastAsia="sr-Latn-ME"/>
      </w:rPr>
      <w:drawing>
        <wp:inline distT="0" distB="0" distL="0" distR="0">
          <wp:extent cx="1415415" cy="970280"/>
          <wp:effectExtent l="0" t="0" r="0" b="127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70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413141">
    <w:pPr>
      <w:pStyle w:val="Header"/>
      <w:rPr>
        <w:sz w:val="16"/>
        <w:szCs w:val="16"/>
      </w:rPr>
    </w:pPr>
    <w:r>
      <w:rPr>
        <w:noProof/>
        <w:sz w:val="16"/>
        <w:szCs w:val="16"/>
        <w:lang w:eastAsia="sr-Latn-ME"/>
      </w:rPr>
      <w:drawing>
        <wp:inline distT="0" distB="0" distL="0" distR="0">
          <wp:extent cx="1447165" cy="262255"/>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262255"/>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DA13DA"/>
    <w:multiLevelType w:val="hybridMultilevel"/>
    <w:tmpl w:val="AB1E23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127410CB"/>
    <w:multiLevelType w:val="hybridMultilevel"/>
    <w:tmpl w:val="089A3C4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2">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D9926D8"/>
    <w:multiLevelType w:val="hybridMultilevel"/>
    <w:tmpl w:val="C398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1">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8"/>
  </w:num>
  <w:num w:numId="4">
    <w:abstractNumId w:val="16"/>
  </w:num>
  <w:num w:numId="5">
    <w:abstractNumId w:val="26"/>
  </w:num>
  <w:num w:numId="6">
    <w:abstractNumId w:val="29"/>
  </w:num>
  <w:num w:numId="7">
    <w:abstractNumId w:val="23"/>
  </w:num>
  <w:num w:numId="8">
    <w:abstractNumId w:val="13"/>
  </w:num>
  <w:num w:numId="9">
    <w:abstractNumId w:val="33"/>
  </w:num>
  <w:num w:numId="10">
    <w:abstractNumId w:val="12"/>
  </w:num>
  <w:num w:numId="11">
    <w:abstractNumId w:val="7"/>
  </w:num>
  <w:num w:numId="12">
    <w:abstractNumId w:val="14"/>
  </w:num>
  <w:num w:numId="13">
    <w:abstractNumId w:val="17"/>
  </w:num>
  <w:num w:numId="14">
    <w:abstractNumId w:val="32"/>
  </w:num>
  <w:num w:numId="15">
    <w:abstractNumId w:val="27"/>
  </w:num>
  <w:num w:numId="16">
    <w:abstractNumId w:val="35"/>
  </w:num>
  <w:num w:numId="17">
    <w:abstractNumId w:val="28"/>
  </w:num>
  <w:num w:numId="18">
    <w:abstractNumId w:val="34"/>
  </w:num>
  <w:num w:numId="19">
    <w:abstractNumId w:val="25"/>
  </w:num>
  <w:num w:numId="20">
    <w:abstractNumId w:val="24"/>
  </w:num>
  <w:num w:numId="21">
    <w:abstractNumId w:val="20"/>
  </w:num>
  <w:num w:numId="22">
    <w:abstractNumId w:val="22"/>
  </w:num>
  <w:num w:numId="23">
    <w:abstractNumId w:val="19"/>
  </w:num>
  <w:num w:numId="24">
    <w:abstractNumId w:val="31"/>
  </w:num>
  <w:num w:numId="25">
    <w:abstractNumId w:val="30"/>
  </w:num>
  <w:num w:numId="26">
    <w:abstractNumId w:val="11"/>
  </w:num>
  <w:num w:numId="27">
    <w:abstractNumId w:val="10"/>
  </w:num>
  <w:num w:numId="28">
    <w:abstractNumId w:val="36"/>
  </w:num>
  <w:num w:numId="29">
    <w:abstractNumId w:val="15"/>
  </w:num>
  <w:num w:numId="30">
    <w:abstractNumId w:val="9"/>
  </w:num>
  <w:num w:numId="3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12EC"/>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2E01"/>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5E46"/>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B7060"/>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141"/>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4C70"/>
    <w:rsid w:val="004A5D30"/>
    <w:rsid w:val="004A6C86"/>
    <w:rsid w:val="004A7514"/>
    <w:rsid w:val="004B0963"/>
    <w:rsid w:val="004B21A2"/>
    <w:rsid w:val="004B2780"/>
    <w:rsid w:val="004B2AD3"/>
    <w:rsid w:val="004B5046"/>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58C4"/>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6BB8"/>
    <w:rsid w:val="00587765"/>
    <w:rsid w:val="00596B06"/>
    <w:rsid w:val="005A2368"/>
    <w:rsid w:val="005A244B"/>
    <w:rsid w:val="005A2E76"/>
    <w:rsid w:val="005A2EAF"/>
    <w:rsid w:val="005A6E7B"/>
    <w:rsid w:val="005A76F0"/>
    <w:rsid w:val="005B5A33"/>
    <w:rsid w:val="005B72A8"/>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42F8"/>
    <w:rsid w:val="00886613"/>
    <w:rsid w:val="0089072D"/>
    <w:rsid w:val="0089204B"/>
    <w:rsid w:val="00892205"/>
    <w:rsid w:val="00895960"/>
    <w:rsid w:val="008A132B"/>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4D6C"/>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36595"/>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20B8"/>
    <w:rsid w:val="00E529D9"/>
    <w:rsid w:val="00E622AB"/>
    <w:rsid w:val="00E62DDA"/>
    <w:rsid w:val="00E67261"/>
    <w:rsid w:val="00E677D1"/>
    <w:rsid w:val="00E70869"/>
    <w:rsid w:val="00E746AC"/>
    <w:rsid w:val="00E753AE"/>
    <w:rsid w:val="00E757F2"/>
    <w:rsid w:val="00E77D2B"/>
    <w:rsid w:val="00E8262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E7AC6"/>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 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 Char Char Char"/>
    <w:rsid w:val="00EE12C5"/>
    <w:rPr>
      <w:rFonts w:ascii="Humanist777" w:hAnsi="Humanist777"/>
      <w:sz w:val="24"/>
      <w:szCs w:val="24"/>
      <w:lang w:val="en-US" w:eastAsia="en-US" w:bidi="ar-SA"/>
    </w:rPr>
  </w:style>
  <w:style w:type="character" w:customStyle="1" w:styleId="CharCharCharCharCharCharChar">
    <w:name w:val=" 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uiPriority w:val="99"/>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Body">
    <w:name w:val="Body"/>
    <w:basedOn w:val="Normal"/>
    <w:link w:val="BodyChar"/>
    <w:rsid w:val="00CF4D6C"/>
    <w:pPr>
      <w:ind w:firstLine="288"/>
      <w:jc w:val="both"/>
    </w:pPr>
    <w:rPr>
      <w:rFonts w:ascii="Helvetica" w:hAnsi="Helvetica"/>
      <w:lang w:val="en-US"/>
    </w:rPr>
  </w:style>
  <w:style w:type="character" w:customStyle="1" w:styleId="BodyChar">
    <w:name w:val="Body Char"/>
    <w:link w:val="Body"/>
    <w:rsid w:val="00CF4D6C"/>
    <w:rPr>
      <w:rFonts w:ascii="Helvetica" w:hAnsi="Helvetic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 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 Char Char Char"/>
    <w:rsid w:val="00EE12C5"/>
    <w:rPr>
      <w:rFonts w:ascii="Humanist777" w:hAnsi="Humanist777"/>
      <w:sz w:val="24"/>
      <w:szCs w:val="24"/>
      <w:lang w:val="en-US" w:eastAsia="en-US" w:bidi="ar-SA"/>
    </w:rPr>
  </w:style>
  <w:style w:type="character" w:customStyle="1" w:styleId="CharCharCharCharCharCharChar">
    <w:name w:val=" 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uiPriority w:val="99"/>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Body">
    <w:name w:val="Body"/>
    <w:basedOn w:val="Normal"/>
    <w:link w:val="BodyChar"/>
    <w:rsid w:val="00CF4D6C"/>
    <w:pPr>
      <w:ind w:firstLine="288"/>
      <w:jc w:val="both"/>
    </w:pPr>
    <w:rPr>
      <w:rFonts w:ascii="Helvetica" w:hAnsi="Helvetica"/>
      <w:lang w:val="en-US"/>
    </w:rPr>
  </w:style>
  <w:style w:type="character" w:customStyle="1" w:styleId="BodyChar">
    <w:name w:val="Body Char"/>
    <w:link w:val="Body"/>
    <w:rsid w:val="00CF4D6C"/>
    <w:rPr>
      <w:rFonts w:ascii="Helvetica"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8020</Words>
  <Characters>45719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53632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Bankovic</cp:lastModifiedBy>
  <cp:revision>2</cp:revision>
  <cp:lastPrinted>2012-05-18T12:57:00Z</cp:lastPrinted>
  <dcterms:created xsi:type="dcterms:W3CDTF">2014-07-28T14:01:00Z</dcterms:created>
  <dcterms:modified xsi:type="dcterms:W3CDTF">2014-07-28T14:01:00Z</dcterms:modified>
</cp:coreProperties>
</file>