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7B4E6" w14:textId="77777777" w:rsidR="00225B95" w:rsidRPr="009003E2" w:rsidRDefault="00225B95" w:rsidP="00ED3DF7">
      <w:pPr>
        <w:jc w:val="center"/>
        <w:rPr>
          <w:b/>
          <w:bCs/>
          <w:iCs/>
          <w:sz w:val="22"/>
          <w:szCs w:val="22"/>
          <w:u w:val="single"/>
          <w:lang w:val="sr-Latn-ME"/>
        </w:rPr>
      </w:pPr>
    </w:p>
    <w:p w14:paraId="183FB5AD" w14:textId="6F5C0278" w:rsidR="002510A5" w:rsidRPr="009003E2" w:rsidRDefault="002510A5" w:rsidP="00ED3DF7">
      <w:pPr>
        <w:jc w:val="center"/>
        <w:rPr>
          <w:b/>
          <w:bCs/>
          <w:iCs/>
          <w:sz w:val="22"/>
          <w:szCs w:val="22"/>
          <w:u w:val="single"/>
          <w:lang w:val="sr-Latn-ME"/>
        </w:rPr>
      </w:pPr>
      <w:r w:rsidRPr="009003E2">
        <w:rPr>
          <w:b/>
          <w:bCs/>
          <w:iCs/>
          <w:sz w:val="22"/>
          <w:szCs w:val="22"/>
          <w:u w:val="single"/>
          <w:lang w:val="sr-Latn-ME"/>
        </w:rPr>
        <w:t>SAŽETAK KARAKTERISTIKA LIJEKA</w:t>
      </w:r>
    </w:p>
    <w:p w14:paraId="7C865014" w14:textId="77777777" w:rsidR="003C17AB" w:rsidRPr="009003E2" w:rsidRDefault="003C17AB" w:rsidP="00284ACA">
      <w:pPr>
        <w:tabs>
          <w:tab w:val="left" w:pos="540"/>
          <w:tab w:val="left" w:pos="569"/>
        </w:tabs>
        <w:jc w:val="both"/>
        <w:rPr>
          <w:noProof/>
          <w:sz w:val="22"/>
          <w:szCs w:val="22"/>
          <w:lang w:val="sr-Latn-ME"/>
        </w:rPr>
      </w:pPr>
    </w:p>
    <w:p w14:paraId="47BB1802" w14:textId="77777777" w:rsidR="00C37FD7" w:rsidRPr="009003E2" w:rsidRDefault="00C37FD7" w:rsidP="00284ACA">
      <w:pPr>
        <w:tabs>
          <w:tab w:val="left" w:pos="540"/>
          <w:tab w:val="left" w:pos="569"/>
        </w:tabs>
        <w:jc w:val="both"/>
        <w:rPr>
          <w:bCs/>
          <w:sz w:val="22"/>
          <w:szCs w:val="22"/>
          <w:lang w:val="sr-Latn-ME"/>
        </w:rPr>
      </w:pPr>
    </w:p>
    <w:p w14:paraId="6F94F198"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1.</w:t>
      </w:r>
      <w:r w:rsidR="00F5167F" w:rsidRPr="009003E2">
        <w:rPr>
          <w:b/>
          <w:bCs/>
          <w:sz w:val="22"/>
          <w:szCs w:val="22"/>
          <w:lang w:val="sr-Latn-ME"/>
        </w:rPr>
        <w:tab/>
      </w:r>
      <w:r w:rsidR="002846DB" w:rsidRPr="009003E2">
        <w:rPr>
          <w:b/>
          <w:bCs/>
          <w:sz w:val="22"/>
          <w:szCs w:val="22"/>
          <w:lang w:val="sr-Latn-ME"/>
        </w:rPr>
        <w:t xml:space="preserve">NAZIV </w:t>
      </w:r>
      <w:r w:rsidRPr="009003E2">
        <w:rPr>
          <w:b/>
          <w:bCs/>
          <w:sz w:val="22"/>
          <w:szCs w:val="22"/>
          <w:lang w:val="sr-Latn-ME"/>
        </w:rPr>
        <w:t>LIJEKA</w:t>
      </w:r>
    </w:p>
    <w:p w14:paraId="40055180" w14:textId="77777777" w:rsidR="00EC2532" w:rsidRPr="009003E2" w:rsidRDefault="00EC2532" w:rsidP="00284ACA">
      <w:pPr>
        <w:jc w:val="both"/>
        <w:rPr>
          <w:sz w:val="22"/>
          <w:szCs w:val="22"/>
          <w:lang w:val="sr-Latn-ME"/>
        </w:rPr>
      </w:pPr>
    </w:p>
    <w:p w14:paraId="27FE201F" w14:textId="77777777" w:rsidR="00D16942" w:rsidRPr="009003E2" w:rsidRDefault="00D16942" w:rsidP="00284ACA">
      <w:pPr>
        <w:jc w:val="both"/>
        <w:rPr>
          <w:iCs/>
          <w:sz w:val="22"/>
          <w:szCs w:val="22"/>
          <w:lang w:val="sr-Latn-ME"/>
        </w:rPr>
      </w:pPr>
      <w:r w:rsidRPr="009003E2">
        <w:rPr>
          <w:iCs/>
          <w:sz w:val="22"/>
          <w:szCs w:val="22"/>
          <w:lang w:val="sr-Latn-ME"/>
        </w:rPr>
        <w:t>Reagila, 1,5 mg, oralna disperzibilna tableta</w:t>
      </w:r>
    </w:p>
    <w:p w14:paraId="5B23118A" w14:textId="77777777" w:rsidR="00D16942" w:rsidRPr="009003E2" w:rsidRDefault="00D16942" w:rsidP="00284ACA">
      <w:pPr>
        <w:jc w:val="both"/>
        <w:rPr>
          <w:iCs/>
          <w:sz w:val="22"/>
          <w:szCs w:val="22"/>
          <w:lang w:val="sr-Latn-ME"/>
        </w:rPr>
      </w:pPr>
      <w:r w:rsidRPr="009003E2">
        <w:rPr>
          <w:iCs/>
          <w:sz w:val="22"/>
          <w:szCs w:val="22"/>
          <w:lang w:val="sr-Latn-ME"/>
        </w:rPr>
        <w:t>Reagila, 3 mg, oralna disperzibilna tableta</w:t>
      </w:r>
    </w:p>
    <w:p w14:paraId="6B64B186" w14:textId="77777777" w:rsidR="00D16942" w:rsidRPr="009003E2" w:rsidRDefault="00D16942" w:rsidP="00284ACA">
      <w:pPr>
        <w:jc w:val="both"/>
        <w:rPr>
          <w:iCs/>
          <w:sz w:val="22"/>
          <w:szCs w:val="22"/>
          <w:lang w:val="sr-Latn-ME"/>
        </w:rPr>
      </w:pPr>
      <w:r w:rsidRPr="009003E2">
        <w:rPr>
          <w:iCs/>
          <w:sz w:val="22"/>
          <w:szCs w:val="22"/>
          <w:lang w:val="sr-Latn-ME"/>
        </w:rPr>
        <w:t>Reagila, 4,5 mg, oralna disperzibilna tableta</w:t>
      </w:r>
    </w:p>
    <w:p w14:paraId="10FB4C15" w14:textId="77777777" w:rsidR="00D16942" w:rsidRPr="009003E2" w:rsidRDefault="00D16942" w:rsidP="00284ACA">
      <w:pPr>
        <w:jc w:val="both"/>
        <w:rPr>
          <w:iCs/>
          <w:sz w:val="22"/>
          <w:szCs w:val="22"/>
          <w:lang w:val="sr-Latn-ME"/>
        </w:rPr>
      </w:pPr>
      <w:r w:rsidRPr="009003E2">
        <w:rPr>
          <w:iCs/>
          <w:sz w:val="22"/>
          <w:szCs w:val="22"/>
          <w:lang w:val="sr-Latn-ME"/>
        </w:rPr>
        <w:t>Reagila, 6 mg, oralna disperzibilna tableta</w:t>
      </w:r>
    </w:p>
    <w:p w14:paraId="13A27269" w14:textId="77777777" w:rsidR="00D16942" w:rsidRPr="009003E2" w:rsidRDefault="00D16942" w:rsidP="00284ACA">
      <w:pPr>
        <w:jc w:val="both"/>
        <w:rPr>
          <w:bCs/>
          <w:i/>
          <w:iCs/>
          <w:sz w:val="22"/>
          <w:szCs w:val="22"/>
          <w:lang w:val="sr-Latn-ME"/>
        </w:rPr>
      </w:pPr>
    </w:p>
    <w:p w14:paraId="5A0BE323" w14:textId="77777777" w:rsidR="00D16942" w:rsidRPr="009003E2" w:rsidRDefault="00D16942" w:rsidP="00284ACA">
      <w:pPr>
        <w:jc w:val="both"/>
        <w:rPr>
          <w:sz w:val="22"/>
          <w:szCs w:val="22"/>
          <w:lang w:val="sr-Latn-ME"/>
        </w:rPr>
      </w:pPr>
      <w:r w:rsidRPr="009003E2">
        <w:rPr>
          <w:sz w:val="22"/>
          <w:szCs w:val="22"/>
          <w:lang w:val="sr-Latn-ME"/>
        </w:rPr>
        <w:t>INN: kariprazin</w:t>
      </w:r>
    </w:p>
    <w:p w14:paraId="6AA4DF7A" w14:textId="77777777" w:rsidR="006D20A5" w:rsidRPr="009003E2" w:rsidRDefault="006D20A5" w:rsidP="00284ACA">
      <w:pPr>
        <w:jc w:val="both"/>
        <w:rPr>
          <w:bCs/>
          <w:sz w:val="22"/>
          <w:szCs w:val="22"/>
          <w:lang w:val="sr-Latn-ME"/>
        </w:rPr>
      </w:pPr>
    </w:p>
    <w:p w14:paraId="521E3BA3" w14:textId="77777777" w:rsidR="00530BD7" w:rsidRPr="009003E2" w:rsidRDefault="00530BD7" w:rsidP="00284ACA">
      <w:pPr>
        <w:jc w:val="both"/>
        <w:rPr>
          <w:bCs/>
          <w:sz w:val="22"/>
          <w:szCs w:val="22"/>
          <w:lang w:val="sr-Latn-ME"/>
        </w:rPr>
      </w:pPr>
    </w:p>
    <w:p w14:paraId="6CE2C0C4"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2. </w:t>
      </w:r>
      <w:r w:rsidR="00F5167F" w:rsidRPr="009003E2">
        <w:rPr>
          <w:b/>
          <w:bCs/>
          <w:sz w:val="22"/>
          <w:szCs w:val="22"/>
          <w:lang w:val="sr-Latn-ME"/>
        </w:rPr>
        <w:tab/>
      </w:r>
      <w:r w:rsidRPr="009003E2">
        <w:rPr>
          <w:b/>
          <w:bCs/>
          <w:sz w:val="22"/>
          <w:szCs w:val="22"/>
          <w:lang w:val="sr-Latn-ME"/>
        </w:rPr>
        <w:t>KVALITATIVNI I KVANTITATIVNI SASTAV</w:t>
      </w:r>
    </w:p>
    <w:p w14:paraId="520A1643" w14:textId="77777777" w:rsidR="005A0B2E" w:rsidRPr="009003E2" w:rsidRDefault="005A0B2E" w:rsidP="00284ACA">
      <w:pPr>
        <w:jc w:val="both"/>
        <w:rPr>
          <w:sz w:val="22"/>
          <w:szCs w:val="22"/>
          <w:lang w:val="sr-Latn-ME"/>
        </w:rPr>
      </w:pPr>
    </w:p>
    <w:p w14:paraId="4160449B" w14:textId="4DEB080C" w:rsidR="00D16942" w:rsidRPr="009003E2" w:rsidRDefault="00D16942" w:rsidP="00284ACA">
      <w:pPr>
        <w:ind w:right="-2"/>
        <w:jc w:val="both"/>
        <w:rPr>
          <w:sz w:val="22"/>
          <w:szCs w:val="22"/>
          <w:lang w:val="sr-Latn-ME"/>
        </w:rPr>
      </w:pPr>
      <w:r w:rsidRPr="009003E2">
        <w:rPr>
          <w:sz w:val="22"/>
          <w:szCs w:val="22"/>
          <w:u w:val="single"/>
          <w:lang w:val="sr-Latn-ME"/>
        </w:rPr>
        <w:t>Reagila, 1,5 mg, oralna disperzibilna tableta</w:t>
      </w:r>
    </w:p>
    <w:p w14:paraId="2534D111" w14:textId="4CA096BD" w:rsidR="00D16942" w:rsidRPr="009003E2" w:rsidRDefault="00D16942" w:rsidP="00284ACA">
      <w:pPr>
        <w:ind w:right="-2"/>
        <w:jc w:val="both"/>
        <w:rPr>
          <w:sz w:val="22"/>
          <w:szCs w:val="22"/>
          <w:lang w:val="sr-Latn-ME"/>
        </w:rPr>
      </w:pPr>
      <w:r w:rsidRPr="009003E2">
        <w:rPr>
          <w:sz w:val="22"/>
          <w:szCs w:val="22"/>
          <w:lang w:val="sr-Latn-ME"/>
        </w:rPr>
        <w:t>Jedna oralna disperzibilna tableta sadrži 1,5 mg kariprazina u obliku kariprazin</w:t>
      </w:r>
      <w:r w:rsidR="00C3427A" w:rsidRPr="009003E2">
        <w:rPr>
          <w:sz w:val="22"/>
          <w:szCs w:val="22"/>
          <w:lang w:val="sr-Latn-ME"/>
        </w:rPr>
        <w:t xml:space="preserve"> </w:t>
      </w:r>
      <w:r w:rsidRPr="009003E2">
        <w:rPr>
          <w:sz w:val="22"/>
          <w:szCs w:val="22"/>
          <w:lang w:val="sr-Latn-ME"/>
        </w:rPr>
        <w:t>hidrohlorida.</w:t>
      </w:r>
    </w:p>
    <w:p w14:paraId="76453C15" w14:textId="77777777" w:rsidR="00D16942" w:rsidRPr="009003E2" w:rsidRDefault="00D16942" w:rsidP="00284ACA">
      <w:pPr>
        <w:ind w:right="-2"/>
        <w:jc w:val="both"/>
        <w:rPr>
          <w:sz w:val="22"/>
          <w:szCs w:val="22"/>
          <w:lang w:val="sr-Latn-ME"/>
        </w:rPr>
      </w:pPr>
    </w:p>
    <w:p w14:paraId="145E1C79" w14:textId="47C3BD75" w:rsidR="00D16942" w:rsidRPr="009003E2" w:rsidRDefault="00D16942" w:rsidP="00284ACA">
      <w:pPr>
        <w:ind w:right="-2"/>
        <w:jc w:val="both"/>
        <w:rPr>
          <w:sz w:val="22"/>
          <w:szCs w:val="22"/>
          <w:lang w:val="sr-Latn-ME"/>
        </w:rPr>
      </w:pPr>
      <w:r w:rsidRPr="009003E2">
        <w:rPr>
          <w:sz w:val="22"/>
          <w:szCs w:val="22"/>
          <w:u w:val="single"/>
          <w:lang w:val="sr-Latn-ME"/>
        </w:rPr>
        <w:t>Reagila, 3 mg, oralna disperzibilna tableta</w:t>
      </w:r>
    </w:p>
    <w:p w14:paraId="049C9B0D" w14:textId="3B480174" w:rsidR="00C3427A" w:rsidRPr="009003E2" w:rsidRDefault="00D16942" w:rsidP="00284ACA">
      <w:pPr>
        <w:ind w:right="-2"/>
        <w:jc w:val="both"/>
        <w:rPr>
          <w:sz w:val="22"/>
          <w:szCs w:val="22"/>
          <w:lang w:val="sr-Latn-ME"/>
        </w:rPr>
      </w:pPr>
      <w:r w:rsidRPr="009003E2">
        <w:rPr>
          <w:sz w:val="22"/>
          <w:szCs w:val="22"/>
          <w:lang w:val="sr-Latn-ME"/>
        </w:rPr>
        <w:t>Jedna oralna disperzibilna tableta sadrži 3 mg kariprazina u obliku kariprazin</w:t>
      </w:r>
      <w:r w:rsidR="00C3427A" w:rsidRPr="009003E2">
        <w:rPr>
          <w:sz w:val="22"/>
          <w:szCs w:val="22"/>
          <w:lang w:val="sr-Latn-ME"/>
        </w:rPr>
        <w:t xml:space="preserve"> </w:t>
      </w:r>
      <w:r w:rsidRPr="009003E2">
        <w:rPr>
          <w:sz w:val="22"/>
          <w:szCs w:val="22"/>
          <w:lang w:val="sr-Latn-ME"/>
        </w:rPr>
        <w:t>hidrohlorida.</w:t>
      </w:r>
    </w:p>
    <w:p w14:paraId="6992420C" w14:textId="77777777" w:rsidR="00D16942" w:rsidRPr="009003E2" w:rsidRDefault="00D16942" w:rsidP="00284ACA">
      <w:pPr>
        <w:ind w:right="-2"/>
        <w:jc w:val="both"/>
        <w:rPr>
          <w:sz w:val="22"/>
          <w:szCs w:val="22"/>
          <w:lang w:val="sr-Latn-ME"/>
        </w:rPr>
      </w:pPr>
    </w:p>
    <w:p w14:paraId="3E54943E" w14:textId="546C91B6" w:rsidR="00D16942" w:rsidRPr="009003E2" w:rsidRDefault="00D16942" w:rsidP="00284ACA">
      <w:pPr>
        <w:ind w:right="-2"/>
        <w:jc w:val="both"/>
        <w:rPr>
          <w:sz w:val="22"/>
          <w:szCs w:val="22"/>
          <w:lang w:val="sr-Latn-ME"/>
        </w:rPr>
      </w:pPr>
      <w:r w:rsidRPr="009003E2">
        <w:rPr>
          <w:sz w:val="22"/>
          <w:szCs w:val="22"/>
          <w:u w:val="single"/>
          <w:lang w:val="sr-Latn-ME"/>
        </w:rPr>
        <w:t>Reagila, 4,5 mg, oralna disperzibilna tableta</w:t>
      </w:r>
    </w:p>
    <w:p w14:paraId="476F8472" w14:textId="641ED366" w:rsidR="00C3427A" w:rsidRPr="009003E2" w:rsidRDefault="00D16942" w:rsidP="00284ACA">
      <w:pPr>
        <w:ind w:right="-2"/>
        <w:jc w:val="both"/>
        <w:rPr>
          <w:sz w:val="22"/>
          <w:szCs w:val="22"/>
          <w:lang w:val="sr-Latn-ME"/>
        </w:rPr>
      </w:pPr>
      <w:r w:rsidRPr="009003E2">
        <w:rPr>
          <w:sz w:val="22"/>
          <w:szCs w:val="22"/>
          <w:lang w:val="sr-Latn-ME"/>
        </w:rPr>
        <w:t>Jedna oralna disperzibilna tableta sadrži 4,5 mg kariprazina u obliku kariprazin</w:t>
      </w:r>
      <w:r w:rsidR="00C3427A" w:rsidRPr="009003E2">
        <w:rPr>
          <w:sz w:val="22"/>
          <w:szCs w:val="22"/>
          <w:lang w:val="sr-Latn-ME"/>
        </w:rPr>
        <w:t xml:space="preserve"> </w:t>
      </w:r>
      <w:r w:rsidRPr="009003E2">
        <w:rPr>
          <w:sz w:val="22"/>
          <w:szCs w:val="22"/>
          <w:lang w:val="sr-Latn-ME"/>
        </w:rPr>
        <w:t>hidrohlorida.</w:t>
      </w:r>
    </w:p>
    <w:p w14:paraId="0A54FC03" w14:textId="77777777" w:rsidR="00D16942" w:rsidRPr="009003E2" w:rsidRDefault="00D16942" w:rsidP="00284ACA">
      <w:pPr>
        <w:ind w:right="-2"/>
        <w:jc w:val="both"/>
        <w:rPr>
          <w:sz w:val="22"/>
          <w:szCs w:val="22"/>
          <w:lang w:val="sr-Latn-ME"/>
        </w:rPr>
      </w:pPr>
    </w:p>
    <w:p w14:paraId="40450281" w14:textId="0DA0D98F" w:rsidR="00D16942" w:rsidRPr="009003E2" w:rsidRDefault="00D16942" w:rsidP="00284ACA">
      <w:pPr>
        <w:ind w:right="-2"/>
        <w:jc w:val="both"/>
        <w:rPr>
          <w:sz w:val="22"/>
          <w:szCs w:val="22"/>
          <w:lang w:val="sr-Latn-ME"/>
        </w:rPr>
      </w:pPr>
      <w:r w:rsidRPr="009003E2">
        <w:rPr>
          <w:sz w:val="22"/>
          <w:szCs w:val="22"/>
          <w:u w:val="single"/>
          <w:lang w:val="sr-Latn-ME"/>
        </w:rPr>
        <w:t>Reagila, 6 mg, oralna disperzibilna tableta</w:t>
      </w:r>
    </w:p>
    <w:p w14:paraId="7C3A4DF9" w14:textId="6EC6ECD5" w:rsidR="00D16942" w:rsidRPr="009003E2" w:rsidRDefault="00D16942" w:rsidP="00284ACA">
      <w:pPr>
        <w:ind w:right="-2"/>
        <w:jc w:val="both"/>
        <w:rPr>
          <w:sz w:val="22"/>
          <w:szCs w:val="22"/>
          <w:lang w:val="sr-Latn-ME"/>
        </w:rPr>
      </w:pPr>
      <w:r w:rsidRPr="009003E2">
        <w:rPr>
          <w:sz w:val="22"/>
          <w:szCs w:val="22"/>
          <w:lang w:val="sr-Latn-ME"/>
        </w:rPr>
        <w:t>Jedna oralna disperzibilna tableta sadrži 6 mg kariprazina u obliku kariprazin</w:t>
      </w:r>
      <w:r w:rsidR="00C3427A" w:rsidRPr="009003E2">
        <w:rPr>
          <w:sz w:val="22"/>
          <w:szCs w:val="22"/>
          <w:lang w:val="sr-Latn-ME"/>
        </w:rPr>
        <w:t xml:space="preserve"> </w:t>
      </w:r>
      <w:r w:rsidRPr="009003E2">
        <w:rPr>
          <w:sz w:val="22"/>
          <w:szCs w:val="22"/>
          <w:lang w:val="sr-Latn-ME"/>
        </w:rPr>
        <w:t>hidrohlorida.</w:t>
      </w:r>
    </w:p>
    <w:p w14:paraId="7CA1C211" w14:textId="77777777" w:rsidR="00D16942" w:rsidRPr="009003E2" w:rsidRDefault="00D16942" w:rsidP="00284ACA">
      <w:pPr>
        <w:jc w:val="both"/>
        <w:rPr>
          <w:sz w:val="22"/>
          <w:szCs w:val="22"/>
          <w:lang w:val="sr-Latn-ME"/>
        </w:rPr>
      </w:pPr>
    </w:p>
    <w:p w14:paraId="6804FA4E" w14:textId="63CE4E61" w:rsidR="0003793F" w:rsidRPr="009003E2" w:rsidRDefault="0003793F" w:rsidP="00284ACA">
      <w:pPr>
        <w:jc w:val="both"/>
        <w:rPr>
          <w:sz w:val="22"/>
          <w:szCs w:val="22"/>
          <w:lang w:val="sr-Latn-ME"/>
        </w:rPr>
      </w:pPr>
      <w:r w:rsidRPr="009003E2">
        <w:rPr>
          <w:sz w:val="22"/>
          <w:szCs w:val="22"/>
          <w:lang w:val="sr-Latn-ME"/>
        </w:rPr>
        <w:t>Za spisak svih ekscipijenasa, pogledati dio 6.1.</w:t>
      </w:r>
    </w:p>
    <w:p w14:paraId="220366BE" w14:textId="77777777" w:rsidR="0003793F" w:rsidRPr="009003E2" w:rsidRDefault="0003793F" w:rsidP="00284ACA">
      <w:pPr>
        <w:jc w:val="both"/>
        <w:rPr>
          <w:sz w:val="22"/>
          <w:szCs w:val="22"/>
          <w:lang w:val="sr-Latn-ME"/>
        </w:rPr>
      </w:pPr>
    </w:p>
    <w:p w14:paraId="778949C8" w14:textId="77777777" w:rsidR="00C37FD7" w:rsidRPr="009003E2" w:rsidRDefault="00C37FD7" w:rsidP="00284ACA">
      <w:pPr>
        <w:jc w:val="both"/>
        <w:rPr>
          <w:sz w:val="22"/>
          <w:szCs w:val="22"/>
          <w:lang w:val="sr-Latn-ME"/>
        </w:rPr>
      </w:pPr>
    </w:p>
    <w:p w14:paraId="68E077CA"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3. </w:t>
      </w:r>
      <w:r w:rsidR="00F5167F" w:rsidRPr="009003E2">
        <w:rPr>
          <w:b/>
          <w:bCs/>
          <w:sz w:val="22"/>
          <w:szCs w:val="22"/>
          <w:lang w:val="sr-Latn-ME"/>
        </w:rPr>
        <w:tab/>
      </w:r>
      <w:r w:rsidRPr="009003E2">
        <w:rPr>
          <w:b/>
          <w:bCs/>
          <w:sz w:val="22"/>
          <w:szCs w:val="22"/>
          <w:lang w:val="sr-Latn-ME"/>
        </w:rPr>
        <w:t>FARMACEUTSKI OBLIK</w:t>
      </w:r>
      <w:r w:rsidR="009F2D23" w:rsidRPr="009003E2">
        <w:rPr>
          <w:b/>
          <w:bCs/>
          <w:sz w:val="22"/>
          <w:szCs w:val="22"/>
          <w:lang w:val="sr-Latn-ME"/>
        </w:rPr>
        <w:t xml:space="preserve"> </w:t>
      </w:r>
    </w:p>
    <w:p w14:paraId="06605D39" w14:textId="77777777" w:rsidR="00411B4B" w:rsidRPr="009003E2" w:rsidRDefault="00411B4B" w:rsidP="00284ACA">
      <w:pPr>
        <w:jc w:val="both"/>
        <w:rPr>
          <w:bCs/>
          <w:sz w:val="22"/>
          <w:szCs w:val="22"/>
          <w:lang w:val="sr-Latn-ME"/>
        </w:rPr>
      </w:pPr>
    </w:p>
    <w:p w14:paraId="718E5C97" w14:textId="77777777" w:rsidR="00D16942" w:rsidRPr="009003E2" w:rsidRDefault="00D16942" w:rsidP="00284ACA">
      <w:pPr>
        <w:ind w:right="-2"/>
        <w:jc w:val="both"/>
        <w:rPr>
          <w:sz w:val="22"/>
          <w:szCs w:val="22"/>
          <w:lang w:val="sr-Latn-ME"/>
        </w:rPr>
      </w:pPr>
      <w:r w:rsidRPr="009003E2">
        <w:rPr>
          <w:sz w:val="22"/>
          <w:szCs w:val="22"/>
          <w:lang w:val="sr-Latn-ME"/>
        </w:rPr>
        <w:t>Oralna disperzibilna tableta.</w:t>
      </w:r>
    </w:p>
    <w:p w14:paraId="7D831333" w14:textId="77777777" w:rsidR="00D16942" w:rsidRPr="009003E2" w:rsidRDefault="00D16942" w:rsidP="00284ACA">
      <w:pPr>
        <w:ind w:right="-2"/>
        <w:jc w:val="both"/>
        <w:rPr>
          <w:sz w:val="22"/>
          <w:szCs w:val="22"/>
          <w:lang w:val="sr-Latn-ME"/>
        </w:rPr>
      </w:pPr>
    </w:p>
    <w:p w14:paraId="7E1FABA1" w14:textId="607895D2" w:rsidR="00D16942" w:rsidRPr="009003E2" w:rsidRDefault="00D16942" w:rsidP="00284ACA">
      <w:pPr>
        <w:ind w:right="-2"/>
        <w:jc w:val="both"/>
        <w:rPr>
          <w:sz w:val="22"/>
          <w:szCs w:val="22"/>
          <w:lang w:val="sr-Latn-ME"/>
        </w:rPr>
      </w:pPr>
      <w:r w:rsidRPr="009003E2">
        <w:rPr>
          <w:sz w:val="22"/>
          <w:szCs w:val="22"/>
          <w:u w:val="single"/>
          <w:lang w:val="sr-Latn-ME"/>
        </w:rPr>
        <w:t>Reagila, 1,5 mg, oralna disperzibilna tableta</w:t>
      </w:r>
    </w:p>
    <w:p w14:paraId="20082F49" w14:textId="0D188F9B" w:rsidR="00D16942" w:rsidRPr="009003E2" w:rsidRDefault="00D16942" w:rsidP="00284ACA">
      <w:pPr>
        <w:ind w:right="-2"/>
        <w:jc w:val="both"/>
        <w:rPr>
          <w:sz w:val="22"/>
          <w:szCs w:val="22"/>
          <w:lang w:val="sr-Latn-ME"/>
        </w:rPr>
      </w:pPr>
      <w:r w:rsidRPr="009003E2">
        <w:rPr>
          <w:sz w:val="22"/>
          <w:szCs w:val="22"/>
          <w:lang w:val="sr-Latn-ME"/>
        </w:rPr>
        <w:t xml:space="preserve">Bijela ili skoro bijela, trouglasta, bikonveksna tableta. </w:t>
      </w:r>
      <w:r w:rsidR="00C3427A" w:rsidRPr="009003E2">
        <w:rPr>
          <w:sz w:val="22"/>
          <w:szCs w:val="22"/>
          <w:lang w:val="sr-Latn-ME"/>
        </w:rPr>
        <w:t xml:space="preserve">Prečnik </w:t>
      </w:r>
      <w:r w:rsidRPr="009003E2">
        <w:rPr>
          <w:sz w:val="22"/>
          <w:szCs w:val="22"/>
          <w:lang w:val="sr-Latn-ME"/>
        </w:rPr>
        <w:t>tablete je približno 8 mm, a debljina je približno 3-4 mm. Na jednoj strani je utisnuta oznaka “C2”, a na drugoj strani nema oznake.</w:t>
      </w:r>
    </w:p>
    <w:p w14:paraId="750AB74B" w14:textId="77777777" w:rsidR="00D16942" w:rsidRPr="009003E2" w:rsidRDefault="00D16942" w:rsidP="00284ACA">
      <w:pPr>
        <w:ind w:right="-2"/>
        <w:jc w:val="both"/>
        <w:rPr>
          <w:sz w:val="22"/>
          <w:szCs w:val="22"/>
          <w:lang w:val="sr-Latn-ME"/>
        </w:rPr>
      </w:pPr>
    </w:p>
    <w:p w14:paraId="60B325CD" w14:textId="0249D985" w:rsidR="00D16942" w:rsidRPr="009003E2" w:rsidRDefault="00D16942" w:rsidP="00284ACA">
      <w:pPr>
        <w:ind w:right="-2"/>
        <w:jc w:val="both"/>
        <w:rPr>
          <w:sz w:val="22"/>
          <w:szCs w:val="22"/>
          <w:lang w:val="sr-Latn-ME"/>
        </w:rPr>
      </w:pPr>
      <w:r w:rsidRPr="009003E2">
        <w:rPr>
          <w:sz w:val="22"/>
          <w:szCs w:val="22"/>
          <w:u w:val="single"/>
          <w:lang w:val="sr-Latn-ME"/>
        </w:rPr>
        <w:t>Reagila, 3 mg, oralna disperzibilna tableta</w:t>
      </w:r>
    </w:p>
    <w:p w14:paraId="53BE0722" w14:textId="0713504D" w:rsidR="00D16942" w:rsidRPr="009003E2" w:rsidRDefault="00D16942" w:rsidP="00284ACA">
      <w:pPr>
        <w:ind w:right="-2"/>
        <w:jc w:val="both"/>
        <w:rPr>
          <w:sz w:val="22"/>
          <w:szCs w:val="22"/>
          <w:lang w:val="sr-Latn-ME"/>
        </w:rPr>
      </w:pPr>
      <w:r w:rsidRPr="009003E2">
        <w:rPr>
          <w:sz w:val="22"/>
          <w:szCs w:val="22"/>
          <w:lang w:val="sr-Latn-ME"/>
        </w:rPr>
        <w:t xml:space="preserve">Bijela ili skoro bijela, okrugla, bikonveksna tableta. </w:t>
      </w:r>
      <w:r w:rsidR="00C3427A" w:rsidRPr="009003E2">
        <w:rPr>
          <w:sz w:val="22"/>
          <w:szCs w:val="22"/>
          <w:lang w:val="sr-Latn-ME"/>
        </w:rPr>
        <w:t xml:space="preserve">Prečnik </w:t>
      </w:r>
      <w:r w:rsidRPr="009003E2">
        <w:rPr>
          <w:sz w:val="22"/>
          <w:szCs w:val="22"/>
          <w:lang w:val="sr-Latn-ME"/>
        </w:rPr>
        <w:t>tablete je 7 mm, a debljina je približno 3-</w:t>
      </w:r>
      <w:r w:rsidR="00C3427A" w:rsidRPr="009003E2">
        <w:rPr>
          <w:sz w:val="22"/>
          <w:szCs w:val="22"/>
          <w:lang w:val="sr-Latn-ME"/>
        </w:rPr>
        <w:t>4</w:t>
      </w:r>
      <w:r w:rsidRPr="009003E2">
        <w:rPr>
          <w:sz w:val="22"/>
          <w:szCs w:val="22"/>
          <w:lang w:val="sr-Latn-ME"/>
        </w:rPr>
        <w:t> mm. Na jednoj strani je utisnuta oznaka “C3”, a na drugoj strani nema oznake.</w:t>
      </w:r>
    </w:p>
    <w:p w14:paraId="3C247F24" w14:textId="77777777" w:rsidR="00D16942" w:rsidRPr="009003E2" w:rsidRDefault="00D16942" w:rsidP="00284ACA">
      <w:pPr>
        <w:ind w:right="-2"/>
        <w:jc w:val="both"/>
        <w:rPr>
          <w:sz w:val="22"/>
          <w:szCs w:val="22"/>
          <w:lang w:val="sr-Latn-ME"/>
        </w:rPr>
      </w:pPr>
    </w:p>
    <w:p w14:paraId="0E9DC682" w14:textId="0AFC5ADD" w:rsidR="00D16942" w:rsidRPr="009003E2" w:rsidRDefault="00D16942" w:rsidP="00284ACA">
      <w:pPr>
        <w:ind w:right="-2"/>
        <w:jc w:val="both"/>
        <w:rPr>
          <w:sz w:val="22"/>
          <w:szCs w:val="22"/>
          <w:lang w:val="sr-Latn-ME"/>
        </w:rPr>
      </w:pPr>
      <w:r w:rsidRPr="009003E2">
        <w:rPr>
          <w:sz w:val="22"/>
          <w:szCs w:val="22"/>
          <w:u w:val="single"/>
          <w:lang w:val="sr-Latn-ME"/>
        </w:rPr>
        <w:t>Reagila, 4,5 mg, oralna disperzibilna tableta</w:t>
      </w:r>
    </w:p>
    <w:p w14:paraId="55D51AD4" w14:textId="0E368F4E" w:rsidR="00D16942" w:rsidRPr="009003E2" w:rsidRDefault="00D16942" w:rsidP="00284ACA">
      <w:pPr>
        <w:ind w:right="-2"/>
        <w:jc w:val="both"/>
        <w:rPr>
          <w:sz w:val="22"/>
          <w:szCs w:val="22"/>
          <w:lang w:val="sr-Latn-ME"/>
        </w:rPr>
      </w:pPr>
      <w:r w:rsidRPr="009003E2">
        <w:rPr>
          <w:sz w:val="22"/>
          <w:szCs w:val="22"/>
          <w:lang w:val="sr-Latn-ME"/>
        </w:rPr>
        <w:t xml:space="preserve">Bijela ili skoro bijela, kvadratna, bikonveksna tableta. </w:t>
      </w:r>
      <w:r w:rsidR="00C3427A" w:rsidRPr="009003E2">
        <w:rPr>
          <w:sz w:val="22"/>
          <w:szCs w:val="22"/>
          <w:lang w:val="sr-Latn-ME"/>
        </w:rPr>
        <w:t xml:space="preserve">Prečnik </w:t>
      </w:r>
      <w:r w:rsidRPr="009003E2">
        <w:rPr>
          <w:sz w:val="22"/>
          <w:szCs w:val="22"/>
          <w:lang w:val="sr-Latn-ME"/>
        </w:rPr>
        <w:t>tablete je približno 7 mm, a debljina je približno 3-4 mm. Na jednoj strani je utisnuta oznaka “C4”, a na drugoj strani nema oznake.</w:t>
      </w:r>
    </w:p>
    <w:p w14:paraId="6B731A4B" w14:textId="77777777" w:rsidR="00D16942" w:rsidRPr="009003E2" w:rsidRDefault="00D16942" w:rsidP="00284ACA">
      <w:pPr>
        <w:ind w:right="-2"/>
        <w:jc w:val="both"/>
        <w:rPr>
          <w:sz w:val="22"/>
          <w:szCs w:val="22"/>
          <w:lang w:val="sr-Latn-ME"/>
        </w:rPr>
      </w:pPr>
    </w:p>
    <w:p w14:paraId="47AB960C" w14:textId="5E244D98" w:rsidR="00D16942" w:rsidRPr="009003E2" w:rsidRDefault="00D16942" w:rsidP="00284ACA">
      <w:pPr>
        <w:ind w:right="-2"/>
        <w:jc w:val="both"/>
        <w:rPr>
          <w:sz w:val="22"/>
          <w:szCs w:val="22"/>
          <w:u w:val="single"/>
          <w:lang w:val="sr-Latn-ME"/>
        </w:rPr>
      </w:pPr>
      <w:r w:rsidRPr="009003E2">
        <w:rPr>
          <w:sz w:val="22"/>
          <w:szCs w:val="22"/>
          <w:u w:val="single"/>
          <w:lang w:val="sr-Latn-ME"/>
        </w:rPr>
        <w:t>Reagila, 6 mg, oralna disperzibilna tableta</w:t>
      </w:r>
    </w:p>
    <w:p w14:paraId="1CA8216E" w14:textId="6DCF65A2" w:rsidR="00D16942" w:rsidRPr="009003E2" w:rsidRDefault="00D16942" w:rsidP="00284ACA">
      <w:pPr>
        <w:ind w:right="-2"/>
        <w:jc w:val="both"/>
        <w:rPr>
          <w:sz w:val="22"/>
          <w:szCs w:val="22"/>
          <w:lang w:val="sr-Latn-ME"/>
        </w:rPr>
      </w:pPr>
      <w:r w:rsidRPr="009003E2">
        <w:rPr>
          <w:sz w:val="22"/>
          <w:szCs w:val="22"/>
          <w:lang w:val="sr-Latn-ME"/>
        </w:rPr>
        <w:t xml:space="preserve">Bijela ili skoro bijela, ovalna, bikonveksna tableta. Širina tablete je 5 mm, dužina je 8,5 mm, a debljina je približno 3-4 mm. Na jednoj strani je utisnuta oznaka “CI”, a </w:t>
      </w:r>
      <w:r w:rsidR="009F678E" w:rsidRPr="009003E2">
        <w:rPr>
          <w:sz w:val="22"/>
          <w:szCs w:val="22"/>
          <w:lang w:val="sr-Latn-ME"/>
        </w:rPr>
        <w:t xml:space="preserve">na drugoj </w:t>
      </w:r>
      <w:r w:rsidRPr="009003E2">
        <w:rPr>
          <w:sz w:val="22"/>
          <w:szCs w:val="22"/>
          <w:lang w:val="sr-Latn-ME"/>
        </w:rPr>
        <w:t>stran</w:t>
      </w:r>
      <w:r w:rsidR="009F678E" w:rsidRPr="009003E2">
        <w:rPr>
          <w:sz w:val="22"/>
          <w:szCs w:val="22"/>
          <w:lang w:val="sr-Latn-ME"/>
        </w:rPr>
        <w:t>i</w:t>
      </w:r>
      <w:r w:rsidRPr="009003E2">
        <w:rPr>
          <w:sz w:val="22"/>
          <w:szCs w:val="22"/>
          <w:lang w:val="sr-Latn-ME"/>
        </w:rPr>
        <w:t xml:space="preserve"> nema oznake.</w:t>
      </w:r>
    </w:p>
    <w:p w14:paraId="39E50935" w14:textId="2F9836CA" w:rsidR="00EC2532" w:rsidRPr="009003E2" w:rsidRDefault="00EC2532" w:rsidP="00284ACA">
      <w:pPr>
        <w:jc w:val="both"/>
        <w:rPr>
          <w:bCs/>
          <w:sz w:val="22"/>
          <w:szCs w:val="22"/>
          <w:lang w:val="sr-Latn-ME"/>
        </w:rPr>
      </w:pPr>
    </w:p>
    <w:p w14:paraId="7D7AAD7C" w14:textId="77777777" w:rsidR="00C3427A" w:rsidRPr="009003E2" w:rsidRDefault="00C3427A" w:rsidP="00284ACA">
      <w:pPr>
        <w:jc w:val="both"/>
        <w:rPr>
          <w:bCs/>
          <w:sz w:val="22"/>
          <w:szCs w:val="22"/>
          <w:lang w:val="sr-Latn-ME"/>
        </w:rPr>
      </w:pPr>
    </w:p>
    <w:p w14:paraId="229F0442"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4. </w:t>
      </w:r>
      <w:r w:rsidR="00480FB1" w:rsidRPr="009003E2">
        <w:rPr>
          <w:b/>
          <w:bCs/>
          <w:sz w:val="22"/>
          <w:szCs w:val="22"/>
          <w:lang w:val="sr-Latn-ME"/>
        </w:rPr>
        <w:tab/>
      </w:r>
      <w:r w:rsidRPr="009003E2">
        <w:rPr>
          <w:b/>
          <w:bCs/>
          <w:sz w:val="22"/>
          <w:szCs w:val="22"/>
          <w:lang w:val="sr-Latn-ME"/>
        </w:rPr>
        <w:t>KLINIČKI PODACI</w:t>
      </w:r>
    </w:p>
    <w:p w14:paraId="49730ED3" w14:textId="77777777" w:rsidR="00CD6F02" w:rsidRPr="009003E2" w:rsidRDefault="00CD6F02" w:rsidP="00284ACA">
      <w:pPr>
        <w:tabs>
          <w:tab w:val="left" w:pos="540"/>
          <w:tab w:val="left" w:pos="569"/>
        </w:tabs>
        <w:jc w:val="both"/>
        <w:rPr>
          <w:bCs/>
          <w:sz w:val="22"/>
          <w:szCs w:val="22"/>
          <w:lang w:val="sr-Latn-ME"/>
        </w:rPr>
      </w:pPr>
    </w:p>
    <w:p w14:paraId="5E0C8CFE"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4.1. </w:t>
      </w:r>
      <w:r w:rsidR="00480FB1" w:rsidRPr="009003E2">
        <w:rPr>
          <w:b/>
          <w:bCs/>
          <w:sz w:val="22"/>
          <w:szCs w:val="22"/>
          <w:lang w:val="sr-Latn-ME"/>
        </w:rPr>
        <w:tab/>
      </w:r>
      <w:r w:rsidRPr="009003E2">
        <w:rPr>
          <w:b/>
          <w:bCs/>
          <w:sz w:val="22"/>
          <w:szCs w:val="22"/>
          <w:lang w:val="sr-Latn-ME"/>
        </w:rPr>
        <w:t>Terapijske indikacije</w:t>
      </w:r>
    </w:p>
    <w:p w14:paraId="2289CC09" w14:textId="77777777" w:rsidR="00411B4B" w:rsidRPr="009003E2" w:rsidRDefault="00411B4B" w:rsidP="00284ACA">
      <w:pPr>
        <w:tabs>
          <w:tab w:val="left" w:pos="540"/>
          <w:tab w:val="left" w:pos="569"/>
        </w:tabs>
        <w:jc w:val="both"/>
        <w:rPr>
          <w:bCs/>
          <w:sz w:val="22"/>
          <w:szCs w:val="22"/>
          <w:lang w:val="sr-Latn-ME"/>
        </w:rPr>
      </w:pPr>
    </w:p>
    <w:p w14:paraId="05BD11F7" w14:textId="487AE4B9"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Lijek Reagila je indikovan za terapiju shizofrenije kod odraslih pacijenata.</w:t>
      </w:r>
    </w:p>
    <w:p w14:paraId="1B652DFE"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lastRenderedPageBreak/>
        <w:t xml:space="preserve">4.2. </w:t>
      </w:r>
      <w:r w:rsidR="00480FB1" w:rsidRPr="009003E2">
        <w:rPr>
          <w:b/>
          <w:bCs/>
          <w:sz w:val="22"/>
          <w:szCs w:val="22"/>
          <w:lang w:val="sr-Latn-ME"/>
        </w:rPr>
        <w:tab/>
      </w:r>
      <w:r w:rsidRPr="009003E2">
        <w:rPr>
          <w:b/>
          <w:bCs/>
          <w:sz w:val="22"/>
          <w:szCs w:val="22"/>
          <w:lang w:val="sr-Latn-ME"/>
        </w:rPr>
        <w:t>Doziranje i način primjene</w:t>
      </w:r>
    </w:p>
    <w:p w14:paraId="13A23002" w14:textId="77777777" w:rsidR="0072020E" w:rsidRPr="009003E2" w:rsidRDefault="0072020E" w:rsidP="00284ACA">
      <w:pPr>
        <w:tabs>
          <w:tab w:val="left" w:pos="540"/>
          <w:tab w:val="left" w:pos="569"/>
        </w:tabs>
        <w:jc w:val="both"/>
        <w:rPr>
          <w:bCs/>
          <w:sz w:val="22"/>
          <w:szCs w:val="22"/>
          <w:lang w:val="sr-Latn-ME"/>
        </w:rPr>
      </w:pPr>
    </w:p>
    <w:p w14:paraId="5018822F" w14:textId="77777777" w:rsidR="00452E9D" w:rsidRPr="009003E2" w:rsidRDefault="00452E9D" w:rsidP="00284ACA">
      <w:pPr>
        <w:tabs>
          <w:tab w:val="left" w:pos="540"/>
          <w:tab w:val="left" w:pos="569"/>
        </w:tabs>
        <w:jc w:val="both"/>
        <w:rPr>
          <w:bCs/>
          <w:sz w:val="22"/>
          <w:szCs w:val="22"/>
          <w:u w:val="single"/>
          <w:lang w:val="sr-Latn-ME"/>
        </w:rPr>
      </w:pPr>
      <w:r w:rsidRPr="009003E2">
        <w:rPr>
          <w:bCs/>
          <w:sz w:val="22"/>
          <w:szCs w:val="22"/>
          <w:u w:val="single"/>
          <w:lang w:val="sr-Latn-ME"/>
        </w:rPr>
        <w:t>Doziranje</w:t>
      </w:r>
    </w:p>
    <w:p w14:paraId="1A85EF6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Preporučena početna doza kariprazina je 1,5 mg jednom dnevno. Ako je potrebno, doza se nakon toga može povećavati polako u koracima od 1,5 mg do maksimalne doze od 6 mg/dan. Najmanju efikasnu dozu treba održavati prema kliničkoj procjeni nadležnog ljekara. Zbog dugog poluvremena eliminacije kariprazina i njegovih aktivnih metabolita, promjene doze se još nekoliko nedjelja neće u potpunosti odražavati u plazmi. Nakon uvođenja kariprazina i nakon svake promjene doze, pacijenti treba da budu pod nadzorom tokom nekoliko nedjelja, zbog neželjenih reakcija i praćenja odgovora na terapiju (vidjeti dio 5.2).</w:t>
      </w:r>
    </w:p>
    <w:p w14:paraId="1F3E4C5D" w14:textId="77777777" w:rsidR="00D16942" w:rsidRPr="009003E2" w:rsidRDefault="00D16942" w:rsidP="00284ACA">
      <w:pPr>
        <w:tabs>
          <w:tab w:val="left" w:pos="284"/>
        </w:tabs>
        <w:jc w:val="both"/>
        <w:rPr>
          <w:rFonts w:eastAsiaTheme="minorHAnsi"/>
          <w:sz w:val="22"/>
          <w:szCs w:val="22"/>
          <w:lang w:val="sr-Latn-ME"/>
        </w:rPr>
      </w:pPr>
    </w:p>
    <w:p w14:paraId="34044E9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Prelazak sa drugih antipsihotika na kariprazin</w:t>
      </w:r>
    </w:p>
    <w:p w14:paraId="24490480"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Pri prelasku sa nekog drugog antipsihotika na kariprazin, potrebno je razmotriti postepenu unakrsnu titraciju, sa postepenim obustavljanjem prethodne terapije tokom uvođenja terapije kariprazinom.</w:t>
      </w:r>
    </w:p>
    <w:p w14:paraId="203E7B11" w14:textId="77777777" w:rsidR="00D16942" w:rsidRPr="009003E2" w:rsidRDefault="00D16942" w:rsidP="00284ACA">
      <w:pPr>
        <w:tabs>
          <w:tab w:val="left" w:pos="284"/>
        </w:tabs>
        <w:jc w:val="both"/>
        <w:rPr>
          <w:rFonts w:eastAsiaTheme="minorHAnsi"/>
          <w:sz w:val="22"/>
          <w:szCs w:val="22"/>
          <w:lang w:val="sr-Latn-ME"/>
        </w:rPr>
      </w:pPr>
    </w:p>
    <w:p w14:paraId="1804097B"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 xml:space="preserve">Prelazak sa kariprazina na neki drugi antipsihotik </w:t>
      </w:r>
    </w:p>
    <w:p w14:paraId="6DEC600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Pri prelasku sa kariprazina na neki drugi antipsihotik postepena unakrsna titracija nije potrebna, već novi antipsihotik treba uvesti u najmanjoj dozi dok se primjena kariprazina prekida. Potrebno je uzeti u obzir da će se koncentracija kariprazina i njegovih aktivnih metabolita u plazmi smanjiti za 50% za </w:t>
      </w:r>
      <w:r w:rsidRPr="009003E2">
        <w:rPr>
          <w:szCs w:val="22"/>
          <w:lang w:val="sr-Latn-ME"/>
        </w:rPr>
        <w:t xml:space="preserve">~ 1 </w:t>
      </w:r>
      <w:r w:rsidRPr="009003E2">
        <w:rPr>
          <w:rFonts w:eastAsiaTheme="minorHAnsi"/>
          <w:sz w:val="22"/>
          <w:szCs w:val="22"/>
          <w:lang w:val="sr-Latn-ME"/>
        </w:rPr>
        <w:t>nedjelju (vidjeti dio 5.2).</w:t>
      </w:r>
    </w:p>
    <w:p w14:paraId="202D4DDB" w14:textId="77777777" w:rsidR="00D16942" w:rsidRPr="009003E2" w:rsidRDefault="00D16942" w:rsidP="00284ACA">
      <w:pPr>
        <w:tabs>
          <w:tab w:val="left" w:pos="284"/>
        </w:tabs>
        <w:spacing w:line="259" w:lineRule="auto"/>
        <w:jc w:val="both"/>
        <w:rPr>
          <w:rFonts w:eastAsiaTheme="minorHAnsi"/>
          <w:sz w:val="22"/>
          <w:szCs w:val="22"/>
          <w:lang w:val="sr-Latn-ME"/>
        </w:rPr>
      </w:pPr>
    </w:p>
    <w:p w14:paraId="05108588" w14:textId="77777777" w:rsidR="00D16942" w:rsidRPr="009003E2" w:rsidRDefault="00D16942" w:rsidP="00284ACA">
      <w:pPr>
        <w:tabs>
          <w:tab w:val="left" w:pos="284"/>
        </w:tabs>
        <w:spacing w:line="259" w:lineRule="auto"/>
        <w:jc w:val="both"/>
        <w:rPr>
          <w:rFonts w:eastAsiaTheme="minorHAnsi"/>
          <w:i/>
          <w:iCs/>
          <w:sz w:val="22"/>
          <w:szCs w:val="22"/>
          <w:lang w:val="sr-Latn-ME"/>
        </w:rPr>
      </w:pPr>
      <w:r w:rsidRPr="009003E2">
        <w:rPr>
          <w:rFonts w:eastAsiaTheme="minorHAnsi"/>
          <w:i/>
          <w:iCs/>
          <w:sz w:val="22"/>
          <w:szCs w:val="22"/>
          <w:lang w:val="sr-Latn-ME"/>
        </w:rPr>
        <w:t>Propuštena doza</w:t>
      </w:r>
    </w:p>
    <w:p w14:paraId="65DF6402"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Ukoliko pacijent propusti dozu, treba da uzme propuštenu dozu što je prije moguće. Ipak, ako je uskoro vrijeme za sljedeću dozu, propuštenu dozu treba preskočiti i sljedeću dozu treba uzeti prema utvrđenom rasporedu. Ne preporučuje se uzimanje duple doze da bi se nadoknadila propuštena doza.</w:t>
      </w:r>
    </w:p>
    <w:p w14:paraId="460C8402" w14:textId="77777777" w:rsidR="00D16942" w:rsidRPr="009003E2" w:rsidRDefault="00D16942" w:rsidP="00284ACA">
      <w:pPr>
        <w:tabs>
          <w:tab w:val="left" w:pos="284"/>
        </w:tabs>
        <w:jc w:val="both"/>
        <w:rPr>
          <w:rFonts w:eastAsiaTheme="minorHAnsi"/>
          <w:sz w:val="22"/>
          <w:szCs w:val="22"/>
          <w:lang w:val="sr-Latn-ME"/>
        </w:rPr>
      </w:pPr>
    </w:p>
    <w:p w14:paraId="69310E0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Posebne populacije</w:t>
      </w:r>
    </w:p>
    <w:p w14:paraId="19F4F3F3" w14:textId="77777777" w:rsidR="00D16942" w:rsidRPr="009003E2" w:rsidRDefault="00D16942" w:rsidP="00284ACA">
      <w:pPr>
        <w:tabs>
          <w:tab w:val="left" w:pos="284"/>
        </w:tabs>
        <w:jc w:val="both"/>
        <w:rPr>
          <w:rFonts w:eastAsiaTheme="minorHAnsi"/>
          <w:sz w:val="22"/>
          <w:szCs w:val="22"/>
          <w:lang w:val="sr-Latn-ME"/>
        </w:rPr>
      </w:pPr>
    </w:p>
    <w:p w14:paraId="653F61FB"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Oštećenje funkcije bubrega</w:t>
      </w:r>
    </w:p>
    <w:p w14:paraId="4B9EB692"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pacijenata sa blagim do umjerenim oštećenjem funkcije bubrega (klirens kreatinina (CrCl) ≥ 30 mL/min i &lt; 89 mL/min) nije potrebno prilagođavanje doze. Bezbjednost i efikasnost kariprazina nijesu ispitivane kod pacijenata sa teškim oštećenjem funkcije bubrega (CrCl &lt; 30 mL/min). Primjena kariprazina kod pacijenata sa teškim oštećenjem funkcije bubrega se ne preporučuje (vidjeti dio 5.2).</w:t>
      </w:r>
    </w:p>
    <w:p w14:paraId="22CED775" w14:textId="77777777" w:rsidR="00D16942" w:rsidRPr="009003E2" w:rsidRDefault="00D16942" w:rsidP="00284ACA">
      <w:pPr>
        <w:tabs>
          <w:tab w:val="left" w:pos="284"/>
        </w:tabs>
        <w:jc w:val="both"/>
        <w:rPr>
          <w:rFonts w:eastAsiaTheme="minorHAnsi"/>
          <w:sz w:val="22"/>
          <w:szCs w:val="22"/>
          <w:lang w:val="sr-Latn-ME"/>
        </w:rPr>
      </w:pPr>
    </w:p>
    <w:p w14:paraId="742C63D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Oštećenje funkcije jetre</w:t>
      </w:r>
    </w:p>
    <w:p w14:paraId="6600169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pacijenata sa blagim do umjerenim oštećenjem funkcije jetre (</w:t>
      </w:r>
      <w:r w:rsidRPr="009003E2">
        <w:rPr>
          <w:rFonts w:eastAsiaTheme="minorHAnsi"/>
          <w:i/>
          <w:sz w:val="22"/>
          <w:szCs w:val="22"/>
          <w:lang w:val="sr-Latn-ME"/>
        </w:rPr>
        <w:t>Child-Pugh</w:t>
      </w:r>
      <w:r w:rsidRPr="009003E2">
        <w:rPr>
          <w:rFonts w:eastAsiaTheme="minorHAnsi"/>
          <w:sz w:val="22"/>
          <w:szCs w:val="22"/>
          <w:lang w:val="sr-Latn-ME"/>
        </w:rPr>
        <w:t xml:space="preserve"> skor između 5 i 9) nije potrebno prilagođavanje doze. Bezbjednost i efikasnost kariprazina nijesu ispitivane kod pacijenata sa teškim oštećenjem funkcije jetre (</w:t>
      </w:r>
      <w:r w:rsidRPr="009003E2">
        <w:rPr>
          <w:rFonts w:eastAsiaTheme="minorHAnsi"/>
          <w:i/>
          <w:sz w:val="22"/>
          <w:szCs w:val="22"/>
          <w:lang w:val="sr-Latn-ME"/>
        </w:rPr>
        <w:t>Child-Pugh</w:t>
      </w:r>
      <w:r w:rsidRPr="009003E2">
        <w:rPr>
          <w:rFonts w:eastAsiaTheme="minorHAnsi"/>
          <w:sz w:val="22"/>
          <w:szCs w:val="22"/>
          <w:lang w:val="sr-Latn-ME"/>
        </w:rPr>
        <w:t xml:space="preserve"> skor između 10 i 15). Primjena kariprazina kod pacijenata sa teškim oštećenjem funkcije jetre se ne preporučuje (vidjeti dio 5.2).</w:t>
      </w:r>
    </w:p>
    <w:p w14:paraId="2C704C4B" w14:textId="77777777" w:rsidR="00D16942" w:rsidRPr="009003E2" w:rsidRDefault="00D16942" w:rsidP="00284ACA">
      <w:pPr>
        <w:tabs>
          <w:tab w:val="left" w:pos="284"/>
        </w:tabs>
        <w:jc w:val="both"/>
        <w:rPr>
          <w:rFonts w:eastAsiaTheme="minorHAnsi"/>
          <w:sz w:val="22"/>
          <w:szCs w:val="22"/>
          <w:lang w:val="sr-Latn-ME"/>
        </w:rPr>
      </w:pPr>
    </w:p>
    <w:p w14:paraId="6B2BA91E"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 xml:space="preserve">Starije osobe </w:t>
      </w:r>
    </w:p>
    <w:p w14:paraId="0503D5DE"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Dostupni podaci o pacijentima od ≥ 65 godina liječenim kariprazinom nijesu dovoljni kako bi se odredilo da li oni odgovaraju na terapiju drugačije od mlađih pacijenata (vidjeti dio 5.2). Potreban je veći oprez prilikom izbora doze za starijeg pacijenta.</w:t>
      </w:r>
    </w:p>
    <w:p w14:paraId="7F3063C3" w14:textId="7556DE75" w:rsidR="00D16942" w:rsidRPr="009003E2" w:rsidRDefault="00D16942" w:rsidP="00284ACA">
      <w:pPr>
        <w:tabs>
          <w:tab w:val="left" w:pos="284"/>
        </w:tabs>
        <w:jc w:val="both"/>
        <w:rPr>
          <w:rFonts w:eastAsiaTheme="minorHAnsi"/>
          <w:sz w:val="22"/>
          <w:szCs w:val="22"/>
          <w:lang w:val="sr-Latn-ME"/>
        </w:rPr>
      </w:pPr>
    </w:p>
    <w:p w14:paraId="20A1378D" w14:textId="77777777" w:rsidR="008B1B8F" w:rsidRPr="009003E2" w:rsidRDefault="008B1B8F" w:rsidP="00284ACA">
      <w:pPr>
        <w:tabs>
          <w:tab w:val="left" w:pos="284"/>
        </w:tabs>
        <w:jc w:val="both"/>
        <w:rPr>
          <w:rFonts w:eastAsiaTheme="minorHAnsi"/>
          <w:sz w:val="22"/>
          <w:szCs w:val="22"/>
          <w:lang w:val="sr-Latn-ME"/>
        </w:rPr>
      </w:pPr>
    </w:p>
    <w:p w14:paraId="7E701FEE"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Pedijatrijska populacija</w:t>
      </w:r>
    </w:p>
    <w:p w14:paraId="2E85E379" w14:textId="77777777" w:rsidR="00D16942" w:rsidRPr="009003E2" w:rsidRDefault="00D16942" w:rsidP="00284ACA">
      <w:pPr>
        <w:tabs>
          <w:tab w:val="left" w:pos="284"/>
        </w:tabs>
        <w:jc w:val="both"/>
        <w:rPr>
          <w:rFonts w:eastAsiaTheme="minorHAnsi"/>
          <w:sz w:val="22"/>
          <w:szCs w:val="22"/>
          <w:lang w:val="sr-Latn-ME"/>
        </w:rPr>
      </w:pPr>
      <w:bookmarkStart w:id="0" w:name="_Hlk3191487"/>
      <w:r w:rsidRPr="009003E2">
        <w:rPr>
          <w:rFonts w:eastAsiaTheme="minorHAnsi"/>
          <w:sz w:val="22"/>
          <w:szCs w:val="22"/>
          <w:lang w:val="sr-Latn-ME"/>
        </w:rPr>
        <w:t>Bezbjednost i efikasnost kariprazina kod djece i adolescenata mlađih od 18 godina nijesu ustanovljene. Nema dostupnih podataka.</w:t>
      </w:r>
    </w:p>
    <w:bookmarkEnd w:id="0"/>
    <w:p w14:paraId="57472D86" w14:textId="77777777" w:rsidR="00452E9D" w:rsidRPr="009003E2" w:rsidRDefault="00452E9D" w:rsidP="00284ACA">
      <w:pPr>
        <w:tabs>
          <w:tab w:val="left" w:pos="540"/>
          <w:tab w:val="left" w:pos="569"/>
        </w:tabs>
        <w:jc w:val="both"/>
        <w:rPr>
          <w:bCs/>
          <w:sz w:val="22"/>
          <w:szCs w:val="22"/>
          <w:u w:val="single"/>
          <w:lang w:val="sr-Latn-ME"/>
        </w:rPr>
      </w:pPr>
    </w:p>
    <w:p w14:paraId="60AA4F76" w14:textId="77777777" w:rsidR="00452E9D" w:rsidRPr="009003E2" w:rsidRDefault="00452E9D" w:rsidP="00284ACA">
      <w:pPr>
        <w:tabs>
          <w:tab w:val="left" w:pos="540"/>
          <w:tab w:val="left" w:pos="569"/>
        </w:tabs>
        <w:jc w:val="both"/>
        <w:rPr>
          <w:bCs/>
          <w:sz w:val="22"/>
          <w:szCs w:val="22"/>
          <w:u w:val="single"/>
          <w:lang w:val="sr-Latn-ME"/>
        </w:rPr>
      </w:pPr>
      <w:r w:rsidRPr="009003E2">
        <w:rPr>
          <w:bCs/>
          <w:sz w:val="22"/>
          <w:szCs w:val="22"/>
          <w:u w:val="single"/>
          <w:lang w:val="sr-Latn-ME"/>
        </w:rPr>
        <w:t>Način primjene</w:t>
      </w:r>
    </w:p>
    <w:p w14:paraId="00B73D49" w14:textId="77777777" w:rsidR="00452E9D" w:rsidRPr="009003E2" w:rsidRDefault="00452E9D" w:rsidP="00284ACA">
      <w:pPr>
        <w:tabs>
          <w:tab w:val="left" w:pos="540"/>
          <w:tab w:val="left" w:pos="569"/>
        </w:tabs>
        <w:jc w:val="both"/>
        <w:rPr>
          <w:bCs/>
          <w:sz w:val="22"/>
          <w:szCs w:val="22"/>
          <w:lang w:val="sr-Latn-ME"/>
        </w:rPr>
      </w:pPr>
    </w:p>
    <w:p w14:paraId="54702EC0" w14:textId="77777777" w:rsidR="00D16942" w:rsidRPr="009003E2" w:rsidRDefault="00D16942" w:rsidP="00284ACA">
      <w:pPr>
        <w:tabs>
          <w:tab w:val="left" w:pos="540"/>
          <w:tab w:val="left" w:pos="569"/>
        </w:tabs>
        <w:jc w:val="both"/>
        <w:rPr>
          <w:rFonts w:eastAsiaTheme="minorHAnsi"/>
          <w:bCs/>
          <w:sz w:val="22"/>
          <w:szCs w:val="22"/>
          <w:lang w:val="sr-Latn-ME"/>
        </w:rPr>
      </w:pPr>
      <w:r w:rsidRPr="009003E2">
        <w:rPr>
          <w:rFonts w:eastAsiaTheme="minorHAnsi"/>
          <w:sz w:val="22"/>
          <w:szCs w:val="22"/>
          <w:lang w:val="sr-Latn-ME"/>
        </w:rPr>
        <w:t xml:space="preserve">Lijek Reagila je namijenjen za oralnu upotrebu i uzima se jednom dnevno u isto doba dana, sa hranom ili bez hrane. </w:t>
      </w:r>
      <w:r w:rsidRPr="009003E2">
        <w:rPr>
          <w:rFonts w:eastAsiaTheme="minorHAnsi"/>
          <w:bCs/>
          <w:sz w:val="22"/>
          <w:szCs w:val="22"/>
          <w:lang w:val="sr-Latn-ME"/>
        </w:rPr>
        <w:t>Reagila oralne disperzibilne tablete mogu se koristiti kao zamjena za lijek Reagila tvrde kapsule kod pacijenata koji imaju poteškoća sa gutanjem tvrdih kapsula ili kod pacijenata koji preferiraju oralne disperzibilne tablete.</w:t>
      </w:r>
    </w:p>
    <w:p w14:paraId="6EBE6BFD" w14:textId="77777777" w:rsidR="00D16942" w:rsidRPr="009003E2" w:rsidRDefault="00D16942" w:rsidP="00284ACA">
      <w:pPr>
        <w:jc w:val="both"/>
        <w:rPr>
          <w:szCs w:val="22"/>
          <w:lang w:val="sr-Latn-ME"/>
        </w:rPr>
      </w:pPr>
      <w:r w:rsidRPr="009003E2">
        <w:rPr>
          <w:rFonts w:eastAsiaTheme="minorHAnsi"/>
          <w:sz w:val="22"/>
          <w:szCs w:val="22"/>
          <w:lang w:val="sr-Latn-ME"/>
        </w:rPr>
        <w:lastRenderedPageBreak/>
        <w:t>Oralnu disperzibilnu tabletu treba pažljivo izvaditi iz blistera suvim rukama i odmah staviti na jezik gdje će se rastvoriti i zatim progutati sa vodom ili bez vode. Drugi način je da se disperguje tableta u vodi i popije dobijen</w:t>
      </w:r>
      <w:r w:rsidRPr="009003E2">
        <w:rPr>
          <w:rFonts w:eastAsiaTheme="minorHAnsi"/>
          <w:szCs w:val="22"/>
          <w:lang w:val="sr-Latn-ME"/>
        </w:rPr>
        <w:t>a</w:t>
      </w:r>
      <w:r w:rsidRPr="009003E2">
        <w:rPr>
          <w:rFonts w:eastAsiaTheme="minorHAnsi"/>
          <w:sz w:val="22"/>
          <w:szCs w:val="22"/>
          <w:lang w:val="sr-Latn-ME"/>
        </w:rPr>
        <w:t xml:space="preserve"> suspenzij</w:t>
      </w:r>
      <w:r w:rsidRPr="009003E2">
        <w:rPr>
          <w:rFonts w:eastAsiaTheme="minorHAnsi"/>
          <w:szCs w:val="22"/>
          <w:lang w:val="sr-Latn-ME"/>
        </w:rPr>
        <w:t>a</w:t>
      </w:r>
      <w:r w:rsidRPr="009003E2">
        <w:rPr>
          <w:rFonts w:eastAsiaTheme="minorHAnsi"/>
          <w:sz w:val="22"/>
          <w:szCs w:val="22"/>
          <w:lang w:val="sr-Latn-ME"/>
        </w:rPr>
        <w:t>. U tom slučaju, sadržaj čaše treba temel</w:t>
      </w:r>
      <w:r w:rsidRPr="009003E2">
        <w:rPr>
          <w:rFonts w:eastAsiaTheme="minorHAnsi"/>
          <w:szCs w:val="22"/>
          <w:lang w:val="sr-Latn-ME"/>
        </w:rPr>
        <w:t>j</w:t>
      </w:r>
      <w:r w:rsidRPr="009003E2">
        <w:rPr>
          <w:rFonts w:eastAsiaTheme="minorHAnsi"/>
          <w:sz w:val="22"/>
          <w:szCs w:val="22"/>
          <w:lang w:val="sr-Latn-ME"/>
        </w:rPr>
        <w:t>no promiješati kako bi se izbjeglo taloženje nerastvorenih ostataka.</w:t>
      </w:r>
    </w:p>
    <w:p w14:paraId="1A41CCDD" w14:textId="77777777" w:rsidR="00D16942" w:rsidRPr="009003E2" w:rsidRDefault="00D16942" w:rsidP="00284ACA">
      <w:pPr>
        <w:tabs>
          <w:tab w:val="left" w:pos="284"/>
        </w:tabs>
        <w:jc w:val="both"/>
        <w:rPr>
          <w:rFonts w:eastAsiaTheme="minorHAnsi"/>
          <w:sz w:val="22"/>
          <w:szCs w:val="22"/>
          <w:lang w:val="sr-Latn-ME"/>
        </w:rPr>
      </w:pPr>
    </w:p>
    <w:p w14:paraId="695CE8D0"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Alkohol treba izbjegavati tokom uzimanja (vidjeti dio 4.5).</w:t>
      </w:r>
    </w:p>
    <w:p w14:paraId="57A62F0E" w14:textId="77777777" w:rsidR="00D16942" w:rsidRPr="009003E2" w:rsidRDefault="00D16942" w:rsidP="00284ACA">
      <w:pPr>
        <w:tabs>
          <w:tab w:val="left" w:pos="540"/>
          <w:tab w:val="left" w:pos="569"/>
        </w:tabs>
        <w:jc w:val="both"/>
        <w:rPr>
          <w:bCs/>
          <w:sz w:val="22"/>
          <w:szCs w:val="22"/>
          <w:lang w:val="sr-Latn-ME"/>
        </w:rPr>
      </w:pPr>
    </w:p>
    <w:p w14:paraId="10B6BDB7"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4.3. </w:t>
      </w:r>
      <w:r w:rsidR="00480FB1" w:rsidRPr="009003E2">
        <w:rPr>
          <w:b/>
          <w:bCs/>
          <w:sz w:val="22"/>
          <w:szCs w:val="22"/>
          <w:lang w:val="sr-Latn-ME"/>
        </w:rPr>
        <w:tab/>
      </w:r>
      <w:r w:rsidRPr="009003E2">
        <w:rPr>
          <w:b/>
          <w:bCs/>
          <w:sz w:val="22"/>
          <w:szCs w:val="22"/>
          <w:lang w:val="sr-Latn-ME"/>
        </w:rPr>
        <w:t>Kontraindikacije</w:t>
      </w:r>
    </w:p>
    <w:p w14:paraId="4D98BEB1" w14:textId="77777777" w:rsidR="0072020E" w:rsidRPr="009003E2" w:rsidRDefault="0072020E" w:rsidP="00284ACA">
      <w:pPr>
        <w:tabs>
          <w:tab w:val="left" w:pos="540"/>
          <w:tab w:val="left" w:pos="569"/>
        </w:tabs>
        <w:jc w:val="both"/>
        <w:rPr>
          <w:bCs/>
          <w:sz w:val="22"/>
          <w:szCs w:val="22"/>
          <w:lang w:val="sr-Latn-ME"/>
        </w:rPr>
      </w:pPr>
    </w:p>
    <w:p w14:paraId="7A1AA7F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Preosjetljivost na aktivnu supstancu ili na bilo koju pomoćnu supstancu navedenu u dijelu 6.1.</w:t>
      </w:r>
    </w:p>
    <w:p w14:paraId="6BABCC68"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Istovremena primjena jakih CYP3A4 inhibitora (vidjeti dio 4.5).</w:t>
      </w:r>
    </w:p>
    <w:p w14:paraId="38CDABD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Istovremena primjena jakih ili umjerenih CYP3A4 induktora (vidjeti dio 4.5).</w:t>
      </w:r>
    </w:p>
    <w:p w14:paraId="6D0F2C12" w14:textId="77777777" w:rsidR="00D16942" w:rsidRPr="009003E2" w:rsidRDefault="00D16942" w:rsidP="00284ACA">
      <w:pPr>
        <w:tabs>
          <w:tab w:val="left" w:pos="540"/>
          <w:tab w:val="left" w:pos="569"/>
        </w:tabs>
        <w:jc w:val="both"/>
        <w:rPr>
          <w:bCs/>
          <w:sz w:val="22"/>
          <w:szCs w:val="22"/>
          <w:lang w:val="sr-Latn-ME"/>
        </w:rPr>
      </w:pPr>
    </w:p>
    <w:p w14:paraId="77D86DE4"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 xml:space="preserve">4.4. </w:t>
      </w:r>
      <w:r w:rsidR="00480FB1" w:rsidRPr="009003E2">
        <w:rPr>
          <w:b/>
          <w:bCs/>
          <w:sz w:val="22"/>
          <w:szCs w:val="22"/>
          <w:lang w:val="sr-Latn-ME"/>
        </w:rPr>
        <w:tab/>
      </w:r>
      <w:r w:rsidRPr="009003E2">
        <w:rPr>
          <w:b/>
          <w:bCs/>
          <w:sz w:val="22"/>
          <w:szCs w:val="22"/>
          <w:lang w:val="sr-Latn-ME"/>
        </w:rPr>
        <w:t>Posebna upozorenja i mjere opreza pri upotrebi lijeka</w:t>
      </w:r>
    </w:p>
    <w:p w14:paraId="44FCC767" w14:textId="77777777" w:rsidR="0072020E" w:rsidRPr="009003E2" w:rsidRDefault="0072020E" w:rsidP="00284ACA">
      <w:pPr>
        <w:tabs>
          <w:tab w:val="left" w:pos="540"/>
          <w:tab w:val="left" w:pos="569"/>
        </w:tabs>
        <w:jc w:val="both"/>
        <w:rPr>
          <w:bCs/>
          <w:sz w:val="22"/>
          <w:szCs w:val="22"/>
          <w:lang w:val="sr-Latn-ME"/>
        </w:rPr>
      </w:pPr>
    </w:p>
    <w:p w14:paraId="194A4ED2"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 xml:space="preserve">Suicidalne ideje i ponašanje </w:t>
      </w:r>
    </w:p>
    <w:p w14:paraId="52BE9625" w14:textId="77777777" w:rsidR="00D16942" w:rsidRPr="009003E2" w:rsidRDefault="00D16942" w:rsidP="00284ACA">
      <w:pPr>
        <w:tabs>
          <w:tab w:val="left" w:pos="284"/>
        </w:tabs>
        <w:jc w:val="both"/>
        <w:rPr>
          <w:rFonts w:eastAsiaTheme="minorHAnsi"/>
          <w:sz w:val="22"/>
          <w:szCs w:val="22"/>
          <w:lang w:val="sr-Latn-ME"/>
        </w:rPr>
      </w:pPr>
    </w:p>
    <w:p w14:paraId="7492EAB2"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Moguća pojava suicidalnosti (suicidalne ideje, pokušaj samoubistva i izvršenje samoubistva) je svojstvena psihotičnim bolestima i obično se prijavljuje rano nakon započinjanja ili promjene terapije antipsihoticima. Visokorizični pacijenati na terapiji antipsihoticima treba da budu pod pažljivim nadzorom.</w:t>
      </w:r>
    </w:p>
    <w:p w14:paraId="4342A606" w14:textId="77777777" w:rsidR="00D16942" w:rsidRPr="009003E2" w:rsidRDefault="00D16942" w:rsidP="00284ACA">
      <w:pPr>
        <w:tabs>
          <w:tab w:val="left" w:pos="284"/>
        </w:tabs>
        <w:jc w:val="both"/>
        <w:rPr>
          <w:rFonts w:eastAsiaTheme="minorHAnsi"/>
          <w:sz w:val="22"/>
          <w:szCs w:val="22"/>
          <w:lang w:val="sr-Latn-ME"/>
        </w:rPr>
      </w:pPr>
    </w:p>
    <w:p w14:paraId="6EE81BA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Akatizija, nemir</w:t>
      </w:r>
    </w:p>
    <w:p w14:paraId="5979CFF3" w14:textId="77777777" w:rsidR="00D16942" w:rsidRPr="009003E2" w:rsidRDefault="00D16942" w:rsidP="00284ACA">
      <w:pPr>
        <w:tabs>
          <w:tab w:val="left" w:pos="284"/>
        </w:tabs>
        <w:jc w:val="both"/>
        <w:rPr>
          <w:rFonts w:eastAsiaTheme="minorHAnsi"/>
          <w:sz w:val="22"/>
          <w:szCs w:val="22"/>
          <w:lang w:val="sr-Latn-ME"/>
        </w:rPr>
      </w:pPr>
    </w:p>
    <w:p w14:paraId="312B87E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Akatizija i nemir su neželjene reakcije antipsihotika koje se često javljaju. Akatizija je poremećaj pokreta koji se karakteriše osjećajem unutrašnjeg nemira i nesavladivom potrebom da se bude u konstantnom pokretu, kao i radnjama poput ljuljanja prilikom stajanja ili sjedenja, podizanja stopala u maniru marširanja u mjestu i prekrštanjem i razdvajanjem nogu tokom sjedjenja. Kako kariprazin izaziva akatiziju i nemir, treba ga primjenjivati uz oprez kod pacijenata koji su skloni akatiziji ili već pokazuju simptome akatizije. Akatizija se razvija rano tokom terapije Zbog  toga je važan pažljiv nadzor u prvoj fazi liječenja. Prevencija uključuje sporo titriranje na veću dozu; terapijske mjere uključuju sporo titriranje na manju dozu kariprazina ili ljekove za anti-ekstrapiramidalne simptome (EPS). Doza se može prilagođavati na osnovu individualnog odgovora i podnošljivosti (vidjeti dio 4.8).</w:t>
      </w:r>
    </w:p>
    <w:p w14:paraId="6E096E99" w14:textId="77777777" w:rsidR="00D16942" w:rsidRPr="009003E2" w:rsidRDefault="00D16942" w:rsidP="00284ACA">
      <w:pPr>
        <w:tabs>
          <w:tab w:val="left" w:pos="284"/>
        </w:tabs>
        <w:jc w:val="both"/>
        <w:rPr>
          <w:rFonts w:eastAsiaTheme="minorHAnsi"/>
          <w:sz w:val="22"/>
          <w:szCs w:val="22"/>
          <w:lang w:val="sr-Latn-ME"/>
        </w:rPr>
      </w:pPr>
    </w:p>
    <w:p w14:paraId="7AE4E0E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Tardivna diskinezija</w:t>
      </w:r>
    </w:p>
    <w:p w14:paraId="39962CAE" w14:textId="77777777" w:rsidR="00D16942" w:rsidRPr="009003E2" w:rsidRDefault="00D16942" w:rsidP="00284ACA">
      <w:pPr>
        <w:tabs>
          <w:tab w:val="left" w:pos="284"/>
        </w:tabs>
        <w:jc w:val="both"/>
        <w:rPr>
          <w:rFonts w:eastAsiaTheme="minorHAnsi"/>
          <w:sz w:val="22"/>
          <w:szCs w:val="22"/>
          <w:lang w:val="sr-Latn-ME"/>
        </w:rPr>
      </w:pPr>
    </w:p>
    <w:p w14:paraId="513CF2C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Tardivna diskinezija je sindrom koji se sastoji od potencijalno ireverzibilnih, ritmičnih, nevoljnih pokreta, prvenstveno jezika i/ili lica do čijeg razvoja može doći kod pacijenata koji su na terapiji antipsihoticima. Treba razmotriti prekid terapije ukoliko se znaci i simptomi tardivne diskinezije jave kod pacijenta koji je liječen kariprazinom.</w:t>
      </w:r>
    </w:p>
    <w:p w14:paraId="2A3B1895" w14:textId="77777777" w:rsidR="00D16942" w:rsidRPr="009003E2" w:rsidRDefault="00D16942" w:rsidP="00284ACA">
      <w:pPr>
        <w:tabs>
          <w:tab w:val="left" w:pos="284"/>
        </w:tabs>
        <w:jc w:val="both"/>
        <w:rPr>
          <w:rFonts w:eastAsiaTheme="minorHAnsi"/>
          <w:sz w:val="22"/>
          <w:szCs w:val="22"/>
          <w:lang w:val="sr-Latn-ME"/>
        </w:rPr>
      </w:pPr>
    </w:p>
    <w:p w14:paraId="382AE6DE"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Parkinsonova bolest</w:t>
      </w:r>
    </w:p>
    <w:p w14:paraId="60E7AB36" w14:textId="77777777" w:rsidR="00D16942" w:rsidRPr="009003E2" w:rsidRDefault="00D16942" w:rsidP="00284ACA">
      <w:pPr>
        <w:tabs>
          <w:tab w:val="left" w:pos="284"/>
        </w:tabs>
        <w:jc w:val="both"/>
        <w:rPr>
          <w:rFonts w:eastAsiaTheme="minorHAnsi"/>
          <w:sz w:val="22"/>
          <w:szCs w:val="22"/>
          <w:lang w:val="sr-Latn-ME"/>
        </w:rPr>
      </w:pPr>
    </w:p>
    <w:p w14:paraId="32A02B48" w14:textId="77777777" w:rsidR="00D16942" w:rsidRPr="009003E2" w:rsidRDefault="00D16942" w:rsidP="00284ACA">
      <w:pPr>
        <w:tabs>
          <w:tab w:val="left" w:pos="284"/>
        </w:tabs>
        <w:jc w:val="both"/>
        <w:rPr>
          <w:rFonts w:eastAsiaTheme="minorHAnsi"/>
          <w:sz w:val="22"/>
          <w:szCs w:val="22"/>
          <w:lang w:val="sr-Latn-ME"/>
        </w:rPr>
      </w:pPr>
      <w:r w:rsidRPr="009003E2">
        <w:rPr>
          <w:szCs w:val="22"/>
          <w:lang w:val="sr-Latn-ME"/>
        </w:rPr>
        <w:t xml:space="preserve">Ako se propisuju </w:t>
      </w:r>
      <w:r w:rsidRPr="009003E2">
        <w:rPr>
          <w:rFonts w:eastAsiaTheme="minorHAnsi"/>
          <w:sz w:val="22"/>
          <w:szCs w:val="22"/>
          <w:lang w:val="sr-Latn-ME"/>
        </w:rPr>
        <w:t xml:space="preserve">pacijentima sa Parkinsonovom bolešću, antipsihotici mogu </w:t>
      </w:r>
      <w:r w:rsidRPr="009003E2">
        <w:rPr>
          <w:szCs w:val="22"/>
          <w:lang w:val="sr-Latn-ME"/>
        </w:rPr>
        <w:t xml:space="preserve">pogoršati osnovnu </w:t>
      </w:r>
      <w:r w:rsidRPr="009003E2">
        <w:rPr>
          <w:sz w:val="22"/>
          <w:szCs w:val="22"/>
          <w:lang w:val="sr-Latn-ME"/>
        </w:rPr>
        <w:t>bolest i simptome</w:t>
      </w:r>
      <w:r w:rsidRPr="009003E2">
        <w:rPr>
          <w:rFonts w:eastAsiaTheme="minorHAnsi"/>
          <w:sz w:val="22"/>
          <w:szCs w:val="22"/>
          <w:lang w:val="sr-Latn-ME"/>
        </w:rPr>
        <w:t xml:space="preserve"> Parkinsonove bolesti. Zbog toga ljekari treba da procijene rizike u odnosu na koristi kada propisuju kariprazin pacijentima sa Parkinsonovom bolešću.</w:t>
      </w:r>
    </w:p>
    <w:p w14:paraId="45A93BE1" w14:textId="77777777" w:rsidR="00D16942" w:rsidRPr="009003E2" w:rsidRDefault="00D16942" w:rsidP="00284ACA">
      <w:pPr>
        <w:tabs>
          <w:tab w:val="left" w:pos="284"/>
        </w:tabs>
        <w:jc w:val="both"/>
        <w:rPr>
          <w:rFonts w:eastAsiaTheme="minorHAnsi"/>
          <w:sz w:val="22"/>
          <w:szCs w:val="22"/>
          <w:lang w:val="sr-Latn-ME"/>
        </w:rPr>
      </w:pPr>
    </w:p>
    <w:p w14:paraId="086AEE9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Očni simptomi/katarakta</w:t>
      </w:r>
    </w:p>
    <w:p w14:paraId="09501E7B" w14:textId="77777777" w:rsidR="00D16942" w:rsidRPr="009003E2" w:rsidRDefault="00D16942" w:rsidP="00284ACA">
      <w:pPr>
        <w:tabs>
          <w:tab w:val="left" w:pos="284"/>
        </w:tabs>
        <w:jc w:val="both"/>
        <w:rPr>
          <w:rFonts w:eastAsiaTheme="minorHAnsi"/>
          <w:sz w:val="22"/>
          <w:szCs w:val="22"/>
          <w:lang w:val="sr-Latn-ME"/>
        </w:rPr>
      </w:pPr>
    </w:p>
    <w:p w14:paraId="61ADFF5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U pretkliničkim ispitivanjima kariprazina zabilježeno je zamućenje sočiva/katarakta kod pasa (vidjeti djelove 4.8 i 5.3). Međutim, uzročno-posljedična veza između promjena na sočivu/katarakte i kariprazina nije ustanovljena u ispitivanjima kod ljudi. Ipak, pacijente kod kojih bi došlo do razvoja simptoma potencijalno povezanih sa kataraktom, treba uputiti na očni pregled i ponovno ih procijeniti za nastavak terapije.</w:t>
      </w:r>
    </w:p>
    <w:p w14:paraId="6B28ADD3" w14:textId="7165DA4B" w:rsidR="00D16942" w:rsidRPr="009003E2" w:rsidRDefault="00D16942" w:rsidP="00284ACA">
      <w:pPr>
        <w:tabs>
          <w:tab w:val="left" w:pos="284"/>
        </w:tabs>
        <w:jc w:val="both"/>
        <w:rPr>
          <w:rFonts w:eastAsiaTheme="minorHAnsi"/>
          <w:sz w:val="22"/>
          <w:szCs w:val="22"/>
          <w:lang w:val="sr-Latn-ME"/>
        </w:rPr>
      </w:pPr>
    </w:p>
    <w:p w14:paraId="6B74699A" w14:textId="51C3223D" w:rsidR="00225B95" w:rsidRPr="009003E2" w:rsidRDefault="00225B95" w:rsidP="00284ACA">
      <w:pPr>
        <w:tabs>
          <w:tab w:val="left" w:pos="284"/>
        </w:tabs>
        <w:jc w:val="both"/>
        <w:rPr>
          <w:rFonts w:eastAsiaTheme="minorHAnsi"/>
          <w:sz w:val="22"/>
          <w:szCs w:val="22"/>
          <w:lang w:val="sr-Latn-ME"/>
        </w:rPr>
      </w:pPr>
    </w:p>
    <w:p w14:paraId="46055AB2" w14:textId="77777777" w:rsidR="00225B95" w:rsidRPr="009003E2" w:rsidRDefault="00225B95" w:rsidP="00284ACA">
      <w:pPr>
        <w:tabs>
          <w:tab w:val="left" w:pos="284"/>
        </w:tabs>
        <w:jc w:val="both"/>
        <w:rPr>
          <w:rFonts w:eastAsiaTheme="minorHAnsi"/>
          <w:sz w:val="22"/>
          <w:szCs w:val="22"/>
          <w:lang w:val="sr-Latn-ME"/>
        </w:rPr>
      </w:pPr>
    </w:p>
    <w:p w14:paraId="12A16AF8"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lastRenderedPageBreak/>
        <w:t>Neuroleptički maligni sindrom (NMS)</w:t>
      </w:r>
    </w:p>
    <w:p w14:paraId="5591748C" w14:textId="77777777" w:rsidR="00D16942" w:rsidRPr="009003E2" w:rsidRDefault="00D16942" w:rsidP="00284ACA">
      <w:pPr>
        <w:tabs>
          <w:tab w:val="left" w:pos="284"/>
        </w:tabs>
        <w:jc w:val="both"/>
        <w:rPr>
          <w:rFonts w:eastAsiaTheme="minorHAnsi"/>
          <w:sz w:val="22"/>
          <w:szCs w:val="22"/>
          <w:lang w:val="sr-Latn-ME"/>
        </w:rPr>
      </w:pPr>
    </w:p>
    <w:p w14:paraId="48311180" w14:textId="77777777" w:rsidR="00D16942" w:rsidRPr="009003E2" w:rsidRDefault="00D16942" w:rsidP="00284ACA">
      <w:pPr>
        <w:tabs>
          <w:tab w:val="left" w:pos="284"/>
        </w:tabs>
        <w:jc w:val="both"/>
        <w:rPr>
          <w:rFonts w:eastAsiaTheme="minorHAnsi"/>
          <w:sz w:val="22"/>
          <w:szCs w:val="22"/>
          <w:lang w:val="sr-Latn-ME"/>
        </w:rPr>
      </w:pPr>
      <w:r w:rsidRPr="009003E2">
        <w:rPr>
          <w:sz w:val="22"/>
          <w:szCs w:val="22"/>
          <w:lang w:val="sr-Latn-ME"/>
        </w:rPr>
        <w:t xml:space="preserve">Kod liječenja antipsihoticima prijavljen je potencijalno smrtonosan skup simptoma pod nazivom </w:t>
      </w:r>
      <w:r w:rsidRPr="009003E2">
        <w:rPr>
          <w:rFonts w:eastAsiaTheme="minorHAnsi"/>
          <w:sz w:val="22"/>
          <w:szCs w:val="22"/>
          <w:lang w:val="sr-Latn-ME"/>
        </w:rPr>
        <w:t xml:space="preserve">NMS (engl. </w:t>
      </w:r>
      <w:r w:rsidRPr="009003E2">
        <w:rPr>
          <w:rFonts w:eastAsiaTheme="minorHAnsi"/>
          <w:i/>
          <w:iCs/>
          <w:sz w:val="22"/>
          <w:szCs w:val="22"/>
          <w:lang w:val="sr-Latn-ME"/>
        </w:rPr>
        <w:t>neuroleptic malignant sindrome</w:t>
      </w:r>
      <w:r w:rsidRPr="009003E2">
        <w:rPr>
          <w:rFonts w:eastAsiaTheme="minorHAnsi"/>
          <w:sz w:val="22"/>
          <w:szCs w:val="22"/>
          <w:lang w:val="sr-Latn-ME"/>
        </w:rPr>
        <w:t>). Kliničke manifestacije NMS su hiperpireksija, rigidnost mišića, povišene koncentracije kreatin fosfokinaze u serumu, izmijenjen mentalni status i dokaz autonomne nestabilnosti (nepravilan puls ili krvni pritisak, tahikardija, dijaforeza i poremećaj srčanog ritma). Dodatni znaci mogu obuhvatati mioglobinuriju (rabdomiolizu) i akutnu bubrežnu insuficijenciju. Ako se kod pacijenta razviju znaci i simptomi koji upućuju na NMS ili dođe do pojave povišene temperature nepoznatog porijekla, bez drugih kliničkih manifestacija NMS, primjena kariprazina se mora odmah obustaviti.</w:t>
      </w:r>
    </w:p>
    <w:p w14:paraId="1D7931E5" w14:textId="77777777" w:rsidR="00D16942" w:rsidRPr="009003E2" w:rsidRDefault="00D16942" w:rsidP="00284ACA">
      <w:pPr>
        <w:tabs>
          <w:tab w:val="left" w:pos="284"/>
        </w:tabs>
        <w:jc w:val="both"/>
        <w:rPr>
          <w:rFonts w:eastAsiaTheme="minorHAnsi"/>
          <w:sz w:val="22"/>
          <w:szCs w:val="22"/>
          <w:lang w:val="sr-Latn-ME"/>
        </w:rPr>
      </w:pPr>
    </w:p>
    <w:p w14:paraId="4D7BE23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Napadi i konvulzije</w:t>
      </w:r>
    </w:p>
    <w:p w14:paraId="24A2A237" w14:textId="77777777" w:rsidR="00D16942" w:rsidRPr="009003E2" w:rsidRDefault="00D16942" w:rsidP="00284ACA">
      <w:pPr>
        <w:tabs>
          <w:tab w:val="left" w:pos="284"/>
        </w:tabs>
        <w:jc w:val="both"/>
        <w:rPr>
          <w:rFonts w:eastAsiaTheme="minorHAnsi"/>
          <w:sz w:val="22"/>
          <w:szCs w:val="22"/>
          <w:lang w:val="sr-Latn-ME"/>
        </w:rPr>
      </w:pPr>
    </w:p>
    <w:p w14:paraId="0E35D4F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treba koristiti sa oprezom kod pacijenata koji u anamnezi imaju napade ili stanja koja potencijalno snižavaju prag za napade.</w:t>
      </w:r>
    </w:p>
    <w:p w14:paraId="423828C0" w14:textId="77777777" w:rsidR="00D16942" w:rsidRPr="009003E2" w:rsidRDefault="00D16942" w:rsidP="00284ACA">
      <w:pPr>
        <w:tabs>
          <w:tab w:val="left" w:pos="284"/>
        </w:tabs>
        <w:jc w:val="both"/>
        <w:rPr>
          <w:rFonts w:eastAsiaTheme="minorHAnsi"/>
          <w:sz w:val="22"/>
          <w:szCs w:val="22"/>
          <w:lang w:val="sr-Latn-ME"/>
        </w:rPr>
      </w:pPr>
    </w:p>
    <w:p w14:paraId="7F8034D9"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Stariji pacijenti sa demencijom</w:t>
      </w:r>
    </w:p>
    <w:p w14:paraId="747866A2" w14:textId="77777777" w:rsidR="00D16942" w:rsidRPr="009003E2" w:rsidRDefault="00D16942" w:rsidP="00284ACA">
      <w:pPr>
        <w:tabs>
          <w:tab w:val="left" w:pos="284"/>
        </w:tabs>
        <w:jc w:val="both"/>
        <w:rPr>
          <w:rFonts w:eastAsiaTheme="minorHAnsi"/>
          <w:sz w:val="22"/>
          <w:szCs w:val="22"/>
          <w:u w:val="single"/>
          <w:lang w:val="sr-Latn-ME"/>
        </w:rPr>
      </w:pPr>
    </w:p>
    <w:p w14:paraId="4A065428"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nije ispitivan kod starijih pacijenata sa demencijom i usljed povećanog rizika od ukupne smrtnosti ne preporučuje se za liječenje starijih pacijenata sa demencijom.</w:t>
      </w:r>
    </w:p>
    <w:p w14:paraId="6FD74D62" w14:textId="77777777" w:rsidR="00D16942" w:rsidRPr="009003E2" w:rsidRDefault="00D16942" w:rsidP="00284ACA">
      <w:pPr>
        <w:tabs>
          <w:tab w:val="left" w:pos="284"/>
        </w:tabs>
        <w:jc w:val="both"/>
        <w:rPr>
          <w:rFonts w:eastAsiaTheme="minorHAnsi"/>
          <w:sz w:val="22"/>
          <w:szCs w:val="22"/>
          <w:lang w:val="sr-Latn-ME"/>
        </w:rPr>
      </w:pPr>
    </w:p>
    <w:p w14:paraId="31C0940D"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Rizik od cerebrovaskularnih događaja</w:t>
      </w:r>
    </w:p>
    <w:p w14:paraId="43FC7C7B" w14:textId="77777777" w:rsidR="00D16942" w:rsidRPr="009003E2" w:rsidRDefault="00D16942" w:rsidP="00284ACA">
      <w:pPr>
        <w:tabs>
          <w:tab w:val="left" w:pos="284"/>
        </w:tabs>
        <w:jc w:val="both"/>
        <w:rPr>
          <w:rFonts w:eastAsiaTheme="minorHAnsi"/>
          <w:sz w:val="22"/>
          <w:szCs w:val="22"/>
          <w:u w:val="single"/>
          <w:lang w:val="sr-Latn-ME"/>
        </w:rPr>
      </w:pPr>
    </w:p>
    <w:p w14:paraId="484058A5"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U randomizovanim, placebom kontrolisanim kliničkim studijama, kod primjene nekih atipičnih antipsihotika, u populaciji pacijenata sa demencijom uočen je približno 3 puta veći rizik od cerebrovaskularnih događaja </w:t>
      </w:r>
      <w:r w:rsidRPr="009003E2">
        <w:rPr>
          <w:szCs w:val="22"/>
          <w:lang w:val="sr-Latn-ME"/>
        </w:rPr>
        <w:t xml:space="preserve">(engl. </w:t>
      </w:r>
      <w:r w:rsidRPr="009003E2">
        <w:rPr>
          <w:i/>
          <w:iCs/>
          <w:lang w:val="sr-Latn-ME"/>
        </w:rPr>
        <w:t xml:space="preserve">cerebrovascular accidents, </w:t>
      </w:r>
      <w:r w:rsidRPr="009003E2">
        <w:rPr>
          <w:szCs w:val="22"/>
          <w:lang w:val="sr-Latn-ME"/>
        </w:rPr>
        <w:t>CVA)</w:t>
      </w:r>
      <w:r w:rsidRPr="009003E2">
        <w:rPr>
          <w:rFonts w:eastAsiaTheme="minorHAnsi"/>
          <w:sz w:val="22"/>
          <w:szCs w:val="22"/>
          <w:lang w:val="sr-Latn-ME"/>
        </w:rPr>
        <w:t>. Mehanizam koji dovodi do ovog povećanog rizika je nepoznat. Povećan rizik se ne može isključiti za druge antipsihotike ili druge populacije pacijenata. Kariprazin treba koristiti sa oprezom kod pacijenata koji imaju faktore rizika za moždani udar.</w:t>
      </w:r>
    </w:p>
    <w:p w14:paraId="6795833D" w14:textId="77777777" w:rsidR="00D16942" w:rsidRPr="009003E2" w:rsidRDefault="00D16942" w:rsidP="00284ACA">
      <w:pPr>
        <w:tabs>
          <w:tab w:val="left" w:pos="284"/>
        </w:tabs>
        <w:jc w:val="both"/>
        <w:rPr>
          <w:rFonts w:eastAsiaTheme="minorHAnsi"/>
          <w:sz w:val="22"/>
          <w:szCs w:val="22"/>
          <w:lang w:val="sr-Latn-ME"/>
        </w:rPr>
      </w:pPr>
    </w:p>
    <w:p w14:paraId="6DD89812"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Kardiovaskularni poremećaji</w:t>
      </w:r>
    </w:p>
    <w:p w14:paraId="294ECD5F" w14:textId="77777777" w:rsidR="00D16942" w:rsidRPr="009003E2" w:rsidRDefault="00D16942" w:rsidP="00284ACA">
      <w:pPr>
        <w:tabs>
          <w:tab w:val="left" w:pos="284"/>
        </w:tabs>
        <w:jc w:val="both"/>
        <w:rPr>
          <w:rFonts w:eastAsiaTheme="minorHAnsi"/>
          <w:sz w:val="22"/>
          <w:szCs w:val="22"/>
          <w:lang w:val="sr-Latn-ME"/>
        </w:rPr>
      </w:pPr>
    </w:p>
    <w:p w14:paraId="4F297F7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Promjene krvnog pritiska</w:t>
      </w:r>
    </w:p>
    <w:p w14:paraId="060BDCC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može izazvati ortostatsku hipotenziju, kao i hipertenziju (vidjeti dio 4.8). Kariprazin treba koristiti sa oprezom kod pacijenata koji imaju kardiovaskularnu bolest koja predisponira promjene krvnog pritiska. Krvni pritisak treba pratiti.</w:t>
      </w:r>
    </w:p>
    <w:p w14:paraId="1021DBB8" w14:textId="77777777" w:rsidR="00D16942" w:rsidRPr="009003E2" w:rsidRDefault="00D16942" w:rsidP="00284ACA">
      <w:pPr>
        <w:tabs>
          <w:tab w:val="left" w:pos="284"/>
        </w:tabs>
        <w:jc w:val="both"/>
        <w:rPr>
          <w:rFonts w:eastAsiaTheme="minorHAnsi"/>
          <w:sz w:val="22"/>
          <w:szCs w:val="22"/>
          <w:lang w:val="sr-Latn-ME"/>
        </w:rPr>
      </w:pPr>
    </w:p>
    <w:p w14:paraId="7DF6ED5E"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Promjene na elektrokardiogramu (EKG)</w:t>
      </w:r>
    </w:p>
    <w:p w14:paraId="04FD32F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pacijenata na terapiji antipsihoticima može doći do produženja QT intervala.</w:t>
      </w:r>
    </w:p>
    <w:p w14:paraId="00985B3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Kariprazin nije doveo do produženja QT intervala u poređenju sa placebom u kliničkoj studiji dizajniranoj da procijeni produženje QT intervala (vidjeti dio 5.1). U kliničkim studijama sa kariprazinom je prijavljeno svega nekoliko slučajeva produženja QT intervala koji nijesu bili ozbiljni (vidjeti dio 4.8). Zbog toga kariprazin treba primjenjivati sa oprezom kod pacijenata sa </w:t>
      </w:r>
      <w:r w:rsidRPr="009003E2">
        <w:rPr>
          <w:sz w:val="22"/>
          <w:szCs w:val="22"/>
          <w:lang w:val="sr-Latn-ME"/>
        </w:rPr>
        <w:t xml:space="preserve">poznatom kardiovaskularnom bolešću </w:t>
      </w:r>
      <w:r w:rsidRPr="009003E2">
        <w:rPr>
          <w:rFonts w:eastAsiaTheme="minorHAnsi"/>
          <w:sz w:val="22"/>
          <w:szCs w:val="22"/>
          <w:lang w:val="sr-Latn-ME"/>
        </w:rPr>
        <w:t>ili produženjem QT intervala u anamnezi i kod pacijenata koji su na terapiji ljekovima koji mogu prouzrokovati produženje QT intervala (vidjeti dio 5.1).</w:t>
      </w:r>
    </w:p>
    <w:p w14:paraId="6FF0E728" w14:textId="77777777" w:rsidR="00D16942" w:rsidRPr="009003E2" w:rsidRDefault="00D16942" w:rsidP="00284ACA">
      <w:pPr>
        <w:tabs>
          <w:tab w:val="left" w:pos="284"/>
        </w:tabs>
        <w:jc w:val="both"/>
        <w:rPr>
          <w:rFonts w:eastAsiaTheme="minorHAnsi"/>
          <w:i/>
          <w:sz w:val="22"/>
          <w:szCs w:val="22"/>
          <w:lang w:val="sr-Latn-ME"/>
        </w:rPr>
      </w:pPr>
    </w:p>
    <w:p w14:paraId="07E0EBF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Venska tromboembolija (VTE)</w:t>
      </w:r>
    </w:p>
    <w:p w14:paraId="5AC9EAB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primjene antipsihotika prijavljeni su slučajevi VTE. Kako pacijenti na terapiji antipsihoticima često imaju  stečene faktore rizika za VTE, potrebno je identifikovati sve moguće faktore rizika za VTE prije i tokom terapije kariprazinom i preduzeti preventivne mjere.</w:t>
      </w:r>
    </w:p>
    <w:p w14:paraId="0F3DD229" w14:textId="77777777" w:rsidR="00D16942" w:rsidRPr="009003E2" w:rsidRDefault="00D16942" w:rsidP="00284ACA">
      <w:pPr>
        <w:tabs>
          <w:tab w:val="left" w:pos="284"/>
        </w:tabs>
        <w:spacing w:line="259" w:lineRule="auto"/>
        <w:jc w:val="both"/>
        <w:rPr>
          <w:rFonts w:eastAsiaTheme="minorHAnsi"/>
          <w:sz w:val="22"/>
          <w:szCs w:val="22"/>
          <w:lang w:val="sr-Latn-ME"/>
        </w:rPr>
      </w:pPr>
    </w:p>
    <w:p w14:paraId="51B42F68"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 xml:space="preserve">Hiperglikemija i </w:t>
      </w:r>
      <w:bookmarkStart w:id="1" w:name="_Hlk178175417"/>
      <w:r w:rsidRPr="009003E2">
        <w:rPr>
          <w:rFonts w:eastAsiaTheme="minorHAnsi"/>
          <w:sz w:val="22"/>
          <w:szCs w:val="22"/>
          <w:u w:val="single"/>
          <w:lang w:val="sr-Latn-ME"/>
        </w:rPr>
        <w:t>dijabetes melitus</w:t>
      </w:r>
      <w:bookmarkEnd w:id="1"/>
    </w:p>
    <w:p w14:paraId="088B91AF" w14:textId="77777777" w:rsidR="00D16942" w:rsidRPr="009003E2" w:rsidRDefault="00D16942" w:rsidP="00284ACA">
      <w:pPr>
        <w:tabs>
          <w:tab w:val="left" w:pos="284"/>
        </w:tabs>
        <w:jc w:val="both"/>
        <w:rPr>
          <w:rFonts w:eastAsiaTheme="minorHAnsi"/>
          <w:sz w:val="22"/>
          <w:szCs w:val="22"/>
          <w:lang w:val="sr-Latn-ME"/>
        </w:rPr>
      </w:pPr>
    </w:p>
    <w:p w14:paraId="2FB7A2BD" w14:textId="2DA56433"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pacijenata sa ustanovljenom dijagnozom dijabetes melitus</w:t>
      </w:r>
      <w:r w:rsidRPr="009003E2">
        <w:rPr>
          <w:szCs w:val="22"/>
          <w:lang w:val="sr-Latn-ME"/>
        </w:rPr>
        <w:t xml:space="preserve"> </w:t>
      </w:r>
      <w:r w:rsidRPr="009003E2">
        <w:rPr>
          <w:rFonts w:eastAsiaTheme="minorHAnsi"/>
          <w:sz w:val="22"/>
          <w:szCs w:val="22"/>
          <w:lang w:val="sr-Latn-ME"/>
        </w:rPr>
        <w:t>ili pacijenata sa faktorima rizika za dijabetes melitus</w:t>
      </w:r>
      <w:r w:rsidRPr="009003E2">
        <w:rPr>
          <w:szCs w:val="22"/>
          <w:lang w:val="sr-Latn-ME"/>
        </w:rPr>
        <w:t xml:space="preserve"> </w:t>
      </w:r>
      <w:r w:rsidRPr="009003E2">
        <w:rPr>
          <w:rFonts w:eastAsiaTheme="minorHAnsi"/>
          <w:sz w:val="22"/>
          <w:szCs w:val="22"/>
          <w:lang w:val="sr-Latn-ME"/>
        </w:rPr>
        <w:t>(npr. gojaznost, dijabetes u porodičnoj anamnezi) koji započinju terapiju atipičnim antipsihoticima potrebno je pratiti vrijednost  glukoze u serumu. U kliničkim ispitivanjima su prijavljivane neželjene reakcije povezane sa glukozom kod primjene kariprazina (vidjeti dio 5.1).</w:t>
      </w:r>
    </w:p>
    <w:p w14:paraId="32EAF99D"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lastRenderedPageBreak/>
        <w:t>Promjena tjelesne težine</w:t>
      </w:r>
    </w:p>
    <w:p w14:paraId="7B76C46A" w14:textId="77777777" w:rsidR="00D16942" w:rsidRPr="009003E2" w:rsidRDefault="00D16942" w:rsidP="00284ACA">
      <w:pPr>
        <w:tabs>
          <w:tab w:val="left" w:pos="284"/>
        </w:tabs>
        <w:jc w:val="both"/>
        <w:rPr>
          <w:rFonts w:eastAsiaTheme="minorHAnsi"/>
          <w:sz w:val="22"/>
          <w:szCs w:val="22"/>
          <w:u w:val="single"/>
          <w:lang w:val="sr-Latn-ME"/>
        </w:rPr>
      </w:pPr>
    </w:p>
    <w:p w14:paraId="165A022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Značajno dobijanje na težini je uočeno kod primjene kariprazina. Pacijenti treba redovno da prate svoju tjelesnu težinu (vidjeti dio 4.8).</w:t>
      </w:r>
    </w:p>
    <w:p w14:paraId="1612794D" w14:textId="77777777" w:rsidR="00D16942" w:rsidRPr="009003E2" w:rsidRDefault="00D16942" w:rsidP="00284ACA">
      <w:pPr>
        <w:tabs>
          <w:tab w:val="left" w:pos="284"/>
        </w:tabs>
        <w:jc w:val="both"/>
        <w:rPr>
          <w:rFonts w:eastAsiaTheme="minorHAnsi"/>
          <w:sz w:val="22"/>
          <w:szCs w:val="22"/>
          <w:lang w:val="sr-Latn-ME"/>
        </w:rPr>
      </w:pPr>
    </w:p>
    <w:p w14:paraId="5DC4499A"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 xml:space="preserve">Istovremena primjena umjerenih inhibitora CYP3A4 </w:t>
      </w:r>
    </w:p>
    <w:p w14:paraId="4E486F7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Istovremena primjena kariprazina sa umjerenim inhibitorima CYP3A4 može dovesti do povećanja ukupne izloženosti kariprazinu. Preporučuje se praćenje individualnog odgovora i podnošljivosti i, ako je potrebno, (privremeno) smanjivanje doze kariprazina kako bi se uzelo u obzir moguće povećanje izloženosti (vidjeti dio 4.5). </w:t>
      </w:r>
    </w:p>
    <w:p w14:paraId="4BE9E062" w14:textId="77777777" w:rsidR="00D16942" w:rsidRPr="009003E2" w:rsidRDefault="00D16942" w:rsidP="00284ACA">
      <w:pPr>
        <w:tabs>
          <w:tab w:val="left" w:pos="284"/>
        </w:tabs>
        <w:jc w:val="both"/>
        <w:rPr>
          <w:rFonts w:eastAsiaTheme="minorHAnsi"/>
          <w:sz w:val="22"/>
          <w:szCs w:val="22"/>
          <w:lang w:val="sr-Latn-ME"/>
        </w:rPr>
      </w:pPr>
    </w:p>
    <w:p w14:paraId="6651DE80"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Pomoćne supstance sa potvrđenim dejstvom</w:t>
      </w:r>
    </w:p>
    <w:p w14:paraId="6DD1B89A" w14:textId="77777777" w:rsidR="00D16942" w:rsidRPr="009003E2" w:rsidRDefault="00D16942" w:rsidP="00284ACA">
      <w:pPr>
        <w:tabs>
          <w:tab w:val="left" w:pos="284"/>
        </w:tabs>
        <w:jc w:val="both"/>
        <w:rPr>
          <w:rFonts w:eastAsiaTheme="minorHAnsi"/>
          <w:sz w:val="22"/>
          <w:szCs w:val="22"/>
          <w:lang w:val="sr-Latn-ME"/>
        </w:rPr>
      </w:pPr>
      <w:bookmarkStart w:id="2" w:name="_Hlk178176281"/>
      <w:r w:rsidRPr="009003E2">
        <w:rPr>
          <w:rFonts w:eastAsiaTheme="minorHAnsi"/>
          <w:sz w:val="22"/>
          <w:szCs w:val="22"/>
          <w:lang w:val="sr-Latn-ME"/>
        </w:rPr>
        <w:t>Ovaj lijek sadrži natrijum-skrobglikolat (tip A) i natrijum-stearilfumarat. Ovaj lijek sadrži manje od 1 mmol (23 mg) natrijuma po oralnoj disperzibilnoj tableti, tj. suštinski je “bez natrijuma”.</w:t>
      </w:r>
    </w:p>
    <w:bookmarkEnd w:id="2"/>
    <w:p w14:paraId="6EC867FD" w14:textId="77777777" w:rsidR="00D16942" w:rsidRPr="009003E2" w:rsidRDefault="00D16942" w:rsidP="00284ACA">
      <w:pPr>
        <w:tabs>
          <w:tab w:val="left" w:pos="540"/>
          <w:tab w:val="left" w:pos="569"/>
        </w:tabs>
        <w:jc w:val="both"/>
        <w:rPr>
          <w:bCs/>
          <w:sz w:val="22"/>
          <w:szCs w:val="22"/>
          <w:lang w:val="sr-Latn-ME"/>
        </w:rPr>
      </w:pPr>
    </w:p>
    <w:p w14:paraId="307A92C2" w14:textId="77777777" w:rsidR="00057E35" w:rsidRPr="009003E2" w:rsidRDefault="00057E35" w:rsidP="00284ACA">
      <w:pPr>
        <w:tabs>
          <w:tab w:val="left" w:pos="540"/>
          <w:tab w:val="left" w:pos="569"/>
        </w:tabs>
        <w:jc w:val="both"/>
        <w:rPr>
          <w:sz w:val="22"/>
          <w:szCs w:val="22"/>
          <w:u w:val="single"/>
          <w:lang w:val="sr-Latn-ME"/>
        </w:rPr>
      </w:pPr>
      <w:r w:rsidRPr="009003E2">
        <w:rPr>
          <w:sz w:val="22"/>
          <w:szCs w:val="22"/>
          <w:u w:val="single"/>
          <w:lang w:val="sr-Latn-ME"/>
        </w:rPr>
        <w:t>Pedijatrijska populacija</w:t>
      </w:r>
    </w:p>
    <w:p w14:paraId="77758F23" w14:textId="14086F7B"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Bezbjednost i efikasnost kariprazina kod djece i adolescenata mlađih od 18 godina nijesu ustanovljene. Nema dostupnih podataka.</w:t>
      </w:r>
    </w:p>
    <w:p w14:paraId="695CFC3C" w14:textId="77777777" w:rsidR="00057E35" w:rsidRPr="009003E2" w:rsidRDefault="00057E35" w:rsidP="00284ACA">
      <w:pPr>
        <w:tabs>
          <w:tab w:val="left" w:pos="540"/>
          <w:tab w:val="left" w:pos="569"/>
        </w:tabs>
        <w:jc w:val="both"/>
        <w:rPr>
          <w:bCs/>
          <w:sz w:val="22"/>
          <w:szCs w:val="22"/>
          <w:lang w:val="sr-Latn-ME"/>
        </w:rPr>
      </w:pPr>
    </w:p>
    <w:p w14:paraId="2F4568E2" w14:textId="77777777" w:rsidR="00411B4B" w:rsidRPr="009003E2" w:rsidRDefault="00411B4B" w:rsidP="00284ACA">
      <w:pPr>
        <w:tabs>
          <w:tab w:val="left" w:pos="540"/>
          <w:tab w:val="left" w:pos="569"/>
        </w:tabs>
        <w:jc w:val="both"/>
        <w:rPr>
          <w:b/>
          <w:bCs/>
          <w:sz w:val="22"/>
          <w:szCs w:val="22"/>
          <w:lang w:val="sr-Latn-ME"/>
        </w:rPr>
      </w:pPr>
      <w:r w:rsidRPr="009003E2">
        <w:rPr>
          <w:b/>
          <w:bCs/>
          <w:sz w:val="22"/>
          <w:szCs w:val="22"/>
          <w:lang w:val="sr-Latn-ME"/>
        </w:rPr>
        <w:t>4.5.</w:t>
      </w:r>
      <w:r w:rsidR="000D60CC" w:rsidRPr="009003E2">
        <w:rPr>
          <w:b/>
          <w:bCs/>
          <w:sz w:val="22"/>
          <w:szCs w:val="22"/>
          <w:lang w:val="sr-Latn-ME"/>
        </w:rPr>
        <w:tab/>
      </w:r>
      <w:r w:rsidRPr="009003E2">
        <w:rPr>
          <w:b/>
          <w:bCs/>
          <w:sz w:val="22"/>
          <w:szCs w:val="22"/>
          <w:lang w:val="sr-Latn-ME"/>
        </w:rPr>
        <w:t>Interakcije sa drugim ljekovima i druge vrste interakcija</w:t>
      </w:r>
    </w:p>
    <w:p w14:paraId="14D56CD6" w14:textId="77777777" w:rsidR="0072020E" w:rsidRPr="009003E2" w:rsidRDefault="0072020E" w:rsidP="00284ACA">
      <w:pPr>
        <w:tabs>
          <w:tab w:val="left" w:pos="540"/>
          <w:tab w:val="left" w:pos="569"/>
        </w:tabs>
        <w:jc w:val="both"/>
        <w:rPr>
          <w:bCs/>
          <w:sz w:val="22"/>
          <w:szCs w:val="22"/>
          <w:lang w:val="sr-Latn-ME"/>
        </w:rPr>
      </w:pPr>
    </w:p>
    <w:p w14:paraId="522256F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Potencijal drugih ljekova da utiču na kariprazin</w:t>
      </w:r>
    </w:p>
    <w:p w14:paraId="0A6F8F56" w14:textId="77777777" w:rsidR="00D16942" w:rsidRPr="009003E2" w:rsidRDefault="00D16942" w:rsidP="00284ACA">
      <w:pPr>
        <w:tabs>
          <w:tab w:val="left" w:pos="284"/>
        </w:tabs>
        <w:jc w:val="both"/>
        <w:rPr>
          <w:rFonts w:eastAsiaTheme="minorHAnsi"/>
          <w:sz w:val="22"/>
          <w:szCs w:val="22"/>
          <w:lang w:val="sr-Latn-ME"/>
        </w:rPr>
      </w:pPr>
    </w:p>
    <w:p w14:paraId="74DA99E6"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U metabolizmu kariprazina i njegovih glavnih aktivnih metabolita, dezmetilkariprazina (DCAR) i didezmetilkariprazina (DDCAR), u najvećoj mjeri posreduje CYP3A4, uz manji doprinos CYP2D6.</w:t>
      </w:r>
    </w:p>
    <w:p w14:paraId="014F0D96" w14:textId="77777777" w:rsidR="00D16942" w:rsidRPr="009003E2" w:rsidRDefault="00D16942" w:rsidP="00284ACA">
      <w:pPr>
        <w:tabs>
          <w:tab w:val="left" w:pos="284"/>
        </w:tabs>
        <w:jc w:val="both"/>
        <w:rPr>
          <w:rFonts w:eastAsiaTheme="minorHAnsi"/>
          <w:sz w:val="22"/>
          <w:szCs w:val="22"/>
          <w:lang w:val="sr-Latn-ME"/>
        </w:rPr>
      </w:pPr>
    </w:p>
    <w:p w14:paraId="50C8DEE0"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CYP3A4 inhibitori</w:t>
      </w:r>
    </w:p>
    <w:p w14:paraId="451B17B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Ketokonazol, snažan CYP3A4 inhibitor, izazvao je dvostruko povećanje plazmatske izloženosti ukupnom kariprazinu (suma kariprazina i njegovih aktivnih metabolita) </w:t>
      </w:r>
      <w:r w:rsidRPr="009003E2">
        <w:rPr>
          <w:sz w:val="22"/>
          <w:szCs w:val="22"/>
          <w:lang w:val="sr-Latn-ME"/>
        </w:rPr>
        <w:t>tokom kratkotrajne</w:t>
      </w:r>
      <w:r w:rsidRPr="009003E2">
        <w:rPr>
          <w:szCs w:val="22"/>
          <w:lang w:val="sr-Latn-ME"/>
        </w:rPr>
        <w:t xml:space="preserve"> (4-</w:t>
      </w:r>
      <w:r w:rsidRPr="009003E2">
        <w:rPr>
          <w:sz w:val="22"/>
          <w:szCs w:val="22"/>
          <w:lang w:val="sr-Latn-ME"/>
        </w:rPr>
        <w:t>dnevne) istovremene primjene,</w:t>
      </w:r>
      <w:r w:rsidRPr="009003E2">
        <w:rPr>
          <w:rFonts w:eastAsiaTheme="minorHAnsi"/>
          <w:sz w:val="22"/>
          <w:szCs w:val="22"/>
          <w:lang w:val="sr-Latn-ME"/>
        </w:rPr>
        <w:t xml:space="preserve"> bilo da su </w:t>
      </w:r>
      <w:bookmarkStart w:id="3" w:name="_Hlk178493320"/>
      <w:r w:rsidRPr="009003E2">
        <w:rPr>
          <w:rFonts w:eastAsiaTheme="minorHAnsi"/>
          <w:sz w:val="22"/>
          <w:szCs w:val="22"/>
          <w:lang w:val="sr-Latn-ME"/>
        </w:rPr>
        <w:t>razmatrana samo nevezana ili nevezana i vezana jedinjenja.</w:t>
      </w:r>
      <w:bookmarkEnd w:id="3"/>
      <w:r w:rsidRPr="009003E2">
        <w:rPr>
          <w:rFonts w:eastAsiaTheme="minorHAnsi"/>
          <w:sz w:val="22"/>
          <w:szCs w:val="22"/>
          <w:lang w:val="sr-Latn-ME"/>
        </w:rPr>
        <w:t xml:space="preserve"> </w:t>
      </w:r>
    </w:p>
    <w:p w14:paraId="3B6A5CDE"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Zbog dugog poluvremena eliminacije aktivnih jedinjenja kariprazina može se očekivati dalje povećanje plazmatske izloženosti ukupnom kariprazinu tokom duže istovremene primjene. Zbog toga je istovremena primjena kariprazina i snažnih ili umjerenih inhibitora CYP3A4 (npr. boceprevir, klaritromicin, kobicistat, indinavir, itrakonazol, ketokonazolol, nefazodon, nelfinavir, posakonazol, ritonavir, sakvinavir, telaprevir, telitromicin, vorikonazol) kontraindikovana (vidjeti dio 4.3). </w:t>
      </w:r>
    </w:p>
    <w:p w14:paraId="7A7974C1" w14:textId="77777777" w:rsidR="00D16942" w:rsidRPr="009003E2" w:rsidRDefault="00D16942" w:rsidP="00284ACA">
      <w:pPr>
        <w:tabs>
          <w:tab w:val="left" w:pos="284"/>
        </w:tabs>
        <w:jc w:val="both"/>
        <w:rPr>
          <w:rFonts w:eastAsiaTheme="minorHAnsi"/>
          <w:sz w:val="22"/>
          <w:szCs w:val="22"/>
          <w:lang w:val="sr-Latn-ME"/>
        </w:rPr>
      </w:pPr>
    </w:p>
    <w:p w14:paraId="2081149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Eritromicin (500 mg dva puta dnevno), umjereni inhibitor CYP3A4, je prouzrokovao povećanje plazmatske izloženosti ukupnom kariprazinu nakon 3 nedjelje istovremene primjene, pri čemu je povećanje iznosilo u prosjeku 1,4 puta (raspon od 1,03 do 2,32 puta). Zbog toga se tokom perioda istovremene primjene kariprazina sa umjerenim inhibitorom CYP3A4 (npr. eritromicinom, flukonazolom, diltiazemom, verapamilom) preporučuje praćenje individualnog odgovora i podnošljivosti, i, ako je potrebno, (privremeno) smanjenje doze kariprazina zbog mogućeg povećanja izloženosti. Zbog dugog poluvremena eliminacije kariprazina i njegovih aktivnih metabolita, početak ili prekid liječenja umjerenim inhibitorom CYP3A4 ili promjena doze, neće se u potpunosti odraziti na koncentracije lijeka u plazmi sve do nakon nekoliko nedjelja. Pacijente treba pratiti radi neželjenih dejstava i terapijskog odgovora nekoliko nedjelja nakon početka ili prekida liječenja lijekom koji stupa u interakciju ili nakon svake promjene doze kariprazina. </w:t>
      </w:r>
    </w:p>
    <w:p w14:paraId="12FF9DBB" w14:textId="77777777" w:rsidR="00D16942" w:rsidRPr="009003E2" w:rsidRDefault="00D16942" w:rsidP="00284ACA">
      <w:pPr>
        <w:tabs>
          <w:tab w:val="left" w:pos="284"/>
        </w:tabs>
        <w:jc w:val="both"/>
        <w:rPr>
          <w:rFonts w:eastAsiaTheme="minorHAnsi"/>
          <w:sz w:val="22"/>
          <w:szCs w:val="22"/>
          <w:lang w:val="sr-Latn-ME"/>
        </w:rPr>
      </w:pPr>
    </w:p>
    <w:p w14:paraId="7352BD3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Treba izbjegavati kozumiranje soka od grejpfruta.</w:t>
      </w:r>
    </w:p>
    <w:p w14:paraId="4832B0BD" w14:textId="77777777" w:rsidR="00D16942" w:rsidRPr="009003E2" w:rsidRDefault="00D16942" w:rsidP="00284ACA">
      <w:pPr>
        <w:tabs>
          <w:tab w:val="left" w:pos="284"/>
        </w:tabs>
        <w:jc w:val="both"/>
        <w:rPr>
          <w:rFonts w:eastAsiaTheme="minorHAnsi"/>
          <w:sz w:val="22"/>
          <w:szCs w:val="22"/>
          <w:lang w:val="sr-Latn-ME"/>
        </w:rPr>
      </w:pPr>
    </w:p>
    <w:p w14:paraId="5BB32BEF"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CYP3A4 induktori</w:t>
      </w:r>
    </w:p>
    <w:p w14:paraId="03A9518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Istovremena primjena kariprazina i snažnih ili umjerenih induktora CYP3A4 (npr. karbamazepin, fenobarbital, fenitoin, rifampicin, kantarion (</w:t>
      </w:r>
      <w:r w:rsidRPr="009003E2">
        <w:rPr>
          <w:rFonts w:eastAsiaTheme="minorHAnsi"/>
          <w:i/>
          <w:sz w:val="22"/>
          <w:szCs w:val="22"/>
          <w:lang w:val="sr-Latn-ME"/>
        </w:rPr>
        <w:t>Hypericum perforatum</w:t>
      </w:r>
      <w:r w:rsidRPr="009003E2">
        <w:rPr>
          <w:rFonts w:eastAsiaTheme="minorHAnsi"/>
          <w:sz w:val="22"/>
          <w:szCs w:val="22"/>
          <w:lang w:val="sr-Latn-ME"/>
        </w:rPr>
        <w:t>), bosentan, efavirenz, etravirin, modafinil, nafcilin) može dovesti do značajnog smanjenja ukupne izloženosti kariprazinu, zbog čega je i</w:t>
      </w:r>
      <w:r w:rsidRPr="009003E2">
        <w:rPr>
          <w:sz w:val="22"/>
          <w:szCs w:val="22"/>
          <w:lang w:val="sr-Latn-ME"/>
        </w:rPr>
        <w:t xml:space="preserve">stovremena primjena kariprazina i snažnih ili umjerenih induktora CYP3A4 </w:t>
      </w:r>
      <w:r w:rsidRPr="009003E2">
        <w:rPr>
          <w:rFonts w:eastAsiaTheme="minorHAnsi"/>
          <w:sz w:val="22"/>
          <w:szCs w:val="22"/>
          <w:lang w:val="sr-Latn-ME"/>
        </w:rPr>
        <w:t>kontraindikovana (vidjeti dio 4.3).</w:t>
      </w:r>
    </w:p>
    <w:p w14:paraId="11A9A2DB" w14:textId="77777777" w:rsidR="00D16942" w:rsidRPr="009003E2" w:rsidRDefault="00D16942" w:rsidP="00284ACA">
      <w:pPr>
        <w:tabs>
          <w:tab w:val="left" w:pos="284"/>
        </w:tabs>
        <w:jc w:val="both"/>
        <w:rPr>
          <w:rFonts w:eastAsiaTheme="minorHAnsi"/>
          <w:i/>
          <w:sz w:val="22"/>
          <w:szCs w:val="22"/>
          <w:lang w:val="sr-Latn-ME"/>
        </w:rPr>
      </w:pPr>
    </w:p>
    <w:p w14:paraId="33D953D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lastRenderedPageBreak/>
        <w:t>CYP2D6</w:t>
      </w:r>
      <w:r w:rsidRPr="009003E2">
        <w:rPr>
          <w:rFonts w:eastAsiaTheme="minorHAnsi"/>
          <w:sz w:val="22"/>
          <w:szCs w:val="22"/>
          <w:lang w:val="sr-Latn-ME"/>
        </w:rPr>
        <w:t xml:space="preserve"> </w:t>
      </w:r>
      <w:r w:rsidRPr="009003E2">
        <w:rPr>
          <w:rFonts w:eastAsiaTheme="minorHAnsi"/>
          <w:i/>
          <w:sz w:val="22"/>
          <w:szCs w:val="22"/>
          <w:lang w:val="sr-Latn-ME"/>
        </w:rPr>
        <w:t>inhibitori</w:t>
      </w:r>
    </w:p>
    <w:p w14:paraId="33736136"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Put posredovan preko CYP2D6 ima manju ulogu u metabolizmu kariprazina, dok je glavni put posredovan preko CYP3A4 (vidjeti dio 5.2). Stoga je malo vjerovatno da će CYP2D6 inhibitori imati klinički značajan uticaj na metabolizam kariprazina.</w:t>
      </w:r>
    </w:p>
    <w:p w14:paraId="6C652E3B" w14:textId="77777777" w:rsidR="00D16942" w:rsidRPr="009003E2" w:rsidRDefault="00D16942" w:rsidP="00284ACA">
      <w:pPr>
        <w:tabs>
          <w:tab w:val="left" w:pos="284"/>
        </w:tabs>
        <w:jc w:val="both"/>
        <w:rPr>
          <w:rFonts w:eastAsiaTheme="minorHAnsi"/>
          <w:sz w:val="22"/>
          <w:szCs w:val="22"/>
          <w:lang w:val="sr-Latn-ME"/>
        </w:rPr>
      </w:pPr>
    </w:p>
    <w:p w14:paraId="00AB7091" w14:textId="77777777" w:rsidR="00D16942" w:rsidRPr="009003E2" w:rsidRDefault="00D16942" w:rsidP="00284ACA">
      <w:pPr>
        <w:tabs>
          <w:tab w:val="left" w:pos="284"/>
        </w:tabs>
        <w:jc w:val="both"/>
        <w:rPr>
          <w:rFonts w:eastAsiaTheme="minorHAnsi"/>
          <w:sz w:val="22"/>
          <w:szCs w:val="22"/>
          <w:u w:val="single"/>
          <w:lang w:val="sr-Latn-ME"/>
        </w:rPr>
      </w:pPr>
      <w:r w:rsidRPr="009003E2">
        <w:rPr>
          <w:rFonts w:eastAsiaTheme="minorHAnsi"/>
          <w:sz w:val="22"/>
          <w:szCs w:val="22"/>
          <w:u w:val="single"/>
          <w:lang w:val="sr-Latn-ME"/>
        </w:rPr>
        <w:t>Potencijal kariprazina da utiče na druge ljekove</w:t>
      </w:r>
    </w:p>
    <w:p w14:paraId="4C0A2A24" w14:textId="77777777" w:rsidR="00D16942" w:rsidRPr="009003E2" w:rsidRDefault="00D16942" w:rsidP="00284ACA">
      <w:pPr>
        <w:tabs>
          <w:tab w:val="left" w:pos="284"/>
        </w:tabs>
        <w:jc w:val="both"/>
        <w:rPr>
          <w:rFonts w:eastAsiaTheme="minorHAnsi"/>
          <w:sz w:val="22"/>
          <w:szCs w:val="22"/>
          <w:u w:val="single"/>
          <w:lang w:val="sr-Latn-ME"/>
        </w:rPr>
      </w:pPr>
    </w:p>
    <w:p w14:paraId="3CFF7B26" w14:textId="77777777" w:rsidR="00D16942" w:rsidRPr="009003E2" w:rsidRDefault="00D16942" w:rsidP="00284ACA">
      <w:pPr>
        <w:tabs>
          <w:tab w:val="left" w:pos="284"/>
        </w:tabs>
        <w:jc w:val="both"/>
        <w:rPr>
          <w:rFonts w:eastAsiaTheme="minorHAnsi"/>
          <w:i/>
          <w:sz w:val="22"/>
          <w:szCs w:val="22"/>
          <w:lang w:val="sr-Latn-ME"/>
        </w:rPr>
      </w:pPr>
      <w:r w:rsidRPr="009003E2">
        <w:rPr>
          <w:rFonts w:eastAsiaTheme="minorHAnsi"/>
          <w:i/>
          <w:sz w:val="22"/>
          <w:szCs w:val="22"/>
          <w:lang w:val="sr-Latn-ME"/>
        </w:rPr>
        <w:t xml:space="preserve">Supstrati P-glikoproteina (P-gp) </w:t>
      </w:r>
    </w:p>
    <w:p w14:paraId="30243E7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Kariprazin je inhibitor P-gp-a </w:t>
      </w:r>
      <w:r w:rsidRPr="009003E2">
        <w:rPr>
          <w:rFonts w:eastAsiaTheme="minorHAnsi"/>
          <w:i/>
          <w:iCs/>
          <w:sz w:val="22"/>
          <w:szCs w:val="22"/>
          <w:lang w:val="sr-Latn-ME"/>
        </w:rPr>
        <w:t xml:space="preserve">in vitro </w:t>
      </w:r>
      <w:r w:rsidRPr="009003E2">
        <w:rPr>
          <w:rFonts w:eastAsiaTheme="minorHAnsi"/>
          <w:sz w:val="22"/>
          <w:szCs w:val="22"/>
          <w:lang w:val="sr-Latn-ME"/>
        </w:rPr>
        <w:t>pri svojoj teorijskii maksimalnoj koncentraciji u crijevima. Iako kliničke posljedice ovog efekta nijesu u potpunosti razjašnjene, primjena P-gp supstrata uskog terapijskog indeksa, kao što su dabigartan ili digoksin, bi mogla zahtijevati dodatno praćenje i prilagođavanje doze.</w:t>
      </w:r>
    </w:p>
    <w:p w14:paraId="797D3704" w14:textId="77777777" w:rsidR="00D16942" w:rsidRPr="009003E2" w:rsidRDefault="00D16942" w:rsidP="00284ACA">
      <w:pPr>
        <w:tabs>
          <w:tab w:val="left" w:pos="284"/>
        </w:tabs>
        <w:jc w:val="both"/>
        <w:rPr>
          <w:rFonts w:eastAsiaTheme="minorHAnsi"/>
          <w:sz w:val="22"/>
          <w:szCs w:val="22"/>
          <w:lang w:val="sr-Latn-ME"/>
        </w:rPr>
      </w:pPr>
    </w:p>
    <w:p w14:paraId="53B481D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i/>
          <w:sz w:val="22"/>
          <w:szCs w:val="22"/>
          <w:lang w:val="sr-Latn-ME"/>
        </w:rPr>
        <w:t>Hormonski kontraceptivi</w:t>
      </w:r>
    </w:p>
    <w:p w14:paraId="4EE6432A" w14:textId="77777777" w:rsidR="00D16942" w:rsidRPr="009003E2" w:rsidRDefault="00D16942" w:rsidP="00284ACA">
      <w:pPr>
        <w:tabs>
          <w:tab w:val="left" w:pos="284"/>
        </w:tabs>
        <w:jc w:val="both"/>
        <w:rPr>
          <w:rFonts w:eastAsiaTheme="minorHAnsi"/>
          <w:sz w:val="22"/>
          <w:szCs w:val="22"/>
          <w:lang w:val="sr-Latn-ME"/>
        </w:rPr>
      </w:pPr>
      <w:r w:rsidRPr="009003E2">
        <w:rPr>
          <w:rFonts w:asciiTheme="minorHAnsi" w:eastAsiaTheme="minorHAnsi" w:hAnsiTheme="minorHAnsi" w:cstheme="minorBidi"/>
          <w:sz w:val="22"/>
          <w:szCs w:val="22"/>
          <w:lang w:val="sr-Latn-ME"/>
        </w:rPr>
        <w:t xml:space="preserve"> </w:t>
      </w:r>
      <w:r w:rsidRPr="009003E2">
        <w:rPr>
          <w:rFonts w:eastAsiaTheme="minorHAnsi"/>
          <w:sz w:val="22"/>
          <w:szCs w:val="22"/>
          <w:lang w:val="sr-Latn-ME"/>
        </w:rPr>
        <w:t>U studiji koja je proučavala interakciju ljekova, 28 dana primjene kariprazina u dozi od 6 mg dnevno, nije imalo klinički značajan efekat na farmakokintiku oralnih kontraceptiva (etinilstradiol i levonorgestrel).</w:t>
      </w:r>
    </w:p>
    <w:p w14:paraId="72AB7A39" w14:textId="77777777" w:rsidR="00D16942" w:rsidRPr="009003E2" w:rsidRDefault="00D16942" w:rsidP="00284ACA">
      <w:pPr>
        <w:tabs>
          <w:tab w:val="left" w:pos="284"/>
        </w:tabs>
        <w:jc w:val="both"/>
        <w:rPr>
          <w:rFonts w:eastAsiaTheme="minorHAnsi"/>
          <w:sz w:val="22"/>
          <w:szCs w:val="22"/>
          <w:lang w:val="sr-Latn-ME"/>
        </w:rPr>
      </w:pPr>
    </w:p>
    <w:p w14:paraId="377CBFF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Farmakodinamske interakcije</w:t>
      </w:r>
    </w:p>
    <w:p w14:paraId="47DE1A50" w14:textId="77777777" w:rsidR="00D16942" w:rsidRPr="009003E2" w:rsidRDefault="00D16942" w:rsidP="00284ACA">
      <w:pPr>
        <w:tabs>
          <w:tab w:val="left" w:pos="284"/>
        </w:tabs>
        <w:jc w:val="both"/>
        <w:rPr>
          <w:rFonts w:eastAsiaTheme="minorHAnsi"/>
          <w:sz w:val="22"/>
          <w:szCs w:val="22"/>
          <w:lang w:val="sr-Latn-ME"/>
        </w:rPr>
      </w:pPr>
    </w:p>
    <w:p w14:paraId="2EA43AE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Imajući u vidu da kariprazin primarno djeluje na centralni nervni sistem, lijek Reagila treba primjenjivati sa oprezom u kombinaciji sa drugim ljekovima koji djeluju na centralni nervni sistem i alkoholom.</w:t>
      </w:r>
    </w:p>
    <w:p w14:paraId="5D6A5040" w14:textId="77777777" w:rsidR="00D16942" w:rsidRPr="009003E2" w:rsidRDefault="00D16942" w:rsidP="00284ACA">
      <w:pPr>
        <w:tabs>
          <w:tab w:val="left" w:pos="540"/>
          <w:tab w:val="left" w:pos="569"/>
        </w:tabs>
        <w:jc w:val="both"/>
        <w:rPr>
          <w:bCs/>
          <w:sz w:val="22"/>
          <w:szCs w:val="22"/>
          <w:lang w:val="sr-Latn-ME"/>
        </w:rPr>
      </w:pPr>
    </w:p>
    <w:p w14:paraId="5ABD1333" w14:textId="77777777" w:rsidR="0072020E" w:rsidRPr="009003E2" w:rsidRDefault="0072020E" w:rsidP="00284ACA">
      <w:pPr>
        <w:tabs>
          <w:tab w:val="left" w:pos="540"/>
          <w:tab w:val="left" w:pos="569"/>
        </w:tabs>
        <w:jc w:val="both"/>
        <w:rPr>
          <w:b/>
          <w:sz w:val="22"/>
          <w:szCs w:val="22"/>
          <w:lang w:val="sr-Latn-ME"/>
        </w:rPr>
      </w:pPr>
      <w:r w:rsidRPr="009003E2">
        <w:rPr>
          <w:b/>
          <w:bCs/>
          <w:sz w:val="22"/>
          <w:szCs w:val="22"/>
          <w:lang w:val="sr-Latn-ME"/>
        </w:rPr>
        <w:t xml:space="preserve">4.6. </w:t>
      </w:r>
      <w:r w:rsidR="00480FB1" w:rsidRPr="009003E2">
        <w:rPr>
          <w:b/>
          <w:bCs/>
          <w:sz w:val="22"/>
          <w:szCs w:val="22"/>
          <w:lang w:val="sr-Latn-ME"/>
        </w:rPr>
        <w:tab/>
      </w:r>
      <w:r w:rsidR="006D20A5" w:rsidRPr="009003E2">
        <w:rPr>
          <w:b/>
          <w:sz w:val="22"/>
          <w:szCs w:val="22"/>
          <w:lang w:val="sr-Latn-ME"/>
        </w:rPr>
        <w:t>Plodnost, trudnoća i dojenje</w:t>
      </w:r>
    </w:p>
    <w:p w14:paraId="229673FB" w14:textId="77777777" w:rsidR="002031B3" w:rsidRPr="009003E2" w:rsidRDefault="002031B3" w:rsidP="00284ACA">
      <w:pPr>
        <w:tabs>
          <w:tab w:val="left" w:pos="540"/>
          <w:tab w:val="left" w:pos="569"/>
        </w:tabs>
        <w:jc w:val="both"/>
        <w:rPr>
          <w:sz w:val="22"/>
          <w:szCs w:val="22"/>
          <w:u w:val="single"/>
          <w:lang w:val="sr-Latn-ME"/>
        </w:rPr>
      </w:pPr>
    </w:p>
    <w:p w14:paraId="0FB247B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Žene u reproduktivnom periodu/kontracepcija</w:t>
      </w:r>
    </w:p>
    <w:p w14:paraId="4576B856" w14:textId="77777777" w:rsidR="00D16942" w:rsidRPr="009003E2" w:rsidRDefault="00D16942" w:rsidP="00284ACA">
      <w:pPr>
        <w:tabs>
          <w:tab w:val="left" w:pos="284"/>
        </w:tabs>
        <w:jc w:val="both"/>
        <w:rPr>
          <w:rFonts w:eastAsiaTheme="minorHAnsi"/>
          <w:sz w:val="22"/>
          <w:szCs w:val="22"/>
          <w:lang w:val="sr-Latn-ME"/>
        </w:rPr>
      </w:pPr>
    </w:p>
    <w:p w14:paraId="768A883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Ženama u reproduktivnom periodu se mora savjetovati da izbjegavaju trudnoću dok uzimaju lijek Reagila. Pacijentkinje koje su u reproduktivnom periodu moraju koristiti visoko efikasne kontraceptivne metode tokom terapije i najmanje još 10 nedjelja nakon posljednje doze lijeka Reagila. </w:t>
      </w:r>
    </w:p>
    <w:p w14:paraId="5AABE663" w14:textId="77777777" w:rsidR="00D16942" w:rsidRPr="009003E2" w:rsidRDefault="00D16942" w:rsidP="00284ACA">
      <w:pPr>
        <w:tabs>
          <w:tab w:val="left" w:pos="540"/>
          <w:tab w:val="left" w:pos="569"/>
        </w:tabs>
        <w:jc w:val="both"/>
        <w:rPr>
          <w:sz w:val="22"/>
          <w:szCs w:val="22"/>
          <w:u w:val="single"/>
          <w:lang w:val="sr-Latn-ME"/>
        </w:rPr>
      </w:pPr>
    </w:p>
    <w:p w14:paraId="00EC1F9B" w14:textId="77777777" w:rsidR="002031B3" w:rsidRPr="009003E2" w:rsidRDefault="002031B3" w:rsidP="00284ACA">
      <w:pPr>
        <w:tabs>
          <w:tab w:val="left" w:pos="540"/>
          <w:tab w:val="left" w:pos="569"/>
        </w:tabs>
        <w:jc w:val="both"/>
        <w:rPr>
          <w:sz w:val="22"/>
          <w:szCs w:val="22"/>
          <w:u w:val="single"/>
          <w:lang w:val="sr-Latn-ME"/>
        </w:rPr>
      </w:pPr>
      <w:r w:rsidRPr="009003E2">
        <w:rPr>
          <w:sz w:val="22"/>
          <w:szCs w:val="22"/>
          <w:u w:val="single"/>
          <w:lang w:val="sr-Latn-ME"/>
        </w:rPr>
        <w:t>Plodnost</w:t>
      </w:r>
    </w:p>
    <w:p w14:paraId="37C65DE3"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Dejstvo kariprazina na plodnost kod ljudi nije procjenjivano. U studijama sa pacovima zapaženi su pokazatelji manje plodnosti i začeća kod ženki (vidjeti dio 5.3).</w:t>
      </w:r>
    </w:p>
    <w:p w14:paraId="7D85325B" w14:textId="77777777" w:rsidR="002031B3" w:rsidRPr="009003E2" w:rsidRDefault="002031B3" w:rsidP="00284ACA">
      <w:pPr>
        <w:tabs>
          <w:tab w:val="left" w:pos="540"/>
          <w:tab w:val="left" w:pos="569"/>
        </w:tabs>
        <w:jc w:val="both"/>
        <w:rPr>
          <w:sz w:val="22"/>
          <w:szCs w:val="22"/>
          <w:u w:val="single"/>
          <w:lang w:val="sr-Latn-ME"/>
        </w:rPr>
      </w:pPr>
    </w:p>
    <w:p w14:paraId="79E9BDF9" w14:textId="77777777" w:rsidR="007A3ECB" w:rsidRPr="009003E2" w:rsidRDefault="007A3ECB" w:rsidP="00284ACA">
      <w:pPr>
        <w:tabs>
          <w:tab w:val="left" w:pos="540"/>
          <w:tab w:val="left" w:pos="569"/>
        </w:tabs>
        <w:jc w:val="both"/>
        <w:rPr>
          <w:sz w:val="22"/>
          <w:szCs w:val="22"/>
          <w:u w:val="single"/>
          <w:lang w:val="sr-Latn-ME"/>
        </w:rPr>
      </w:pPr>
      <w:r w:rsidRPr="009003E2">
        <w:rPr>
          <w:sz w:val="22"/>
          <w:szCs w:val="22"/>
          <w:u w:val="single"/>
          <w:lang w:val="sr-Latn-ME"/>
        </w:rPr>
        <w:t>Trudnoća</w:t>
      </w:r>
    </w:p>
    <w:p w14:paraId="4A0CD57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Nema dostupnih podataka  o primjeni kariprazina kod trudnica ili su oni ograničeni.</w:t>
      </w:r>
    </w:p>
    <w:p w14:paraId="69667B5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Studije na životinjama su pokazale reproduktivnu toksičnost, uključujući razvojne malformacije kod pacova (vidjeti dio 5.3).</w:t>
      </w:r>
    </w:p>
    <w:p w14:paraId="1B979B05" w14:textId="77777777" w:rsidR="00D16942" w:rsidRPr="009003E2" w:rsidRDefault="00D16942" w:rsidP="00284ACA">
      <w:pPr>
        <w:jc w:val="both"/>
        <w:rPr>
          <w:sz w:val="22"/>
          <w:szCs w:val="22"/>
          <w:lang w:val="sr-Latn-ME"/>
        </w:rPr>
      </w:pPr>
    </w:p>
    <w:p w14:paraId="2222C870" w14:textId="77777777" w:rsidR="00D16942" w:rsidRPr="009003E2" w:rsidRDefault="00D16942" w:rsidP="00284ACA">
      <w:pPr>
        <w:jc w:val="both"/>
        <w:rPr>
          <w:sz w:val="22"/>
          <w:szCs w:val="22"/>
          <w:lang w:val="sr-Latn-ME"/>
        </w:rPr>
      </w:pPr>
      <w:r w:rsidRPr="009003E2">
        <w:rPr>
          <w:sz w:val="22"/>
          <w:szCs w:val="22"/>
          <w:lang w:val="sr-Latn-ME"/>
        </w:rPr>
        <w:t>Lijek Reagila se ne preporučuje tokom trudnoće i kod žena u reproduktivnom periodu koje ne koriste efikasnu kontracepciju. Usljed spore eliminacije aktivnih metabolita, nakon prekida terapije kariprazinom, kontracepciju bi trebalo koristiti tokom još najmanje 10 nedjelja.</w:t>
      </w:r>
    </w:p>
    <w:p w14:paraId="2B703E51" w14:textId="77777777" w:rsidR="00D16942" w:rsidRPr="009003E2" w:rsidRDefault="00D16942" w:rsidP="00284ACA">
      <w:pPr>
        <w:jc w:val="both"/>
        <w:rPr>
          <w:szCs w:val="22"/>
          <w:lang w:val="sr-Latn-ME"/>
        </w:rPr>
      </w:pPr>
    </w:p>
    <w:p w14:paraId="0C1363CC" w14:textId="77777777" w:rsidR="00D16942" w:rsidRPr="009003E2" w:rsidRDefault="00D16942" w:rsidP="00284ACA">
      <w:pPr>
        <w:jc w:val="both"/>
        <w:rPr>
          <w:sz w:val="22"/>
          <w:szCs w:val="22"/>
          <w:lang w:val="sr-Latn-ME"/>
        </w:rPr>
      </w:pPr>
      <w:r w:rsidRPr="009003E2">
        <w:rPr>
          <w:sz w:val="22"/>
          <w:szCs w:val="22"/>
          <w:lang w:val="sr-Latn-ME"/>
        </w:rPr>
        <w:t>Kod novorođenčadi izložene antipsihoticima (uključujući kariprazin) tokom trećeg trimestra trudnoće postoji rizik od ispoljavanja neželjenih reakcija nakon porođaja, uključujući ekstrapiramidalne i/ili obustavne simptome, koje mogu varirati prema težini i trajanju. Prijavljeni su agitacija, hipertonija, hipotonija, tremor, somnolencija, respiratorni distres ili poremećaj hranjenja. Težina tih komplikacija je varirala tako da dok su u nekim slučajevima simptomi bili samoograničavajući, u drugim slučajevima je novorođenčadi bilo potrebno potporno liječenje u jedinici intenzivne nege i produžena hospitalizacija. Iz tog razloga, novorođenčad je potrebno pažljivo pratiti.</w:t>
      </w:r>
    </w:p>
    <w:p w14:paraId="1729FB03" w14:textId="77777777" w:rsidR="002031B3" w:rsidRPr="009003E2" w:rsidRDefault="002031B3" w:rsidP="00284ACA">
      <w:pPr>
        <w:tabs>
          <w:tab w:val="left" w:pos="540"/>
          <w:tab w:val="left" w:pos="569"/>
        </w:tabs>
        <w:jc w:val="both"/>
        <w:rPr>
          <w:sz w:val="22"/>
          <w:szCs w:val="22"/>
          <w:u w:val="single"/>
          <w:lang w:val="sr-Latn-ME"/>
        </w:rPr>
      </w:pPr>
    </w:p>
    <w:p w14:paraId="408F57D0" w14:textId="77777777" w:rsidR="0072020E" w:rsidRPr="009003E2" w:rsidRDefault="007A3ECB" w:rsidP="00284ACA">
      <w:pPr>
        <w:tabs>
          <w:tab w:val="left" w:pos="540"/>
          <w:tab w:val="left" w:pos="569"/>
        </w:tabs>
        <w:jc w:val="both"/>
        <w:rPr>
          <w:b/>
          <w:bCs/>
          <w:sz w:val="22"/>
          <w:szCs w:val="22"/>
          <w:lang w:val="sr-Latn-ME"/>
        </w:rPr>
      </w:pPr>
      <w:r w:rsidRPr="009003E2">
        <w:rPr>
          <w:sz w:val="22"/>
          <w:szCs w:val="22"/>
          <w:u w:val="single"/>
          <w:lang w:val="sr-Latn-ME"/>
        </w:rPr>
        <w:t xml:space="preserve">Dojenje </w:t>
      </w:r>
    </w:p>
    <w:p w14:paraId="60E88B1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Nije poznato da li se kariprazin ili njegovi glavni metaboliti izlučuju u majčino mlijeko.</w:t>
      </w:r>
    </w:p>
    <w:p w14:paraId="542BEA2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Karirpazin i njegovi metaboliti se izlučuju u mlijeko pacova tokom laktacije (vidjeti dio 5.3). Rizik za novorođenčad/odojčad se ne može isključiti. Dojenje treba prekinuti tokom terapije kariprazinom.</w:t>
      </w:r>
    </w:p>
    <w:p w14:paraId="5628A978" w14:textId="77777777" w:rsidR="00227BDB" w:rsidRPr="009003E2" w:rsidRDefault="00227BDB" w:rsidP="00284ACA">
      <w:pPr>
        <w:tabs>
          <w:tab w:val="left" w:pos="540"/>
          <w:tab w:val="left" w:pos="569"/>
        </w:tabs>
        <w:ind w:left="540" w:hanging="540"/>
        <w:jc w:val="both"/>
        <w:rPr>
          <w:b/>
          <w:bCs/>
          <w:sz w:val="22"/>
          <w:szCs w:val="22"/>
          <w:lang w:val="sr-Latn-ME"/>
        </w:rPr>
      </w:pPr>
    </w:p>
    <w:p w14:paraId="70FA3170" w14:textId="77777777" w:rsidR="0072020E" w:rsidRPr="009003E2" w:rsidRDefault="0072020E" w:rsidP="00284ACA">
      <w:pPr>
        <w:tabs>
          <w:tab w:val="left" w:pos="540"/>
          <w:tab w:val="left" w:pos="569"/>
        </w:tabs>
        <w:ind w:left="540" w:hanging="540"/>
        <w:jc w:val="both"/>
        <w:rPr>
          <w:b/>
          <w:bCs/>
          <w:sz w:val="22"/>
          <w:szCs w:val="22"/>
          <w:lang w:val="sr-Latn-ME"/>
        </w:rPr>
      </w:pPr>
      <w:r w:rsidRPr="009003E2">
        <w:rPr>
          <w:b/>
          <w:bCs/>
          <w:sz w:val="22"/>
          <w:szCs w:val="22"/>
          <w:lang w:val="sr-Latn-ME"/>
        </w:rPr>
        <w:lastRenderedPageBreak/>
        <w:t xml:space="preserve">4.7. </w:t>
      </w:r>
      <w:r w:rsidR="00480FB1" w:rsidRPr="009003E2">
        <w:rPr>
          <w:b/>
          <w:bCs/>
          <w:sz w:val="22"/>
          <w:szCs w:val="22"/>
          <w:lang w:val="sr-Latn-ME"/>
        </w:rPr>
        <w:tab/>
      </w:r>
      <w:r w:rsidRPr="009003E2">
        <w:rPr>
          <w:b/>
          <w:bCs/>
          <w:sz w:val="22"/>
          <w:szCs w:val="22"/>
          <w:lang w:val="sr-Latn-ME"/>
        </w:rPr>
        <w:t xml:space="preserve">Uticaj na </w:t>
      </w:r>
      <w:r w:rsidR="002031B3" w:rsidRPr="009003E2">
        <w:rPr>
          <w:b/>
          <w:bCs/>
          <w:sz w:val="22"/>
          <w:szCs w:val="22"/>
          <w:lang w:val="sr-Latn-ME"/>
        </w:rPr>
        <w:t xml:space="preserve">sposobnost </w:t>
      </w:r>
      <w:r w:rsidR="00F34554" w:rsidRPr="009003E2">
        <w:rPr>
          <w:b/>
          <w:bCs/>
          <w:sz w:val="22"/>
          <w:szCs w:val="22"/>
          <w:lang w:val="sr-Latn-ME"/>
        </w:rPr>
        <w:t>upravljanja vozili</w:t>
      </w:r>
      <w:r w:rsidRPr="009003E2">
        <w:rPr>
          <w:b/>
          <w:bCs/>
          <w:sz w:val="22"/>
          <w:szCs w:val="22"/>
          <w:lang w:val="sr-Latn-ME"/>
        </w:rPr>
        <w:t>m</w:t>
      </w:r>
      <w:r w:rsidR="00F34554" w:rsidRPr="009003E2">
        <w:rPr>
          <w:b/>
          <w:bCs/>
          <w:sz w:val="22"/>
          <w:szCs w:val="22"/>
          <w:lang w:val="sr-Latn-ME"/>
        </w:rPr>
        <w:t>a</w:t>
      </w:r>
      <w:r w:rsidRPr="009003E2">
        <w:rPr>
          <w:b/>
          <w:bCs/>
          <w:sz w:val="22"/>
          <w:szCs w:val="22"/>
          <w:lang w:val="sr-Latn-ME"/>
        </w:rPr>
        <w:t xml:space="preserve"> i </w:t>
      </w:r>
      <w:r w:rsidR="000D3449" w:rsidRPr="009003E2">
        <w:rPr>
          <w:b/>
          <w:bCs/>
          <w:sz w:val="22"/>
          <w:szCs w:val="22"/>
          <w:lang w:val="sr-Latn-ME"/>
        </w:rPr>
        <w:t xml:space="preserve">rukovanje </w:t>
      </w:r>
      <w:r w:rsidRPr="009003E2">
        <w:rPr>
          <w:b/>
          <w:bCs/>
          <w:sz w:val="22"/>
          <w:szCs w:val="22"/>
          <w:lang w:val="sr-Latn-ME"/>
        </w:rPr>
        <w:t>mašinama</w:t>
      </w:r>
    </w:p>
    <w:p w14:paraId="49479584" w14:textId="77777777" w:rsidR="0072020E" w:rsidRPr="009003E2" w:rsidRDefault="0072020E" w:rsidP="00284ACA">
      <w:pPr>
        <w:tabs>
          <w:tab w:val="left" w:pos="540"/>
          <w:tab w:val="left" w:pos="569"/>
        </w:tabs>
        <w:jc w:val="both"/>
        <w:rPr>
          <w:b/>
          <w:bCs/>
          <w:sz w:val="22"/>
          <w:szCs w:val="22"/>
          <w:lang w:val="sr-Latn-ME"/>
        </w:rPr>
      </w:pPr>
    </w:p>
    <w:p w14:paraId="2E7453B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ima mali ili umjeren uticaj na sposobnost upravljanja vozilima i rukovanja mašinama. Pacijente treba upozoriti da ne upravljaju opasnim mašinama, uključujući motorna vozila, dok se ne uvjere  da terapija lijekom Reagila na njih ne utiče negativno.</w:t>
      </w:r>
    </w:p>
    <w:p w14:paraId="5107AC93" w14:textId="77777777" w:rsidR="00D16942" w:rsidRPr="009003E2" w:rsidRDefault="00D16942" w:rsidP="00284ACA">
      <w:pPr>
        <w:tabs>
          <w:tab w:val="left" w:pos="540"/>
          <w:tab w:val="left" w:pos="569"/>
        </w:tabs>
        <w:jc w:val="both"/>
        <w:rPr>
          <w:b/>
          <w:bCs/>
          <w:sz w:val="22"/>
          <w:szCs w:val="22"/>
          <w:lang w:val="sr-Latn-ME"/>
        </w:rPr>
      </w:pPr>
    </w:p>
    <w:p w14:paraId="5A3FBE4C"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4.8. </w:t>
      </w:r>
      <w:r w:rsidR="00480FB1" w:rsidRPr="009003E2">
        <w:rPr>
          <w:b/>
          <w:bCs/>
          <w:sz w:val="22"/>
          <w:szCs w:val="22"/>
          <w:lang w:val="sr-Latn-ME"/>
        </w:rPr>
        <w:tab/>
      </w:r>
      <w:r w:rsidRPr="009003E2">
        <w:rPr>
          <w:b/>
          <w:bCs/>
          <w:sz w:val="22"/>
          <w:szCs w:val="22"/>
          <w:lang w:val="sr-Latn-ME"/>
        </w:rPr>
        <w:t>Neželjena dejstva</w:t>
      </w:r>
    </w:p>
    <w:p w14:paraId="5A743F2D" w14:textId="77777777" w:rsidR="004E70AD" w:rsidRPr="009003E2" w:rsidRDefault="004E70AD" w:rsidP="00284ACA">
      <w:pPr>
        <w:tabs>
          <w:tab w:val="left" w:pos="540"/>
          <w:tab w:val="left" w:pos="569"/>
        </w:tabs>
        <w:jc w:val="both"/>
        <w:rPr>
          <w:b/>
          <w:bCs/>
          <w:sz w:val="22"/>
          <w:szCs w:val="22"/>
          <w:lang w:val="sr-Latn-ME"/>
        </w:rPr>
      </w:pPr>
    </w:p>
    <w:p w14:paraId="39DA186C" w14:textId="77777777" w:rsidR="00D16942" w:rsidRPr="009003E2" w:rsidRDefault="00D16942" w:rsidP="00284ACA">
      <w:pPr>
        <w:tabs>
          <w:tab w:val="left" w:pos="284"/>
        </w:tabs>
        <w:jc w:val="both"/>
        <w:rPr>
          <w:rFonts w:eastAsiaTheme="minorHAnsi"/>
          <w:noProof/>
          <w:sz w:val="22"/>
          <w:szCs w:val="22"/>
          <w:u w:val="single"/>
          <w:lang w:val="sr-Latn-ME"/>
        </w:rPr>
      </w:pPr>
      <w:r w:rsidRPr="009003E2">
        <w:rPr>
          <w:rFonts w:eastAsiaTheme="minorHAnsi"/>
          <w:noProof/>
          <w:sz w:val="22"/>
          <w:szCs w:val="22"/>
          <w:u w:val="single"/>
          <w:lang w:val="sr-Latn-ME"/>
        </w:rPr>
        <w:t>Sažetak bezbjednosnog profila</w:t>
      </w:r>
    </w:p>
    <w:p w14:paraId="7EE7C172" w14:textId="77777777" w:rsidR="00D16942" w:rsidRPr="009003E2" w:rsidRDefault="00D16942" w:rsidP="00284ACA">
      <w:pPr>
        <w:tabs>
          <w:tab w:val="left" w:pos="284"/>
        </w:tabs>
        <w:jc w:val="both"/>
        <w:rPr>
          <w:rFonts w:eastAsiaTheme="minorHAnsi"/>
          <w:noProof/>
          <w:sz w:val="22"/>
          <w:szCs w:val="22"/>
          <w:lang w:val="sr-Latn-ME"/>
        </w:rPr>
      </w:pPr>
    </w:p>
    <w:p w14:paraId="1BF526EE"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Najčešće prijavljivane neželjene reakcije pri primjeni kariprazina u rasponu doza od 1,5-6 mg su bile akatizija (19%) i parkinsonizam (17.5%). Većina događaja je bila blage do umjerene težine.</w:t>
      </w:r>
    </w:p>
    <w:p w14:paraId="26E33D52" w14:textId="77777777" w:rsidR="00D16942" w:rsidRPr="009003E2" w:rsidRDefault="00D16942" w:rsidP="00284ACA">
      <w:pPr>
        <w:tabs>
          <w:tab w:val="left" w:pos="284"/>
        </w:tabs>
        <w:jc w:val="both"/>
        <w:rPr>
          <w:rFonts w:eastAsiaTheme="minorHAnsi"/>
          <w:i/>
          <w:noProof/>
          <w:sz w:val="22"/>
          <w:szCs w:val="22"/>
          <w:lang w:val="sr-Latn-ME"/>
        </w:rPr>
      </w:pPr>
    </w:p>
    <w:p w14:paraId="76B449DA"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u w:val="single"/>
          <w:lang w:val="sr-Latn-ME"/>
        </w:rPr>
        <w:t>Tabelarni prikaz neželjenih reakcija</w:t>
      </w:r>
    </w:p>
    <w:p w14:paraId="7D8232F1" w14:textId="77777777" w:rsidR="00D16942" w:rsidRPr="009003E2" w:rsidRDefault="00D16942" w:rsidP="00284ACA">
      <w:pPr>
        <w:tabs>
          <w:tab w:val="left" w:pos="284"/>
        </w:tabs>
        <w:jc w:val="both"/>
        <w:rPr>
          <w:rFonts w:eastAsiaTheme="minorHAnsi"/>
          <w:noProof/>
          <w:sz w:val="22"/>
          <w:szCs w:val="22"/>
          <w:lang w:val="sr-Latn-ME"/>
        </w:rPr>
      </w:pPr>
    </w:p>
    <w:p w14:paraId="06E94668"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Neželjene reakcije na osnovu objedinjenih podataka iz studija sa kariprazinom u terapiji shizofrenije, prikazane su prema klasi sistema organa i preporučenim terminima u Tabeli 1.</w:t>
      </w:r>
    </w:p>
    <w:p w14:paraId="3E3ECB30" w14:textId="77777777" w:rsidR="00D16942" w:rsidRPr="009003E2" w:rsidRDefault="00D16942" w:rsidP="00284ACA">
      <w:pPr>
        <w:tabs>
          <w:tab w:val="left" w:pos="284"/>
        </w:tabs>
        <w:jc w:val="both"/>
        <w:rPr>
          <w:rFonts w:eastAsiaTheme="minorHAnsi"/>
          <w:noProof/>
          <w:sz w:val="22"/>
          <w:szCs w:val="22"/>
          <w:lang w:val="sr-Latn-ME"/>
        </w:rPr>
      </w:pPr>
    </w:p>
    <w:p w14:paraId="0A05CE40"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Neželjene reakcije su navedene prema učestalosti, počevši od najčešćih, u skladu sa sljedećom kategorizacijom: veoma često (≥ 1/10), često (≥ 1/100 do &lt; 1/10), povremeno (≥ 1/1000 do &lt; 1/100), rijetko (≥ 1/10 000 do &lt; 1/1000), veoma rijetko (&lt; 1/10 000) i nepoznato (ne može se procijeniti iz dostupnih podataka). Unutar svake grupe učestalosti neželjene reakcije su prikazane prema opadajućoj ozbiljnosti.</w:t>
      </w:r>
    </w:p>
    <w:p w14:paraId="1BC6309D" w14:textId="77777777" w:rsidR="00D16942" w:rsidRPr="009003E2" w:rsidRDefault="00D16942" w:rsidP="00284ACA">
      <w:pPr>
        <w:tabs>
          <w:tab w:val="left" w:pos="284"/>
        </w:tabs>
        <w:jc w:val="both"/>
        <w:rPr>
          <w:rFonts w:eastAsiaTheme="minorHAnsi"/>
          <w:noProof/>
          <w:sz w:val="22"/>
          <w:szCs w:val="22"/>
          <w:lang w:val="sr-Latn-ME"/>
        </w:rPr>
      </w:pPr>
    </w:p>
    <w:p w14:paraId="1D43B5D4" w14:textId="77777777" w:rsidR="00D16942" w:rsidRPr="009003E2" w:rsidRDefault="00D16942" w:rsidP="00284ACA">
      <w:pPr>
        <w:tabs>
          <w:tab w:val="left" w:pos="284"/>
        </w:tabs>
        <w:spacing w:line="259" w:lineRule="auto"/>
        <w:jc w:val="both"/>
        <w:rPr>
          <w:rFonts w:eastAsiaTheme="minorHAnsi"/>
          <w:b/>
          <w:noProof/>
          <w:sz w:val="22"/>
          <w:szCs w:val="22"/>
          <w:lang w:val="sr-Latn-ME"/>
        </w:rPr>
      </w:pPr>
      <w:r w:rsidRPr="009003E2">
        <w:rPr>
          <w:rFonts w:eastAsiaTheme="minorHAnsi"/>
          <w:b/>
          <w:noProof/>
          <w:sz w:val="22"/>
          <w:szCs w:val="22"/>
          <w:lang w:val="sr-Latn-ME"/>
        </w:rPr>
        <w:t>Tabela 1. Neželjene reakcije na lijek prijavljene kod pacijenata sa shizofrenijom</w:t>
      </w:r>
    </w:p>
    <w:p w14:paraId="49A341BC" w14:textId="77777777" w:rsidR="00D16942" w:rsidRPr="009003E2" w:rsidRDefault="00D16942" w:rsidP="00284ACA">
      <w:pPr>
        <w:tabs>
          <w:tab w:val="left" w:pos="284"/>
        </w:tabs>
        <w:spacing w:line="259" w:lineRule="auto"/>
        <w:jc w:val="both"/>
        <w:rPr>
          <w:rFonts w:eastAsiaTheme="minorHAnsi"/>
          <w:b/>
          <w:noProof/>
          <w:sz w:val="22"/>
          <w:szCs w:val="22"/>
          <w:lang w:val="sr-Latn-M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710"/>
        <w:gridCol w:w="1620"/>
        <w:gridCol w:w="1890"/>
        <w:gridCol w:w="1620"/>
        <w:gridCol w:w="1553"/>
      </w:tblGrid>
      <w:tr w:rsidR="00D16942" w:rsidRPr="009003E2" w14:paraId="11F71D06" w14:textId="77777777" w:rsidTr="00C3427A">
        <w:tc>
          <w:tcPr>
            <w:tcW w:w="1525" w:type="dxa"/>
            <w:shd w:val="clear" w:color="auto" w:fill="auto"/>
          </w:tcPr>
          <w:p w14:paraId="171D9A39" w14:textId="77777777" w:rsidR="00D16942" w:rsidRPr="009003E2" w:rsidRDefault="00D16942" w:rsidP="00284ACA">
            <w:pPr>
              <w:jc w:val="both"/>
              <w:rPr>
                <w:rFonts w:eastAsiaTheme="minorHAnsi"/>
                <w:noProof/>
                <w:sz w:val="22"/>
                <w:szCs w:val="22"/>
                <w:lang w:val="sr-Latn-ME"/>
              </w:rPr>
            </w:pPr>
            <w:r w:rsidRPr="009003E2">
              <w:rPr>
                <w:rFonts w:eastAsiaTheme="minorHAnsi"/>
                <w:b/>
                <w:bCs/>
                <w:noProof/>
                <w:sz w:val="22"/>
                <w:szCs w:val="22"/>
                <w:lang w:val="sr-Latn-ME"/>
              </w:rPr>
              <w:t>Klasa sistema organa</w:t>
            </w:r>
          </w:p>
        </w:tc>
        <w:tc>
          <w:tcPr>
            <w:tcW w:w="1710" w:type="dxa"/>
            <w:shd w:val="clear" w:color="auto" w:fill="auto"/>
          </w:tcPr>
          <w:p w14:paraId="65B236C6"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 xml:space="preserve">Veoma često </w:t>
            </w:r>
          </w:p>
          <w:p w14:paraId="00EC415F"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 1/10)</w:t>
            </w:r>
          </w:p>
        </w:tc>
        <w:tc>
          <w:tcPr>
            <w:tcW w:w="1620" w:type="dxa"/>
            <w:shd w:val="clear" w:color="auto" w:fill="auto"/>
          </w:tcPr>
          <w:p w14:paraId="02947B29"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 xml:space="preserve">Često </w:t>
            </w:r>
          </w:p>
          <w:p w14:paraId="1545765E"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(≥1/100 do &lt;1/10)</w:t>
            </w:r>
          </w:p>
        </w:tc>
        <w:tc>
          <w:tcPr>
            <w:tcW w:w="1890" w:type="dxa"/>
            <w:shd w:val="clear" w:color="auto" w:fill="auto"/>
          </w:tcPr>
          <w:p w14:paraId="24DAA20B"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Povremeno (≥1/1000 do &lt;1/100)</w:t>
            </w:r>
          </w:p>
        </w:tc>
        <w:tc>
          <w:tcPr>
            <w:tcW w:w="1620" w:type="dxa"/>
            <w:shd w:val="clear" w:color="auto" w:fill="auto"/>
          </w:tcPr>
          <w:p w14:paraId="7287396D"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 xml:space="preserve">Rijetko </w:t>
            </w:r>
          </w:p>
          <w:p w14:paraId="48B30059"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(≥1/10000 do &lt;1/1000)</w:t>
            </w:r>
          </w:p>
        </w:tc>
        <w:tc>
          <w:tcPr>
            <w:tcW w:w="1553" w:type="dxa"/>
            <w:shd w:val="clear" w:color="auto" w:fill="auto"/>
          </w:tcPr>
          <w:p w14:paraId="16212E3A" w14:textId="77777777" w:rsidR="00D16942" w:rsidRPr="009003E2" w:rsidRDefault="00D16942" w:rsidP="00284ACA">
            <w:pPr>
              <w:jc w:val="both"/>
              <w:rPr>
                <w:rFonts w:eastAsiaTheme="minorHAnsi"/>
                <w:b/>
                <w:noProof/>
                <w:sz w:val="22"/>
                <w:szCs w:val="22"/>
                <w:lang w:val="sr-Latn-ME"/>
              </w:rPr>
            </w:pPr>
            <w:r w:rsidRPr="009003E2">
              <w:rPr>
                <w:rFonts w:eastAsiaTheme="minorHAnsi"/>
                <w:b/>
                <w:noProof/>
                <w:sz w:val="22"/>
                <w:szCs w:val="22"/>
                <w:lang w:val="sr-Latn-ME"/>
              </w:rPr>
              <w:t>Nepoznata učestalost</w:t>
            </w:r>
          </w:p>
        </w:tc>
      </w:tr>
      <w:tr w:rsidR="00D16942" w:rsidRPr="009003E2" w14:paraId="0B7E35E1" w14:textId="77777777" w:rsidTr="00C3427A">
        <w:tc>
          <w:tcPr>
            <w:tcW w:w="1525" w:type="dxa"/>
            <w:shd w:val="clear" w:color="auto" w:fill="auto"/>
          </w:tcPr>
          <w:p w14:paraId="50211A43"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krvi i limfnog sistema</w:t>
            </w:r>
          </w:p>
        </w:tc>
        <w:tc>
          <w:tcPr>
            <w:tcW w:w="1710" w:type="dxa"/>
            <w:shd w:val="clear" w:color="auto" w:fill="auto"/>
          </w:tcPr>
          <w:p w14:paraId="20F96731"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1AF87707"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48FB122C"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Anemija</w:t>
            </w:r>
          </w:p>
          <w:p w14:paraId="62F4F886"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Eozinofilija</w:t>
            </w:r>
          </w:p>
        </w:tc>
        <w:tc>
          <w:tcPr>
            <w:tcW w:w="1620" w:type="dxa"/>
            <w:shd w:val="clear" w:color="auto" w:fill="auto"/>
          </w:tcPr>
          <w:p w14:paraId="6AEF2503"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Neutropenija</w:t>
            </w:r>
          </w:p>
        </w:tc>
        <w:tc>
          <w:tcPr>
            <w:tcW w:w="1553" w:type="dxa"/>
            <w:shd w:val="clear" w:color="auto" w:fill="auto"/>
          </w:tcPr>
          <w:p w14:paraId="736BD95A" w14:textId="77777777" w:rsidR="00D16942" w:rsidRPr="009003E2" w:rsidRDefault="00D16942" w:rsidP="00284ACA">
            <w:pPr>
              <w:jc w:val="both"/>
              <w:rPr>
                <w:rFonts w:eastAsiaTheme="minorHAnsi"/>
                <w:noProof/>
                <w:sz w:val="22"/>
                <w:szCs w:val="22"/>
                <w:lang w:val="sr-Latn-ME"/>
              </w:rPr>
            </w:pPr>
          </w:p>
        </w:tc>
      </w:tr>
      <w:tr w:rsidR="00D16942" w:rsidRPr="009003E2" w14:paraId="61C0FE2F" w14:textId="77777777" w:rsidTr="00C3427A">
        <w:trPr>
          <w:trHeight w:hRule="exact" w:val="847"/>
        </w:trPr>
        <w:tc>
          <w:tcPr>
            <w:tcW w:w="1525" w:type="dxa"/>
            <w:shd w:val="clear" w:color="auto" w:fill="auto"/>
          </w:tcPr>
          <w:p w14:paraId="03E5A6AC"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imunog sistema</w:t>
            </w:r>
          </w:p>
        </w:tc>
        <w:tc>
          <w:tcPr>
            <w:tcW w:w="1710" w:type="dxa"/>
            <w:shd w:val="clear" w:color="auto" w:fill="auto"/>
          </w:tcPr>
          <w:p w14:paraId="1C37D53A"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24FBC326"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697A61AB"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1701C74C"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Preosjetljivost</w:t>
            </w:r>
          </w:p>
        </w:tc>
        <w:tc>
          <w:tcPr>
            <w:tcW w:w="1553" w:type="dxa"/>
            <w:shd w:val="clear" w:color="auto" w:fill="auto"/>
          </w:tcPr>
          <w:p w14:paraId="3A4770D9" w14:textId="77777777" w:rsidR="00D16942" w:rsidRPr="009003E2" w:rsidRDefault="00D16942" w:rsidP="00284ACA">
            <w:pPr>
              <w:jc w:val="both"/>
              <w:rPr>
                <w:rFonts w:eastAsiaTheme="minorHAnsi"/>
                <w:noProof/>
                <w:sz w:val="22"/>
                <w:szCs w:val="22"/>
                <w:lang w:val="sr-Latn-ME"/>
              </w:rPr>
            </w:pPr>
          </w:p>
        </w:tc>
      </w:tr>
      <w:tr w:rsidR="00D16942" w:rsidRPr="009003E2" w14:paraId="52D4DA6F" w14:textId="77777777" w:rsidTr="00C3427A">
        <w:tc>
          <w:tcPr>
            <w:tcW w:w="1525" w:type="dxa"/>
            <w:shd w:val="clear" w:color="auto" w:fill="auto"/>
          </w:tcPr>
          <w:p w14:paraId="43E44A9C"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Endokrini poremećaji</w:t>
            </w:r>
          </w:p>
        </w:tc>
        <w:tc>
          <w:tcPr>
            <w:tcW w:w="1710" w:type="dxa"/>
            <w:shd w:val="clear" w:color="auto" w:fill="auto"/>
          </w:tcPr>
          <w:p w14:paraId="280F0DFA"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6497F859"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351F67F1"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Smanjena vrijednost tireostimulirajućeg hormona u krvi</w:t>
            </w:r>
          </w:p>
        </w:tc>
        <w:tc>
          <w:tcPr>
            <w:tcW w:w="1620" w:type="dxa"/>
            <w:shd w:val="clear" w:color="auto" w:fill="auto"/>
          </w:tcPr>
          <w:p w14:paraId="10E35AD3"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Hipotiroidizam</w:t>
            </w:r>
          </w:p>
        </w:tc>
        <w:tc>
          <w:tcPr>
            <w:tcW w:w="1553" w:type="dxa"/>
            <w:shd w:val="clear" w:color="auto" w:fill="auto"/>
          </w:tcPr>
          <w:p w14:paraId="7D20150F" w14:textId="77777777" w:rsidR="00D16942" w:rsidRPr="009003E2" w:rsidRDefault="00D16942" w:rsidP="00284ACA">
            <w:pPr>
              <w:jc w:val="both"/>
              <w:rPr>
                <w:rFonts w:eastAsiaTheme="minorHAnsi"/>
                <w:noProof/>
                <w:sz w:val="22"/>
                <w:szCs w:val="22"/>
                <w:lang w:val="sr-Latn-ME"/>
              </w:rPr>
            </w:pPr>
          </w:p>
        </w:tc>
      </w:tr>
      <w:tr w:rsidR="00D16942" w:rsidRPr="009003E2" w14:paraId="2932EE76" w14:textId="77777777" w:rsidTr="00C3427A">
        <w:trPr>
          <w:trHeight w:hRule="exact" w:val="1819"/>
        </w:trPr>
        <w:tc>
          <w:tcPr>
            <w:tcW w:w="1525" w:type="dxa"/>
            <w:shd w:val="clear" w:color="auto" w:fill="auto"/>
          </w:tcPr>
          <w:p w14:paraId="4ACCA313"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metabolizma i ishrane</w:t>
            </w:r>
          </w:p>
        </w:tc>
        <w:tc>
          <w:tcPr>
            <w:tcW w:w="1710" w:type="dxa"/>
            <w:shd w:val="clear" w:color="auto" w:fill="auto"/>
          </w:tcPr>
          <w:p w14:paraId="2798E612"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2FBF1609"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Dislipidemija Povećanje tjelesne težine</w:t>
            </w:r>
          </w:p>
          <w:p w14:paraId="50BD1469"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Smanjen apetit</w:t>
            </w:r>
          </w:p>
          <w:p w14:paraId="00C4E261"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 apetit</w:t>
            </w:r>
          </w:p>
          <w:p w14:paraId="1C2D5BBD"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1325137E"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Poremećaj vrijednosti natrijuma u krvi</w:t>
            </w:r>
          </w:p>
          <w:p w14:paraId="10697FBD" w14:textId="77777777" w:rsidR="00D16942" w:rsidRPr="009003E2" w:rsidRDefault="00D16942" w:rsidP="00284ACA">
            <w:pPr>
              <w:jc w:val="both"/>
              <w:rPr>
                <w:rFonts w:eastAsiaTheme="minorHAnsi"/>
                <w:noProof/>
                <w:sz w:val="22"/>
                <w:szCs w:val="22"/>
                <w:lang w:val="sr-Latn-ME"/>
              </w:rPr>
            </w:pPr>
            <w:r w:rsidRPr="009003E2">
              <w:rPr>
                <w:rFonts w:eastAsiaTheme="minorHAnsi"/>
                <w:iCs/>
                <w:noProof/>
                <w:sz w:val="22"/>
                <w:szCs w:val="22"/>
                <w:lang w:val="sr-Latn-ME"/>
              </w:rPr>
              <w:t>Dijabetes melitus</w:t>
            </w:r>
            <w:r w:rsidRPr="009003E2">
              <w:rPr>
                <w:rFonts w:eastAsiaTheme="minorHAnsi"/>
                <w:noProof/>
                <w:sz w:val="22"/>
                <w:szCs w:val="22"/>
                <w:lang w:val="sr-Latn-ME"/>
              </w:rPr>
              <w:t xml:space="preserve"> </w:t>
            </w:r>
          </w:p>
          <w:p w14:paraId="3A561EE9"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Povećana vrijednost glukoze u krvi</w:t>
            </w:r>
          </w:p>
          <w:p w14:paraId="14EC970B"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536B3A3E"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53A62DAB" w14:textId="77777777" w:rsidR="00D16942" w:rsidRPr="009003E2" w:rsidRDefault="00D16942" w:rsidP="00284ACA">
            <w:pPr>
              <w:jc w:val="both"/>
              <w:rPr>
                <w:rFonts w:eastAsiaTheme="minorHAnsi"/>
                <w:noProof/>
                <w:sz w:val="22"/>
                <w:szCs w:val="22"/>
                <w:lang w:val="sr-Latn-ME"/>
              </w:rPr>
            </w:pPr>
          </w:p>
        </w:tc>
      </w:tr>
      <w:tr w:rsidR="00D16942" w:rsidRPr="009003E2" w14:paraId="7E425C91" w14:textId="77777777" w:rsidTr="00C3427A">
        <w:tc>
          <w:tcPr>
            <w:tcW w:w="1525" w:type="dxa"/>
            <w:shd w:val="clear" w:color="auto" w:fill="auto"/>
          </w:tcPr>
          <w:p w14:paraId="21F2E994"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Psihijatrijski poremećaji</w:t>
            </w:r>
          </w:p>
          <w:p w14:paraId="7EF79BE4" w14:textId="77777777" w:rsidR="00D16942" w:rsidRPr="009003E2" w:rsidRDefault="00D16942" w:rsidP="00284ACA">
            <w:pPr>
              <w:jc w:val="both"/>
              <w:rPr>
                <w:rFonts w:eastAsiaTheme="minorHAnsi"/>
                <w:noProof/>
                <w:sz w:val="22"/>
                <w:szCs w:val="22"/>
                <w:lang w:val="sr-Latn-ME"/>
              </w:rPr>
            </w:pPr>
          </w:p>
        </w:tc>
        <w:tc>
          <w:tcPr>
            <w:tcW w:w="1710" w:type="dxa"/>
            <w:shd w:val="clear" w:color="auto" w:fill="auto"/>
          </w:tcPr>
          <w:p w14:paraId="7C2484D1"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20084408"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Poremećaji spavanja</w:t>
            </w:r>
            <w:r w:rsidRPr="009003E2">
              <w:rPr>
                <w:rFonts w:eastAsiaTheme="minorHAnsi"/>
                <w:noProof/>
                <w:sz w:val="22"/>
                <w:szCs w:val="22"/>
                <w:vertAlign w:val="superscript"/>
                <w:lang w:val="sr-Latn-ME"/>
              </w:rPr>
              <w:t>1</w:t>
            </w:r>
          </w:p>
          <w:p w14:paraId="7826B55A"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Anksioznost</w:t>
            </w:r>
          </w:p>
        </w:tc>
        <w:tc>
          <w:tcPr>
            <w:tcW w:w="1890" w:type="dxa"/>
            <w:shd w:val="clear" w:color="auto" w:fill="auto"/>
          </w:tcPr>
          <w:p w14:paraId="000844B8"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Suicidno ponašanje</w:t>
            </w:r>
          </w:p>
          <w:p w14:paraId="5841069B"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Delirijum</w:t>
            </w:r>
          </w:p>
          <w:p w14:paraId="51A75841"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Depresija</w:t>
            </w:r>
          </w:p>
          <w:p w14:paraId="1BF184F7"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Smanjen libido</w:t>
            </w:r>
          </w:p>
          <w:p w14:paraId="1B86B8EC"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 libido</w:t>
            </w:r>
          </w:p>
          <w:p w14:paraId="1A70EA43"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Erektilna disfunkcija</w:t>
            </w:r>
          </w:p>
        </w:tc>
        <w:tc>
          <w:tcPr>
            <w:tcW w:w="1620" w:type="dxa"/>
            <w:shd w:val="clear" w:color="auto" w:fill="auto"/>
          </w:tcPr>
          <w:p w14:paraId="78D7CC7A"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09CC50BF" w14:textId="77777777" w:rsidR="00D16942" w:rsidRPr="009003E2" w:rsidRDefault="00D16942" w:rsidP="00284ACA">
            <w:pPr>
              <w:jc w:val="both"/>
              <w:rPr>
                <w:rFonts w:eastAsiaTheme="minorHAnsi"/>
                <w:noProof/>
                <w:sz w:val="22"/>
                <w:szCs w:val="22"/>
                <w:lang w:val="sr-Latn-ME"/>
              </w:rPr>
            </w:pPr>
          </w:p>
        </w:tc>
      </w:tr>
      <w:tr w:rsidR="00D16942" w:rsidRPr="009003E2" w14:paraId="55B2981E" w14:textId="77777777" w:rsidTr="00C3427A">
        <w:tc>
          <w:tcPr>
            <w:tcW w:w="1525" w:type="dxa"/>
            <w:shd w:val="clear" w:color="auto" w:fill="auto"/>
          </w:tcPr>
          <w:p w14:paraId="52E614D2"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lastRenderedPageBreak/>
              <w:t>Poremećaji nervnog sistema</w:t>
            </w:r>
          </w:p>
        </w:tc>
        <w:tc>
          <w:tcPr>
            <w:tcW w:w="1710" w:type="dxa"/>
            <w:shd w:val="clear" w:color="auto" w:fill="auto"/>
          </w:tcPr>
          <w:p w14:paraId="5FB996BA"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Akatizija</w:t>
            </w:r>
            <w:r w:rsidRPr="009003E2">
              <w:rPr>
                <w:rFonts w:eastAsiaTheme="minorHAnsi"/>
                <w:noProof/>
                <w:sz w:val="22"/>
                <w:szCs w:val="22"/>
                <w:vertAlign w:val="superscript"/>
                <w:lang w:val="sr-Latn-ME"/>
              </w:rPr>
              <w:t>2</w:t>
            </w:r>
          </w:p>
          <w:p w14:paraId="6DD8409F"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Parkinsonizam</w:t>
            </w:r>
            <w:r w:rsidRPr="009003E2">
              <w:rPr>
                <w:rFonts w:eastAsiaTheme="minorHAnsi"/>
                <w:noProof/>
                <w:sz w:val="22"/>
                <w:szCs w:val="22"/>
                <w:vertAlign w:val="superscript"/>
                <w:lang w:val="sr-Latn-ME"/>
              </w:rPr>
              <w:t>3</w:t>
            </w:r>
          </w:p>
        </w:tc>
        <w:tc>
          <w:tcPr>
            <w:tcW w:w="1620" w:type="dxa"/>
            <w:shd w:val="clear" w:color="auto" w:fill="auto"/>
          </w:tcPr>
          <w:p w14:paraId="1C3418E9"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Sedacija</w:t>
            </w:r>
          </w:p>
          <w:p w14:paraId="15AC73F2"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Vrtoglavica</w:t>
            </w:r>
          </w:p>
          <w:p w14:paraId="13E8C177"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Distonija</w:t>
            </w:r>
            <w:r w:rsidRPr="009003E2">
              <w:rPr>
                <w:rFonts w:eastAsiaTheme="minorHAnsi"/>
                <w:noProof/>
                <w:sz w:val="22"/>
                <w:szCs w:val="22"/>
                <w:vertAlign w:val="superscript"/>
                <w:lang w:val="sr-Latn-ME"/>
              </w:rPr>
              <w:t>4</w:t>
            </w:r>
          </w:p>
          <w:p w14:paraId="6352AEB2"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Druga ekstra-piramidalna oboljenja i poremećaji koji se manifestuju abnormalnim pokretima</w:t>
            </w:r>
            <w:r w:rsidRPr="009003E2">
              <w:rPr>
                <w:rFonts w:eastAsiaTheme="minorHAnsi"/>
                <w:noProof/>
                <w:sz w:val="22"/>
                <w:szCs w:val="22"/>
                <w:vertAlign w:val="superscript"/>
                <w:lang w:val="sr-Latn-ME"/>
              </w:rPr>
              <w:t>5</w:t>
            </w:r>
          </w:p>
        </w:tc>
        <w:tc>
          <w:tcPr>
            <w:tcW w:w="1890" w:type="dxa"/>
            <w:shd w:val="clear" w:color="auto" w:fill="auto"/>
          </w:tcPr>
          <w:p w14:paraId="7604D2E7"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Tardivna diskinezija</w:t>
            </w:r>
          </w:p>
          <w:p w14:paraId="321BEBDE" w14:textId="77777777" w:rsidR="00D16942" w:rsidRPr="009003E2" w:rsidRDefault="00D16942" w:rsidP="00284ACA">
            <w:pPr>
              <w:jc w:val="both"/>
              <w:rPr>
                <w:rFonts w:eastAsiaTheme="minorHAnsi"/>
                <w:noProof/>
                <w:sz w:val="22"/>
                <w:szCs w:val="22"/>
                <w:vertAlign w:val="superscript"/>
                <w:lang w:val="sr-Latn-ME"/>
              </w:rPr>
            </w:pPr>
            <w:r w:rsidRPr="009003E2">
              <w:rPr>
                <w:rFonts w:eastAsiaTheme="minorHAnsi"/>
                <w:noProof/>
                <w:sz w:val="22"/>
                <w:szCs w:val="22"/>
                <w:lang w:val="sr-Latn-ME"/>
              </w:rPr>
              <w:t>Diskinezija</w:t>
            </w:r>
            <w:r w:rsidRPr="009003E2">
              <w:rPr>
                <w:rFonts w:eastAsiaTheme="minorHAnsi"/>
                <w:noProof/>
                <w:sz w:val="22"/>
                <w:szCs w:val="22"/>
                <w:vertAlign w:val="superscript"/>
                <w:lang w:val="sr-Latn-ME"/>
              </w:rPr>
              <w:t>6</w:t>
            </w:r>
          </w:p>
          <w:p w14:paraId="7434788A"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Dizestezija</w:t>
            </w:r>
          </w:p>
          <w:p w14:paraId="1C013E9F"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Letargija</w:t>
            </w:r>
          </w:p>
          <w:p w14:paraId="76CC103B"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0D97A9AA"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Napadi/</w:t>
            </w:r>
          </w:p>
          <w:p w14:paraId="0E54868C"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konvulzije</w:t>
            </w:r>
          </w:p>
          <w:p w14:paraId="5BBA6DA4"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Amnezija</w:t>
            </w:r>
          </w:p>
          <w:p w14:paraId="1A0D230B"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Afazija</w:t>
            </w:r>
          </w:p>
        </w:tc>
        <w:tc>
          <w:tcPr>
            <w:tcW w:w="1553" w:type="dxa"/>
            <w:shd w:val="clear" w:color="auto" w:fill="auto"/>
          </w:tcPr>
          <w:p w14:paraId="05061725"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Neuroleptički maligni sindrom</w:t>
            </w:r>
          </w:p>
        </w:tc>
      </w:tr>
      <w:tr w:rsidR="00D16942" w:rsidRPr="009003E2" w14:paraId="79B58A4C" w14:textId="77777777" w:rsidTr="00C3427A">
        <w:trPr>
          <w:trHeight w:hRule="exact" w:val="2179"/>
        </w:trPr>
        <w:tc>
          <w:tcPr>
            <w:tcW w:w="1525" w:type="dxa"/>
            <w:shd w:val="clear" w:color="auto" w:fill="auto"/>
          </w:tcPr>
          <w:p w14:paraId="3F82A126"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oka</w:t>
            </w:r>
          </w:p>
          <w:p w14:paraId="116CF803" w14:textId="77777777" w:rsidR="00D16942" w:rsidRPr="009003E2" w:rsidRDefault="00D16942" w:rsidP="00284ACA">
            <w:pPr>
              <w:jc w:val="both"/>
              <w:rPr>
                <w:rFonts w:eastAsiaTheme="minorHAnsi"/>
                <w:b/>
                <w:bCs/>
                <w:noProof/>
                <w:sz w:val="22"/>
                <w:szCs w:val="22"/>
                <w:lang w:val="sr-Latn-ME"/>
              </w:rPr>
            </w:pPr>
          </w:p>
          <w:p w14:paraId="1C735053" w14:textId="77777777" w:rsidR="00D16942" w:rsidRPr="009003E2" w:rsidRDefault="00D16942" w:rsidP="00284ACA">
            <w:pPr>
              <w:jc w:val="both"/>
              <w:rPr>
                <w:rFonts w:eastAsiaTheme="minorHAnsi"/>
                <w:b/>
                <w:bCs/>
                <w:noProof/>
                <w:sz w:val="22"/>
                <w:szCs w:val="22"/>
                <w:lang w:val="sr-Latn-ME"/>
              </w:rPr>
            </w:pPr>
          </w:p>
          <w:p w14:paraId="0EDD53B3" w14:textId="77777777" w:rsidR="00D16942" w:rsidRPr="009003E2" w:rsidRDefault="00D16942" w:rsidP="00284ACA">
            <w:pPr>
              <w:jc w:val="both"/>
              <w:rPr>
                <w:rFonts w:eastAsiaTheme="minorHAnsi"/>
                <w:b/>
                <w:bCs/>
                <w:noProof/>
                <w:sz w:val="22"/>
                <w:szCs w:val="22"/>
                <w:lang w:val="sr-Latn-ME"/>
              </w:rPr>
            </w:pPr>
          </w:p>
        </w:tc>
        <w:tc>
          <w:tcPr>
            <w:tcW w:w="1710" w:type="dxa"/>
            <w:shd w:val="clear" w:color="auto" w:fill="auto"/>
          </w:tcPr>
          <w:p w14:paraId="5BE0C1CF"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5877FC7D"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Zamućen vid</w:t>
            </w:r>
          </w:p>
        </w:tc>
        <w:tc>
          <w:tcPr>
            <w:tcW w:w="1890" w:type="dxa"/>
            <w:shd w:val="clear" w:color="auto" w:fill="auto"/>
          </w:tcPr>
          <w:p w14:paraId="0E1E1C88"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 intraokularni pritisak</w:t>
            </w:r>
          </w:p>
          <w:p w14:paraId="34394E12"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Poremećaj akomodacije</w:t>
            </w:r>
          </w:p>
          <w:p w14:paraId="1574D904"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Smanjenje oštrine vida</w:t>
            </w:r>
          </w:p>
          <w:p w14:paraId="3EB62514"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Iritacija oka</w:t>
            </w:r>
          </w:p>
          <w:p w14:paraId="6CB933B3"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18014627"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Katarakta Fotofobija</w:t>
            </w:r>
          </w:p>
          <w:p w14:paraId="03ECFDD8"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35D2F95F" w14:textId="77777777" w:rsidR="00D16942" w:rsidRPr="009003E2" w:rsidRDefault="00D16942" w:rsidP="00284ACA">
            <w:pPr>
              <w:jc w:val="both"/>
              <w:rPr>
                <w:rFonts w:eastAsiaTheme="minorHAnsi"/>
                <w:noProof/>
                <w:sz w:val="22"/>
                <w:szCs w:val="22"/>
                <w:lang w:val="sr-Latn-ME"/>
              </w:rPr>
            </w:pPr>
          </w:p>
        </w:tc>
      </w:tr>
      <w:tr w:rsidR="00D16942" w:rsidRPr="009003E2" w14:paraId="2D4D1723" w14:textId="77777777" w:rsidTr="00C3427A">
        <w:trPr>
          <w:trHeight w:hRule="exact" w:val="802"/>
        </w:trPr>
        <w:tc>
          <w:tcPr>
            <w:tcW w:w="1525" w:type="dxa"/>
            <w:shd w:val="clear" w:color="auto" w:fill="auto"/>
          </w:tcPr>
          <w:p w14:paraId="44878F2E"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uha i labirinta</w:t>
            </w:r>
          </w:p>
          <w:p w14:paraId="1F8C9E12" w14:textId="77777777" w:rsidR="00D16942" w:rsidRPr="009003E2" w:rsidRDefault="00D16942" w:rsidP="00284ACA">
            <w:pPr>
              <w:jc w:val="both"/>
              <w:rPr>
                <w:rFonts w:eastAsiaTheme="minorHAnsi"/>
                <w:b/>
                <w:bCs/>
                <w:noProof/>
                <w:sz w:val="22"/>
                <w:szCs w:val="22"/>
                <w:lang w:val="sr-Latn-ME"/>
              </w:rPr>
            </w:pPr>
          </w:p>
        </w:tc>
        <w:tc>
          <w:tcPr>
            <w:tcW w:w="1710" w:type="dxa"/>
            <w:shd w:val="clear" w:color="auto" w:fill="auto"/>
          </w:tcPr>
          <w:p w14:paraId="7098E184"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34108202"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785866B5"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Vrtoglavica</w:t>
            </w:r>
          </w:p>
        </w:tc>
        <w:tc>
          <w:tcPr>
            <w:tcW w:w="1620" w:type="dxa"/>
            <w:shd w:val="clear" w:color="auto" w:fill="auto"/>
          </w:tcPr>
          <w:p w14:paraId="726921BD"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464056C1" w14:textId="77777777" w:rsidR="00D16942" w:rsidRPr="009003E2" w:rsidRDefault="00D16942" w:rsidP="00284ACA">
            <w:pPr>
              <w:jc w:val="both"/>
              <w:rPr>
                <w:rFonts w:eastAsiaTheme="minorHAnsi"/>
                <w:noProof/>
                <w:sz w:val="22"/>
                <w:szCs w:val="22"/>
                <w:lang w:val="sr-Latn-ME"/>
              </w:rPr>
            </w:pPr>
          </w:p>
        </w:tc>
      </w:tr>
      <w:tr w:rsidR="00D16942" w:rsidRPr="009003E2" w14:paraId="139A5F1F" w14:textId="77777777" w:rsidTr="00C3427A">
        <w:tc>
          <w:tcPr>
            <w:tcW w:w="1525" w:type="dxa"/>
            <w:shd w:val="clear" w:color="auto" w:fill="auto"/>
          </w:tcPr>
          <w:p w14:paraId="017D5836"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Kardiološki poremećaji</w:t>
            </w:r>
          </w:p>
        </w:tc>
        <w:tc>
          <w:tcPr>
            <w:tcW w:w="1710" w:type="dxa"/>
            <w:shd w:val="clear" w:color="auto" w:fill="auto"/>
          </w:tcPr>
          <w:p w14:paraId="40ADAF76"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62312346"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Tahiaritmija</w:t>
            </w:r>
          </w:p>
        </w:tc>
        <w:tc>
          <w:tcPr>
            <w:tcW w:w="1890" w:type="dxa"/>
            <w:shd w:val="clear" w:color="auto" w:fill="auto"/>
          </w:tcPr>
          <w:p w14:paraId="12231ED5"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Poremećaji srčane provodljivosti</w:t>
            </w:r>
          </w:p>
          <w:p w14:paraId="68628228"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Bradiaritmija</w:t>
            </w:r>
          </w:p>
          <w:p w14:paraId="26281BE3" w14:textId="77777777" w:rsidR="00D16942" w:rsidRPr="009003E2" w:rsidRDefault="00D16942" w:rsidP="00284ACA">
            <w:pPr>
              <w:ind w:left="-29" w:right="-144"/>
              <w:jc w:val="both"/>
              <w:rPr>
                <w:rFonts w:eastAsiaTheme="minorHAnsi"/>
                <w:noProof/>
                <w:sz w:val="22"/>
                <w:szCs w:val="22"/>
                <w:lang w:val="sr-Latn-ME"/>
              </w:rPr>
            </w:pPr>
            <w:r w:rsidRPr="009003E2">
              <w:rPr>
                <w:rFonts w:eastAsiaTheme="minorHAnsi"/>
                <w:noProof/>
                <w:sz w:val="22"/>
                <w:szCs w:val="22"/>
                <w:lang w:val="sr-Latn-ME"/>
              </w:rPr>
              <w:t>Produženje QT intervala na elektrokardiogramu</w:t>
            </w:r>
          </w:p>
          <w:p w14:paraId="6BC2A7C2" w14:textId="77777777" w:rsidR="00D16942" w:rsidRPr="009003E2" w:rsidRDefault="00D16942" w:rsidP="00284ACA">
            <w:pPr>
              <w:ind w:right="-144"/>
              <w:jc w:val="both"/>
              <w:rPr>
                <w:rFonts w:eastAsiaTheme="minorHAnsi"/>
                <w:noProof/>
                <w:sz w:val="22"/>
                <w:szCs w:val="22"/>
                <w:lang w:val="sr-Latn-ME"/>
              </w:rPr>
            </w:pPr>
            <w:r w:rsidRPr="009003E2">
              <w:rPr>
                <w:rFonts w:eastAsiaTheme="minorHAnsi"/>
                <w:noProof/>
                <w:sz w:val="22"/>
                <w:szCs w:val="22"/>
                <w:lang w:val="sr-Latn-ME"/>
              </w:rPr>
              <w:t>Abnormalan T talas na elektrokardiogramu</w:t>
            </w:r>
          </w:p>
        </w:tc>
        <w:tc>
          <w:tcPr>
            <w:tcW w:w="1620" w:type="dxa"/>
            <w:shd w:val="clear" w:color="auto" w:fill="auto"/>
          </w:tcPr>
          <w:p w14:paraId="25AAA494"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1E789936" w14:textId="77777777" w:rsidR="00D16942" w:rsidRPr="009003E2" w:rsidRDefault="00D16942" w:rsidP="00284ACA">
            <w:pPr>
              <w:jc w:val="both"/>
              <w:rPr>
                <w:rFonts w:eastAsiaTheme="minorHAnsi"/>
                <w:noProof/>
                <w:sz w:val="22"/>
                <w:szCs w:val="22"/>
                <w:lang w:val="sr-Latn-ME"/>
              </w:rPr>
            </w:pPr>
          </w:p>
        </w:tc>
      </w:tr>
      <w:tr w:rsidR="00D16942" w:rsidRPr="009003E2" w14:paraId="1D6E688E" w14:textId="77777777" w:rsidTr="00C3427A">
        <w:trPr>
          <w:trHeight w:hRule="exact" w:val="595"/>
        </w:trPr>
        <w:tc>
          <w:tcPr>
            <w:tcW w:w="1525" w:type="dxa"/>
            <w:shd w:val="clear" w:color="auto" w:fill="auto"/>
          </w:tcPr>
          <w:p w14:paraId="243FEC13"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Vaskularni poremećaji</w:t>
            </w:r>
          </w:p>
          <w:p w14:paraId="43505724" w14:textId="77777777" w:rsidR="00D16942" w:rsidRPr="009003E2" w:rsidRDefault="00D16942" w:rsidP="00284ACA">
            <w:pPr>
              <w:jc w:val="both"/>
              <w:rPr>
                <w:rFonts w:eastAsiaTheme="minorHAnsi"/>
                <w:b/>
                <w:bCs/>
                <w:noProof/>
                <w:sz w:val="22"/>
                <w:szCs w:val="22"/>
                <w:lang w:val="sr-Latn-ME"/>
              </w:rPr>
            </w:pPr>
          </w:p>
        </w:tc>
        <w:tc>
          <w:tcPr>
            <w:tcW w:w="1710" w:type="dxa"/>
            <w:shd w:val="clear" w:color="auto" w:fill="auto"/>
          </w:tcPr>
          <w:p w14:paraId="7C2BC96E"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36DB7A7F"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Hipertenzija</w:t>
            </w:r>
          </w:p>
        </w:tc>
        <w:tc>
          <w:tcPr>
            <w:tcW w:w="1890" w:type="dxa"/>
            <w:shd w:val="clear" w:color="auto" w:fill="auto"/>
          </w:tcPr>
          <w:p w14:paraId="1CF72598"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Hipotenzija</w:t>
            </w:r>
          </w:p>
        </w:tc>
        <w:tc>
          <w:tcPr>
            <w:tcW w:w="1620" w:type="dxa"/>
            <w:shd w:val="clear" w:color="auto" w:fill="auto"/>
          </w:tcPr>
          <w:p w14:paraId="5069E852"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0A028329" w14:textId="77777777" w:rsidR="00D16942" w:rsidRPr="009003E2" w:rsidRDefault="00D16942" w:rsidP="00284ACA">
            <w:pPr>
              <w:jc w:val="both"/>
              <w:rPr>
                <w:rFonts w:eastAsiaTheme="minorHAnsi"/>
                <w:noProof/>
                <w:sz w:val="22"/>
                <w:szCs w:val="22"/>
                <w:lang w:val="sr-Latn-ME"/>
              </w:rPr>
            </w:pPr>
          </w:p>
        </w:tc>
      </w:tr>
      <w:tr w:rsidR="00D16942" w:rsidRPr="009003E2" w14:paraId="104B2933" w14:textId="77777777" w:rsidTr="00C3427A">
        <w:tc>
          <w:tcPr>
            <w:tcW w:w="1525" w:type="dxa"/>
            <w:shd w:val="clear" w:color="auto" w:fill="auto"/>
          </w:tcPr>
          <w:p w14:paraId="2FADCCF4" w14:textId="77777777" w:rsidR="00D16942" w:rsidRPr="009003E2" w:rsidRDefault="00D16942" w:rsidP="00284ACA">
            <w:pPr>
              <w:ind w:left="-14"/>
              <w:jc w:val="both"/>
              <w:rPr>
                <w:rFonts w:eastAsiaTheme="minorHAnsi"/>
                <w:b/>
                <w:bCs/>
                <w:noProof/>
                <w:sz w:val="22"/>
                <w:szCs w:val="22"/>
                <w:lang w:val="sr-Latn-ME"/>
              </w:rPr>
            </w:pPr>
            <w:r w:rsidRPr="009003E2">
              <w:rPr>
                <w:rFonts w:eastAsiaTheme="minorHAnsi"/>
                <w:b/>
                <w:bCs/>
                <w:noProof/>
                <w:sz w:val="22"/>
                <w:szCs w:val="22"/>
                <w:lang w:val="sr-Latn-ME"/>
              </w:rPr>
              <w:t>Respiratorni, torakalni i medijastinal-ni poremećaji</w:t>
            </w:r>
          </w:p>
        </w:tc>
        <w:tc>
          <w:tcPr>
            <w:tcW w:w="1710" w:type="dxa"/>
            <w:shd w:val="clear" w:color="auto" w:fill="auto"/>
          </w:tcPr>
          <w:p w14:paraId="399C7D6A"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43841E01"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3E7FE5AE"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Štucanje</w:t>
            </w:r>
          </w:p>
        </w:tc>
        <w:tc>
          <w:tcPr>
            <w:tcW w:w="1620" w:type="dxa"/>
            <w:shd w:val="clear" w:color="auto" w:fill="auto"/>
          </w:tcPr>
          <w:p w14:paraId="4B9B0B78"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1613CA78" w14:textId="77777777" w:rsidR="00D16942" w:rsidRPr="009003E2" w:rsidRDefault="00D16942" w:rsidP="00284ACA">
            <w:pPr>
              <w:jc w:val="both"/>
              <w:rPr>
                <w:rFonts w:eastAsiaTheme="minorHAnsi"/>
                <w:noProof/>
                <w:sz w:val="22"/>
                <w:szCs w:val="22"/>
                <w:lang w:val="sr-Latn-ME"/>
              </w:rPr>
            </w:pPr>
          </w:p>
        </w:tc>
      </w:tr>
      <w:tr w:rsidR="00D16942" w:rsidRPr="009003E2" w14:paraId="1BE75533" w14:textId="77777777" w:rsidTr="00C3427A">
        <w:tc>
          <w:tcPr>
            <w:tcW w:w="1525" w:type="dxa"/>
            <w:shd w:val="clear" w:color="auto" w:fill="auto"/>
          </w:tcPr>
          <w:p w14:paraId="2E784792"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Gastro-</w:t>
            </w:r>
          </w:p>
          <w:p w14:paraId="575E6ECD"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intestinalni poremećaji</w:t>
            </w:r>
          </w:p>
        </w:tc>
        <w:tc>
          <w:tcPr>
            <w:tcW w:w="1710" w:type="dxa"/>
            <w:shd w:val="clear" w:color="auto" w:fill="auto"/>
          </w:tcPr>
          <w:p w14:paraId="5CCD823E"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530A6135"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Povraćanje Mučnina</w:t>
            </w:r>
          </w:p>
          <w:p w14:paraId="5040228B"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Konstipacija</w:t>
            </w:r>
          </w:p>
          <w:p w14:paraId="477A04BD"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2F14A31F"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Gastroezofagealna refluksna bolest</w:t>
            </w:r>
          </w:p>
        </w:tc>
        <w:tc>
          <w:tcPr>
            <w:tcW w:w="1620" w:type="dxa"/>
            <w:shd w:val="clear" w:color="auto" w:fill="auto"/>
          </w:tcPr>
          <w:p w14:paraId="45C2BBA5"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Disfagija</w:t>
            </w:r>
          </w:p>
        </w:tc>
        <w:tc>
          <w:tcPr>
            <w:tcW w:w="1553" w:type="dxa"/>
            <w:shd w:val="clear" w:color="auto" w:fill="auto"/>
          </w:tcPr>
          <w:p w14:paraId="5AA58B8C" w14:textId="77777777" w:rsidR="00D16942" w:rsidRPr="009003E2" w:rsidRDefault="00D16942" w:rsidP="00284ACA">
            <w:pPr>
              <w:jc w:val="both"/>
              <w:rPr>
                <w:rFonts w:eastAsiaTheme="minorHAnsi"/>
                <w:noProof/>
                <w:sz w:val="22"/>
                <w:szCs w:val="22"/>
                <w:lang w:val="sr-Latn-ME"/>
              </w:rPr>
            </w:pPr>
          </w:p>
        </w:tc>
      </w:tr>
      <w:tr w:rsidR="00D16942" w:rsidRPr="009003E2" w14:paraId="2EE17496" w14:textId="77777777" w:rsidTr="00C3427A">
        <w:tc>
          <w:tcPr>
            <w:tcW w:w="1525" w:type="dxa"/>
            <w:shd w:val="clear" w:color="auto" w:fill="auto"/>
          </w:tcPr>
          <w:p w14:paraId="14BC491E"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Hepato-</w:t>
            </w:r>
          </w:p>
          <w:p w14:paraId="164DB13C"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bilijarni poremećaji</w:t>
            </w:r>
          </w:p>
          <w:p w14:paraId="3D94FA27" w14:textId="77777777" w:rsidR="00D16942" w:rsidRPr="009003E2" w:rsidRDefault="00D16942" w:rsidP="00284ACA">
            <w:pPr>
              <w:jc w:val="both"/>
              <w:rPr>
                <w:rFonts w:eastAsiaTheme="minorHAnsi"/>
                <w:b/>
                <w:bCs/>
                <w:noProof/>
                <w:sz w:val="22"/>
                <w:szCs w:val="22"/>
                <w:lang w:val="sr-Latn-ME"/>
              </w:rPr>
            </w:pPr>
          </w:p>
        </w:tc>
        <w:tc>
          <w:tcPr>
            <w:tcW w:w="1710" w:type="dxa"/>
            <w:shd w:val="clear" w:color="auto" w:fill="auto"/>
          </w:tcPr>
          <w:p w14:paraId="174D7C38"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12A31FDA"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Povećane vrijednosti enzima jetre</w:t>
            </w:r>
          </w:p>
        </w:tc>
        <w:tc>
          <w:tcPr>
            <w:tcW w:w="1890" w:type="dxa"/>
            <w:shd w:val="clear" w:color="auto" w:fill="auto"/>
          </w:tcPr>
          <w:p w14:paraId="1709A7D1"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Povećana vrijednost bilirubina u krvi</w:t>
            </w:r>
          </w:p>
        </w:tc>
        <w:tc>
          <w:tcPr>
            <w:tcW w:w="1620" w:type="dxa"/>
            <w:shd w:val="clear" w:color="auto" w:fill="auto"/>
          </w:tcPr>
          <w:p w14:paraId="6877CA8D"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56A263F4"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Toksični hepatitis</w:t>
            </w:r>
          </w:p>
        </w:tc>
      </w:tr>
      <w:tr w:rsidR="00D16942" w:rsidRPr="009003E2" w14:paraId="2154C13A" w14:textId="77777777" w:rsidTr="00C3427A">
        <w:tc>
          <w:tcPr>
            <w:tcW w:w="1525" w:type="dxa"/>
            <w:shd w:val="clear" w:color="auto" w:fill="auto"/>
          </w:tcPr>
          <w:p w14:paraId="1A427C61"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kože i potkožnog tkiva</w:t>
            </w:r>
          </w:p>
        </w:tc>
        <w:tc>
          <w:tcPr>
            <w:tcW w:w="1710" w:type="dxa"/>
            <w:shd w:val="clear" w:color="auto" w:fill="auto"/>
          </w:tcPr>
          <w:p w14:paraId="03AA5F92"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3A211EB5"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23A3E836"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 xml:space="preserve">Pruritus </w:t>
            </w:r>
          </w:p>
          <w:p w14:paraId="62102D04"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Osip</w:t>
            </w:r>
          </w:p>
        </w:tc>
        <w:tc>
          <w:tcPr>
            <w:tcW w:w="1620" w:type="dxa"/>
            <w:shd w:val="clear" w:color="auto" w:fill="auto"/>
          </w:tcPr>
          <w:p w14:paraId="219BE4A5"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749F60E2" w14:textId="77777777" w:rsidR="00D16942" w:rsidRPr="009003E2" w:rsidRDefault="00D16942" w:rsidP="00284ACA">
            <w:pPr>
              <w:jc w:val="both"/>
              <w:rPr>
                <w:rFonts w:eastAsiaTheme="minorHAnsi"/>
                <w:noProof/>
                <w:sz w:val="22"/>
                <w:szCs w:val="22"/>
                <w:lang w:val="sr-Latn-ME"/>
              </w:rPr>
            </w:pPr>
          </w:p>
        </w:tc>
      </w:tr>
      <w:tr w:rsidR="00D16942" w:rsidRPr="009003E2" w14:paraId="472AB41D" w14:textId="77777777" w:rsidTr="00C3427A">
        <w:tc>
          <w:tcPr>
            <w:tcW w:w="1525" w:type="dxa"/>
            <w:shd w:val="clear" w:color="auto" w:fill="auto"/>
          </w:tcPr>
          <w:p w14:paraId="4B85A31D"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Poremećaji mišićno-koštanog sistema i vezivnog tkiva</w:t>
            </w:r>
          </w:p>
        </w:tc>
        <w:tc>
          <w:tcPr>
            <w:tcW w:w="1710" w:type="dxa"/>
            <w:shd w:val="clear" w:color="auto" w:fill="auto"/>
          </w:tcPr>
          <w:p w14:paraId="60CF6F97"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10F8EED1"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Povećana vrijednost kreatin-fosfokinaze u krvi</w:t>
            </w:r>
          </w:p>
        </w:tc>
        <w:tc>
          <w:tcPr>
            <w:tcW w:w="1890" w:type="dxa"/>
            <w:shd w:val="clear" w:color="auto" w:fill="auto"/>
          </w:tcPr>
          <w:p w14:paraId="38EE7E2D"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306B4B4E"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Rabdomioliza</w:t>
            </w:r>
          </w:p>
        </w:tc>
        <w:tc>
          <w:tcPr>
            <w:tcW w:w="1553" w:type="dxa"/>
            <w:shd w:val="clear" w:color="auto" w:fill="auto"/>
          </w:tcPr>
          <w:p w14:paraId="1F34C9B4" w14:textId="77777777" w:rsidR="00D16942" w:rsidRPr="009003E2" w:rsidRDefault="00D16942" w:rsidP="00284ACA">
            <w:pPr>
              <w:jc w:val="both"/>
              <w:rPr>
                <w:rFonts w:eastAsiaTheme="minorHAnsi"/>
                <w:noProof/>
                <w:sz w:val="22"/>
                <w:szCs w:val="22"/>
                <w:lang w:val="sr-Latn-ME"/>
              </w:rPr>
            </w:pPr>
          </w:p>
        </w:tc>
      </w:tr>
      <w:tr w:rsidR="00D16942" w:rsidRPr="009003E2" w14:paraId="4C552F2E" w14:textId="77777777" w:rsidTr="00C3427A">
        <w:tc>
          <w:tcPr>
            <w:tcW w:w="1525" w:type="dxa"/>
            <w:shd w:val="clear" w:color="auto" w:fill="auto"/>
          </w:tcPr>
          <w:p w14:paraId="4C4C9F71"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 xml:space="preserve">Poremećaji bubrega i </w:t>
            </w:r>
            <w:r w:rsidRPr="009003E2">
              <w:rPr>
                <w:rFonts w:eastAsiaTheme="minorHAnsi"/>
                <w:b/>
                <w:bCs/>
                <w:noProof/>
                <w:sz w:val="22"/>
                <w:szCs w:val="22"/>
                <w:lang w:val="sr-Latn-ME"/>
              </w:rPr>
              <w:lastRenderedPageBreak/>
              <w:t>urinarnog sistema</w:t>
            </w:r>
          </w:p>
        </w:tc>
        <w:tc>
          <w:tcPr>
            <w:tcW w:w="1710" w:type="dxa"/>
            <w:shd w:val="clear" w:color="auto" w:fill="auto"/>
          </w:tcPr>
          <w:p w14:paraId="328D82E6"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79E38B04"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29591403"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Dizurija</w:t>
            </w:r>
          </w:p>
          <w:p w14:paraId="59617ECC"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Polakizurija</w:t>
            </w:r>
          </w:p>
        </w:tc>
        <w:tc>
          <w:tcPr>
            <w:tcW w:w="1620" w:type="dxa"/>
            <w:shd w:val="clear" w:color="auto" w:fill="auto"/>
          </w:tcPr>
          <w:p w14:paraId="0C4A2B6F"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1470F434" w14:textId="77777777" w:rsidR="00D16942" w:rsidRPr="009003E2" w:rsidRDefault="00D16942" w:rsidP="00284ACA">
            <w:pPr>
              <w:jc w:val="both"/>
              <w:rPr>
                <w:rFonts w:eastAsiaTheme="minorHAnsi"/>
                <w:noProof/>
                <w:sz w:val="22"/>
                <w:szCs w:val="22"/>
                <w:lang w:val="sr-Latn-ME"/>
              </w:rPr>
            </w:pPr>
          </w:p>
        </w:tc>
      </w:tr>
      <w:tr w:rsidR="00D16942" w:rsidRPr="009003E2" w14:paraId="430262D7" w14:textId="77777777" w:rsidTr="00C3427A">
        <w:trPr>
          <w:trHeight w:hRule="exact" w:val="1603"/>
        </w:trPr>
        <w:tc>
          <w:tcPr>
            <w:tcW w:w="1525" w:type="dxa"/>
            <w:shd w:val="clear" w:color="auto" w:fill="auto"/>
          </w:tcPr>
          <w:p w14:paraId="7AFFCBB4"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Trudnoća, puerperijum i perinatalna stanja</w:t>
            </w:r>
          </w:p>
        </w:tc>
        <w:tc>
          <w:tcPr>
            <w:tcW w:w="1710" w:type="dxa"/>
            <w:shd w:val="clear" w:color="auto" w:fill="auto"/>
          </w:tcPr>
          <w:p w14:paraId="4236A9FB"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4623EA1C" w14:textId="77777777" w:rsidR="00D16942" w:rsidRPr="009003E2" w:rsidRDefault="00D16942" w:rsidP="00284ACA">
            <w:pPr>
              <w:jc w:val="both"/>
              <w:rPr>
                <w:rFonts w:eastAsiaTheme="minorHAnsi"/>
                <w:noProof/>
                <w:sz w:val="22"/>
                <w:szCs w:val="22"/>
                <w:lang w:val="sr-Latn-ME"/>
              </w:rPr>
            </w:pPr>
          </w:p>
        </w:tc>
        <w:tc>
          <w:tcPr>
            <w:tcW w:w="1890" w:type="dxa"/>
            <w:shd w:val="clear" w:color="auto" w:fill="auto"/>
          </w:tcPr>
          <w:p w14:paraId="6AD90B89"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239C7F08"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45C21DEA"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Sindrom obustave lijeka kod novorođenčadi (vidjeti dio 4.6)</w:t>
            </w:r>
          </w:p>
        </w:tc>
      </w:tr>
      <w:tr w:rsidR="00D16942" w:rsidRPr="009003E2" w14:paraId="397D4FAA" w14:textId="77777777" w:rsidTr="00C3427A">
        <w:tc>
          <w:tcPr>
            <w:tcW w:w="1525" w:type="dxa"/>
            <w:shd w:val="clear" w:color="auto" w:fill="auto"/>
          </w:tcPr>
          <w:p w14:paraId="4D969ADC" w14:textId="77777777" w:rsidR="00D16942" w:rsidRPr="009003E2" w:rsidRDefault="00D16942" w:rsidP="00284ACA">
            <w:pPr>
              <w:jc w:val="both"/>
              <w:rPr>
                <w:rFonts w:eastAsiaTheme="minorHAnsi"/>
                <w:b/>
                <w:bCs/>
                <w:noProof/>
                <w:sz w:val="22"/>
                <w:szCs w:val="22"/>
                <w:lang w:val="sr-Latn-ME"/>
              </w:rPr>
            </w:pPr>
            <w:r w:rsidRPr="009003E2">
              <w:rPr>
                <w:rFonts w:eastAsiaTheme="minorHAnsi"/>
                <w:b/>
                <w:bCs/>
                <w:noProof/>
                <w:sz w:val="22"/>
                <w:szCs w:val="22"/>
                <w:lang w:val="sr-Latn-ME"/>
              </w:rPr>
              <w:t>Opšti poremećaji i reakcije na mjestu primjene</w:t>
            </w:r>
          </w:p>
        </w:tc>
        <w:tc>
          <w:tcPr>
            <w:tcW w:w="1710" w:type="dxa"/>
            <w:shd w:val="clear" w:color="auto" w:fill="auto"/>
          </w:tcPr>
          <w:p w14:paraId="25BFD213" w14:textId="77777777" w:rsidR="00D16942" w:rsidRPr="009003E2" w:rsidRDefault="00D16942" w:rsidP="00284ACA">
            <w:pPr>
              <w:jc w:val="both"/>
              <w:rPr>
                <w:rFonts w:eastAsiaTheme="minorHAnsi"/>
                <w:noProof/>
                <w:sz w:val="22"/>
                <w:szCs w:val="22"/>
                <w:lang w:val="sr-Latn-ME"/>
              </w:rPr>
            </w:pPr>
          </w:p>
        </w:tc>
        <w:tc>
          <w:tcPr>
            <w:tcW w:w="1620" w:type="dxa"/>
            <w:shd w:val="clear" w:color="auto" w:fill="auto"/>
          </w:tcPr>
          <w:p w14:paraId="4AEAE8CF"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Umor</w:t>
            </w:r>
          </w:p>
        </w:tc>
        <w:tc>
          <w:tcPr>
            <w:tcW w:w="1890" w:type="dxa"/>
            <w:shd w:val="clear" w:color="auto" w:fill="auto"/>
          </w:tcPr>
          <w:p w14:paraId="30F23919" w14:textId="77777777" w:rsidR="00D16942" w:rsidRPr="009003E2" w:rsidRDefault="00D16942" w:rsidP="00284ACA">
            <w:pPr>
              <w:jc w:val="both"/>
              <w:rPr>
                <w:rFonts w:eastAsiaTheme="minorHAnsi"/>
                <w:noProof/>
                <w:sz w:val="22"/>
                <w:szCs w:val="22"/>
                <w:lang w:val="sr-Latn-ME"/>
              </w:rPr>
            </w:pPr>
            <w:r w:rsidRPr="009003E2">
              <w:rPr>
                <w:rFonts w:eastAsiaTheme="minorHAnsi"/>
                <w:noProof/>
                <w:sz w:val="22"/>
                <w:szCs w:val="22"/>
                <w:lang w:val="sr-Latn-ME"/>
              </w:rPr>
              <w:t>Žeđ</w:t>
            </w:r>
          </w:p>
        </w:tc>
        <w:tc>
          <w:tcPr>
            <w:tcW w:w="1620" w:type="dxa"/>
            <w:shd w:val="clear" w:color="auto" w:fill="auto"/>
          </w:tcPr>
          <w:p w14:paraId="57853D23" w14:textId="77777777" w:rsidR="00D16942" w:rsidRPr="009003E2" w:rsidRDefault="00D16942" w:rsidP="00284ACA">
            <w:pPr>
              <w:jc w:val="both"/>
              <w:rPr>
                <w:rFonts w:eastAsiaTheme="minorHAnsi"/>
                <w:noProof/>
                <w:sz w:val="22"/>
                <w:szCs w:val="22"/>
                <w:lang w:val="sr-Latn-ME"/>
              </w:rPr>
            </w:pPr>
          </w:p>
        </w:tc>
        <w:tc>
          <w:tcPr>
            <w:tcW w:w="1553" w:type="dxa"/>
            <w:shd w:val="clear" w:color="auto" w:fill="auto"/>
          </w:tcPr>
          <w:p w14:paraId="2D874560" w14:textId="77777777" w:rsidR="00D16942" w:rsidRPr="009003E2" w:rsidRDefault="00D16942" w:rsidP="00284ACA">
            <w:pPr>
              <w:jc w:val="both"/>
              <w:rPr>
                <w:rFonts w:eastAsiaTheme="minorHAnsi"/>
                <w:noProof/>
                <w:sz w:val="22"/>
                <w:szCs w:val="22"/>
                <w:lang w:val="sr-Latn-ME"/>
              </w:rPr>
            </w:pPr>
          </w:p>
        </w:tc>
      </w:tr>
    </w:tbl>
    <w:p w14:paraId="1765F3CB"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1</w:t>
      </w:r>
      <w:r w:rsidRPr="009003E2">
        <w:rPr>
          <w:rFonts w:eastAsiaTheme="minorHAnsi"/>
          <w:noProof/>
          <w:sz w:val="20"/>
          <w:szCs w:val="20"/>
          <w:lang w:val="sr-Latn-ME"/>
        </w:rPr>
        <w:t>Poremećaji spavanja: nesanica, abnormalni snovi/noćne more, poremećaj cirkadijanog ritma spavanja,</w:t>
      </w:r>
    </w:p>
    <w:p w14:paraId="3D466DB7"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lang w:val="sr-Latn-ME"/>
        </w:rPr>
        <w:t>disomnija, hipersomnija, inicijalna insomnija (poteškoće sa uspavljivanjem), poteškoće sa održavanjem spavanja, noćne more, poremećaj spavanja, somnabulizam (mjesečarenje), rano jutarnje buđenje</w:t>
      </w:r>
    </w:p>
    <w:p w14:paraId="51EBDD72"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2</w:t>
      </w:r>
      <w:r w:rsidRPr="009003E2">
        <w:rPr>
          <w:rFonts w:eastAsiaTheme="minorHAnsi"/>
          <w:noProof/>
          <w:sz w:val="20"/>
          <w:szCs w:val="20"/>
          <w:lang w:val="sr-Latn-ME"/>
        </w:rPr>
        <w:t>Akatizija: akatizija, psihomotorna hiperaktivnost, nemir</w:t>
      </w:r>
    </w:p>
    <w:p w14:paraId="609B41B1"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3</w:t>
      </w:r>
      <w:r w:rsidRPr="009003E2">
        <w:rPr>
          <w:rFonts w:eastAsiaTheme="minorHAnsi"/>
          <w:noProof/>
          <w:sz w:val="20"/>
          <w:szCs w:val="20"/>
          <w:lang w:val="sr-Latn-ME"/>
        </w:rPr>
        <w:t>Parkinsonizam: akinezija, bradikinezija, bradifrenija, zupčasta ukočenost, ekstrapiramidalni poremećaj, poremećaj hoda, hipokinezija, ukočenost zglobova, tremor, smanjena izražajnost lica, mišićna ukočenost, mišićno-koštana ukočenost, ukočenost vrata, parkinsonizam</w:t>
      </w:r>
    </w:p>
    <w:p w14:paraId="3F3416FE"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4</w:t>
      </w:r>
      <w:r w:rsidRPr="009003E2">
        <w:rPr>
          <w:rFonts w:eastAsiaTheme="minorHAnsi"/>
          <w:noProof/>
          <w:sz w:val="20"/>
          <w:szCs w:val="20"/>
          <w:lang w:val="sr-Latn-ME"/>
        </w:rPr>
        <w:t>Distonija: blefarospazam, distonija, mišićna napetost, oromandibularna distonija, tortikolis, trizmus</w:t>
      </w:r>
    </w:p>
    <w:p w14:paraId="4C62D322"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5</w:t>
      </w:r>
      <w:r w:rsidRPr="009003E2">
        <w:rPr>
          <w:rFonts w:eastAsiaTheme="minorHAnsi"/>
          <w:noProof/>
          <w:sz w:val="20"/>
          <w:szCs w:val="20"/>
          <w:lang w:val="sr-Latn-ME"/>
        </w:rPr>
        <w:t>Druga ekstrapiramidalna oboljenja i poremećaji koji se manifestuju abnormalnim pokretima: poremećaj ravnoteže, bruksizam, balavljenje, dizartrija, poremećaj hoda, abnormalan glabelarni refleks, hiporefleksija, poremećaj kretanja, sindrom nemirnih nogu, hipersekrecija pljuvačke, poremećaj pokreta jezika</w:t>
      </w:r>
    </w:p>
    <w:p w14:paraId="064A966C" w14:textId="77777777" w:rsidR="00D16942" w:rsidRPr="009003E2" w:rsidRDefault="00D16942" w:rsidP="00284ACA">
      <w:pPr>
        <w:tabs>
          <w:tab w:val="left" w:pos="284"/>
        </w:tabs>
        <w:jc w:val="both"/>
        <w:rPr>
          <w:rFonts w:eastAsiaTheme="minorHAnsi"/>
          <w:noProof/>
          <w:sz w:val="20"/>
          <w:szCs w:val="20"/>
          <w:lang w:val="sr-Latn-ME"/>
        </w:rPr>
      </w:pPr>
      <w:r w:rsidRPr="009003E2">
        <w:rPr>
          <w:rFonts w:eastAsiaTheme="minorHAnsi"/>
          <w:noProof/>
          <w:sz w:val="20"/>
          <w:szCs w:val="20"/>
          <w:vertAlign w:val="superscript"/>
          <w:lang w:val="sr-Latn-ME"/>
        </w:rPr>
        <w:t>6</w:t>
      </w:r>
      <w:r w:rsidRPr="009003E2">
        <w:rPr>
          <w:rFonts w:eastAsiaTheme="minorHAnsi"/>
          <w:noProof/>
          <w:sz w:val="20"/>
          <w:szCs w:val="20"/>
          <w:lang w:val="sr-Latn-ME"/>
        </w:rPr>
        <w:t>Diskinezija: horeoatetoza, diskinezija, grimase, okulogirna kriza, protruzija jezika</w:t>
      </w:r>
    </w:p>
    <w:p w14:paraId="76796341" w14:textId="77777777" w:rsidR="00D16942" w:rsidRPr="009003E2" w:rsidRDefault="00D16942" w:rsidP="00284ACA">
      <w:pPr>
        <w:tabs>
          <w:tab w:val="left" w:pos="540"/>
          <w:tab w:val="left" w:pos="569"/>
        </w:tabs>
        <w:ind w:left="540" w:hanging="540"/>
        <w:jc w:val="both"/>
        <w:rPr>
          <w:rFonts w:eastAsiaTheme="minorHAnsi"/>
          <w:b/>
          <w:bCs/>
          <w:sz w:val="20"/>
          <w:szCs w:val="20"/>
          <w:lang w:val="sr-Latn-ME"/>
        </w:rPr>
      </w:pPr>
    </w:p>
    <w:p w14:paraId="29E1B365"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u w:val="single"/>
          <w:lang w:val="sr-Latn-ME"/>
        </w:rPr>
        <w:t>Opis odabranih neželjenih reakcija</w:t>
      </w:r>
    </w:p>
    <w:p w14:paraId="52ABEA0E" w14:textId="77777777" w:rsidR="00D16942" w:rsidRPr="009003E2" w:rsidRDefault="00D16942" w:rsidP="00284ACA">
      <w:pPr>
        <w:tabs>
          <w:tab w:val="left" w:pos="284"/>
        </w:tabs>
        <w:spacing w:line="259" w:lineRule="auto"/>
        <w:jc w:val="both"/>
        <w:rPr>
          <w:rFonts w:eastAsiaTheme="minorHAnsi"/>
          <w:noProof/>
          <w:sz w:val="22"/>
          <w:szCs w:val="22"/>
          <w:lang w:val="sr-Latn-ME"/>
        </w:rPr>
      </w:pPr>
    </w:p>
    <w:p w14:paraId="283EF60D" w14:textId="77777777" w:rsidR="00D16942" w:rsidRPr="009003E2" w:rsidRDefault="00D16942" w:rsidP="00284ACA">
      <w:pPr>
        <w:tabs>
          <w:tab w:val="left" w:pos="284"/>
        </w:tabs>
        <w:jc w:val="both"/>
        <w:rPr>
          <w:rFonts w:eastAsiaTheme="minorHAnsi"/>
          <w:i/>
          <w:noProof/>
          <w:sz w:val="22"/>
          <w:szCs w:val="22"/>
          <w:lang w:val="sr-Latn-ME"/>
        </w:rPr>
      </w:pPr>
      <w:r w:rsidRPr="009003E2">
        <w:rPr>
          <w:rFonts w:eastAsiaTheme="minorHAnsi"/>
          <w:i/>
          <w:noProof/>
          <w:sz w:val="22"/>
          <w:szCs w:val="22"/>
          <w:lang w:val="sr-Latn-ME"/>
        </w:rPr>
        <w:t>Zamućenost sočiva/katarakta</w:t>
      </w:r>
    </w:p>
    <w:p w14:paraId="127217D5"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Razvoj katarakte je uočen u pretkliničkim studijama sa kariprazinom (vidjeti dio 5.3). Zbog toga je nastanak katarakte pažljivo praćen pregledima slit lampom u kliničkim studijama, a pacijenti sa postojećom kataraktom su bili isključeni iz ispitivanja. Tokom programa kliničkog razvoja kariprazina za liječenje shizofrenije prijavljeno je nekoliko slučajeva katarakte, koje je karakterisalo manje zamućenje sočiva bez oštećenja vida (13/3192; 0,4%). Neki od ovih pacijenata su imali nejasne faktore. Najčešće prijavljivano neželjeno dejstvo na nivou oka bilo je zamućenje vida (placebo: 1/683; 0,1%, kariprazin: 22/2048; 1,1%).</w:t>
      </w:r>
    </w:p>
    <w:p w14:paraId="3E090851" w14:textId="77777777" w:rsidR="00D16942" w:rsidRPr="009003E2" w:rsidRDefault="00D16942" w:rsidP="00284ACA">
      <w:pPr>
        <w:tabs>
          <w:tab w:val="left" w:pos="284"/>
        </w:tabs>
        <w:jc w:val="both"/>
        <w:rPr>
          <w:rFonts w:eastAsiaTheme="minorHAnsi"/>
          <w:noProof/>
          <w:sz w:val="22"/>
          <w:szCs w:val="22"/>
          <w:u w:val="single"/>
          <w:lang w:val="sr-Latn-ME"/>
        </w:rPr>
      </w:pPr>
    </w:p>
    <w:p w14:paraId="7B90DF44" w14:textId="77777777" w:rsidR="00D16942" w:rsidRPr="009003E2" w:rsidRDefault="00D16942" w:rsidP="00284ACA">
      <w:pPr>
        <w:tabs>
          <w:tab w:val="left" w:pos="284"/>
        </w:tabs>
        <w:jc w:val="both"/>
        <w:rPr>
          <w:rFonts w:eastAsiaTheme="minorHAnsi"/>
          <w:noProof/>
          <w:sz w:val="22"/>
          <w:szCs w:val="22"/>
          <w:u w:val="single"/>
          <w:lang w:val="sr-Latn-ME"/>
        </w:rPr>
      </w:pPr>
      <w:r w:rsidRPr="009003E2">
        <w:rPr>
          <w:rFonts w:eastAsiaTheme="minorHAnsi"/>
          <w:i/>
          <w:noProof/>
          <w:sz w:val="22"/>
          <w:szCs w:val="22"/>
          <w:lang w:val="sr-Latn-ME"/>
        </w:rPr>
        <w:t>Ekstrapiramidalni simptomi (EPS)</w:t>
      </w:r>
    </w:p>
    <w:p w14:paraId="7FD23DB8"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U kratkotrajnim studijama incidenca EPS je uočena kod 27%, 11,5%, 30,7% i 15,1% pacijenata liječenih kariprazinom, placebom, risperidonom i  aripiprazolom. Akatizija je prijavljena kod 13,6%, 5,1%, 9,3% i 9,9% pacijenata liječenih kariprazinom, placebom, risperidonom i aripiprazolom. Parkinsonizam se javio kod 13,6%, 5,7%, 22,1% i 5,3% pacijenata liječenih kariprazinom, placebom, risperidonom i aripiprazolom. Distonija je uočena kod 1,8%, 0,2%, 3,6% i 0,7% pacijenata liječenih kariprazinom, placebom, risperidonom i aripiprazolom.</w:t>
      </w:r>
    </w:p>
    <w:p w14:paraId="3F96AC29" w14:textId="77777777" w:rsidR="00D16942" w:rsidRPr="009003E2" w:rsidRDefault="00D16942" w:rsidP="00284ACA">
      <w:pPr>
        <w:tabs>
          <w:tab w:val="left" w:pos="284"/>
        </w:tabs>
        <w:jc w:val="both"/>
        <w:rPr>
          <w:rFonts w:eastAsiaTheme="minorHAnsi"/>
          <w:noProof/>
          <w:sz w:val="22"/>
          <w:szCs w:val="22"/>
          <w:lang w:val="sr-Latn-ME"/>
        </w:rPr>
      </w:pPr>
    </w:p>
    <w:p w14:paraId="12578587"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 xml:space="preserve">U placebom kontrolisanom dijelu ispitivanja dugoročnog održavanja dejstva,  </w:t>
      </w:r>
      <w:r w:rsidRPr="009003E2">
        <w:rPr>
          <w:noProof/>
          <w:sz w:val="22"/>
          <w:szCs w:val="22"/>
          <w:lang w:val="sr-Latn-ME"/>
        </w:rPr>
        <w:t>ekstrapiramidalni simptomi su se javili</w:t>
      </w:r>
      <w:r w:rsidRPr="009003E2">
        <w:rPr>
          <w:rFonts w:eastAsiaTheme="minorHAnsi"/>
          <w:noProof/>
          <w:sz w:val="22"/>
          <w:szCs w:val="22"/>
          <w:lang w:val="sr-Latn-ME"/>
        </w:rPr>
        <w:t xml:space="preserve"> kod 13,7% u grupi koja je liječena kariprazinom  u poređenju sa 3,0% kod pacijenata koji su primali placebo. Akatizija je prijavljena kod 3,9% pacijenata liječenih kariprazinom, prema 2,0% u placebo grupi. Parkinsonizam se javio kod 7,8% pacijenata koji su primali kariprazin i kod 1,0% pacijenata koji su primali placebo.</w:t>
      </w:r>
    </w:p>
    <w:p w14:paraId="42AA3D59" w14:textId="77777777" w:rsidR="00D16942" w:rsidRPr="009003E2" w:rsidRDefault="00D16942" w:rsidP="00284ACA">
      <w:pPr>
        <w:tabs>
          <w:tab w:val="left" w:pos="284"/>
        </w:tabs>
        <w:jc w:val="both"/>
        <w:rPr>
          <w:rFonts w:eastAsiaTheme="minorHAnsi"/>
          <w:noProof/>
          <w:sz w:val="22"/>
          <w:szCs w:val="22"/>
          <w:lang w:val="sr-Latn-ME"/>
        </w:rPr>
      </w:pPr>
    </w:p>
    <w:p w14:paraId="5DA69E78" w14:textId="3D01CDF2" w:rsidR="00D16942" w:rsidRPr="009003E2" w:rsidRDefault="00D16942" w:rsidP="00ED3DF7">
      <w:pPr>
        <w:tabs>
          <w:tab w:val="left" w:pos="540"/>
          <w:tab w:val="left" w:pos="569"/>
        </w:tabs>
        <w:jc w:val="both"/>
        <w:rPr>
          <w:rFonts w:eastAsiaTheme="minorHAnsi"/>
          <w:noProof/>
          <w:sz w:val="22"/>
          <w:szCs w:val="22"/>
          <w:lang w:val="sr-Latn-ME"/>
        </w:rPr>
      </w:pPr>
      <w:r w:rsidRPr="009003E2">
        <w:rPr>
          <w:noProof/>
          <w:sz w:val="22"/>
          <w:szCs w:val="22"/>
          <w:lang w:val="sr-Latn-ME"/>
        </w:rPr>
        <w:t xml:space="preserve">Prema podacima ispitivanja </w:t>
      </w:r>
      <w:r w:rsidRPr="009003E2">
        <w:rPr>
          <w:rFonts w:eastAsiaTheme="minorHAnsi"/>
          <w:noProof/>
          <w:sz w:val="22"/>
          <w:szCs w:val="22"/>
          <w:lang w:val="sr-Latn-ME"/>
        </w:rPr>
        <w:t>negativnih simptoma, pojava EPS je prijavljena kod 14,3% pacijenata iz grupe koja je liječena kariprazinom i kod 11,7% pacijenata koji su liječeni risperidonom. Akatizija je prijavljena kod 10,0% pacijenata liječenih kariprazinom i kod 5,2% pacijenata iz grupe koja je primala risperidon. Parkinsonizam se javio kod 5,2% pacijenata liječenih kariprazinom i kod 7,2% pacijenata liječenih risperidonom. Većina slučajeva EPS je bila blagog do umjerenog intenziteta i mogli su biti zbrinuti uobičajenim ljekovima za lečenje EPS. Stopa prekida terapije zbog neželjenih reakcija povezanih sa EPS je bila mal.</w:t>
      </w:r>
    </w:p>
    <w:p w14:paraId="5C1A4B51" w14:textId="77777777" w:rsidR="00D16942" w:rsidRPr="009003E2" w:rsidRDefault="00D16942" w:rsidP="00284ACA">
      <w:pPr>
        <w:tabs>
          <w:tab w:val="left" w:pos="284"/>
        </w:tabs>
        <w:jc w:val="both"/>
        <w:rPr>
          <w:rFonts w:eastAsiaTheme="minorHAnsi"/>
          <w:i/>
          <w:noProof/>
          <w:sz w:val="22"/>
          <w:szCs w:val="22"/>
          <w:lang w:val="sr-Latn-ME"/>
        </w:rPr>
      </w:pPr>
      <w:r w:rsidRPr="009003E2">
        <w:rPr>
          <w:rFonts w:eastAsiaTheme="minorHAnsi"/>
          <w:i/>
          <w:noProof/>
          <w:sz w:val="22"/>
          <w:szCs w:val="22"/>
          <w:lang w:val="sr-Latn-ME"/>
        </w:rPr>
        <w:lastRenderedPageBreak/>
        <w:t>Venska tromboembolija (VTE)</w:t>
      </w:r>
    </w:p>
    <w:p w14:paraId="77C84793"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Kod primjene antipsihotika prijavljeni su slučajevi VTE, uključujući slučajeve plućne embolije i slučajeve tromboze dubokih vena. Učestalost je nepoznata.</w:t>
      </w:r>
    </w:p>
    <w:p w14:paraId="596EDAD8" w14:textId="77777777" w:rsidR="00D16942" w:rsidRPr="009003E2" w:rsidRDefault="00D16942" w:rsidP="00284ACA">
      <w:pPr>
        <w:tabs>
          <w:tab w:val="left" w:pos="284"/>
        </w:tabs>
        <w:jc w:val="both"/>
        <w:rPr>
          <w:rFonts w:eastAsiaTheme="minorHAnsi"/>
          <w:noProof/>
          <w:sz w:val="22"/>
          <w:szCs w:val="22"/>
          <w:u w:val="single"/>
          <w:lang w:val="sr-Latn-ME"/>
        </w:rPr>
      </w:pPr>
    </w:p>
    <w:p w14:paraId="0CCE87D5" w14:textId="77777777" w:rsidR="00D16942" w:rsidRPr="009003E2" w:rsidRDefault="00D16942" w:rsidP="00284ACA">
      <w:pPr>
        <w:tabs>
          <w:tab w:val="left" w:pos="284"/>
        </w:tabs>
        <w:jc w:val="both"/>
        <w:rPr>
          <w:rFonts w:eastAsiaTheme="minorHAnsi"/>
          <w:i/>
          <w:noProof/>
          <w:sz w:val="22"/>
          <w:szCs w:val="22"/>
          <w:lang w:val="sr-Latn-ME"/>
        </w:rPr>
      </w:pPr>
      <w:r w:rsidRPr="009003E2">
        <w:rPr>
          <w:rFonts w:eastAsiaTheme="minorHAnsi"/>
          <w:i/>
          <w:noProof/>
          <w:sz w:val="22"/>
          <w:szCs w:val="22"/>
          <w:lang w:val="sr-Latn-ME"/>
        </w:rPr>
        <w:t>Povećane vrijednosti transaminaza jetre</w:t>
      </w:r>
    </w:p>
    <w:p w14:paraId="6A3DB76A"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Kod primjene antipsihotika često su uočene povećane vrijednosti transaminaza jetre (alanin-aminotransferaze [ALT], aspartat-aminotransferaze [AST]). U kliničkim studijama sa kariprazinom učestalost neželjenih reakcija u vidu povečanja vrijednosti ALT, AST bila je 2,2% kod pacijenata liječenih kariprazinom, 1,6% kod pacijenata liječenih risperidonom i 0,4% kod pacijenata koji su primali placebo. Nijedan od pacijenata liječenih kariprazinom nije imao nikakvo oštećenje jetre.</w:t>
      </w:r>
    </w:p>
    <w:p w14:paraId="5CB250D2" w14:textId="77777777" w:rsidR="00D16942" w:rsidRPr="009003E2" w:rsidRDefault="00D16942" w:rsidP="00284ACA">
      <w:pPr>
        <w:tabs>
          <w:tab w:val="left" w:pos="284"/>
        </w:tabs>
        <w:jc w:val="both"/>
        <w:rPr>
          <w:rFonts w:eastAsiaTheme="minorHAnsi"/>
          <w:noProof/>
          <w:sz w:val="22"/>
          <w:szCs w:val="22"/>
          <w:u w:val="single"/>
          <w:lang w:val="sr-Latn-ME"/>
        </w:rPr>
      </w:pPr>
    </w:p>
    <w:p w14:paraId="3FD37709" w14:textId="77777777" w:rsidR="00D16942" w:rsidRPr="009003E2" w:rsidRDefault="00D16942" w:rsidP="00284ACA">
      <w:pPr>
        <w:tabs>
          <w:tab w:val="left" w:pos="284"/>
        </w:tabs>
        <w:jc w:val="both"/>
        <w:rPr>
          <w:rFonts w:eastAsiaTheme="minorHAnsi"/>
          <w:i/>
          <w:noProof/>
          <w:sz w:val="22"/>
          <w:szCs w:val="22"/>
          <w:lang w:val="sr-Latn-ME"/>
        </w:rPr>
      </w:pPr>
      <w:r w:rsidRPr="009003E2">
        <w:rPr>
          <w:rFonts w:eastAsiaTheme="minorHAnsi"/>
          <w:i/>
          <w:noProof/>
          <w:sz w:val="22"/>
          <w:szCs w:val="22"/>
          <w:lang w:val="sr-Latn-ME"/>
        </w:rPr>
        <w:t>Promjene tjelesne težine</w:t>
      </w:r>
    </w:p>
    <w:p w14:paraId="2E8A5994"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U kratkotrajnim studijama bilo je neznatnih povećanja srednjih vrijednosti tjelesne težine u grupi koja je primala kariprazin u poređenju sa placebo grupom; 1 kg i 0,3 kg. U dugotrajnom ispitivanju održavanja dejstva nije bilo klinički značajne razlike u promjeni tjelesne težine od početka do kraja terapije (1,1 kg za kariprazin i 0,9 kg za placebo). U otvorenoj fazi ispitivanja, tokom 20 nedjelja terapije kariprazinom, kod 9,0% pacijenata je došlo do potencijalno klinički značajnog povećanja tjelesne težine (definisano kao povećanjet</w:t>
      </w:r>
      <w:r w:rsidRPr="009003E2">
        <w:rPr>
          <w:rFonts w:eastAsia="TimesNewRoman"/>
          <w:sz w:val="22"/>
          <w:szCs w:val="22"/>
          <w:lang w:val="sr-Latn-ME"/>
        </w:rPr>
        <w:t xml:space="preserve"> </w:t>
      </w:r>
      <w:r w:rsidRPr="009003E2">
        <w:rPr>
          <w:rFonts w:eastAsiaTheme="minorHAnsi"/>
          <w:noProof/>
          <w:sz w:val="22"/>
          <w:szCs w:val="22"/>
          <w:lang w:val="sr-Latn-ME"/>
        </w:rPr>
        <w:t>≥ 7%), dok je tokom dvostruko slijepe faze, kod 9,8% pacijenata koji su nastavili sa terapijom kariprazinom došlo do klinički značajnog povećanja tjelesne težine prema 7,1% pacijenata koji su bili randomizovani u placebo grupu nakon 20 nedjelja otvorene terapije kariprazinom. Tokom ispitivanja negativnih simptoma, srednja promjena tjelesne težine je iznosila -0,3 kg za kariprazin i +0,6 kg za risperidon, a klinički značajno povećanje tjelesne težine  je uočeno kod 6% pacijenata iz grupe koja je primala kariprazin i 7,4% pacijenata iz grupe koja je primala risperidon.</w:t>
      </w:r>
    </w:p>
    <w:p w14:paraId="0C9B5D48" w14:textId="77777777" w:rsidR="00D16942" w:rsidRPr="009003E2" w:rsidRDefault="00D16942" w:rsidP="00284ACA">
      <w:pPr>
        <w:tabs>
          <w:tab w:val="left" w:pos="284"/>
        </w:tabs>
        <w:jc w:val="both"/>
        <w:rPr>
          <w:rFonts w:eastAsiaTheme="minorHAnsi"/>
          <w:i/>
          <w:noProof/>
          <w:sz w:val="22"/>
          <w:szCs w:val="22"/>
          <w:lang w:val="sr-Latn-ME"/>
        </w:rPr>
      </w:pPr>
    </w:p>
    <w:p w14:paraId="3F5656D1" w14:textId="77777777" w:rsidR="00D16942" w:rsidRPr="009003E2" w:rsidRDefault="00D16942" w:rsidP="00284ACA">
      <w:pPr>
        <w:tabs>
          <w:tab w:val="left" w:pos="284"/>
        </w:tabs>
        <w:jc w:val="both"/>
        <w:rPr>
          <w:rFonts w:eastAsiaTheme="minorHAnsi"/>
          <w:i/>
          <w:noProof/>
          <w:sz w:val="22"/>
          <w:szCs w:val="22"/>
          <w:lang w:val="sr-Latn-ME"/>
        </w:rPr>
      </w:pPr>
      <w:r w:rsidRPr="009003E2">
        <w:rPr>
          <w:rFonts w:eastAsiaTheme="minorHAnsi"/>
          <w:i/>
          <w:noProof/>
          <w:sz w:val="22"/>
          <w:szCs w:val="22"/>
          <w:lang w:val="sr-Latn-ME"/>
        </w:rPr>
        <w:t>Produženje QT intervala</w:t>
      </w:r>
    </w:p>
    <w:p w14:paraId="6E4D6A96" w14:textId="77777777" w:rsidR="00D16942" w:rsidRPr="009003E2" w:rsidRDefault="00D16942" w:rsidP="00284ACA">
      <w:pPr>
        <w:tabs>
          <w:tab w:val="left" w:pos="284"/>
        </w:tabs>
        <w:jc w:val="both"/>
        <w:rPr>
          <w:rFonts w:eastAsiaTheme="minorHAnsi"/>
          <w:noProof/>
          <w:sz w:val="22"/>
          <w:szCs w:val="22"/>
          <w:lang w:val="sr-Latn-ME"/>
        </w:rPr>
      </w:pPr>
      <w:r w:rsidRPr="009003E2">
        <w:rPr>
          <w:rFonts w:eastAsiaTheme="minorHAnsi"/>
          <w:noProof/>
          <w:sz w:val="22"/>
          <w:szCs w:val="22"/>
          <w:lang w:val="sr-Latn-ME"/>
        </w:rPr>
        <w:t>Pri primjeni  kariprazina nije uočeno produženje QT intervala u poređenju sa placebom u kliničkoj studiji dizajniranoj da procijeni produženje QT intervala (vidjeti dio 5.1). U drugim kliničkim studijama bilo je samo nekoliko slučajeva produženja QT intervala koji nijesu bili ozbiljni, prijavljenih pri primjeni kariprazina. Tokom dugotrajnog, otvorenog perioda liječenja, 3 pacijenta (0,4%) su imala QTcB ˃ 500 ms, od kojih je jedan takođe imao QTcF ˃ 500 ms. U odnosu na vrijednosti na početku terapije, uočeno je povećanje od ˃ 60 ms kod 7 pacijenata (1%) za QTcB i kod 2 pacijenta (0,3%) za QTcE. U dugotrajnom ispitivanju održavanja dejstva, tokom otvorene faze uočeno je povećanje od ˃ 60 ms kod 12 pacijenata (1,6%) za QTcB i kod 4 pacijenta (0,5%) za QTcF u odnosu na vrijednosti na početku liječenja. Tokom perioda dvostruko slijepe terapije, povećanje od ˃ 60 ms za QTcB u odnosu na vrijednosti na  početku liječenja uočeno je kod 3 pacijenta (3,1%) liječena kariprazinom i kod 2 pacijenta (2%) liječena placebom.</w:t>
      </w:r>
    </w:p>
    <w:p w14:paraId="2215D005" w14:textId="77777777" w:rsidR="00D16942" w:rsidRPr="009003E2" w:rsidRDefault="00D16942" w:rsidP="00284ACA">
      <w:pPr>
        <w:tabs>
          <w:tab w:val="left" w:pos="540"/>
          <w:tab w:val="left" w:pos="569"/>
        </w:tabs>
        <w:jc w:val="both"/>
        <w:rPr>
          <w:b/>
          <w:bCs/>
          <w:sz w:val="22"/>
          <w:szCs w:val="22"/>
          <w:lang w:val="sr-Latn-ME"/>
        </w:rPr>
      </w:pPr>
    </w:p>
    <w:p w14:paraId="38A88BD2" w14:textId="77777777" w:rsidR="005A23D2" w:rsidRPr="009003E2" w:rsidRDefault="005A23D2" w:rsidP="00284ACA">
      <w:pPr>
        <w:spacing w:after="200" w:line="276" w:lineRule="auto"/>
        <w:jc w:val="both"/>
        <w:rPr>
          <w:rFonts w:eastAsia="Calibri"/>
          <w:sz w:val="22"/>
          <w:szCs w:val="22"/>
          <w:u w:val="single"/>
          <w:lang w:val="sr-Latn-ME"/>
        </w:rPr>
      </w:pPr>
      <w:r w:rsidRPr="009003E2">
        <w:rPr>
          <w:rFonts w:eastAsia="Calibri"/>
          <w:sz w:val="22"/>
          <w:szCs w:val="22"/>
          <w:u w:val="single"/>
          <w:lang w:val="sr-Latn-ME"/>
        </w:rPr>
        <w:t>Prijavljivanje sumnji na neželjena dejstva</w:t>
      </w:r>
    </w:p>
    <w:p w14:paraId="3508D566" w14:textId="77777777" w:rsidR="005A23D2" w:rsidRPr="009003E2" w:rsidRDefault="005A23D2" w:rsidP="00284ACA">
      <w:pPr>
        <w:spacing w:after="200"/>
        <w:jc w:val="both"/>
        <w:rPr>
          <w:rFonts w:eastAsia="Calibri"/>
          <w:sz w:val="22"/>
          <w:szCs w:val="22"/>
          <w:lang w:val="sr-Latn-ME"/>
        </w:rPr>
      </w:pPr>
      <w:r w:rsidRPr="009003E2">
        <w:rPr>
          <w:rFonts w:eastAsia="Calibri"/>
          <w:sz w:val="22"/>
          <w:szCs w:val="22"/>
          <w:lang w:val="sr-Latn-ME"/>
        </w:rPr>
        <w:t>Prijavljivanje neželjenih dejstava nakon dobijanja dozvole je od velikog značaja jer obezbjeđuje kont</w:t>
      </w:r>
      <w:r w:rsidR="00EA5765" w:rsidRPr="009003E2">
        <w:rPr>
          <w:rFonts w:eastAsia="Calibri"/>
          <w:sz w:val="22"/>
          <w:szCs w:val="22"/>
          <w:lang w:val="sr-Latn-ME"/>
        </w:rPr>
        <w:t>inuirano praćenje odnosa korist</w:t>
      </w:r>
      <w:r w:rsidRPr="009003E2">
        <w:rPr>
          <w:rFonts w:eastAsia="Calibri"/>
          <w:sz w:val="22"/>
          <w:szCs w:val="22"/>
          <w:lang w:val="sr-Latn-ME"/>
        </w:rPr>
        <w:t>/rizik primjene lijeka. Zdravstveni radnici treba da prijave svaku sumnju na neželjeno</w:t>
      </w:r>
      <w:r w:rsidR="009B062A" w:rsidRPr="009003E2">
        <w:rPr>
          <w:rFonts w:eastAsia="Calibri"/>
          <w:sz w:val="22"/>
          <w:szCs w:val="22"/>
          <w:lang w:val="sr-Latn-ME"/>
        </w:rPr>
        <w:t xml:space="preserve"> </w:t>
      </w:r>
      <w:r w:rsidRPr="009003E2">
        <w:rPr>
          <w:rFonts w:eastAsia="Calibri"/>
          <w:sz w:val="22"/>
          <w:szCs w:val="22"/>
          <w:lang w:val="sr-Latn-ME"/>
        </w:rPr>
        <w:t xml:space="preserve">dejstvo ovog lijeka </w:t>
      </w:r>
      <w:r w:rsidR="004E70AD" w:rsidRPr="009003E2">
        <w:rPr>
          <w:rFonts w:eastAsia="Calibri"/>
          <w:sz w:val="22"/>
          <w:szCs w:val="22"/>
          <w:lang w:val="sr-Latn-ME"/>
        </w:rPr>
        <w:t>Institutu</w:t>
      </w:r>
      <w:r w:rsidRPr="009003E2">
        <w:rPr>
          <w:rFonts w:eastAsia="Calibri"/>
          <w:sz w:val="22"/>
          <w:szCs w:val="22"/>
          <w:lang w:val="sr-Latn-ME"/>
        </w:rPr>
        <w:t xml:space="preserve"> za ljekove i medicinska sredstva</w:t>
      </w:r>
      <w:r w:rsidR="004E70AD" w:rsidRPr="009003E2">
        <w:rPr>
          <w:rFonts w:eastAsia="Calibri"/>
          <w:sz w:val="22"/>
          <w:szCs w:val="22"/>
          <w:lang w:val="sr-Latn-ME"/>
        </w:rPr>
        <w:t xml:space="preserve"> </w:t>
      </w:r>
      <w:r w:rsidRPr="009003E2">
        <w:rPr>
          <w:rFonts w:eastAsia="Calibri"/>
          <w:sz w:val="22"/>
          <w:szCs w:val="22"/>
          <w:lang w:val="sr-Latn-ME"/>
        </w:rPr>
        <w:t>(</w:t>
      </w:r>
      <w:r w:rsidR="004E70AD" w:rsidRPr="009003E2">
        <w:rPr>
          <w:rFonts w:eastAsia="Calibri"/>
          <w:sz w:val="22"/>
          <w:szCs w:val="22"/>
          <w:lang w:val="sr-Latn-ME"/>
        </w:rPr>
        <w:t>CInMED</w:t>
      </w:r>
      <w:r w:rsidRPr="009003E2">
        <w:rPr>
          <w:rFonts w:eastAsia="Calibri"/>
          <w:sz w:val="22"/>
          <w:szCs w:val="22"/>
          <w:lang w:val="sr-Latn-ME"/>
        </w:rPr>
        <w:t>):</w:t>
      </w:r>
    </w:p>
    <w:p w14:paraId="2EEF894A" w14:textId="77777777" w:rsidR="005A23D2" w:rsidRPr="009003E2" w:rsidRDefault="004E70AD" w:rsidP="00284ACA">
      <w:pPr>
        <w:pStyle w:val="NoSpacing"/>
        <w:jc w:val="both"/>
        <w:rPr>
          <w:rFonts w:eastAsia="Calibri"/>
          <w:sz w:val="22"/>
          <w:szCs w:val="22"/>
          <w:lang w:val="sr-Latn-ME"/>
        </w:rPr>
      </w:pPr>
      <w:r w:rsidRPr="009003E2">
        <w:rPr>
          <w:rFonts w:eastAsia="Calibri"/>
          <w:sz w:val="22"/>
          <w:szCs w:val="22"/>
          <w:lang w:val="sr-Latn-ME"/>
        </w:rPr>
        <w:t xml:space="preserve">Institut </w:t>
      </w:r>
      <w:r w:rsidR="005A23D2" w:rsidRPr="009003E2">
        <w:rPr>
          <w:rFonts w:eastAsia="Calibri"/>
          <w:sz w:val="22"/>
          <w:szCs w:val="22"/>
          <w:lang w:val="sr-Latn-ME"/>
        </w:rPr>
        <w:t xml:space="preserve">za ljekove i medicinska sredstva </w:t>
      </w:r>
    </w:p>
    <w:p w14:paraId="3672B08D" w14:textId="77777777" w:rsidR="005A23D2" w:rsidRPr="009003E2" w:rsidRDefault="005A23D2" w:rsidP="00284ACA">
      <w:pPr>
        <w:pStyle w:val="NoSpacing"/>
        <w:jc w:val="both"/>
        <w:rPr>
          <w:rFonts w:eastAsia="Calibri"/>
          <w:sz w:val="22"/>
          <w:szCs w:val="22"/>
          <w:lang w:val="sr-Latn-ME"/>
        </w:rPr>
      </w:pPr>
      <w:r w:rsidRPr="009003E2">
        <w:rPr>
          <w:rFonts w:eastAsia="Calibri"/>
          <w:sz w:val="22"/>
          <w:szCs w:val="22"/>
          <w:lang w:val="sr-Latn-ME"/>
        </w:rPr>
        <w:t>Odjeljenje za farmakovigilancu</w:t>
      </w:r>
    </w:p>
    <w:p w14:paraId="68EBF4CD" w14:textId="77777777" w:rsidR="00EA5765" w:rsidRPr="009003E2" w:rsidRDefault="005A23D2" w:rsidP="00284ACA">
      <w:pPr>
        <w:pStyle w:val="NoSpacing"/>
        <w:jc w:val="both"/>
        <w:rPr>
          <w:rFonts w:eastAsia="Calibri"/>
          <w:sz w:val="22"/>
          <w:szCs w:val="22"/>
          <w:lang w:val="sr-Latn-ME"/>
        </w:rPr>
      </w:pPr>
      <w:r w:rsidRPr="009003E2">
        <w:rPr>
          <w:rFonts w:eastAsia="Calibri"/>
          <w:sz w:val="22"/>
          <w:szCs w:val="22"/>
          <w:lang w:val="sr-Latn-ME"/>
        </w:rPr>
        <w:t>Bulevar Ivana Crnojevića 64a, 81000 Podgorica</w:t>
      </w:r>
    </w:p>
    <w:p w14:paraId="3F1B45AC" w14:textId="77777777" w:rsidR="00EA5765" w:rsidRPr="009003E2" w:rsidRDefault="00EA5765" w:rsidP="00284ACA">
      <w:pPr>
        <w:pStyle w:val="NoSpacing"/>
        <w:jc w:val="both"/>
        <w:rPr>
          <w:rFonts w:eastAsia="Calibri"/>
          <w:sz w:val="22"/>
          <w:szCs w:val="22"/>
          <w:lang w:val="sr-Latn-ME"/>
        </w:rPr>
      </w:pPr>
    </w:p>
    <w:p w14:paraId="144CB23A" w14:textId="77777777" w:rsidR="005A23D2" w:rsidRPr="009003E2" w:rsidRDefault="005A23D2" w:rsidP="00284ACA">
      <w:pPr>
        <w:pStyle w:val="NoSpacing"/>
        <w:jc w:val="both"/>
        <w:rPr>
          <w:rFonts w:eastAsia="Calibri"/>
          <w:sz w:val="22"/>
          <w:szCs w:val="22"/>
          <w:lang w:val="sr-Latn-ME"/>
        </w:rPr>
      </w:pPr>
      <w:r w:rsidRPr="009003E2">
        <w:rPr>
          <w:rFonts w:eastAsia="Calibri"/>
          <w:sz w:val="22"/>
          <w:szCs w:val="22"/>
          <w:lang w:val="sr-Latn-ME"/>
        </w:rPr>
        <w:t>tel: +382 (0) 20 310 280</w:t>
      </w:r>
    </w:p>
    <w:p w14:paraId="5D5E0D45" w14:textId="77777777" w:rsidR="00EA5765" w:rsidRPr="009003E2" w:rsidRDefault="005A23D2" w:rsidP="00284ACA">
      <w:pPr>
        <w:pStyle w:val="NoSpacing"/>
        <w:tabs>
          <w:tab w:val="left" w:pos="6720"/>
        </w:tabs>
        <w:jc w:val="both"/>
        <w:rPr>
          <w:rFonts w:eastAsia="Calibri"/>
          <w:sz w:val="22"/>
          <w:szCs w:val="22"/>
          <w:lang w:val="sr-Latn-ME"/>
        </w:rPr>
      </w:pPr>
      <w:r w:rsidRPr="009003E2">
        <w:rPr>
          <w:rFonts w:eastAsia="Calibri"/>
          <w:sz w:val="22"/>
          <w:szCs w:val="22"/>
          <w:lang w:val="sr-Latn-ME"/>
        </w:rPr>
        <w:t>fax:</w:t>
      </w:r>
      <w:r w:rsidR="00EA5765" w:rsidRPr="009003E2">
        <w:rPr>
          <w:rFonts w:eastAsia="Calibri"/>
          <w:sz w:val="22"/>
          <w:szCs w:val="22"/>
          <w:lang w:val="sr-Latn-ME"/>
        </w:rPr>
        <w:t xml:space="preserve"> </w:t>
      </w:r>
      <w:r w:rsidRPr="009003E2">
        <w:rPr>
          <w:rFonts w:eastAsia="Calibri"/>
          <w:sz w:val="22"/>
          <w:szCs w:val="22"/>
          <w:lang w:val="sr-Latn-ME"/>
        </w:rPr>
        <w:t>+382 (0) 20 310 581</w:t>
      </w:r>
      <w:r w:rsidR="00FF3EDF" w:rsidRPr="009003E2">
        <w:rPr>
          <w:rFonts w:eastAsia="Calibri"/>
          <w:sz w:val="22"/>
          <w:szCs w:val="22"/>
          <w:lang w:val="sr-Latn-ME"/>
        </w:rPr>
        <w:tab/>
      </w:r>
    </w:p>
    <w:p w14:paraId="7C3004BA" w14:textId="77777777" w:rsidR="005A23D2" w:rsidRPr="009003E2" w:rsidRDefault="00266BBA" w:rsidP="00284ACA">
      <w:pPr>
        <w:pStyle w:val="NoSpacing"/>
        <w:jc w:val="both"/>
        <w:rPr>
          <w:rFonts w:eastAsia="Calibri"/>
          <w:sz w:val="22"/>
          <w:szCs w:val="22"/>
          <w:lang w:val="sr-Latn-ME"/>
        </w:rPr>
      </w:pPr>
      <w:hyperlink r:id="rId8" w:history="1">
        <w:r w:rsidR="004E70AD" w:rsidRPr="009003E2">
          <w:rPr>
            <w:rStyle w:val="Hyperlink"/>
            <w:rFonts w:eastAsia="Calibri"/>
            <w:sz w:val="22"/>
            <w:szCs w:val="22"/>
            <w:lang w:val="sr-Latn-ME"/>
          </w:rPr>
          <w:t>www.cinmed.me</w:t>
        </w:r>
      </w:hyperlink>
    </w:p>
    <w:p w14:paraId="59324CA7" w14:textId="77777777" w:rsidR="00EA5765" w:rsidRPr="009003E2" w:rsidRDefault="00266BBA" w:rsidP="00284ACA">
      <w:pPr>
        <w:pStyle w:val="NoSpacing"/>
        <w:jc w:val="both"/>
        <w:rPr>
          <w:rFonts w:eastAsia="Calibri"/>
          <w:color w:val="0000FF"/>
          <w:sz w:val="22"/>
          <w:szCs w:val="22"/>
          <w:u w:val="single"/>
          <w:lang w:val="sr-Latn-ME"/>
        </w:rPr>
      </w:pPr>
      <w:hyperlink r:id="rId9" w:history="1">
        <w:r w:rsidR="004E70AD" w:rsidRPr="009003E2">
          <w:rPr>
            <w:rStyle w:val="Hyperlink"/>
            <w:rFonts w:eastAsia="Calibri"/>
            <w:sz w:val="22"/>
            <w:szCs w:val="22"/>
            <w:lang w:val="sr-Latn-ME"/>
          </w:rPr>
          <w:t>nezeljenadejstva@cinmed.me</w:t>
        </w:r>
      </w:hyperlink>
    </w:p>
    <w:p w14:paraId="79B390E2" w14:textId="77777777" w:rsidR="005A23D2" w:rsidRPr="009003E2" w:rsidRDefault="005A23D2" w:rsidP="00284ACA">
      <w:pPr>
        <w:pStyle w:val="NoSpacing"/>
        <w:jc w:val="both"/>
        <w:rPr>
          <w:rFonts w:eastAsia="Calibri"/>
          <w:sz w:val="22"/>
          <w:szCs w:val="22"/>
          <w:lang w:val="sr-Latn-ME"/>
        </w:rPr>
      </w:pPr>
      <w:r w:rsidRPr="009003E2">
        <w:rPr>
          <w:rFonts w:eastAsia="Calibri"/>
          <w:sz w:val="22"/>
          <w:szCs w:val="22"/>
          <w:lang w:val="sr-Latn-ME"/>
        </w:rPr>
        <w:t>putem IS zdravstvene zaštite</w:t>
      </w:r>
    </w:p>
    <w:p w14:paraId="78CA35B8" w14:textId="77777777" w:rsidR="007E31E9" w:rsidRPr="009003E2" w:rsidRDefault="007E31E9" w:rsidP="00284ACA">
      <w:pPr>
        <w:pStyle w:val="NoSpacing"/>
        <w:jc w:val="both"/>
        <w:rPr>
          <w:rFonts w:eastAsia="Calibri"/>
          <w:sz w:val="22"/>
          <w:szCs w:val="22"/>
          <w:lang w:val="sr-Latn-ME"/>
        </w:rPr>
      </w:pPr>
      <w:r w:rsidRPr="009003E2">
        <w:rPr>
          <w:rFonts w:eastAsia="Calibri"/>
          <w:sz w:val="22"/>
          <w:szCs w:val="22"/>
          <w:lang w:val="sr-Latn-ME"/>
        </w:rPr>
        <w:t>QR kod za online prijavu</w:t>
      </w:r>
      <w:r w:rsidR="00D74CD2" w:rsidRPr="009003E2">
        <w:rPr>
          <w:rFonts w:eastAsia="Calibri"/>
          <w:sz w:val="22"/>
          <w:szCs w:val="22"/>
          <w:lang w:val="sr-Latn-ME"/>
        </w:rPr>
        <w:t xml:space="preserve"> sumnje na neželjeno dejstvo lijeka</w:t>
      </w:r>
      <w:r w:rsidRPr="009003E2">
        <w:rPr>
          <w:rFonts w:eastAsia="Calibri"/>
          <w:sz w:val="22"/>
          <w:szCs w:val="22"/>
          <w:lang w:val="sr-Latn-ME"/>
        </w:rPr>
        <w:t>:</w:t>
      </w:r>
    </w:p>
    <w:p w14:paraId="007BCB5C" w14:textId="77777777" w:rsidR="004F17E2" w:rsidRPr="009003E2" w:rsidRDefault="004F17E2" w:rsidP="00284ACA">
      <w:pPr>
        <w:pStyle w:val="NoSpacing"/>
        <w:jc w:val="both"/>
        <w:rPr>
          <w:rFonts w:eastAsia="Calibri"/>
          <w:sz w:val="22"/>
          <w:szCs w:val="22"/>
          <w:lang w:val="sr-Latn-ME"/>
        </w:rPr>
      </w:pPr>
    </w:p>
    <w:p w14:paraId="2835311C" w14:textId="77777777" w:rsidR="00836B35" w:rsidRPr="009003E2" w:rsidRDefault="007F661E" w:rsidP="00284ACA">
      <w:pPr>
        <w:tabs>
          <w:tab w:val="left" w:pos="540"/>
          <w:tab w:val="left" w:pos="569"/>
        </w:tabs>
        <w:jc w:val="both"/>
        <w:rPr>
          <w:b/>
          <w:bCs/>
          <w:sz w:val="22"/>
          <w:szCs w:val="22"/>
          <w:lang w:val="sr-Latn-ME"/>
        </w:rPr>
      </w:pPr>
      <w:r w:rsidRPr="009003E2">
        <w:rPr>
          <w:b/>
          <w:bCs/>
          <w:noProof/>
          <w:sz w:val="22"/>
          <w:szCs w:val="22"/>
        </w:rPr>
        <w:lastRenderedPageBreak/>
        <w:drawing>
          <wp:inline distT="0" distB="0" distL="0" distR="0" wp14:anchorId="5EB2B38F" wp14:editId="13EDCD8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BA9CADA" w14:textId="77777777" w:rsidR="007F661E" w:rsidRPr="009003E2" w:rsidRDefault="007F661E" w:rsidP="00284ACA">
      <w:pPr>
        <w:tabs>
          <w:tab w:val="left" w:pos="540"/>
          <w:tab w:val="left" w:pos="569"/>
        </w:tabs>
        <w:jc w:val="both"/>
        <w:rPr>
          <w:b/>
          <w:bCs/>
          <w:sz w:val="22"/>
          <w:szCs w:val="22"/>
          <w:lang w:val="sr-Latn-ME"/>
        </w:rPr>
      </w:pPr>
    </w:p>
    <w:p w14:paraId="5BD7DDB4" w14:textId="77777777" w:rsidR="00CD6F02"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4.9. </w:t>
      </w:r>
      <w:r w:rsidR="00480FB1" w:rsidRPr="009003E2">
        <w:rPr>
          <w:b/>
          <w:bCs/>
          <w:sz w:val="22"/>
          <w:szCs w:val="22"/>
          <w:lang w:val="sr-Latn-ME"/>
        </w:rPr>
        <w:tab/>
      </w:r>
      <w:r w:rsidRPr="009003E2">
        <w:rPr>
          <w:b/>
          <w:bCs/>
          <w:sz w:val="22"/>
          <w:szCs w:val="22"/>
          <w:lang w:val="sr-Latn-ME"/>
        </w:rPr>
        <w:t>Predoziranje</w:t>
      </w:r>
      <w:r w:rsidR="002846DB" w:rsidRPr="009003E2">
        <w:rPr>
          <w:b/>
          <w:bCs/>
          <w:sz w:val="22"/>
          <w:szCs w:val="22"/>
          <w:lang w:val="sr-Latn-ME"/>
        </w:rPr>
        <w:t xml:space="preserve"> </w:t>
      </w:r>
    </w:p>
    <w:p w14:paraId="0361360C" w14:textId="77777777" w:rsidR="00CD6F02" w:rsidRPr="009003E2" w:rsidRDefault="00CD6F02" w:rsidP="00284ACA">
      <w:pPr>
        <w:tabs>
          <w:tab w:val="left" w:pos="540"/>
          <w:tab w:val="left" w:pos="569"/>
        </w:tabs>
        <w:jc w:val="both"/>
        <w:rPr>
          <w:b/>
          <w:bCs/>
          <w:sz w:val="22"/>
          <w:szCs w:val="22"/>
          <w:lang w:val="sr-Latn-ME"/>
        </w:rPr>
      </w:pPr>
    </w:p>
    <w:p w14:paraId="4697192D" w14:textId="77777777" w:rsidR="00D16942" w:rsidRPr="009003E2" w:rsidRDefault="00D16942" w:rsidP="00284ACA">
      <w:pPr>
        <w:tabs>
          <w:tab w:val="left" w:pos="284"/>
        </w:tabs>
        <w:spacing w:line="259" w:lineRule="auto"/>
        <w:jc w:val="both"/>
        <w:rPr>
          <w:rFonts w:eastAsiaTheme="minorHAnsi"/>
          <w:sz w:val="22"/>
          <w:szCs w:val="22"/>
          <w:lang w:val="sr-Latn-ME"/>
        </w:rPr>
      </w:pPr>
      <w:r w:rsidRPr="009003E2">
        <w:rPr>
          <w:rFonts w:eastAsiaTheme="minorHAnsi"/>
          <w:sz w:val="22"/>
          <w:szCs w:val="22"/>
          <w:u w:val="single"/>
          <w:lang w:val="sr-Latn-ME"/>
        </w:rPr>
        <w:t>Simptomi</w:t>
      </w:r>
    </w:p>
    <w:p w14:paraId="2DADAC97" w14:textId="77777777" w:rsidR="00D16942" w:rsidRPr="009003E2" w:rsidRDefault="00D16942" w:rsidP="00284ACA">
      <w:pPr>
        <w:tabs>
          <w:tab w:val="left" w:pos="284"/>
        </w:tabs>
        <w:spacing w:line="259" w:lineRule="auto"/>
        <w:jc w:val="both"/>
        <w:rPr>
          <w:rFonts w:eastAsiaTheme="minorHAnsi"/>
          <w:sz w:val="22"/>
          <w:szCs w:val="22"/>
          <w:lang w:val="sr-Latn-ME"/>
        </w:rPr>
      </w:pPr>
    </w:p>
    <w:p w14:paraId="7AC2DD2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Slučajno akutno predoziranje (48 mg/dan) je prijavljeno kod jednog pacijenta. Kod ovog pacijenta su se javili ortostaza i sedacija. Pacijent se u potpunosti oporavio istog dana.</w:t>
      </w:r>
    </w:p>
    <w:p w14:paraId="20AAA870" w14:textId="77777777" w:rsidR="00D16942" w:rsidRPr="009003E2" w:rsidRDefault="00D16942" w:rsidP="00284ACA">
      <w:pPr>
        <w:tabs>
          <w:tab w:val="left" w:pos="284"/>
        </w:tabs>
        <w:jc w:val="both"/>
        <w:rPr>
          <w:rFonts w:eastAsiaTheme="minorHAnsi"/>
          <w:sz w:val="22"/>
          <w:szCs w:val="22"/>
          <w:lang w:val="sr-Latn-ME"/>
        </w:rPr>
      </w:pPr>
    </w:p>
    <w:p w14:paraId="4E0C9BF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Liječenje predoziranja</w:t>
      </w:r>
    </w:p>
    <w:p w14:paraId="54C927CE" w14:textId="77777777" w:rsidR="00D16942" w:rsidRPr="009003E2" w:rsidRDefault="00D16942" w:rsidP="00284ACA">
      <w:pPr>
        <w:tabs>
          <w:tab w:val="left" w:pos="284"/>
        </w:tabs>
        <w:jc w:val="both"/>
        <w:rPr>
          <w:rFonts w:eastAsiaTheme="minorHAnsi"/>
          <w:sz w:val="22"/>
          <w:szCs w:val="22"/>
          <w:lang w:val="sr-Latn-ME"/>
        </w:rPr>
      </w:pPr>
    </w:p>
    <w:p w14:paraId="4408DD15"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Liječenje predoziranja treba da bude usmjereno na suportivnu terapiju, uključujući održavanje prohodnosti disajnih puteva, oksigenaciju i ventilaciju i zbrinjavanje simptoma. Praćenje kardiovaskularne funkcije treba započeti odmah, uključujući kontinuirano elektrokardiografsko praćenje zbog mogućih aritmija. U slučaju teških ekstrapiramidalnih simptoma treba primijeniti antiholinergičke ljekove. Kako se kariprazin u visokom stepenu vezuje za proteine plazme, malo je vjerovatno da bi hemodijaliza bila korisna u terapiji predoziranja. Pažljiv ljekarski nadzor i praćenje treba nastaviti sve dok se pacijent ne oporavi. </w:t>
      </w:r>
    </w:p>
    <w:p w14:paraId="231640E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Ne postoji specifični antidot za kariprazin.</w:t>
      </w:r>
    </w:p>
    <w:p w14:paraId="44D1FB00" w14:textId="77777777" w:rsidR="00D16942" w:rsidRPr="009003E2" w:rsidRDefault="00D16942" w:rsidP="00284ACA">
      <w:pPr>
        <w:tabs>
          <w:tab w:val="left" w:pos="540"/>
          <w:tab w:val="left" w:pos="569"/>
        </w:tabs>
        <w:jc w:val="both"/>
        <w:rPr>
          <w:b/>
          <w:bCs/>
          <w:sz w:val="22"/>
          <w:szCs w:val="22"/>
          <w:lang w:val="sr-Latn-ME"/>
        </w:rPr>
      </w:pPr>
    </w:p>
    <w:p w14:paraId="43631884" w14:textId="77777777" w:rsidR="00227BDB" w:rsidRPr="009003E2" w:rsidRDefault="00227BDB" w:rsidP="00284ACA">
      <w:pPr>
        <w:tabs>
          <w:tab w:val="left" w:pos="540"/>
          <w:tab w:val="left" w:pos="569"/>
        </w:tabs>
        <w:jc w:val="both"/>
        <w:rPr>
          <w:b/>
          <w:bCs/>
          <w:sz w:val="22"/>
          <w:szCs w:val="22"/>
          <w:lang w:val="sr-Latn-ME"/>
        </w:rPr>
      </w:pPr>
    </w:p>
    <w:p w14:paraId="4BB05599"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5. </w:t>
      </w:r>
      <w:r w:rsidR="00480FB1" w:rsidRPr="009003E2">
        <w:rPr>
          <w:b/>
          <w:bCs/>
          <w:sz w:val="22"/>
          <w:szCs w:val="22"/>
          <w:lang w:val="sr-Latn-ME"/>
        </w:rPr>
        <w:tab/>
      </w:r>
      <w:r w:rsidRPr="009003E2">
        <w:rPr>
          <w:b/>
          <w:bCs/>
          <w:sz w:val="22"/>
          <w:szCs w:val="22"/>
          <w:lang w:val="sr-Latn-ME"/>
        </w:rPr>
        <w:t>FARMAKOLOŠK</w:t>
      </w:r>
      <w:r w:rsidR="000D425A" w:rsidRPr="009003E2">
        <w:rPr>
          <w:b/>
          <w:bCs/>
          <w:sz w:val="22"/>
          <w:szCs w:val="22"/>
          <w:lang w:val="sr-Latn-ME"/>
        </w:rPr>
        <w:t>I</w:t>
      </w:r>
      <w:r w:rsidRPr="009003E2">
        <w:rPr>
          <w:b/>
          <w:bCs/>
          <w:sz w:val="22"/>
          <w:szCs w:val="22"/>
          <w:lang w:val="sr-Latn-ME"/>
        </w:rPr>
        <w:t xml:space="preserve"> PODACI</w:t>
      </w:r>
    </w:p>
    <w:p w14:paraId="46D099A9" w14:textId="77777777" w:rsidR="0072020E" w:rsidRPr="009003E2" w:rsidRDefault="0072020E" w:rsidP="00284ACA">
      <w:pPr>
        <w:tabs>
          <w:tab w:val="left" w:pos="540"/>
          <w:tab w:val="left" w:pos="569"/>
        </w:tabs>
        <w:jc w:val="both"/>
        <w:rPr>
          <w:b/>
          <w:bCs/>
          <w:sz w:val="22"/>
          <w:szCs w:val="22"/>
          <w:lang w:val="sr-Latn-ME"/>
        </w:rPr>
      </w:pPr>
    </w:p>
    <w:p w14:paraId="4BA3C262"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5.1. </w:t>
      </w:r>
      <w:r w:rsidR="00480FB1" w:rsidRPr="009003E2">
        <w:rPr>
          <w:b/>
          <w:bCs/>
          <w:sz w:val="22"/>
          <w:szCs w:val="22"/>
          <w:lang w:val="sr-Latn-ME"/>
        </w:rPr>
        <w:tab/>
      </w:r>
      <w:r w:rsidRPr="009003E2">
        <w:rPr>
          <w:b/>
          <w:bCs/>
          <w:sz w:val="22"/>
          <w:szCs w:val="22"/>
          <w:lang w:val="sr-Latn-ME"/>
        </w:rPr>
        <w:t>Farmakodinamski podaci</w:t>
      </w:r>
      <w:r w:rsidR="003A7059" w:rsidRPr="009003E2">
        <w:rPr>
          <w:b/>
          <w:bCs/>
          <w:sz w:val="22"/>
          <w:szCs w:val="22"/>
          <w:lang w:val="sr-Latn-ME"/>
        </w:rPr>
        <w:t xml:space="preserve"> </w:t>
      </w:r>
    </w:p>
    <w:p w14:paraId="64650935" w14:textId="77777777" w:rsidR="00F45F77" w:rsidRPr="009003E2" w:rsidRDefault="00F45F77" w:rsidP="00284ACA">
      <w:pPr>
        <w:tabs>
          <w:tab w:val="left" w:pos="540"/>
          <w:tab w:val="left" w:pos="569"/>
        </w:tabs>
        <w:jc w:val="both"/>
        <w:rPr>
          <w:b/>
          <w:bCs/>
          <w:sz w:val="22"/>
          <w:szCs w:val="22"/>
          <w:lang w:val="sr-Latn-ME"/>
        </w:rPr>
      </w:pPr>
    </w:p>
    <w:p w14:paraId="756A0578" w14:textId="3E9CD26B" w:rsidR="00D16942" w:rsidRPr="009003E2" w:rsidRDefault="0072020E" w:rsidP="00284ACA">
      <w:pPr>
        <w:tabs>
          <w:tab w:val="left" w:pos="540"/>
          <w:tab w:val="left" w:pos="569"/>
        </w:tabs>
        <w:jc w:val="both"/>
        <w:rPr>
          <w:bCs/>
          <w:sz w:val="22"/>
          <w:szCs w:val="22"/>
          <w:lang w:val="sr-Latn-ME"/>
        </w:rPr>
      </w:pPr>
      <w:r w:rsidRPr="009003E2">
        <w:rPr>
          <w:bCs/>
          <w:sz w:val="22"/>
          <w:szCs w:val="22"/>
          <w:lang w:val="sr-Latn-ME"/>
        </w:rPr>
        <w:t>Farmakoterapijska grupa:</w:t>
      </w:r>
      <w:r w:rsidR="00D16942" w:rsidRPr="009003E2">
        <w:rPr>
          <w:rFonts w:eastAsiaTheme="minorHAnsi"/>
          <w:bCs/>
          <w:sz w:val="22"/>
          <w:szCs w:val="22"/>
          <w:lang w:val="sr-Latn-ME"/>
        </w:rPr>
        <w:t xml:space="preserve"> </w:t>
      </w:r>
      <w:r w:rsidR="00D16942" w:rsidRPr="009003E2">
        <w:rPr>
          <w:bCs/>
          <w:sz w:val="22"/>
          <w:szCs w:val="22"/>
          <w:lang w:val="sr-Latn-ME"/>
        </w:rPr>
        <w:t>Psiholeptici, ostali antipsihotici</w:t>
      </w:r>
    </w:p>
    <w:p w14:paraId="7F60C945" w14:textId="77777777" w:rsidR="00D16942" w:rsidRPr="009003E2" w:rsidRDefault="00D16942" w:rsidP="00284ACA">
      <w:pPr>
        <w:tabs>
          <w:tab w:val="left" w:pos="540"/>
          <w:tab w:val="left" w:pos="569"/>
        </w:tabs>
        <w:jc w:val="both"/>
        <w:rPr>
          <w:bCs/>
          <w:sz w:val="22"/>
          <w:szCs w:val="22"/>
          <w:lang w:val="sr-Latn-ME"/>
        </w:rPr>
      </w:pPr>
    </w:p>
    <w:p w14:paraId="3F1665D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ATC kod: N05AX15</w:t>
      </w:r>
    </w:p>
    <w:p w14:paraId="594E8442" w14:textId="77777777" w:rsidR="00D16942" w:rsidRPr="009003E2" w:rsidRDefault="00D16942" w:rsidP="00284ACA">
      <w:pPr>
        <w:tabs>
          <w:tab w:val="left" w:pos="540"/>
          <w:tab w:val="left" w:pos="569"/>
        </w:tabs>
        <w:jc w:val="both"/>
        <w:rPr>
          <w:b/>
          <w:bCs/>
          <w:sz w:val="22"/>
          <w:szCs w:val="22"/>
          <w:lang w:val="sr-Latn-ME"/>
        </w:rPr>
      </w:pPr>
    </w:p>
    <w:p w14:paraId="3434C1ED" w14:textId="77777777" w:rsidR="00D16942" w:rsidRPr="009003E2" w:rsidRDefault="00D16942" w:rsidP="00284ACA">
      <w:pPr>
        <w:tabs>
          <w:tab w:val="left" w:pos="540"/>
          <w:tab w:val="left" w:pos="569"/>
        </w:tabs>
        <w:jc w:val="both"/>
        <w:rPr>
          <w:bCs/>
          <w:sz w:val="22"/>
          <w:szCs w:val="22"/>
          <w:u w:val="single"/>
          <w:lang w:val="sr-Latn-ME"/>
        </w:rPr>
      </w:pPr>
      <w:r w:rsidRPr="009003E2">
        <w:rPr>
          <w:bCs/>
          <w:sz w:val="22"/>
          <w:szCs w:val="22"/>
          <w:u w:val="single"/>
          <w:lang w:val="sr-Latn-ME"/>
        </w:rPr>
        <w:t>Mehanizam dejstva</w:t>
      </w:r>
    </w:p>
    <w:p w14:paraId="670074CA" w14:textId="77777777" w:rsidR="00D16942" w:rsidRPr="009003E2" w:rsidRDefault="00D16942" w:rsidP="00284ACA">
      <w:pPr>
        <w:tabs>
          <w:tab w:val="left" w:pos="540"/>
          <w:tab w:val="left" w:pos="569"/>
        </w:tabs>
        <w:jc w:val="both"/>
        <w:rPr>
          <w:bCs/>
          <w:sz w:val="22"/>
          <w:szCs w:val="22"/>
          <w:u w:val="single"/>
          <w:lang w:val="sr-Latn-ME"/>
        </w:rPr>
      </w:pPr>
    </w:p>
    <w:p w14:paraId="178D657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Mehanizam dejstva kariprazina nije u potpunosti poznat. Međutim, terapijski efekat kariprazina može biti posredovan kombinacijom djelimičnog agonističkog djelovanja na dopaminske receptore D</w:t>
      </w:r>
      <w:r w:rsidRPr="009003E2">
        <w:rPr>
          <w:bCs/>
          <w:sz w:val="22"/>
          <w:szCs w:val="22"/>
          <w:vertAlign w:val="subscript"/>
          <w:lang w:val="sr-Latn-ME"/>
        </w:rPr>
        <w:t>3</w:t>
      </w:r>
      <w:r w:rsidRPr="009003E2">
        <w:rPr>
          <w:bCs/>
          <w:sz w:val="22"/>
          <w:szCs w:val="22"/>
          <w:lang w:val="sr-Latn-ME"/>
        </w:rPr>
        <w:t xml:space="preserve"> i D</w:t>
      </w:r>
      <w:r w:rsidRPr="009003E2">
        <w:rPr>
          <w:bCs/>
          <w:sz w:val="22"/>
          <w:szCs w:val="22"/>
          <w:vertAlign w:val="subscript"/>
          <w:lang w:val="sr-Latn-ME"/>
        </w:rPr>
        <w:t>2</w:t>
      </w:r>
      <w:r w:rsidRPr="009003E2">
        <w:rPr>
          <w:bCs/>
          <w:sz w:val="22"/>
          <w:szCs w:val="22"/>
          <w:lang w:val="sr-Latn-ME"/>
        </w:rPr>
        <w:t xml:space="preserve"> (vrijednosti konstante inhibicije [Ki]: 0,085-0,3 nM i 0,49-0,71 nM) i serotoninske receptore 5-HT</w:t>
      </w:r>
      <w:r w:rsidRPr="009003E2">
        <w:rPr>
          <w:bCs/>
          <w:sz w:val="22"/>
          <w:szCs w:val="22"/>
          <w:vertAlign w:val="subscript"/>
          <w:lang w:val="sr-Latn-ME"/>
        </w:rPr>
        <w:t>1A</w:t>
      </w:r>
      <w:r w:rsidRPr="009003E2">
        <w:rPr>
          <w:bCs/>
          <w:sz w:val="22"/>
          <w:szCs w:val="22"/>
          <w:lang w:val="sr-Latn-ME"/>
        </w:rPr>
        <w:t xml:space="preserve">  (Ki: 1,4-2,6 nM) i antagonističkog djelovanja na serotoninske receptore 5-HT</w:t>
      </w:r>
      <w:r w:rsidRPr="009003E2">
        <w:rPr>
          <w:bCs/>
          <w:sz w:val="22"/>
          <w:szCs w:val="22"/>
          <w:vertAlign w:val="subscript"/>
          <w:lang w:val="sr-Latn-ME"/>
        </w:rPr>
        <w:t>2B</w:t>
      </w:r>
      <w:r w:rsidRPr="009003E2">
        <w:rPr>
          <w:bCs/>
          <w:sz w:val="22"/>
          <w:szCs w:val="22"/>
          <w:lang w:val="sr-Latn-ME"/>
        </w:rPr>
        <w:t>, 5-HT</w:t>
      </w:r>
      <w:r w:rsidRPr="009003E2">
        <w:rPr>
          <w:bCs/>
          <w:sz w:val="22"/>
          <w:szCs w:val="22"/>
          <w:vertAlign w:val="subscript"/>
          <w:lang w:val="sr-Latn-ME"/>
        </w:rPr>
        <w:t>2A</w:t>
      </w:r>
      <w:r w:rsidRPr="009003E2">
        <w:rPr>
          <w:bCs/>
          <w:sz w:val="22"/>
          <w:szCs w:val="22"/>
          <w:lang w:val="sr-Latn-ME"/>
        </w:rPr>
        <w:t xml:space="preserve"> i histaminske H</w:t>
      </w:r>
      <w:r w:rsidRPr="009003E2">
        <w:rPr>
          <w:bCs/>
          <w:sz w:val="22"/>
          <w:szCs w:val="22"/>
          <w:vertAlign w:val="subscript"/>
          <w:lang w:val="sr-Latn-ME"/>
        </w:rPr>
        <w:t>1</w:t>
      </w:r>
      <w:r w:rsidRPr="009003E2">
        <w:rPr>
          <w:bCs/>
          <w:sz w:val="22"/>
          <w:szCs w:val="22"/>
          <w:lang w:val="sr-Latn-ME"/>
        </w:rPr>
        <w:t xml:space="preserve"> receptore (Ki: 0,58-1,1 nM, 18,8 nM i 23,3 nM). Kariprazin ima mali afinitet za serotoninske receptore 5-HT</w:t>
      </w:r>
      <w:r w:rsidRPr="009003E2">
        <w:rPr>
          <w:bCs/>
          <w:sz w:val="22"/>
          <w:szCs w:val="22"/>
          <w:vertAlign w:val="subscript"/>
          <w:lang w:val="sr-Latn-ME"/>
        </w:rPr>
        <w:t xml:space="preserve">2C  </w:t>
      </w:r>
      <w:r w:rsidRPr="009003E2">
        <w:rPr>
          <w:bCs/>
          <w:sz w:val="22"/>
          <w:szCs w:val="22"/>
          <w:lang w:val="sr-Latn-ME"/>
        </w:rPr>
        <w:t>i adrenergičke α1 receptore (Ki: 134 nM i 155 nM). Kariprazin nema značajan afinitet za holinergičke muskarinske receptore (IC</w:t>
      </w:r>
      <w:r w:rsidRPr="009003E2">
        <w:rPr>
          <w:bCs/>
          <w:sz w:val="22"/>
          <w:szCs w:val="22"/>
          <w:vertAlign w:val="subscript"/>
          <w:lang w:val="sr-Latn-ME"/>
        </w:rPr>
        <w:t>50</w:t>
      </w:r>
      <w:r w:rsidRPr="009003E2">
        <w:rPr>
          <w:bCs/>
          <w:sz w:val="22"/>
          <w:szCs w:val="22"/>
          <w:lang w:val="sr-Latn-ME"/>
        </w:rPr>
        <w:t xml:space="preserve"> &gt; 1000 nM). Dva glavna aktivna metabolita, dezmetilkariprazin i didezmetilkariprazin, imaju slične profile vezivanja za receptore </w:t>
      </w:r>
      <w:r w:rsidRPr="009003E2">
        <w:rPr>
          <w:bCs/>
          <w:i/>
          <w:sz w:val="22"/>
          <w:szCs w:val="22"/>
          <w:lang w:val="sr-Latn-ME"/>
        </w:rPr>
        <w:t>in vitro</w:t>
      </w:r>
      <w:r w:rsidRPr="009003E2">
        <w:rPr>
          <w:bCs/>
          <w:sz w:val="22"/>
          <w:szCs w:val="22"/>
          <w:lang w:val="sr-Latn-ME"/>
        </w:rPr>
        <w:t xml:space="preserve"> i funkcionalne aktivnosti kao i njihova matična aktivna supstanca.</w:t>
      </w:r>
    </w:p>
    <w:p w14:paraId="267A5847" w14:textId="77777777" w:rsidR="00D16942" w:rsidRPr="009003E2" w:rsidRDefault="00D16942" w:rsidP="00284ACA">
      <w:pPr>
        <w:tabs>
          <w:tab w:val="left" w:pos="540"/>
          <w:tab w:val="left" w:pos="569"/>
        </w:tabs>
        <w:jc w:val="both"/>
        <w:rPr>
          <w:bCs/>
          <w:sz w:val="22"/>
          <w:szCs w:val="22"/>
          <w:u w:val="single"/>
          <w:lang w:val="sr-Latn-ME"/>
        </w:rPr>
      </w:pPr>
    </w:p>
    <w:p w14:paraId="3E9971A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u w:val="single"/>
          <w:lang w:val="sr-Latn-ME"/>
        </w:rPr>
        <w:t>Farmakodinamski efekti</w:t>
      </w:r>
    </w:p>
    <w:p w14:paraId="1FAA4061" w14:textId="77777777" w:rsidR="00D16942" w:rsidRPr="009003E2" w:rsidRDefault="00D16942" w:rsidP="00284ACA">
      <w:pPr>
        <w:tabs>
          <w:tab w:val="left" w:pos="540"/>
          <w:tab w:val="left" w:pos="569"/>
        </w:tabs>
        <w:jc w:val="both"/>
        <w:rPr>
          <w:bCs/>
          <w:sz w:val="22"/>
          <w:szCs w:val="22"/>
          <w:lang w:val="sr-Latn-ME"/>
        </w:rPr>
      </w:pPr>
    </w:p>
    <w:p w14:paraId="617496D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U </w:t>
      </w:r>
      <w:r w:rsidRPr="009003E2">
        <w:rPr>
          <w:bCs/>
          <w:i/>
          <w:sz w:val="22"/>
          <w:szCs w:val="22"/>
          <w:lang w:val="sr-Latn-ME"/>
        </w:rPr>
        <w:t>in vivo</w:t>
      </w:r>
      <w:r w:rsidRPr="009003E2">
        <w:rPr>
          <w:bCs/>
          <w:sz w:val="22"/>
          <w:szCs w:val="22"/>
          <w:lang w:val="sr-Latn-ME"/>
        </w:rPr>
        <w:t xml:space="preserve"> pretkliničkim studijama se pokazalo da se kariprazin pri farmakološki efikasnim dozama vezuje za D</w:t>
      </w:r>
      <w:r w:rsidRPr="009003E2">
        <w:rPr>
          <w:bCs/>
          <w:sz w:val="22"/>
          <w:szCs w:val="22"/>
          <w:vertAlign w:val="subscript"/>
          <w:lang w:val="sr-Latn-ME"/>
        </w:rPr>
        <w:t>3</w:t>
      </w:r>
      <w:r w:rsidRPr="009003E2">
        <w:rPr>
          <w:bCs/>
          <w:sz w:val="22"/>
          <w:szCs w:val="22"/>
          <w:lang w:val="sr-Latn-ME"/>
        </w:rPr>
        <w:t xml:space="preserve"> receptore u sličnoj mjeri kao i za D</w:t>
      </w:r>
      <w:r w:rsidRPr="009003E2">
        <w:rPr>
          <w:bCs/>
          <w:sz w:val="22"/>
          <w:szCs w:val="22"/>
          <w:vertAlign w:val="subscript"/>
          <w:lang w:val="sr-Latn-ME"/>
        </w:rPr>
        <w:t xml:space="preserve">2  </w:t>
      </w:r>
      <w:r w:rsidRPr="009003E2">
        <w:rPr>
          <w:bCs/>
          <w:sz w:val="22"/>
          <w:szCs w:val="22"/>
          <w:lang w:val="sr-Latn-ME"/>
        </w:rPr>
        <w:t>receptore. Kod pacijenata sa shizofrenijom je pri primjeni kariprazina unutar terapijskog raspona doza tokom 15 dana primjećeno dozno-zavisno vezivanje za moždane dopaminske  receptore D</w:t>
      </w:r>
      <w:r w:rsidRPr="009003E2">
        <w:rPr>
          <w:bCs/>
          <w:sz w:val="22"/>
          <w:szCs w:val="22"/>
          <w:vertAlign w:val="subscript"/>
          <w:lang w:val="sr-Latn-ME"/>
        </w:rPr>
        <w:t>3</w:t>
      </w:r>
      <w:r w:rsidRPr="009003E2">
        <w:rPr>
          <w:bCs/>
          <w:sz w:val="22"/>
          <w:szCs w:val="22"/>
          <w:lang w:val="sr-Latn-ME"/>
        </w:rPr>
        <w:t xml:space="preserve"> i D</w:t>
      </w:r>
      <w:r w:rsidRPr="009003E2">
        <w:rPr>
          <w:bCs/>
          <w:sz w:val="22"/>
          <w:szCs w:val="22"/>
          <w:vertAlign w:val="subscript"/>
          <w:lang w:val="sr-Latn-ME"/>
        </w:rPr>
        <w:t>2</w:t>
      </w:r>
      <w:r w:rsidRPr="009003E2">
        <w:rPr>
          <w:bCs/>
          <w:sz w:val="22"/>
          <w:szCs w:val="22"/>
          <w:lang w:val="sr-Latn-ME"/>
        </w:rPr>
        <w:t xml:space="preserve"> (uz preferencijalno vezivanje u regionima sa većom ekspresijom D</w:t>
      </w:r>
      <w:r w:rsidRPr="009003E2">
        <w:rPr>
          <w:bCs/>
          <w:sz w:val="22"/>
          <w:szCs w:val="22"/>
          <w:vertAlign w:val="subscript"/>
          <w:lang w:val="sr-Latn-ME"/>
        </w:rPr>
        <w:t>3</w:t>
      </w:r>
      <w:r w:rsidRPr="009003E2">
        <w:rPr>
          <w:bCs/>
          <w:sz w:val="22"/>
          <w:szCs w:val="22"/>
          <w:lang w:val="sr-Latn-ME"/>
        </w:rPr>
        <w:t>).</w:t>
      </w:r>
    </w:p>
    <w:p w14:paraId="50CC7D04" w14:textId="77777777" w:rsidR="00D16942" w:rsidRPr="009003E2" w:rsidRDefault="00D16942" w:rsidP="00284ACA">
      <w:pPr>
        <w:tabs>
          <w:tab w:val="left" w:pos="540"/>
          <w:tab w:val="left" w:pos="569"/>
        </w:tabs>
        <w:jc w:val="both"/>
        <w:rPr>
          <w:bCs/>
          <w:sz w:val="22"/>
          <w:szCs w:val="22"/>
          <w:lang w:val="sr-Latn-ME"/>
        </w:rPr>
      </w:pPr>
    </w:p>
    <w:p w14:paraId="4FE4EF6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Efekti kariprazina na QT interval su procjenjivani kod pacijenata sa shizofrenijom ili shizoafektivnim poremećajem. Na osnovu praćenja EKG (holter) urađena je procjena elektrokardiograma kod 129 pacijenata u periodu od 12 sati na početku ispitivanja i u ravnotežnom stanju. Nije uočeno produženje </w:t>
      </w:r>
      <w:r w:rsidRPr="009003E2">
        <w:rPr>
          <w:bCs/>
          <w:sz w:val="22"/>
          <w:szCs w:val="22"/>
          <w:lang w:val="sr-Latn-ME"/>
        </w:rPr>
        <w:lastRenderedPageBreak/>
        <w:t xml:space="preserve">QT intervala nakon primjene doza većih od terapijskih (9 mg/dan ili 18 mg/dan). Nijedan pacijent liječen kariprazinom nije imao produženje QTc za ≥ 60 msec u odnosu na početnu vrijednost i nijedan pacijent u ispitivanju nije imao produženje QTc za ˃ 500 msec . </w:t>
      </w:r>
    </w:p>
    <w:p w14:paraId="1CC0F9F1" w14:textId="77777777" w:rsidR="00D16942" w:rsidRPr="009003E2" w:rsidRDefault="00D16942" w:rsidP="00284ACA">
      <w:pPr>
        <w:tabs>
          <w:tab w:val="left" w:pos="540"/>
          <w:tab w:val="left" w:pos="569"/>
        </w:tabs>
        <w:jc w:val="both"/>
        <w:rPr>
          <w:bCs/>
          <w:sz w:val="22"/>
          <w:szCs w:val="22"/>
          <w:lang w:val="sr-Latn-ME"/>
        </w:rPr>
      </w:pPr>
    </w:p>
    <w:p w14:paraId="32415CE1" w14:textId="77777777" w:rsidR="00D16942" w:rsidRPr="009003E2" w:rsidRDefault="00D16942" w:rsidP="00284ACA">
      <w:pPr>
        <w:tabs>
          <w:tab w:val="left" w:pos="540"/>
          <w:tab w:val="left" w:pos="569"/>
        </w:tabs>
        <w:jc w:val="both"/>
        <w:rPr>
          <w:bCs/>
          <w:sz w:val="22"/>
          <w:szCs w:val="22"/>
          <w:u w:val="single"/>
          <w:lang w:val="sr-Latn-ME"/>
        </w:rPr>
      </w:pPr>
      <w:r w:rsidRPr="009003E2">
        <w:rPr>
          <w:bCs/>
          <w:sz w:val="22"/>
          <w:szCs w:val="22"/>
          <w:u w:val="single"/>
          <w:lang w:val="sr-Latn-ME"/>
        </w:rPr>
        <w:t>Klinička efikasnost i bezbednost</w:t>
      </w:r>
    </w:p>
    <w:p w14:paraId="109504C6" w14:textId="77777777" w:rsidR="00D16942" w:rsidRPr="009003E2" w:rsidRDefault="00D16942" w:rsidP="00284ACA">
      <w:pPr>
        <w:tabs>
          <w:tab w:val="left" w:pos="540"/>
          <w:tab w:val="left" w:pos="569"/>
        </w:tabs>
        <w:jc w:val="both"/>
        <w:rPr>
          <w:bCs/>
          <w:sz w:val="22"/>
          <w:szCs w:val="22"/>
          <w:u w:val="single"/>
          <w:lang w:val="sr-Latn-ME"/>
        </w:rPr>
      </w:pPr>
    </w:p>
    <w:p w14:paraId="3FE4DC06" w14:textId="77777777" w:rsidR="00D16942" w:rsidRPr="009003E2" w:rsidRDefault="00D16942" w:rsidP="00284ACA">
      <w:pPr>
        <w:tabs>
          <w:tab w:val="left" w:pos="540"/>
          <w:tab w:val="left" w:pos="569"/>
        </w:tabs>
        <w:jc w:val="both"/>
        <w:rPr>
          <w:bCs/>
          <w:sz w:val="22"/>
          <w:szCs w:val="22"/>
          <w:lang w:val="sr-Latn-ME"/>
        </w:rPr>
      </w:pPr>
      <w:r w:rsidRPr="009003E2">
        <w:rPr>
          <w:bCs/>
          <w:i/>
          <w:sz w:val="22"/>
          <w:szCs w:val="22"/>
          <w:lang w:val="sr-Latn-ME"/>
        </w:rPr>
        <w:t>Efikasnost pri kratkotrajnoj primjeni</w:t>
      </w:r>
    </w:p>
    <w:p w14:paraId="49D99F9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Efikasnost kariprazina u terapiji akutne shizofrenije ispitivana je u 3 multicentrične, multinacionalne, randomizovane, dvostruko slijepe, placebom kontrolisane 6-nedjeljne studije  koja su uključivale 1754 pacijenta starosti od 18 do 60 godina. Primarni ishod bila je promjena ukupnog rezultata na skali za ocjenu pozitivnih i negativnih simptoma (engl. </w:t>
      </w:r>
      <w:r w:rsidRPr="009003E2">
        <w:rPr>
          <w:bCs/>
          <w:i/>
          <w:iCs/>
          <w:sz w:val="22"/>
          <w:szCs w:val="22"/>
          <w:lang w:val="sr-Latn-ME"/>
        </w:rPr>
        <w:t>Positive and Negative Syndrome Scale</w:t>
      </w:r>
      <w:r w:rsidRPr="009003E2">
        <w:rPr>
          <w:bCs/>
          <w:sz w:val="22"/>
          <w:szCs w:val="22"/>
          <w:lang w:val="sr-Latn-ME"/>
        </w:rPr>
        <w:t>, PANSS) od početka terapije do 6. nedjelje, a sekundarni ishod bila je promjena rezultata na skali opšteg kliničkog utiska težine bolesti (</w:t>
      </w:r>
      <w:r w:rsidRPr="009003E2">
        <w:rPr>
          <w:bCs/>
          <w:i/>
          <w:sz w:val="22"/>
          <w:szCs w:val="22"/>
          <w:lang w:val="sr-Latn-ME"/>
        </w:rPr>
        <w:t>Clinical Global Impressions-Severity</w:t>
      </w:r>
      <w:r w:rsidRPr="009003E2">
        <w:rPr>
          <w:bCs/>
          <w:sz w:val="22"/>
          <w:szCs w:val="22"/>
          <w:lang w:val="sr-Latn-ME"/>
        </w:rPr>
        <w:t>, CGI-S) od početka terapije do 6. nedjelje u svim ispitivanjima akutne shizofrenije. U multinacionalnom placebom kontrolisanom ispitivanju u kome su primjenjivane doze od 1,5 mg, 3 mg i 4,5 mg kariprazina i 4,0 mg risperidona radi procjene osjetljivosti testa, sve doze kariprazina i aktivne kontrole pokazale su statistički značajno poboljšanje i primarnog i sekundarnog ishoda u poređenju sa placebom. U drugom multinacionalnom, placebom kontrolisanom ispitivanju u kome su primjenjivane fiksne doze od 3,0 mg i 6,0 mg kariprazina i 10 mg aripiprazola radi procjene osjetljivosti testa, i kariprazin i aktivna kontrola pokazali su statistički značajno poboljšanje i primarnog i sekundarnog ishoda u poređenju sa placebom. U trećem multinacionalnom, placebom kontrolisanom ispitivanju u kome su primjenjivane fiksne/fleksibilne doze od 3,0-6,0 mg i 6,0-9,0 mg kariprazina, obije grupe su pokazale statistički značajno poboljšanje i primarnog i sekundarnog ishoda u poređenju sa placebom.</w:t>
      </w:r>
    </w:p>
    <w:p w14:paraId="3CCBE2F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Rezultati za primarni parametar ishoda su sažeto prikazani u Tabeli 2 u nastavku. Rezultati za sekundarni parametar ishoda (CGI) i dodatnih ishoda su podržali primarni ishod.</w:t>
      </w:r>
    </w:p>
    <w:p w14:paraId="74CEA3F2" w14:textId="77777777" w:rsidR="00D16942" w:rsidRPr="009003E2" w:rsidRDefault="00D16942" w:rsidP="00284ACA">
      <w:pPr>
        <w:tabs>
          <w:tab w:val="left" w:pos="540"/>
          <w:tab w:val="left" w:pos="569"/>
        </w:tabs>
        <w:jc w:val="both"/>
        <w:rPr>
          <w:bCs/>
          <w:sz w:val="22"/>
          <w:szCs w:val="22"/>
          <w:lang w:val="sr-Latn-ME"/>
        </w:rPr>
      </w:pPr>
    </w:p>
    <w:p w14:paraId="36747E0A"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Tabela 2. Promjena od početne vrijednosti do 6. nedjelje u ukupnom rezultatu na PANSS skali u ispitivanjima akutnih egzacerbacija shizofrenije – ITT populacija</w:t>
      </w:r>
    </w:p>
    <w:p w14:paraId="2E141AAE" w14:textId="77777777" w:rsidR="00D16942" w:rsidRPr="009003E2" w:rsidRDefault="00D16942" w:rsidP="00284ACA">
      <w:pPr>
        <w:tabs>
          <w:tab w:val="left" w:pos="540"/>
          <w:tab w:val="left" w:pos="569"/>
        </w:tabs>
        <w:jc w:val="both"/>
        <w:rPr>
          <w:b/>
          <w:bCs/>
          <w:sz w:val="22"/>
          <w:szCs w:val="22"/>
          <w:lang w:val="sr-Latn-ME"/>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278"/>
        <w:gridCol w:w="1539"/>
        <w:gridCol w:w="2493"/>
        <w:gridCol w:w="1440"/>
      </w:tblGrid>
      <w:tr w:rsidR="00D16942" w:rsidRPr="009003E2" w14:paraId="45F3321F" w14:textId="77777777" w:rsidTr="00C3427A">
        <w:tc>
          <w:tcPr>
            <w:tcW w:w="2515" w:type="dxa"/>
            <w:shd w:val="clear" w:color="auto" w:fill="auto"/>
          </w:tcPr>
          <w:p w14:paraId="54503EE8" w14:textId="77777777" w:rsidR="00D16942" w:rsidRPr="009003E2" w:rsidRDefault="00D16942" w:rsidP="00284ACA">
            <w:pPr>
              <w:tabs>
                <w:tab w:val="left" w:pos="540"/>
                <w:tab w:val="left" w:pos="569"/>
              </w:tabs>
              <w:jc w:val="both"/>
              <w:rPr>
                <w:bCs/>
                <w:sz w:val="22"/>
                <w:szCs w:val="22"/>
                <w:lang w:val="sr-Latn-ME"/>
              </w:rPr>
            </w:pPr>
          </w:p>
        </w:tc>
        <w:tc>
          <w:tcPr>
            <w:tcW w:w="1278" w:type="dxa"/>
            <w:shd w:val="clear" w:color="auto" w:fill="auto"/>
          </w:tcPr>
          <w:p w14:paraId="258A1EE1"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Početna</w:t>
            </w:r>
          </w:p>
          <w:p w14:paraId="3ECF53FD"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srednja</w:t>
            </w:r>
          </w:p>
          <w:p w14:paraId="32D5D7DE"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vrijednost</w:t>
            </w:r>
          </w:p>
          <w:p w14:paraId="50C73A03"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 SD</w:t>
            </w:r>
          </w:p>
        </w:tc>
        <w:tc>
          <w:tcPr>
            <w:tcW w:w="1539" w:type="dxa"/>
            <w:shd w:val="clear" w:color="auto" w:fill="auto"/>
          </w:tcPr>
          <w:p w14:paraId="0609612E"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Promjena</w:t>
            </w:r>
          </w:p>
          <w:p w14:paraId="30E1DE41"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LS srednje</w:t>
            </w:r>
          </w:p>
          <w:p w14:paraId="64183476"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vrijednosti (SE)</w:t>
            </w:r>
          </w:p>
        </w:tc>
        <w:tc>
          <w:tcPr>
            <w:tcW w:w="2493" w:type="dxa"/>
            <w:shd w:val="clear" w:color="auto" w:fill="auto"/>
          </w:tcPr>
          <w:p w14:paraId="0FA16C56"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Terapijska razlika prema placebu</w:t>
            </w:r>
          </w:p>
          <w:p w14:paraId="3EC5CE13"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(95% CI)</w:t>
            </w:r>
          </w:p>
        </w:tc>
        <w:tc>
          <w:tcPr>
            <w:tcW w:w="1440" w:type="dxa"/>
            <w:shd w:val="clear" w:color="auto" w:fill="auto"/>
          </w:tcPr>
          <w:p w14:paraId="457F7689"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P-vrijednost</w:t>
            </w:r>
          </w:p>
        </w:tc>
      </w:tr>
      <w:tr w:rsidR="00D16942" w:rsidRPr="009003E2" w14:paraId="4FA9360A" w14:textId="77777777" w:rsidTr="00C3427A">
        <w:tc>
          <w:tcPr>
            <w:tcW w:w="9265" w:type="dxa"/>
            <w:gridSpan w:val="5"/>
            <w:shd w:val="clear" w:color="auto" w:fill="auto"/>
          </w:tcPr>
          <w:p w14:paraId="1DD6ACA0"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Ukupni PANSS (MMRM)</w:t>
            </w:r>
          </w:p>
        </w:tc>
      </w:tr>
      <w:tr w:rsidR="00D16942" w:rsidRPr="009003E2" w14:paraId="52EB92A3" w14:textId="77777777" w:rsidTr="00C3427A">
        <w:tc>
          <w:tcPr>
            <w:tcW w:w="9265" w:type="dxa"/>
            <w:gridSpan w:val="5"/>
            <w:shd w:val="clear" w:color="auto" w:fill="auto"/>
          </w:tcPr>
          <w:p w14:paraId="298AF527"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RGH-MD-16 (n = 711)</w:t>
            </w:r>
          </w:p>
        </w:tc>
      </w:tr>
      <w:tr w:rsidR="00D16942" w:rsidRPr="009003E2" w14:paraId="2B4EE0B8" w14:textId="77777777" w:rsidTr="00C3427A">
        <w:tc>
          <w:tcPr>
            <w:tcW w:w="2515" w:type="dxa"/>
            <w:shd w:val="clear" w:color="auto" w:fill="auto"/>
          </w:tcPr>
          <w:p w14:paraId="32655D4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Placebo</w:t>
            </w:r>
          </w:p>
        </w:tc>
        <w:tc>
          <w:tcPr>
            <w:tcW w:w="1278" w:type="dxa"/>
            <w:shd w:val="clear" w:color="auto" w:fill="auto"/>
          </w:tcPr>
          <w:p w14:paraId="75B7E2A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97,3 ± 9,22</w:t>
            </w:r>
          </w:p>
        </w:tc>
        <w:tc>
          <w:tcPr>
            <w:tcW w:w="1539" w:type="dxa"/>
            <w:shd w:val="clear" w:color="auto" w:fill="auto"/>
          </w:tcPr>
          <w:p w14:paraId="2A7FF30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–13,29 (1,82)</w:t>
            </w:r>
          </w:p>
        </w:tc>
        <w:tc>
          <w:tcPr>
            <w:tcW w:w="2493" w:type="dxa"/>
            <w:shd w:val="clear" w:color="auto" w:fill="auto"/>
          </w:tcPr>
          <w:p w14:paraId="099BD1EE"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440" w:type="dxa"/>
            <w:shd w:val="clear" w:color="auto" w:fill="auto"/>
          </w:tcPr>
          <w:p w14:paraId="39D13E4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08E51AF7" w14:textId="77777777" w:rsidTr="00C3427A">
        <w:tc>
          <w:tcPr>
            <w:tcW w:w="2515" w:type="dxa"/>
            <w:shd w:val="clear" w:color="auto" w:fill="auto"/>
          </w:tcPr>
          <w:p w14:paraId="0C0FABCB"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1,5 mg/dan</w:t>
            </w:r>
          </w:p>
        </w:tc>
        <w:tc>
          <w:tcPr>
            <w:tcW w:w="1278" w:type="dxa"/>
            <w:shd w:val="clear" w:color="auto" w:fill="auto"/>
          </w:tcPr>
          <w:p w14:paraId="503E400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97,1 ± 9,13</w:t>
            </w:r>
          </w:p>
        </w:tc>
        <w:tc>
          <w:tcPr>
            <w:tcW w:w="1539" w:type="dxa"/>
            <w:shd w:val="clear" w:color="auto" w:fill="auto"/>
          </w:tcPr>
          <w:p w14:paraId="7F2ADF4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–21,27 (1,77)</w:t>
            </w:r>
          </w:p>
        </w:tc>
        <w:tc>
          <w:tcPr>
            <w:tcW w:w="2493" w:type="dxa"/>
            <w:shd w:val="clear" w:color="auto" w:fill="auto"/>
          </w:tcPr>
          <w:p w14:paraId="2AC46A0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–7,97 (–12,94, –3,01)</w:t>
            </w:r>
          </w:p>
        </w:tc>
        <w:tc>
          <w:tcPr>
            <w:tcW w:w="1440" w:type="dxa"/>
            <w:shd w:val="clear" w:color="auto" w:fill="auto"/>
          </w:tcPr>
          <w:p w14:paraId="4C237FA8"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0,0017</w:t>
            </w:r>
          </w:p>
        </w:tc>
      </w:tr>
      <w:tr w:rsidR="00D16942" w:rsidRPr="009003E2" w14:paraId="03F2F04A" w14:textId="77777777" w:rsidTr="00C3427A">
        <w:tc>
          <w:tcPr>
            <w:tcW w:w="2515" w:type="dxa"/>
            <w:shd w:val="clear" w:color="auto" w:fill="auto"/>
          </w:tcPr>
          <w:p w14:paraId="58481B6B"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3 mg/dan</w:t>
            </w:r>
          </w:p>
        </w:tc>
        <w:tc>
          <w:tcPr>
            <w:tcW w:w="1278" w:type="dxa"/>
            <w:shd w:val="clear" w:color="auto" w:fill="auto"/>
          </w:tcPr>
          <w:p w14:paraId="6150BFB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97,2 ± 8,66</w:t>
            </w:r>
          </w:p>
        </w:tc>
        <w:tc>
          <w:tcPr>
            <w:tcW w:w="1539" w:type="dxa"/>
            <w:shd w:val="clear" w:color="auto" w:fill="auto"/>
          </w:tcPr>
          <w:p w14:paraId="71D7EC9A"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–21,45 (1,74)</w:t>
            </w:r>
          </w:p>
        </w:tc>
        <w:tc>
          <w:tcPr>
            <w:tcW w:w="2493" w:type="dxa"/>
            <w:shd w:val="clear" w:color="auto" w:fill="auto"/>
          </w:tcPr>
          <w:p w14:paraId="039CCC5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–8,16 (–13,09, –3,22)</w:t>
            </w:r>
          </w:p>
        </w:tc>
        <w:tc>
          <w:tcPr>
            <w:tcW w:w="1440" w:type="dxa"/>
            <w:shd w:val="clear" w:color="auto" w:fill="auto"/>
          </w:tcPr>
          <w:p w14:paraId="31577A13"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0,0013</w:t>
            </w:r>
          </w:p>
        </w:tc>
      </w:tr>
      <w:tr w:rsidR="00D16942" w:rsidRPr="009003E2" w14:paraId="21B730D2" w14:textId="77777777" w:rsidTr="00C3427A">
        <w:tc>
          <w:tcPr>
            <w:tcW w:w="2515" w:type="dxa"/>
            <w:shd w:val="clear" w:color="auto" w:fill="auto"/>
          </w:tcPr>
          <w:p w14:paraId="19F9020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4,5 mg/dan</w:t>
            </w:r>
          </w:p>
        </w:tc>
        <w:tc>
          <w:tcPr>
            <w:tcW w:w="1278" w:type="dxa"/>
            <w:shd w:val="clear" w:color="auto" w:fill="auto"/>
          </w:tcPr>
          <w:p w14:paraId="00CE9FE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96,7 ± 9,01</w:t>
            </w:r>
          </w:p>
        </w:tc>
        <w:tc>
          <w:tcPr>
            <w:tcW w:w="1539" w:type="dxa"/>
            <w:shd w:val="clear" w:color="auto" w:fill="auto"/>
          </w:tcPr>
          <w:p w14:paraId="11D93BF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–23,77 (1,74)</w:t>
            </w:r>
          </w:p>
        </w:tc>
        <w:tc>
          <w:tcPr>
            <w:tcW w:w="2493" w:type="dxa"/>
            <w:shd w:val="clear" w:color="auto" w:fill="auto"/>
          </w:tcPr>
          <w:p w14:paraId="55DDF414"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–10,48 (–15,41, –5,55)</w:t>
            </w:r>
          </w:p>
        </w:tc>
        <w:tc>
          <w:tcPr>
            <w:tcW w:w="1440" w:type="dxa"/>
            <w:shd w:val="clear" w:color="auto" w:fill="auto"/>
          </w:tcPr>
          <w:p w14:paraId="3EE992F2"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&lt; 0,0001</w:t>
            </w:r>
          </w:p>
        </w:tc>
      </w:tr>
      <w:tr w:rsidR="00D16942" w:rsidRPr="009003E2" w14:paraId="67168CC8" w14:textId="77777777" w:rsidTr="00C3427A">
        <w:tc>
          <w:tcPr>
            <w:tcW w:w="2515" w:type="dxa"/>
            <w:shd w:val="clear" w:color="auto" w:fill="auto"/>
          </w:tcPr>
          <w:p w14:paraId="0BD8B924"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Risperidon 4 mg/dan</w:t>
            </w:r>
          </w:p>
        </w:tc>
        <w:tc>
          <w:tcPr>
            <w:tcW w:w="1278" w:type="dxa"/>
            <w:shd w:val="clear" w:color="auto" w:fill="auto"/>
          </w:tcPr>
          <w:p w14:paraId="14434D2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98,1 ± 9,50</w:t>
            </w:r>
          </w:p>
        </w:tc>
        <w:tc>
          <w:tcPr>
            <w:tcW w:w="1539" w:type="dxa"/>
            <w:shd w:val="clear" w:color="auto" w:fill="auto"/>
          </w:tcPr>
          <w:p w14:paraId="74F4B2E7"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–29,27 (1,74)</w:t>
            </w:r>
          </w:p>
        </w:tc>
        <w:tc>
          <w:tcPr>
            <w:tcW w:w="2493" w:type="dxa"/>
            <w:shd w:val="clear" w:color="auto" w:fill="auto"/>
          </w:tcPr>
          <w:p w14:paraId="6A8035E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–15,98 (–20,91, –11,04)</w:t>
            </w:r>
          </w:p>
        </w:tc>
        <w:tc>
          <w:tcPr>
            <w:tcW w:w="1440" w:type="dxa"/>
            <w:shd w:val="clear" w:color="auto" w:fill="auto"/>
          </w:tcPr>
          <w:p w14:paraId="53A11E5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&lt; 0,0001*</w:t>
            </w:r>
          </w:p>
        </w:tc>
      </w:tr>
      <w:tr w:rsidR="00D16942" w:rsidRPr="009003E2" w14:paraId="60C73A57" w14:textId="77777777" w:rsidTr="00C3427A">
        <w:tc>
          <w:tcPr>
            <w:tcW w:w="9265" w:type="dxa"/>
            <w:gridSpan w:val="5"/>
            <w:shd w:val="clear" w:color="auto" w:fill="auto"/>
          </w:tcPr>
          <w:p w14:paraId="6723BAEE"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RGH-MD-04 (n=604)</w:t>
            </w:r>
          </w:p>
        </w:tc>
      </w:tr>
      <w:tr w:rsidR="00D16942" w:rsidRPr="009003E2" w14:paraId="1560D010" w14:textId="77777777" w:rsidTr="00C3427A">
        <w:tc>
          <w:tcPr>
            <w:tcW w:w="2515" w:type="dxa"/>
            <w:shd w:val="clear" w:color="auto" w:fill="auto"/>
          </w:tcPr>
          <w:p w14:paraId="5615FB7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Placebo</w:t>
            </w:r>
          </w:p>
        </w:tc>
        <w:tc>
          <w:tcPr>
            <w:tcW w:w="1278" w:type="dxa"/>
            <w:shd w:val="clear" w:color="auto" w:fill="auto"/>
          </w:tcPr>
          <w:p w14:paraId="245BDDBE"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96,5 ± 9,1</w:t>
            </w:r>
          </w:p>
        </w:tc>
        <w:tc>
          <w:tcPr>
            <w:tcW w:w="1539" w:type="dxa"/>
            <w:shd w:val="clear" w:color="auto" w:fill="auto"/>
          </w:tcPr>
          <w:p w14:paraId="735684A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–14,3 (1,5)</w:t>
            </w:r>
          </w:p>
        </w:tc>
        <w:tc>
          <w:tcPr>
            <w:tcW w:w="2493" w:type="dxa"/>
            <w:shd w:val="clear" w:color="auto" w:fill="auto"/>
          </w:tcPr>
          <w:p w14:paraId="592B270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440" w:type="dxa"/>
            <w:shd w:val="clear" w:color="auto" w:fill="auto"/>
          </w:tcPr>
          <w:p w14:paraId="6785DC4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4D090C48" w14:textId="77777777" w:rsidTr="00C3427A">
        <w:tc>
          <w:tcPr>
            <w:tcW w:w="2515" w:type="dxa"/>
            <w:shd w:val="clear" w:color="auto" w:fill="auto"/>
          </w:tcPr>
          <w:p w14:paraId="3E1AACB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3 mg/dan</w:t>
            </w:r>
          </w:p>
        </w:tc>
        <w:tc>
          <w:tcPr>
            <w:tcW w:w="1278" w:type="dxa"/>
            <w:shd w:val="clear" w:color="auto" w:fill="auto"/>
          </w:tcPr>
          <w:p w14:paraId="2061879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96,1 ± 8,7</w:t>
            </w:r>
          </w:p>
        </w:tc>
        <w:tc>
          <w:tcPr>
            <w:tcW w:w="1539" w:type="dxa"/>
            <w:shd w:val="clear" w:color="auto" w:fill="auto"/>
          </w:tcPr>
          <w:p w14:paraId="589C20F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–20,2 (1,5)</w:t>
            </w:r>
          </w:p>
        </w:tc>
        <w:tc>
          <w:tcPr>
            <w:tcW w:w="2493" w:type="dxa"/>
            <w:shd w:val="clear" w:color="auto" w:fill="auto"/>
          </w:tcPr>
          <w:p w14:paraId="78A8C35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–6,0 (–10,1, –1,9)</w:t>
            </w:r>
          </w:p>
        </w:tc>
        <w:tc>
          <w:tcPr>
            <w:tcW w:w="1440" w:type="dxa"/>
            <w:shd w:val="clear" w:color="auto" w:fill="auto"/>
          </w:tcPr>
          <w:p w14:paraId="7D5BFD15"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0,0044</w:t>
            </w:r>
          </w:p>
        </w:tc>
      </w:tr>
      <w:tr w:rsidR="00D16942" w:rsidRPr="009003E2" w14:paraId="6E1048B3" w14:textId="77777777" w:rsidTr="00C3427A">
        <w:tc>
          <w:tcPr>
            <w:tcW w:w="2515" w:type="dxa"/>
            <w:shd w:val="clear" w:color="auto" w:fill="auto"/>
          </w:tcPr>
          <w:p w14:paraId="6F29178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6 mg/dan</w:t>
            </w:r>
          </w:p>
        </w:tc>
        <w:tc>
          <w:tcPr>
            <w:tcW w:w="1278" w:type="dxa"/>
            <w:shd w:val="clear" w:color="auto" w:fill="auto"/>
          </w:tcPr>
          <w:p w14:paraId="167842B4"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95,7 ± 9,4</w:t>
            </w:r>
          </w:p>
        </w:tc>
        <w:tc>
          <w:tcPr>
            <w:tcW w:w="1539" w:type="dxa"/>
            <w:shd w:val="clear" w:color="auto" w:fill="auto"/>
          </w:tcPr>
          <w:p w14:paraId="1EA3B0C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–23,0 (1,5)</w:t>
            </w:r>
          </w:p>
        </w:tc>
        <w:tc>
          <w:tcPr>
            <w:tcW w:w="2493" w:type="dxa"/>
            <w:shd w:val="clear" w:color="auto" w:fill="auto"/>
          </w:tcPr>
          <w:p w14:paraId="08C0D34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–8,8 (–12,9, –4,7)</w:t>
            </w:r>
          </w:p>
        </w:tc>
        <w:tc>
          <w:tcPr>
            <w:tcW w:w="1440" w:type="dxa"/>
            <w:shd w:val="clear" w:color="auto" w:fill="auto"/>
          </w:tcPr>
          <w:p w14:paraId="687510BE"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&lt; 0,0001</w:t>
            </w:r>
          </w:p>
        </w:tc>
      </w:tr>
      <w:tr w:rsidR="00D16942" w:rsidRPr="009003E2" w14:paraId="43C3706B" w14:textId="77777777" w:rsidTr="00C3427A">
        <w:tc>
          <w:tcPr>
            <w:tcW w:w="2515" w:type="dxa"/>
            <w:shd w:val="clear" w:color="auto" w:fill="auto"/>
          </w:tcPr>
          <w:p w14:paraId="01C1E8A7"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Aripiprazol 10 mg/dan</w:t>
            </w:r>
          </w:p>
        </w:tc>
        <w:tc>
          <w:tcPr>
            <w:tcW w:w="1278" w:type="dxa"/>
            <w:shd w:val="clear" w:color="auto" w:fill="auto"/>
          </w:tcPr>
          <w:p w14:paraId="0706F84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95,6 ± 9,0</w:t>
            </w:r>
          </w:p>
        </w:tc>
        <w:tc>
          <w:tcPr>
            <w:tcW w:w="1539" w:type="dxa"/>
            <w:shd w:val="clear" w:color="auto" w:fill="auto"/>
          </w:tcPr>
          <w:p w14:paraId="316EA83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–21,2 (1,4)</w:t>
            </w:r>
          </w:p>
        </w:tc>
        <w:tc>
          <w:tcPr>
            <w:tcW w:w="2493" w:type="dxa"/>
            <w:shd w:val="clear" w:color="auto" w:fill="auto"/>
          </w:tcPr>
          <w:p w14:paraId="7D370A5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–7,0 (–11,0, –2,9)</w:t>
            </w:r>
          </w:p>
        </w:tc>
        <w:tc>
          <w:tcPr>
            <w:tcW w:w="1440" w:type="dxa"/>
            <w:shd w:val="clear" w:color="auto" w:fill="auto"/>
          </w:tcPr>
          <w:p w14:paraId="4394EFE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0,0008*</w:t>
            </w:r>
          </w:p>
        </w:tc>
      </w:tr>
      <w:tr w:rsidR="00D16942" w:rsidRPr="009003E2" w14:paraId="496123CD" w14:textId="77777777" w:rsidTr="00C3427A">
        <w:tc>
          <w:tcPr>
            <w:tcW w:w="9265" w:type="dxa"/>
            <w:gridSpan w:val="5"/>
            <w:shd w:val="clear" w:color="auto" w:fill="auto"/>
          </w:tcPr>
          <w:p w14:paraId="3BBC7F01"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RGH-MD-05 (n = 439)</w:t>
            </w:r>
          </w:p>
        </w:tc>
      </w:tr>
      <w:tr w:rsidR="00D16942" w:rsidRPr="009003E2" w14:paraId="5593B98F" w14:textId="77777777" w:rsidTr="00C3427A">
        <w:tc>
          <w:tcPr>
            <w:tcW w:w="2515" w:type="dxa"/>
            <w:shd w:val="clear" w:color="auto" w:fill="auto"/>
          </w:tcPr>
          <w:p w14:paraId="2EA75287"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Placebo</w:t>
            </w:r>
          </w:p>
        </w:tc>
        <w:tc>
          <w:tcPr>
            <w:tcW w:w="1278" w:type="dxa"/>
            <w:shd w:val="clear" w:color="auto" w:fill="auto"/>
          </w:tcPr>
          <w:p w14:paraId="6415E3D3"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96,6 ± 9,3</w:t>
            </w:r>
          </w:p>
        </w:tc>
        <w:tc>
          <w:tcPr>
            <w:tcW w:w="1539" w:type="dxa"/>
            <w:shd w:val="clear" w:color="auto" w:fill="auto"/>
          </w:tcPr>
          <w:p w14:paraId="36D20D3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–16,0 (1,6)</w:t>
            </w:r>
          </w:p>
        </w:tc>
        <w:tc>
          <w:tcPr>
            <w:tcW w:w="2493" w:type="dxa"/>
            <w:shd w:val="clear" w:color="auto" w:fill="auto"/>
          </w:tcPr>
          <w:p w14:paraId="3352B31B"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440" w:type="dxa"/>
            <w:shd w:val="clear" w:color="auto" w:fill="auto"/>
          </w:tcPr>
          <w:p w14:paraId="06ADD367"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2B992DF0" w14:textId="77777777" w:rsidTr="00C3427A">
        <w:tc>
          <w:tcPr>
            <w:tcW w:w="2515" w:type="dxa"/>
            <w:shd w:val="clear" w:color="auto" w:fill="auto"/>
          </w:tcPr>
          <w:p w14:paraId="1F42840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3 do 6 mg/dan</w:t>
            </w:r>
          </w:p>
        </w:tc>
        <w:tc>
          <w:tcPr>
            <w:tcW w:w="1278" w:type="dxa"/>
            <w:shd w:val="clear" w:color="auto" w:fill="auto"/>
          </w:tcPr>
          <w:p w14:paraId="55D0F68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96,3 ± 9,3</w:t>
            </w:r>
          </w:p>
        </w:tc>
        <w:tc>
          <w:tcPr>
            <w:tcW w:w="1539" w:type="dxa"/>
            <w:shd w:val="clear" w:color="auto" w:fill="auto"/>
          </w:tcPr>
          <w:p w14:paraId="4C8DC8D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–22,8 (1,6)</w:t>
            </w:r>
          </w:p>
        </w:tc>
        <w:tc>
          <w:tcPr>
            <w:tcW w:w="2493" w:type="dxa"/>
            <w:shd w:val="clear" w:color="auto" w:fill="auto"/>
          </w:tcPr>
          <w:p w14:paraId="765FDF3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–6,8 (–11,3, –2,4)</w:t>
            </w:r>
          </w:p>
        </w:tc>
        <w:tc>
          <w:tcPr>
            <w:tcW w:w="1440" w:type="dxa"/>
            <w:shd w:val="clear" w:color="auto" w:fill="auto"/>
          </w:tcPr>
          <w:p w14:paraId="57031067"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0,0029</w:t>
            </w:r>
          </w:p>
        </w:tc>
      </w:tr>
      <w:tr w:rsidR="00D16942" w:rsidRPr="009003E2" w14:paraId="3BF54A79" w14:textId="77777777" w:rsidTr="00C3427A">
        <w:tc>
          <w:tcPr>
            <w:tcW w:w="2515" w:type="dxa"/>
            <w:shd w:val="clear" w:color="auto" w:fill="auto"/>
          </w:tcPr>
          <w:p w14:paraId="2E8426F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Kariprazin 6 do 9 mg/dan</w:t>
            </w:r>
          </w:p>
        </w:tc>
        <w:tc>
          <w:tcPr>
            <w:tcW w:w="1278" w:type="dxa"/>
            <w:shd w:val="clear" w:color="auto" w:fill="auto"/>
          </w:tcPr>
          <w:p w14:paraId="1ED7458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96,3 ± 9,0</w:t>
            </w:r>
          </w:p>
        </w:tc>
        <w:tc>
          <w:tcPr>
            <w:tcW w:w="1539" w:type="dxa"/>
            <w:shd w:val="clear" w:color="auto" w:fill="auto"/>
          </w:tcPr>
          <w:p w14:paraId="4392C1DA"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–25,9 (1,7)</w:t>
            </w:r>
          </w:p>
        </w:tc>
        <w:tc>
          <w:tcPr>
            <w:tcW w:w="2493" w:type="dxa"/>
            <w:shd w:val="clear" w:color="auto" w:fill="auto"/>
          </w:tcPr>
          <w:p w14:paraId="7023AD6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–9,9 (–14,5, –5,3)</w:t>
            </w:r>
          </w:p>
        </w:tc>
        <w:tc>
          <w:tcPr>
            <w:tcW w:w="1440" w:type="dxa"/>
            <w:shd w:val="clear" w:color="auto" w:fill="auto"/>
          </w:tcPr>
          <w:p w14:paraId="23C0F149"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&lt; 0,0001</w:t>
            </w:r>
          </w:p>
        </w:tc>
      </w:tr>
    </w:tbl>
    <w:p w14:paraId="4C36CC5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CI = interval pouzdanosti; ITT = populacija pacijenata predviđenih za liječenje (</w:t>
      </w:r>
      <w:r w:rsidRPr="009003E2">
        <w:rPr>
          <w:bCs/>
          <w:i/>
          <w:sz w:val="22"/>
          <w:szCs w:val="22"/>
          <w:lang w:val="sr-Latn-ME"/>
        </w:rPr>
        <w:t>engl. intent to treat</w:t>
      </w:r>
      <w:r w:rsidRPr="009003E2">
        <w:rPr>
          <w:bCs/>
          <w:sz w:val="22"/>
          <w:szCs w:val="22"/>
          <w:lang w:val="sr-Latn-ME"/>
        </w:rPr>
        <w:t xml:space="preserve">); </w:t>
      </w:r>
    </w:p>
    <w:p w14:paraId="6D49EAE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LS srednja vrijednost = srednja vrijednost dobijena metodom najmanjih kvadrata (</w:t>
      </w:r>
      <w:r w:rsidRPr="009003E2">
        <w:rPr>
          <w:bCs/>
          <w:i/>
          <w:sz w:val="22"/>
          <w:szCs w:val="22"/>
          <w:lang w:val="sr-Latn-ME"/>
        </w:rPr>
        <w:t>engl. least squares mean</w:t>
      </w:r>
      <w:r w:rsidRPr="009003E2">
        <w:rPr>
          <w:bCs/>
          <w:sz w:val="22"/>
          <w:szCs w:val="22"/>
          <w:lang w:val="sr-Latn-ME"/>
        </w:rPr>
        <w:t xml:space="preserve">); </w:t>
      </w:r>
    </w:p>
    <w:p w14:paraId="47C5ED85"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PANSS = skala pozitivnih i negativnih simptoma </w:t>
      </w:r>
    </w:p>
    <w:p w14:paraId="0F35F15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*u poređenju sa placebom</w:t>
      </w:r>
    </w:p>
    <w:p w14:paraId="23787145" w14:textId="41C4662C" w:rsidR="00D16942" w:rsidRPr="009003E2" w:rsidRDefault="00D16942" w:rsidP="00284ACA">
      <w:pPr>
        <w:tabs>
          <w:tab w:val="left" w:pos="540"/>
          <w:tab w:val="left" w:pos="569"/>
        </w:tabs>
        <w:jc w:val="both"/>
        <w:rPr>
          <w:bCs/>
          <w:i/>
          <w:sz w:val="22"/>
          <w:szCs w:val="22"/>
          <w:lang w:val="sr-Latn-ME"/>
        </w:rPr>
      </w:pPr>
    </w:p>
    <w:p w14:paraId="26908106" w14:textId="77777777" w:rsidR="009F678E" w:rsidRPr="009003E2" w:rsidRDefault="009F678E" w:rsidP="00284ACA">
      <w:pPr>
        <w:tabs>
          <w:tab w:val="left" w:pos="540"/>
          <w:tab w:val="left" w:pos="569"/>
        </w:tabs>
        <w:jc w:val="both"/>
        <w:rPr>
          <w:bCs/>
          <w:i/>
          <w:sz w:val="22"/>
          <w:szCs w:val="22"/>
          <w:lang w:val="sr-Latn-ME"/>
        </w:rPr>
      </w:pPr>
    </w:p>
    <w:p w14:paraId="5E9E35A9" w14:textId="77777777" w:rsidR="00D16942" w:rsidRPr="009003E2" w:rsidRDefault="00D16942" w:rsidP="00284ACA">
      <w:pPr>
        <w:tabs>
          <w:tab w:val="left" w:pos="540"/>
          <w:tab w:val="left" w:pos="569"/>
        </w:tabs>
        <w:jc w:val="both"/>
        <w:rPr>
          <w:bCs/>
          <w:i/>
          <w:sz w:val="22"/>
          <w:szCs w:val="22"/>
          <w:lang w:val="sr-Latn-ME"/>
        </w:rPr>
      </w:pPr>
      <w:r w:rsidRPr="009003E2">
        <w:rPr>
          <w:bCs/>
          <w:i/>
          <w:sz w:val="22"/>
          <w:szCs w:val="22"/>
          <w:lang w:val="sr-Latn-ME"/>
        </w:rPr>
        <w:lastRenderedPageBreak/>
        <w:t>Efikasnost pri dugotrajnoj primjeni</w:t>
      </w:r>
    </w:p>
    <w:p w14:paraId="767D8D2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Efikasnost kariprazina u održavanju antipsihotičkog dejstva je ispitivana u dugotrajnom kliničkom ispitivanju sa randomizacijom koje je uključivalo obustavu terapije. Ukupno 751 pacijent sa akutnim simptomima shizofrenije je primao 3-9 mg/dan kariprazina tokom 20 nedjelja, od čega je 337 primalo kariprazin u rasponu doza od 3 do 6 mg/dan. Stabilizovani pacijenti su tada dvostruko slijepo randomizovani tako da primaju fiksne doze od 3 ili 6 mg kariprazina (n=51) ili placebo (n=51) tokom najviše 72 nedjelje. Primarni ishod ispitivanja je bilo vrijeme do relapsa. Do kraja studije, 49,0% pacijenata koji su primali placebo prema 21,6% pacijenata koji su primali kariprazin imalo je relaps simptoma shizofrenije. Vrijeme do relapsa (92 dana za placebo prema 326 dana za kariprazin – na osnovu 25. percentila) je stoga bilo značajno duže u grupi koja je primala kariprazin nego u grupi koja je primala placebo (p=0,009).</w:t>
      </w:r>
    </w:p>
    <w:p w14:paraId="499DF00F" w14:textId="77777777" w:rsidR="00D16942" w:rsidRPr="009003E2" w:rsidRDefault="00D16942" w:rsidP="00284ACA">
      <w:pPr>
        <w:tabs>
          <w:tab w:val="left" w:pos="540"/>
          <w:tab w:val="left" w:pos="569"/>
        </w:tabs>
        <w:jc w:val="both"/>
        <w:rPr>
          <w:bCs/>
          <w:i/>
          <w:sz w:val="22"/>
          <w:szCs w:val="22"/>
          <w:lang w:val="sr-Latn-ME"/>
        </w:rPr>
      </w:pPr>
    </w:p>
    <w:p w14:paraId="4B0F3AE7" w14:textId="77777777" w:rsidR="00D16942" w:rsidRPr="009003E2" w:rsidRDefault="00D16942" w:rsidP="00284ACA">
      <w:pPr>
        <w:tabs>
          <w:tab w:val="left" w:pos="540"/>
          <w:tab w:val="left" w:pos="569"/>
        </w:tabs>
        <w:jc w:val="both"/>
        <w:rPr>
          <w:bCs/>
          <w:sz w:val="22"/>
          <w:szCs w:val="22"/>
          <w:lang w:val="sr-Latn-ME"/>
        </w:rPr>
      </w:pPr>
      <w:r w:rsidRPr="009003E2">
        <w:rPr>
          <w:bCs/>
          <w:i/>
          <w:sz w:val="22"/>
          <w:szCs w:val="22"/>
          <w:lang w:val="sr-Latn-ME"/>
        </w:rPr>
        <w:t>Efikasnost kod shizofrenije sa predominantno negativnim simptomima</w:t>
      </w:r>
    </w:p>
    <w:p w14:paraId="22538663"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Efikasnost kariprazina u terapiji predominantno negativnih simptoma shizofrenije ispitivana je u 26-nedjeljnoj multicentričnoj, dvostruko slijepoj i aktivno kontrolisanoj kliničkoj studiji. Kariprazin (u rasponu doza od 3-6 mg, ciljna doza 4,5 mg) je ispitivan u poređenju sa risperidonom (raspon doza od 3-6 mg, ciljna doza 4 mg) kod pacijenata sa perzistentnim, predominantno negativnim simptomima shizofrenije (n=461). 86% pacijenata je bilo mlađe od 55 godina, a 54% su bili muškarci.</w:t>
      </w:r>
    </w:p>
    <w:p w14:paraId="79574EF7" w14:textId="77777777" w:rsidR="00D16942" w:rsidRPr="009003E2" w:rsidRDefault="00D16942" w:rsidP="00284ACA">
      <w:pPr>
        <w:tabs>
          <w:tab w:val="left" w:pos="540"/>
          <w:tab w:val="left" w:pos="569"/>
        </w:tabs>
        <w:jc w:val="both"/>
        <w:rPr>
          <w:bCs/>
          <w:sz w:val="22"/>
          <w:szCs w:val="22"/>
          <w:lang w:val="sr-Latn-ME"/>
        </w:rPr>
      </w:pPr>
    </w:p>
    <w:p w14:paraId="257D531E"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Perzistentni predominantno negativni simptomi su bili definisani kao simptomi koji traju tokom perioda od najmanje 6 mjeseci sa visokim stepenom negativnih simptoma i niskim stepenom pozitivnih simptoma [PANSS rezultat za negativne simptome </w:t>
      </w:r>
      <w:bookmarkStart w:id="4" w:name="_Hlk178411169"/>
      <w:r w:rsidRPr="009003E2">
        <w:rPr>
          <w:bCs/>
          <w:sz w:val="22"/>
          <w:szCs w:val="22"/>
          <w:lang w:val="sr-Latn-ME"/>
        </w:rPr>
        <w:t xml:space="preserve">(engl. </w:t>
      </w:r>
      <w:r w:rsidRPr="009003E2">
        <w:rPr>
          <w:bCs/>
          <w:i/>
          <w:iCs/>
          <w:sz w:val="22"/>
          <w:szCs w:val="22"/>
          <w:lang w:val="sr-Latn-ME"/>
        </w:rPr>
        <w:t>factor score for negative symptoms</w:t>
      </w:r>
      <w:r w:rsidRPr="009003E2">
        <w:rPr>
          <w:bCs/>
          <w:sz w:val="22"/>
          <w:szCs w:val="22"/>
          <w:lang w:val="sr-Latn-ME"/>
        </w:rPr>
        <w:t>, FSNS)</w:t>
      </w:r>
      <w:bookmarkEnd w:id="4"/>
      <w:r w:rsidRPr="009003E2">
        <w:rPr>
          <w:bCs/>
          <w:sz w:val="22"/>
          <w:szCs w:val="22"/>
          <w:lang w:val="sr-Latn-ME"/>
        </w:rPr>
        <w:t xml:space="preserve"> ≥ 24, rezultat ≥ 4 za minimalno 2 od 3 PANSS stavke (N1: osjećajna ravnodušnost, N4: avolicija, i N6: osiromašenje govora) i PANSS rezultat za pozitivne simptome ≤ 19]. U ispitivanje nisu bili uključeni pacijenti sa sekundarnim negativnim simptomima, kao što su umjereni do teški simptomi depresije i klinički značajan parkinsonizam (EPS).</w:t>
      </w:r>
    </w:p>
    <w:p w14:paraId="53EA6344" w14:textId="77777777" w:rsidR="00D16942" w:rsidRPr="009003E2" w:rsidRDefault="00D16942" w:rsidP="00284ACA">
      <w:pPr>
        <w:tabs>
          <w:tab w:val="left" w:pos="540"/>
          <w:tab w:val="left" w:pos="569"/>
        </w:tabs>
        <w:jc w:val="both"/>
        <w:rPr>
          <w:bCs/>
          <w:sz w:val="22"/>
          <w:szCs w:val="22"/>
          <w:lang w:val="sr-Latn-ME"/>
        </w:rPr>
      </w:pPr>
    </w:p>
    <w:p w14:paraId="61EEF87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 xml:space="preserve">Statistički značajno poboljšanje pokazalo se i u grupi pacijenata koja je primala kariprazin i u onoj koja je primala risperidon u pogledu promjene  od početne vrijednosti primarnog parametra efikasnosti, rezultata PANSS faktora za negativne simptome (PANSS-FSNS) (p&lt; 0,001). Međutim, statistički značajna razlika (p=0,002) u korist kariprazina prema risperidonu je uočena od 14. nedjelje (Tabela 3). </w:t>
      </w:r>
    </w:p>
    <w:p w14:paraId="27BF32D1" w14:textId="77777777" w:rsidR="00D16942" w:rsidRPr="009003E2" w:rsidRDefault="00D16942" w:rsidP="00284ACA">
      <w:pPr>
        <w:tabs>
          <w:tab w:val="left" w:pos="540"/>
          <w:tab w:val="left" w:pos="569"/>
        </w:tabs>
        <w:jc w:val="both"/>
        <w:rPr>
          <w:bCs/>
          <w:sz w:val="22"/>
          <w:szCs w:val="22"/>
          <w:lang w:val="sr-Latn-ME"/>
        </w:rPr>
      </w:pPr>
      <w:bookmarkStart w:id="5" w:name="_Hlk178192315"/>
      <w:r w:rsidRPr="009003E2">
        <w:rPr>
          <w:bCs/>
          <w:sz w:val="22"/>
          <w:szCs w:val="22"/>
          <w:lang w:val="sr-Latn-ME"/>
        </w:rPr>
        <w:t xml:space="preserve">I u grupi pacijenata koja je primala kariprazin i u onoj  koja je primala risperidon pokazalo se  </w:t>
      </w:r>
      <w:bookmarkEnd w:id="5"/>
      <w:r w:rsidRPr="009003E2">
        <w:rPr>
          <w:bCs/>
          <w:sz w:val="22"/>
          <w:szCs w:val="22"/>
          <w:lang w:val="sr-Latn-ME"/>
        </w:rPr>
        <w:t xml:space="preserve">statistički značajno poboljšanje u promjeni od početne vrijednosti sekundarnog parametra efikasnosti, ukupnog rezultata na skali za lično i društveno funkcionisanje (engl. </w:t>
      </w:r>
      <w:r w:rsidRPr="009003E2">
        <w:rPr>
          <w:bCs/>
          <w:i/>
          <w:sz w:val="22"/>
          <w:szCs w:val="22"/>
          <w:lang w:val="sr-Latn-ME"/>
        </w:rPr>
        <w:t xml:space="preserve">Personal and Social Performance, </w:t>
      </w:r>
      <w:r w:rsidRPr="009003E2">
        <w:rPr>
          <w:bCs/>
          <w:iCs/>
          <w:sz w:val="22"/>
          <w:szCs w:val="22"/>
          <w:lang w:val="sr-Latn-ME"/>
        </w:rPr>
        <w:t>PSP</w:t>
      </w:r>
      <w:r w:rsidRPr="009003E2">
        <w:rPr>
          <w:bCs/>
          <w:sz w:val="22"/>
          <w:szCs w:val="22"/>
          <w:lang w:val="sr-Latn-ME"/>
        </w:rPr>
        <w:t xml:space="preserve">) (p&lt; 0,001). Međutim, statistički značajna razlika (p=0,001) u korist kariprazina prema risperidonu je uočena od 10. nedjelje nadalje (Tabela 3). </w:t>
      </w:r>
    </w:p>
    <w:p w14:paraId="6D0D553D" w14:textId="77777777" w:rsidR="00D16942" w:rsidRPr="009003E2" w:rsidRDefault="00D16942" w:rsidP="00284ACA">
      <w:pPr>
        <w:tabs>
          <w:tab w:val="left" w:pos="540"/>
          <w:tab w:val="left" w:pos="569"/>
        </w:tabs>
        <w:jc w:val="both"/>
        <w:rPr>
          <w:bCs/>
          <w:sz w:val="22"/>
          <w:szCs w:val="22"/>
          <w:lang w:val="sr-Latn-ME"/>
        </w:rPr>
      </w:pPr>
    </w:p>
    <w:p w14:paraId="338BF2C8" w14:textId="77777777" w:rsidR="00D16942" w:rsidRPr="009003E2" w:rsidRDefault="00D16942" w:rsidP="00284ACA">
      <w:pPr>
        <w:tabs>
          <w:tab w:val="left" w:pos="540"/>
          <w:tab w:val="left" w:pos="569"/>
        </w:tabs>
        <w:jc w:val="both"/>
        <w:rPr>
          <w:bCs/>
          <w:sz w:val="22"/>
          <w:szCs w:val="22"/>
          <w:lang w:val="sr-Latn-ME"/>
        </w:rPr>
      </w:pPr>
      <w:bookmarkStart w:id="6" w:name="_Hlk178415426"/>
      <w:r w:rsidRPr="009003E2">
        <w:rPr>
          <w:bCs/>
          <w:sz w:val="22"/>
          <w:szCs w:val="22"/>
          <w:lang w:val="sr-Latn-ME"/>
        </w:rPr>
        <w:t>Razlike u rezultatima na skali opšteg kliničkog utiska težine bolesti i poboljšanja (p&lt;0,001), kao i u stopama odgovora merenih skalom PANSS-FSNS (PANSS FSNS ≥ 30% poboljšanja u 26. nedjelji; p= 0,003) su podržale nalaze primarnih i sekundarnih parametara efikasnosti.</w:t>
      </w:r>
    </w:p>
    <w:bookmarkEnd w:id="6"/>
    <w:p w14:paraId="1AEDB29B" w14:textId="77777777" w:rsidR="00D16942" w:rsidRPr="009003E2" w:rsidRDefault="00D16942" w:rsidP="00284ACA">
      <w:pPr>
        <w:tabs>
          <w:tab w:val="left" w:pos="540"/>
          <w:tab w:val="left" w:pos="569"/>
        </w:tabs>
        <w:jc w:val="both"/>
        <w:rPr>
          <w:b/>
          <w:bCs/>
          <w:sz w:val="22"/>
          <w:szCs w:val="22"/>
          <w:lang w:val="sr-Latn-ME"/>
        </w:rPr>
      </w:pPr>
    </w:p>
    <w:p w14:paraId="2BE9B6E2"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Tabela 3. Sažetak rezultata ispitivanja RGH-188-005</w:t>
      </w:r>
    </w:p>
    <w:p w14:paraId="4019B605" w14:textId="77777777" w:rsidR="00D16942" w:rsidRPr="009003E2" w:rsidRDefault="00D16942" w:rsidP="00284ACA">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1381"/>
        <w:gridCol w:w="1308"/>
        <w:gridCol w:w="1499"/>
        <w:gridCol w:w="1033"/>
        <w:gridCol w:w="1454"/>
      </w:tblGrid>
      <w:tr w:rsidR="00D16942" w:rsidRPr="009003E2" w14:paraId="1327C21F" w14:textId="77777777" w:rsidTr="00C3427A">
        <w:tc>
          <w:tcPr>
            <w:tcW w:w="2808" w:type="dxa"/>
            <w:shd w:val="clear" w:color="auto" w:fill="auto"/>
            <w:vAlign w:val="center"/>
          </w:tcPr>
          <w:p w14:paraId="3568C751"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Parametar efikasnosti</w:t>
            </w:r>
          </w:p>
        </w:tc>
        <w:tc>
          <w:tcPr>
            <w:tcW w:w="1440" w:type="dxa"/>
            <w:shd w:val="clear" w:color="auto" w:fill="auto"/>
            <w:vAlign w:val="center"/>
          </w:tcPr>
          <w:p w14:paraId="0FB33EAD"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LS srednja</w:t>
            </w:r>
          </w:p>
          <w:p w14:paraId="6A783AED"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vrijednost</w:t>
            </w:r>
          </w:p>
          <w:p w14:paraId="21798C43"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za</w:t>
            </w:r>
          </w:p>
          <w:p w14:paraId="4F06AAF9"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kariprazin</w:t>
            </w:r>
          </w:p>
        </w:tc>
        <w:tc>
          <w:tcPr>
            <w:tcW w:w="1350" w:type="dxa"/>
            <w:shd w:val="clear" w:color="auto" w:fill="auto"/>
            <w:vAlign w:val="center"/>
          </w:tcPr>
          <w:p w14:paraId="4DD9FAFB"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LS srednja</w:t>
            </w:r>
          </w:p>
          <w:p w14:paraId="3E7E57EF"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vrijednost</w:t>
            </w:r>
          </w:p>
          <w:p w14:paraId="1000431E"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za</w:t>
            </w:r>
          </w:p>
          <w:p w14:paraId="751BA0D3"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risperidon</w:t>
            </w:r>
          </w:p>
        </w:tc>
        <w:tc>
          <w:tcPr>
            <w:tcW w:w="1530" w:type="dxa"/>
            <w:shd w:val="clear" w:color="auto" w:fill="auto"/>
            <w:vAlign w:val="center"/>
          </w:tcPr>
          <w:p w14:paraId="3FF5B111"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Procijenjena</w:t>
            </w:r>
          </w:p>
          <w:p w14:paraId="4F96C11A"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razlika</w:t>
            </w:r>
          </w:p>
          <w:p w14:paraId="657AD9CF" w14:textId="77777777" w:rsidR="00D16942" w:rsidRPr="009003E2" w:rsidRDefault="00D16942" w:rsidP="00284ACA">
            <w:pPr>
              <w:tabs>
                <w:tab w:val="left" w:pos="540"/>
                <w:tab w:val="left" w:pos="569"/>
              </w:tabs>
              <w:jc w:val="both"/>
              <w:rPr>
                <w:b/>
                <w:bCs/>
                <w:sz w:val="22"/>
                <w:szCs w:val="22"/>
                <w:lang w:val="sr-Latn-ME"/>
              </w:rPr>
            </w:pPr>
            <w:r w:rsidRPr="009003E2">
              <w:rPr>
                <w:b/>
                <w:bCs/>
                <w:sz w:val="22"/>
                <w:szCs w:val="22"/>
                <w:lang w:val="sr-Latn-ME"/>
              </w:rPr>
              <w:t>između</w:t>
            </w:r>
          </w:p>
          <w:p w14:paraId="3502D276"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terapija</w:t>
            </w:r>
          </w:p>
        </w:tc>
        <w:tc>
          <w:tcPr>
            <w:tcW w:w="1170" w:type="dxa"/>
            <w:shd w:val="clear" w:color="auto" w:fill="auto"/>
            <w:vAlign w:val="center"/>
          </w:tcPr>
          <w:p w14:paraId="4850C0CC"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95% CI</w:t>
            </w:r>
          </w:p>
        </w:tc>
        <w:tc>
          <w:tcPr>
            <w:tcW w:w="1557" w:type="dxa"/>
            <w:shd w:val="clear" w:color="auto" w:fill="auto"/>
            <w:vAlign w:val="center"/>
          </w:tcPr>
          <w:p w14:paraId="5D013A55" w14:textId="77777777" w:rsidR="00D16942" w:rsidRPr="009003E2" w:rsidRDefault="00D16942" w:rsidP="00284ACA">
            <w:pPr>
              <w:tabs>
                <w:tab w:val="left" w:pos="540"/>
                <w:tab w:val="left" w:pos="569"/>
              </w:tabs>
              <w:jc w:val="both"/>
              <w:rPr>
                <w:bCs/>
                <w:sz w:val="22"/>
                <w:szCs w:val="22"/>
                <w:lang w:val="sr-Latn-ME"/>
              </w:rPr>
            </w:pPr>
            <w:r w:rsidRPr="009003E2">
              <w:rPr>
                <w:b/>
                <w:bCs/>
                <w:sz w:val="22"/>
                <w:szCs w:val="22"/>
                <w:lang w:val="sr-Latn-ME"/>
              </w:rPr>
              <w:t>p-vrijednost</w:t>
            </w:r>
          </w:p>
        </w:tc>
      </w:tr>
      <w:tr w:rsidR="00D16942" w:rsidRPr="009003E2" w14:paraId="23536D9C" w14:textId="77777777" w:rsidTr="00C3427A">
        <w:tc>
          <w:tcPr>
            <w:tcW w:w="2808" w:type="dxa"/>
            <w:shd w:val="clear" w:color="auto" w:fill="auto"/>
          </w:tcPr>
          <w:p w14:paraId="774EE0A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Početni PANSS-FSNS rezultat</w:t>
            </w:r>
          </w:p>
          <w:p w14:paraId="280E1647" w14:textId="77777777" w:rsidR="00D16942" w:rsidRPr="009003E2" w:rsidRDefault="00D16942" w:rsidP="00284ACA">
            <w:pPr>
              <w:tabs>
                <w:tab w:val="left" w:pos="540"/>
                <w:tab w:val="left" w:pos="569"/>
              </w:tabs>
              <w:jc w:val="both"/>
              <w:rPr>
                <w:bCs/>
                <w:sz w:val="22"/>
                <w:szCs w:val="22"/>
                <w:lang w:val="sr-Latn-ME"/>
              </w:rPr>
            </w:pPr>
          </w:p>
        </w:tc>
        <w:tc>
          <w:tcPr>
            <w:tcW w:w="1440" w:type="dxa"/>
            <w:shd w:val="clear" w:color="auto" w:fill="auto"/>
            <w:vAlign w:val="center"/>
          </w:tcPr>
          <w:p w14:paraId="3F797BE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27,8</w:t>
            </w:r>
          </w:p>
        </w:tc>
        <w:tc>
          <w:tcPr>
            <w:tcW w:w="1350" w:type="dxa"/>
            <w:shd w:val="clear" w:color="auto" w:fill="auto"/>
            <w:vAlign w:val="center"/>
          </w:tcPr>
          <w:p w14:paraId="3294470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27,5</w:t>
            </w:r>
          </w:p>
        </w:tc>
        <w:tc>
          <w:tcPr>
            <w:tcW w:w="1530" w:type="dxa"/>
            <w:shd w:val="clear" w:color="auto" w:fill="auto"/>
            <w:vAlign w:val="center"/>
          </w:tcPr>
          <w:p w14:paraId="7D74E0A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170" w:type="dxa"/>
            <w:shd w:val="clear" w:color="auto" w:fill="auto"/>
            <w:vAlign w:val="center"/>
          </w:tcPr>
          <w:p w14:paraId="07DA7694"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557" w:type="dxa"/>
            <w:shd w:val="clear" w:color="auto" w:fill="auto"/>
            <w:vAlign w:val="center"/>
          </w:tcPr>
          <w:p w14:paraId="6303C96E"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4FFC7EDD" w14:textId="77777777" w:rsidTr="00C3427A">
        <w:tc>
          <w:tcPr>
            <w:tcW w:w="2808" w:type="dxa"/>
            <w:shd w:val="clear" w:color="auto" w:fill="auto"/>
          </w:tcPr>
          <w:p w14:paraId="52A0BBA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PANSS-FSNS rezultat u 26. nedjelji</w:t>
            </w:r>
          </w:p>
        </w:tc>
        <w:tc>
          <w:tcPr>
            <w:tcW w:w="1440" w:type="dxa"/>
            <w:shd w:val="clear" w:color="auto" w:fill="auto"/>
            <w:vAlign w:val="center"/>
          </w:tcPr>
          <w:p w14:paraId="7B4D036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18,5</w:t>
            </w:r>
          </w:p>
        </w:tc>
        <w:tc>
          <w:tcPr>
            <w:tcW w:w="1350" w:type="dxa"/>
            <w:shd w:val="clear" w:color="auto" w:fill="auto"/>
            <w:vAlign w:val="center"/>
          </w:tcPr>
          <w:p w14:paraId="5487CC7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19,6</w:t>
            </w:r>
          </w:p>
        </w:tc>
        <w:tc>
          <w:tcPr>
            <w:tcW w:w="1530" w:type="dxa"/>
            <w:shd w:val="clear" w:color="auto" w:fill="auto"/>
            <w:vAlign w:val="center"/>
          </w:tcPr>
          <w:p w14:paraId="78BD14C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170" w:type="dxa"/>
            <w:shd w:val="clear" w:color="auto" w:fill="auto"/>
            <w:vAlign w:val="center"/>
          </w:tcPr>
          <w:p w14:paraId="08D20A2E"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557" w:type="dxa"/>
            <w:shd w:val="clear" w:color="auto" w:fill="auto"/>
            <w:vAlign w:val="center"/>
          </w:tcPr>
          <w:p w14:paraId="7CDD471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7D88C225" w14:textId="77777777" w:rsidTr="00C3427A">
        <w:trPr>
          <w:trHeight w:val="867"/>
        </w:trPr>
        <w:tc>
          <w:tcPr>
            <w:tcW w:w="2808" w:type="dxa"/>
            <w:shd w:val="clear" w:color="auto" w:fill="auto"/>
          </w:tcPr>
          <w:p w14:paraId="249BD1E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Promjena rezultata PANSS-FSNS od početka ispitivanja do 26. nedjelje</w:t>
            </w:r>
          </w:p>
        </w:tc>
        <w:tc>
          <w:tcPr>
            <w:tcW w:w="1440" w:type="dxa"/>
            <w:shd w:val="clear" w:color="auto" w:fill="auto"/>
            <w:vAlign w:val="center"/>
          </w:tcPr>
          <w:p w14:paraId="08D0812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-8,9</w:t>
            </w:r>
          </w:p>
        </w:tc>
        <w:tc>
          <w:tcPr>
            <w:tcW w:w="1350" w:type="dxa"/>
            <w:shd w:val="clear" w:color="auto" w:fill="auto"/>
            <w:vAlign w:val="center"/>
          </w:tcPr>
          <w:p w14:paraId="41F7A72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-7,4</w:t>
            </w:r>
          </w:p>
        </w:tc>
        <w:tc>
          <w:tcPr>
            <w:tcW w:w="1530" w:type="dxa"/>
            <w:shd w:val="clear" w:color="auto" w:fill="auto"/>
            <w:vAlign w:val="center"/>
          </w:tcPr>
          <w:p w14:paraId="54D3A7C1"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-1,5</w:t>
            </w:r>
          </w:p>
        </w:tc>
        <w:tc>
          <w:tcPr>
            <w:tcW w:w="1170" w:type="dxa"/>
            <w:shd w:val="clear" w:color="auto" w:fill="auto"/>
            <w:vAlign w:val="center"/>
          </w:tcPr>
          <w:p w14:paraId="56D7803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-2,4: -0,5</w:t>
            </w:r>
          </w:p>
        </w:tc>
        <w:tc>
          <w:tcPr>
            <w:tcW w:w="1557" w:type="dxa"/>
            <w:shd w:val="clear" w:color="auto" w:fill="auto"/>
            <w:vAlign w:val="center"/>
          </w:tcPr>
          <w:p w14:paraId="245F77E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0,002</w:t>
            </w:r>
          </w:p>
        </w:tc>
      </w:tr>
      <w:tr w:rsidR="00D16942" w:rsidRPr="009003E2" w14:paraId="70D4CB40" w14:textId="77777777" w:rsidTr="00C3427A">
        <w:tc>
          <w:tcPr>
            <w:tcW w:w="2808" w:type="dxa"/>
            <w:shd w:val="clear" w:color="auto" w:fill="auto"/>
          </w:tcPr>
          <w:p w14:paraId="028CF9B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lastRenderedPageBreak/>
              <w:t>Ukupni rezultat na skali PSP na početku ispitivanja</w:t>
            </w:r>
          </w:p>
        </w:tc>
        <w:tc>
          <w:tcPr>
            <w:tcW w:w="1440" w:type="dxa"/>
            <w:shd w:val="clear" w:color="auto" w:fill="auto"/>
            <w:vAlign w:val="center"/>
          </w:tcPr>
          <w:p w14:paraId="7555512C"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48,8</w:t>
            </w:r>
          </w:p>
        </w:tc>
        <w:tc>
          <w:tcPr>
            <w:tcW w:w="1350" w:type="dxa"/>
            <w:shd w:val="clear" w:color="auto" w:fill="auto"/>
            <w:vAlign w:val="center"/>
          </w:tcPr>
          <w:p w14:paraId="651807C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48,2</w:t>
            </w:r>
          </w:p>
        </w:tc>
        <w:tc>
          <w:tcPr>
            <w:tcW w:w="1530" w:type="dxa"/>
            <w:shd w:val="clear" w:color="auto" w:fill="auto"/>
            <w:vAlign w:val="center"/>
          </w:tcPr>
          <w:p w14:paraId="65F086A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170" w:type="dxa"/>
            <w:shd w:val="clear" w:color="auto" w:fill="auto"/>
            <w:vAlign w:val="center"/>
          </w:tcPr>
          <w:p w14:paraId="576AE1E7"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557" w:type="dxa"/>
            <w:shd w:val="clear" w:color="auto" w:fill="auto"/>
            <w:vAlign w:val="center"/>
          </w:tcPr>
          <w:p w14:paraId="3A6932F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2DACAFEE" w14:textId="77777777" w:rsidTr="00C3427A">
        <w:tc>
          <w:tcPr>
            <w:tcW w:w="2808" w:type="dxa"/>
            <w:shd w:val="clear" w:color="auto" w:fill="auto"/>
          </w:tcPr>
          <w:p w14:paraId="2E8645D2"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Ukupni rezultat</w:t>
            </w:r>
          </w:p>
          <w:p w14:paraId="70314E98"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na skali PSP u 26. nedjelji</w:t>
            </w:r>
          </w:p>
        </w:tc>
        <w:tc>
          <w:tcPr>
            <w:tcW w:w="1440" w:type="dxa"/>
            <w:shd w:val="clear" w:color="auto" w:fill="auto"/>
            <w:vAlign w:val="center"/>
          </w:tcPr>
          <w:p w14:paraId="2EA11E1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64,0</w:t>
            </w:r>
          </w:p>
        </w:tc>
        <w:tc>
          <w:tcPr>
            <w:tcW w:w="1350" w:type="dxa"/>
            <w:shd w:val="clear" w:color="auto" w:fill="auto"/>
            <w:vAlign w:val="center"/>
          </w:tcPr>
          <w:p w14:paraId="760C68B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59,7</w:t>
            </w:r>
          </w:p>
        </w:tc>
        <w:tc>
          <w:tcPr>
            <w:tcW w:w="1530" w:type="dxa"/>
            <w:shd w:val="clear" w:color="auto" w:fill="auto"/>
            <w:vAlign w:val="center"/>
          </w:tcPr>
          <w:p w14:paraId="551B1BB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170" w:type="dxa"/>
            <w:shd w:val="clear" w:color="auto" w:fill="auto"/>
            <w:vAlign w:val="center"/>
          </w:tcPr>
          <w:p w14:paraId="0C0200B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c>
          <w:tcPr>
            <w:tcW w:w="1557" w:type="dxa"/>
            <w:shd w:val="clear" w:color="auto" w:fill="auto"/>
            <w:vAlign w:val="center"/>
          </w:tcPr>
          <w:p w14:paraId="43E119E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w:t>
            </w:r>
          </w:p>
        </w:tc>
      </w:tr>
      <w:tr w:rsidR="00D16942" w:rsidRPr="009003E2" w14:paraId="52ABEC64" w14:textId="77777777" w:rsidTr="00C3427A">
        <w:tc>
          <w:tcPr>
            <w:tcW w:w="2808" w:type="dxa"/>
            <w:shd w:val="clear" w:color="auto" w:fill="auto"/>
          </w:tcPr>
          <w:p w14:paraId="54E6099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Promjena ukupnog rezultata na skali PSP od početka ispitivanja do 26. nedjelje</w:t>
            </w:r>
          </w:p>
        </w:tc>
        <w:tc>
          <w:tcPr>
            <w:tcW w:w="1440" w:type="dxa"/>
            <w:shd w:val="clear" w:color="auto" w:fill="auto"/>
            <w:vAlign w:val="center"/>
          </w:tcPr>
          <w:p w14:paraId="180AAE5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14,3</w:t>
            </w:r>
          </w:p>
        </w:tc>
        <w:tc>
          <w:tcPr>
            <w:tcW w:w="1350" w:type="dxa"/>
            <w:shd w:val="clear" w:color="auto" w:fill="auto"/>
            <w:vAlign w:val="center"/>
          </w:tcPr>
          <w:p w14:paraId="6CCDFF56"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9,7</w:t>
            </w:r>
          </w:p>
        </w:tc>
        <w:tc>
          <w:tcPr>
            <w:tcW w:w="1530" w:type="dxa"/>
            <w:shd w:val="clear" w:color="auto" w:fill="auto"/>
            <w:vAlign w:val="center"/>
          </w:tcPr>
          <w:p w14:paraId="35C98300"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4,6</w:t>
            </w:r>
          </w:p>
        </w:tc>
        <w:tc>
          <w:tcPr>
            <w:tcW w:w="1170" w:type="dxa"/>
            <w:shd w:val="clear" w:color="auto" w:fill="auto"/>
            <w:vAlign w:val="center"/>
          </w:tcPr>
          <w:p w14:paraId="0EB35B1D"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2,7; 6,6</w:t>
            </w:r>
          </w:p>
        </w:tc>
        <w:tc>
          <w:tcPr>
            <w:tcW w:w="1557" w:type="dxa"/>
            <w:shd w:val="clear" w:color="auto" w:fill="auto"/>
            <w:vAlign w:val="center"/>
          </w:tcPr>
          <w:p w14:paraId="11BB1F49"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&lt; 0,001</w:t>
            </w:r>
          </w:p>
        </w:tc>
      </w:tr>
    </w:tbl>
    <w:p w14:paraId="28988D00" w14:textId="77777777" w:rsidR="00D16942" w:rsidRPr="009003E2" w:rsidRDefault="00D16942" w:rsidP="00284ACA">
      <w:pPr>
        <w:tabs>
          <w:tab w:val="left" w:pos="540"/>
          <w:tab w:val="left" w:pos="569"/>
        </w:tabs>
        <w:jc w:val="both"/>
        <w:rPr>
          <w:bCs/>
          <w:sz w:val="22"/>
          <w:szCs w:val="22"/>
          <w:lang w:val="sr-Latn-ME"/>
        </w:rPr>
      </w:pPr>
    </w:p>
    <w:p w14:paraId="7F65F636" w14:textId="77777777" w:rsidR="00D16942" w:rsidRPr="009003E2" w:rsidRDefault="00D16942" w:rsidP="00284ACA">
      <w:pPr>
        <w:tabs>
          <w:tab w:val="left" w:pos="540"/>
          <w:tab w:val="left" w:pos="569"/>
        </w:tabs>
        <w:jc w:val="both"/>
        <w:rPr>
          <w:bCs/>
          <w:i/>
          <w:iCs/>
          <w:sz w:val="22"/>
          <w:szCs w:val="22"/>
          <w:lang w:val="sr-Latn-ME"/>
        </w:rPr>
      </w:pPr>
      <w:r w:rsidRPr="009003E2">
        <w:rPr>
          <w:bCs/>
          <w:i/>
          <w:iCs/>
          <w:sz w:val="22"/>
          <w:szCs w:val="22"/>
          <w:lang w:val="sr-Latn-ME"/>
        </w:rPr>
        <w:t>Pedijatrijska populacija</w:t>
      </w:r>
    </w:p>
    <w:p w14:paraId="05A3852F" w14:textId="77777777" w:rsidR="00D16942" w:rsidRPr="009003E2" w:rsidRDefault="00D16942" w:rsidP="00284ACA">
      <w:pPr>
        <w:tabs>
          <w:tab w:val="left" w:pos="540"/>
          <w:tab w:val="left" w:pos="569"/>
        </w:tabs>
        <w:jc w:val="both"/>
        <w:rPr>
          <w:bCs/>
          <w:sz w:val="22"/>
          <w:szCs w:val="22"/>
          <w:lang w:val="sr-Latn-ME"/>
        </w:rPr>
      </w:pPr>
      <w:r w:rsidRPr="009003E2">
        <w:rPr>
          <w:bCs/>
          <w:sz w:val="22"/>
          <w:szCs w:val="22"/>
          <w:lang w:val="sr-Latn-ME"/>
        </w:rPr>
        <w:t>Evropska agencija za ljekove odložila je obavezu podnošenja rezultata ispitivanja sa kariprazinom u jednom ili više podgrupa pedijatrijske populacije kod liječenja shizofrenije. Vidjeti dio 4.2 za informacije o pedijatrijskoj primjeni.</w:t>
      </w:r>
    </w:p>
    <w:p w14:paraId="782F5C5C" w14:textId="77777777" w:rsidR="002E37A5" w:rsidRPr="009003E2" w:rsidRDefault="002E37A5" w:rsidP="00284ACA">
      <w:pPr>
        <w:tabs>
          <w:tab w:val="left" w:pos="540"/>
          <w:tab w:val="left" w:pos="569"/>
        </w:tabs>
        <w:jc w:val="both"/>
        <w:rPr>
          <w:b/>
          <w:bCs/>
          <w:sz w:val="22"/>
          <w:szCs w:val="22"/>
          <w:lang w:val="sr-Latn-ME"/>
        </w:rPr>
      </w:pPr>
    </w:p>
    <w:p w14:paraId="4BF7406A"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5.2. </w:t>
      </w:r>
      <w:r w:rsidR="00480FB1" w:rsidRPr="009003E2">
        <w:rPr>
          <w:b/>
          <w:bCs/>
          <w:sz w:val="22"/>
          <w:szCs w:val="22"/>
          <w:lang w:val="sr-Latn-ME"/>
        </w:rPr>
        <w:tab/>
      </w:r>
      <w:r w:rsidRPr="009003E2">
        <w:rPr>
          <w:b/>
          <w:bCs/>
          <w:sz w:val="22"/>
          <w:szCs w:val="22"/>
          <w:lang w:val="sr-Latn-ME"/>
        </w:rPr>
        <w:t>Farmakokinetički podaci</w:t>
      </w:r>
      <w:r w:rsidR="003A7059" w:rsidRPr="009003E2">
        <w:rPr>
          <w:b/>
          <w:bCs/>
          <w:sz w:val="22"/>
          <w:szCs w:val="22"/>
          <w:lang w:val="sr-Latn-ME"/>
        </w:rPr>
        <w:t xml:space="preserve"> </w:t>
      </w:r>
    </w:p>
    <w:p w14:paraId="676EFA3F" w14:textId="77777777" w:rsidR="0072020E" w:rsidRPr="009003E2" w:rsidRDefault="0072020E" w:rsidP="00284ACA">
      <w:pPr>
        <w:tabs>
          <w:tab w:val="left" w:pos="540"/>
          <w:tab w:val="left" w:pos="569"/>
        </w:tabs>
        <w:jc w:val="both"/>
        <w:rPr>
          <w:bCs/>
          <w:sz w:val="22"/>
          <w:szCs w:val="22"/>
          <w:lang w:val="sr-Latn-ME"/>
        </w:rPr>
      </w:pPr>
    </w:p>
    <w:p w14:paraId="342DE75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bCs/>
          <w:sz w:val="22"/>
          <w:szCs w:val="22"/>
          <w:lang w:val="sr-Latn-ME"/>
        </w:rPr>
        <w:t xml:space="preserve">Kariprazin ima dva farmakološki aktivna metabolita sa sličnim aktivnostima, </w:t>
      </w:r>
      <w:r w:rsidRPr="009003E2">
        <w:rPr>
          <w:rFonts w:eastAsiaTheme="minorHAnsi"/>
          <w:sz w:val="22"/>
          <w:szCs w:val="22"/>
          <w:lang w:val="sr-Latn-ME"/>
        </w:rPr>
        <w:t>dezmetilkariprazin (DCAR) i didezmetilkariprazin (DDCAR). Izloženost ukupnom kariprazinu (suma kariprazin + DCAR i DDCAR) se približava 50% izloženosti u ravnotežnom stanju nakon ~ 1 nedjelje svakodnevne primjene, dok se 90% stanja ravnoteže dostiže nakon 3 nedjelje. U ravnotežnom stanju, izloženost DDCAR je približno dva do tri puta veća od izloženosti kariprazinu, dok izloženost DCAR iznosi približno 30% od izloženosti kariprazinu.</w:t>
      </w:r>
    </w:p>
    <w:p w14:paraId="6010FE66" w14:textId="77777777" w:rsidR="00D16942" w:rsidRPr="009003E2" w:rsidRDefault="00D16942" w:rsidP="00284ACA">
      <w:pPr>
        <w:tabs>
          <w:tab w:val="left" w:pos="284"/>
        </w:tabs>
        <w:jc w:val="both"/>
        <w:rPr>
          <w:rFonts w:eastAsiaTheme="minorHAnsi"/>
          <w:sz w:val="22"/>
          <w:szCs w:val="22"/>
          <w:lang w:val="sr-Latn-ME"/>
        </w:rPr>
      </w:pPr>
    </w:p>
    <w:p w14:paraId="06FC6A52"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Resorpcija</w:t>
      </w:r>
    </w:p>
    <w:p w14:paraId="1C878869" w14:textId="77777777" w:rsidR="00D16942" w:rsidRPr="009003E2" w:rsidRDefault="00D16942" w:rsidP="00284ACA">
      <w:pPr>
        <w:tabs>
          <w:tab w:val="left" w:pos="284"/>
        </w:tabs>
        <w:jc w:val="both"/>
        <w:rPr>
          <w:rFonts w:eastAsiaTheme="minorHAnsi"/>
          <w:sz w:val="22"/>
          <w:szCs w:val="22"/>
          <w:lang w:val="sr-Latn-ME"/>
        </w:rPr>
      </w:pPr>
    </w:p>
    <w:p w14:paraId="1688D59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Apsolutna bioraspoloživost kariprazina nije poznata. Kariprazin se dobro resorbuje nakon oralne primjene. Nakon primjene višestrukih doza,  maksimalne plazmatske  koncentracije kariprazina i glavnih aktivnih metabolita se uglavnom javljaju 3-8 sati nakon primjene doze.</w:t>
      </w:r>
    </w:p>
    <w:p w14:paraId="1A7723EE"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Primjena pojedinačne doze kariprazina od 1,5 mg uz obrok sa visokim udjelom masti (900-1000 kalorija) nije značajno uticala na vrijednosti C</w:t>
      </w:r>
      <w:r w:rsidRPr="009003E2">
        <w:rPr>
          <w:rFonts w:eastAsiaTheme="minorHAnsi"/>
          <w:sz w:val="22"/>
          <w:szCs w:val="22"/>
          <w:vertAlign w:val="subscript"/>
          <w:lang w:val="sr-Latn-ME"/>
        </w:rPr>
        <w:t>max</w:t>
      </w:r>
      <w:r w:rsidRPr="009003E2">
        <w:rPr>
          <w:rFonts w:eastAsiaTheme="minorHAnsi"/>
          <w:sz w:val="22"/>
          <w:szCs w:val="22"/>
          <w:lang w:val="sr-Latn-ME"/>
        </w:rPr>
        <w:t xml:space="preserve"> ili PIK kariprazina (vrijednost PIK</w:t>
      </w:r>
      <w:r w:rsidRPr="009003E2">
        <w:rPr>
          <w:rFonts w:eastAsiaTheme="minorHAnsi"/>
          <w:sz w:val="22"/>
          <w:szCs w:val="22"/>
          <w:vertAlign w:val="subscript"/>
          <w:lang w:val="sr-Latn-ME"/>
        </w:rPr>
        <w:t>0-∞</w:t>
      </w:r>
      <w:r w:rsidRPr="009003E2">
        <w:rPr>
          <w:rFonts w:eastAsiaTheme="minorHAnsi"/>
          <w:sz w:val="22"/>
          <w:szCs w:val="22"/>
          <w:lang w:val="sr-Latn-ME"/>
        </w:rPr>
        <w:t xml:space="preserve"> se povećala za 12%, dok se vrijednost C</w:t>
      </w:r>
      <w:r w:rsidRPr="009003E2">
        <w:rPr>
          <w:rFonts w:eastAsiaTheme="minorHAnsi"/>
          <w:sz w:val="22"/>
          <w:szCs w:val="22"/>
          <w:vertAlign w:val="subscript"/>
          <w:lang w:val="sr-Latn-ME"/>
        </w:rPr>
        <w:t>max</w:t>
      </w:r>
      <w:r w:rsidRPr="009003E2">
        <w:rPr>
          <w:rFonts w:eastAsiaTheme="minorHAnsi"/>
          <w:sz w:val="22"/>
          <w:szCs w:val="22"/>
          <w:lang w:val="sr-Latn-ME"/>
        </w:rPr>
        <w:t xml:space="preserve"> smanjila za &lt; 5% prilikom primjene sa hranom u odnosu na primjenu natašte). Uticaj hrane na izloženost metabolitima DCAR i DDCAR je takođe bio minimalan.</w:t>
      </w:r>
    </w:p>
    <w:p w14:paraId="67AA10AA" w14:textId="77777777" w:rsidR="00D16942" w:rsidRPr="009003E2" w:rsidRDefault="00D16942" w:rsidP="00284ACA">
      <w:pPr>
        <w:tabs>
          <w:tab w:val="left" w:pos="284"/>
        </w:tabs>
        <w:jc w:val="both"/>
        <w:rPr>
          <w:rFonts w:eastAsiaTheme="minorHAnsi"/>
          <w:sz w:val="22"/>
          <w:szCs w:val="22"/>
          <w:lang w:val="sr-Latn-ME"/>
        </w:rPr>
      </w:pPr>
    </w:p>
    <w:p w14:paraId="024E343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se može primjenjivati sa hranom ili bez hrane.</w:t>
      </w:r>
    </w:p>
    <w:p w14:paraId="0D36998C" w14:textId="77777777" w:rsidR="00D16942" w:rsidRPr="009003E2" w:rsidRDefault="00D16942" w:rsidP="00284ACA">
      <w:pPr>
        <w:tabs>
          <w:tab w:val="left" w:pos="284"/>
        </w:tabs>
        <w:jc w:val="both"/>
        <w:rPr>
          <w:rFonts w:eastAsiaTheme="minorHAnsi"/>
          <w:sz w:val="22"/>
          <w:szCs w:val="22"/>
          <w:lang w:val="sr-Latn-ME"/>
        </w:rPr>
      </w:pPr>
    </w:p>
    <w:p w14:paraId="02AD48BD"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Distribucija</w:t>
      </w:r>
    </w:p>
    <w:p w14:paraId="4CCC1999" w14:textId="77777777" w:rsidR="00D16942" w:rsidRPr="009003E2" w:rsidRDefault="00D16942" w:rsidP="00284ACA">
      <w:pPr>
        <w:tabs>
          <w:tab w:val="left" w:pos="284"/>
        </w:tabs>
        <w:jc w:val="both"/>
        <w:rPr>
          <w:rFonts w:eastAsiaTheme="minorHAnsi"/>
          <w:sz w:val="22"/>
          <w:szCs w:val="22"/>
          <w:lang w:val="sr-Latn-ME"/>
        </w:rPr>
      </w:pPr>
    </w:p>
    <w:p w14:paraId="4CFECDD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Na osnovu populacione farmakokinetičke analize, prividan volumen distribucije (V/F) je iznosio 916 L za kariprazin, 475 L za DCAR i 1568 L za DDCAR, što ukazuje na obimnu distribuciju kariprazina i njegovih glavnih aktivnih metabolita. Kariprazin i njegovi glavni aktivni metaboliti se u velikoj mjeri vezuju za proteine plazme (96 do 97% za kariprazin, 94% do 97% za DCAR i 92% do 97% za DDCAR).</w:t>
      </w:r>
    </w:p>
    <w:p w14:paraId="662B9116" w14:textId="77777777" w:rsidR="00D16942" w:rsidRPr="009003E2" w:rsidRDefault="00D16942" w:rsidP="00284ACA">
      <w:pPr>
        <w:tabs>
          <w:tab w:val="left" w:pos="284"/>
        </w:tabs>
        <w:jc w:val="both"/>
        <w:rPr>
          <w:rFonts w:eastAsiaTheme="minorHAnsi"/>
          <w:sz w:val="22"/>
          <w:szCs w:val="22"/>
          <w:lang w:val="sr-Latn-ME"/>
        </w:rPr>
      </w:pPr>
    </w:p>
    <w:p w14:paraId="3069ECF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Biotransformacija</w:t>
      </w:r>
    </w:p>
    <w:p w14:paraId="6AB539EA" w14:textId="77777777" w:rsidR="00D16942" w:rsidRPr="009003E2" w:rsidRDefault="00D16942" w:rsidP="00284ACA">
      <w:pPr>
        <w:tabs>
          <w:tab w:val="left" w:pos="284"/>
        </w:tabs>
        <w:jc w:val="both"/>
        <w:rPr>
          <w:rFonts w:eastAsiaTheme="minorHAnsi"/>
          <w:sz w:val="22"/>
          <w:szCs w:val="22"/>
          <w:lang w:val="sr-Latn-ME"/>
        </w:rPr>
      </w:pPr>
    </w:p>
    <w:p w14:paraId="457BB2F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Metabolizam kariprazina uključuje demetilaciju (DCAR i DDCAR), hidroksilaciju (hidroksikariprazin, HCAR) i kombinaciju demetilacije i hidroksilacije (hidroksidezmetilkariprazin, HDCAR i hidroksididezmetilkariprazin, HDDCAR). Metaboliti HCAR, HDCAR i HDDCAR se zatim biotransformišu do odgovarajućih sulfatnih i glukuronidnih konjugata. Dodatni metabolit, dezdihlorofenil-piperazin-kariprazinska (DDCPPCAR) kiselina nastaje dealkilacijom i sljedstvenom oksidacijom kariprazina.</w:t>
      </w:r>
    </w:p>
    <w:p w14:paraId="358D1887"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se metaboliše putem CYP3A4 i, u manjoj mjeri putem CYP2D6 do DCAR i HCAR. DCAR se dalje metaboliše putem CYP3A4 i, u manjoj mjeri putem CYP2D6 do DDCAR i HDCAR. DDCAR se dalje metaboliše do HDDCAR putem CYP3A4.</w:t>
      </w:r>
    </w:p>
    <w:p w14:paraId="00F2BD60" w14:textId="77777777" w:rsidR="00D16942" w:rsidRPr="009003E2" w:rsidRDefault="00D16942" w:rsidP="00284ACA">
      <w:pPr>
        <w:tabs>
          <w:tab w:val="left" w:pos="284"/>
        </w:tabs>
        <w:jc w:val="both"/>
        <w:rPr>
          <w:rFonts w:eastAsiaTheme="minorHAnsi"/>
          <w:sz w:val="22"/>
          <w:szCs w:val="22"/>
          <w:lang w:val="sr-Latn-ME"/>
        </w:rPr>
      </w:pPr>
    </w:p>
    <w:p w14:paraId="7B57C68A"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lastRenderedPageBreak/>
        <w:t>Kariprazin i njegovi glavni aktivni metaboliti nijesu supstrati P-glikoproteina (P-gp), polipeptidnih transportera organskih anjona 1B1 i 1B3 (OATP1B1 i OATP1B3) ni proteina rezistencije raka dojke (BCRP). Ovo ukazuje na to da je interakcija kariprazina sa inhibitorima P-gp, OATP1B1, OATP1B3 i BCRP malo vjerovatna.</w:t>
      </w:r>
    </w:p>
    <w:p w14:paraId="7168A4F3" w14:textId="77777777" w:rsidR="00D16942" w:rsidRPr="009003E2" w:rsidRDefault="00D16942" w:rsidP="00284ACA">
      <w:pPr>
        <w:tabs>
          <w:tab w:val="left" w:pos="284"/>
        </w:tabs>
        <w:jc w:val="both"/>
        <w:rPr>
          <w:rFonts w:eastAsiaTheme="minorHAnsi"/>
          <w:sz w:val="22"/>
          <w:szCs w:val="22"/>
          <w:lang w:val="sr-Latn-ME"/>
        </w:rPr>
      </w:pPr>
    </w:p>
    <w:p w14:paraId="568CFD94"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u w:val="single"/>
          <w:lang w:val="sr-Latn-ME"/>
        </w:rPr>
        <w:t>Eliminacija</w:t>
      </w:r>
    </w:p>
    <w:p w14:paraId="79E907FB" w14:textId="77777777" w:rsidR="00D16942" w:rsidRPr="009003E2" w:rsidRDefault="00D16942" w:rsidP="00284ACA">
      <w:pPr>
        <w:tabs>
          <w:tab w:val="left" w:pos="284"/>
        </w:tabs>
        <w:jc w:val="both"/>
        <w:rPr>
          <w:rFonts w:eastAsiaTheme="minorHAnsi"/>
          <w:sz w:val="22"/>
          <w:szCs w:val="22"/>
          <w:lang w:val="sr-Latn-ME"/>
        </w:rPr>
      </w:pPr>
    </w:p>
    <w:p w14:paraId="7BE413A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Eliminacija kariprazina i njegovih glavnih aktivnih metabolita se uglavnom vrši putem hepatičkog metabolizma. Nakon primjene kariprazina u dozi od 12,5 mg na dan kod pacijenata sa shizofrenijom, 20,8% doze se izlučilo urinom kao kariprazin i njegovi metaboliti.</w:t>
      </w:r>
    </w:p>
    <w:p w14:paraId="77D1F39B" w14:textId="77777777" w:rsidR="00D16942" w:rsidRPr="009003E2" w:rsidRDefault="00D16942" w:rsidP="00284ACA">
      <w:pPr>
        <w:tabs>
          <w:tab w:val="left" w:pos="284"/>
        </w:tabs>
        <w:jc w:val="both"/>
        <w:rPr>
          <w:rFonts w:eastAsiaTheme="minorHAnsi"/>
          <w:sz w:val="22"/>
          <w:szCs w:val="22"/>
          <w:lang w:val="sr-Latn-ME"/>
        </w:rPr>
      </w:pPr>
    </w:p>
    <w:p w14:paraId="4C7B85B5"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U nepromijenjenom obliku 1,2% doze kariprazina se izlučuje putem urina, dok se 3,7% doze izlučuje putem fecesa.</w:t>
      </w:r>
    </w:p>
    <w:p w14:paraId="39C54918" w14:textId="77777777" w:rsidR="00D16942" w:rsidRPr="009003E2" w:rsidRDefault="00D16942" w:rsidP="00284ACA">
      <w:pPr>
        <w:tabs>
          <w:tab w:val="left" w:pos="284"/>
        </w:tabs>
        <w:jc w:val="both"/>
        <w:rPr>
          <w:rFonts w:eastAsiaTheme="minorHAnsi"/>
          <w:sz w:val="22"/>
          <w:szCs w:val="22"/>
          <w:lang w:val="sr-Latn-ME"/>
        </w:rPr>
      </w:pPr>
    </w:p>
    <w:p w14:paraId="6091FD7A"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 xml:space="preserve">Srednja vrijednost terminalnog poluvremena eliminacije (1 do 3 dana za kariprazin i DCAR i 13 do 19 dana za DDCAR) nije pokazatelj vremena do postizanja ravnotežnog stanja ili smanjenja koncentracije u plazmi nakon prekida terapije. Za liječenje pacijenata koji uzimaju kariprazin, efektivno poluvrijeme eliminacije je važnije od terminalnog poluvremena eliminacije. Efektivno (funkcionalno) poluvrijeme eliminacije iznosi ~ 2 dana za kariprazin i DCAR, 8 dana za DDCAR i ~ 1 nedjelju za ukupni kariprazin. Koncentracija ukupnog kariprazina u plazmi postepeno opada nakon trajnog ili privremenog prekida primjene. Koncentracija ukupnog kariprazina u plazmi opada za 50% nakon ~ 1 nedjelje, </w:t>
      </w:r>
      <w:bookmarkStart w:id="7" w:name="_Hlk178421448"/>
      <w:r w:rsidRPr="009003E2">
        <w:rPr>
          <w:rFonts w:eastAsiaTheme="minorHAnsi"/>
          <w:bCs/>
          <w:sz w:val="22"/>
          <w:szCs w:val="22"/>
          <w:lang w:val="sr-Latn-ME"/>
        </w:rPr>
        <w:t>a smanjenje koncentracije  ukupnog kariprazina  za više od 90% se javlja za ~ 3 nedjelje.</w:t>
      </w:r>
    </w:p>
    <w:bookmarkEnd w:id="7"/>
    <w:p w14:paraId="5BB61067" w14:textId="77777777" w:rsidR="00D16942" w:rsidRPr="009003E2" w:rsidRDefault="00D16942" w:rsidP="00284ACA">
      <w:pPr>
        <w:tabs>
          <w:tab w:val="left" w:pos="284"/>
        </w:tabs>
        <w:jc w:val="both"/>
        <w:rPr>
          <w:rFonts w:eastAsiaTheme="minorHAnsi"/>
          <w:bCs/>
          <w:sz w:val="22"/>
          <w:szCs w:val="22"/>
          <w:u w:val="single"/>
          <w:lang w:val="sr-Latn-ME"/>
        </w:rPr>
      </w:pPr>
    </w:p>
    <w:p w14:paraId="72A02C83"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u w:val="single"/>
          <w:lang w:val="sr-Latn-ME"/>
        </w:rPr>
        <w:t>Linearnost</w:t>
      </w:r>
    </w:p>
    <w:p w14:paraId="05D8896A" w14:textId="77777777" w:rsidR="00D16942" w:rsidRPr="009003E2" w:rsidRDefault="00D16942" w:rsidP="00284ACA">
      <w:pPr>
        <w:tabs>
          <w:tab w:val="left" w:pos="284"/>
        </w:tabs>
        <w:jc w:val="both"/>
        <w:rPr>
          <w:rFonts w:eastAsiaTheme="minorHAnsi"/>
          <w:bCs/>
          <w:sz w:val="22"/>
          <w:szCs w:val="22"/>
          <w:lang w:val="sr-Latn-ME"/>
        </w:rPr>
      </w:pPr>
    </w:p>
    <w:p w14:paraId="5F1C69AB"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 xml:space="preserve">Nakon ponovljene primjene, izloženost kariprazina i njegova dva glavna aktivna metabolita, dezmetilkariprazina (DCAR) i didezmetilkariprazina (DDCAR) u plazmi, </w:t>
      </w:r>
      <w:bookmarkStart w:id="8" w:name="_Hlk178421581"/>
      <w:r w:rsidRPr="009003E2">
        <w:rPr>
          <w:rFonts w:eastAsiaTheme="minorHAnsi"/>
          <w:bCs/>
          <w:sz w:val="22"/>
          <w:szCs w:val="22"/>
          <w:lang w:val="sr-Latn-ME"/>
        </w:rPr>
        <w:t>povećava se proporcionalno dozi unutar terapijskog  raspona od 1,5 do 6 mg.</w:t>
      </w:r>
    </w:p>
    <w:bookmarkEnd w:id="8"/>
    <w:p w14:paraId="600EADDF" w14:textId="77777777" w:rsidR="00D16942" w:rsidRPr="009003E2" w:rsidRDefault="00D16942" w:rsidP="00284ACA">
      <w:pPr>
        <w:tabs>
          <w:tab w:val="left" w:pos="284"/>
        </w:tabs>
        <w:jc w:val="both"/>
        <w:rPr>
          <w:rFonts w:eastAsiaTheme="minorHAnsi"/>
          <w:bCs/>
          <w:sz w:val="22"/>
          <w:szCs w:val="22"/>
          <w:lang w:val="sr-Latn-ME"/>
        </w:rPr>
      </w:pPr>
    </w:p>
    <w:p w14:paraId="2E311B4E" w14:textId="77777777" w:rsidR="00D16942" w:rsidRPr="009003E2" w:rsidRDefault="00D16942" w:rsidP="00284ACA">
      <w:pPr>
        <w:tabs>
          <w:tab w:val="left" w:pos="284"/>
        </w:tabs>
        <w:jc w:val="both"/>
        <w:rPr>
          <w:rFonts w:eastAsiaTheme="minorHAnsi"/>
          <w:bCs/>
          <w:sz w:val="22"/>
          <w:szCs w:val="22"/>
          <w:u w:val="single"/>
          <w:lang w:val="sr-Latn-ME"/>
        </w:rPr>
      </w:pPr>
      <w:r w:rsidRPr="009003E2">
        <w:rPr>
          <w:rFonts w:eastAsiaTheme="minorHAnsi"/>
          <w:bCs/>
          <w:sz w:val="22"/>
          <w:szCs w:val="22"/>
          <w:u w:val="single"/>
          <w:lang w:val="sr-Latn-ME"/>
        </w:rPr>
        <w:t>Posebne populacije</w:t>
      </w:r>
    </w:p>
    <w:p w14:paraId="2CF14A44" w14:textId="77777777" w:rsidR="00D16942" w:rsidRPr="009003E2" w:rsidRDefault="00D16942" w:rsidP="00284ACA">
      <w:pPr>
        <w:tabs>
          <w:tab w:val="left" w:pos="284"/>
        </w:tabs>
        <w:jc w:val="both"/>
        <w:rPr>
          <w:rFonts w:eastAsiaTheme="minorHAnsi"/>
          <w:bCs/>
          <w:sz w:val="22"/>
          <w:szCs w:val="22"/>
          <w:lang w:val="sr-Latn-ME"/>
        </w:rPr>
      </w:pPr>
    </w:p>
    <w:p w14:paraId="3FBADEC1" w14:textId="77777777" w:rsidR="00D16942" w:rsidRPr="009003E2" w:rsidRDefault="00D16942" w:rsidP="00284ACA">
      <w:pPr>
        <w:tabs>
          <w:tab w:val="left" w:pos="284"/>
        </w:tabs>
        <w:jc w:val="both"/>
        <w:rPr>
          <w:rFonts w:eastAsiaTheme="minorHAnsi"/>
          <w:bCs/>
          <w:i/>
          <w:sz w:val="22"/>
          <w:szCs w:val="22"/>
          <w:lang w:val="sr-Latn-ME"/>
        </w:rPr>
      </w:pPr>
      <w:r w:rsidRPr="009003E2">
        <w:rPr>
          <w:rFonts w:eastAsiaTheme="minorHAnsi"/>
          <w:bCs/>
          <w:i/>
          <w:sz w:val="22"/>
          <w:szCs w:val="22"/>
          <w:lang w:val="sr-Latn-ME"/>
        </w:rPr>
        <w:t>Oštećenje funkcije bubrega</w:t>
      </w:r>
    </w:p>
    <w:p w14:paraId="7F0079F6" w14:textId="77777777" w:rsidR="00D16942" w:rsidRPr="009003E2" w:rsidRDefault="00D16942" w:rsidP="00284ACA">
      <w:pPr>
        <w:tabs>
          <w:tab w:val="left" w:pos="284"/>
        </w:tabs>
        <w:jc w:val="both"/>
        <w:rPr>
          <w:rFonts w:eastAsiaTheme="minorHAnsi"/>
          <w:bCs/>
          <w:sz w:val="22"/>
          <w:szCs w:val="22"/>
          <w:lang w:val="sr-Latn-ME"/>
        </w:rPr>
      </w:pPr>
      <w:bookmarkStart w:id="9" w:name="_Hlk178421814"/>
      <w:r w:rsidRPr="009003E2">
        <w:rPr>
          <w:rFonts w:eastAsiaTheme="minorHAnsi"/>
          <w:bCs/>
          <w:sz w:val="22"/>
          <w:szCs w:val="22"/>
          <w:lang w:val="sr-Latn-ME"/>
        </w:rPr>
        <w:t>Sprovedeno je populaciono farmakokinetičko modelovanje na osnovu</w:t>
      </w:r>
      <w:bookmarkEnd w:id="9"/>
      <w:r w:rsidRPr="009003E2">
        <w:rPr>
          <w:rFonts w:eastAsiaTheme="minorHAnsi"/>
          <w:bCs/>
          <w:sz w:val="22"/>
          <w:szCs w:val="22"/>
          <w:lang w:val="sr-Latn-ME"/>
        </w:rPr>
        <w:t xml:space="preserve"> podataka prikupljenih kod pacijenata uključenih u klinički program ispitivanja kariprazina kod shizofrenije koji su imali različite stepene funkcije bubrega, uključujući normalnu funkciju bubrega (klirens kreatinina (CrCl) ≥ 90 mL/min), kao i blago (CrCl 60 do 89 mL/min) i umjereno (CrCl 30 do 59 mL/min) oštećenje funkcije bubrega. Nije utvrđena značajna povezanost između plazmatskog klirensa kariprazina i klirensa kreatinina. </w:t>
      </w:r>
    </w:p>
    <w:p w14:paraId="5053C921" w14:textId="77777777" w:rsidR="00D16942" w:rsidRPr="009003E2" w:rsidRDefault="00D16942" w:rsidP="00284ACA">
      <w:pPr>
        <w:tabs>
          <w:tab w:val="left" w:pos="284"/>
        </w:tabs>
        <w:jc w:val="both"/>
        <w:rPr>
          <w:rFonts w:eastAsiaTheme="minorHAnsi"/>
          <w:bCs/>
          <w:sz w:val="22"/>
          <w:szCs w:val="22"/>
          <w:lang w:val="sr-Latn-ME"/>
        </w:rPr>
      </w:pPr>
    </w:p>
    <w:p w14:paraId="3957CD15"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Kariprazin nije procijenjivan kod pacijenata sa teškim (CrCl &lt; 30 mL/min) oštećenjem funkcije bubrega (vidjeti dio 4.2).</w:t>
      </w:r>
    </w:p>
    <w:p w14:paraId="78636D27" w14:textId="77777777" w:rsidR="00D16942" w:rsidRPr="009003E2" w:rsidRDefault="00D16942" w:rsidP="00284ACA">
      <w:pPr>
        <w:tabs>
          <w:tab w:val="left" w:pos="284"/>
        </w:tabs>
        <w:jc w:val="both"/>
        <w:rPr>
          <w:rFonts w:eastAsiaTheme="minorHAnsi"/>
          <w:bCs/>
          <w:sz w:val="22"/>
          <w:szCs w:val="22"/>
          <w:lang w:val="sr-Latn-ME"/>
        </w:rPr>
      </w:pPr>
    </w:p>
    <w:p w14:paraId="195F58CC" w14:textId="77777777" w:rsidR="00D16942" w:rsidRPr="009003E2" w:rsidRDefault="00D16942" w:rsidP="00284ACA">
      <w:pPr>
        <w:tabs>
          <w:tab w:val="left" w:pos="284"/>
        </w:tabs>
        <w:jc w:val="both"/>
        <w:rPr>
          <w:rFonts w:eastAsiaTheme="minorHAnsi"/>
          <w:bCs/>
          <w:i/>
          <w:sz w:val="22"/>
          <w:szCs w:val="22"/>
          <w:lang w:val="sr-Latn-ME"/>
        </w:rPr>
      </w:pPr>
      <w:r w:rsidRPr="009003E2">
        <w:rPr>
          <w:rFonts w:eastAsiaTheme="minorHAnsi"/>
          <w:bCs/>
          <w:i/>
          <w:sz w:val="22"/>
          <w:szCs w:val="22"/>
          <w:lang w:val="sr-Latn-ME"/>
        </w:rPr>
        <w:t>Oštećenje funkcije jetre</w:t>
      </w:r>
    </w:p>
    <w:p w14:paraId="79DE45AD"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Sprovedeno je dvodjelno ispitivanje (pojedinačna doza kariprazina</w:t>
      </w:r>
      <w:r w:rsidRPr="009003E2">
        <w:rPr>
          <w:rFonts w:eastAsia="TimesNewRoman"/>
          <w:sz w:val="22"/>
          <w:szCs w:val="22"/>
          <w:lang w:val="sr-Latn-ME"/>
        </w:rPr>
        <w:t xml:space="preserve"> </w:t>
      </w:r>
      <w:r w:rsidRPr="009003E2">
        <w:rPr>
          <w:rFonts w:eastAsiaTheme="minorHAnsi"/>
          <w:bCs/>
          <w:sz w:val="22"/>
          <w:szCs w:val="22"/>
          <w:lang w:val="sr-Latn-ME"/>
        </w:rPr>
        <w:t>od 1 mg [dio A] i dnevna doza kariprazina od 0,5 mg tokom 14 dana</w:t>
      </w:r>
      <w:r w:rsidRPr="009003E2">
        <w:rPr>
          <w:rFonts w:eastAsia="TimesNewRoman"/>
          <w:sz w:val="22"/>
          <w:szCs w:val="22"/>
          <w:lang w:val="sr-Latn-ME"/>
        </w:rPr>
        <w:t xml:space="preserve"> </w:t>
      </w:r>
      <w:r w:rsidRPr="009003E2">
        <w:rPr>
          <w:rFonts w:eastAsiaTheme="minorHAnsi"/>
          <w:bCs/>
          <w:sz w:val="22"/>
          <w:szCs w:val="22"/>
          <w:lang w:val="sr-Latn-ME"/>
        </w:rPr>
        <w:t>[dio B])  kod pacijenata sa različitim stepenima oštećenja funkcije jetre (</w:t>
      </w:r>
      <w:r w:rsidRPr="009003E2">
        <w:rPr>
          <w:rFonts w:eastAsiaTheme="minorHAnsi"/>
          <w:bCs/>
          <w:i/>
          <w:sz w:val="22"/>
          <w:szCs w:val="22"/>
          <w:lang w:val="sr-Latn-ME"/>
        </w:rPr>
        <w:t>Child-Pugh</w:t>
      </w:r>
      <w:r w:rsidRPr="009003E2">
        <w:rPr>
          <w:rFonts w:eastAsiaTheme="minorHAnsi"/>
          <w:bCs/>
          <w:sz w:val="22"/>
          <w:szCs w:val="22"/>
          <w:lang w:val="sr-Latn-ME"/>
        </w:rPr>
        <w:t xml:space="preserve"> Klase A i B). U poređenju sa zdravim ispitanicima, pacijenti sa blagim ili umjerenim oštećenjem jetre imali su do približno 25% veću izloženost (C</w:t>
      </w:r>
      <w:r w:rsidRPr="009003E2">
        <w:rPr>
          <w:rFonts w:eastAsiaTheme="minorHAnsi"/>
          <w:bCs/>
          <w:sz w:val="22"/>
          <w:szCs w:val="22"/>
          <w:vertAlign w:val="subscript"/>
          <w:lang w:val="sr-Latn-ME"/>
        </w:rPr>
        <w:t>max</w:t>
      </w:r>
      <w:r w:rsidRPr="009003E2">
        <w:rPr>
          <w:rFonts w:eastAsiaTheme="minorHAnsi"/>
          <w:bCs/>
          <w:sz w:val="22"/>
          <w:szCs w:val="22"/>
          <w:lang w:val="sr-Latn-ME"/>
        </w:rPr>
        <w:t xml:space="preserve"> i PIK) kariprazinu i do približno 45% manju izloženost glavnim aktivnim metabolitima, dezmetilkariprazinu i didezmetilkariprazinu, nakon primjene pojedinačne doze kariprazina od 1 mg ili primjene kariprazina u dozi od 0,5 mg tokom 14 dana.</w:t>
      </w:r>
    </w:p>
    <w:p w14:paraId="5F23E732" w14:textId="77777777" w:rsidR="00D16942" w:rsidRPr="009003E2" w:rsidRDefault="00D16942" w:rsidP="00284ACA">
      <w:pPr>
        <w:tabs>
          <w:tab w:val="left" w:pos="284"/>
        </w:tabs>
        <w:jc w:val="both"/>
        <w:rPr>
          <w:rFonts w:eastAsiaTheme="minorHAnsi"/>
          <w:bCs/>
          <w:sz w:val="22"/>
          <w:szCs w:val="22"/>
          <w:lang w:val="sr-Latn-ME"/>
        </w:rPr>
      </w:pPr>
    </w:p>
    <w:p w14:paraId="7F6951FC" w14:textId="77777777" w:rsidR="00D16942" w:rsidRPr="009003E2" w:rsidRDefault="00D16942" w:rsidP="00284ACA">
      <w:pPr>
        <w:tabs>
          <w:tab w:val="left" w:pos="284"/>
        </w:tabs>
        <w:jc w:val="both"/>
        <w:rPr>
          <w:rFonts w:eastAsiaTheme="minorHAnsi"/>
          <w:bCs/>
          <w:sz w:val="22"/>
          <w:szCs w:val="22"/>
          <w:lang w:val="sr-Latn-ME"/>
        </w:rPr>
      </w:pPr>
      <w:bookmarkStart w:id="10" w:name="_Hlk178426889"/>
      <w:r w:rsidRPr="009003E2">
        <w:rPr>
          <w:rFonts w:eastAsiaTheme="minorHAnsi"/>
          <w:bCs/>
          <w:sz w:val="22"/>
          <w:szCs w:val="22"/>
          <w:lang w:val="sr-Latn-ME"/>
        </w:rPr>
        <w:t>Za koncentracije nevezanih i vezanih jedinjenja, ukupna izloženost (C</w:t>
      </w:r>
      <w:r w:rsidRPr="009003E2">
        <w:rPr>
          <w:rFonts w:eastAsiaTheme="minorHAnsi"/>
          <w:bCs/>
          <w:sz w:val="22"/>
          <w:szCs w:val="22"/>
          <w:vertAlign w:val="subscript"/>
          <w:lang w:val="sr-Latn-ME"/>
        </w:rPr>
        <w:t>max</w:t>
      </w:r>
      <w:r w:rsidRPr="009003E2">
        <w:rPr>
          <w:rFonts w:eastAsiaTheme="minorHAnsi"/>
          <w:bCs/>
          <w:sz w:val="22"/>
          <w:szCs w:val="22"/>
          <w:lang w:val="sr-Latn-ME"/>
        </w:rPr>
        <w:t xml:space="preserve"> i PIK) aktivnim jedinjenjima (kariprazin+DCAR+DDCAR) bila je smanjena za 21-22% kod blagog i za 13-15% kod umjerenog oštećenja jetre, u poređenju sa zdravim ispitanicima, dok je za ukupnu izloženost nevezanim jedinjenjima izračunato smanjenje od 12-13% kod blagog i 20-25% kod umjerenog oštećenja jetre, nakon primjene višestrukih doza kariprazina. </w:t>
      </w:r>
      <w:bookmarkEnd w:id="10"/>
    </w:p>
    <w:p w14:paraId="067B352C" w14:textId="77777777" w:rsidR="00D16942" w:rsidRPr="009003E2" w:rsidRDefault="00D16942" w:rsidP="00284ACA">
      <w:pPr>
        <w:tabs>
          <w:tab w:val="left" w:pos="284"/>
        </w:tabs>
        <w:jc w:val="both"/>
        <w:rPr>
          <w:rFonts w:eastAsiaTheme="minorHAnsi"/>
          <w:bCs/>
          <w:sz w:val="22"/>
          <w:szCs w:val="22"/>
          <w:lang w:val="sr-Latn-ME"/>
        </w:rPr>
      </w:pPr>
    </w:p>
    <w:p w14:paraId="3FB39FF1"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lastRenderedPageBreak/>
        <w:t>Kariprazin nije procijenjivan kod pacijenata sa teškim oštećenjem funkcije jetre (</w:t>
      </w:r>
      <w:r w:rsidRPr="009003E2">
        <w:rPr>
          <w:rFonts w:eastAsiaTheme="minorHAnsi"/>
          <w:bCs/>
          <w:i/>
          <w:sz w:val="22"/>
          <w:szCs w:val="22"/>
          <w:lang w:val="sr-Latn-ME"/>
        </w:rPr>
        <w:t>Child-Pugh</w:t>
      </w:r>
      <w:r w:rsidRPr="009003E2">
        <w:rPr>
          <w:rFonts w:eastAsiaTheme="minorHAnsi"/>
          <w:bCs/>
          <w:sz w:val="22"/>
          <w:szCs w:val="22"/>
          <w:lang w:val="sr-Latn-ME"/>
        </w:rPr>
        <w:t xml:space="preserve"> Klase C) (vidjeti dio 4.2).</w:t>
      </w:r>
    </w:p>
    <w:p w14:paraId="690BBAEA" w14:textId="77777777" w:rsidR="00D16942" w:rsidRPr="009003E2" w:rsidRDefault="00D16942" w:rsidP="00284ACA">
      <w:pPr>
        <w:tabs>
          <w:tab w:val="left" w:pos="284"/>
        </w:tabs>
        <w:jc w:val="both"/>
        <w:rPr>
          <w:rFonts w:eastAsiaTheme="minorHAnsi"/>
          <w:bCs/>
          <w:sz w:val="22"/>
          <w:szCs w:val="22"/>
          <w:lang w:val="sr-Latn-ME"/>
        </w:rPr>
      </w:pPr>
    </w:p>
    <w:p w14:paraId="020E7F19"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i/>
          <w:sz w:val="22"/>
          <w:szCs w:val="22"/>
          <w:lang w:val="sr-Latn-ME"/>
        </w:rPr>
        <w:t>Starost, pol i rasa</w:t>
      </w:r>
    </w:p>
    <w:p w14:paraId="012E9EA1"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U populacionoj farmakokinetičkoj analizi nije bilo klinički značajnih razlika u farmakokinetičkim parametrima (vrijednosti PIK i C</w:t>
      </w:r>
      <w:r w:rsidRPr="009003E2">
        <w:rPr>
          <w:rFonts w:eastAsiaTheme="minorHAnsi"/>
          <w:bCs/>
          <w:sz w:val="22"/>
          <w:szCs w:val="22"/>
          <w:vertAlign w:val="subscript"/>
          <w:lang w:val="sr-Latn-ME"/>
        </w:rPr>
        <w:t>max</w:t>
      </w:r>
      <w:r w:rsidRPr="009003E2">
        <w:rPr>
          <w:rFonts w:eastAsiaTheme="minorHAnsi"/>
          <w:bCs/>
          <w:sz w:val="22"/>
          <w:szCs w:val="22"/>
          <w:lang w:val="sr-Latn-ME"/>
        </w:rPr>
        <w:t xml:space="preserve"> sume kariprazina i njegovih glavnih aktivnih metabolita) na osnovu starosti, pola i rase. Ova analiza je uključila 2844 pacijenta različitih rasa, uključujući 536 pacijenata starosti između 50 i 65 godina. Od 2844 pacijenata, 933 su bile žene (vidjeti dio 4.2). Kod pacijenata starijih od 65 godina, podaci su ograničeni.</w:t>
      </w:r>
    </w:p>
    <w:p w14:paraId="748830F9" w14:textId="77777777" w:rsidR="00D16942" w:rsidRPr="009003E2" w:rsidRDefault="00D16942" w:rsidP="00284ACA">
      <w:pPr>
        <w:tabs>
          <w:tab w:val="left" w:pos="284"/>
        </w:tabs>
        <w:jc w:val="both"/>
        <w:rPr>
          <w:rFonts w:eastAsiaTheme="minorHAnsi"/>
          <w:bCs/>
          <w:sz w:val="22"/>
          <w:szCs w:val="22"/>
          <w:lang w:val="sr-Latn-ME"/>
        </w:rPr>
      </w:pPr>
    </w:p>
    <w:p w14:paraId="27CBB0EC"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i/>
          <w:sz w:val="22"/>
          <w:szCs w:val="22"/>
          <w:lang w:val="sr-Latn-ME"/>
        </w:rPr>
        <w:t>Pušenje</w:t>
      </w:r>
    </w:p>
    <w:p w14:paraId="4C4F06C1"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Ne očekuje se da pušenje ima uticaj na farmakokinetiku kariprazina jer on nije supstrat za CYP1A2.</w:t>
      </w:r>
    </w:p>
    <w:p w14:paraId="0EC2FCB9" w14:textId="77777777" w:rsidR="00D16942" w:rsidRPr="009003E2" w:rsidRDefault="00D16942" w:rsidP="00284ACA">
      <w:pPr>
        <w:tabs>
          <w:tab w:val="left" w:pos="284"/>
        </w:tabs>
        <w:jc w:val="both"/>
        <w:rPr>
          <w:rFonts w:eastAsiaTheme="minorHAnsi"/>
          <w:bCs/>
          <w:sz w:val="22"/>
          <w:szCs w:val="22"/>
          <w:lang w:val="sr-Latn-ME"/>
        </w:rPr>
      </w:pPr>
    </w:p>
    <w:p w14:paraId="6965FA2E"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u w:val="single"/>
          <w:lang w:val="sr-Latn-ME"/>
        </w:rPr>
        <w:t>Potencijal kariprazina da djeluje na druge ljekove</w:t>
      </w:r>
    </w:p>
    <w:p w14:paraId="083BA0AA" w14:textId="77777777" w:rsidR="00D16942" w:rsidRPr="009003E2" w:rsidRDefault="00D16942" w:rsidP="00284ACA">
      <w:pPr>
        <w:tabs>
          <w:tab w:val="left" w:pos="284"/>
        </w:tabs>
        <w:jc w:val="both"/>
        <w:rPr>
          <w:rFonts w:eastAsiaTheme="minorHAnsi"/>
          <w:bCs/>
          <w:sz w:val="22"/>
          <w:szCs w:val="22"/>
          <w:lang w:val="sr-Latn-ME"/>
        </w:rPr>
      </w:pPr>
    </w:p>
    <w:p w14:paraId="728F4716" w14:textId="77777777" w:rsidR="00D16942" w:rsidRPr="009003E2" w:rsidRDefault="00D16942" w:rsidP="00284ACA">
      <w:pPr>
        <w:tabs>
          <w:tab w:val="left" w:pos="284"/>
        </w:tabs>
        <w:jc w:val="both"/>
        <w:rPr>
          <w:rFonts w:eastAsiaTheme="minorHAnsi"/>
          <w:bCs/>
          <w:sz w:val="22"/>
          <w:szCs w:val="22"/>
          <w:lang w:val="sr-Latn-ME"/>
        </w:rPr>
      </w:pPr>
      <w:r w:rsidRPr="009003E2">
        <w:rPr>
          <w:rFonts w:eastAsiaTheme="minorHAnsi"/>
          <w:bCs/>
          <w:sz w:val="22"/>
          <w:szCs w:val="22"/>
          <w:lang w:val="sr-Latn-ME"/>
        </w:rPr>
        <w:t xml:space="preserve">Kariprazin i njegovi glavni aktivni metaboliti </w:t>
      </w:r>
      <w:r w:rsidRPr="009003E2">
        <w:rPr>
          <w:rFonts w:eastAsiaTheme="minorHAnsi"/>
          <w:bCs/>
          <w:i/>
          <w:sz w:val="22"/>
          <w:szCs w:val="22"/>
          <w:lang w:val="sr-Latn-ME"/>
        </w:rPr>
        <w:t xml:space="preserve">in vitro </w:t>
      </w:r>
      <w:r w:rsidRPr="009003E2">
        <w:rPr>
          <w:rFonts w:eastAsiaTheme="minorHAnsi"/>
          <w:bCs/>
          <w:sz w:val="22"/>
          <w:szCs w:val="22"/>
          <w:lang w:val="sr-Latn-ME"/>
        </w:rPr>
        <w:t xml:space="preserve"> nijesu indukovali CYP1A2, CYP2B6 i CYP3A4 enzime i nijesu inhibirali CYP1A2, CYP2A6, CYP2B6, CYP2C8, CYP2C9, CYP219, CYP2D6, CYP2E1 i CYP3A4. Kariprazin i njegovi glavni aktivni metaboliti </w:t>
      </w:r>
      <w:r w:rsidRPr="009003E2">
        <w:rPr>
          <w:rFonts w:eastAsiaTheme="minorHAnsi"/>
          <w:bCs/>
          <w:i/>
          <w:iCs/>
          <w:sz w:val="22"/>
          <w:szCs w:val="22"/>
          <w:lang w:val="sr-Latn-ME"/>
        </w:rPr>
        <w:t>in vitro</w:t>
      </w:r>
      <w:r w:rsidRPr="009003E2">
        <w:rPr>
          <w:rFonts w:eastAsiaTheme="minorHAnsi"/>
          <w:bCs/>
          <w:sz w:val="22"/>
          <w:szCs w:val="22"/>
          <w:lang w:val="sr-Latn-ME"/>
        </w:rPr>
        <w:t xml:space="preserve"> nijesu inhibirali transportere OATP1B1, OATP1B3, BCRP, transporter organskih katjona- 2 (OCT2) i transportere organskih anjona 1 i 3 (OAT1 i OAT3). DCAR i DDCAR nijesu inhibirali P-gp transporter iako je kariprazin inhibirao P-gp u crijevima (vidjeti dio 4.5).</w:t>
      </w:r>
    </w:p>
    <w:p w14:paraId="547F56B3" w14:textId="77777777" w:rsidR="00D16942" w:rsidRPr="009003E2" w:rsidRDefault="00D16942" w:rsidP="00284ACA">
      <w:pPr>
        <w:tabs>
          <w:tab w:val="left" w:pos="540"/>
          <w:tab w:val="left" w:pos="569"/>
        </w:tabs>
        <w:jc w:val="both"/>
        <w:rPr>
          <w:bCs/>
          <w:sz w:val="22"/>
          <w:szCs w:val="22"/>
          <w:lang w:val="sr-Latn-ME"/>
        </w:rPr>
      </w:pPr>
    </w:p>
    <w:p w14:paraId="278337A0"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5.3. </w:t>
      </w:r>
      <w:r w:rsidR="00480FB1" w:rsidRPr="009003E2">
        <w:rPr>
          <w:b/>
          <w:bCs/>
          <w:sz w:val="22"/>
          <w:szCs w:val="22"/>
          <w:lang w:val="sr-Latn-ME"/>
        </w:rPr>
        <w:tab/>
      </w:r>
      <w:r w:rsidRPr="009003E2">
        <w:rPr>
          <w:b/>
          <w:bCs/>
          <w:sz w:val="22"/>
          <w:szCs w:val="22"/>
          <w:lang w:val="sr-Latn-ME"/>
        </w:rPr>
        <w:t xml:space="preserve">Pretklinički podaci o bezbjednosti </w:t>
      </w:r>
    </w:p>
    <w:p w14:paraId="6FF9CED0" w14:textId="77777777" w:rsidR="00836B35" w:rsidRPr="009003E2" w:rsidRDefault="00836B35" w:rsidP="00284ACA">
      <w:pPr>
        <w:tabs>
          <w:tab w:val="left" w:pos="540"/>
          <w:tab w:val="left" w:pos="569"/>
        </w:tabs>
        <w:jc w:val="both"/>
        <w:rPr>
          <w:bCs/>
          <w:sz w:val="22"/>
          <w:szCs w:val="22"/>
          <w:lang w:val="sr-Latn-ME"/>
        </w:rPr>
      </w:pPr>
    </w:p>
    <w:p w14:paraId="44B0A1E9"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Kod pasa, kariprazin je prouzrokovao bilateralnu kataraktu i sekundarne promjene na mrežnjači (odvajanje mrežnjače i cističnu degeneraciju). Nivo izloženosti (PIK ukupnog kariprazina) pri kome nijesu uočeni neželjeni efekti (engl. </w:t>
      </w:r>
      <w:r w:rsidRPr="009003E2">
        <w:rPr>
          <w:rFonts w:eastAsiaTheme="minorHAnsi"/>
          <w:i/>
          <w:iCs/>
          <w:sz w:val="22"/>
          <w:szCs w:val="22"/>
          <w:lang w:val="sr-Latn-ME"/>
        </w:rPr>
        <w:t xml:space="preserve">no-observed-adverse-effect-level, </w:t>
      </w:r>
      <w:r w:rsidRPr="009003E2">
        <w:rPr>
          <w:rFonts w:eastAsiaTheme="minorHAnsi"/>
          <w:sz w:val="22"/>
          <w:szCs w:val="22"/>
          <w:lang w:val="sr-Latn-ME"/>
        </w:rPr>
        <w:t>NOAEL) za okularnu toksičnost je 4,2 puta veći od kliničke izloženosti (PIK) pri maksimalnoj preporučenoj dozi za ljude (</w:t>
      </w:r>
      <w:r w:rsidRPr="009003E2">
        <w:rPr>
          <w:rFonts w:eastAsiaTheme="minorHAnsi"/>
          <w:i/>
          <w:sz w:val="22"/>
          <w:szCs w:val="22"/>
          <w:lang w:val="sr-Latn-ME"/>
        </w:rPr>
        <w:t>maximal recommended human dose</w:t>
      </w:r>
      <w:r w:rsidRPr="009003E2">
        <w:rPr>
          <w:rFonts w:eastAsiaTheme="minorHAnsi"/>
          <w:sz w:val="22"/>
          <w:szCs w:val="22"/>
          <w:lang w:val="sr-Latn-ME"/>
        </w:rPr>
        <w:t>, MRHD) od 6 mg/dan. Povećanje incidence degeneracije/atrofije mrežnjače uočeno je kod albino pacova u ispitivanju koje je trajalo 2 godine, pri klinički značajnim nivoima izloženosti.</w:t>
      </w:r>
    </w:p>
    <w:p w14:paraId="47403040" w14:textId="77777777" w:rsidR="00D16942" w:rsidRPr="009003E2" w:rsidRDefault="00D16942" w:rsidP="00284ACA">
      <w:pPr>
        <w:tabs>
          <w:tab w:val="left" w:pos="284"/>
        </w:tabs>
        <w:jc w:val="both"/>
        <w:rPr>
          <w:rFonts w:eastAsiaTheme="minorHAnsi"/>
          <w:sz w:val="22"/>
          <w:szCs w:val="22"/>
          <w:lang w:val="sr-Latn-ME"/>
        </w:rPr>
      </w:pPr>
    </w:p>
    <w:p w14:paraId="0487E178" w14:textId="77777777" w:rsidR="00D16942" w:rsidRPr="009003E2" w:rsidRDefault="00D16942" w:rsidP="00284ACA">
      <w:pPr>
        <w:tabs>
          <w:tab w:val="left" w:pos="284"/>
        </w:tabs>
        <w:jc w:val="both"/>
        <w:rPr>
          <w:rFonts w:eastAsiaTheme="minorHAnsi"/>
          <w:sz w:val="22"/>
          <w:szCs w:val="22"/>
          <w:lang w:val="sr-Latn-ME"/>
        </w:rPr>
      </w:pPr>
      <w:bookmarkStart w:id="11" w:name="_Hlk178427792"/>
      <w:r w:rsidRPr="009003E2">
        <w:rPr>
          <w:rFonts w:eastAsiaTheme="minorHAnsi"/>
          <w:sz w:val="22"/>
          <w:szCs w:val="22"/>
          <w:lang w:val="sr-Latn-ME"/>
        </w:rPr>
        <w:t xml:space="preserve">Pri klinički značajnim nivoima izloženosti primijećena je fosfolipidoza u plućima pacova, pasa i miševa </w:t>
      </w:r>
      <w:bookmarkEnd w:id="11"/>
      <w:r w:rsidRPr="009003E2">
        <w:rPr>
          <w:rFonts w:eastAsiaTheme="minorHAnsi"/>
          <w:sz w:val="22"/>
          <w:szCs w:val="22"/>
          <w:lang w:val="sr-Latn-ME"/>
        </w:rPr>
        <w:t>(sa ili bez zapaljenja) i u kori nadbubrežne žlijezde pasa. Zapaljenje je uočeno u plućima pasa koji su tokom 1 godine dobijali NOAEL dozu pri PIK izloženosti koja je bila 2,7 (kod mužjaka) i 1,7 (kod ženki) puta veća od kliničke izloženosti pri MRHD. Zapaljenje nije uočeno na kraju 2-mjesečnog perioda bez lijeka pri izloženosti 4,2 puta većoj od kliničke izloženosti pri primjeni MRHD. Međutim, pri većim dozama, inflamacija je i dalje bila prisutna.</w:t>
      </w:r>
    </w:p>
    <w:p w14:paraId="6BE16061" w14:textId="77777777" w:rsidR="00D16942" w:rsidRPr="009003E2" w:rsidRDefault="00D16942" w:rsidP="00284ACA">
      <w:pPr>
        <w:tabs>
          <w:tab w:val="left" w:pos="284"/>
        </w:tabs>
        <w:jc w:val="both"/>
        <w:rPr>
          <w:rFonts w:eastAsiaTheme="minorHAnsi"/>
          <w:sz w:val="22"/>
          <w:szCs w:val="22"/>
          <w:lang w:val="sr-Latn-ME"/>
        </w:rPr>
      </w:pPr>
    </w:p>
    <w:p w14:paraId="403B5463"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Primijećena je hipertrofija kore nadbubrežne žlijezde pri izloženosti 4,1 puta većoj od kliničke izloženosti pri MRHD kod pacova (samo kod ženki) i pri klinički značajnim koncentracijama ukupnog kariprazina u plazmi kod miševa. Kod pasa su uočene reverzibilna hipertrofija/hiperplazija i vakuolizacija/vezikulizacija kore nadbubrežne žlijezde </w:t>
      </w:r>
      <w:bookmarkStart w:id="12" w:name="_Hlk178428049"/>
      <w:r w:rsidRPr="009003E2">
        <w:rPr>
          <w:rFonts w:eastAsiaTheme="minorHAnsi"/>
          <w:sz w:val="22"/>
          <w:szCs w:val="22"/>
          <w:lang w:val="sr-Latn-ME"/>
        </w:rPr>
        <w:t xml:space="preserve">uz 4,2 puta viši NOAEL </w:t>
      </w:r>
      <w:bookmarkEnd w:id="12"/>
      <w:r w:rsidRPr="009003E2">
        <w:rPr>
          <w:rFonts w:eastAsiaTheme="minorHAnsi"/>
          <w:sz w:val="22"/>
          <w:szCs w:val="22"/>
          <w:lang w:val="sr-Latn-ME"/>
        </w:rPr>
        <w:t>od kliničke izloženosti pri MRHD.</w:t>
      </w:r>
    </w:p>
    <w:p w14:paraId="3F212A37" w14:textId="77777777" w:rsidR="00D16942" w:rsidRPr="009003E2" w:rsidRDefault="00D16942" w:rsidP="00284ACA">
      <w:pPr>
        <w:tabs>
          <w:tab w:val="left" w:pos="284"/>
        </w:tabs>
        <w:jc w:val="both"/>
        <w:rPr>
          <w:rFonts w:eastAsiaTheme="minorHAnsi"/>
          <w:sz w:val="22"/>
          <w:szCs w:val="22"/>
          <w:lang w:val="sr-Latn-ME"/>
        </w:rPr>
      </w:pPr>
    </w:p>
    <w:p w14:paraId="765D480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Kod ženki pacova uočeno je smanjenje pokazatelja plodnosti i začeća pri klinički značajnim nivioima izloženosti, na osnovu površine tijela izražene u mg/m</w:t>
      </w:r>
      <w:r w:rsidRPr="009003E2">
        <w:rPr>
          <w:rFonts w:eastAsiaTheme="minorHAnsi"/>
          <w:sz w:val="22"/>
          <w:szCs w:val="22"/>
          <w:vertAlign w:val="superscript"/>
          <w:lang w:val="sr-Latn-ME"/>
        </w:rPr>
        <w:t>2</w:t>
      </w:r>
      <w:r w:rsidRPr="009003E2">
        <w:rPr>
          <w:rFonts w:eastAsiaTheme="minorHAnsi"/>
          <w:sz w:val="22"/>
          <w:szCs w:val="22"/>
          <w:lang w:val="sr-Latn-ME"/>
        </w:rPr>
        <w:t>. Efekti na plodnost mužjaka nijesu zabilježeni pri nivoima izloženosti do 4,8 puta većim od kliničke izloženosti pri MRHD.</w:t>
      </w:r>
    </w:p>
    <w:p w14:paraId="73A25D9C" w14:textId="77777777" w:rsidR="00D16942" w:rsidRPr="009003E2" w:rsidRDefault="00D16942" w:rsidP="00284ACA">
      <w:pPr>
        <w:tabs>
          <w:tab w:val="left" w:pos="284"/>
        </w:tabs>
        <w:jc w:val="both"/>
        <w:rPr>
          <w:rFonts w:eastAsiaTheme="minorHAnsi"/>
          <w:sz w:val="22"/>
          <w:szCs w:val="22"/>
          <w:lang w:val="sr-Latn-ME"/>
        </w:rPr>
      </w:pPr>
    </w:p>
    <w:p w14:paraId="36EE14BF"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Primjena kariprazina kod pacova tokom perioda organogeneze izazvala je malformacije, smanjeno preživljavanje mladunčadi i zastoje u razvoju, pri nivoima izloženosti lijeku manjim od izloženosti koje se  postižu kod ljudi pri MRHD od 6 mg/dan. Kod kunića, kariprazin je izazvao toksičnost po majku, ali ne i toksičnost po fetus pri nivoima izloženosti 5,8 puta većim od kliničke izloženosti pri MRHD.</w:t>
      </w:r>
    </w:p>
    <w:p w14:paraId="669EAC97" w14:textId="77777777" w:rsidR="00D16942" w:rsidRPr="009003E2" w:rsidRDefault="00D16942" w:rsidP="00284ACA">
      <w:pPr>
        <w:tabs>
          <w:tab w:val="left" w:pos="284"/>
        </w:tabs>
        <w:jc w:val="both"/>
        <w:rPr>
          <w:rFonts w:eastAsiaTheme="minorHAnsi"/>
          <w:sz w:val="22"/>
          <w:szCs w:val="22"/>
          <w:lang w:val="sr-Latn-ME"/>
        </w:rPr>
      </w:pPr>
    </w:p>
    <w:p w14:paraId="70500873"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 xml:space="preserve">Kada je primijenjivan skotnim ženkama pacova u toku perioda organogeneze, tokom graviditeta i laktacije, kariprazin je pri klinički značajnim nivoima izloženosti izazvao smanjenje postnatalnog preživljavanja, tjelesne težine po rođenju i tjelesne težine po prestanku sisanja kod prve generacije </w:t>
      </w:r>
      <w:r w:rsidRPr="009003E2">
        <w:rPr>
          <w:rFonts w:eastAsiaTheme="minorHAnsi"/>
          <w:sz w:val="22"/>
          <w:szCs w:val="22"/>
          <w:lang w:val="sr-Latn-ME"/>
        </w:rPr>
        <w:lastRenderedPageBreak/>
        <w:t xml:space="preserve">mladunčadi. </w:t>
      </w:r>
      <w:r w:rsidRPr="009003E2">
        <w:rPr>
          <w:sz w:val="22"/>
          <w:szCs w:val="22"/>
          <w:lang w:val="sr-Latn-ME"/>
        </w:rPr>
        <w:t xml:space="preserve">Osim toga, primećeni su </w:t>
      </w:r>
      <w:r w:rsidRPr="009003E2">
        <w:rPr>
          <w:rFonts w:eastAsiaTheme="minorHAnsi"/>
          <w:sz w:val="22"/>
          <w:szCs w:val="22"/>
          <w:lang w:val="sr-Latn-ME"/>
        </w:rPr>
        <w:t>blijedilo i hladnoća tijela i zastoj u razvoju (nerazvijenost/nedovoljna razvijenost bubrežnih papila i smanjenje odgovora na slušni nadražaj kod mužjaka) bez toksičnosti za majku. Nije bilo uticaja na reproduktivne sposobnosti prve generacije mladunčadi; međutim, druga generacija mladunčadi je takođe imala slične kliničke znake i manju tjelesnu težinu.</w:t>
      </w:r>
    </w:p>
    <w:p w14:paraId="49611DAF" w14:textId="77777777" w:rsidR="00D16942" w:rsidRPr="009003E2" w:rsidRDefault="00D16942" w:rsidP="00284ACA">
      <w:pPr>
        <w:tabs>
          <w:tab w:val="left" w:pos="284"/>
        </w:tabs>
        <w:jc w:val="both"/>
        <w:rPr>
          <w:rFonts w:eastAsiaTheme="minorHAnsi"/>
          <w:sz w:val="22"/>
          <w:szCs w:val="22"/>
          <w:lang w:val="sr-Latn-ME"/>
        </w:rPr>
      </w:pPr>
    </w:p>
    <w:p w14:paraId="2DBCB0CC"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Kariprazin i njegovi metaboliti su se izlučivali u mlijeko pacova tokom laktacije.</w:t>
      </w:r>
    </w:p>
    <w:p w14:paraId="5D7FEBA9" w14:textId="55CBBBB1" w:rsidR="00396DFD" w:rsidRPr="009003E2" w:rsidRDefault="00396DFD" w:rsidP="00284ACA">
      <w:pPr>
        <w:tabs>
          <w:tab w:val="left" w:pos="540"/>
          <w:tab w:val="left" w:pos="569"/>
        </w:tabs>
        <w:jc w:val="both"/>
        <w:rPr>
          <w:b/>
          <w:bCs/>
          <w:sz w:val="22"/>
          <w:szCs w:val="22"/>
          <w:lang w:val="sr-Latn-ME"/>
        </w:rPr>
      </w:pPr>
    </w:p>
    <w:p w14:paraId="03EC4734" w14:textId="77777777" w:rsidR="00C3427A" w:rsidRPr="009003E2" w:rsidRDefault="00C3427A" w:rsidP="00284ACA">
      <w:pPr>
        <w:tabs>
          <w:tab w:val="left" w:pos="540"/>
          <w:tab w:val="left" w:pos="569"/>
        </w:tabs>
        <w:jc w:val="both"/>
        <w:rPr>
          <w:b/>
          <w:bCs/>
          <w:sz w:val="22"/>
          <w:szCs w:val="22"/>
          <w:lang w:val="sr-Latn-ME"/>
        </w:rPr>
      </w:pPr>
    </w:p>
    <w:p w14:paraId="0F809408"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 </w:t>
      </w:r>
      <w:r w:rsidR="00480FB1" w:rsidRPr="009003E2">
        <w:rPr>
          <w:b/>
          <w:bCs/>
          <w:sz w:val="22"/>
          <w:szCs w:val="22"/>
          <w:lang w:val="sr-Latn-ME"/>
        </w:rPr>
        <w:tab/>
      </w:r>
      <w:r w:rsidRPr="009003E2">
        <w:rPr>
          <w:b/>
          <w:bCs/>
          <w:sz w:val="22"/>
          <w:szCs w:val="22"/>
          <w:lang w:val="sr-Latn-ME"/>
        </w:rPr>
        <w:t>FARMACEUTSKI PODACI</w:t>
      </w:r>
    </w:p>
    <w:p w14:paraId="52BB9E05" w14:textId="77777777" w:rsidR="00836B35" w:rsidRPr="009003E2" w:rsidRDefault="00836B35" w:rsidP="00284ACA">
      <w:pPr>
        <w:tabs>
          <w:tab w:val="left" w:pos="540"/>
          <w:tab w:val="left" w:pos="569"/>
        </w:tabs>
        <w:jc w:val="both"/>
        <w:rPr>
          <w:bCs/>
          <w:sz w:val="22"/>
          <w:szCs w:val="22"/>
          <w:lang w:val="sr-Latn-ME"/>
        </w:rPr>
      </w:pPr>
    </w:p>
    <w:p w14:paraId="02A9F89E"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6.1. </w:t>
      </w:r>
      <w:r w:rsidR="00480FB1" w:rsidRPr="009003E2">
        <w:rPr>
          <w:b/>
          <w:bCs/>
          <w:sz w:val="22"/>
          <w:szCs w:val="22"/>
          <w:lang w:val="sr-Latn-ME"/>
        </w:rPr>
        <w:tab/>
      </w:r>
      <w:r w:rsidRPr="009003E2">
        <w:rPr>
          <w:b/>
          <w:bCs/>
          <w:sz w:val="22"/>
          <w:szCs w:val="22"/>
          <w:lang w:val="sr-Latn-ME"/>
        </w:rPr>
        <w:t>Lista pomoćnih supstanci</w:t>
      </w:r>
      <w:r w:rsidR="002E0135" w:rsidRPr="009003E2">
        <w:rPr>
          <w:b/>
          <w:bCs/>
          <w:sz w:val="22"/>
          <w:szCs w:val="22"/>
          <w:lang w:val="sr-Latn-ME"/>
        </w:rPr>
        <w:t xml:space="preserve"> (ekscipijenasa)</w:t>
      </w:r>
    </w:p>
    <w:p w14:paraId="60D0DB54" w14:textId="77777777" w:rsidR="00D16942" w:rsidRPr="009003E2" w:rsidRDefault="00D16942" w:rsidP="00284ACA">
      <w:pPr>
        <w:tabs>
          <w:tab w:val="left" w:pos="540"/>
          <w:tab w:val="left" w:pos="569"/>
        </w:tabs>
        <w:jc w:val="both"/>
        <w:rPr>
          <w:b/>
          <w:bCs/>
          <w:sz w:val="22"/>
          <w:szCs w:val="22"/>
          <w:lang w:val="sr-Latn-ME"/>
        </w:rPr>
      </w:pPr>
    </w:p>
    <w:p w14:paraId="4ED70AC7" w14:textId="77777777" w:rsidR="00D16942" w:rsidRPr="009003E2" w:rsidRDefault="00D16942" w:rsidP="00284ACA">
      <w:pPr>
        <w:ind w:right="-2"/>
        <w:jc w:val="both"/>
        <w:rPr>
          <w:sz w:val="22"/>
          <w:szCs w:val="22"/>
          <w:lang w:val="sr-Latn-ME"/>
        </w:rPr>
      </w:pPr>
      <w:r w:rsidRPr="009003E2">
        <w:rPr>
          <w:sz w:val="22"/>
          <w:szCs w:val="22"/>
          <w:lang w:val="sr-Latn-ME"/>
        </w:rPr>
        <w:t>Manitol (E 421)</w:t>
      </w:r>
    </w:p>
    <w:p w14:paraId="2AC566A3" w14:textId="1245AD08" w:rsidR="00D16942" w:rsidRPr="009003E2" w:rsidRDefault="00D16942" w:rsidP="00284ACA">
      <w:pPr>
        <w:ind w:right="-2"/>
        <w:jc w:val="both"/>
        <w:rPr>
          <w:sz w:val="22"/>
          <w:szCs w:val="22"/>
          <w:lang w:val="sr-Latn-ME"/>
        </w:rPr>
      </w:pPr>
      <w:r w:rsidRPr="009003E2">
        <w:rPr>
          <w:sz w:val="22"/>
          <w:szCs w:val="22"/>
          <w:lang w:val="sr-Latn-ME"/>
        </w:rPr>
        <w:t>Skrob, kukuruzni</w:t>
      </w:r>
      <w:r w:rsidR="008B1B8F" w:rsidRPr="009003E2">
        <w:rPr>
          <w:sz w:val="22"/>
          <w:szCs w:val="22"/>
          <w:lang w:val="sr-Latn-ME"/>
        </w:rPr>
        <w:t xml:space="preserve"> (80:20)</w:t>
      </w:r>
    </w:p>
    <w:p w14:paraId="71FF35BB" w14:textId="09469974" w:rsidR="00D16942" w:rsidRPr="009003E2" w:rsidRDefault="00D16942" w:rsidP="00284ACA">
      <w:pPr>
        <w:ind w:right="-2"/>
        <w:jc w:val="both"/>
        <w:rPr>
          <w:sz w:val="22"/>
          <w:szCs w:val="22"/>
          <w:lang w:val="sr-Latn-ME"/>
        </w:rPr>
      </w:pPr>
      <w:r w:rsidRPr="009003E2">
        <w:rPr>
          <w:sz w:val="22"/>
          <w:szCs w:val="22"/>
          <w:lang w:val="sr-Latn-ME"/>
        </w:rPr>
        <w:t>Natrijum</w:t>
      </w:r>
      <w:r w:rsidR="00C3427A" w:rsidRPr="009003E2">
        <w:rPr>
          <w:sz w:val="22"/>
          <w:szCs w:val="22"/>
          <w:lang w:val="sr-Latn-ME"/>
        </w:rPr>
        <w:t xml:space="preserve"> </w:t>
      </w:r>
      <w:r w:rsidRPr="009003E2">
        <w:rPr>
          <w:sz w:val="22"/>
          <w:szCs w:val="22"/>
          <w:lang w:val="sr-Latn-ME"/>
        </w:rPr>
        <w:t>skrobglikolat tip A</w:t>
      </w:r>
    </w:p>
    <w:p w14:paraId="66BD41D0" w14:textId="77777777" w:rsidR="00D16942" w:rsidRPr="009003E2" w:rsidRDefault="00D16942" w:rsidP="00284ACA">
      <w:pPr>
        <w:ind w:right="-2"/>
        <w:jc w:val="both"/>
        <w:rPr>
          <w:sz w:val="22"/>
          <w:szCs w:val="22"/>
          <w:lang w:val="sr-Latn-ME"/>
        </w:rPr>
      </w:pPr>
      <w:r w:rsidRPr="009003E2">
        <w:rPr>
          <w:sz w:val="22"/>
          <w:szCs w:val="22"/>
          <w:lang w:val="sr-Latn-ME"/>
        </w:rPr>
        <w:t>Malinska kiselina (E 296)</w:t>
      </w:r>
    </w:p>
    <w:p w14:paraId="0592C493" w14:textId="7479B720" w:rsidR="00D16942" w:rsidRPr="009003E2" w:rsidRDefault="00D16942" w:rsidP="00284ACA">
      <w:pPr>
        <w:ind w:right="-2"/>
        <w:jc w:val="both"/>
        <w:rPr>
          <w:sz w:val="22"/>
          <w:szCs w:val="22"/>
          <w:lang w:val="sr-Latn-ME"/>
        </w:rPr>
      </w:pPr>
      <w:r w:rsidRPr="009003E2">
        <w:rPr>
          <w:sz w:val="22"/>
          <w:szCs w:val="22"/>
          <w:lang w:val="sr-Latn-ME"/>
        </w:rPr>
        <w:t>Natrijum</w:t>
      </w:r>
      <w:r w:rsidR="00C3427A" w:rsidRPr="009003E2">
        <w:rPr>
          <w:sz w:val="22"/>
          <w:szCs w:val="22"/>
          <w:lang w:val="sr-Latn-ME"/>
        </w:rPr>
        <w:t xml:space="preserve"> </w:t>
      </w:r>
      <w:r w:rsidRPr="009003E2">
        <w:rPr>
          <w:sz w:val="22"/>
          <w:szCs w:val="22"/>
          <w:lang w:val="sr-Latn-ME"/>
        </w:rPr>
        <w:t>stearilfumarat (E 485)</w:t>
      </w:r>
    </w:p>
    <w:p w14:paraId="6A8BE01D" w14:textId="7C734B78" w:rsidR="00D16942" w:rsidRPr="009003E2" w:rsidRDefault="00D16942" w:rsidP="00284ACA">
      <w:pPr>
        <w:ind w:right="-2"/>
        <w:jc w:val="both"/>
        <w:rPr>
          <w:sz w:val="22"/>
          <w:szCs w:val="22"/>
          <w:lang w:val="sr-Latn-ME"/>
        </w:rPr>
      </w:pPr>
      <w:r w:rsidRPr="009003E2">
        <w:rPr>
          <w:sz w:val="22"/>
          <w:szCs w:val="22"/>
          <w:lang w:val="sr-Latn-ME"/>
        </w:rPr>
        <w:t>Silicijum</w:t>
      </w:r>
      <w:r w:rsidR="00C3427A" w:rsidRPr="009003E2">
        <w:rPr>
          <w:sz w:val="22"/>
          <w:szCs w:val="22"/>
          <w:lang w:val="sr-Latn-ME"/>
        </w:rPr>
        <w:t xml:space="preserve"> </w:t>
      </w:r>
      <w:r w:rsidRPr="009003E2">
        <w:rPr>
          <w:sz w:val="22"/>
          <w:szCs w:val="22"/>
          <w:lang w:val="sr-Latn-ME"/>
        </w:rPr>
        <w:t>dioksid (E 551)</w:t>
      </w:r>
    </w:p>
    <w:p w14:paraId="4DB36DDC" w14:textId="77777777" w:rsidR="0072020E" w:rsidRPr="009003E2" w:rsidRDefault="0072020E" w:rsidP="00284ACA">
      <w:pPr>
        <w:tabs>
          <w:tab w:val="left" w:pos="540"/>
          <w:tab w:val="left" w:pos="569"/>
        </w:tabs>
        <w:jc w:val="both"/>
        <w:rPr>
          <w:bCs/>
          <w:sz w:val="22"/>
          <w:szCs w:val="22"/>
          <w:lang w:val="sr-Latn-ME"/>
        </w:rPr>
      </w:pPr>
    </w:p>
    <w:p w14:paraId="778A6E0F"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6.2. </w:t>
      </w:r>
      <w:r w:rsidR="00480FB1" w:rsidRPr="009003E2">
        <w:rPr>
          <w:b/>
          <w:bCs/>
          <w:sz w:val="22"/>
          <w:szCs w:val="22"/>
          <w:lang w:val="sr-Latn-ME"/>
        </w:rPr>
        <w:tab/>
      </w:r>
      <w:r w:rsidRPr="009003E2">
        <w:rPr>
          <w:b/>
          <w:bCs/>
          <w:sz w:val="22"/>
          <w:szCs w:val="22"/>
          <w:lang w:val="sr-Latn-ME"/>
        </w:rPr>
        <w:t>Inkompatibilnost</w:t>
      </w:r>
      <w:r w:rsidR="002846DB" w:rsidRPr="009003E2">
        <w:rPr>
          <w:b/>
          <w:bCs/>
          <w:sz w:val="22"/>
          <w:szCs w:val="22"/>
          <w:lang w:val="sr-Latn-ME"/>
        </w:rPr>
        <w:t>i</w:t>
      </w:r>
    </w:p>
    <w:p w14:paraId="37576D14" w14:textId="77777777" w:rsidR="00D16942" w:rsidRPr="009003E2" w:rsidRDefault="00D16942" w:rsidP="00284ACA">
      <w:pPr>
        <w:tabs>
          <w:tab w:val="left" w:pos="540"/>
          <w:tab w:val="left" w:pos="569"/>
        </w:tabs>
        <w:jc w:val="both"/>
        <w:rPr>
          <w:b/>
          <w:bCs/>
          <w:sz w:val="22"/>
          <w:szCs w:val="22"/>
          <w:lang w:val="sr-Latn-ME"/>
        </w:rPr>
      </w:pPr>
    </w:p>
    <w:p w14:paraId="01C74F3D" w14:textId="79722022" w:rsidR="00D16942" w:rsidRPr="009003E2" w:rsidRDefault="00D16942" w:rsidP="00284ACA">
      <w:pPr>
        <w:tabs>
          <w:tab w:val="left" w:pos="540"/>
          <w:tab w:val="left" w:pos="569"/>
        </w:tabs>
        <w:jc w:val="both"/>
        <w:rPr>
          <w:rFonts w:eastAsiaTheme="minorHAnsi"/>
          <w:sz w:val="22"/>
          <w:szCs w:val="22"/>
          <w:lang w:val="sr-Latn-ME"/>
        </w:rPr>
      </w:pPr>
      <w:r w:rsidRPr="009003E2">
        <w:rPr>
          <w:rFonts w:eastAsiaTheme="minorHAnsi"/>
          <w:sz w:val="22"/>
          <w:szCs w:val="22"/>
          <w:lang w:val="sr-Latn-ME"/>
        </w:rPr>
        <w:t>Nije primjen</w:t>
      </w:r>
      <w:r w:rsidR="00C3427A" w:rsidRPr="009003E2">
        <w:rPr>
          <w:rFonts w:eastAsiaTheme="minorHAnsi"/>
          <w:sz w:val="22"/>
          <w:szCs w:val="22"/>
          <w:lang w:val="sr-Latn-ME"/>
        </w:rPr>
        <w:t>l</w:t>
      </w:r>
      <w:r w:rsidRPr="009003E2">
        <w:rPr>
          <w:rFonts w:eastAsiaTheme="minorHAnsi"/>
          <w:sz w:val="22"/>
          <w:szCs w:val="22"/>
          <w:lang w:val="sr-Latn-ME"/>
        </w:rPr>
        <w:t>jivo.</w:t>
      </w:r>
    </w:p>
    <w:p w14:paraId="14AD1DD4" w14:textId="77777777" w:rsidR="0072020E" w:rsidRPr="009003E2" w:rsidRDefault="0072020E" w:rsidP="00284ACA">
      <w:pPr>
        <w:tabs>
          <w:tab w:val="left" w:pos="540"/>
          <w:tab w:val="left" w:pos="569"/>
        </w:tabs>
        <w:jc w:val="both"/>
        <w:rPr>
          <w:bCs/>
          <w:sz w:val="22"/>
          <w:szCs w:val="22"/>
          <w:lang w:val="sr-Latn-ME"/>
        </w:rPr>
      </w:pPr>
    </w:p>
    <w:p w14:paraId="505E028A"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6.3.</w:t>
      </w:r>
      <w:r w:rsidR="00C05DF8" w:rsidRPr="009003E2">
        <w:rPr>
          <w:b/>
          <w:bCs/>
          <w:sz w:val="22"/>
          <w:szCs w:val="22"/>
          <w:lang w:val="sr-Latn-ME"/>
        </w:rPr>
        <w:t xml:space="preserve"> </w:t>
      </w:r>
      <w:r w:rsidR="00480FB1" w:rsidRPr="009003E2">
        <w:rPr>
          <w:b/>
          <w:bCs/>
          <w:sz w:val="22"/>
          <w:szCs w:val="22"/>
          <w:lang w:val="sr-Latn-ME"/>
        </w:rPr>
        <w:tab/>
      </w:r>
      <w:r w:rsidRPr="009003E2">
        <w:rPr>
          <w:b/>
          <w:bCs/>
          <w:sz w:val="22"/>
          <w:szCs w:val="22"/>
          <w:lang w:val="sr-Latn-ME"/>
        </w:rPr>
        <w:t>Rok upotrebe</w:t>
      </w:r>
    </w:p>
    <w:p w14:paraId="4D1F6C55" w14:textId="77777777" w:rsidR="00D16942" w:rsidRPr="009003E2" w:rsidRDefault="00D16942" w:rsidP="00284ACA">
      <w:pPr>
        <w:tabs>
          <w:tab w:val="left" w:pos="540"/>
          <w:tab w:val="left" w:pos="569"/>
        </w:tabs>
        <w:jc w:val="both"/>
        <w:rPr>
          <w:b/>
          <w:bCs/>
          <w:sz w:val="22"/>
          <w:szCs w:val="22"/>
          <w:lang w:val="sr-Latn-ME"/>
        </w:rPr>
      </w:pPr>
    </w:p>
    <w:p w14:paraId="19B0C3CE" w14:textId="77777777" w:rsidR="00D16942" w:rsidRPr="009003E2" w:rsidRDefault="00D16942" w:rsidP="00284ACA">
      <w:pPr>
        <w:jc w:val="both"/>
        <w:rPr>
          <w:rFonts w:eastAsiaTheme="minorHAnsi"/>
          <w:sz w:val="22"/>
          <w:szCs w:val="22"/>
          <w:lang w:val="sr-Latn-ME"/>
        </w:rPr>
      </w:pPr>
      <w:r w:rsidRPr="009003E2">
        <w:rPr>
          <w:rFonts w:eastAsiaTheme="minorHAnsi"/>
          <w:sz w:val="22"/>
          <w:szCs w:val="22"/>
          <w:lang w:val="sr-Latn-ME"/>
        </w:rPr>
        <w:t>3 godine</w:t>
      </w:r>
    </w:p>
    <w:p w14:paraId="41944EA3" w14:textId="77777777" w:rsidR="0072020E" w:rsidRPr="009003E2" w:rsidRDefault="0072020E" w:rsidP="00284ACA">
      <w:pPr>
        <w:tabs>
          <w:tab w:val="left" w:pos="540"/>
          <w:tab w:val="left" w:pos="569"/>
        </w:tabs>
        <w:jc w:val="both"/>
        <w:rPr>
          <w:bCs/>
          <w:sz w:val="22"/>
          <w:szCs w:val="22"/>
          <w:lang w:val="sr-Latn-ME"/>
        </w:rPr>
      </w:pPr>
    </w:p>
    <w:p w14:paraId="71998945"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6.4. </w:t>
      </w:r>
      <w:r w:rsidR="00480FB1" w:rsidRPr="009003E2">
        <w:rPr>
          <w:b/>
          <w:bCs/>
          <w:sz w:val="22"/>
          <w:szCs w:val="22"/>
          <w:lang w:val="sr-Latn-ME"/>
        </w:rPr>
        <w:tab/>
      </w:r>
      <w:r w:rsidRPr="009003E2">
        <w:rPr>
          <w:b/>
          <w:bCs/>
          <w:sz w:val="22"/>
          <w:szCs w:val="22"/>
          <w:lang w:val="sr-Latn-ME"/>
        </w:rPr>
        <w:t>Posebne mjere upozorenja pri čuvanju</w:t>
      </w:r>
      <w:r w:rsidR="00F8570A" w:rsidRPr="009003E2">
        <w:rPr>
          <w:b/>
          <w:bCs/>
          <w:sz w:val="22"/>
          <w:szCs w:val="22"/>
          <w:lang w:val="sr-Latn-ME"/>
        </w:rPr>
        <w:t xml:space="preserve"> lijeka</w:t>
      </w:r>
    </w:p>
    <w:p w14:paraId="3C9E1BBB" w14:textId="77777777" w:rsidR="00D16942" w:rsidRPr="009003E2" w:rsidRDefault="00D16942" w:rsidP="00284ACA">
      <w:pPr>
        <w:tabs>
          <w:tab w:val="left" w:pos="540"/>
          <w:tab w:val="left" w:pos="569"/>
        </w:tabs>
        <w:jc w:val="both"/>
        <w:rPr>
          <w:b/>
          <w:bCs/>
          <w:sz w:val="22"/>
          <w:szCs w:val="22"/>
          <w:lang w:val="sr-Latn-ME"/>
        </w:rPr>
      </w:pPr>
    </w:p>
    <w:p w14:paraId="6E494238" w14:textId="5F43F426" w:rsidR="00D16942" w:rsidRPr="009003E2" w:rsidRDefault="00D16942" w:rsidP="00284ACA">
      <w:pPr>
        <w:jc w:val="both"/>
        <w:rPr>
          <w:rFonts w:eastAsiaTheme="minorHAnsi"/>
          <w:sz w:val="22"/>
          <w:szCs w:val="22"/>
          <w:lang w:val="sr-Latn-ME"/>
        </w:rPr>
      </w:pPr>
      <w:r w:rsidRPr="009003E2">
        <w:rPr>
          <w:rFonts w:eastAsiaTheme="minorHAnsi"/>
          <w:sz w:val="22"/>
          <w:szCs w:val="22"/>
          <w:lang w:val="sr-Latn-ME"/>
        </w:rPr>
        <w:t>Čuva</w:t>
      </w:r>
      <w:r w:rsidR="00C3427A" w:rsidRPr="009003E2">
        <w:rPr>
          <w:rFonts w:eastAsiaTheme="minorHAnsi"/>
          <w:sz w:val="22"/>
          <w:szCs w:val="22"/>
          <w:lang w:val="sr-Latn-ME"/>
        </w:rPr>
        <w:t>ti</w:t>
      </w:r>
      <w:r w:rsidRPr="009003E2">
        <w:rPr>
          <w:rFonts w:eastAsiaTheme="minorHAnsi"/>
          <w:sz w:val="22"/>
          <w:szCs w:val="22"/>
          <w:lang w:val="sr-Latn-ME"/>
        </w:rPr>
        <w:t xml:space="preserve"> </w:t>
      </w:r>
      <w:r w:rsidR="009F678E" w:rsidRPr="009003E2">
        <w:rPr>
          <w:rFonts w:eastAsiaTheme="minorHAnsi"/>
          <w:sz w:val="22"/>
          <w:szCs w:val="22"/>
          <w:lang w:val="sr-Latn-ME"/>
        </w:rPr>
        <w:t>lijek</w:t>
      </w:r>
      <w:r w:rsidRPr="009003E2">
        <w:rPr>
          <w:rFonts w:eastAsiaTheme="minorHAnsi"/>
          <w:sz w:val="22"/>
          <w:szCs w:val="22"/>
          <w:lang w:val="sr-Latn-ME"/>
        </w:rPr>
        <w:t xml:space="preserve"> u originalnom pakovanju radi zaštite od vlage.</w:t>
      </w:r>
    </w:p>
    <w:p w14:paraId="0B7E4573" w14:textId="77777777" w:rsidR="00D16942" w:rsidRPr="009003E2" w:rsidRDefault="00D16942" w:rsidP="00284ACA">
      <w:pPr>
        <w:jc w:val="both"/>
        <w:rPr>
          <w:rFonts w:eastAsiaTheme="minorHAnsi"/>
          <w:sz w:val="22"/>
          <w:szCs w:val="22"/>
          <w:lang w:val="sr-Latn-ME"/>
        </w:rPr>
      </w:pPr>
      <w:r w:rsidRPr="009003E2">
        <w:rPr>
          <w:rFonts w:eastAsiaTheme="minorHAnsi"/>
          <w:sz w:val="22"/>
          <w:szCs w:val="22"/>
          <w:lang w:val="sr-Latn-ME"/>
        </w:rPr>
        <w:t>Ovaj lijek ne zahtijeva posebne temperaturne uslove čuvanja.</w:t>
      </w:r>
    </w:p>
    <w:p w14:paraId="2A3415E7" w14:textId="77777777" w:rsidR="00EC2532" w:rsidRPr="009003E2" w:rsidRDefault="00EC2532" w:rsidP="00284ACA">
      <w:pPr>
        <w:tabs>
          <w:tab w:val="left" w:pos="540"/>
          <w:tab w:val="left" w:pos="569"/>
        </w:tabs>
        <w:jc w:val="both"/>
        <w:rPr>
          <w:bCs/>
          <w:sz w:val="22"/>
          <w:szCs w:val="22"/>
          <w:lang w:val="sr-Latn-ME"/>
        </w:rPr>
      </w:pPr>
    </w:p>
    <w:p w14:paraId="2B38FFE2"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6.5. </w:t>
      </w:r>
      <w:r w:rsidR="00480FB1" w:rsidRPr="009003E2">
        <w:rPr>
          <w:b/>
          <w:bCs/>
          <w:sz w:val="22"/>
          <w:szCs w:val="22"/>
          <w:lang w:val="sr-Latn-ME"/>
        </w:rPr>
        <w:tab/>
      </w:r>
      <w:r w:rsidR="002846DB" w:rsidRPr="009003E2">
        <w:rPr>
          <w:b/>
          <w:bCs/>
          <w:sz w:val="22"/>
          <w:szCs w:val="22"/>
          <w:lang w:val="sr-Latn-ME"/>
        </w:rPr>
        <w:t xml:space="preserve">Vrsta i sadržaj </w:t>
      </w:r>
      <w:r w:rsidR="00F8570A" w:rsidRPr="009003E2">
        <w:rPr>
          <w:b/>
          <w:bCs/>
          <w:sz w:val="22"/>
          <w:szCs w:val="22"/>
          <w:lang w:val="sr-Latn-ME"/>
        </w:rPr>
        <w:t>pakovanja</w:t>
      </w:r>
      <w:r w:rsidR="00C06864" w:rsidRPr="009003E2">
        <w:rPr>
          <w:b/>
          <w:bCs/>
          <w:sz w:val="22"/>
          <w:szCs w:val="22"/>
          <w:lang w:val="sr-Latn-ME"/>
        </w:rPr>
        <w:t xml:space="preserve"> </w:t>
      </w:r>
    </w:p>
    <w:p w14:paraId="1B6D49F8" w14:textId="77777777" w:rsidR="00D16942" w:rsidRPr="009003E2" w:rsidRDefault="00D16942" w:rsidP="00284ACA">
      <w:pPr>
        <w:ind w:right="-2"/>
        <w:jc w:val="both"/>
        <w:rPr>
          <w:sz w:val="22"/>
          <w:szCs w:val="22"/>
          <w:u w:val="single"/>
          <w:lang w:val="sr-Latn-ME"/>
        </w:rPr>
      </w:pPr>
    </w:p>
    <w:p w14:paraId="4ABB668A" w14:textId="15BFC06B" w:rsidR="00D16942" w:rsidRPr="009003E2" w:rsidRDefault="00D16942" w:rsidP="00284ACA">
      <w:pPr>
        <w:ind w:right="-2"/>
        <w:jc w:val="both"/>
        <w:rPr>
          <w:sz w:val="22"/>
          <w:szCs w:val="22"/>
          <w:lang w:val="sr-Latn-ME"/>
        </w:rPr>
      </w:pPr>
      <w:r w:rsidRPr="009003E2">
        <w:rPr>
          <w:sz w:val="22"/>
          <w:szCs w:val="22"/>
          <w:lang w:val="sr-Latn-ME"/>
        </w:rPr>
        <w:t xml:space="preserve">Unutrašnje pakovanje </w:t>
      </w:r>
      <w:r w:rsidR="007E4797" w:rsidRPr="009003E2">
        <w:rPr>
          <w:sz w:val="22"/>
          <w:szCs w:val="22"/>
          <w:lang w:val="sr-Latn-ME"/>
        </w:rPr>
        <w:t xml:space="preserve">je </w:t>
      </w:r>
      <w:r w:rsidRPr="009003E2">
        <w:rPr>
          <w:sz w:val="22"/>
          <w:szCs w:val="22"/>
          <w:lang w:val="sr-Latn-ME"/>
        </w:rPr>
        <w:t xml:space="preserve">blister izrađen od PA/Al/PVC folije </w:t>
      </w:r>
      <w:bookmarkStart w:id="13" w:name="_Hlk133416983"/>
      <w:r w:rsidRPr="009003E2">
        <w:rPr>
          <w:sz w:val="22"/>
          <w:szCs w:val="22"/>
          <w:lang w:val="sr-Latn-ME"/>
        </w:rPr>
        <w:t xml:space="preserve">(bazna folija) i od Papir/PET/Al pokrivne blister folije koja se može </w:t>
      </w:r>
      <w:r w:rsidR="008B1B8F" w:rsidRPr="009003E2">
        <w:rPr>
          <w:sz w:val="22"/>
          <w:szCs w:val="22"/>
          <w:lang w:val="sr-Latn-ME"/>
        </w:rPr>
        <w:t xml:space="preserve">odlijepiti </w:t>
      </w:r>
      <w:r w:rsidRPr="009003E2">
        <w:rPr>
          <w:sz w:val="22"/>
          <w:szCs w:val="22"/>
          <w:lang w:val="sr-Latn-ME"/>
        </w:rPr>
        <w:t>(folija za zatvaranje)</w:t>
      </w:r>
      <w:bookmarkEnd w:id="13"/>
      <w:r w:rsidRPr="009003E2">
        <w:rPr>
          <w:sz w:val="22"/>
          <w:szCs w:val="22"/>
          <w:lang w:val="sr-Latn-ME"/>
        </w:rPr>
        <w:t>.</w:t>
      </w:r>
    </w:p>
    <w:p w14:paraId="1259A5DC" w14:textId="77777777" w:rsidR="00D16942" w:rsidRPr="009003E2" w:rsidRDefault="00D16942" w:rsidP="00284ACA">
      <w:pPr>
        <w:ind w:right="-2"/>
        <w:jc w:val="both"/>
        <w:rPr>
          <w:sz w:val="22"/>
          <w:szCs w:val="22"/>
          <w:u w:val="single"/>
          <w:lang w:val="sr-Latn-ME"/>
        </w:rPr>
      </w:pPr>
    </w:p>
    <w:p w14:paraId="143CA7B7" w14:textId="057BF78C" w:rsidR="00D16942" w:rsidRPr="009003E2" w:rsidRDefault="00D16942" w:rsidP="00284ACA">
      <w:pPr>
        <w:ind w:right="-2"/>
        <w:jc w:val="both"/>
        <w:rPr>
          <w:lang w:val="sr-Latn-ME"/>
        </w:rPr>
      </w:pPr>
      <w:r w:rsidRPr="009003E2">
        <w:rPr>
          <w:sz w:val="22"/>
          <w:szCs w:val="22"/>
          <w:lang w:val="sr-Latn-ME"/>
        </w:rPr>
        <w:t xml:space="preserve">Spoljašnje pakovanje je složiva kartonska kutija koja sadrži </w:t>
      </w:r>
      <w:r w:rsidR="00C3427A" w:rsidRPr="009003E2">
        <w:rPr>
          <w:sz w:val="22"/>
          <w:szCs w:val="22"/>
          <w:lang w:val="sr-Latn-ME"/>
        </w:rPr>
        <w:t>4 blistera sa</w:t>
      </w:r>
      <w:r w:rsidR="008B1B8F" w:rsidRPr="009003E2">
        <w:rPr>
          <w:sz w:val="22"/>
          <w:szCs w:val="22"/>
          <w:lang w:val="sr-Latn-ME"/>
        </w:rPr>
        <w:t xml:space="preserve"> p</w:t>
      </w:r>
      <w:r w:rsidR="00C3427A" w:rsidRPr="009003E2">
        <w:rPr>
          <w:sz w:val="22"/>
          <w:szCs w:val="22"/>
          <w:lang w:val="sr-Latn-ME"/>
        </w:rPr>
        <w:t xml:space="preserve">o 7 </w:t>
      </w:r>
      <w:r w:rsidRPr="009003E2">
        <w:rPr>
          <w:sz w:val="22"/>
          <w:szCs w:val="22"/>
          <w:lang w:val="sr-Latn-ME"/>
        </w:rPr>
        <w:t xml:space="preserve">oralnih disperzibilnih </w:t>
      </w:r>
      <w:r w:rsidR="008B1B8F" w:rsidRPr="009003E2">
        <w:rPr>
          <w:sz w:val="22"/>
          <w:szCs w:val="22"/>
          <w:lang w:val="sr-Latn-ME"/>
        </w:rPr>
        <w:t xml:space="preserve">tableta (ukupno 28 oralnih disperzibilnih tableta) </w:t>
      </w:r>
      <w:r w:rsidRPr="009003E2">
        <w:rPr>
          <w:sz w:val="22"/>
          <w:szCs w:val="22"/>
          <w:lang w:val="sr-Latn-ME"/>
        </w:rPr>
        <w:t xml:space="preserve"> i Uputstvo za lijek.</w:t>
      </w:r>
    </w:p>
    <w:p w14:paraId="593CB909" w14:textId="7CA6B432" w:rsidR="008B1B8F" w:rsidRPr="009003E2" w:rsidRDefault="008B1B8F" w:rsidP="00284ACA">
      <w:pPr>
        <w:tabs>
          <w:tab w:val="left" w:pos="540"/>
          <w:tab w:val="left" w:pos="569"/>
        </w:tabs>
        <w:jc w:val="both"/>
        <w:rPr>
          <w:bCs/>
          <w:sz w:val="22"/>
          <w:szCs w:val="22"/>
          <w:lang w:val="sr-Latn-ME"/>
        </w:rPr>
      </w:pPr>
    </w:p>
    <w:p w14:paraId="2C5CE37F" w14:textId="5F7637A1" w:rsidR="002846DB"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6.6. </w:t>
      </w:r>
      <w:r w:rsidR="00480FB1" w:rsidRPr="009003E2">
        <w:rPr>
          <w:b/>
          <w:bCs/>
          <w:sz w:val="22"/>
          <w:szCs w:val="22"/>
          <w:lang w:val="sr-Latn-ME"/>
        </w:rPr>
        <w:tab/>
      </w:r>
      <w:r w:rsidRPr="009003E2">
        <w:rPr>
          <w:b/>
          <w:bCs/>
          <w:color w:val="000000"/>
          <w:sz w:val="22"/>
          <w:szCs w:val="22"/>
          <w:lang w:val="sr-Latn-ME"/>
        </w:rPr>
        <w:t>Posebne mjere opreza pri odlaganju materijala koji treba odbaciti nakon primjene lijeka</w:t>
      </w:r>
      <w:r w:rsidRPr="009003E2">
        <w:rPr>
          <w:b/>
          <w:bCs/>
          <w:sz w:val="22"/>
          <w:szCs w:val="22"/>
          <w:lang w:val="sr-Latn-ME"/>
        </w:rPr>
        <w:t xml:space="preserve"> </w:t>
      </w:r>
      <w:r w:rsidR="00310F03" w:rsidRPr="009003E2">
        <w:rPr>
          <w:b/>
          <w:bCs/>
          <w:sz w:val="22"/>
          <w:szCs w:val="22"/>
          <w:lang w:val="sr-Latn-ME"/>
        </w:rPr>
        <w:t>(i druga uputs</w:t>
      </w:r>
      <w:r w:rsidR="004109FA" w:rsidRPr="009003E2">
        <w:rPr>
          <w:b/>
          <w:bCs/>
          <w:sz w:val="22"/>
          <w:szCs w:val="22"/>
          <w:lang w:val="sr-Latn-ME"/>
        </w:rPr>
        <w:t>t</w:t>
      </w:r>
      <w:r w:rsidR="00310F03" w:rsidRPr="009003E2">
        <w:rPr>
          <w:b/>
          <w:bCs/>
          <w:sz w:val="22"/>
          <w:szCs w:val="22"/>
          <w:lang w:val="sr-Latn-ME"/>
        </w:rPr>
        <w:t xml:space="preserve">va za rukovanje lijekom) </w:t>
      </w:r>
    </w:p>
    <w:p w14:paraId="554102D0" w14:textId="77777777" w:rsidR="008B1B8F" w:rsidRPr="009003E2" w:rsidRDefault="008B1B8F" w:rsidP="00284ACA">
      <w:pPr>
        <w:tabs>
          <w:tab w:val="left" w:pos="540"/>
          <w:tab w:val="left" w:pos="569"/>
        </w:tabs>
        <w:jc w:val="both"/>
        <w:rPr>
          <w:b/>
          <w:bCs/>
          <w:sz w:val="22"/>
          <w:szCs w:val="22"/>
          <w:lang w:val="sr-Latn-ME"/>
        </w:rPr>
      </w:pPr>
    </w:p>
    <w:p w14:paraId="456ED2D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Svu neiskorišćenu količinu lijeka ili otpadnog materijala nakon njegove upotrebe treba ukloniti, u skladu sa važećim propisima.</w:t>
      </w:r>
    </w:p>
    <w:p w14:paraId="73904492" w14:textId="521D29C6" w:rsidR="0072020E" w:rsidRPr="009003E2" w:rsidRDefault="0072020E" w:rsidP="00284ACA">
      <w:pPr>
        <w:tabs>
          <w:tab w:val="left" w:pos="540"/>
          <w:tab w:val="left" w:pos="569"/>
        </w:tabs>
        <w:jc w:val="both"/>
        <w:rPr>
          <w:bCs/>
          <w:sz w:val="22"/>
          <w:szCs w:val="22"/>
          <w:lang w:val="sr-Latn-ME"/>
        </w:rPr>
      </w:pPr>
    </w:p>
    <w:p w14:paraId="43D86BAB" w14:textId="77777777" w:rsidR="008B1B8F" w:rsidRPr="009003E2" w:rsidRDefault="008B1B8F" w:rsidP="00284ACA">
      <w:pPr>
        <w:tabs>
          <w:tab w:val="left" w:pos="540"/>
          <w:tab w:val="left" w:pos="569"/>
        </w:tabs>
        <w:jc w:val="both"/>
        <w:rPr>
          <w:bCs/>
          <w:sz w:val="22"/>
          <w:szCs w:val="22"/>
          <w:lang w:val="sr-Latn-ME"/>
        </w:rPr>
      </w:pPr>
    </w:p>
    <w:p w14:paraId="00A393AD" w14:textId="77777777" w:rsidR="00F8570A"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7. </w:t>
      </w:r>
      <w:r w:rsidR="00480FB1" w:rsidRPr="009003E2">
        <w:rPr>
          <w:b/>
          <w:bCs/>
          <w:sz w:val="22"/>
          <w:szCs w:val="22"/>
          <w:lang w:val="sr-Latn-ME"/>
        </w:rPr>
        <w:tab/>
      </w:r>
      <w:r w:rsidRPr="009003E2">
        <w:rPr>
          <w:b/>
          <w:bCs/>
          <w:sz w:val="22"/>
          <w:szCs w:val="22"/>
          <w:lang w:val="sr-Latn-ME"/>
        </w:rPr>
        <w:t>NOSILAC DOZVOLE</w:t>
      </w:r>
      <w:r w:rsidR="00483928" w:rsidRPr="009003E2">
        <w:rPr>
          <w:b/>
          <w:bCs/>
          <w:sz w:val="22"/>
          <w:szCs w:val="22"/>
          <w:lang w:val="sr-Latn-ME"/>
        </w:rPr>
        <w:t xml:space="preserve"> </w:t>
      </w:r>
    </w:p>
    <w:p w14:paraId="1E64F6FE" w14:textId="77777777" w:rsidR="00C61BE0" w:rsidRPr="009003E2" w:rsidRDefault="00C61BE0" w:rsidP="00284ACA">
      <w:pPr>
        <w:tabs>
          <w:tab w:val="left" w:pos="540"/>
          <w:tab w:val="left" w:pos="569"/>
        </w:tabs>
        <w:jc w:val="both"/>
        <w:rPr>
          <w:bCs/>
          <w:sz w:val="22"/>
          <w:szCs w:val="22"/>
          <w:lang w:val="sr-Latn-ME"/>
        </w:rPr>
      </w:pPr>
    </w:p>
    <w:p w14:paraId="64748CE3" w14:textId="77777777" w:rsidR="00D16942" w:rsidRPr="009003E2" w:rsidRDefault="00D16942" w:rsidP="00284ACA">
      <w:pPr>
        <w:jc w:val="both"/>
        <w:rPr>
          <w:rFonts w:eastAsiaTheme="minorHAnsi"/>
          <w:sz w:val="22"/>
          <w:szCs w:val="22"/>
          <w:lang w:val="sr-Latn-ME"/>
        </w:rPr>
      </w:pPr>
      <w:r w:rsidRPr="009003E2">
        <w:rPr>
          <w:rFonts w:eastAsiaTheme="minorHAnsi"/>
          <w:sz w:val="22"/>
          <w:szCs w:val="22"/>
          <w:lang w:val="sr-Latn-ME"/>
        </w:rPr>
        <w:t>Glosarij d.o.o.</w:t>
      </w:r>
    </w:p>
    <w:p w14:paraId="664DC64A" w14:textId="7FD47086"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Vojislavljevića br</w:t>
      </w:r>
      <w:r w:rsidR="00AA77D7" w:rsidRPr="009003E2">
        <w:rPr>
          <w:rFonts w:eastAsiaTheme="minorHAnsi"/>
          <w:sz w:val="22"/>
          <w:szCs w:val="22"/>
          <w:lang w:val="sr-Latn-ME"/>
        </w:rPr>
        <w:t xml:space="preserve"> </w:t>
      </w:r>
      <w:r w:rsidRPr="009003E2">
        <w:rPr>
          <w:rFonts w:eastAsiaTheme="minorHAnsi"/>
          <w:sz w:val="22"/>
          <w:szCs w:val="22"/>
          <w:lang w:val="sr-Latn-ME"/>
        </w:rPr>
        <w:t>76</w:t>
      </w:r>
    </w:p>
    <w:p w14:paraId="50BCFF51" w14:textId="77777777" w:rsidR="00D16942" w:rsidRPr="009003E2" w:rsidRDefault="00D16942" w:rsidP="00284ACA">
      <w:pPr>
        <w:tabs>
          <w:tab w:val="left" w:pos="284"/>
        </w:tabs>
        <w:jc w:val="both"/>
        <w:rPr>
          <w:rFonts w:eastAsiaTheme="minorHAnsi"/>
          <w:sz w:val="22"/>
          <w:szCs w:val="22"/>
          <w:lang w:val="sr-Latn-ME"/>
        </w:rPr>
      </w:pPr>
      <w:r w:rsidRPr="009003E2">
        <w:rPr>
          <w:rFonts w:eastAsiaTheme="minorHAnsi"/>
          <w:sz w:val="22"/>
          <w:szCs w:val="22"/>
          <w:lang w:val="sr-Latn-ME"/>
        </w:rPr>
        <w:t>81 000 Podgorica</w:t>
      </w:r>
    </w:p>
    <w:p w14:paraId="7D9B989E" w14:textId="77777777" w:rsidR="00D16942" w:rsidRPr="009003E2" w:rsidRDefault="00D16942" w:rsidP="00284ACA">
      <w:pPr>
        <w:tabs>
          <w:tab w:val="left" w:pos="540"/>
          <w:tab w:val="left" w:pos="569"/>
        </w:tabs>
        <w:jc w:val="both"/>
        <w:rPr>
          <w:rFonts w:eastAsiaTheme="minorHAnsi"/>
          <w:sz w:val="22"/>
          <w:szCs w:val="22"/>
          <w:lang w:val="sr-Latn-ME"/>
        </w:rPr>
      </w:pPr>
      <w:r w:rsidRPr="009003E2">
        <w:rPr>
          <w:rFonts w:eastAsiaTheme="minorHAnsi"/>
          <w:sz w:val="22"/>
          <w:szCs w:val="22"/>
          <w:lang w:val="sr-Latn-ME"/>
        </w:rPr>
        <w:t>Crna Gora</w:t>
      </w:r>
    </w:p>
    <w:p w14:paraId="22642905" w14:textId="69016AF2" w:rsidR="00C37FD7" w:rsidRPr="009003E2" w:rsidRDefault="00C37FD7" w:rsidP="00284ACA">
      <w:pPr>
        <w:tabs>
          <w:tab w:val="left" w:pos="540"/>
          <w:tab w:val="left" w:pos="569"/>
        </w:tabs>
        <w:jc w:val="both"/>
        <w:rPr>
          <w:bCs/>
          <w:sz w:val="22"/>
          <w:szCs w:val="22"/>
          <w:lang w:val="sr-Latn-ME"/>
        </w:rPr>
      </w:pPr>
    </w:p>
    <w:p w14:paraId="7670BA80" w14:textId="1B762F6F" w:rsidR="008B1B8F" w:rsidRPr="009003E2" w:rsidRDefault="008B1B8F" w:rsidP="00284ACA">
      <w:pPr>
        <w:tabs>
          <w:tab w:val="left" w:pos="540"/>
          <w:tab w:val="left" w:pos="569"/>
        </w:tabs>
        <w:jc w:val="both"/>
        <w:rPr>
          <w:bCs/>
          <w:sz w:val="22"/>
          <w:szCs w:val="22"/>
          <w:lang w:val="sr-Latn-ME"/>
        </w:rPr>
      </w:pPr>
    </w:p>
    <w:p w14:paraId="200668CD" w14:textId="77777777" w:rsidR="00A109A0" w:rsidRPr="009003E2" w:rsidRDefault="00A109A0" w:rsidP="00284ACA">
      <w:pPr>
        <w:tabs>
          <w:tab w:val="left" w:pos="540"/>
          <w:tab w:val="left" w:pos="569"/>
        </w:tabs>
        <w:jc w:val="both"/>
        <w:rPr>
          <w:bCs/>
          <w:sz w:val="22"/>
          <w:szCs w:val="22"/>
          <w:lang w:val="sr-Latn-ME"/>
        </w:rPr>
      </w:pPr>
    </w:p>
    <w:p w14:paraId="77867360"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lastRenderedPageBreak/>
        <w:t xml:space="preserve">8. </w:t>
      </w:r>
      <w:r w:rsidR="00480FB1" w:rsidRPr="009003E2">
        <w:rPr>
          <w:b/>
          <w:bCs/>
          <w:sz w:val="22"/>
          <w:szCs w:val="22"/>
          <w:lang w:val="sr-Latn-ME"/>
        </w:rPr>
        <w:tab/>
      </w:r>
      <w:r w:rsidRPr="009003E2">
        <w:rPr>
          <w:b/>
          <w:bCs/>
          <w:sz w:val="22"/>
          <w:szCs w:val="22"/>
          <w:lang w:val="sr-Latn-ME"/>
        </w:rPr>
        <w:t>BROJ DOZVOLE</w:t>
      </w:r>
      <w:r w:rsidR="008A6D43" w:rsidRPr="009003E2">
        <w:rPr>
          <w:b/>
          <w:bCs/>
          <w:sz w:val="22"/>
          <w:szCs w:val="22"/>
          <w:lang w:val="sr-Latn-ME"/>
        </w:rPr>
        <w:t xml:space="preserve"> ZA STAVLJANJE LIJEKA U PROMET</w:t>
      </w:r>
    </w:p>
    <w:p w14:paraId="7C05282A" w14:textId="5CBD6A36" w:rsidR="0072020E" w:rsidRPr="009003E2" w:rsidRDefault="0072020E" w:rsidP="00284ACA">
      <w:pPr>
        <w:tabs>
          <w:tab w:val="left" w:pos="540"/>
          <w:tab w:val="left" w:pos="569"/>
        </w:tabs>
        <w:jc w:val="both"/>
        <w:rPr>
          <w:bCs/>
          <w:sz w:val="22"/>
          <w:szCs w:val="22"/>
          <w:lang w:val="sr-Latn-ME"/>
        </w:rPr>
      </w:pPr>
    </w:p>
    <w:p w14:paraId="69A0710E" w14:textId="79668E90" w:rsidR="009003E2" w:rsidRPr="00CE7626" w:rsidRDefault="009003E2" w:rsidP="00284ACA">
      <w:pPr>
        <w:tabs>
          <w:tab w:val="left" w:pos="540"/>
          <w:tab w:val="left" w:pos="569"/>
        </w:tabs>
        <w:jc w:val="both"/>
        <w:rPr>
          <w:bCs/>
          <w:sz w:val="22"/>
          <w:szCs w:val="22"/>
          <w:lang w:val="sr-Latn-ME"/>
        </w:rPr>
      </w:pPr>
      <w:r w:rsidRPr="00CE7626">
        <w:rPr>
          <w:bCs/>
          <w:sz w:val="22"/>
          <w:szCs w:val="22"/>
          <w:lang w:val="sr-Latn-ME"/>
        </w:rPr>
        <w:t>Reagila, oralna disperzibilna tableta, 1.5</w:t>
      </w:r>
      <w:r w:rsidR="001E4CE3">
        <w:rPr>
          <w:bCs/>
          <w:sz w:val="22"/>
          <w:szCs w:val="22"/>
          <w:lang w:val="sr-Latn-ME"/>
        </w:rPr>
        <w:t xml:space="preserve"> </w:t>
      </w:r>
      <w:r w:rsidRPr="00CE7626">
        <w:rPr>
          <w:bCs/>
          <w:sz w:val="22"/>
          <w:szCs w:val="22"/>
          <w:lang w:val="sr-Latn-ME"/>
        </w:rPr>
        <w:t>mg, blister djeljiv na pojedinačne doze, 28 (4x(7x1)) oralnih disperzibilnih tableta: 2030/25/2661 - 10498</w:t>
      </w:r>
    </w:p>
    <w:p w14:paraId="6B87DD62" w14:textId="4E68FF11" w:rsidR="009003E2" w:rsidRPr="00CE7626" w:rsidRDefault="009003E2" w:rsidP="00284ACA">
      <w:pPr>
        <w:tabs>
          <w:tab w:val="left" w:pos="540"/>
          <w:tab w:val="left" w:pos="569"/>
        </w:tabs>
        <w:jc w:val="both"/>
        <w:rPr>
          <w:bCs/>
          <w:sz w:val="22"/>
          <w:szCs w:val="22"/>
          <w:lang w:val="sr-Latn-ME"/>
        </w:rPr>
      </w:pPr>
      <w:r w:rsidRPr="00CE7626">
        <w:rPr>
          <w:bCs/>
          <w:sz w:val="22"/>
          <w:szCs w:val="22"/>
          <w:lang w:val="sr-Latn-ME"/>
        </w:rPr>
        <w:t>Reagila, oralna disperzibilna tableta, 3</w:t>
      </w:r>
      <w:r w:rsidR="001E4CE3">
        <w:rPr>
          <w:bCs/>
          <w:sz w:val="22"/>
          <w:szCs w:val="22"/>
          <w:lang w:val="sr-Latn-ME"/>
        </w:rPr>
        <w:t xml:space="preserve"> </w:t>
      </w:r>
      <w:r w:rsidRPr="00CE7626">
        <w:rPr>
          <w:bCs/>
          <w:sz w:val="22"/>
          <w:szCs w:val="22"/>
          <w:lang w:val="sr-Latn-ME"/>
        </w:rPr>
        <w:t xml:space="preserve">mg, blister djeljiv na pojedinačne doze, 28 (4x(7x1)) oralnih disperzibilnih tableta: </w:t>
      </w:r>
      <w:r w:rsidR="00CE7626" w:rsidRPr="00CE7626">
        <w:rPr>
          <w:bCs/>
          <w:sz w:val="22"/>
          <w:szCs w:val="22"/>
          <w:lang w:val="sr-Latn-ME"/>
        </w:rPr>
        <w:t xml:space="preserve">2030/25/2664 </w:t>
      </w:r>
      <w:r w:rsidR="00CE7626">
        <w:rPr>
          <w:bCs/>
          <w:sz w:val="22"/>
          <w:szCs w:val="22"/>
          <w:lang w:val="sr-Latn-ME"/>
        </w:rPr>
        <w:t>-</w:t>
      </w:r>
      <w:r w:rsidR="00CE7626" w:rsidRPr="00CE7626">
        <w:rPr>
          <w:bCs/>
          <w:sz w:val="22"/>
          <w:szCs w:val="22"/>
          <w:lang w:val="sr-Latn-ME"/>
        </w:rPr>
        <w:t xml:space="preserve"> 10499</w:t>
      </w:r>
    </w:p>
    <w:p w14:paraId="2C4EEA1C" w14:textId="0E3619B5" w:rsidR="009003E2" w:rsidRPr="00CE7626" w:rsidRDefault="009003E2" w:rsidP="00284ACA">
      <w:pPr>
        <w:tabs>
          <w:tab w:val="left" w:pos="540"/>
          <w:tab w:val="left" w:pos="569"/>
        </w:tabs>
        <w:jc w:val="both"/>
        <w:rPr>
          <w:bCs/>
          <w:sz w:val="22"/>
          <w:szCs w:val="22"/>
          <w:lang w:val="sr-Latn-ME"/>
        </w:rPr>
      </w:pPr>
      <w:r w:rsidRPr="00CE7626">
        <w:rPr>
          <w:bCs/>
          <w:sz w:val="22"/>
          <w:szCs w:val="22"/>
          <w:lang w:val="sr-Latn-ME"/>
        </w:rPr>
        <w:t>Reagila, oralna disperzibilna tableta, 4.5</w:t>
      </w:r>
      <w:r w:rsidR="001E4CE3">
        <w:rPr>
          <w:bCs/>
          <w:sz w:val="22"/>
          <w:szCs w:val="22"/>
          <w:lang w:val="sr-Latn-ME"/>
        </w:rPr>
        <w:t xml:space="preserve"> </w:t>
      </w:r>
      <w:r w:rsidRPr="00CE7626">
        <w:rPr>
          <w:bCs/>
          <w:sz w:val="22"/>
          <w:szCs w:val="22"/>
          <w:lang w:val="sr-Latn-ME"/>
        </w:rPr>
        <w:t>mg, blister djeljiv na pojedinačne doze, 28 (4x(7x1)) oralnih disperzibilnih tableta:</w:t>
      </w:r>
      <w:r w:rsidR="00CE7626" w:rsidRPr="00CE7626">
        <w:rPr>
          <w:bCs/>
          <w:sz w:val="22"/>
          <w:szCs w:val="22"/>
          <w:lang w:val="sr-Latn-ME"/>
        </w:rPr>
        <w:t xml:space="preserve"> </w:t>
      </w:r>
      <w:r w:rsidR="00CE7626" w:rsidRPr="00CE7626">
        <w:rPr>
          <w:sz w:val="22"/>
          <w:szCs w:val="22"/>
          <w:lang w:eastAsia="sr-Latn-ME"/>
        </w:rPr>
        <w:t>2030/25/2665 - 10500</w:t>
      </w:r>
    </w:p>
    <w:p w14:paraId="001AF716" w14:textId="561D81C2" w:rsidR="009003E2" w:rsidRPr="00CE7626" w:rsidRDefault="009003E2" w:rsidP="00284ACA">
      <w:pPr>
        <w:tabs>
          <w:tab w:val="left" w:pos="540"/>
          <w:tab w:val="left" w:pos="569"/>
        </w:tabs>
        <w:jc w:val="both"/>
        <w:rPr>
          <w:bCs/>
          <w:sz w:val="22"/>
          <w:szCs w:val="22"/>
          <w:lang w:val="sr-Latn-ME"/>
        </w:rPr>
      </w:pPr>
      <w:r w:rsidRPr="00CE7626">
        <w:rPr>
          <w:bCs/>
          <w:sz w:val="22"/>
          <w:szCs w:val="22"/>
          <w:lang w:val="sr-Latn-ME"/>
        </w:rPr>
        <w:t>Reagila, oralna disperzibilna tableta, 6</w:t>
      </w:r>
      <w:r w:rsidR="001E4CE3">
        <w:rPr>
          <w:bCs/>
          <w:sz w:val="22"/>
          <w:szCs w:val="22"/>
          <w:lang w:val="sr-Latn-ME"/>
        </w:rPr>
        <w:t xml:space="preserve"> </w:t>
      </w:r>
      <w:r w:rsidRPr="00CE7626">
        <w:rPr>
          <w:bCs/>
          <w:sz w:val="22"/>
          <w:szCs w:val="22"/>
          <w:lang w:val="sr-Latn-ME"/>
        </w:rPr>
        <w:t>mg, blister djeljiv na pojedinačne doze, 28 (4x(7x1)) oralnih disperzibilnih tableta:</w:t>
      </w:r>
      <w:r w:rsidR="00CE7626" w:rsidRPr="00CE7626">
        <w:rPr>
          <w:sz w:val="22"/>
          <w:szCs w:val="22"/>
          <w:lang w:eastAsia="sr-Latn-ME"/>
        </w:rPr>
        <w:t xml:space="preserve"> 2030/25/2663 - 10501</w:t>
      </w:r>
    </w:p>
    <w:p w14:paraId="6CE2C645" w14:textId="77777777" w:rsidR="00F45F77" w:rsidRPr="009003E2" w:rsidRDefault="00F45F77" w:rsidP="00284ACA">
      <w:pPr>
        <w:tabs>
          <w:tab w:val="left" w:pos="540"/>
          <w:tab w:val="left" w:pos="569"/>
        </w:tabs>
        <w:jc w:val="both"/>
        <w:rPr>
          <w:bCs/>
          <w:sz w:val="22"/>
          <w:szCs w:val="22"/>
          <w:lang w:val="sr-Latn-ME"/>
        </w:rPr>
      </w:pPr>
    </w:p>
    <w:p w14:paraId="52DD3E60" w14:textId="77777777" w:rsidR="0072020E" w:rsidRPr="009003E2" w:rsidRDefault="0072020E" w:rsidP="00284ACA">
      <w:pPr>
        <w:tabs>
          <w:tab w:val="left" w:pos="540"/>
          <w:tab w:val="left" w:pos="569"/>
        </w:tabs>
        <w:jc w:val="both"/>
        <w:rPr>
          <w:b/>
          <w:bCs/>
          <w:sz w:val="22"/>
          <w:szCs w:val="22"/>
          <w:lang w:val="sr-Latn-ME"/>
        </w:rPr>
      </w:pPr>
      <w:r w:rsidRPr="009003E2">
        <w:rPr>
          <w:b/>
          <w:bCs/>
          <w:sz w:val="22"/>
          <w:szCs w:val="22"/>
          <w:lang w:val="sr-Latn-ME"/>
        </w:rPr>
        <w:t xml:space="preserve">9. </w:t>
      </w:r>
      <w:r w:rsidR="00480FB1" w:rsidRPr="009003E2">
        <w:rPr>
          <w:b/>
          <w:bCs/>
          <w:sz w:val="22"/>
          <w:szCs w:val="22"/>
          <w:lang w:val="sr-Latn-ME"/>
        </w:rPr>
        <w:tab/>
      </w:r>
      <w:r w:rsidRPr="009003E2">
        <w:rPr>
          <w:b/>
          <w:bCs/>
          <w:sz w:val="22"/>
          <w:szCs w:val="22"/>
          <w:lang w:val="sr-Latn-ME"/>
        </w:rPr>
        <w:t xml:space="preserve">DATUM </w:t>
      </w:r>
      <w:r w:rsidR="00C05DF8" w:rsidRPr="009003E2">
        <w:rPr>
          <w:b/>
          <w:bCs/>
          <w:sz w:val="22"/>
          <w:szCs w:val="22"/>
          <w:lang w:val="sr-Latn-ME"/>
        </w:rPr>
        <w:t xml:space="preserve">PRVE </w:t>
      </w:r>
      <w:r w:rsidR="008A6D43" w:rsidRPr="009003E2">
        <w:rPr>
          <w:b/>
          <w:bCs/>
          <w:sz w:val="22"/>
          <w:szCs w:val="22"/>
          <w:lang w:val="sr-Latn-ME"/>
        </w:rPr>
        <w:t>DOZVOLE</w:t>
      </w:r>
      <w:r w:rsidR="00C05DF8" w:rsidRPr="009003E2">
        <w:rPr>
          <w:b/>
          <w:bCs/>
          <w:sz w:val="22"/>
          <w:szCs w:val="22"/>
          <w:lang w:val="sr-Latn-ME"/>
        </w:rPr>
        <w:t>/OBNOVE DOZVOLE</w:t>
      </w:r>
      <w:r w:rsidR="008A6D43" w:rsidRPr="009003E2">
        <w:rPr>
          <w:b/>
          <w:bCs/>
          <w:sz w:val="22"/>
          <w:szCs w:val="22"/>
          <w:lang w:val="sr-Latn-ME"/>
        </w:rPr>
        <w:t xml:space="preserve"> ZA STAVLJANJE LIJEKA U PROMET</w:t>
      </w:r>
    </w:p>
    <w:p w14:paraId="0CAEC5B7" w14:textId="77777777" w:rsidR="0072020E" w:rsidRPr="009003E2" w:rsidRDefault="0072020E" w:rsidP="00284ACA">
      <w:pPr>
        <w:tabs>
          <w:tab w:val="left" w:pos="540"/>
          <w:tab w:val="left" w:pos="569"/>
        </w:tabs>
        <w:jc w:val="both"/>
        <w:rPr>
          <w:bCs/>
          <w:sz w:val="22"/>
          <w:szCs w:val="22"/>
          <w:lang w:val="sr-Latn-ME"/>
        </w:rPr>
      </w:pPr>
    </w:p>
    <w:p w14:paraId="27E3B2FB" w14:textId="1668C905" w:rsidR="00836B35" w:rsidRDefault="003F14ED" w:rsidP="00284ACA">
      <w:pPr>
        <w:tabs>
          <w:tab w:val="left" w:pos="540"/>
          <w:tab w:val="left" w:pos="569"/>
        </w:tabs>
        <w:jc w:val="both"/>
        <w:rPr>
          <w:bCs/>
          <w:sz w:val="22"/>
          <w:szCs w:val="22"/>
          <w:lang w:val="sr-Latn-ME"/>
        </w:rPr>
      </w:pPr>
      <w:r>
        <w:rPr>
          <w:bCs/>
          <w:sz w:val="22"/>
          <w:szCs w:val="22"/>
          <w:lang w:val="sr-Latn-ME"/>
        </w:rPr>
        <w:t>23</w:t>
      </w:r>
      <w:bookmarkStart w:id="14" w:name="_GoBack"/>
      <w:bookmarkEnd w:id="14"/>
      <w:r w:rsidR="009003E2">
        <w:rPr>
          <w:bCs/>
          <w:sz w:val="22"/>
          <w:szCs w:val="22"/>
          <w:lang w:val="sr-Latn-ME"/>
        </w:rPr>
        <w:t>.07.2025. godine</w:t>
      </w:r>
    </w:p>
    <w:p w14:paraId="3D5383C9" w14:textId="28FDA66F" w:rsidR="009003E2" w:rsidRDefault="009003E2" w:rsidP="00284ACA">
      <w:pPr>
        <w:tabs>
          <w:tab w:val="left" w:pos="540"/>
          <w:tab w:val="left" w:pos="569"/>
        </w:tabs>
        <w:jc w:val="both"/>
        <w:rPr>
          <w:bCs/>
          <w:sz w:val="22"/>
          <w:szCs w:val="22"/>
          <w:lang w:val="sr-Latn-ME"/>
        </w:rPr>
      </w:pPr>
    </w:p>
    <w:p w14:paraId="25E6ADB1" w14:textId="77777777" w:rsidR="009003E2" w:rsidRPr="009003E2" w:rsidRDefault="009003E2" w:rsidP="00284ACA">
      <w:pPr>
        <w:tabs>
          <w:tab w:val="left" w:pos="540"/>
          <w:tab w:val="left" w:pos="569"/>
        </w:tabs>
        <w:jc w:val="both"/>
        <w:rPr>
          <w:bCs/>
          <w:sz w:val="22"/>
          <w:szCs w:val="22"/>
          <w:lang w:val="sr-Latn-ME"/>
        </w:rPr>
      </w:pPr>
    </w:p>
    <w:p w14:paraId="6556152F" w14:textId="77777777" w:rsidR="003F6A59" w:rsidRPr="009003E2" w:rsidRDefault="0072020E" w:rsidP="00284ACA">
      <w:pPr>
        <w:tabs>
          <w:tab w:val="left" w:pos="540"/>
          <w:tab w:val="left" w:pos="569"/>
        </w:tabs>
        <w:ind w:left="540" w:hanging="540"/>
        <w:jc w:val="both"/>
        <w:rPr>
          <w:bCs/>
          <w:sz w:val="22"/>
          <w:szCs w:val="22"/>
          <w:lang w:val="sr-Latn-ME"/>
        </w:rPr>
      </w:pPr>
      <w:r w:rsidRPr="009003E2">
        <w:rPr>
          <w:b/>
          <w:bCs/>
          <w:sz w:val="22"/>
          <w:szCs w:val="22"/>
          <w:lang w:val="sr-Latn-ME"/>
        </w:rPr>
        <w:t xml:space="preserve">10. </w:t>
      </w:r>
      <w:r w:rsidR="00480FB1" w:rsidRPr="009003E2">
        <w:rPr>
          <w:b/>
          <w:bCs/>
          <w:sz w:val="22"/>
          <w:szCs w:val="22"/>
          <w:lang w:val="sr-Latn-ME"/>
        </w:rPr>
        <w:tab/>
      </w:r>
      <w:r w:rsidR="002846DB" w:rsidRPr="009003E2">
        <w:rPr>
          <w:b/>
          <w:bCs/>
          <w:sz w:val="22"/>
          <w:szCs w:val="22"/>
          <w:lang w:val="sr-Latn-ME"/>
        </w:rPr>
        <w:t>D</w:t>
      </w:r>
      <w:r w:rsidR="00EC2532" w:rsidRPr="009003E2">
        <w:rPr>
          <w:b/>
          <w:bCs/>
          <w:sz w:val="22"/>
          <w:szCs w:val="22"/>
          <w:lang w:val="sr-Latn-ME"/>
        </w:rPr>
        <w:t xml:space="preserve">ATUM REVIZIJE TEKSTA </w:t>
      </w:r>
    </w:p>
    <w:p w14:paraId="30E1D17E" w14:textId="3B659B5A" w:rsidR="003F6A59" w:rsidRDefault="003F6A59" w:rsidP="00284ACA">
      <w:pPr>
        <w:jc w:val="both"/>
        <w:rPr>
          <w:sz w:val="22"/>
          <w:szCs w:val="22"/>
          <w:lang w:val="sr-Latn-ME"/>
        </w:rPr>
      </w:pPr>
    </w:p>
    <w:p w14:paraId="4405931A" w14:textId="567420C4" w:rsidR="00CE7626" w:rsidRPr="009003E2" w:rsidRDefault="00CE7626" w:rsidP="00284ACA">
      <w:pPr>
        <w:jc w:val="both"/>
        <w:rPr>
          <w:sz w:val="22"/>
          <w:szCs w:val="22"/>
          <w:lang w:val="sr-Latn-ME"/>
        </w:rPr>
      </w:pPr>
      <w:r>
        <w:rPr>
          <w:sz w:val="22"/>
          <w:szCs w:val="22"/>
          <w:lang w:val="sr-Latn-ME"/>
        </w:rPr>
        <w:t>Jul, 2025. godine</w:t>
      </w:r>
    </w:p>
    <w:sectPr w:rsidR="00CE7626" w:rsidRPr="009003E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4210A" w14:textId="77777777" w:rsidR="00266BBA" w:rsidRDefault="00266BBA">
      <w:r>
        <w:separator/>
      </w:r>
    </w:p>
  </w:endnote>
  <w:endnote w:type="continuationSeparator" w:id="0">
    <w:p w14:paraId="491D4566" w14:textId="77777777" w:rsidR="00266BBA" w:rsidRDefault="0026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A9A15" w14:textId="18262A69" w:rsidR="00CE7626" w:rsidRPr="00B23F69" w:rsidRDefault="00CE762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3F14ED">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3F14ED">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4B3B9" w14:textId="77777777" w:rsidR="00266BBA" w:rsidRDefault="00266BBA">
      <w:r>
        <w:separator/>
      </w:r>
    </w:p>
  </w:footnote>
  <w:footnote w:type="continuationSeparator" w:id="0">
    <w:p w14:paraId="24BD6266" w14:textId="77777777" w:rsidR="00266BBA" w:rsidRDefault="0026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65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E4CE3"/>
    <w:rsid w:val="001F42FB"/>
    <w:rsid w:val="001F719A"/>
    <w:rsid w:val="002031B3"/>
    <w:rsid w:val="00215931"/>
    <w:rsid w:val="00224C91"/>
    <w:rsid w:val="00225B95"/>
    <w:rsid w:val="00227BDB"/>
    <w:rsid w:val="00234CB1"/>
    <w:rsid w:val="002352F8"/>
    <w:rsid w:val="002510A5"/>
    <w:rsid w:val="00254A0A"/>
    <w:rsid w:val="00266046"/>
    <w:rsid w:val="00266BBA"/>
    <w:rsid w:val="002846DB"/>
    <w:rsid w:val="00284ACA"/>
    <w:rsid w:val="00284CCD"/>
    <w:rsid w:val="002C6637"/>
    <w:rsid w:val="002E0135"/>
    <w:rsid w:val="002E37A5"/>
    <w:rsid w:val="002F48CC"/>
    <w:rsid w:val="00310F03"/>
    <w:rsid w:val="003247D2"/>
    <w:rsid w:val="003445C1"/>
    <w:rsid w:val="00355B61"/>
    <w:rsid w:val="00362686"/>
    <w:rsid w:val="00371510"/>
    <w:rsid w:val="00396DFD"/>
    <w:rsid w:val="003A7059"/>
    <w:rsid w:val="003B7A36"/>
    <w:rsid w:val="003C17AB"/>
    <w:rsid w:val="003C7823"/>
    <w:rsid w:val="003E1DCC"/>
    <w:rsid w:val="003F11A1"/>
    <w:rsid w:val="003F14ED"/>
    <w:rsid w:val="003F4FAB"/>
    <w:rsid w:val="003F6A59"/>
    <w:rsid w:val="004065C8"/>
    <w:rsid w:val="004109FA"/>
    <w:rsid w:val="00411B4B"/>
    <w:rsid w:val="00415BEE"/>
    <w:rsid w:val="004254E9"/>
    <w:rsid w:val="00427F85"/>
    <w:rsid w:val="00431FF7"/>
    <w:rsid w:val="00436D43"/>
    <w:rsid w:val="00436F42"/>
    <w:rsid w:val="004378B4"/>
    <w:rsid w:val="00451314"/>
    <w:rsid w:val="00452E9D"/>
    <w:rsid w:val="004534C7"/>
    <w:rsid w:val="004671AA"/>
    <w:rsid w:val="00471DF8"/>
    <w:rsid w:val="00480FB1"/>
    <w:rsid w:val="00483928"/>
    <w:rsid w:val="004C331F"/>
    <w:rsid w:val="004C45E5"/>
    <w:rsid w:val="004D13B1"/>
    <w:rsid w:val="004D6103"/>
    <w:rsid w:val="004E3BCE"/>
    <w:rsid w:val="004E70AD"/>
    <w:rsid w:val="004F0E97"/>
    <w:rsid w:val="004F17E2"/>
    <w:rsid w:val="00501DD1"/>
    <w:rsid w:val="00515C21"/>
    <w:rsid w:val="00530BD7"/>
    <w:rsid w:val="00533324"/>
    <w:rsid w:val="00545CD2"/>
    <w:rsid w:val="005476F3"/>
    <w:rsid w:val="00556835"/>
    <w:rsid w:val="005578A7"/>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404"/>
    <w:rsid w:val="006B6503"/>
    <w:rsid w:val="006D20A5"/>
    <w:rsid w:val="006D37BF"/>
    <w:rsid w:val="00702E22"/>
    <w:rsid w:val="0072020E"/>
    <w:rsid w:val="00754902"/>
    <w:rsid w:val="00786071"/>
    <w:rsid w:val="007A3ECB"/>
    <w:rsid w:val="007D7BB3"/>
    <w:rsid w:val="007E31E9"/>
    <w:rsid w:val="007E4797"/>
    <w:rsid w:val="007E64A7"/>
    <w:rsid w:val="007F05E3"/>
    <w:rsid w:val="007F661E"/>
    <w:rsid w:val="00801E71"/>
    <w:rsid w:val="00824AB9"/>
    <w:rsid w:val="00836B35"/>
    <w:rsid w:val="00843BDE"/>
    <w:rsid w:val="0087588C"/>
    <w:rsid w:val="0089705C"/>
    <w:rsid w:val="008A6D43"/>
    <w:rsid w:val="008B1B8F"/>
    <w:rsid w:val="008B491E"/>
    <w:rsid w:val="008C1A28"/>
    <w:rsid w:val="008C2E98"/>
    <w:rsid w:val="008E49BD"/>
    <w:rsid w:val="008E53E9"/>
    <w:rsid w:val="008E5771"/>
    <w:rsid w:val="008F4ACF"/>
    <w:rsid w:val="009003E2"/>
    <w:rsid w:val="00924166"/>
    <w:rsid w:val="00940B9B"/>
    <w:rsid w:val="00950F03"/>
    <w:rsid w:val="00953573"/>
    <w:rsid w:val="0095676E"/>
    <w:rsid w:val="00956983"/>
    <w:rsid w:val="00963CF0"/>
    <w:rsid w:val="00964BB1"/>
    <w:rsid w:val="009775D9"/>
    <w:rsid w:val="00997175"/>
    <w:rsid w:val="009A1847"/>
    <w:rsid w:val="009B062A"/>
    <w:rsid w:val="009E7C6F"/>
    <w:rsid w:val="009F1793"/>
    <w:rsid w:val="009F2D23"/>
    <w:rsid w:val="009F678E"/>
    <w:rsid w:val="00A01D69"/>
    <w:rsid w:val="00A02335"/>
    <w:rsid w:val="00A109A0"/>
    <w:rsid w:val="00A46C9A"/>
    <w:rsid w:val="00A619F3"/>
    <w:rsid w:val="00A62A73"/>
    <w:rsid w:val="00A87FF6"/>
    <w:rsid w:val="00AA0A3B"/>
    <w:rsid w:val="00AA2763"/>
    <w:rsid w:val="00AA33B6"/>
    <w:rsid w:val="00AA77D7"/>
    <w:rsid w:val="00AB50CA"/>
    <w:rsid w:val="00AB6D64"/>
    <w:rsid w:val="00AC53CE"/>
    <w:rsid w:val="00AD2193"/>
    <w:rsid w:val="00AF19F4"/>
    <w:rsid w:val="00AF2AC7"/>
    <w:rsid w:val="00AF74CE"/>
    <w:rsid w:val="00B208DB"/>
    <w:rsid w:val="00B23F69"/>
    <w:rsid w:val="00B60619"/>
    <w:rsid w:val="00B66A70"/>
    <w:rsid w:val="00B67366"/>
    <w:rsid w:val="00B80EE1"/>
    <w:rsid w:val="00B84135"/>
    <w:rsid w:val="00C03DD2"/>
    <w:rsid w:val="00C04D34"/>
    <w:rsid w:val="00C05DF8"/>
    <w:rsid w:val="00C06864"/>
    <w:rsid w:val="00C10F54"/>
    <w:rsid w:val="00C23D8D"/>
    <w:rsid w:val="00C3427A"/>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E7626"/>
    <w:rsid w:val="00CF07A0"/>
    <w:rsid w:val="00CF3E03"/>
    <w:rsid w:val="00D0082A"/>
    <w:rsid w:val="00D16942"/>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3D85"/>
    <w:rsid w:val="00E64180"/>
    <w:rsid w:val="00E7235D"/>
    <w:rsid w:val="00E74AEE"/>
    <w:rsid w:val="00E868E5"/>
    <w:rsid w:val="00E86AA9"/>
    <w:rsid w:val="00E91805"/>
    <w:rsid w:val="00E9237A"/>
    <w:rsid w:val="00E939FA"/>
    <w:rsid w:val="00EA5765"/>
    <w:rsid w:val="00EC2532"/>
    <w:rsid w:val="00ED3DF7"/>
    <w:rsid w:val="00ED7812"/>
    <w:rsid w:val="00EF3B86"/>
    <w:rsid w:val="00F317E9"/>
    <w:rsid w:val="00F34554"/>
    <w:rsid w:val="00F35B68"/>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0ABA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ED3D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A52D-4D8B-4CB4-994E-DBFF9FB7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7683</Words>
  <Characters>43797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51378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4</cp:revision>
  <cp:lastPrinted>2023-02-09T08:16:00Z</cp:lastPrinted>
  <dcterms:created xsi:type="dcterms:W3CDTF">2025-07-21T10:09:00Z</dcterms:created>
  <dcterms:modified xsi:type="dcterms:W3CDTF">2025-07-23T05:30:00Z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