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16A6D" w14:textId="77777777" w:rsidR="00F91C7B" w:rsidRPr="00786071" w:rsidRDefault="00F91C7B" w:rsidP="001A5518">
      <w:pPr>
        <w:rPr>
          <w:b/>
          <w:bCs/>
          <w:i/>
          <w:iCs/>
          <w:sz w:val="22"/>
          <w:szCs w:val="22"/>
          <w:u w:val="single"/>
        </w:rPr>
      </w:pPr>
    </w:p>
    <w:p w14:paraId="46ACC4D8" w14:textId="77777777"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14:paraId="6D0865DD" w14:textId="77777777" w:rsidR="002510A5" w:rsidRPr="002510A5" w:rsidRDefault="002510A5" w:rsidP="002510A5">
      <w:pPr>
        <w:rPr>
          <w:b/>
          <w:bCs/>
          <w:i/>
          <w:iCs/>
          <w:sz w:val="22"/>
          <w:szCs w:val="22"/>
          <w:u w:val="single"/>
        </w:rPr>
      </w:pPr>
    </w:p>
    <w:p w14:paraId="7638AF7D" w14:textId="77777777" w:rsidR="003C17AB" w:rsidRPr="00CA1FEB" w:rsidRDefault="003C17AB" w:rsidP="00CA1FEB">
      <w:pPr>
        <w:rPr>
          <w:sz w:val="22"/>
          <w:szCs w:val="22"/>
          <w:lang w:val="sr-Latn-CS"/>
        </w:rPr>
      </w:pPr>
    </w:p>
    <w:p w14:paraId="46530DF3" w14:textId="77777777" w:rsidR="00411B4B" w:rsidRPr="00786071" w:rsidRDefault="00411B4B" w:rsidP="00F5167F">
      <w:pPr>
        <w:tabs>
          <w:tab w:val="left" w:pos="540"/>
          <w:tab w:val="left" w:pos="569"/>
        </w:tabs>
        <w:rPr>
          <w:b/>
          <w:bCs/>
          <w:sz w:val="22"/>
          <w:szCs w:val="22"/>
        </w:rPr>
      </w:pPr>
      <w:r w:rsidRPr="00786071">
        <w:rPr>
          <w:b/>
          <w:bCs/>
          <w:sz w:val="22"/>
          <w:szCs w:val="22"/>
        </w:rPr>
        <w:t>1.</w:t>
      </w:r>
      <w:r w:rsidR="00F5167F" w:rsidRPr="00786071">
        <w:rPr>
          <w:b/>
          <w:bCs/>
          <w:sz w:val="22"/>
          <w:szCs w:val="22"/>
        </w:rPr>
        <w:tab/>
      </w:r>
      <w:r w:rsidR="002846DB" w:rsidRPr="00786071">
        <w:rPr>
          <w:b/>
          <w:bCs/>
          <w:sz w:val="22"/>
          <w:szCs w:val="22"/>
        </w:rPr>
        <w:t xml:space="preserve">NAZIV </w:t>
      </w:r>
      <w:r w:rsidRPr="00786071">
        <w:rPr>
          <w:b/>
          <w:bCs/>
          <w:sz w:val="22"/>
          <w:szCs w:val="22"/>
        </w:rPr>
        <w:t>LIJEKA</w:t>
      </w:r>
    </w:p>
    <w:p w14:paraId="7B4AF8C4" w14:textId="77777777" w:rsidR="00EC2532" w:rsidRPr="00786071" w:rsidRDefault="00EC2532">
      <w:pPr>
        <w:rPr>
          <w:sz w:val="22"/>
          <w:szCs w:val="22"/>
          <w:lang w:val="pl-PL"/>
        </w:rPr>
      </w:pPr>
    </w:p>
    <w:p w14:paraId="740271C4" w14:textId="5F55AA09" w:rsidR="000D425A" w:rsidRDefault="009F5C16" w:rsidP="00245903">
      <w:pPr>
        <w:jc w:val="both"/>
        <w:rPr>
          <w:sz w:val="22"/>
          <w:szCs w:val="22"/>
          <w:lang w:val="sr-Latn-ME"/>
        </w:rPr>
      </w:pPr>
      <w:r w:rsidRPr="009F5C16">
        <w:rPr>
          <w:sz w:val="22"/>
          <w:szCs w:val="22"/>
          <w:lang w:val="sr-Latn-ME"/>
        </w:rPr>
        <w:t>Tanakan, 40 mg, obložen</w:t>
      </w:r>
      <w:r w:rsidR="00245903">
        <w:rPr>
          <w:sz w:val="22"/>
          <w:szCs w:val="22"/>
          <w:lang w:val="sr-Latn-ME"/>
        </w:rPr>
        <w:t>a</w:t>
      </w:r>
      <w:r w:rsidRPr="009F5C16">
        <w:rPr>
          <w:sz w:val="22"/>
          <w:szCs w:val="22"/>
          <w:lang w:val="sr-Latn-ME"/>
        </w:rPr>
        <w:t xml:space="preserve"> tablet</w:t>
      </w:r>
      <w:r w:rsidR="00245903">
        <w:rPr>
          <w:sz w:val="22"/>
          <w:szCs w:val="22"/>
          <w:lang w:val="sr-Latn-ME"/>
        </w:rPr>
        <w:t>a</w:t>
      </w:r>
    </w:p>
    <w:p w14:paraId="639E08C5" w14:textId="77777777" w:rsidR="009F5C16" w:rsidRPr="009F5C16" w:rsidRDefault="009F5C16" w:rsidP="00245903">
      <w:pPr>
        <w:jc w:val="both"/>
        <w:rPr>
          <w:bCs/>
          <w:sz w:val="22"/>
          <w:szCs w:val="22"/>
          <w:lang w:val="sv-SE"/>
        </w:rPr>
      </w:pPr>
    </w:p>
    <w:p w14:paraId="1CD3716E" w14:textId="40DD6CBC" w:rsidR="006D20A5" w:rsidRPr="009F5C16" w:rsidRDefault="006D20A5" w:rsidP="00245903">
      <w:pPr>
        <w:jc w:val="both"/>
        <w:rPr>
          <w:sz w:val="22"/>
          <w:szCs w:val="22"/>
          <w:lang w:val="sr-Latn-CS"/>
        </w:rPr>
      </w:pPr>
      <w:r w:rsidRPr="009F5C16">
        <w:rPr>
          <w:sz w:val="22"/>
          <w:szCs w:val="22"/>
          <w:lang w:val="sv-SE"/>
        </w:rPr>
        <w:t>INN:</w:t>
      </w:r>
      <w:r w:rsidR="009F5C16" w:rsidRPr="009F5C16">
        <w:t xml:space="preserve"> </w:t>
      </w:r>
      <w:r w:rsidR="00CB458E">
        <w:t xml:space="preserve">list </w:t>
      </w:r>
      <w:r w:rsidR="009F5C16" w:rsidRPr="009F5C16">
        <w:rPr>
          <w:sz w:val="22"/>
          <w:szCs w:val="22"/>
          <w:lang w:val="sv-SE"/>
        </w:rPr>
        <w:t>gink</w:t>
      </w:r>
      <w:r w:rsidR="00CB458E">
        <w:rPr>
          <w:sz w:val="22"/>
          <w:szCs w:val="22"/>
          <w:lang w:val="sv-SE"/>
        </w:rPr>
        <w:t>a</w:t>
      </w:r>
      <w:r w:rsidR="009F5C16" w:rsidRPr="009F5C16">
        <w:rPr>
          <w:sz w:val="22"/>
          <w:szCs w:val="22"/>
          <w:lang w:val="sv-SE"/>
        </w:rPr>
        <w:t xml:space="preserve"> </w:t>
      </w:r>
    </w:p>
    <w:p w14:paraId="54E8E8F2" w14:textId="792D2C65" w:rsidR="00530BD7" w:rsidRDefault="00530BD7" w:rsidP="00245903">
      <w:pPr>
        <w:jc w:val="both"/>
        <w:rPr>
          <w:bCs/>
          <w:sz w:val="22"/>
          <w:szCs w:val="22"/>
          <w:lang w:val="sv-SE"/>
        </w:rPr>
      </w:pPr>
    </w:p>
    <w:p w14:paraId="550D1454" w14:textId="77777777" w:rsidR="00683BF2" w:rsidRPr="00786071" w:rsidRDefault="00683BF2" w:rsidP="00245903">
      <w:pPr>
        <w:jc w:val="both"/>
        <w:rPr>
          <w:bCs/>
          <w:sz w:val="22"/>
          <w:szCs w:val="22"/>
          <w:lang w:val="sv-SE"/>
        </w:rPr>
      </w:pPr>
    </w:p>
    <w:p w14:paraId="063D6B27" w14:textId="77777777" w:rsidR="00411B4B" w:rsidRPr="00786071" w:rsidRDefault="00411B4B" w:rsidP="00F5167F">
      <w:pPr>
        <w:tabs>
          <w:tab w:val="left" w:pos="540"/>
          <w:tab w:val="left" w:pos="569"/>
        </w:tabs>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14:paraId="7D446578" w14:textId="77777777" w:rsidR="005A0B2E" w:rsidRDefault="005A0B2E">
      <w:pPr>
        <w:rPr>
          <w:sz w:val="22"/>
          <w:szCs w:val="22"/>
          <w:lang w:val="sr-Latn-CS"/>
        </w:rPr>
      </w:pPr>
    </w:p>
    <w:p w14:paraId="40093204" w14:textId="77777777" w:rsidR="009F5C16" w:rsidRPr="009F5C16" w:rsidRDefault="009F5C16" w:rsidP="00245903">
      <w:pPr>
        <w:tabs>
          <w:tab w:val="left" w:pos="284"/>
          <w:tab w:val="center" w:pos="4536"/>
          <w:tab w:val="right" w:pos="9072"/>
        </w:tabs>
        <w:jc w:val="both"/>
        <w:rPr>
          <w:sz w:val="22"/>
          <w:szCs w:val="22"/>
          <w:lang w:val="sr-Latn-ME"/>
        </w:rPr>
      </w:pPr>
      <w:r w:rsidRPr="009F5C16">
        <w:rPr>
          <w:sz w:val="22"/>
          <w:szCs w:val="22"/>
          <w:lang w:val="sr-Latn-ME"/>
        </w:rPr>
        <w:t>1 obložena tableta sadrži 40 mg suvog standardizovanog ekstrakta lista ginka (</w:t>
      </w:r>
      <w:r w:rsidRPr="009F5C16">
        <w:rPr>
          <w:bCs/>
          <w:i/>
          <w:sz w:val="22"/>
          <w:szCs w:val="22"/>
          <w:lang w:val="sr-Latn-ME"/>
        </w:rPr>
        <w:t>Ginkgo biloba</w:t>
      </w:r>
      <w:r w:rsidRPr="009F5C16">
        <w:rPr>
          <w:sz w:val="22"/>
          <w:szCs w:val="22"/>
          <w:lang w:val="sr-Latn-ME"/>
        </w:rPr>
        <w:t xml:space="preserve"> L.) (35 – 67:1), što odgovara: </w:t>
      </w:r>
    </w:p>
    <w:p w14:paraId="3BD086E4" w14:textId="0ECAB8C0" w:rsidR="009F5C16" w:rsidRPr="009F5C16" w:rsidRDefault="009F5C16" w:rsidP="00245903">
      <w:pPr>
        <w:numPr>
          <w:ilvl w:val="0"/>
          <w:numId w:val="12"/>
        </w:numPr>
        <w:tabs>
          <w:tab w:val="left" w:pos="284"/>
          <w:tab w:val="center" w:pos="4536"/>
          <w:tab w:val="right" w:pos="9072"/>
        </w:tabs>
        <w:jc w:val="both"/>
        <w:rPr>
          <w:sz w:val="22"/>
          <w:szCs w:val="22"/>
          <w:lang w:val="sr-Latn-ME"/>
        </w:rPr>
      </w:pPr>
      <w:r w:rsidRPr="009F5C16">
        <w:rPr>
          <w:sz w:val="22"/>
          <w:szCs w:val="22"/>
          <w:lang w:val="sr-Latn-ME"/>
        </w:rPr>
        <w:t>8,8 – 10,</w:t>
      </w:r>
      <w:r w:rsidR="004163C7">
        <w:rPr>
          <w:sz w:val="22"/>
          <w:szCs w:val="22"/>
          <w:lang w:val="sr-Latn-ME"/>
        </w:rPr>
        <w:t>8</w:t>
      </w:r>
      <w:r w:rsidRPr="009F5C16">
        <w:rPr>
          <w:sz w:val="22"/>
          <w:szCs w:val="22"/>
          <w:lang w:val="sr-Latn-ME"/>
        </w:rPr>
        <w:t xml:space="preserve"> mg flavonoida, izraženih kao flavonski glikozidi</w:t>
      </w:r>
    </w:p>
    <w:p w14:paraId="49D39E96" w14:textId="77777777" w:rsidR="009F5C16" w:rsidRPr="009F5C16" w:rsidRDefault="009F5C16" w:rsidP="00245903">
      <w:pPr>
        <w:numPr>
          <w:ilvl w:val="0"/>
          <w:numId w:val="13"/>
        </w:numPr>
        <w:tabs>
          <w:tab w:val="left" w:pos="284"/>
          <w:tab w:val="center" w:pos="4536"/>
          <w:tab w:val="right" w:pos="9072"/>
        </w:tabs>
        <w:jc w:val="both"/>
        <w:rPr>
          <w:sz w:val="22"/>
          <w:szCs w:val="22"/>
          <w:lang w:val="sr-Latn-ME"/>
        </w:rPr>
      </w:pPr>
      <w:r w:rsidRPr="009F5C16">
        <w:rPr>
          <w:sz w:val="22"/>
          <w:szCs w:val="22"/>
          <w:lang w:val="sr-Latn-ME"/>
        </w:rPr>
        <w:t>1,1 – 1,4 mg ginkolida A, B i C</w:t>
      </w:r>
    </w:p>
    <w:p w14:paraId="5677BE74" w14:textId="77777777" w:rsidR="009F5C16" w:rsidRPr="009F5C16" w:rsidRDefault="009F5C16" w:rsidP="00245903">
      <w:pPr>
        <w:numPr>
          <w:ilvl w:val="0"/>
          <w:numId w:val="13"/>
        </w:numPr>
        <w:tabs>
          <w:tab w:val="left" w:pos="284"/>
          <w:tab w:val="center" w:pos="4536"/>
          <w:tab w:val="right" w:pos="9072"/>
        </w:tabs>
        <w:jc w:val="both"/>
        <w:rPr>
          <w:sz w:val="22"/>
          <w:szCs w:val="22"/>
          <w:lang w:val="sr-Latn-ME"/>
        </w:rPr>
      </w:pPr>
      <w:r w:rsidRPr="009F5C16">
        <w:rPr>
          <w:sz w:val="22"/>
          <w:szCs w:val="22"/>
          <w:lang w:val="sr-Latn-ME"/>
        </w:rPr>
        <w:t>1,0 – 1,3 mg bilobalida.</w:t>
      </w:r>
    </w:p>
    <w:p w14:paraId="4AD23970" w14:textId="77777777" w:rsidR="009F5C16" w:rsidRPr="009F5C16" w:rsidRDefault="009F5C16" w:rsidP="00245903">
      <w:pPr>
        <w:tabs>
          <w:tab w:val="left" w:pos="284"/>
          <w:tab w:val="center" w:pos="4536"/>
          <w:tab w:val="right" w:pos="9072"/>
        </w:tabs>
        <w:jc w:val="both"/>
        <w:rPr>
          <w:sz w:val="22"/>
          <w:szCs w:val="22"/>
          <w:lang w:val="sr-Latn-ME"/>
        </w:rPr>
      </w:pPr>
      <w:r w:rsidRPr="009F5C16">
        <w:rPr>
          <w:sz w:val="22"/>
          <w:szCs w:val="22"/>
          <w:lang w:val="sr-Latn-ME"/>
        </w:rPr>
        <w:t>Ekstrakt sadrži manje od 5 ppm ginkolnih kiselina po tableti.</w:t>
      </w:r>
    </w:p>
    <w:p w14:paraId="7DF25A98" w14:textId="77777777" w:rsidR="009F5C16" w:rsidRPr="009F5C16" w:rsidRDefault="009F5C16" w:rsidP="00245903">
      <w:pPr>
        <w:tabs>
          <w:tab w:val="left" w:pos="284"/>
          <w:tab w:val="center" w:pos="4536"/>
          <w:tab w:val="right" w:pos="9072"/>
        </w:tabs>
        <w:jc w:val="both"/>
        <w:rPr>
          <w:sz w:val="22"/>
          <w:szCs w:val="22"/>
          <w:lang w:val="sr-Latn-ME"/>
        </w:rPr>
      </w:pPr>
      <w:r w:rsidRPr="009F5C16">
        <w:rPr>
          <w:sz w:val="22"/>
          <w:szCs w:val="22"/>
          <w:lang w:val="sr-Latn-ME"/>
        </w:rPr>
        <w:t>Rastvarač za ekstrakciju: aceton 60 % (m/m).</w:t>
      </w:r>
    </w:p>
    <w:p w14:paraId="558A8269" w14:textId="77777777" w:rsidR="009F5C16" w:rsidRPr="009F5C16" w:rsidRDefault="009F5C16" w:rsidP="00245903">
      <w:pPr>
        <w:tabs>
          <w:tab w:val="left" w:pos="284"/>
          <w:tab w:val="center" w:pos="4536"/>
          <w:tab w:val="right" w:pos="9072"/>
        </w:tabs>
        <w:jc w:val="both"/>
        <w:rPr>
          <w:sz w:val="22"/>
          <w:szCs w:val="22"/>
          <w:lang w:val="sr-Latn-ME"/>
        </w:rPr>
      </w:pPr>
    </w:p>
    <w:p w14:paraId="43F5B689" w14:textId="77777777" w:rsidR="0003793F" w:rsidRPr="00786071" w:rsidRDefault="0003793F" w:rsidP="00245903">
      <w:pPr>
        <w:jc w:val="both"/>
        <w:rPr>
          <w:sz w:val="22"/>
          <w:szCs w:val="22"/>
          <w:lang w:val="sr-Latn-CS"/>
        </w:rPr>
      </w:pPr>
      <w:r w:rsidRPr="00786071">
        <w:rPr>
          <w:sz w:val="22"/>
          <w:szCs w:val="22"/>
          <w:lang w:val="sr-Latn-CS"/>
        </w:rPr>
        <w:t>Za spisak svih ekscipijenasa, pogledati dio 6.1.</w:t>
      </w:r>
    </w:p>
    <w:p w14:paraId="44688F0B" w14:textId="77777777" w:rsidR="0003793F" w:rsidRDefault="0003793F">
      <w:pPr>
        <w:rPr>
          <w:sz w:val="22"/>
          <w:szCs w:val="22"/>
          <w:lang w:val="sr-Latn-CS"/>
        </w:rPr>
      </w:pPr>
    </w:p>
    <w:p w14:paraId="7A447AB3" w14:textId="77777777" w:rsidR="00C37FD7" w:rsidRPr="00786071" w:rsidRDefault="00C37FD7">
      <w:pPr>
        <w:rPr>
          <w:sz w:val="22"/>
          <w:szCs w:val="22"/>
          <w:lang w:val="sr-Latn-CS"/>
        </w:rPr>
      </w:pPr>
    </w:p>
    <w:p w14:paraId="30241FD6" w14:textId="77777777" w:rsidR="00411B4B" w:rsidRPr="00786071" w:rsidRDefault="00411B4B" w:rsidP="00F5167F">
      <w:pPr>
        <w:tabs>
          <w:tab w:val="left" w:pos="540"/>
          <w:tab w:val="left" w:pos="569"/>
        </w:tabs>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14:paraId="74E6237D" w14:textId="77777777" w:rsidR="00411B4B" w:rsidRPr="00786071" w:rsidRDefault="00411B4B">
      <w:pPr>
        <w:rPr>
          <w:bCs/>
          <w:sz w:val="22"/>
          <w:szCs w:val="22"/>
          <w:lang w:val="sr-Latn-CS"/>
        </w:rPr>
      </w:pPr>
    </w:p>
    <w:p w14:paraId="06B2B77A" w14:textId="77777777" w:rsidR="009F5C16" w:rsidRPr="009F5C16" w:rsidRDefault="009F5C16" w:rsidP="00245903">
      <w:pPr>
        <w:tabs>
          <w:tab w:val="left" w:pos="284"/>
          <w:tab w:val="center" w:pos="4536"/>
          <w:tab w:val="right" w:pos="9072"/>
        </w:tabs>
        <w:jc w:val="both"/>
        <w:rPr>
          <w:sz w:val="22"/>
          <w:szCs w:val="22"/>
          <w:lang w:val="sr-Latn-ME"/>
        </w:rPr>
      </w:pPr>
      <w:r w:rsidRPr="009F5C16">
        <w:rPr>
          <w:sz w:val="22"/>
          <w:szCs w:val="22"/>
          <w:lang w:val="sr-Latn-ME"/>
        </w:rPr>
        <w:t>Obložena tableta.</w:t>
      </w:r>
    </w:p>
    <w:p w14:paraId="11357201" w14:textId="3BEB1080" w:rsidR="009F5C16" w:rsidRPr="009F5C16" w:rsidRDefault="009F5C16" w:rsidP="00245903">
      <w:pPr>
        <w:tabs>
          <w:tab w:val="left" w:pos="284"/>
          <w:tab w:val="center" w:pos="4536"/>
          <w:tab w:val="right" w:pos="9072"/>
        </w:tabs>
        <w:jc w:val="both"/>
        <w:rPr>
          <w:sz w:val="22"/>
          <w:szCs w:val="22"/>
          <w:lang w:val="sr-Latn-ME"/>
        </w:rPr>
      </w:pPr>
      <w:r w:rsidRPr="009F5C16">
        <w:rPr>
          <w:sz w:val="22"/>
          <w:szCs w:val="22"/>
          <w:lang w:val="sr-Latn-ME"/>
        </w:rPr>
        <w:t>Okrugle, bikonveksne, obložene tablete, crvenosmeđe boje.</w:t>
      </w:r>
    </w:p>
    <w:p w14:paraId="3BEC6EF1" w14:textId="2346E145" w:rsidR="00EC2532" w:rsidRDefault="00EC2532">
      <w:pPr>
        <w:rPr>
          <w:bCs/>
          <w:sz w:val="22"/>
          <w:szCs w:val="22"/>
          <w:lang w:val="sr-Latn-CS"/>
        </w:rPr>
      </w:pPr>
    </w:p>
    <w:p w14:paraId="713CDE18" w14:textId="77777777" w:rsidR="004026EA" w:rsidRPr="00786071" w:rsidRDefault="004026EA">
      <w:pPr>
        <w:rPr>
          <w:bCs/>
          <w:sz w:val="22"/>
          <w:szCs w:val="22"/>
          <w:lang w:val="sr-Latn-CS"/>
        </w:rPr>
      </w:pPr>
    </w:p>
    <w:p w14:paraId="7868E931" w14:textId="77777777" w:rsidR="00411B4B" w:rsidRPr="00786071" w:rsidRDefault="00411B4B" w:rsidP="00F5167F">
      <w:pPr>
        <w:tabs>
          <w:tab w:val="left" w:pos="540"/>
          <w:tab w:val="left" w:pos="569"/>
        </w:tabs>
        <w:rPr>
          <w:b/>
          <w:bCs/>
          <w:sz w:val="22"/>
          <w:szCs w:val="22"/>
        </w:rPr>
      </w:pPr>
      <w:r w:rsidRPr="00786071">
        <w:rPr>
          <w:b/>
          <w:bCs/>
          <w:sz w:val="22"/>
          <w:szCs w:val="22"/>
        </w:rPr>
        <w:t xml:space="preserve">4. </w:t>
      </w:r>
      <w:r w:rsidR="00480FB1" w:rsidRPr="00786071">
        <w:rPr>
          <w:b/>
          <w:bCs/>
          <w:sz w:val="22"/>
          <w:szCs w:val="22"/>
        </w:rPr>
        <w:tab/>
      </w:r>
      <w:r w:rsidRPr="00786071">
        <w:rPr>
          <w:b/>
          <w:bCs/>
          <w:sz w:val="22"/>
          <w:szCs w:val="22"/>
        </w:rPr>
        <w:t>KLINIČKI PODACI</w:t>
      </w:r>
    </w:p>
    <w:p w14:paraId="6BC6EE3D" w14:textId="77777777" w:rsidR="00CD6F02" w:rsidRPr="00786071" w:rsidRDefault="00CD6F02" w:rsidP="00480FB1">
      <w:pPr>
        <w:tabs>
          <w:tab w:val="left" w:pos="540"/>
          <w:tab w:val="left" w:pos="569"/>
        </w:tabs>
        <w:rPr>
          <w:bCs/>
          <w:sz w:val="22"/>
          <w:szCs w:val="22"/>
        </w:rPr>
      </w:pPr>
    </w:p>
    <w:p w14:paraId="49AE9AA9" w14:textId="77777777" w:rsidR="00411B4B" w:rsidRPr="00372AF6" w:rsidRDefault="00411B4B" w:rsidP="00817E31">
      <w:pPr>
        <w:tabs>
          <w:tab w:val="left" w:pos="540"/>
          <w:tab w:val="left" w:pos="569"/>
        </w:tabs>
        <w:jc w:val="both"/>
        <w:rPr>
          <w:b/>
          <w:bCs/>
          <w:sz w:val="22"/>
          <w:szCs w:val="22"/>
        </w:rPr>
      </w:pPr>
      <w:r w:rsidRPr="00786071">
        <w:rPr>
          <w:b/>
          <w:bCs/>
          <w:sz w:val="22"/>
          <w:szCs w:val="22"/>
        </w:rPr>
        <w:t>4</w:t>
      </w:r>
      <w:r w:rsidRPr="00372AF6">
        <w:rPr>
          <w:b/>
          <w:bCs/>
          <w:sz w:val="22"/>
          <w:szCs w:val="22"/>
        </w:rPr>
        <w:t xml:space="preserve">.1. </w:t>
      </w:r>
      <w:r w:rsidR="00480FB1" w:rsidRPr="00372AF6">
        <w:rPr>
          <w:b/>
          <w:bCs/>
          <w:sz w:val="22"/>
          <w:szCs w:val="22"/>
        </w:rPr>
        <w:tab/>
      </w:r>
      <w:r w:rsidRPr="00372AF6">
        <w:rPr>
          <w:b/>
          <w:bCs/>
          <w:sz w:val="22"/>
          <w:szCs w:val="22"/>
        </w:rPr>
        <w:t>Terapijske indikacije</w:t>
      </w:r>
    </w:p>
    <w:p w14:paraId="2CAD2A74" w14:textId="77777777" w:rsidR="009F5C16" w:rsidRPr="00372AF6" w:rsidRDefault="009F5C16">
      <w:pPr>
        <w:tabs>
          <w:tab w:val="left" w:pos="708"/>
        </w:tabs>
        <w:autoSpaceDE w:val="0"/>
        <w:autoSpaceDN w:val="0"/>
        <w:adjustRightInd w:val="0"/>
        <w:spacing w:line="210" w:lineRule="exact"/>
        <w:ind w:right="-20"/>
        <w:jc w:val="both"/>
        <w:rPr>
          <w:rFonts w:eastAsia="Calibri"/>
          <w:sz w:val="22"/>
          <w:szCs w:val="22"/>
          <w:lang w:val="sr-Latn-ME"/>
        </w:rPr>
      </w:pPr>
    </w:p>
    <w:p w14:paraId="1D0AE19A" w14:textId="29869FCC" w:rsidR="009F5C16" w:rsidRPr="00372AF6" w:rsidRDefault="009F5C16">
      <w:pPr>
        <w:tabs>
          <w:tab w:val="left" w:pos="708"/>
        </w:tabs>
        <w:autoSpaceDE w:val="0"/>
        <w:autoSpaceDN w:val="0"/>
        <w:adjustRightInd w:val="0"/>
        <w:spacing w:line="210" w:lineRule="exact"/>
        <w:ind w:right="-20"/>
        <w:jc w:val="both"/>
        <w:rPr>
          <w:rFonts w:eastAsia="Calibri"/>
          <w:w w:val="103"/>
          <w:sz w:val="22"/>
          <w:szCs w:val="22"/>
          <w:lang w:val="sr-Latn-ME"/>
        </w:rPr>
      </w:pPr>
      <w:r w:rsidRPr="00372AF6">
        <w:rPr>
          <w:rFonts w:eastAsia="Calibri"/>
          <w:sz w:val="22"/>
          <w:szCs w:val="22"/>
          <w:lang w:val="sr-Latn-ME"/>
        </w:rPr>
        <w:t>Biljni</w:t>
      </w:r>
      <w:r w:rsidRPr="00372AF6">
        <w:rPr>
          <w:rFonts w:eastAsia="Calibri"/>
          <w:spacing w:val="15"/>
          <w:sz w:val="22"/>
          <w:szCs w:val="22"/>
          <w:lang w:val="sr-Latn-ME"/>
        </w:rPr>
        <w:t xml:space="preserve"> </w:t>
      </w:r>
      <w:r w:rsidRPr="00372AF6">
        <w:rPr>
          <w:rFonts w:eastAsia="Calibri"/>
          <w:w w:val="103"/>
          <w:sz w:val="22"/>
          <w:szCs w:val="22"/>
          <w:lang w:val="sr-Latn-ME"/>
        </w:rPr>
        <w:t>lije</w:t>
      </w:r>
      <w:r w:rsidRPr="00372AF6">
        <w:rPr>
          <w:rFonts w:eastAsia="Calibri"/>
          <w:spacing w:val="-4"/>
          <w:w w:val="103"/>
          <w:sz w:val="22"/>
          <w:szCs w:val="22"/>
          <w:lang w:val="sr-Latn-ME"/>
        </w:rPr>
        <w:t>k</w:t>
      </w:r>
      <w:r w:rsidRPr="00372AF6">
        <w:rPr>
          <w:rFonts w:eastAsia="Calibri"/>
          <w:w w:val="103"/>
          <w:sz w:val="22"/>
          <w:szCs w:val="22"/>
          <w:lang w:val="sr-Latn-ME"/>
        </w:rPr>
        <w:t xml:space="preserve"> indikovan za:</w:t>
      </w:r>
    </w:p>
    <w:p w14:paraId="457DA337" w14:textId="77777777" w:rsidR="009F5C16" w:rsidRPr="00372AF6" w:rsidRDefault="009F5C16">
      <w:pPr>
        <w:tabs>
          <w:tab w:val="left" w:pos="708"/>
        </w:tabs>
        <w:autoSpaceDE w:val="0"/>
        <w:autoSpaceDN w:val="0"/>
        <w:adjustRightInd w:val="0"/>
        <w:spacing w:line="210" w:lineRule="exact"/>
        <w:ind w:left="40" w:right="-20"/>
        <w:jc w:val="both"/>
        <w:rPr>
          <w:rFonts w:eastAsia="Calibri"/>
          <w:sz w:val="22"/>
          <w:szCs w:val="22"/>
          <w:lang w:val="sr-Latn-ME"/>
        </w:rPr>
      </w:pPr>
    </w:p>
    <w:p w14:paraId="7FEB5FC0" w14:textId="77777777" w:rsidR="009F5C16" w:rsidRPr="00372AF6" w:rsidRDefault="009F5C16">
      <w:pPr>
        <w:numPr>
          <w:ilvl w:val="0"/>
          <w:numId w:val="13"/>
        </w:numPr>
        <w:tabs>
          <w:tab w:val="left" w:pos="284"/>
          <w:tab w:val="left" w:pos="708"/>
        </w:tabs>
        <w:jc w:val="both"/>
        <w:rPr>
          <w:sz w:val="22"/>
          <w:szCs w:val="22"/>
          <w:lang w:val="sr-Latn-ME"/>
        </w:rPr>
      </w:pPr>
      <w:r w:rsidRPr="00372AF6">
        <w:rPr>
          <w:rFonts w:eastAsia="Calibri"/>
          <w:spacing w:val="2"/>
          <w:sz w:val="22"/>
          <w:szCs w:val="22"/>
          <w:lang w:val="sr-Latn-ME"/>
        </w:rPr>
        <w:t>poboljšanje kognitivnih poremećaja povezanih sa starenjem</w:t>
      </w:r>
    </w:p>
    <w:p w14:paraId="03C542BD" w14:textId="77777777" w:rsidR="009F5C16" w:rsidRPr="00372AF6" w:rsidRDefault="009F5C16">
      <w:pPr>
        <w:numPr>
          <w:ilvl w:val="0"/>
          <w:numId w:val="13"/>
        </w:numPr>
        <w:tabs>
          <w:tab w:val="left" w:pos="284"/>
          <w:tab w:val="left" w:pos="708"/>
        </w:tabs>
        <w:jc w:val="both"/>
        <w:rPr>
          <w:sz w:val="22"/>
          <w:szCs w:val="22"/>
          <w:lang w:val="sr-Latn-ME"/>
        </w:rPr>
      </w:pPr>
      <w:r w:rsidRPr="00372AF6">
        <w:rPr>
          <w:rFonts w:eastAsia="Calibri"/>
          <w:spacing w:val="2"/>
          <w:sz w:val="22"/>
          <w:szCs w:val="22"/>
          <w:lang w:val="sr-Latn-ME"/>
        </w:rPr>
        <w:t>poboljšanje kvaliteta života kod blage demencije.</w:t>
      </w:r>
    </w:p>
    <w:p w14:paraId="4A703304" w14:textId="77777777" w:rsidR="00411B4B" w:rsidRPr="00372AF6" w:rsidRDefault="00411B4B">
      <w:pPr>
        <w:tabs>
          <w:tab w:val="left" w:pos="540"/>
          <w:tab w:val="left" w:pos="569"/>
        </w:tabs>
        <w:jc w:val="both"/>
        <w:rPr>
          <w:bCs/>
          <w:sz w:val="22"/>
          <w:szCs w:val="22"/>
        </w:rPr>
      </w:pPr>
    </w:p>
    <w:p w14:paraId="4D61F054" w14:textId="77777777" w:rsidR="00411B4B" w:rsidRPr="00372AF6" w:rsidRDefault="00411B4B" w:rsidP="00817E31">
      <w:pPr>
        <w:tabs>
          <w:tab w:val="left" w:pos="540"/>
          <w:tab w:val="left" w:pos="569"/>
        </w:tabs>
        <w:jc w:val="both"/>
        <w:rPr>
          <w:b/>
          <w:bCs/>
          <w:sz w:val="22"/>
          <w:szCs w:val="22"/>
        </w:rPr>
      </w:pPr>
      <w:r w:rsidRPr="00372AF6">
        <w:rPr>
          <w:b/>
          <w:bCs/>
          <w:sz w:val="22"/>
          <w:szCs w:val="22"/>
        </w:rPr>
        <w:t xml:space="preserve">4.2. </w:t>
      </w:r>
      <w:r w:rsidR="00480FB1" w:rsidRPr="00372AF6">
        <w:rPr>
          <w:b/>
          <w:bCs/>
          <w:sz w:val="22"/>
          <w:szCs w:val="22"/>
        </w:rPr>
        <w:tab/>
      </w:r>
      <w:r w:rsidRPr="00372AF6">
        <w:rPr>
          <w:b/>
          <w:bCs/>
          <w:sz w:val="22"/>
          <w:szCs w:val="22"/>
        </w:rPr>
        <w:t>Doziranje i način primjene</w:t>
      </w:r>
    </w:p>
    <w:p w14:paraId="414D921E" w14:textId="77777777" w:rsidR="0072020E" w:rsidRPr="00372AF6" w:rsidRDefault="0072020E" w:rsidP="00817E31">
      <w:pPr>
        <w:tabs>
          <w:tab w:val="left" w:pos="540"/>
          <w:tab w:val="left" w:pos="569"/>
        </w:tabs>
        <w:jc w:val="both"/>
        <w:rPr>
          <w:bCs/>
          <w:sz w:val="22"/>
          <w:szCs w:val="22"/>
        </w:rPr>
      </w:pPr>
    </w:p>
    <w:p w14:paraId="57EB6D4D" w14:textId="77777777" w:rsidR="00452E9D" w:rsidRPr="00372AF6" w:rsidRDefault="00452E9D">
      <w:pPr>
        <w:tabs>
          <w:tab w:val="left" w:pos="540"/>
          <w:tab w:val="left" w:pos="569"/>
        </w:tabs>
        <w:jc w:val="both"/>
        <w:rPr>
          <w:bCs/>
          <w:sz w:val="22"/>
          <w:szCs w:val="22"/>
          <w:u w:val="single"/>
        </w:rPr>
      </w:pPr>
      <w:r w:rsidRPr="00372AF6">
        <w:rPr>
          <w:bCs/>
          <w:sz w:val="22"/>
          <w:szCs w:val="22"/>
          <w:u w:val="single"/>
        </w:rPr>
        <w:t>Doziranje</w:t>
      </w:r>
    </w:p>
    <w:p w14:paraId="20A54ED5" w14:textId="77777777" w:rsidR="009F5C16" w:rsidRPr="00372AF6" w:rsidRDefault="009F5C16">
      <w:pPr>
        <w:tabs>
          <w:tab w:val="left" w:pos="540"/>
          <w:tab w:val="left" w:pos="569"/>
        </w:tabs>
        <w:jc w:val="both"/>
        <w:rPr>
          <w:bCs/>
          <w:sz w:val="22"/>
          <w:szCs w:val="22"/>
          <w:u w:val="single"/>
        </w:rPr>
      </w:pPr>
    </w:p>
    <w:p w14:paraId="0621CEE4" w14:textId="77777777" w:rsidR="009F5C16" w:rsidRPr="00372AF6" w:rsidRDefault="009F5C16">
      <w:pPr>
        <w:tabs>
          <w:tab w:val="left" w:pos="540"/>
          <w:tab w:val="left" w:pos="569"/>
        </w:tabs>
        <w:jc w:val="both"/>
        <w:rPr>
          <w:bCs/>
          <w:sz w:val="22"/>
          <w:szCs w:val="22"/>
        </w:rPr>
      </w:pPr>
      <w:r w:rsidRPr="00372AF6">
        <w:rPr>
          <w:bCs/>
          <w:sz w:val="22"/>
          <w:szCs w:val="22"/>
        </w:rPr>
        <w:t>Odrasli i starije osobe:</w:t>
      </w:r>
    </w:p>
    <w:p w14:paraId="5A0AB99F" w14:textId="77777777" w:rsidR="009F5C16" w:rsidRPr="00372AF6" w:rsidRDefault="009F5C16">
      <w:pPr>
        <w:tabs>
          <w:tab w:val="left" w:pos="540"/>
          <w:tab w:val="left" w:pos="569"/>
        </w:tabs>
        <w:jc w:val="both"/>
        <w:rPr>
          <w:bCs/>
          <w:sz w:val="22"/>
          <w:szCs w:val="22"/>
        </w:rPr>
      </w:pPr>
    </w:p>
    <w:p w14:paraId="687FFCD3" w14:textId="77777777" w:rsidR="009F5C16" w:rsidRPr="00372AF6" w:rsidRDefault="009F5C16">
      <w:pPr>
        <w:tabs>
          <w:tab w:val="left" w:pos="540"/>
          <w:tab w:val="left" w:pos="569"/>
        </w:tabs>
        <w:jc w:val="both"/>
        <w:rPr>
          <w:bCs/>
          <w:sz w:val="22"/>
          <w:szCs w:val="22"/>
        </w:rPr>
      </w:pPr>
      <w:r w:rsidRPr="00372AF6">
        <w:rPr>
          <w:bCs/>
          <w:sz w:val="22"/>
          <w:szCs w:val="22"/>
        </w:rPr>
        <w:t>Pojedinačna doza: 120 – 240 mg</w:t>
      </w:r>
    </w:p>
    <w:p w14:paraId="1113125B" w14:textId="77777777" w:rsidR="009F5C16" w:rsidRPr="00372AF6" w:rsidRDefault="009F5C16">
      <w:pPr>
        <w:tabs>
          <w:tab w:val="left" w:pos="540"/>
          <w:tab w:val="left" w:pos="569"/>
        </w:tabs>
        <w:jc w:val="both"/>
        <w:rPr>
          <w:bCs/>
          <w:sz w:val="22"/>
          <w:szCs w:val="22"/>
        </w:rPr>
      </w:pPr>
      <w:r w:rsidRPr="00372AF6">
        <w:rPr>
          <w:bCs/>
          <w:sz w:val="22"/>
          <w:szCs w:val="22"/>
        </w:rPr>
        <w:t>Dnevna doza: 240 mg</w:t>
      </w:r>
    </w:p>
    <w:p w14:paraId="23B3EF86" w14:textId="77777777" w:rsidR="009F5C16" w:rsidRPr="00372AF6" w:rsidRDefault="009F5C16">
      <w:pPr>
        <w:tabs>
          <w:tab w:val="left" w:pos="540"/>
          <w:tab w:val="left" w:pos="569"/>
        </w:tabs>
        <w:jc w:val="both"/>
        <w:rPr>
          <w:bCs/>
          <w:sz w:val="22"/>
          <w:szCs w:val="22"/>
        </w:rPr>
      </w:pPr>
    </w:p>
    <w:p w14:paraId="48F89F93" w14:textId="77777777" w:rsidR="009F5C16" w:rsidRPr="00372AF6" w:rsidRDefault="009F5C16">
      <w:pPr>
        <w:tabs>
          <w:tab w:val="left" w:pos="540"/>
          <w:tab w:val="left" w:pos="569"/>
        </w:tabs>
        <w:jc w:val="both"/>
        <w:rPr>
          <w:bCs/>
          <w:sz w:val="22"/>
          <w:szCs w:val="22"/>
        </w:rPr>
      </w:pPr>
      <w:r w:rsidRPr="00372AF6">
        <w:rPr>
          <w:bCs/>
          <w:sz w:val="22"/>
          <w:szCs w:val="22"/>
        </w:rPr>
        <w:t>Tanakan se ne preporučuje za upotrebu kod djece i adolescenata</w:t>
      </w:r>
    </w:p>
    <w:p w14:paraId="7DCD0C18" w14:textId="77777777" w:rsidR="00452E9D" w:rsidRPr="00372AF6" w:rsidRDefault="00452E9D">
      <w:pPr>
        <w:tabs>
          <w:tab w:val="left" w:pos="540"/>
          <w:tab w:val="left" w:pos="569"/>
        </w:tabs>
        <w:jc w:val="both"/>
        <w:rPr>
          <w:bCs/>
          <w:sz w:val="22"/>
          <w:szCs w:val="22"/>
          <w:u w:val="single"/>
        </w:rPr>
      </w:pPr>
    </w:p>
    <w:p w14:paraId="3E55EEDA" w14:textId="77777777" w:rsidR="00452E9D" w:rsidRPr="00372AF6" w:rsidRDefault="00452E9D">
      <w:pPr>
        <w:tabs>
          <w:tab w:val="left" w:pos="540"/>
          <w:tab w:val="left" w:pos="569"/>
        </w:tabs>
        <w:jc w:val="both"/>
        <w:rPr>
          <w:bCs/>
          <w:sz w:val="22"/>
          <w:szCs w:val="22"/>
          <w:u w:val="single"/>
        </w:rPr>
      </w:pPr>
      <w:r w:rsidRPr="00372AF6">
        <w:rPr>
          <w:bCs/>
          <w:sz w:val="22"/>
          <w:szCs w:val="22"/>
          <w:u w:val="single"/>
        </w:rPr>
        <w:t>Način primjene</w:t>
      </w:r>
    </w:p>
    <w:p w14:paraId="01B8FE09" w14:textId="77777777" w:rsidR="00452E9D" w:rsidRPr="00372AF6" w:rsidRDefault="00452E9D">
      <w:pPr>
        <w:tabs>
          <w:tab w:val="left" w:pos="540"/>
          <w:tab w:val="left" w:pos="569"/>
        </w:tabs>
        <w:jc w:val="both"/>
        <w:rPr>
          <w:bCs/>
          <w:sz w:val="22"/>
          <w:szCs w:val="22"/>
        </w:rPr>
      </w:pPr>
    </w:p>
    <w:p w14:paraId="61C71263" w14:textId="77777777" w:rsidR="009F5C16" w:rsidRPr="00372AF6" w:rsidRDefault="009F5C16">
      <w:pPr>
        <w:tabs>
          <w:tab w:val="left" w:pos="540"/>
          <w:tab w:val="left" w:pos="569"/>
        </w:tabs>
        <w:jc w:val="both"/>
        <w:rPr>
          <w:bCs/>
          <w:sz w:val="22"/>
          <w:szCs w:val="22"/>
        </w:rPr>
      </w:pPr>
      <w:r w:rsidRPr="00372AF6">
        <w:rPr>
          <w:bCs/>
          <w:sz w:val="22"/>
          <w:szCs w:val="22"/>
        </w:rPr>
        <w:t>Obložene tablete ne treba uzimati u ležećem položaju. Obložene tablete treba progutati bez žvakanja uz dovoljnu količinu tečnosti (najbolje uz čašu vode). Lijek se može uzimati nezavisno od obroka.</w:t>
      </w:r>
    </w:p>
    <w:p w14:paraId="3CE7F8B4" w14:textId="5ED5AB28" w:rsidR="009F5C16" w:rsidRPr="00372AF6" w:rsidRDefault="009F5C16">
      <w:pPr>
        <w:tabs>
          <w:tab w:val="left" w:pos="540"/>
          <w:tab w:val="left" w:pos="569"/>
        </w:tabs>
        <w:jc w:val="both"/>
        <w:rPr>
          <w:bCs/>
          <w:sz w:val="22"/>
          <w:szCs w:val="22"/>
        </w:rPr>
      </w:pPr>
    </w:p>
    <w:p w14:paraId="2A3CF8CB" w14:textId="77777777" w:rsidR="009F5C16" w:rsidRPr="00372AF6" w:rsidRDefault="009F5C16">
      <w:pPr>
        <w:tabs>
          <w:tab w:val="left" w:pos="540"/>
          <w:tab w:val="left" w:pos="569"/>
        </w:tabs>
        <w:jc w:val="both"/>
        <w:rPr>
          <w:bCs/>
          <w:sz w:val="22"/>
          <w:szCs w:val="22"/>
        </w:rPr>
      </w:pPr>
      <w:r w:rsidRPr="00372AF6">
        <w:rPr>
          <w:bCs/>
          <w:sz w:val="22"/>
          <w:szCs w:val="22"/>
        </w:rPr>
        <w:t>Trajanje terapije</w:t>
      </w:r>
    </w:p>
    <w:p w14:paraId="002150B4" w14:textId="77777777" w:rsidR="009F5C16" w:rsidRPr="00372AF6" w:rsidRDefault="009F5C16">
      <w:pPr>
        <w:tabs>
          <w:tab w:val="left" w:pos="540"/>
          <w:tab w:val="left" w:pos="569"/>
        </w:tabs>
        <w:jc w:val="both"/>
        <w:rPr>
          <w:bCs/>
          <w:sz w:val="22"/>
          <w:szCs w:val="22"/>
        </w:rPr>
      </w:pPr>
    </w:p>
    <w:p w14:paraId="0BCE6D2B" w14:textId="1921AB69" w:rsidR="009F5C16" w:rsidRPr="00372AF6" w:rsidRDefault="009F5C16">
      <w:pPr>
        <w:tabs>
          <w:tab w:val="left" w:pos="540"/>
          <w:tab w:val="left" w:pos="569"/>
        </w:tabs>
        <w:jc w:val="both"/>
        <w:rPr>
          <w:bCs/>
          <w:sz w:val="22"/>
          <w:szCs w:val="22"/>
        </w:rPr>
      </w:pPr>
      <w:r w:rsidRPr="00372AF6">
        <w:rPr>
          <w:bCs/>
          <w:sz w:val="22"/>
          <w:szCs w:val="22"/>
        </w:rPr>
        <w:lastRenderedPageBreak/>
        <w:t>Trajanje terapije treba da bude najmanje 8 nedjelja. Ako nakon terapijskog perioda od 3 mjeseca ne dođe do bilo kakvog poboljšanja simptoma bolesti ili se isti pogoršaju, ljekar bi trebalo da provjeri da li je dalji nastavak terapije opravdan.</w:t>
      </w:r>
    </w:p>
    <w:p w14:paraId="79C9B51F" w14:textId="77777777" w:rsidR="009F5C16" w:rsidRPr="00372AF6" w:rsidRDefault="009F5C16" w:rsidP="00817E31">
      <w:pPr>
        <w:tabs>
          <w:tab w:val="left" w:pos="540"/>
          <w:tab w:val="left" w:pos="569"/>
        </w:tabs>
        <w:jc w:val="both"/>
        <w:rPr>
          <w:bCs/>
          <w:sz w:val="22"/>
          <w:szCs w:val="22"/>
        </w:rPr>
      </w:pPr>
    </w:p>
    <w:p w14:paraId="30F654C5" w14:textId="77777777" w:rsidR="00411B4B" w:rsidRPr="00372AF6" w:rsidRDefault="00411B4B" w:rsidP="00817E31">
      <w:pPr>
        <w:tabs>
          <w:tab w:val="left" w:pos="540"/>
          <w:tab w:val="left" w:pos="569"/>
        </w:tabs>
        <w:jc w:val="both"/>
        <w:rPr>
          <w:b/>
          <w:bCs/>
          <w:sz w:val="22"/>
          <w:szCs w:val="22"/>
        </w:rPr>
      </w:pPr>
      <w:r w:rsidRPr="00372AF6">
        <w:rPr>
          <w:b/>
          <w:bCs/>
          <w:sz w:val="22"/>
          <w:szCs w:val="22"/>
        </w:rPr>
        <w:t xml:space="preserve">4.3. </w:t>
      </w:r>
      <w:r w:rsidR="00480FB1" w:rsidRPr="00372AF6">
        <w:rPr>
          <w:b/>
          <w:bCs/>
          <w:sz w:val="22"/>
          <w:szCs w:val="22"/>
        </w:rPr>
        <w:tab/>
      </w:r>
      <w:r w:rsidRPr="00372AF6">
        <w:rPr>
          <w:b/>
          <w:bCs/>
          <w:sz w:val="22"/>
          <w:szCs w:val="22"/>
        </w:rPr>
        <w:t>Kontraindikacije</w:t>
      </w:r>
    </w:p>
    <w:p w14:paraId="751ED791" w14:textId="77777777" w:rsidR="0072020E" w:rsidRPr="00372AF6" w:rsidRDefault="0072020E" w:rsidP="00817E31">
      <w:pPr>
        <w:tabs>
          <w:tab w:val="left" w:pos="540"/>
          <w:tab w:val="left" w:pos="569"/>
        </w:tabs>
        <w:jc w:val="both"/>
        <w:rPr>
          <w:bCs/>
          <w:sz w:val="22"/>
          <w:szCs w:val="22"/>
        </w:rPr>
      </w:pPr>
    </w:p>
    <w:p w14:paraId="0B6A767C" w14:textId="77777777" w:rsidR="009F5C16" w:rsidRPr="00372AF6" w:rsidRDefault="009F5C16">
      <w:pPr>
        <w:tabs>
          <w:tab w:val="left" w:pos="284"/>
        </w:tabs>
        <w:autoSpaceDE w:val="0"/>
        <w:autoSpaceDN w:val="0"/>
        <w:adjustRightInd w:val="0"/>
        <w:jc w:val="both"/>
        <w:rPr>
          <w:rFonts w:eastAsia="TimesNewRoman"/>
          <w:sz w:val="22"/>
          <w:szCs w:val="22"/>
          <w:lang w:val="sr-Latn-ME"/>
        </w:rPr>
      </w:pPr>
      <w:r w:rsidRPr="00372AF6">
        <w:rPr>
          <w:rFonts w:eastAsia="TimesNewRoman"/>
          <w:sz w:val="22"/>
          <w:szCs w:val="22"/>
          <w:lang w:val="sr-Latn-ME"/>
        </w:rPr>
        <w:t>- Preosjetljivost na aktivnu supstancu.</w:t>
      </w:r>
    </w:p>
    <w:p w14:paraId="23BB03E1" w14:textId="04D4C51C" w:rsidR="009F5C16" w:rsidRPr="00372AF6" w:rsidRDefault="009F5C16">
      <w:pPr>
        <w:tabs>
          <w:tab w:val="left" w:pos="540"/>
          <w:tab w:val="left" w:pos="569"/>
        </w:tabs>
        <w:jc w:val="both"/>
        <w:rPr>
          <w:rFonts w:eastAsia="TimesNewRoman"/>
          <w:sz w:val="22"/>
          <w:szCs w:val="22"/>
          <w:lang w:val="sr-Latn-ME"/>
        </w:rPr>
      </w:pPr>
      <w:r w:rsidRPr="00372AF6">
        <w:rPr>
          <w:rFonts w:eastAsia="TimesNewRoman"/>
          <w:sz w:val="22"/>
          <w:szCs w:val="22"/>
          <w:lang w:val="sr-Latn-ME"/>
        </w:rPr>
        <w:t xml:space="preserve">- Trudnoća (vidjeti </w:t>
      </w:r>
      <w:r w:rsidR="001B580D">
        <w:rPr>
          <w:rFonts w:eastAsia="TimesNewRoman"/>
          <w:sz w:val="22"/>
          <w:szCs w:val="22"/>
          <w:lang w:val="sr-Latn-ME"/>
        </w:rPr>
        <w:t>dio</w:t>
      </w:r>
      <w:r w:rsidRPr="00372AF6">
        <w:rPr>
          <w:rFonts w:eastAsia="TimesNewRoman"/>
          <w:sz w:val="22"/>
          <w:szCs w:val="22"/>
          <w:lang w:val="sr-Latn-ME"/>
        </w:rPr>
        <w:t xml:space="preserve"> 4.6).</w:t>
      </w:r>
    </w:p>
    <w:p w14:paraId="18F75FD5" w14:textId="77777777" w:rsidR="009F5C16" w:rsidRPr="00372AF6" w:rsidRDefault="009F5C16">
      <w:pPr>
        <w:tabs>
          <w:tab w:val="left" w:pos="540"/>
          <w:tab w:val="left" w:pos="569"/>
        </w:tabs>
        <w:jc w:val="both"/>
        <w:rPr>
          <w:bCs/>
          <w:sz w:val="22"/>
          <w:szCs w:val="22"/>
        </w:rPr>
      </w:pPr>
    </w:p>
    <w:p w14:paraId="3B40C9E4" w14:textId="77777777" w:rsidR="00411B4B" w:rsidRPr="00372AF6" w:rsidRDefault="00411B4B" w:rsidP="00817E31">
      <w:pPr>
        <w:tabs>
          <w:tab w:val="left" w:pos="540"/>
          <w:tab w:val="left" w:pos="569"/>
        </w:tabs>
        <w:jc w:val="both"/>
        <w:rPr>
          <w:b/>
          <w:bCs/>
          <w:sz w:val="22"/>
          <w:szCs w:val="22"/>
        </w:rPr>
      </w:pPr>
      <w:r w:rsidRPr="00372AF6">
        <w:rPr>
          <w:b/>
          <w:bCs/>
          <w:sz w:val="22"/>
          <w:szCs w:val="22"/>
        </w:rPr>
        <w:t xml:space="preserve">4.4. </w:t>
      </w:r>
      <w:r w:rsidR="00480FB1" w:rsidRPr="00372AF6">
        <w:rPr>
          <w:b/>
          <w:bCs/>
          <w:sz w:val="22"/>
          <w:szCs w:val="22"/>
        </w:rPr>
        <w:tab/>
      </w:r>
      <w:r w:rsidRPr="00372AF6">
        <w:rPr>
          <w:b/>
          <w:bCs/>
          <w:sz w:val="22"/>
          <w:szCs w:val="22"/>
        </w:rPr>
        <w:t>Posebna upozorenja i mjere opreza pri upotrebi lijeka</w:t>
      </w:r>
    </w:p>
    <w:p w14:paraId="3F8DFF2D" w14:textId="77777777" w:rsidR="0072020E" w:rsidRPr="00372AF6" w:rsidRDefault="0072020E" w:rsidP="00817E31">
      <w:pPr>
        <w:tabs>
          <w:tab w:val="left" w:pos="540"/>
          <w:tab w:val="left" w:pos="569"/>
        </w:tabs>
        <w:jc w:val="both"/>
        <w:rPr>
          <w:bCs/>
          <w:sz w:val="22"/>
          <w:szCs w:val="22"/>
        </w:rPr>
      </w:pPr>
    </w:p>
    <w:p w14:paraId="62DA48B8" w14:textId="77777777" w:rsidR="009F5C16" w:rsidRPr="00372AF6" w:rsidRDefault="009F5C16">
      <w:pPr>
        <w:tabs>
          <w:tab w:val="left" w:pos="284"/>
          <w:tab w:val="left" w:pos="9923"/>
        </w:tabs>
        <w:autoSpaceDE w:val="0"/>
        <w:autoSpaceDN w:val="0"/>
        <w:adjustRightInd w:val="0"/>
        <w:jc w:val="both"/>
        <w:rPr>
          <w:rFonts w:eastAsia="TimesNewRoman"/>
          <w:sz w:val="22"/>
          <w:szCs w:val="22"/>
          <w:lang w:val="sr-Latn-ME"/>
        </w:rPr>
      </w:pPr>
      <w:r w:rsidRPr="00372AF6">
        <w:rPr>
          <w:rFonts w:eastAsia="TimesNewRoman"/>
          <w:sz w:val="22"/>
          <w:szCs w:val="22"/>
          <w:lang w:val="sr-Latn-ME"/>
        </w:rPr>
        <w:t>Ukoliko se tokom primjene ovog lijeka simptomi pogoršaju, trebalo bi konsultovati ljekara ili farmaceuta.</w:t>
      </w:r>
    </w:p>
    <w:p w14:paraId="6B24A337" w14:textId="77777777" w:rsidR="009F5C16" w:rsidRPr="00372AF6" w:rsidRDefault="009F5C16">
      <w:pPr>
        <w:tabs>
          <w:tab w:val="left" w:pos="284"/>
        </w:tabs>
        <w:autoSpaceDE w:val="0"/>
        <w:autoSpaceDN w:val="0"/>
        <w:adjustRightInd w:val="0"/>
        <w:jc w:val="both"/>
        <w:rPr>
          <w:rFonts w:eastAsia="TimesNewRoman"/>
          <w:sz w:val="22"/>
          <w:szCs w:val="22"/>
          <w:lang w:val="sr-Latn-ME"/>
        </w:rPr>
      </w:pPr>
    </w:p>
    <w:p w14:paraId="77967627" w14:textId="77777777" w:rsidR="009F5C16" w:rsidRPr="00372AF6" w:rsidRDefault="009F5C16">
      <w:pPr>
        <w:tabs>
          <w:tab w:val="left" w:pos="284"/>
        </w:tabs>
        <w:autoSpaceDE w:val="0"/>
        <w:autoSpaceDN w:val="0"/>
        <w:adjustRightInd w:val="0"/>
        <w:jc w:val="both"/>
        <w:rPr>
          <w:rFonts w:eastAsia="TimesNewRoman"/>
          <w:sz w:val="22"/>
          <w:szCs w:val="22"/>
          <w:lang w:val="sr-Latn-ME"/>
        </w:rPr>
      </w:pPr>
      <w:r w:rsidRPr="00372AF6">
        <w:rPr>
          <w:rFonts w:eastAsia="TimesNewRoman"/>
          <w:sz w:val="22"/>
          <w:szCs w:val="22"/>
          <w:lang w:val="sr-Latn-ME"/>
        </w:rPr>
        <w:t>U slučaju povećane sklonosti ka krvarenju (hemoragijska dijateza) i u slučaju istovremenog tretmana sa ljekovima koji inhibiraju koagulaciju krvi, ovaj lijek bi trebalo koristiti samo nakon konsultacije sa ljekarom.</w:t>
      </w:r>
    </w:p>
    <w:p w14:paraId="623FBC10" w14:textId="77777777" w:rsidR="009F5C16" w:rsidRPr="00372AF6" w:rsidRDefault="009F5C16">
      <w:pPr>
        <w:tabs>
          <w:tab w:val="left" w:pos="284"/>
        </w:tabs>
        <w:autoSpaceDE w:val="0"/>
        <w:autoSpaceDN w:val="0"/>
        <w:adjustRightInd w:val="0"/>
        <w:jc w:val="both"/>
        <w:rPr>
          <w:rFonts w:eastAsia="TimesNewRoman"/>
          <w:sz w:val="22"/>
          <w:szCs w:val="22"/>
          <w:lang w:val="sr-Latn-ME"/>
        </w:rPr>
      </w:pPr>
    </w:p>
    <w:p w14:paraId="421EA26E" w14:textId="77777777" w:rsidR="009F5C16" w:rsidRPr="00372AF6" w:rsidRDefault="009F5C16">
      <w:pPr>
        <w:tabs>
          <w:tab w:val="left" w:pos="284"/>
        </w:tabs>
        <w:autoSpaceDE w:val="0"/>
        <w:autoSpaceDN w:val="0"/>
        <w:adjustRightInd w:val="0"/>
        <w:jc w:val="both"/>
        <w:rPr>
          <w:rFonts w:eastAsia="TimesNewRoman"/>
          <w:sz w:val="22"/>
          <w:szCs w:val="22"/>
          <w:lang w:val="sr-Latn-ME"/>
        </w:rPr>
      </w:pPr>
      <w:r w:rsidRPr="00372AF6">
        <w:rPr>
          <w:rFonts w:eastAsia="TimesNewRoman"/>
          <w:sz w:val="22"/>
          <w:szCs w:val="22"/>
          <w:lang w:val="sr-Latn-ME"/>
        </w:rPr>
        <w:t>Ljekovi koji sadrže ekstrakt lista ginka mogu da povećaju sklonost ka krvarenju. Ovaj lijek bi zato trebalo prestati uzimati 3-4 dana prije planirane hirurške intervencije.</w:t>
      </w:r>
    </w:p>
    <w:p w14:paraId="2C4A3007" w14:textId="77777777" w:rsidR="009F5C16" w:rsidRPr="00372AF6" w:rsidRDefault="009F5C16">
      <w:pPr>
        <w:tabs>
          <w:tab w:val="left" w:pos="284"/>
        </w:tabs>
        <w:autoSpaceDE w:val="0"/>
        <w:autoSpaceDN w:val="0"/>
        <w:adjustRightInd w:val="0"/>
        <w:jc w:val="both"/>
        <w:rPr>
          <w:rFonts w:eastAsia="TimesNewRoman"/>
          <w:sz w:val="22"/>
          <w:szCs w:val="22"/>
          <w:lang w:val="sr-Latn-ME"/>
        </w:rPr>
      </w:pPr>
    </w:p>
    <w:p w14:paraId="35213CC2" w14:textId="77777777" w:rsidR="009F5C16" w:rsidRPr="00372AF6" w:rsidRDefault="009F5C16">
      <w:pPr>
        <w:tabs>
          <w:tab w:val="left" w:pos="284"/>
        </w:tabs>
        <w:autoSpaceDE w:val="0"/>
        <w:autoSpaceDN w:val="0"/>
        <w:adjustRightInd w:val="0"/>
        <w:jc w:val="both"/>
        <w:rPr>
          <w:rFonts w:eastAsia="TimesNewRoman"/>
          <w:sz w:val="22"/>
          <w:szCs w:val="22"/>
          <w:lang w:val="sr-Latn-ME"/>
        </w:rPr>
      </w:pPr>
      <w:r w:rsidRPr="00372AF6">
        <w:rPr>
          <w:rFonts w:eastAsia="TimesNewRoman"/>
          <w:sz w:val="22"/>
          <w:szCs w:val="22"/>
          <w:lang w:val="sr-Latn-ME"/>
        </w:rPr>
        <w:t xml:space="preserve">Ne može biti isključeno da primjena ljekova koji sadrže ekstrakt lista ginka stimuliše pojavu napada kod pacijenata sa epilepsijom. </w:t>
      </w:r>
    </w:p>
    <w:p w14:paraId="5724AB80" w14:textId="77777777" w:rsidR="009F5C16" w:rsidRPr="00372AF6" w:rsidRDefault="009F5C16">
      <w:pPr>
        <w:tabs>
          <w:tab w:val="left" w:pos="284"/>
        </w:tabs>
        <w:autoSpaceDE w:val="0"/>
        <w:autoSpaceDN w:val="0"/>
        <w:adjustRightInd w:val="0"/>
        <w:jc w:val="both"/>
        <w:rPr>
          <w:rFonts w:eastAsia="TimesNewRoman"/>
          <w:sz w:val="22"/>
          <w:szCs w:val="22"/>
          <w:lang w:val="sr-Latn-ME"/>
        </w:rPr>
      </w:pPr>
    </w:p>
    <w:p w14:paraId="34D44337" w14:textId="77777777" w:rsidR="009F5C16" w:rsidRPr="00372AF6" w:rsidRDefault="009F5C16">
      <w:pPr>
        <w:tabs>
          <w:tab w:val="left" w:pos="284"/>
        </w:tabs>
        <w:autoSpaceDE w:val="0"/>
        <w:autoSpaceDN w:val="0"/>
        <w:adjustRightInd w:val="0"/>
        <w:jc w:val="both"/>
        <w:rPr>
          <w:rFonts w:eastAsia="TimesNewRoman"/>
          <w:sz w:val="22"/>
          <w:szCs w:val="22"/>
          <w:lang w:val="sr-Latn-ME"/>
        </w:rPr>
      </w:pPr>
      <w:r w:rsidRPr="00372AF6">
        <w:rPr>
          <w:rFonts w:eastAsia="TimesNewRoman"/>
          <w:sz w:val="22"/>
          <w:szCs w:val="22"/>
          <w:lang w:val="sr-Latn-ME"/>
        </w:rPr>
        <w:t>Ne preporučuje se istovremena primjena ljekova koji sadrže ekstrakt lista ginka i efavirenca (vidjeti dio 4.5).</w:t>
      </w:r>
    </w:p>
    <w:p w14:paraId="4E23562B" w14:textId="77777777" w:rsidR="009F5C16" w:rsidRPr="00372AF6" w:rsidRDefault="009F5C16">
      <w:pPr>
        <w:tabs>
          <w:tab w:val="left" w:pos="284"/>
        </w:tabs>
        <w:autoSpaceDE w:val="0"/>
        <w:autoSpaceDN w:val="0"/>
        <w:adjustRightInd w:val="0"/>
        <w:jc w:val="both"/>
        <w:rPr>
          <w:rFonts w:eastAsia="TimesNewRoman"/>
          <w:sz w:val="22"/>
          <w:szCs w:val="22"/>
          <w:lang w:val="sr-Latn-ME"/>
        </w:rPr>
      </w:pPr>
    </w:p>
    <w:p w14:paraId="4E79DFF3" w14:textId="49CA874D" w:rsidR="004163C7" w:rsidRPr="004163C7" w:rsidRDefault="004163C7" w:rsidP="004163C7">
      <w:pPr>
        <w:tabs>
          <w:tab w:val="left" w:pos="284"/>
        </w:tabs>
        <w:autoSpaceDE w:val="0"/>
        <w:autoSpaceDN w:val="0"/>
        <w:adjustRightInd w:val="0"/>
        <w:jc w:val="both"/>
        <w:rPr>
          <w:rFonts w:eastAsia="TimesNewRoman"/>
          <w:sz w:val="22"/>
          <w:szCs w:val="22"/>
          <w:lang w:val="pl-PL"/>
        </w:rPr>
      </w:pPr>
      <w:r w:rsidRPr="004163C7">
        <w:rPr>
          <w:rFonts w:eastAsia="TimesNewRoman"/>
          <w:sz w:val="22"/>
          <w:szCs w:val="22"/>
          <w:lang w:val="pl-PL"/>
        </w:rPr>
        <w:t>Ovaj l</w:t>
      </w:r>
      <w:r>
        <w:rPr>
          <w:rFonts w:eastAsia="TimesNewRoman"/>
          <w:sz w:val="22"/>
          <w:szCs w:val="22"/>
          <w:lang w:val="pl-PL"/>
        </w:rPr>
        <w:t>ij</w:t>
      </w:r>
      <w:r w:rsidRPr="004163C7">
        <w:rPr>
          <w:rFonts w:eastAsia="TimesNewRoman"/>
          <w:sz w:val="22"/>
          <w:szCs w:val="22"/>
          <w:lang w:val="pl-PL"/>
        </w:rPr>
        <w:t xml:space="preserve">ek sadrži manje od 1mmol (23 mg) natrijuma po tableti, </w:t>
      </w:r>
      <w:r w:rsidR="00217E3D">
        <w:rPr>
          <w:rFonts w:eastAsia="TimesNewRoman"/>
          <w:sz w:val="22"/>
          <w:szCs w:val="22"/>
          <w:lang w:val="pl-PL"/>
        </w:rPr>
        <w:t>odnosno</w:t>
      </w:r>
      <w:r w:rsidRPr="004163C7">
        <w:rPr>
          <w:rFonts w:eastAsia="TimesNewRoman"/>
          <w:sz w:val="22"/>
          <w:szCs w:val="22"/>
          <w:lang w:val="pl-PL"/>
        </w:rPr>
        <w:t xml:space="preserve"> suštinski je </w:t>
      </w:r>
      <w:r w:rsidR="00217E3D">
        <w:rPr>
          <w:rFonts w:eastAsia="TimesNewRoman"/>
          <w:sz w:val="22"/>
          <w:szCs w:val="22"/>
          <w:lang w:val="sr-Latn-RS"/>
        </w:rPr>
        <w:t>„</w:t>
      </w:r>
      <w:r w:rsidRPr="004163C7">
        <w:rPr>
          <w:rFonts w:eastAsia="TimesNewRoman"/>
          <w:sz w:val="22"/>
          <w:szCs w:val="22"/>
          <w:lang w:val="pl-PL"/>
        </w:rPr>
        <w:t>bez natrijuma</w:t>
      </w:r>
      <w:r w:rsidR="00217E3D">
        <w:rPr>
          <w:rFonts w:eastAsia="TimesNewRoman"/>
          <w:sz w:val="22"/>
          <w:szCs w:val="22"/>
          <w:lang w:val="pl-PL"/>
        </w:rPr>
        <w:t>”</w:t>
      </w:r>
      <w:r w:rsidRPr="004163C7">
        <w:rPr>
          <w:rFonts w:eastAsia="TimesNewRoman"/>
          <w:sz w:val="22"/>
          <w:szCs w:val="22"/>
          <w:lang w:val="pl-PL"/>
        </w:rPr>
        <w:t>.</w:t>
      </w:r>
    </w:p>
    <w:p w14:paraId="35D414EA" w14:textId="77777777" w:rsidR="004163C7" w:rsidRPr="00372AF6" w:rsidRDefault="004163C7" w:rsidP="00817E31">
      <w:pPr>
        <w:tabs>
          <w:tab w:val="left" w:pos="540"/>
          <w:tab w:val="left" w:pos="569"/>
        </w:tabs>
        <w:jc w:val="both"/>
        <w:rPr>
          <w:bCs/>
          <w:sz w:val="22"/>
          <w:szCs w:val="22"/>
        </w:rPr>
      </w:pPr>
    </w:p>
    <w:p w14:paraId="39B6278E" w14:textId="77777777" w:rsidR="00411B4B" w:rsidRPr="00372AF6" w:rsidRDefault="00411B4B" w:rsidP="00817E31">
      <w:pPr>
        <w:tabs>
          <w:tab w:val="left" w:pos="540"/>
          <w:tab w:val="left" w:pos="569"/>
        </w:tabs>
        <w:jc w:val="both"/>
        <w:rPr>
          <w:b/>
          <w:bCs/>
          <w:sz w:val="22"/>
          <w:szCs w:val="22"/>
        </w:rPr>
      </w:pPr>
      <w:r w:rsidRPr="00372AF6">
        <w:rPr>
          <w:b/>
          <w:bCs/>
          <w:sz w:val="22"/>
          <w:szCs w:val="22"/>
        </w:rPr>
        <w:t>4.5.</w:t>
      </w:r>
      <w:r w:rsidR="000D60CC" w:rsidRPr="00372AF6">
        <w:rPr>
          <w:b/>
          <w:bCs/>
          <w:sz w:val="22"/>
          <w:szCs w:val="22"/>
        </w:rPr>
        <w:tab/>
      </w:r>
      <w:r w:rsidRPr="00372AF6">
        <w:rPr>
          <w:b/>
          <w:bCs/>
          <w:sz w:val="22"/>
          <w:szCs w:val="22"/>
        </w:rPr>
        <w:t>Interakcije sa drugim ljekovima i druge vrste interakcija</w:t>
      </w:r>
    </w:p>
    <w:p w14:paraId="1C1838A5" w14:textId="77777777" w:rsidR="0072020E" w:rsidRPr="00372AF6" w:rsidRDefault="0072020E" w:rsidP="00817E31">
      <w:pPr>
        <w:tabs>
          <w:tab w:val="left" w:pos="540"/>
          <w:tab w:val="left" w:pos="569"/>
        </w:tabs>
        <w:jc w:val="both"/>
        <w:rPr>
          <w:bCs/>
          <w:sz w:val="22"/>
          <w:szCs w:val="22"/>
        </w:rPr>
      </w:pPr>
    </w:p>
    <w:p w14:paraId="6897216D" w14:textId="48EB2FC6" w:rsidR="009F5C16" w:rsidRPr="00372AF6" w:rsidRDefault="009F5C16">
      <w:pPr>
        <w:tabs>
          <w:tab w:val="left" w:pos="284"/>
        </w:tabs>
        <w:autoSpaceDE w:val="0"/>
        <w:autoSpaceDN w:val="0"/>
        <w:adjustRightInd w:val="0"/>
        <w:jc w:val="both"/>
        <w:rPr>
          <w:rFonts w:eastAsia="TimesNewRoman"/>
          <w:sz w:val="22"/>
          <w:szCs w:val="22"/>
          <w:lang w:val="sr-Latn-ME"/>
        </w:rPr>
      </w:pPr>
      <w:r w:rsidRPr="00372AF6">
        <w:rPr>
          <w:rFonts w:eastAsia="TimesNewRoman"/>
          <w:sz w:val="22"/>
          <w:szCs w:val="22"/>
          <w:lang w:val="sr-Latn-ME"/>
        </w:rPr>
        <w:t>U slučaju istovremene primjene lijeka Tanakan sa ljekovima koji inhibiraju koagulaciju krvi (poput fenprokumona i varfarina) ili antitrombotičkim ljekovima (poput klopidogrela, acetilsalicilne kiseline i ostalih nesteroidnih a</w:t>
      </w:r>
      <w:r w:rsidR="001B580D">
        <w:rPr>
          <w:rFonts w:eastAsia="TimesNewRoman"/>
          <w:sz w:val="22"/>
          <w:szCs w:val="22"/>
          <w:lang w:val="sr-Latn-ME"/>
        </w:rPr>
        <w:t>ntiinflamatornih ljekova</w:t>
      </w:r>
      <w:r w:rsidRPr="00372AF6">
        <w:rPr>
          <w:rFonts w:eastAsia="TimesNewRoman"/>
          <w:sz w:val="22"/>
          <w:szCs w:val="22"/>
          <w:lang w:val="sr-Latn-ME"/>
        </w:rPr>
        <w:t>) ne može se isključiti da je efekat ovih ljekova pojačan.</w:t>
      </w:r>
    </w:p>
    <w:p w14:paraId="08EA4145" w14:textId="77777777" w:rsidR="009F5C16" w:rsidRPr="00372AF6" w:rsidRDefault="009F5C16">
      <w:pPr>
        <w:tabs>
          <w:tab w:val="left" w:pos="284"/>
        </w:tabs>
        <w:autoSpaceDE w:val="0"/>
        <w:autoSpaceDN w:val="0"/>
        <w:adjustRightInd w:val="0"/>
        <w:jc w:val="both"/>
        <w:rPr>
          <w:rFonts w:eastAsia="TimesNewRoman"/>
          <w:sz w:val="22"/>
          <w:szCs w:val="22"/>
          <w:lang w:val="sr-Latn-ME"/>
        </w:rPr>
      </w:pPr>
    </w:p>
    <w:p w14:paraId="1DD6B269" w14:textId="77777777" w:rsidR="009F5C16" w:rsidRPr="00372AF6" w:rsidRDefault="009F5C16">
      <w:pPr>
        <w:tabs>
          <w:tab w:val="left" w:pos="284"/>
        </w:tabs>
        <w:autoSpaceDE w:val="0"/>
        <w:autoSpaceDN w:val="0"/>
        <w:adjustRightInd w:val="0"/>
        <w:jc w:val="both"/>
        <w:rPr>
          <w:rFonts w:eastAsia="TimesNewRoman"/>
          <w:sz w:val="22"/>
          <w:szCs w:val="22"/>
          <w:lang w:val="sr-Latn-ME"/>
        </w:rPr>
      </w:pPr>
      <w:r w:rsidRPr="00372AF6">
        <w:rPr>
          <w:rFonts w:eastAsia="TimesNewRoman"/>
          <w:sz w:val="22"/>
          <w:szCs w:val="22"/>
          <w:lang w:val="sr-Latn-ME"/>
        </w:rPr>
        <w:t>Dostupne studije sa varfarinom ne ukazuju na interakciju između varfarina i ljekova koji sadrže ekstrakt lista ginka, ali savjetuje se adekvatno praćenje na početku trapije, pri promjeni doze ginka, na završetku terapije i pri zamjeni ljekova koji sadrže ekstrakt lista ginka.</w:t>
      </w:r>
    </w:p>
    <w:p w14:paraId="50871E6A" w14:textId="77777777" w:rsidR="009F5C16" w:rsidRPr="00372AF6" w:rsidRDefault="009F5C16">
      <w:pPr>
        <w:tabs>
          <w:tab w:val="left" w:pos="284"/>
        </w:tabs>
        <w:autoSpaceDE w:val="0"/>
        <w:autoSpaceDN w:val="0"/>
        <w:adjustRightInd w:val="0"/>
        <w:jc w:val="both"/>
        <w:rPr>
          <w:rFonts w:eastAsia="TimesNewRoman"/>
          <w:sz w:val="22"/>
          <w:szCs w:val="22"/>
          <w:lang w:val="sr-Latn-ME"/>
        </w:rPr>
      </w:pPr>
    </w:p>
    <w:p w14:paraId="6AA6B228" w14:textId="77777777" w:rsidR="009F5C16" w:rsidRPr="00372AF6" w:rsidRDefault="009F5C16">
      <w:pPr>
        <w:tabs>
          <w:tab w:val="left" w:pos="284"/>
        </w:tabs>
        <w:autoSpaceDE w:val="0"/>
        <w:autoSpaceDN w:val="0"/>
        <w:adjustRightInd w:val="0"/>
        <w:jc w:val="both"/>
        <w:rPr>
          <w:rFonts w:eastAsia="TimesNewRoman"/>
          <w:sz w:val="22"/>
          <w:szCs w:val="22"/>
          <w:lang w:val="sr-Latn-ME"/>
        </w:rPr>
      </w:pPr>
      <w:r w:rsidRPr="00372AF6">
        <w:rPr>
          <w:rFonts w:eastAsia="TimesNewRoman"/>
          <w:sz w:val="22"/>
          <w:szCs w:val="22"/>
          <w:lang w:val="sr-Latn-ME"/>
        </w:rPr>
        <w:t>Studija interakcije sa talinololom ukazuje da ginko može da inhibira P-glikoprotein u intestinumu. Ovo može da dovede do povećane izloženosti ljekovima na koje utiče P-glikoprotein u intestinumu, kao što je dabigatran eteksilat. Savjetuje se oprez pri istovrijemenoj primjeni preparata ginka i dabigatrana.</w:t>
      </w:r>
    </w:p>
    <w:p w14:paraId="180D86B8" w14:textId="77777777" w:rsidR="009F5C16" w:rsidRPr="00372AF6" w:rsidRDefault="009F5C16">
      <w:pPr>
        <w:tabs>
          <w:tab w:val="left" w:pos="284"/>
        </w:tabs>
        <w:jc w:val="both"/>
        <w:rPr>
          <w:sz w:val="22"/>
          <w:szCs w:val="22"/>
          <w:lang w:val="sr-Latn-ME"/>
        </w:rPr>
      </w:pPr>
    </w:p>
    <w:p w14:paraId="59F600AE" w14:textId="77777777" w:rsidR="009F5C16" w:rsidRPr="00372AF6" w:rsidRDefault="009F5C16">
      <w:pPr>
        <w:tabs>
          <w:tab w:val="left" w:pos="284"/>
        </w:tabs>
        <w:jc w:val="both"/>
        <w:rPr>
          <w:sz w:val="22"/>
          <w:szCs w:val="22"/>
          <w:lang w:val="sr-Latn-ME"/>
        </w:rPr>
      </w:pPr>
      <w:r w:rsidRPr="00372AF6">
        <w:rPr>
          <w:sz w:val="22"/>
          <w:szCs w:val="22"/>
          <w:lang w:val="sr-Latn-ME"/>
        </w:rPr>
        <w:t>Jedna studija interakcija ukazuje da vrijednost C</w:t>
      </w:r>
      <w:r w:rsidRPr="00372AF6">
        <w:rPr>
          <w:sz w:val="22"/>
          <w:szCs w:val="22"/>
          <w:vertAlign w:val="subscript"/>
          <w:lang w:val="sr-Latn-ME"/>
        </w:rPr>
        <w:t xml:space="preserve">max </w:t>
      </w:r>
      <w:r w:rsidRPr="00372AF6">
        <w:rPr>
          <w:sz w:val="22"/>
          <w:szCs w:val="22"/>
          <w:lang w:val="sr-Latn-ME"/>
        </w:rPr>
        <w:t>za nifedipin može biti povećana u prisustvu preparata ginka. Kod nekih pojedinaca, došlo je do povećanja od 100 % što je dovelo do vrtoglavice i povećane ozbiljnosti naleta vrućine.</w:t>
      </w:r>
    </w:p>
    <w:p w14:paraId="4D850A1F" w14:textId="77777777" w:rsidR="009F5C16" w:rsidRPr="00372AF6" w:rsidRDefault="009F5C16">
      <w:pPr>
        <w:tabs>
          <w:tab w:val="left" w:pos="284"/>
        </w:tabs>
        <w:jc w:val="both"/>
        <w:rPr>
          <w:sz w:val="22"/>
          <w:szCs w:val="22"/>
          <w:lang w:val="sr-Latn-ME"/>
        </w:rPr>
      </w:pPr>
    </w:p>
    <w:p w14:paraId="73B23753" w14:textId="77079084" w:rsidR="009F5C16" w:rsidRPr="00372AF6" w:rsidRDefault="009F5C16">
      <w:pPr>
        <w:tabs>
          <w:tab w:val="left" w:pos="284"/>
        </w:tabs>
        <w:jc w:val="both"/>
        <w:rPr>
          <w:rFonts w:eastAsia="TimesNewRoman"/>
          <w:sz w:val="22"/>
          <w:szCs w:val="22"/>
          <w:lang w:val="sr-Latn-ME"/>
        </w:rPr>
      </w:pPr>
      <w:r w:rsidRPr="00372AF6">
        <w:rPr>
          <w:rFonts w:eastAsia="TimesNewRoman"/>
          <w:sz w:val="22"/>
          <w:szCs w:val="22"/>
          <w:lang w:val="sr-Latn-ME"/>
        </w:rPr>
        <w:t xml:space="preserve">Ne preporučuje se istovremena primjena ljekova koji sadrže ekstrakt lista ginka i efavirenca. Koncentracije </w:t>
      </w:r>
      <w:r w:rsidR="00245903" w:rsidRPr="00372AF6">
        <w:rPr>
          <w:rFonts w:eastAsia="TimesNewRoman"/>
          <w:sz w:val="22"/>
          <w:szCs w:val="22"/>
          <w:lang w:val="sr-Latn-ME"/>
        </w:rPr>
        <w:t xml:space="preserve"> </w:t>
      </w:r>
      <w:r w:rsidRPr="00372AF6">
        <w:rPr>
          <w:rFonts w:eastAsia="TimesNewRoman"/>
          <w:sz w:val="22"/>
          <w:szCs w:val="22"/>
          <w:lang w:val="sr-Latn-ME"/>
        </w:rPr>
        <w:t xml:space="preserve">efavirenca u plazmi mogu biti smanjene usljed indukcije enzima CYP3A4 (vidjeti </w:t>
      </w:r>
      <w:r w:rsidR="001B580D">
        <w:rPr>
          <w:rFonts w:eastAsia="TimesNewRoman"/>
          <w:sz w:val="22"/>
          <w:szCs w:val="22"/>
          <w:lang w:val="sr-Latn-ME"/>
        </w:rPr>
        <w:t>dio</w:t>
      </w:r>
      <w:r w:rsidRPr="00372AF6">
        <w:rPr>
          <w:rFonts w:eastAsia="TimesNewRoman"/>
          <w:sz w:val="22"/>
          <w:szCs w:val="22"/>
          <w:lang w:val="sr-Latn-ME"/>
        </w:rPr>
        <w:t xml:space="preserve"> 4.4).</w:t>
      </w:r>
    </w:p>
    <w:p w14:paraId="433BF109" w14:textId="06CB531E" w:rsidR="00187ED4" w:rsidRPr="00372AF6" w:rsidRDefault="00187ED4" w:rsidP="00817E31">
      <w:pPr>
        <w:tabs>
          <w:tab w:val="left" w:pos="540"/>
          <w:tab w:val="left" w:pos="569"/>
        </w:tabs>
        <w:jc w:val="both"/>
        <w:rPr>
          <w:bCs/>
          <w:sz w:val="22"/>
          <w:szCs w:val="22"/>
        </w:rPr>
      </w:pPr>
    </w:p>
    <w:p w14:paraId="6841E569" w14:textId="77777777" w:rsidR="0072020E" w:rsidRPr="00372AF6" w:rsidRDefault="0072020E" w:rsidP="00817E31">
      <w:pPr>
        <w:tabs>
          <w:tab w:val="left" w:pos="540"/>
          <w:tab w:val="left" w:pos="569"/>
        </w:tabs>
        <w:jc w:val="both"/>
        <w:rPr>
          <w:b/>
          <w:sz w:val="22"/>
          <w:szCs w:val="22"/>
          <w:lang w:val="sr-Latn-CS"/>
        </w:rPr>
      </w:pPr>
      <w:r w:rsidRPr="00372AF6">
        <w:rPr>
          <w:b/>
          <w:bCs/>
          <w:sz w:val="22"/>
          <w:szCs w:val="22"/>
        </w:rPr>
        <w:t xml:space="preserve">4.6. </w:t>
      </w:r>
      <w:r w:rsidR="00480FB1" w:rsidRPr="00372AF6">
        <w:rPr>
          <w:b/>
          <w:bCs/>
          <w:sz w:val="22"/>
          <w:szCs w:val="22"/>
        </w:rPr>
        <w:tab/>
      </w:r>
      <w:r w:rsidR="006D20A5" w:rsidRPr="00372AF6">
        <w:rPr>
          <w:b/>
          <w:sz w:val="22"/>
          <w:szCs w:val="22"/>
          <w:lang w:val="sr-Latn-CS"/>
        </w:rPr>
        <w:t>Plodnost, trudnoća i dojenje</w:t>
      </w:r>
    </w:p>
    <w:p w14:paraId="430AD452" w14:textId="77777777" w:rsidR="002031B3" w:rsidRPr="00372AF6" w:rsidRDefault="002031B3" w:rsidP="00817E31">
      <w:pPr>
        <w:tabs>
          <w:tab w:val="left" w:pos="540"/>
          <w:tab w:val="left" w:pos="569"/>
        </w:tabs>
        <w:jc w:val="both"/>
        <w:rPr>
          <w:sz w:val="22"/>
          <w:szCs w:val="22"/>
          <w:u w:val="single"/>
        </w:rPr>
      </w:pPr>
    </w:p>
    <w:p w14:paraId="11802C34" w14:textId="77777777" w:rsidR="002031B3" w:rsidRPr="00372AF6" w:rsidRDefault="002031B3">
      <w:pPr>
        <w:tabs>
          <w:tab w:val="left" w:pos="540"/>
          <w:tab w:val="left" w:pos="569"/>
        </w:tabs>
        <w:jc w:val="both"/>
        <w:rPr>
          <w:sz w:val="22"/>
          <w:szCs w:val="22"/>
          <w:u w:val="single"/>
        </w:rPr>
      </w:pPr>
      <w:r w:rsidRPr="00372AF6">
        <w:rPr>
          <w:sz w:val="22"/>
          <w:szCs w:val="22"/>
          <w:u w:val="single"/>
        </w:rPr>
        <w:t>Plodnost</w:t>
      </w:r>
    </w:p>
    <w:p w14:paraId="46F99091" w14:textId="78401EAC" w:rsidR="009F5C16" w:rsidRPr="00372AF6" w:rsidRDefault="009F5C16">
      <w:pPr>
        <w:tabs>
          <w:tab w:val="left" w:pos="284"/>
        </w:tabs>
        <w:autoSpaceDE w:val="0"/>
        <w:autoSpaceDN w:val="0"/>
        <w:adjustRightInd w:val="0"/>
        <w:jc w:val="both"/>
        <w:rPr>
          <w:rFonts w:eastAsia="TimesNewRoman"/>
          <w:sz w:val="22"/>
          <w:szCs w:val="22"/>
          <w:lang w:val="sr-Latn-ME"/>
        </w:rPr>
      </w:pPr>
      <w:r w:rsidRPr="00372AF6">
        <w:rPr>
          <w:rFonts w:eastAsia="TimesNewRoman"/>
          <w:sz w:val="22"/>
          <w:szCs w:val="22"/>
          <w:lang w:val="sr-Latn-ME"/>
        </w:rPr>
        <w:t xml:space="preserve">Nema specifičnih studija sa preparatima ginka kod ljudi da bi se izveli zaključci o uticaju na fertilitet. U studijama na ženkama miševa, uočen je efekat na fertilitet (vidjeti </w:t>
      </w:r>
      <w:r w:rsidR="001B580D">
        <w:rPr>
          <w:rFonts w:eastAsia="TimesNewRoman"/>
          <w:sz w:val="22"/>
          <w:szCs w:val="22"/>
          <w:lang w:val="sr-Latn-ME"/>
        </w:rPr>
        <w:t>dio</w:t>
      </w:r>
      <w:r w:rsidRPr="00372AF6">
        <w:rPr>
          <w:rFonts w:eastAsia="TimesNewRoman"/>
          <w:sz w:val="22"/>
          <w:szCs w:val="22"/>
          <w:lang w:val="sr-Latn-ME"/>
        </w:rPr>
        <w:t xml:space="preserve"> 5.3).</w:t>
      </w:r>
    </w:p>
    <w:p w14:paraId="7D2C7545" w14:textId="77777777" w:rsidR="002031B3" w:rsidRPr="00372AF6" w:rsidRDefault="002031B3">
      <w:pPr>
        <w:tabs>
          <w:tab w:val="left" w:pos="540"/>
          <w:tab w:val="left" w:pos="569"/>
        </w:tabs>
        <w:jc w:val="both"/>
        <w:rPr>
          <w:sz w:val="22"/>
          <w:szCs w:val="22"/>
          <w:u w:val="single"/>
        </w:rPr>
      </w:pPr>
    </w:p>
    <w:p w14:paraId="2D9BC29E" w14:textId="77777777" w:rsidR="007A3ECB" w:rsidRPr="00372AF6" w:rsidRDefault="007A3ECB">
      <w:pPr>
        <w:tabs>
          <w:tab w:val="left" w:pos="540"/>
          <w:tab w:val="left" w:pos="569"/>
        </w:tabs>
        <w:jc w:val="both"/>
        <w:rPr>
          <w:sz w:val="22"/>
          <w:szCs w:val="22"/>
          <w:u w:val="single"/>
        </w:rPr>
      </w:pPr>
      <w:r w:rsidRPr="00372AF6">
        <w:rPr>
          <w:sz w:val="22"/>
          <w:szCs w:val="22"/>
          <w:u w:val="single"/>
        </w:rPr>
        <w:lastRenderedPageBreak/>
        <w:t>Trudnoća</w:t>
      </w:r>
    </w:p>
    <w:p w14:paraId="5007C557" w14:textId="1A840AB8" w:rsidR="009F5C16" w:rsidRPr="00372AF6" w:rsidRDefault="009F5C16">
      <w:pPr>
        <w:tabs>
          <w:tab w:val="left" w:pos="284"/>
        </w:tabs>
        <w:autoSpaceDE w:val="0"/>
        <w:autoSpaceDN w:val="0"/>
        <w:adjustRightInd w:val="0"/>
        <w:jc w:val="both"/>
        <w:rPr>
          <w:rFonts w:eastAsia="TimesNewRoman"/>
          <w:sz w:val="22"/>
          <w:szCs w:val="22"/>
          <w:lang w:val="sr-Latn-ME"/>
        </w:rPr>
      </w:pPr>
      <w:r w:rsidRPr="00372AF6">
        <w:rPr>
          <w:rFonts w:eastAsia="TimesNewRoman"/>
          <w:sz w:val="22"/>
          <w:szCs w:val="22"/>
          <w:lang w:val="sr-Latn-ME"/>
        </w:rPr>
        <w:t xml:space="preserve">Ljekovi koji sadrže ekstrakt lista ginka mogu da umanje sposobnost agregacije tombocita i povećaju sklonost ka krvarenju. Studije na životinjama nijesu dovojne u pogledu repoduktivne toksičnosti (vidjeti </w:t>
      </w:r>
      <w:r w:rsidR="001B580D">
        <w:rPr>
          <w:rFonts w:eastAsia="TimesNewRoman"/>
          <w:sz w:val="22"/>
          <w:szCs w:val="22"/>
          <w:lang w:val="sr-Latn-ME"/>
        </w:rPr>
        <w:t>dio</w:t>
      </w:r>
      <w:r w:rsidRPr="00372AF6">
        <w:rPr>
          <w:rFonts w:eastAsia="TimesNewRoman"/>
          <w:sz w:val="22"/>
          <w:szCs w:val="22"/>
          <w:lang w:val="sr-Latn-ME"/>
        </w:rPr>
        <w:t xml:space="preserve"> 5.3).</w:t>
      </w:r>
    </w:p>
    <w:p w14:paraId="552A872D" w14:textId="09DAD9C8" w:rsidR="009F5C16" w:rsidRPr="00372AF6" w:rsidRDefault="009F5C16">
      <w:pPr>
        <w:tabs>
          <w:tab w:val="left" w:pos="284"/>
        </w:tabs>
        <w:autoSpaceDE w:val="0"/>
        <w:autoSpaceDN w:val="0"/>
        <w:adjustRightInd w:val="0"/>
        <w:jc w:val="both"/>
        <w:rPr>
          <w:rFonts w:eastAsia="TimesNewRoman"/>
          <w:sz w:val="22"/>
          <w:szCs w:val="22"/>
          <w:lang w:val="sr-Latn-ME"/>
        </w:rPr>
      </w:pPr>
      <w:r w:rsidRPr="00372AF6">
        <w:rPr>
          <w:rFonts w:eastAsia="TimesNewRoman"/>
          <w:sz w:val="22"/>
          <w:szCs w:val="22"/>
          <w:lang w:val="sr-Latn-ME"/>
        </w:rPr>
        <w:t xml:space="preserve">Ovaj lijek je kontraindikovan tokom trudnoće (vidjeti </w:t>
      </w:r>
      <w:r w:rsidR="001B580D">
        <w:rPr>
          <w:rFonts w:eastAsia="TimesNewRoman"/>
          <w:sz w:val="22"/>
          <w:szCs w:val="22"/>
          <w:lang w:val="sr-Latn-ME"/>
        </w:rPr>
        <w:t>dio</w:t>
      </w:r>
      <w:r w:rsidRPr="00372AF6">
        <w:rPr>
          <w:rFonts w:eastAsia="TimesNewRoman"/>
          <w:sz w:val="22"/>
          <w:szCs w:val="22"/>
          <w:lang w:val="sr-Latn-ME"/>
        </w:rPr>
        <w:t xml:space="preserve"> 4.3).</w:t>
      </w:r>
    </w:p>
    <w:p w14:paraId="4B85E643" w14:textId="77777777" w:rsidR="002031B3" w:rsidRPr="00372AF6" w:rsidRDefault="002031B3">
      <w:pPr>
        <w:tabs>
          <w:tab w:val="left" w:pos="540"/>
          <w:tab w:val="left" w:pos="569"/>
        </w:tabs>
        <w:jc w:val="both"/>
        <w:rPr>
          <w:sz w:val="22"/>
          <w:szCs w:val="22"/>
          <w:u w:val="single"/>
        </w:rPr>
      </w:pPr>
    </w:p>
    <w:p w14:paraId="6ADF8163" w14:textId="77777777" w:rsidR="0072020E" w:rsidRPr="00372AF6" w:rsidRDefault="007A3ECB">
      <w:pPr>
        <w:tabs>
          <w:tab w:val="left" w:pos="540"/>
          <w:tab w:val="left" w:pos="569"/>
        </w:tabs>
        <w:jc w:val="both"/>
        <w:rPr>
          <w:b/>
          <w:bCs/>
          <w:sz w:val="22"/>
          <w:szCs w:val="22"/>
        </w:rPr>
      </w:pPr>
      <w:r w:rsidRPr="00372AF6">
        <w:rPr>
          <w:sz w:val="22"/>
          <w:szCs w:val="22"/>
          <w:u w:val="single"/>
        </w:rPr>
        <w:t xml:space="preserve">Dojenje </w:t>
      </w:r>
    </w:p>
    <w:p w14:paraId="1B73A622" w14:textId="77777777" w:rsidR="00227BDB" w:rsidRPr="00372AF6" w:rsidRDefault="00227BDB">
      <w:pPr>
        <w:tabs>
          <w:tab w:val="left" w:pos="540"/>
          <w:tab w:val="left" w:pos="569"/>
        </w:tabs>
        <w:ind w:left="540" w:hanging="540"/>
        <w:jc w:val="both"/>
        <w:rPr>
          <w:b/>
          <w:bCs/>
          <w:sz w:val="22"/>
          <w:szCs w:val="22"/>
        </w:rPr>
      </w:pPr>
    </w:p>
    <w:p w14:paraId="5DE495AA" w14:textId="77777777" w:rsidR="009F5C16" w:rsidRPr="00372AF6" w:rsidRDefault="009F5C16">
      <w:pPr>
        <w:tabs>
          <w:tab w:val="left" w:pos="284"/>
        </w:tabs>
        <w:autoSpaceDE w:val="0"/>
        <w:autoSpaceDN w:val="0"/>
        <w:adjustRightInd w:val="0"/>
        <w:jc w:val="both"/>
        <w:rPr>
          <w:sz w:val="22"/>
          <w:szCs w:val="22"/>
          <w:lang w:val="sr-Latn-ME"/>
        </w:rPr>
      </w:pPr>
      <w:r w:rsidRPr="00372AF6">
        <w:rPr>
          <w:rFonts w:eastAsia="TimesNewRoman"/>
          <w:sz w:val="22"/>
          <w:szCs w:val="22"/>
          <w:lang w:val="sr-Latn-ME"/>
        </w:rPr>
        <w:t>Nije poznato da li se metaboliti ekstrakta lista ginka izlučuju u majčino mlijeko. Ne može se isključiti rizik po novorođenčad/odojčad.</w:t>
      </w:r>
    </w:p>
    <w:p w14:paraId="254E9591" w14:textId="77777777" w:rsidR="009F5C16" w:rsidRPr="00372AF6" w:rsidRDefault="009F5C16">
      <w:pPr>
        <w:tabs>
          <w:tab w:val="left" w:pos="284"/>
        </w:tabs>
        <w:autoSpaceDE w:val="0"/>
        <w:autoSpaceDN w:val="0"/>
        <w:adjustRightInd w:val="0"/>
        <w:jc w:val="both"/>
        <w:rPr>
          <w:rFonts w:eastAsia="TimesNewRoman"/>
          <w:sz w:val="22"/>
          <w:szCs w:val="22"/>
          <w:lang w:val="sr-Latn-ME"/>
        </w:rPr>
      </w:pPr>
      <w:r w:rsidRPr="00372AF6">
        <w:rPr>
          <w:rFonts w:eastAsia="TimesNewRoman"/>
          <w:sz w:val="22"/>
          <w:szCs w:val="22"/>
          <w:lang w:val="sr-Latn-ME"/>
        </w:rPr>
        <w:t xml:space="preserve">Zbog nedostatka podataka, ovaj lijek ne bi trebalo koristiti tokom dojenja. </w:t>
      </w:r>
    </w:p>
    <w:p w14:paraId="486777D4" w14:textId="77777777" w:rsidR="009F5C16" w:rsidRPr="00372AF6" w:rsidRDefault="009F5C16" w:rsidP="00817E31">
      <w:pPr>
        <w:tabs>
          <w:tab w:val="left" w:pos="540"/>
          <w:tab w:val="left" w:pos="569"/>
        </w:tabs>
        <w:jc w:val="both"/>
        <w:rPr>
          <w:b/>
          <w:bCs/>
          <w:sz w:val="22"/>
          <w:szCs w:val="22"/>
        </w:rPr>
      </w:pPr>
    </w:p>
    <w:p w14:paraId="3EB920DF" w14:textId="77777777" w:rsidR="0072020E" w:rsidRPr="00372AF6" w:rsidRDefault="0072020E" w:rsidP="00817E31">
      <w:pPr>
        <w:tabs>
          <w:tab w:val="left" w:pos="540"/>
          <w:tab w:val="left" w:pos="569"/>
        </w:tabs>
        <w:ind w:left="540" w:hanging="540"/>
        <w:jc w:val="both"/>
        <w:rPr>
          <w:b/>
          <w:bCs/>
          <w:sz w:val="22"/>
          <w:szCs w:val="22"/>
        </w:rPr>
      </w:pPr>
      <w:r w:rsidRPr="00372AF6">
        <w:rPr>
          <w:b/>
          <w:bCs/>
          <w:sz w:val="22"/>
          <w:szCs w:val="22"/>
        </w:rPr>
        <w:t xml:space="preserve">4.7. </w:t>
      </w:r>
      <w:r w:rsidR="00480FB1" w:rsidRPr="00372AF6">
        <w:rPr>
          <w:b/>
          <w:bCs/>
          <w:sz w:val="22"/>
          <w:szCs w:val="22"/>
        </w:rPr>
        <w:tab/>
      </w:r>
      <w:r w:rsidRPr="00372AF6">
        <w:rPr>
          <w:b/>
          <w:bCs/>
          <w:sz w:val="22"/>
          <w:szCs w:val="22"/>
        </w:rPr>
        <w:t xml:space="preserve">Uticaj na </w:t>
      </w:r>
      <w:r w:rsidR="002031B3" w:rsidRPr="00372AF6">
        <w:rPr>
          <w:b/>
          <w:bCs/>
          <w:sz w:val="22"/>
          <w:szCs w:val="22"/>
        </w:rPr>
        <w:t xml:space="preserve">sposobnost </w:t>
      </w:r>
      <w:r w:rsidR="00F34554" w:rsidRPr="00372AF6">
        <w:rPr>
          <w:b/>
          <w:bCs/>
          <w:sz w:val="22"/>
          <w:szCs w:val="22"/>
        </w:rPr>
        <w:t>upravljanja vozili</w:t>
      </w:r>
      <w:r w:rsidRPr="00372AF6">
        <w:rPr>
          <w:b/>
          <w:bCs/>
          <w:sz w:val="22"/>
          <w:szCs w:val="22"/>
        </w:rPr>
        <w:t>m</w:t>
      </w:r>
      <w:r w:rsidR="00F34554" w:rsidRPr="00372AF6">
        <w:rPr>
          <w:b/>
          <w:bCs/>
          <w:sz w:val="22"/>
          <w:szCs w:val="22"/>
        </w:rPr>
        <w:t>a</w:t>
      </w:r>
      <w:r w:rsidRPr="00372AF6">
        <w:rPr>
          <w:b/>
          <w:bCs/>
          <w:sz w:val="22"/>
          <w:szCs w:val="22"/>
        </w:rPr>
        <w:t xml:space="preserve"> i </w:t>
      </w:r>
      <w:r w:rsidR="000D3449" w:rsidRPr="00372AF6">
        <w:rPr>
          <w:b/>
          <w:bCs/>
          <w:sz w:val="22"/>
          <w:szCs w:val="22"/>
        </w:rPr>
        <w:t xml:space="preserve">rukovanje </w:t>
      </w:r>
      <w:r w:rsidRPr="00372AF6">
        <w:rPr>
          <w:b/>
          <w:bCs/>
          <w:sz w:val="22"/>
          <w:szCs w:val="22"/>
        </w:rPr>
        <w:t>mašinama</w:t>
      </w:r>
    </w:p>
    <w:p w14:paraId="5F2EDF87" w14:textId="77777777" w:rsidR="0072020E" w:rsidRPr="00372AF6" w:rsidRDefault="0072020E" w:rsidP="00817E31">
      <w:pPr>
        <w:tabs>
          <w:tab w:val="left" w:pos="540"/>
          <w:tab w:val="left" w:pos="569"/>
        </w:tabs>
        <w:jc w:val="both"/>
        <w:rPr>
          <w:b/>
          <w:bCs/>
          <w:sz w:val="22"/>
          <w:szCs w:val="22"/>
        </w:rPr>
      </w:pPr>
    </w:p>
    <w:p w14:paraId="6942B227" w14:textId="77777777" w:rsidR="009F5C16" w:rsidRPr="00372AF6" w:rsidRDefault="009F5C16">
      <w:pPr>
        <w:tabs>
          <w:tab w:val="left" w:pos="284"/>
        </w:tabs>
        <w:autoSpaceDE w:val="0"/>
        <w:autoSpaceDN w:val="0"/>
        <w:adjustRightInd w:val="0"/>
        <w:jc w:val="both"/>
        <w:rPr>
          <w:rFonts w:eastAsia="TimesNewRoman"/>
          <w:sz w:val="22"/>
          <w:szCs w:val="22"/>
          <w:lang w:val="sr-Latn-ME"/>
        </w:rPr>
      </w:pPr>
      <w:r w:rsidRPr="00372AF6">
        <w:rPr>
          <w:rFonts w:eastAsia="TimesNewRoman"/>
          <w:sz w:val="22"/>
          <w:szCs w:val="22"/>
          <w:lang w:val="sr-Latn-ME"/>
        </w:rPr>
        <w:t>Nema adekvatnih studija o uticaju na sposobnosti prilikom upravljanja motornim vozilom i rukovanja mašinama.</w:t>
      </w:r>
    </w:p>
    <w:p w14:paraId="6906BD28" w14:textId="77777777" w:rsidR="009F5C16" w:rsidRPr="00372AF6" w:rsidRDefault="009F5C16" w:rsidP="00817E31">
      <w:pPr>
        <w:tabs>
          <w:tab w:val="left" w:pos="540"/>
          <w:tab w:val="left" w:pos="569"/>
        </w:tabs>
        <w:jc w:val="both"/>
        <w:rPr>
          <w:b/>
          <w:bCs/>
          <w:sz w:val="22"/>
          <w:szCs w:val="22"/>
        </w:rPr>
      </w:pPr>
    </w:p>
    <w:p w14:paraId="24423A0D" w14:textId="77777777" w:rsidR="0072020E" w:rsidRPr="00372AF6" w:rsidRDefault="0072020E" w:rsidP="00817E31">
      <w:pPr>
        <w:tabs>
          <w:tab w:val="left" w:pos="540"/>
          <w:tab w:val="left" w:pos="569"/>
        </w:tabs>
        <w:jc w:val="both"/>
        <w:rPr>
          <w:b/>
          <w:bCs/>
          <w:sz w:val="22"/>
          <w:szCs w:val="22"/>
        </w:rPr>
      </w:pPr>
      <w:r w:rsidRPr="00372AF6">
        <w:rPr>
          <w:b/>
          <w:bCs/>
          <w:sz w:val="22"/>
          <w:szCs w:val="22"/>
        </w:rPr>
        <w:t xml:space="preserve">4.8. </w:t>
      </w:r>
      <w:r w:rsidR="00480FB1" w:rsidRPr="00372AF6">
        <w:rPr>
          <w:b/>
          <w:bCs/>
          <w:sz w:val="22"/>
          <w:szCs w:val="22"/>
        </w:rPr>
        <w:tab/>
      </w:r>
      <w:r w:rsidRPr="00372AF6">
        <w:rPr>
          <w:b/>
          <w:bCs/>
          <w:sz w:val="22"/>
          <w:szCs w:val="22"/>
        </w:rPr>
        <w:t>Neželjena dejstva</w:t>
      </w:r>
    </w:p>
    <w:p w14:paraId="1BB9CFCE" w14:textId="77777777" w:rsidR="004E70AD" w:rsidRPr="00372AF6" w:rsidRDefault="004E70AD" w:rsidP="00817E31">
      <w:pPr>
        <w:tabs>
          <w:tab w:val="left" w:pos="540"/>
          <w:tab w:val="left" w:pos="569"/>
        </w:tabs>
        <w:jc w:val="both"/>
        <w:rPr>
          <w:b/>
          <w:bCs/>
          <w:sz w:val="22"/>
          <w:szCs w:val="22"/>
        </w:rPr>
      </w:pPr>
    </w:p>
    <w:p w14:paraId="2F7C4851" w14:textId="77777777" w:rsidR="00245903" w:rsidRPr="00372AF6" w:rsidRDefault="00245903">
      <w:pPr>
        <w:tabs>
          <w:tab w:val="left" w:pos="284"/>
        </w:tabs>
        <w:autoSpaceDE w:val="0"/>
        <w:autoSpaceDN w:val="0"/>
        <w:adjustRightInd w:val="0"/>
        <w:jc w:val="both"/>
        <w:rPr>
          <w:rFonts w:eastAsia="TimesNewRoman"/>
          <w:sz w:val="22"/>
          <w:szCs w:val="22"/>
          <w:lang w:val="sr-Latn-ME"/>
        </w:rPr>
      </w:pPr>
      <w:r w:rsidRPr="00372AF6">
        <w:rPr>
          <w:rFonts w:eastAsia="TimesNewRoman"/>
          <w:i/>
          <w:sz w:val="22"/>
          <w:szCs w:val="22"/>
          <w:lang w:val="sr-Latn-ME"/>
        </w:rPr>
        <w:t>Poremećaji krvi i limfnog sistema</w:t>
      </w:r>
    </w:p>
    <w:p w14:paraId="4DEF2989" w14:textId="77777777" w:rsidR="00245903" w:rsidRPr="00372AF6" w:rsidRDefault="00245903">
      <w:pPr>
        <w:tabs>
          <w:tab w:val="left" w:pos="284"/>
        </w:tabs>
        <w:autoSpaceDE w:val="0"/>
        <w:autoSpaceDN w:val="0"/>
        <w:adjustRightInd w:val="0"/>
        <w:jc w:val="both"/>
        <w:rPr>
          <w:rFonts w:eastAsia="TimesNewRoman"/>
          <w:sz w:val="22"/>
          <w:szCs w:val="22"/>
          <w:lang w:val="sr-Latn-ME"/>
        </w:rPr>
      </w:pPr>
      <w:r w:rsidRPr="00372AF6">
        <w:rPr>
          <w:rFonts w:eastAsia="TimesNewRoman"/>
          <w:sz w:val="22"/>
          <w:szCs w:val="22"/>
          <w:lang w:val="sr-Latn-ME"/>
        </w:rPr>
        <w:t>Prijavljivano je krvarenje iz pojedinačnih organa (oko, nos, cerebralna ili gastrointestinalna hemoragija). Učestalost nije poznata.</w:t>
      </w:r>
    </w:p>
    <w:p w14:paraId="6B194C00" w14:textId="77777777" w:rsidR="00245903" w:rsidRPr="00372AF6" w:rsidRDefault="00245903">
      <w:pPr>
        <w:tabs>
          <w:tab w:val="left" w:pos="284"/>
        </w:tabs>
        <w:autoSpaceDE w:val="0"/>
        <w:autoSpaceDN w:val="0"/>
        <w:adjustRightInd w:val="0"/>
        <w:jc w:val="both"/>
        <w:rPr>
          <w:rFonts w:eastAsia="TimesNewRoman"/>
          <w:sz w:val="22"/>
          <w:szCs w:val="22"/>
          <w:lang w:val="sr-Latn-ME"/>
        </w:rPr>
      </w:pPr>
    </w:p>
    <w:p w14:paraId="44859708" w14:textId="77777777" w:rsidR="00245903" w:rsidRPr="00372AF6" w:rsidRDefault="00245903">
      <w:pPr>
        <w:tabs>
          <w:tab w:val="left" w:pos="284"/>
        </w:tabs>
        <w:autoSpaceDE w:val="0"/>
        <w:autoSpaceDN w:val="0"/>
        <w:adjustRightInd w:val="0"/>
        <w:jc w:val="both"/>
        <w:rPr>
          <w:rFonts w:eastAsia="TimesNewRoman"/>
          <w:i/>
          <w:sz w:val="22"/>
          <w:szCs w:val="22"/>
          <w:lang w:val="sr-Latn-ME"/>
        </w:rPr>
      </w:pPr>
      <w:r w:rsidRPr="00372AF6">
        <w:rPr>
          <w:rFonts w:eastAsia="TimesNewRoman"/>
          <w:i/>
          <w:sz w:val="22"/>
          <w:szCs w:val="22"/>
          <w:lang w:val="sr-Latn-ME"/>
        </w:rPr>
        <w:t>Poremećaji nervnog sistema</w:t>
      </w:r>
    </w:p>
    <w:p w14:paraId="53FFF1A3" w14:textId="77777777" w:rsidR="00245903" w:rsidRPr="00372AF6" w:rsidRDefault="00245903">
      <w:pPr>
        <w:tabs>
          <w:tab w:val="left" w:pos="284"/>
        </w:tabs>
        <w:autoSpaceDE w:val="0"/>
        <w:autoSpaceDN w:val="0"/>
        <w:adjustRightInd w:val="0"/>
        <w:jc w:val="both"/>
        <w:rPr>
          <w:rFonts w:eastAsia="TimesNewRoman"/>
          <w:sz w:val="22"/>
          <w:szCs w:val="22"/>
          <w:lang w:val="sr-Latn-ME"/>
        </w:rPr>
      </w:pPr>
      <w:r w:rsidRPr="00372AF6">
        <w:rPr>
          <w:rFonts w:eastAsia="TimesNewRoman"/>
          <w:sz w:val="22"/>
          <w:szCs w:val="22"/>
          <w:lang w:val="sr-Latn-ME"/>
        </w:rPr>
        <w:t xml:space="preserve">Veoma često </w:t>
      </w:r>
      <w:bookmarkStart w:id="0" w:name="_Hlk71880968"/>
      <w:r w:rsidRPr="00372AF6">
        <w:rPr>
          <w:sz w:val="22"/>
          <w:szCs w:val="22"/>
          <w:lang w:val="sr-Latn-ME"/>
        </w:rPr>
        <w:t>(≥ 1/10)</w:t>
      </w:r>
      <w:r w:rsidRPr="00372AF6">
        <w:rPr>
          <w:rFonts w:eastAsia="TimesNewRoman"/>
          <w:sz w:val="22"/>
          <w:szCs w:val="22"/>
          <w:lang w:val="sr-Latn-ME"/>
        </w:rPr>
        <w:t xml:space="preserve">: </w:t>
      </w:r>
      <w:bookmarkEnd w:id="0"/>
      <w:r w:rsidRPr="00372AF6">
        <w:rPr>
          <w:rFonts w:eastAsia="TimesNewRoman"/>
          <w:sz w:val="22"/>
          <w:szCs w:val="22"/>
          <w:lang w:val="sr-Latn-ME"/>
        </w:rPr>
        <w:t>glavobolja</w:t>
      </w:r>
    </w:p>
    <w:p w14:paraId="1CE5CAFD" w14:textId="77777777" w:rsidR="00245903" w:rsidRPr="00372AF6" w:rsidRDefault="00245903">
      <w:pPr>
        <w:tabs>
          <w:tab w:val="left" w:pos="284"/>
        </w:tabs>
        <w:autoSpaceDE w:val="0"/>
        <w:autoSpaceDN w:val="0"/>
        <w:adjustRightInd w:val="0"/>
        <w:jc w:val="both"/>
        <w:rPr>
          <w:rFonts w:eastAsia="TimesNewRoman"/>
          <w:sz w:val="22"/>
          <w:szCs w:val="22"/>
          <w:lang w:val="sr-Latn-ME"/>
        </w:rPr>
      </w:pPr>
      <w:r w:rsidRPr="00372AF6">
        <w:rPr>
          <w:rFonts w:eastAsia="TimesNewRoman"/>
          <w:sz w:val="22"/>
          <w:szCs w:val="22"/>
          <w:lang w:val="sr-Latn-ME"/>
        </w:rPr>
        <w:t xml:space="preserve">Često </w:t>
      </w:r>
      <w:bookmarkStart w:id="1" w:name="_Hlk71880972"/>
      <w:r w:rsidRPr="00372AF6">
        <w:rPr>
          <w:sz w:val="22"/>
          <w:szCs w:val="22"/>
          <w:lang w:val="sr-Latn-ME"/>
        </w:rPr>
        <w:t xml:space="preserve">(≥ 1/100, &lt;1/10): </w:t>
      </w:r>
      <w:bookmarkEnd w:id="1"/>
      <w:r w:rsidRPr="00372AF6">
        <w:rPr>
          <w:sz w:val="22"/>
          <w:szCs w:val="22"/>
          <w:lang w:val="sr-Latn-ME"/>
        </w:rPr>
        <w:t>vrtoglavica</w:t>
      </w:r>
    </w:p>
    <w:p w14:paraId="36A91E68" w14:textId="77777777" w:rsidR="00245903" w:rsidRPr="00372AF6" w:rsidRDefault="00245903">
      <w:pPr>
        <w:tabs>
          <w:tab w:val="left" w:pos="284"/>
        </w:tabs>
        <w:autoSpaceDE w:val="0"/>
        <w:autoSpaceDN w:val="0"/>
        <w:adjustRightInd w:val="0"/>
        <w:jc w:val="both"/>
        <w:rPr>
          <w:rFonts w:eastAsia="TimesNewRoman"/>
          <w:sz w:val="22"/>
          <w:szCs w:val="22"/>
          <w:lang w:val="sr-Latn-ME"/>
        </w:rPr>
      </w:pPr>
    </w:p>
    <w:p w14:paraId="11005519" w14:textId="77777777" w:rsidR="00245903" w:rsidRPr="00372AF6" w:rsidRDefault="00245903">
      <w:pPr>
        <w:tabs>
          <w:tab w:val="left" w:pos="284"/>
        </w:tabs>
        <w:autoSpaceDE w:val="0"/>
        <w:autoSpaceDN w:val="0"/>
        <w:adjustRightInd w:val="0"/>
        <w:jc w:val="both"/>
        <w:rPr>
          <w:rFonts w:eastAsia="TimesNewRoman"/>
          <w:i/>
          <w:sz w:val="22"/>
          <w:szCs w:val="22"/>
          <w:lang w:val="sr-Latn-ME"/>
        </w:rPr>
      </w:pPr>
      <w:r w:rsidRPr="00372AF6">
        <w:rPr>
          <w:rFonts w:eastAsia="TimesNewRoman"/>
          <w:i/>
          <w:sz w:val="22"/>
          <w:szCs w:val="22"/>
          <w:lang w:val="sr-Latn-ME"/>
        </w:rPr>
        <w:t>Gastrointestinalni poremećaji</w:t>
      </w:r>
    </w:p>
    <w:p w14:paraId="54CD6757" w14:textId="77777777" w:rsidR="00245903" w:rsidRPr="00372AF6" w:rsidRDefault="00245903">
      <w:pPr>
        <w:tabs>
          <w:tab w:val="left" w:pos="284"/>
        </w:tabs>
        <w:autoSpaceDE w:val="0"/>
        <w:autoSpaceDN w:val="0"/>
        <w:adjustRightInd w:val="0"/>
        <w:jc w:val="both"/>
        <w:rPr>
          <w:sz w:val="22"/>
          <w:szCs w:val="22"/>
          <w:lang w:val="sr-Latn-ME"/>
        </w:rPr>
      </w:pPr>
      <w:r w:rsidRPr="00372AF6">
        <w:rPr>
          <w:rFonts w:eastAsia="TimesNewRoman"/>
          <w:sz w:val="22"/>
          <w:szCs w:val="22"/>
          <w:lang w:val="sr-Latn-ME"/>
        </w:rPr>
        <w:t xml:space="preserve">Često </w:t>
      </w:r>
      <w:bookmarkStart w:id="2" w:name="_Hlk71880927"/>
      <w:r w:rsidRPr="00372AF6">
        <w:rPr>
          <w:sz w:val="22"/>
          <w:szCs w:val="22"/>
          <w:lang w:val="sr-Latn-ME"/>
        </w:rPr>
        <w:t xml:space="preserve">(≥ 1/100, &lt;1/10): </w:t>
      </w:r>
      <w:bookmarkEnd w:id="2"/>
      <w:r w:rsidRPr="00372AF6">
        <w:rPr>
          <w:sz w:val="22"/>
          <w:szCs w:val="22"/>
          <w:lang w:val="sr-Latn-ME"/>
        </w:rPr>
        <w:t>dijareja, bol u abdomenu, mučnina, povraćanje</w:t>
      </w:r>
    </w:p>
    <w:p w14:paraId="6702447A" w14:textId="77777777" w:rsidR="00245903" w:rsidRPr="00372AF6" w:rsidRDefault="00245903">
      <w:pPr>
        <w:tabs>
          <w:tab w:val="left" w:pos="284"/>
        </w:tabs>
        <w:autoSpaceDE w:val="0"/>
        <w:autoSpaceDN w:val="0"/>
        <w:adjustRightInd w:val="0"/>
        <w:jc w:val="both"/>
        <w:rPr>
          <w:sz w:val="22"/>
          <w:szCs w:val="22"/>
          <w:lang w:val="sr-Latn-ME"/>
        </w:rPr>
      </w:pPr>
    </w:p>
    <w:p w14:paraId="5D09EE49" w14:textId="77777777" w:rsidR="00245903" w:rsidRPr="00372AF6" w:rsidRDefault="00245903">
      <w:pPr>
        <w:tabs>
          <w:tab w:val="left" w:pos="284"/>
        </w:tabs>
        <w:autoSpaceDE w:val="0"/>
        <w:autoSpaceDN w:val="0"/>
        <w:adjustRightInd w:val="0"/>
        <w:jc w:val="both"/>
        <w:rPr>
          <w:rFonts w:eastAsia="TimesNewRoman"/>
          <w:i/>
          <w:sz w:val="22"/>
          <w:szCs w:val="22"/>
          <w:lang w:val="sr-Latn-ME"/>
        </w:rPr>
      </w:pPr>
      <w:r w:rsidRPr="00372AF6">
        <w:rPr>
          <w:rFonts w:eastAsia="TimesNewRoman"/>
          <w:i/>
          <w:sz w:val="22"/>
          <w:szCs w:val="22"/>
          <w:lang w:val="sr-Latn-ME"/>
        </w:rPr>
        <w:t>Poremećaji imunog sistema</w:t>
      </w:r>
    </w:p>
    <w:p w14:paraId="61074AEC" w14:textId="77777777" w:rsidR="00245903" w:rsidRPr="00372AF6" w:rsidRDefault="00245903">
      <w:pPr>
        <w:tabs>
          <w:tab w:val="left" w:pos="284"/>
        </w:tabs>
        <w:autoSpaceDE w:val="0"/>
        <w:autoSpaceDN w:val="0"/>
        <w:adjustRightInd w:val="0"/>
        <w:jc w:val="both"/>
        <w:rPr>
          <w:rFonts w:eastAsia="TimesNewRoman"/>
          <w:sz w:val="22"/>
          <w:szCs w:val="22"/>
          <w:lang w:val="sr-Latn-ME"/>
        </w:rPr>
      </w:pPr>
      <w:r w:rsidRPr="00372AF6">
        <w:rPr>
          <w:rFonts w:eastAsia="TimesNewRoman"/>
          <w:sz w:val="22"/>
          <w:szCs w:val="22"/>
          <w:lang w:val="sr-Latn-ME"/>
        </w:rPr>
        <w:t>Mogu se javiti reakcije preosjetljivosti (alergijski šok). Učestalost nije poznata.</w:t>
      </w:r>
    </w:p>
    <w:p w14:paraId="6FD228DB" w14:textId="77777777" w:rsidR="00245903" w:rsidRPr="00372AF6" w:rsidRDefault="00245903">
      <w:pPr>
        <w:tabs>
          <w:tab w:val="left" w:pos="284"/>
        </w:tabs>
        <w:autoSpaceDE w:val="0"/>
        <w:autoSpaceDN w:val="0"/>
        <w:adjustRightInd w:val="0"/>
        <w:jc w:val="both"/>
        <w:rPr>
          <w:rFonts w:eastAsia="TimesNewRoman"/>
          <w:sz w:val="22"/>
          <w:szCs w:val="22"/>
          <w:lang w:val="sr-Latn-ME"/>
        </w:rPr>
      </w:pPr>
    </w:p>
    <w:p w14:paraId="6C7653B0" w14:textId="77777777" w:rsidR="00245903" w:rsidRPr="00372AF6" w:rsidRDefault="00245903">
      <w:pPr>
        <w:tabs>
          <w:tab w:val="left" w:pos="284"/>
        </w:tabs>
        <w:autoSpaceDE w:val="0"/>
        <w:autoSpaceDN w:val="0"/>
        <w:adjustRightInd w:val="0"/>
        <w:jc w:val="both"/>
        <w:rPr>
          <w:rFonts w:eastAsia="TimesNewRoman"/>
          <w:i/>
          <w:sz w:val="22"/>
          <w:szCs w:val="22"/>
          <w:lang w:val="sr-Latn-ME"/>
        </w:rPr>
      </w:pPr>
      <w:r w:rsidRPr="00372AF6">
        <w:rPr>
          <w:rFonts w:eastAsia="TimesNewRoman"/>
          <w:i/>
          <w:sz w:val="22"/>
          <w:szCs w:val="22"/>
          <w:lang w:val="sr-Latn-ME"/>
        </w:rPr>
        <w:t>Poremećaji na nivou kože i potkožnog tkiva</w:t>
      </w:r>
    </w:p>
    <w:p w14:paraId="12758A24" w14:textId="77777777" w:rsidR="00245903" w:rsidRPr="00372AF6" w:rsidRDefault="00245903">
      <w:pPr>
        <w:tabs>
          <w:tab w:val="left" w:pos="284"/>
        </w:tabs>
        <w:autoSpaceDE w:val="0"/>
        <w:autoSpaceDN w:val="0"/>
        <w:adjustRightInd w:val="0"/>
        <w:jc w:val="both"/>
        <w:rPr>
          <w:rFonts w:eastAsia="TimesNewRoman"/>
          <w:sz w:val="22"/>
          <w:szCs w:val="22"/>
          <w:lang w:val="sr-Latn-ME"/>
        </w:rPr>
      </w:pPr>
      <w:r w:rsidRPr="00372AF6">
        <w:rPr>
          <w:rFonts w:eastAsia="TimesNewRoman"/>
          <w:sz w:val="22"/>
          <w:szCs w:val="22"/>
          <w:lang w:val="sr-Latn-ME"/>
        </w:rPr>
        <w:t>Mogu se javiti alergijske reakcije na koži (eritem, edem, svrab i osip). Učestalost nije poznata.</w:t>
      </w:r>
    </w:p>
    <w:p w14:paraId="1FB62705" w14:textId="77777777" w:rsidR="00245903" w:rsidRPr="00372AF6" w:rsidRDefault="00245903" w:rsidP="00817E31">
      <w:pPr>
        <w:tabs>
          <w:tab w:val="left" w:pos="540"/>
          <w:tab w:val="left" w:pos="569"/>
        </w:tabs>
        <w:jc w:val="both"/>
        <w:rPr>
          <w:b/>
          <w:bCs/>
          <w:sz w:val="22"/>
          <w:szCs w:val="22"/>
        </w:rPr>
      </w:pPr>
    </w:p>
    <w:p w14:paraId="4265C576" w14:textId="77777777" w:rsidR="005A23D2" w:rsidRPr="00372AF6" w:rsidRDefault="005A23D2" w:rsidP="00817E31">
      <w:pPr>
        <w:spacing w:after="200" w:line="276" w:lineRule="auto"/>
        <w:jc w:val="both"/>
        <w:rPr>
          <w:rFonts w:eastAsia="Calibri"/>
          <w:sz w:val="22"/>
          <w:szCs w:val="22"/>
          <w:u w:val="single"/>
          <w:lang w:val="sr-Latn-RS"/>
        </w:rPr>
      </w:pPr>
      <w:r w:rsidRPr="00372AF6">
        <w:rPr>
          <w:rFonts w:eastAsia="Calibri"/>
          <w:sz w:val="22"/>
          <w:szCs w:val="22"/>
          <w:u w:val="single"/>
          <w:lang w:val="sr-Latn-RS"/>
        </w:rPr>
        <w:t>Prijavljivanje sumnji na neželjena dejstva</w:t>
      </w:r>
    </w:p>
    <w:p w14:paraId="55551F7A" w14:textId="77777777" w:rsidR="005A23D2" w:rsidRPr="00372AF6" w:rsidRDefault="005A23D2">
      <w:pPr>
        <w:spacing w:after="200"/>
        <w:jc w:val="both"/>
        <w:rPr>
          <w:rFonts w:eastAsia="Calibri"/>
          <w:sz w:val="22"/>
          <w:szCs w:val="22"/>
          <w:lang w:val="sr-Latn-RS"/>
        </w:rPr>
      </w:pPr>
      <w:r w:rsidRPr="00372AF6">
        <w:rPr>
          <w:rFonts w:eastAsia="Calibri"/>
          <w:sz w:val="22"/>
          <w:szCs w:val="22"/>
          <w:lang w:val="sr-Latn-RS"/>
        </w:rPr>
        <w:t>Prijavljivanje neželjenih dejstava nakon dobijanja dozvole je od velikog značaja jer obezbjeđuje kont</w:t>
      </w:r>
      <w:r w:rsidR="00EA5765" w:rsidRPr="00372AF6">
        <w:rPr>
          <w:rFonts w:eastAsia="Calibri"/>
          <w:sz w:val="22"/>
          <w:szCs w:val="22"/>
          <w:lang w:val="sr-Latn-RS"/>
        </w:rPr>
        <w:t>inuirano praćenje odnosa korist</w:t>
      </w:r>
      <w:r w:rsidRPr="00372AF6">
        <w:rPr>
          <w:rFonts w:eastAsia="Calibri"/>
          <w:sz w:val="22"/>
          <w:szCs w:val="22"/>
          <w:lang w:val="sr-Latn-RS"/>
        </w:rPr>
        <w:t>/rizik primjene lijeka. Zdravstveni radnici treba da prijave svaku sumnju na neželjeno</w:t>
      </w:r>
      <w:r w:rsidR="009B062A" w:rsidRPr="00372AF6">
        <w:rPr>
          <w:rFonts w:eastAsia="Calibri"/>
          <w:sz w:val="22"/>
          <w:szCs w:val="22"/>
          <w:lang w:val="sr-Latn-RS"/>
        </w:rPr>
        <w:t xml:space="preserve"> </w:t>
      </w:r>
      <w:r w:rsidRPr="00372AF6">
        <w:rPr>
          <w:rFonts w:eastAsia="Calibri"/>
          <w:sz w:val="22"/>
          <w:szCs w:val="22"/>
          <w:lang w:val="sr-Latn-RS"/>
        </w:rPr>
        <w:t xml:space="preserve">dejstvo ovog lijeka </w:t>
      </w:r>
      <w:r w:rsidR="004E70AD" w:rsidRPr="00372AF6">
        <w:rPr>
          <w:rFonts w:eastAsia="Calibri"/>
          <w:sz w:val="22"/>
          <w:szCs w:val="22"/>
          <w:lang w:val="sr-Latn-RS"/>
        </w:rPr>
        <w:t>Institutu</w:t>
      </w:r>
      <w:r w:rsidRPr="00372AF6">
        <w:rPr>
          <w:rFonts w:eastAsia="Calibri"/>
          <w:sz w:val="22"/>
          <w:szCs w:val="22"/>
          <w:lang w:val="sr-Latn-RS"/>
        </w:rPr>
        <w:t xml:space="preserve"> za ljekove i medicinska sredstva</w:t>
      </w:r>
      <w:r w:rsidR="004E70AD" w:rsidRPr="00372AF6">
        <w:rPr>
          <w:rFonts w:eastAsia="Calibri"/>
          <w:sz w:val="22"/>
          <w:szCs w:val="22"/>
          <w:lang w:val="sr-Latn-RS"/>
        </w:rPr>
        <w:t xml:space="preserve"> </w:t>
      </w:r>
      <w:r w:rsidRPr="00372AF6">
        <w:rPr>
          <w:rFonts w:eastAsia="Calibri"/>
          <w:sz w:val="22"/>
          <w:szCs w:val="22"/>
          <w:lang w:val="sr-Latn-RS"/>
        </w:rPr>
        <w:t>(</w:t>
      </w:r>
      <w:r w:rsidR="004E70AD" w:rsidRPr="00372AF6">
        <w:rPr>
          <w:rFonts w:eastAsia="Calibri"/>
          <w:sz w:val="22"/>
          <w:szCs w:val="22"/>
          <w:lang w:val="sr-Latn-RS"/>
        </w:rPr>
        <w:t>CInMED</w:t>
      </w:r>
      <w:r w:rsidRPr="00372AF6">
        <w:rPr>
          <w:rFonts w:eastAsia="Calibri"/>
          <w:sz w:val="22"/>
          <w:szCs w:val="22"/>
          <w:lang w:val="sr-Latn-RS"/>
        </w:rPr>
        <w:t>):</w:t>
      </w:r>
    </w:p>
    <w:p w14:paraId="3DA55C78" w14:textId="77777777" w:rsidR="005A23D2" w:rsidRPr="00372AF6" w:rsidRDefault="004E70AD">
      <w:pPr>
        <w:pStyle w:val="NoSpacing"/>
        <w:jc w:val="both"/>
        <w:rPr>
          <w:rFonts w:eastAsia="Calibri"/>
          <w:sz w:val="22"/>
          <w:szCs w:val="22"/>
          <w:lang w:val="sr-Latn-RS"/>
        </w:rPr>
      </w:pPr>
      <w:r w:rsidRPr="00372AF6">
        <w:rPr>
          <w:rFonts w:eastAsia="Calibri"/>
          <w:sz w:val="22"/>
          <w:szCs w:val="22"/>
          <w:lang w:val="sr-Latn-RS"/>
        </w:rPr>
        <w:t xml:space="preserve">Institut </w:t>
      </w:r>
      <w:r w:rsidR="005A23D2" w:rsidRPr="00372AF6">
        <w:rPr>
          <w:rFonts w:eastAsia="Calibri"/>
          <w:sz w:val="22"/>
          <w:szCs w:val="22"/>
          <w:lang w:val="sr-Latn-RS"/>
        </w:rPr>
        <w:t xml:space="preserve">za ljekove i medicinska sredstva </w:t>
      </w:r>
    </w:p>
    <w:p w14:paraId="0BD93692" w14:textId="77777777" w:rsidR="005A23D2" w:rsidRPr="00372AF6" w:rsidRDefault="005A23D2">
      <w:pPr>
        <w:pStyle w:val="NoSpacing"/>
        <w:jc w:val="both"/>
        <w:rPr>
          <w:rFonts w:eastAsia="Calibri"/>
          <w:sz w:val="22"/>
          <w:szCs w:val="22"/>
          <w:lang w:val="sr-Latn-RS"/>
        </w:rPr>
      </w:pPr>
      <w:r w:rsidRPr="00372AF6">
        <w:rPr>
          <w:rFonts w:eastAsia="Calibri"/>
          <w:sz w:val="22"/>
          <w:szCs w:val="22"/>
          <w:lang w:val="sr-Latn-RS"/>
        </w:rPr>
        <w:t>Odjeljenje za farmakovigilancu</w:t>
      </w:r>
    </w:p>
    <w:p w14:paraId="270F43C0" w14:textId="77777777" w:rsidR="00EA5765" w:rsidRPr="00372AF6" w:rsidRDefault="005A23D2">
      <w:pPr>
        <w:pStyle w:val="NoSpacing"/>
        <w:jc w:val="both"/>
        <w:rPr>
          <w:rFonts w:eastAsia="Calibri"/>
          <w:sz w:val="22"/>
          <w:szCs w:val="22"/>
          <w:lang w:val="sr-Latn-RS"/>
        </w:rPr>
      </w:pPr>
      <w:r w:rsidRPr="00372AF6">
        <w:rPr>
          <w:rFonts w:eastAsia="Calibri"/>
          <w:sz w:val="22"/>
          <w:szCs w:val="22"/>
          <w:lang w:val="sr-Latn-RS"/>
        </w:rPr>
        <w:t>Bulevar Ivana Crnojevića 64a, 81000 Podgorica</w:t>
      </w:r>
    </w:p>
    <w:p w14:paraId="0FA6E5E2" w14:textId="77777777" w:rsidR="00EA5765" w:rsidRPr="00372AF6" w:rsidRDefault="00EA5765" w:rsidP="00817E31">
      <w:pPr>
        <w:pStyle w:val="NoSpacing"/>
        <w:jc w:val="both"/>
        <w:rPr>
          <w:rFonts w:eastAsia="Calibri"/>
          <w:sz w:val="22"/>
          <w:szCs w:val="22"/>
          <w:lang w:val="sr-Latn-RS"/>
        </w:rPr>
      </w:pPr>
    </w:p>
    <w:p w14:paraId="10CDCD5F" w14:textId="77777777" w:rsidR="005A23D2" w:rsidRPr="00372AF6" w:rsidRDefault="005A23D2">
      <w:pPr>
        <w:pStyle w:val="NoSpacing"/>
        <w:jc w:val="both"/>
        <w:rPr>
          <w:rFonts w:eastAsia="Calibri"/>
          <w:sz w:val="22"/>
          <w:szCs w:val="22"/>
          <w:lang w:val="sr-Latn-RS"/>
        </w:rPr>
      </w:pPr>
      <w:r w:rsidRPr="00372AF6">
        <w:rPr>
          <w:rFonts w:eastAsia="Calibri"/>
          <w:sz w:val="22"/>
          <w:szCs w:val="22"/>
          <w:lang w:val="sr-Latn-RS"/>
        </w:rPr>
        <w:t>tel: +382 (0) 20 310 280</w:t>
      </w:r>
    </w:p>
    <w:p w14:paraId="424C66D1" w14:textId="77777777" w:rsidR="00EA5765" w:rsidRPr="00372AF6" w:rsidRDefault="005A23D2">
      <w:pPr>
        <w:pStyle w:val="NoSpacing"/>
        <w:tabs>
          <w:tab w:val="left" w:pos="6720"/>
        </w:tabs>
        <w:jc w:val="both"/>
        <w:rPr>
          <w:rFonts w:eastAsia="Calibri"/>
          <w:sz w:val="22"/>
          <w:szCs w:val="22"/>
          <w:lang w:val="sr-Latn-RS"/>
        </w:rPr>
      </w:pPr>
      <w:r w:rsidRPr="00372AF6">
        <w:rPr>
          <w:rFonts w:eastAsia="Calibri"/>
          <w:sz w:val="22"/>
          <w:szCs w:val="22"/>
          <w:lang w:val="sr-Latn-RS"/>
        </w:rPr>
        <w:t>fax:</w:t>
      </w:r>
      <w:r w:rsidR="00EA5765" w:rsidRPr="00372AF6">
        <w:rPr>
          <w:rFonts w:eastAsia="Calibri"/>
          <w:sz w:val="22"/>
          <w:szCs w:val="22"/>
          <w:lang w:val="sr-Latn-RS"/>
        </w:rPr>
        <w:t xml:space="preserve"> </w:t>
      </w:r>
      <w:r w:rsidRPr="00372AF6">
        <w:rPr>
          <w:rFonts w:eastAsia="Calibri"/>
          <w:sz w:val="22"/>
          <w:szCs w:val="22"/>
          <w:lang w:val="sr-Latn-RS"/>
        </w:rPr>
        <w:t>+382 (0) 20 310 581</w:t>
      </w:r>
      <w:r w:rsidR="00FF3EDF" w:rsidRPr="00372AF6">
        <w:rPr>
          <w:rFonts w:eastAsia="Calibri"/>
          <w:sz w:val="22"/>
          <w:szCs w:val="22"/>
          <w:lang w:val="sr-Latn-RS"/>
        </w:rPr>
        <w:tab/>
      </w:r>
    </w:p>
    <w:p w14:paraId="08112756" w14:textId="77777777" w:rsidR="005A23D2" w:rsidRPr="00372AF6" w:rsidRDefault="008852FE">
      <w:pPr>
        <w:pStyle w:val="NoSpacing"/>
        <w:jc w:val="both"/>
        <w:rPr>
          <w:rFonts w:eastAsia="Calibri"/>
          <w:sz w:val="22"/>
          <w:szCs w:val="22"/>
          <w:lang w:val="sr-Latn-RS"/>
        </w:rPr>
      </w:pPr>
      <w:hyperlink r:id="rId8" w:history="1">
        <w:r w:rsidR="004E70AD" w:rsidRPr="00372AF6">
          <w:rPr>
            <w:rStyle w:val="Hyperlink"/>
            <w:rFonts w:eastAsia="Calibri"/>
            <w:sz w:val="22"/>
            <w:szCs w:val="22"/>
            <w:lang w:val="sr-Latn-RS"/>
          </w:rPr>
          <w:t>www.cinmed.me</w:t>
        </w:r>
      </w:hyperlink>
    </w:p>
    <w:p w14:paraId="151EC5B1" w14:textId="77777777" w:rsidR="00EA5765" w:rsidRPr="00372AF6" w:rsidRDefault="008852FE">
      <w:pPr>
        <w:pStyle w:val="NoSpacing"/>
        <w:jc w:val="both"/>
        <w:rPr>
          <w:rFonts w:eastAsia="Calibri"/>
          <w:color w:val="0000FF"/>
          <w:sz w:val="22"/>
          <w:szCs w:val="22"/>
          <w:u w:val="single"/>
          <w:lang w:val="sr-Latn-RS"/>
        </w:rPr>
      </w:pPr>
      <w:hyperlink r:id="rId9" w:history="1">
        <w:r w:rsidR="004E70AD" w:rsidRPr="00372AF6">
          <w:rPr>
            <w:rStyle w:val="Hyperlink"/>
            <w:rFonts w:eastAsia="Calibri"/>
            <w:sz w:val="22"/>
            <w:szCs w:val="22"/>
            <w:lang w:val="sr-Latn-RS"/>
          </w:rPr>
          <w:t>nezeljenadejstva@cinmed.me</w:t>
        </w:r>
      </w:hyperlink>
    </w:p>
    <w:p w14:paraId="5892DAA9" w14:textId="77777777" w:rsidR="005A23D2" w:rsidRPr="00372AF6" w:rsidRDefault="005A23D2">
      <w:pPr>
        <w:pStyle w:val="NoSpacing"/>
        <w:jc w:val="both"/>
        <w:rPr>
          <w:rFonts w:eastAsia="Calibri"/>
          <w:sz w:val="22"/>
          <w:szCs w:val="22"/>
          <w:lang w:val="sr-Latn-RS"/>
        </w:rPr>
      </w:pPr>
      <w:r w:rsidRPr="00372AF6">
        <w:rPr>
          <w:rFonts w:eastAsia="Calibri"/>
          <w:sz w:val="22"/>
          <w:szCs w:val="22"/>
          <w:lang w:val="sr-Latn-RS"/>
        </w:rPr>
        <w:t>putem IS zdravstvene zaštite</w:t>
      </w:r>
    </w:p>
    <w:p w14:paraId="14DB6A8D" w14:textId="77777777" w:rsidR="007E31E9" w:rsidRPr="00372AF6" w:rsidRDefault="007E31E9">
      <w:pPr>
        <w:pStyle w:val="NoSpacing"/>
        <w:jc w:val="both"/>
        <w:rPr>
          <w:rFonts w:eastAsia="Calibri"/>
          <w:sz w:val="22"/>
          <w:szCs w:val="22"/>
          <w:lang w:val="sr-Latn-RS"/>
        </w:rPr>
      </w:pPr>
      <w:r w:rsidRPr="00372AF6">
        <w:rPr>
          <w:rFonts w:eastAsia="Calibri"/>
          <w:sz w:val="22"/>
          <w:szCs w:val="22"/>
          <w:lang w:val="sr-Latn-RS"/>
        </w:rPr>
        <w:t>QR kod za online prijavu</w:t>
      </w:r>
      <w:r w:rsidR="00D74CD2" w:rsidRPr="00372AF6">
        <w:rPr>
          <w:rFonts w:eastAsia="Calibri"/>
          <w:sz w:val="22"/>
          <w:szCs w:val="22"/>
          <w:lang w:val="sr-Latn-RS"/>
        </w:rPr>
        <w:t xml:space="preserve"> sumnje na neželjeno dejstvo lijeka</w:t>
      </w:r>
      <w:r w:rsidRPr="00372AF6">
        <w:rPr>
          <w:rFonts w:eastAsia="Calibri"/>
          <w:sz w:val="22"/>
          <w:szCs w:val="22"/>
          <w:lang w:val="sr-Latn-RS"/>
        </w:rPr>
        <w:t>:</w:t>
      </w:r>
    </w:p>
    <w:p w14:paraId="40935EF1" w14:textId="77777777" w:rsidR="007E31E9" w:rsidRPr="00372AF6" w:rsidRDefault="007E31E9">
      <w:pPr>
        <w:pStyle w:val="NoSpacing"/>
        <w:jc w:val="both"/>
        <w:rPr>
          <w:rFonts w:eastAsia="Calibri"/>
          <w:sz w:val="22"/>
          <w:szCs w:val="22"/>
          <w:lang w:val="sr-Latn-RS"/>
        </w:rPr>
      </w:pPr>
    </w:p>
    <w:p w14:paraId="70AE1478" w14:textId="54A0AA76" w:rsidR="004F17E2" w:rsidRPr="00372AF6" w:rsidRDefault="005321FD" w:rsidP="00817E31">
      <w:pPr>
        <w:pStyle w:val="NoSpacing"/>
        <w:jc w:val="both"/>
        <w:rPr>
          <w:rFonts w:eastAsia="Calibri"/>
          <w:sz w:val="22"/>
          <w:szCs w:val="22"/>
          <w:lang w:val="sr-Latn-RS"/>
        </w:rPr>
      </w:pPr>
      <w:r w:rsidRPr="007F661E">
        <w:rPr>
          <w:b/>
          <w:bCs/>
          <w:noProof/>
          <w:sz w:val="22"/>
          <w:szCs w:val="22"/>
        </w:rPr>
        <w:lastRenderedPageBreak/>
        <w:drawing>
          <wp:inline distT="0" distB="0" distL="0" distR="0" wp14:anchorId="0774F811" wp14:editId="5793F722">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1544663" w14:textId="77777777" w:rsidR="00836B35" w:rsidRPr="00372AF6" w:rsidRDefault="00836B35" w:rsidP="00817E31">
      <w:pPr>
        <w:tabs>
          <w:tab w:val="left" w:pos="540"/>
          <w:tab w:val="left" w:pos="569"/>
        </w:tabs>
        <w:jc w:val="both"/>
        <w:rPr>
          <w:b/>
          <w:bCs/>
          <w:sz w:val="22"/>
          <w:szCs w:val="22"/>
        </w:rPr>
      </w:pPr>
    </w:p>
    <w:p w14:paraId="791D3B79" w14:textId="77777777" w:rsidR="00CD6F02" w:rsidRPr="00372AF6" w:rsidRDefault="0072020E" w:rsidP="00817E31">
      <w:pPr>
        <w:tabs>
          <w:tab w:val="left" w:pos="540"/>
          <w:tab w:val="left" w:pos="569"/>
        </w:tabs>
        <w:jc w:val="both"/>
        <w:rPr>
          <w:b/>
          <w:bCs/>
          <w:sz w:val="22"/>
          <w:szCs w:val="22"/>
        </w:rPr>
      </w:pPr>
      <w:r w:rsidRPr="00372AF6">
        <w:rPr>
          <w:b/>
          <w:bCs/>
          <w:sz w:val="22"/>
          <w:szCs w:val="22"/>
        </w:rPr>
        <w:t xml:space="preserve">4.9. </w:t>
      </w:r>
      <w:r w:rsidR="00480FB1" w:rsidRPr="00372AF6">
        <w:rPr>
          <w:b/>
          <w:bCs/>
          <w:sz w:val="22"/>
          <w:szCs w:val="22"/>
        </w:rPr>
        <w:tab/>
      </w:r>
      <w:r w:rsidRPr="00372AF6">
        <w:rPr>
          <w:b/>
          <w:bCs/>
          <w:sz w:val="22"/>
          <w:szCs w:val="22"/>
        </w:rPr>
        <w:t>Predoziranje</w:t>
      </w:r>
      <w:r w:rsidR="002846DB" w:rsidRPr="00372AF6">
        <w:rPr>
          <w:b/>
          <w:bCs/>
          <w:sz w:val="22"/>
          <w:szCs w:val="22"/>
        </w:rPr>
        <w:t xml:space="preserve"> </w:t>
      </w:r>
    </w:p>
    <w:p w14:paraId="717F864B" w14:textId="77777777" w:rsidR="00CD6F02" w:rsidRPr="00372AF6" w:rsidRDefault="00CD6F02" w:rsidP="00817E31">
      <w:pPr>
        <w:tabs>
          <w:tab w:val="left" w:pos="540"/>
          <w:tab w:val="left" w:pos="569"/>
        </w:tabs>
        <w:jc w:val="both"/>
        <w:rPr>
          <w:b/>
          <w:bCs/>
          <w:sz w:val="22"/>
          <w:szCs w:val="22"/>
        </w:rPr>
      </w:pPr>
    </w:p>
    <w:p w14:paraId="444FD678" w14:textId="65060991" w:rsidR="00227BDB" w:rsidRPr="00372AF6" w:rsidRDefault="009F5C16" w:rsidP="00817E31">
      <w:pPr>
        <w:tabs>
          <w:tab w:val="left" w:pos="540"/>
          <w:tab w:val="left" w:pos="569"/>
        </w:tabs>
        <w:jc w:val="both"/>
        <w:rPr>
          <w:rFonts w:eastAsia="TimesNewRoman"/>
          <w:sz w:val="22"/>
          <w:szCs w:val="22"/>
        </w:rPr>
      </w:pPr>
      <w:r w:rsidRPr="00372AF6">
        <w:rPr>
          <w:rFonts w:eastAsia="TimesNewRoman"/>
          <w:sz w:val="22"/>
          <w:szCs w:val="22"/>
        </w:rPr>
        <w:t>Nijesu zabilježeni slučajevi predoziranja.</w:t>
      </w:r>
    </w:p>
    <w:p w14:paraId="0D6AFE1A" w14:textId="2E2029F5" w:rsidR="009F5C16" w:rsidRDefault="009F5C16" w:rsidP="00817E31">
      <w:pPr>
        <w:tabs>
          <w:tab w:val="left" w:pos="540"/>
          <w:tab w:val="left" w:pos="569"/>
        </w:tabs>
        <w:jc w:val="both"/>
        <w:rPr>
          <w:b/>
          <w:bCs/>
          <w:sz w:val="22"/>
          <w:szCs w:val="22"/>
        </w:rPr>
      </w:pPr>
    </w:p>
    <w:p w14:paraId="22F6771E" w14:textId="77777777" w:rsidR="00683BF2" w:rsidRPr="00372AF6" w:rsidRDefault="00683BF2" w:rsidP="00817E31">
      <w:pPr>
        <w:tabs>
          <w:tab w:val="left" w:pos="540"/>
          <w:tab w:val="left" w:pos="569"/>
        </w:tabs>
        <w:jc w:val="both"/>
        <w:rPr>
          <w:b/>
          <w:bCs/>
          <w:sz w:val="22"/>
          <w:szCs w:val="22"/>
        </w:rPr>
      </w:pPr>
    </w:p>
    <w:p w14:paraId="45E390BC" w14:textId="77777777" w:rsidR="0072020E" w:rsidRPr="00372AF6" w:rsidRDefault="0072020E" w:rsidP="00817E31">
      <w:pPr>
        <w:tabs>
          <w:tab w:val="left" w:pos="540"/>
          <w:tab w:val="left" w:pos="569"/>
        </w:tabs>
        <w:jc w:val="both"/>
        <w:rPr>
          <w:b/>
          <w:bCs/>
          <w:sz w:val="22"/>
          <w:szCs w:val="22"/>
        </w:rPr>
      </w:pPr>
      <w:r w:rsidRPr="00372AF6">
        <w:rPr>
          <w:b/>
          <w:bCs/>
          <w:sz w:val="22"/>
          <w:szCs w:val="22"/>
        </w:rPr>
        <w:t xml:space="preserve">5. </w:t>
      </w:r>
      <w:r w:rsidR="00480FB1" w:rsidRPr="00372AF6">
        <w:rPr>
          <w:b/>
          <w:bCs/>
          <w:sz w:val="22"/>
          <w:szCs w:val="22"/>
        </w:rPr>
        <w:tab/>
      </w:r>
      <w:r w:rsidRPr="00372AF6">
        <w:rPr>
          <w:b/>
          <w:bCs/>
          <w:sz w:val="22"/>
          <w:szCs w:val="22"/>
        </w:rPr>
        <w:t>FARMAKOLOŠK</w:t>
      </w:r>
      <w:r w:rsidR="000D425A" w:rsidRPr="00372AF6">
        <w:rPr>
          <w:b/>
          <w:bCs/>
          <w:sz w:val="22"/>
          <w:szCs w:val="22"/>
        </w:rPr>
        <w:t>I</w:t>
      </w:r>
      <w:r w:rsidRPr="00372AF6">
        <w:rPr>
          <w:b/>
          <w:bCs/>
          <w:sz w:val="22"/>
          <w:szCs w:val="22"/>
        </w:rPr>
        <w:t xml:space="preserve"> PODACI</w:t>
      </w:r>
    </w:p>
    <w:p w14:paraId="46345FA7" w14:textId="77777777" w:rsidR="0072020E" w:rsidRPr="00372AF6" w:rsidRDefault="0072020E" w:rsidP="00817E31">
      <w:pPr>
        <w:tabs>
          <w:tab w:val="left" w:pos="540"/>
          <w:tab w:val="left" w:pos="569"/>
        </w:tabs>
        <w:jc w:val="both"/>
        <w:rPr>
          <w:b/>
          <w:bCs/>
          <w:sz w:val="22"/>
          <w:szCs w:val="22"/>
        </w:rPr>
      </w:pPr>
    </w:p>
    <w:p w14:paraId="62465DF6" w14:textId="77777777" w:rsidR="0072020E" w:rsidRPr="00372AF6" w:rsidRDefault="0072020E" w:rsidP="00817E31">
      <w:pPr>
        <w:tabs>
          <w:tab w:val="left" w:pos="540"/>
          <w:tab w:val="left" w:pos="569"/>
        </w:tabs>
        <w:jc w:val="both"/>
        <w:rPr>
          <w:b/>
          <w:bCs/>
          <w:sz w:val="22"/>
          <w:szCs w:val="22"/>
        </w:rPr>
      </w:pPr>
      <w:r w:rsidRPr="00372AF6">
        <w:rPr>
          <w:b/>
          <w:bCs/>
          <w:sz w:val="22"/>
          <w:szCs w:val="22"/>
        </w:rPr>
        <w:t xml:space="preserve">5.1. </w:t>
      </w:r>
      <w:r w:rsidR="00480FB1" w:rsidRPr="00372AF6">
        <w:rPr>
          <w:b/>
          <w:bCs/>
          <w:sz w:val="22"/>
          <w:szCs w:val="22"/>
        </w:rPr>
        <w:tab/>
      </w:r>
      <w:r w:rsidRPr="00372AF6">
        <w:rPr>
          <w:b/>
          <w:bCs/>
          <w:sz w:val="22"/>
          <w:szCs w:val="22"/>
        </w:rPr>
        <w:t>Farmakodinamski podaci</w:t>
      </w:r>
      <w:r w:rsidR="003A7059" w:rsidRPr="00372AF6">
        <w:rPr>
          <w:b/>
          <w:bCs/>
          <w:sz w:val="22"/>
          <w:szCs w:val="22"/>
        </w:rPr>
        <w:t xml:space="preserve"> </w:t>
      </w:r>
    </w:p>
    <w:p w14:paraId="3F46F757" w14:textId="77777777" w:rsidR="009F5C16" w:rsidRPr="00372AF6" w:rsidRDefault="009F5C16" w:rsidP="00817E31">
      <w:pPr>
        <w:tabs>
          <w:tab w:val="left" w:pos="540"/>
          <w:tab w:val="left" w:pos="569"/>
        </w:tabs>
        <w:jc w:val="both"/>
        <w:rPr>
          <w:bCs/>
          <w:sz w:val="22"/>
          <w:szCs w:val="22"/>
        </w:rPr>
      </w:pPr>
    </w:p>
    <w:p w14:paraId="4F18E2EB" w14:textId="255343B8" w:rsidR="009F5C16" w:rsidRPr="00372AF6" w:rsidRDefault="009F5C16" w:rsidP="00817E31">
      <w:pPr>
        <w:tabs>
          <w:tab w:val="left" w:pos="540"/>
          <w:tab w:val="left" w:pos="569"/>
        </w:tabs>
        <w:jc w:val="both"/>
        <w:rPr>
          <w:bCs/>
          <w:sz w:val="22"/>
          <w:szCs w:val="22"/>
        </w:rPr>
      </w:pPr>
      <w:r w:rsidRPr="00372AF6">
        <w:rPr>
          <w:bCs/>
          <w:sz w:val="22"/>
          <w:szCs w:val="22"/>
        </w:rPr>
        <w:t xml:space="preserve">Farmakoterapijska grupa: Ostali ljekovi protiv demencije </w:t>
      </w:r>
    </w:p>
    <w:p w14:paraId="08C635EE" w14:textId="3B7B9058" w:rsidR="009F5C16" w:rsidRPr="00372AF6" w:rsidRDefault="009F5C16" w:rsidP="00817E31">
      <w:pPr>
        <w:tabs>
          <w:tab w:val="left" w:pos="540"/>
          <w:tab w:val="left" w:pos="569"/>
        </w:tabs>
        <w:jc w:val="both"/>
        <w:rPr>
          <w:bCs/>
          <w:sz w:val="22"/>
          <w:szCs w:val="22"/>
        </w:rPr>
      </w:pPr>
      <w:r w:rsidRPr="00372AF6">
        <w:rPr>
          <w:bCs/>
          <w:sz w:val="22"/>
          <w:szCs w:val="22"/>
        </w:rPr>
        <w:t>ATC kod: N06DX02</w:t>
      </w:r>
    </w:p>
    <w:p w14:paraId="2C8D9FEB" w14:textId="77777777" w:rsidR="009F5C16" w:rsidRPr="00372AF6" w:rsidRDefault="009F5C16" w:rsidP="00817E31">
      <w:pPr>
        <w:tabs>
          <w:tab w:val="left" w:pos="540"/>
          <w:tab w:val="left" w:pos="569"/>
        </w:tabs>
        <w:jc w:val="both"/>
        <w:rPr>
          <w:bCs/>
          <w:sz w:val="22"/>
          <w:szCs w:val="22"/>
        </w:rPr>
      </w:pPr>
    </w:p>
    <w:p w14:paraId="370F95CC" w14:textId="77777777" w:rsidR="009F5C16" w:rsidRPr="00372AF6" w:rsidRDefault="009F5C16" w:rsidP="00817E31">
      <w:pPr>
        <w:tabs>
          <w:tab w:val="left" w:pos="540"/>
          <w:tab w:val="left" w:pos="569"/>
        </w:tabs>
        <w:jc w:val="both"/>
        <w:rPr>
          <w:bCs/>
          <w:sz w:val="22"/>
          <w:szCs w:val="22"/>
        </w:rPr>
      </w:pPr>
      <w:r w:rsidRPr="00372AF6">
        <w:rPr>
          <w:bCs/>
          <w:sz w:val="22"/>
          <w:szCs w:val="22"/>
        </w:rPr>
        <w:t>Precizan mehanizam dejstva nije poznat.</w:t>
      </w:r>
    </w:p>
    <w:p w14:paraId="6BF27EA2" w14:textId="77777777" w:rsidR="009F5C16" w:rsidRPr="00372AF6" w:rsidRDefault="009F5C16">
      <w:pPr>
        <w:tabs>
          <w:tab w:val="left" w:pos="540"/>
          <w:tab w:val="left" w:pos="569"/>
        </w:tabs>
        <w:jc w:val="both"/>
        <w:rPr>
          <w:bCs/>
          <w:sz w:val="22"/>
          <w:szCs w:val="22"/>
        </w:rPr>
      </w:pPr>
    </w:p>
    <w:p w14:paraId="50F110A6" w14:textId="77777777" w:rsidR="009F5C16" w:rsidRPr="00372AF6" w:rsidRDefault="009F5C16">
      <w:pPr>
        <w:tabs>
          <w:tab w:val="left" w:pos="540"/>
          <w:tab w:val="left" w:pos="569"/>
        </w:tabs>
        <w:jc w:val="both"/>
        <w:rPr>
          <w:bCs/>
          <w:sz w:val="22"/>
          <w:szCs w:val="22"/>
        </w:rPr>
      </w:pPr>
      <w:r w:rsidRPr="00372AF6">
        <w:rPr>
          <w:bCs/>
          <w:sz w:val="22"/>
          <w:szCs w:val="22"/>
        </w:rPr>
        <w:t>Rezultati farmakoloških studija na ljudima ukazuju na povećanje EEG vigilance kod starijih, smanjenje viskoziteta krvi i poboljšanje cerebralne perfuzije u specifičnim regijama kod zdravih muškaraca (60-70 godina) i smanjenje agregacije trombocita. Osim toga, uočen je vazodilatatorni efekat u krvnim sudovima podlaktice, koji dovodi do povećanja regionalne cirkulacije.</w:t>
      </w:r>
    </w:p>
    <w:p w14:paraId="6E1B433E" w14:textId="77777777" w:rsidR="009F5C16" w:rsidRPr="00372AF6" w:rsidRDefault="009F5C16" w:rsidP="00817E31">
      <w:pPr>
        <w:tabs>
          <w:tab w:val="left" w:pos="540"/>
          <w:tab w:val="left" w:pos="569"/>
        </w:tabs>
        <w:jc w:val="both"/>
        <w:rPr>
          <w:bCs/>
          <w:sz w:val="22"/>
          <w:szCs w:val="22"/>
        </w:rPr>
      </w:pPr>
    </w:p>
    <w:p w14:paraId="2C16D483" w14:textId="77777777" w:rsidR="0072020E" w:rsidRPr="00372AF6" w:rsidRDefault="0072020E" w:rsidP="00817E31">
      <w:pPr>
        <w:tabs>
          <w:tab w:val="left" w:pos="540"/>
          <w:tab w:val="left" w:pos="569"/>
        </w:tabs>
        <w:jc w:val="both"/>
        <w:rPr>
          <w:b/>
          <w:bCs/>
          <w:sz w:val="22"/>
          <w:szCs w:val="22"/>
        </w:rPr>
      </w:pPr>
      <w:r w:rsidRPr="00372AF6">
        <w:rPr>
          <w:b/>
          <w:bCs/>
          <w:sz w:val="22"/>
          <w:szCs w:val="22"/>
        </w:rPr>
        <w:t xml:space="preserve">5.2. </w:t>
      </w:r>
      <w:r w:rsidR="00480FB1" w:rsidRPr="00372AF6">
        <w:rPr>
          <w:b/>
          <w:bCs/>
          <w:sz w:val="22"/>
          <w:szCs w:val="22"/>
        </w:rPr>
        <w:tab/>
      </w:r>
      <w:r w:rsidRPr="00372AF6">
        <w:rPr>
          <w:b/>
          <w:bCs/>
          <w:sz w:val="22"/>
          <w:szCs w:val="22"/>
        </w:rPr>
        <w:t>Farmakokinetički podaci</w:t>
      </w:r>
      <w:r w:rsidR="003A7059" w:rsidRPr="00372AF6">
        <w:rPr>
          <w:b/>
          <w:bCs/>
          <w:sz w:val="22"/>
          <w:szCs w:val="22"/>
        </w:rPr>
        <w:t xml:space="preserve"> </w:t>
      </w:r>
    </w:p>
    <w:p w14:paraId="02E378C4" w14:textId="77777777" w:rsidR="0072020E" w:rsidRPr="00372AF6" w:rsidRDefault="0072020E" w:rsidP="00817E31">
      <w:pPr>
        <w:tabs>
          <w:tab w:val="left" w:pos="540"/>
          <w:tab w:val="left" w:pos="569"/>
        </w:tabs>
        <w:jc w:val="both"/>
        <w:rPr>
          <w:bCs/>
          <w:sz w:val="22"/>
          <w:szCs w:val="22"/>
        </w:rPr>
      </w:pPr>
    </w:p>
    <w:p w14:paraId="1D6CECE6" w14:textId="77777777" w:rsidR="009F5C16" w:rsidRPr="00372AF6" w:rsidRDefault="009F5C16">
      <w:pPr>
        <w:tabs>
          <w:tab w:val="left" w:pos="284"/>
        </w:tabs>
        <w:autoSpaceDE w:val="0"/>
        <w:autoSpaceDN w:val="0"/>
        <w:adjustRightInd w:val="0"/>
        <w:jc w:val="both"/>
        <w:rPr>
          <w:rFonts w:eastAsia="TimesNewRoman"/>
          <w:sz w:val="22"/>
          <w:szCs w:val="22"/>
          <w:lang w:val="sr-Latn-ME"/>
        </w:rPr>
      </w:pPr>
      <w:r w:rsidRPr="00372AF6">
        <w:rPr>
          <w:rFonts w:eastAsia="TimesNewRoman"/>
          <w:sz w:val="22"/>
          <w:szCs w:val="22"/>
          <w:lang w:val="sr-Latn-ME"/>
        </w:rPr>
        <w:t>Poslije oralne primjene 120 mg ekstrakta ginka u obliku rastvora, prosječna apsolutna bioraspoloživost kod ljudi iznosi 80 % za terpenske laktone ginkgolid A, 88 % za ginkgolid B i 79 % za bilobalid. Maksimalne koncentracije terpenskih laktona u plazmi nakon primjene tableta su bile u rasponu 16-22 ng/ml za ginkgolid A, 8-10 ng/ml za ginkgolid B i 27-54 ng/ml za bilobalid. Poluvrijeme eliminacije je bilo 3-4 sata za ginkgolid A, 4-6 sati za ginkgolid B i 2-3 sata za bilobalid.</w:t>
      </w:r>
    </w:p>
    <w:p w14:paraId="76C8F736" w14:textId="77777777" w:rsidR="009F5C16" w:rsidRPr="00372AF6" w:rsidRDefault="009F5C16">
      <w:pPr>
        <w:tabs>
          <w:tab w:val="left" w:pos="284"/>
        </w:tabs>
        <w:autoSpaceDE w:val="0"/>
        <w:autoSpaceDN w:val="0"/>
        <w:adjustRightInd w:val="0"/>
        <w:jc w:val="both"/>
        <w:rPr>
          <w:rFonts w:eastAsia="TimesNewRoman"/>
          <w:sz w:val="22"/>
          <w:szCs w:val="22"/>
          <w:lang w:val="sr-Latn-ME"/>
        </w:rPr>
      </w:pPr>
    </w:p>
    <w:p w14:paraId="16C0D3A6" w14:textId="77777777" w:rsidR="009F5C16" w:rsidRPr="00372AF6" w:rsidRDefault="009F5C16">
      <w:pPr>
        <w:tabs>
          <w:tab w:val="left" w:pos="284"/>
        </w:tabs>
        <w:autoSpaceDE w:val="0"/>
        <w:autoSpaceDN w:val="0"/>
        <w:adjustRightInd w:val="0"/>
        <w:jc w:val="both"/>
        <w:rPr>
          <w:rFonts w:eastAsia="TimesNewRoman"/>
          <w:sz w:val="22"/>
          <w:szCs w:val="22"/>
          <w:lang w:val="sr-Latn-ME"/>
        </w:rPr>
      </w:pPr>
      <w:r w:rsidRPr="00372AF6">
        <w:rPr>
          <w:rFonts w:eastAsia="TimesNewRoman"/>
          <w:sz w:val="22"/>
          <w:szCs w:val="22"/>
          <w:lang w:val="sr-Latn-ME"/>
        </w:rPr>
        <w:t>Maksimalne koncentracije u plazmi nakon primjene 120 mg ekstrakta ginka u obliku rastvora su bile u rasponu 25-33 ng/ml za ginkgolid A, 9-17 ng/ml za ginkgolid B i 19-35 ng/ml za bilobalid. Poluvrijeme eliminacije je bilo 5 sati za ginkgolid A, 9-11 sati za ginkgolid B i 3-4 sata za bilobalid.</w:t>
      </w:r>
    </w:p>
    <w:p w14:paraId="46922537" w14:textId="77777777" w:rsidR="009F5C16" w:rsidRPr="00372AF6" w:rsidRDefault="009F5C16" w:rsidP="00817E31">
      <w:pPr>
        <w:tabs>
          <w:tab w:val="left" w:pos="540"/>
          <w:tab w:val="left" w:pos="569"/>
        </w:tabs>
        <w:jc w:val="both"/>
        <w:rPr>
          <w:bCs/>
          <w:sz w:val="22"/>
          <w:szCs w:val="22"/>
        </w:rPr>
      </w:pPr>
    </w:p>
    <w:p w14:paraId="6B9C9C24" w14:textId="77777777" w:rsidR="0072020E" w:rsidRPr="00372AF6" w:rsidRDefault="0072020E" w:rsidP="00817E31">
      <w:pPr>
        <w:tabs>
          <w:tab w:val="left" w:pos="540"/>
          <w:tab w:val="left" w:pos="569"/>
        </w:tabs>
        <w:jc w:val="both"/>
        <w:rPr>
          <w:b/>
          <w:bCs/>
          <w:sz w:val="22"/>
          <w:szCs w:val="22"/>
        </w:rPr>
      </w:pPr>
      <w:r w:rsidRPr="00372AF6">
        <w:rPr>
          <w:b/>
          <w:bCs/>
          <w:sz w:val="22"/>
          <w:szCs w:val="22"/>
        </w:rPr>
        <w:t xml:space="preserve">5.3. </w:t>
      </w:r>
      <w:r w:rsidR="00480FB1" w:rsidRPr="00372AF6">
        <w:rPr>
          <w:b/>
          <w:bCs/>
          <w:sz w:val="22"/>
          <w:szCs w:val="22"/>
        </w:rPr>
        <w:tab/>
      </w:r>
      <w:r w:rsidRPr="00372AF6">
        <w:rPr>
          <w:b/>
          <w:bCs/>
          <w:sz w:val="22"/>
          <w:szCs w:val="22"/>
        </w:rPr>
        <w:t xml:space="preserve">Pretklinički podaci o bezbjednosti </w:t>
      </w:r>
    </w:p>
    <w:p w14:paraId="721EFFF9" w14:textId="77777777" w:rsidR="00836B35" w:rsidRPr="00372AF6" w:rsidRDefault="00836B35" w:rsidP="00817E31">
      <w:pPr>
        <w:tabs>
          <w:tab w:val="left" w:pos="540"/>
          <w:tab w:val="left" w:pos="569"/>
        </w:tabs>
        <w:jc w:val="both"/>
        <w:rPr>
          <w:bCs/>
          <w:sz w:val="22"/>
          <w:szCs w:val="22"/>
        </w:rPr>
      </w:pPr>
    </w:p>
    <w:p w14:paraId="793F8307" w14:textId="77777777" w:rsidR="009F5C16" w:rsidRPr="00372AF6" w:rsidRDefault="009F5C16">
      <w:pPr>
        <w:tabs>
          <w:tab w:val="left" w:pos="284"/>
        </w:tabs>
        <w:autoSpaceDE w:val="0"/>
        <w:autoSpaceDN w:val="0"/>
        <w:adjustRightInd w:val="0"/>
        <w:jc w:val="both"/>
        <w:rPr>
          <w:rFonts w:eastAsia="TimesNewRoman"/>
          <w:i/>
          <w:iCs/>
          <w:sz w:val="22"/>
          <w:szCs w:val="22"/>
          <w:lang w:val="sr-Latn-ME"/>
        </w:rPr>
      </w:pPr>
      <w:r w:rsidRPr="00372AF6">
        <w:rPr>
          <w:rFonts w:eastAsia="TimesNewRoman"/>
          <w:i/>
          <w:iCs/>
          <w:sz w:val="22"/>
          <w:szCs w:val="22"/>
          <w:lang w:val="sr-Latn-ME"/>
        </w:rPr>
        <w:t>Hronična toksičnost</w:t>
      </w:r>
    </w:p>
    <w:p w14:paraId="14928B52" w14:textId="77777777" w:rsidR="009F5C16" w:rsidRPr="00372AF6" w:rsidRDefault="009F5C16">
      <w:pPr>
        <w:tabs>
          <w:tab w:val="left" w:pos="284"/>
        </w:tabs>
        <w:autoSpaceDE w:val="0"/>
        <w:autoSpaceDN w:val="0"/>
        <w:adjustRightInd w:val="0"/>
        <w:jc w:val="both"/>
        <w:rPr>
          <w:rFonts w:eastAsia="TimesNewRoman"/>
          <w:sz w:val="22"/>
          <w:szCs w:val="22"/>
          <w:lang w:val="sr-Latn-ME"/>
        </w:rPr>
      </w:pPr>
      <w:r w:rsidRPr="00372AF6">
        <w:rPr>
          <w:rFonts w:eastAsia="TimesNewRoman"/>
          <w:sz w:val="22"/>
          <w:szCs w:val="22"/>
          <w:lang w:val="sr-Latn-ME"/>
        </w:rPr>
        <w:t>Hronična toksičnost je testirana u toku 6 mjeseci na pacovima i psima sa dnevnim oralnim dozama od 20 i 100 mg/kg tjelesne mase (što odgovara faktoru bezbjednosti do 3,3 za pacove i 11,6 za pse), kao i sa rastućim dozama od 300, 400 i 500 mg/kg tjelesne mase (pacov), odnosno 300 i 400 mg/kg tjelesne mase (pas), (što odgovara faktoru bezbjednosti do 16,8 za pacove i 46,3 za pse). Dobijeni rezultati ukazuju na nisku toksičnost samo za pse u grupi sa najvećim dozama.</w:t>
      </w:r>
    </w:p>
    <w:p w14:paraId="54F7924B" w14:textId="77777777" w:rsidR="009F5C16" w:rsidRPr="00372AF6" w:rsidRDefault="009F5C16">
      <w:pPr>
        <w:tabs>
          <w:tab w:val="left" w:pos="284"/>
        </w:tabs>
        <w:autoSpaceDE w:val="0"/>
        <w:autoSpaceDN w:val="0"/>
        <w:adjustRightInd w:val="0"/>
        <w:jc w:val="both"/>
        <w:rPr>
          <w:rFonts w:eastAsia="TimesNewRoman"/>
          <w:sz w:val="22"/>
          <w:szCs w:val="22"/>
          <w:lang w:val="sr-Latn-ME"/>
        </w:rPr>
      </w:pPr>
    </w:p>
    <w:p w14:paraId="38B4285B" w14:textId="77777777" w:rsidR="009F5C16" w:rsidRPr="00372AF6" w:rsidRDefault="009F5C16">
      <w:pPr>
        <w:tabs>
          <w:tab w:val="left" w:pos="284"/>
        </w:tabs>
        <w:autoSpaceDE w:val="0"/>
        <w:autoSpaceDN w:val="0"/>
        <w:adjustRightInd w:val="0"/>
        <w:jc w:val="both"/>
        <w:rPr>
          <w:rFonts w:eastAsia="TimesNewRoman"/>
          <w:i/>
          <w:iCs/>
          <w:sz w:val="22"/>
          <w:szCs w:val="22"/>
          <w:lang w:val="sr-Latn-ME"/>
        </w:rPr>
      </w:pPr>
      <w:r w:rsidRPr="00372AF6">
        <w:rPr>
          <w:rFonts w:eastAsia="TimesNewRoman"/>
          <w:i/>
          <w:iCs/>
          <w:sz w:val="22"/>
          <w:szCs w:val="22"/>
          <w:lang w:val="sr-Latn-ME"/>
        </w:rPr>
        <w:t>Reproduktivna toksičnost</w:t>
      </w:r>
    </w:p>
    <w:p w14:paraId="727CEE1E" w14:textId="77777777" w:rsidR="009F5C16" w:rsidRPr="00372AF6" w:rsidRDefault="009F5C16">
      <w:pPr>
        <w:tabs>
          <w:tab w:val="left" w:pos="284"/>
        </w:tabs>
        <w:autoSpaceDE w:val="0"/>
        <w:autoSpaceDN w:val="0"/>
        <w:adjustRightInd w:val="0"/>
        <w:jc w:val="both"/>
        <w:rPr>
          <w:rFonts w:eastAsia="TimesNewRoman"/>
          <w:sz w:val="22"/>
          <w:szCs w:val="22"/>
          <w:lang w:val="sr-Latn-ME"/>
        </w:rPr>
      </w:pPr>
      <w:r w:rsidRPr="00372AF6">
        <w:rPr>
          <w:rFonts w:eastAsia="TimesNewRoman"/>
          <w:sz w:val="22"/>
          <w:szCs w:val="22"/>
          <w:lang w:val="sr-Latn-ME"/>
        </w:rPr>
        <w:t>Postoje ograničene informacije o reproduktivnoj toksičnosti ljekova koji sadrže ekstrakt lista ginka. Publikovani podaci su kontradiktorni. Dok starije studije na pacovima i kunićima i novije studije na miševima ne ukazuju na teratogene, embriotoksične ili efekte koji oštećuju reprodukciju, druge studije na miševima ukazuju na efekte na reproduktivne parametre, kao što su fertilitet i reproduktivne performanse i izazivanje vaginalnog krvarenja.</w:t>
      </w:r>
    </w:p>
    <w:p w14:paraId="3DC7E48B" w14:textId="2EC0A289" w:rsidR="009F5C16" w:rsidRPr="00372AF6" w:rsidRDefault="009F5C16">
      <w:pPr>
        <w:tabs>
          <w:tab w:val="left" w:pos="284"/>
        </w:tabs>
        <w:autoSpaceDE w:val="0"/>
        <w:autoSpaceDN w:val="0"/>
        <w:adjustRightInd w:val="0"/>
        <w:jc w:val="both"/>
        <w:rPr>
          <w:rFonts w:eastAsia="TimesNewRoman"/>
          <w:sz w:val="22"/>
          <w:szCs w:val="22"/>
          <w:lang w:val="sr-Latn-ME"/>
        </w:rPr>
      </w:pPr>
      <w:r w:rsidRPr="00372AF6">
        <w:rPr>
          <w:rFonts w:eastAsia="TimesNewRoman"/>
          <w:sz w:val="22"/>
          <w:szCs w:val="22"/>
          <w:lang w:val="sr-Latn-ME"/>
        </w:rPr>
        <w:t>Ispitivanja sa nespecifičnim ili malo izmijenjenim ekstraktima ginka uka</w:t>
      </w:r>
      <w:r w:rsidR="00467CE7">
        <w:rPr>
          <w:rFonts w:eastAsia="TimesNewRoman"/>
          <w:sz w:val="22"/>
          <w:szCs w:val="22"/>
          <w:lang w:val="sr-Latn-ME"/>
        </w:rPr>
        <w:t>z</w:t>
      </w:r>
      <w:r w:rsidRPr="00372AF6">
        <w:rPr>
          <w:rFonts w:eastAsia="TimesNewRoman"/>
          <w:sz w:val="22"/>
          <w:szCs w:val="22"/>
          <w:lang w:val="sr-Latn-ME"/>
        </w:rPr>
        <w:t>uju na efekte na fetalni razvoj (sa ili bez toksičnosti po ženku) ili izazivaju subkutano krvarenje, hipopigmentaciju, inhibiciju rasta i anoftalmiju kod pilećeg embriona.</w:t>
      </w:r>
    </w:p>
    <w:p w14:paraId="389774D9" w14:textId="77777777" w:rsidR="009F5C16" w:rsidRPr="00372AF6" w:rsidRDefault="009F5C16">
      <w:pPr>
        <w:tabs>
          <w:tab w:val="left" w:pos="284"/>
        </w:tabs>
        <w:autoSpaceDE w:val="0"/>
        <w:autoSpaceDN w:val="0"/>
        <w:adjustRightInd w:val="0"/>
        <w:jc w:val="both"/>
        <w:rPr>
          <w:rFonts w:eastAsia="TimesNewRoman"/>
          <w:sz w:val="22"/>
          <w:szCs w:val="22"/>
          <w:lang w:val="sr-Latn-ME"/>
        </w:rPr>
      </w:pPr>
      <w:r w:rsidRPr="00372AF6">
        <w:rPr>
          <w:rFonts w:eastAsia="TimesNewRoman"/>
          <w:sz w:val="22"/>
          <w:szCs w:val="22"/>
          <w:lang w:val="sr-Latn-ME"/>
        </w:rPr>
        <w:t>Ne postoje adekvatne studije reproduktivne toksičnosti.</w:t>
      </w:r>
    </w:p>
    <w:p w14:paraId="02AAEC15" w14:textId="77777777" w:rsidR="009F5C16" w:rsidRPr="00372AF6" w:rsidRDefault="009F5C16">
      <w:pPr>
        <w:tabs>
          <w:tab w:val="left" w:pos="284"/>
        </w:tabs>
        <w:autoSpaceDE w:val="0"/>
        <w:autoSpaceDN w:val="0"/>
        <w:adjustRightInd w:val="0"/>
        <w:jc w:val="both"/>
        <w:rPr>
          <w:rFonts w:eastAsia="TimesNewRoman"/>
          <w:i/>
          <w:iCs/>
          <w:sz w:val="22"/>
          <w:szCs w:val="22"/>
          <w:lang w:val="sr-Latn-ME"/>
        </w:rPr>
      </w:pPr>
      <w:r w:rsidRPr="00372AF6">
        <w:rPr>
          <w:rFonts w:eastAsia="TimesNewRoman"/>
          <w:i/>
          <w:iCs/>
          <w:sz w:val="22"/>
          <w:szCs w:val="22"/>
          <w:lang w:val="sr-Latn-ME"/>
        </w:rPr>
        <w:lastRenderedPageBreak/>
        <w:t>Mutagenost, kancerogenost:</w:t>
      </w:r>
    </w:p>
    <w:p w14:paraId="722F92C7" w14:textId="77777777" w:rsidR="009F5C16" w:rsidRPr="00372AF6" w:rsidRDefault="009F5C16">
      <w:pPr>
        <w:tabs>
          <w:tab w:val="left" w:pos="284"/>
        </w:tabs>
        <w:autoSpaceDE w:val="0"/>
        <w:autoSpaceDN w:val="0"/>
        <w:adjustRightInd w:val="0"/>
        <w:jc w:val="both"/>
        <w:rPr>
          <w:rFonts w:eastAsia="TimesNewRoman"/>
          <w:sz w:val="22"/>
          <w:szCs w:val="22"/>
          <w:lang w:val="sr-Latn-ME"/>
        </w:rPr>
      </w:pPr>
      <w:r w:rsidRPr="00372AF6">
        <w:rPr>
          <w:rFonts w:eastAsia="TimesNewRoman"/>
          <w:sz w:val="22"/>
          <w:szCs w:val="22"/>
          <w:lang w:val="sr-Latn-ME"/>
        </w:rPr>
        <w:t>Nijesu dostupne studije genotoksičnosti i kancerogenosti za ljekove koji sadrže ekstrakt lista ginka.</w:t>
      </w:r>
    </w:p>
    <w:p w14:paraId="261EE27E" w14:textId="77777777" w:rsidR="009F5C16" w:rsidRPr="00372AF6" w:rsidRDefault="009F5C16">
      <w:pPr>
        <w:tabs>
          <w:tab w:val="left" w:pos="284"/>
        </w:tabs>
        <w:autoSpaceDE w:val="0"/>
        <w:autoSpaceDN w:val="0"/>
        <w:adjustRightInd w:val="0"/>
        <w:jc w:val="both"/>
        <w:rPr>
          <w:rFonts w:eastAsia="TimesNewRoman"/>
          <w:sz w:val="22"/>
          <w:szCs w:val="22"/>
          <w:lang w:val="sr-Latn-ME"/>
        </w:rPr>
      </w:pPr>
      <w:r w:rsidRPr="00372AF6">
        <w:rPr>
          <w:rFonts w:eastAsia="TimesNewRoman"/>
          <w:sz w:val="22"/>
          <w:szCs w:val="22"/>
          <w:lang w:val="sr-Latn-ME"/>
        </w:rPr>
        <w:t xml:space="preserve">Sprovedene su studije genotoksičnosti i kancerogenosti za ekstrakt sličan predmetnom, koji je bio pozitivan na mutaciju gena kod bakterija. Mikronukleosni testovi na perifernim eritrocitima miševa ukazuju na negativan rezultat kod mužjaka i nejasne zaključke kod ženki. </w:t>
      </w:r>
    </w:p>
    <w:p w14:paraId="061351CF" w14:textId="09E3D278" w:rsidR="009F5C16" w:rsidRPr="00372AF6" w:rsidRDefault="009F5C16">
      <w:pPr>
        <w:tabs>
          <w:tab w:val="left" w:pos="540"/>
          <w:tab w:val="left" w:pos="569"/>
        </w:tabs>
        <w:jc w:val="both"/>
        <w:rPr>
          <w:bCs/>
          <w:sz w:val="22"/>
          <w:szCs w:val="22"/>
        </w:rPr>
      </w:pPr>
      <w:r w:rsidRPr="00372AF6">
        <w:rPr>
          <w:rFonts w:eastAsia="TimesNewRoman"/>
          <w:sz w:val="22"/>
          <w:szCs w:val="22"/>
          <w:lang w:val="sr-Latn-ME"/>
        </w:rPr>
        <w:t>Tumori tireoidne žlijezde uočeni u studiji kancerogenosti kod pacova i hepatocelularni karcinomi uočeni u studiji kancerogenosti kod miševa su razmatrani kao specifični za glodare, bez genotoksičnih odgovora povezanih (nakon dugotrajne primjene) sa visokim dozama induktora hepatičkih enzima. Smatra se da ovi tumori nijesu značajni za ljude. Ektrakt ne dovodi do mjerljivih genotoksičnih efekata kod miševa u dozama do 2000 mg/kg.</w:t>
      </w:r>
    </w:p>
    <w:p w14:paraId="2A4EDDC8" w14:textId="0FC299BF" w:rsidR="00396DFD" w:rsidRDefault="00396DFD" w:rsidP="00480FB1">
      <w:pPr>
        <w:tabs>
          <w:tab w:val="left" w:pos="540"/>
          <w:tab w:val="left" w:pos="569"/>
        </w:tabs>
        <w:rPr>
          <w:b/>
          <w:bCs/>
          <w:sz w:val="22"/>
          <w:szCs w:val="22"/>
        </w:rPr>
      </w:pPr>
    </w:p>
    <w:p w14:paraId="3790DF65" w14:textId="77777777" w:rsidR="00DB318B" w:rsidRPr="00786071" w:rsidRDefault="00DB318B" w:rsidP="00480FB1">
      <w:pPr>
        <w:tabs>
          <w:tab w:val="left" w:pos="540"/>
          <w:tab w:val="left" w:pos="569"/>
        </w:tabs>
        <w:rPr>
          <w:b/>
          <w:bCs/>
          <w:sz w:val="22"/>
          <w:szCs w:val="22"/>
        </w:rPr>
      </w:pPr>
    </w:p>
    <w:p w14:paraId="2E9F11E8" w14:textId="77777777" w:rsidR="0072020E" w:rsidRPr="00786071" w:rsidRDefault="0072020E" w:rsidP="00480FB1">
      <w:pPr>
        <w:tabs>
          <w:tab w:val="left" w:pos="540"/>
          <w:tab w:val="left" w:pos="569"/>
        </w:tabs>
        <w:rPr>
          <w:b/>
          <w:bCs/>
          <w:sz w:val="22"/>
          <w:szCs w:val="22"/>
        </w:rPr>
      </w:pPr>
      <w:r w:rsidRPr="00786071">
        <w:rPr>
          <w:b/>
          <w:bCs/>
          <w:sz w:val="22"/>
          <w:szCs w:val="22"/>
        </w:rPr>
        <w:t xml:space="preserve">6. </w:t>
      </w:r>
      <w:r w:rsidR="00480FB1" w:rsidRPr="00786071">
        <w:rPr>
          <w:b/>
          <w:bCs/>
          <w:sz w:val="22"/>
          <w:szCs w:val="22"/>
        </w:rPr>
        <w:tab/>
      </w:r>
      <w:r w:rsidRPr="00786071">
        <w:rPr>
          <w:b/>
          <w:bCs/>
          <w:sz w:val="22"/>
          <w:szCs w:val="22"/>
        </w:rPr>
        <w:t>FARMACEUTSKI PODACI</w:t>
      </w:r>
    </w:p>
    <w:p w14:paraId="277EB95D" w14:textId="77777777" w:rsidR="00836B35" w:rsidRPr="00786071" w:rsidRDefault="00836B35" w:rsidP="00480FB1">
      <w:pPr>
        <w:tabs>
          <w:tab w:val="left" w:pos="540"/>
          <w:tab w:val="left" w:pos="569"/>
        </w:tabs>
        <w:rPr>
          <w:bCs/>
          <w:sz w:val="22"/>
          <w:szCs w:val="22"/>
        </w:rPr>
      </w:pPr>
    </w:p>
    <w:p w14:paraId="4399F495" w14:textId="77777777" w:rsidR="0072020E" w:rsidRDefault="0072020E" w:rsidP="00480FB1">
      <w:pPr>
        <w:tabs>
          <w:tab w:val="left" w:pos="540"/>
          <w:tab w:val="left" w:pos="569"/>
        </w:tabs>
        <w:rPr>
          <w:b/>
          <w:bCs/>
          <w:sz w:val="22"/>
          <w:szCs w:val="22"/>
        </w:rPr>
      </w:pPr>
      <w:r w:rsidRPr="00786071">
        <w:rPr>
          <w:b/>
          <w:bCs/>
          <w:sz w:val="22"/>
          <w:szCs w:val="22"/>
        </w:rPr>
        <w:t xml:space="preserve">6.1. </w:t>
      </w:r>
      <w:r w:rsidR="00480FB1" w:rsidRPr="00786071">
        <w:rPr>
          <w:b/>
          <w:bCs/>
          <w:sz w:val="22"/>
          <w:szCs w:val="22"/>
        </w:rPr>
        <w:tab/>
      </w:r>
      <w:r w:rsidRPr="00786071">
        <w:rPr>
          <w:b/>
          <w:bCs/>
          <w:sz w:val="22"/>
          <w:szCs w:val="22"/>
        </w:rPr>
        <w:t>Lista pomoćnih supstanci</w:t>
      </w:r>
      <w:r w:rsidR="002E0135" w:rsidRPr="00786071">
        <w:rPr>
          <w:b/>
          <w:bCs/>
          <w:sz w:val="22"/>
          <w:szCs w:val="22"/>
        </w:rPr>
        <w:t xml:space="preserve"> (ekscipijenasa)</w:t>
      </w:r>
    </w:p>
    <w:p w14:paraId="0619266E" w14:textId="77777777" w:rsidR="00245903" w:rsidRPr="00786071" w:rsidRDefault="00245903" w:rsidP="00480FB1">
      <w:pPr>
        <w:tabs>
          <w:tab w:val="left" w:pos="540"/>
          <w:tab w:val="left" w:pos="569"/>
        </w:tabs>
        <w:rPr>
          <w:b/>
          <w:bCs/>
          <w:sz w:val="22"/>
          <w:szCs w:val="22"/>
        </w:rPr>
      </w:pPr>
    </w:p>
    <w:p w14:paraId="376C98D6" w14:textId="77777777" w:rsidR="009F5C16" w:rsidRPr="00E43026" w:rsidRDefault="009F5C16" w:rsidP="00245903">
      <w:pPr>
        <w:tabs>
          <w:tab w:val="left" w:pos="284"/>
          <w:tab w:val="center" w:pos="4536"/>
          <w:tab w:val="right" w:pos="9072"/>
        </w:tabs>
        <w:spacing w:before="80" w:after="80"/>
        <w:jc w:val="both"/>
        <w:rPr>
          <w:bCs/>
          <w:i/>
          <w:iCs/>
          <w:sz w:val="22"/>
          <w:szCs w:val="22"/>
          <w:lang w:val="sr-Latn-ME"/>
        </w:rPr>
      </w:pPr>
      <w:r w:rsidRPr="00E43026">
        <w:rPr>
          <w:bCs/>
          <w:i/>
          <w:iCs/>
          <w:sz w:val="22"/>
          <w:szCs w:val="22"/>
          <w:lang w:val="sr-Latn-ME"/>
        </w:rPr>
        <w:t>Sastav jezgra:</w:t>
      </w:r>
    </w:p>
    <w:p w14:paraId="3B08FCE0" w14:textId="77777777" w:rsidR="009F5C16" w:rsidRPr="009F5C16" w:rsidRDefault="009F5C16" w:rsidP="00245903">
      <w:pPr>
        <w:tabs>
          <w:tab w:val="left" w:pos="284"/>
          <w:tab w:val="center" w:pos="4536"/>
          <w:tab w:val="right" w:pos="9072"/>
        </w:tabs>
        <w:spacing w:before="80" w:after="80"/>
        <w:jc w:val="both"/>
        <w:rPr>
          <w:bCs/>
          <w:sz w:val="22"/>
          <w:szCs w:val="22"/>
          <w:lang w:val="sr-Latn-ME"/>
        </w:rPr>
      </w:pPr>
      <w:r w:rsidRPr="009F5C16">
        <w:rPr>
          <w:bCs/>
          <w:sz w:val="22"/>
          <w:szCs w:val="22"/>
          <w:lang w:val="sr-Latn-ME"/>
        </w:rPr>
        <w:t xml:space="preserve">celuloza, mikrokristalna, </w:t>
      </w:r>
    </w:p>
    <w:p w14:paraId="0B41AAD6" w14:textId="08BAE9CE" w:rsidR="009F5C16" w:rsidRPr="009F5C16" w:rsidRDefault="00217E3D" w:rsidP="00245903">
      <w:pPr>
        <w:tabs>
          <w:tab w:val="left" w:pos="284"/>
          <w:tab w:val="center" w:pos="4536"/>
          <w:tab w:val="right" w:pos="9072"/>
        </w:tabs>
        <w:spacing w:before="80" w:after="80"/>
        <w:jc w:val="both"/>
        <w:rPr>
          <w:bCs/>
          <w:sz w:val="22"/>
          <w:szCs w:val="22"/>
          <w:lang w:val="sr-Latn-ME"/>
        </w:rPr>
      </w:pPr>
      <w:r>
        <w:rPr>
          <w:bCs/>
          <w:sz w:val="22"/>
          <w:szCs w:val="22"/>
          <w:lang w:val="sr-Latn-ME"/>
        </w:rPr>
        <w:t>kroskarmeloza natrijum,</w:t>
      </w:r>
    </w:p>
    <w:p w14:paraId="71438125" w14:textId="77777777" w:rsidR="009F5C16" w:rsidRPr="009F5C16" w:rsidRDefault="009F5C16" w:rsidP="00245903">
      <w:pPr>
        <w:tabs>
          <w:tab w:val="left" w:pos="284"/>
          <w:tab w:val="center" w:pos="4536"/>
          <w:tab w:val="right" w:pos="9072"/>
        </w:tabs>
        <w:spacing w:before="80" w:after="80"/>
        <w:jc w:val="both"/>
        <w:rPr>
          <w:bCs/>
          <w:sz w:val="22"/>
          <w:szCs w:val="22"/>
          <w:lang w:val="sr-Latn-ME"/>
        </w:rPr>
      </w:pPr>
      <w:r w:rsidRPr="009F5C16">
        <w:rPr>
          <w:bCs/>
          <w:sz w:val="22"/>
          <w:szCs w:val="22"/>
          <w:lang w:val="sr-Latn-ME"/>
        </w:rPr>
        <w:t>magnezijum stearat.</w:t>
      </w:r>
    </w:p>
    <w:p w14:paraId="45BE6B7E" w14:textId="77777777" w:rsidR="009F5C16" w:rsidRPr="009F5C16" w:rsidRDefault="009F5C16" w:rsidP="00245903">
      <w:pPr>
        <w:tabs>
          <w:tab w:val="left" w:pos="284"/>
          <w:tab w:val="center" w:pos="4536"/>
          <w:tab w:val="right" w:pos="9072"/>
        </w:tabs>
        <w:spacing w:before="80" w:after="80"/>
        <w:jc w:val="both"/>
        <w:rPr>
          <w:bCs/>
          <w:sz w:val="22"/>
          <w:szCs w:val="22"/>
          <w:lang w:val="sr-Latn-ME"/>
        </w:rPr>
      </w:pPr>
    </w:p>
    <w:p w14:paraId="352E8EC6" w14:textId="77777777" w:rsidR="009F5C16" w:rsidRPr="00E43026" w:rsidRDefault="009F5C16" w:rsidP="00245903">
      <w:pPr>
        <w:tabs>
          <w:tab w:val="left" w:pos="284"/>
          <w:tab w:val="center" w:pos="4536"/>
          <w:tab w:val="right" w:pos="9072"/>
        </w:tabs>
        <w:spacing w:before="80" w:after="80"/>
        <w:jc w:val="both"/>
        <w:rPr>
          <w:bCs/>
          <w:i/>
          <w:iCs/>
          <w:sz w:val="22"/>
          <w:szCs w:val="22"/>
          <w:lang w:val="sr-Latn-ME"/>
        </w:rPr>
      </w:pPr>
      <w:r w:rsidRPr="00E43026">
        <w:rPr>
          <w:bCs/>
          <w:i/>
          <w:iCs/>
          <w:sz w:val="22"/>
          <w:szCs w:val="22"/>
          <w:lang w:val="sr-Latn-ME"/>
        </w:rPr>
        <w:t>Sastav omotača:</w:t>
      </w:r>
    </w:p>
    <w:p w14:paraId="56281F24" w14:textId="3E7F0D8B" w:rsidR="009F5C16" w:rsidRPr="009F5C16" w:rsidRDefault="00DB318B" w:rsidP="00245903">
      <w:pPr>
        <w:tabs>
          <w:tab w:val="left" w:pos="284"/>
          <w:tab w:val="center" w:pos="4536"/>
          <w:tab w:val="right" w:pos="9072"/>
        </w:tabs>
        <w:spacing w:before="80" w:after="80"/>
        <w:jc w:val="both"/>
        <w:rPr>
          <w:bCs/>
          <w:sz w:val="22"/>
          <w:szCs w:val="22"/>
          <w:lang w:val="sr-Latn-ME"/>
        </w:rPr>
      </w:pPr>
      <w:r>
        <w:rPr>
          <w:bCs/>
          <w:sz w:val="22"/>
          <w:szCs w:val="22"/>
          <w:lang w:val="sr-Latn-ME"/>
        </w:rPr>
        <w:t>h</w:t>
      </w:r>
      <w:r w:rsidR="009F5C16" w:rsidRPr="009F5C16">
        <w:rPr>
          <w:bCs/>
          <w:sz w:val="22"/>
          <w:szCs w:val="22"/>
          <w:lang w:val="sr-Latn-ME"/>
        </w:rPr>
        <w:t>ipromeloza</w:t>
      </w:r>
      <w:r>
        <w:rPr>
          <w:bCs/>
          <w:sz w:val="22"/>
          <w:szCs w:val="22"/>
          <w:lang w:val="sr-Latn-ME"/>
        </w:rPr>
        <w:t xml:space="preserve"> </w:t>
      </w:r>
      <w:r w:rsidRPr="00DB318B">
        <w:rPr>
          <w:bCs/>
          <w:sz w:val="22"/>
          <w:szCs w:val="22"/>
          <w:lang w:val="sr-Latn-ME"/>
        </w:rPr>
        <w:t>(E464)</w:t>
      </w:r>
      <w:r w:rsidR="009F5C16" w:rsidRPr="009F5C16">
        <w:rPr>
          <w:bCs/>
          <w:sz w:val="22"/>
          <w:szCs w:val="22"/>
          <w:lang w:val="sr-Latn-ME"/>
        </w:rPr>
        <w:t xml:space="preserve">, </w:t>
      </w:r>
    </w:p>
    <w:p w14:paraId="0B2E68A2" w14:textId="77777777" w:rsidR="009F5C16" w:rsidRPr="009F5C16" w:rsidRDefault="009F5C16" w:rsidP="00245903">
      <w:pPr>
        <w:tabs>
          <w:tab w:val="left" w:pos="284"/>
          <w:tab w:val="center" w:pos="4536"/>
          <w:tab w:val="right" w:pos="9072"/>
        </w:tabs>
        <w:spacing w:before="80" w:after="80"/>
        <w:jc w:val="both"/>
        <w:rPr>
          <w:bCs/>
          <w:sz w:val="22"/>
          <w:szCs w:val="22"/>
          <w:lang w:val="sr-Latn-ME"/>
        </w:rPr>
      </w:pPr>
      <w:r w:rsidRPr="009F5C16">
        <w:rPr>
          <w:bCs/>
          <w:sz w:val="22"/>
          <w:szCs w:val="22"/>
          <w:lang w:val="sr-Latn-ME"/>
        </w:rPr>
        <w:t xml:space="preserve">makrogol 6000, </w:t>
      </w:r>
    </w:p>
    <w:p w14:paraId="17A51923" w14:textId="77777777" w:rsidR="009F5C16" w:rsidRPr="009F5C16" w:rsidRDefault="009F5C16" w:rsidP="00245903">
      <w:pPr>
        <w:tabs>
          <w:tab w:val="left" w:pos="284"/>
          <w:tab w:val="center" w:pos="4536"/>
          <w:tab w:val="right" w:pos="9072"/>
        </w:tabs>
        <w:spacing w:before="80" w:after="80"/>
        <w:jc w:val="both"/>
        <w:rPr>
          <w:bCs/>
          <w:sz w:val="22"/>
          <w:szCs w:val="22"/>
          <w:lang w:val="sr-Latn-ME"/>
        </w:rPr>
      </w:pPr>
      <w:r w:rsidRPr="009F5C16">
        <w:rPr>
          <w:sz w:val="22"/>
          <w:szCs w:val="22"/>
          <w:lang w:val="sr-Latn-ME"/>
        </w:rPr>
        <w:t>gvožđe (III) oksid, crveni (E172).</w:t>
      </w:r>
    </w:p>
    <w:p w14:paraId="0448E321" w14:textId="77777777" w:rsidR="0072020E" w:rsidRPr="00786071" w:rsidRDefault="0072020E" w:rsidP="00480FB1">
      <w:pPr>
        <w:tabs>
          <w:tab w:val="left" w:pos="540"/>
          <w:tab w:val="left" w:pos="569"/>
        </w:tabs>
        <w:rPr>
          <w:bCs/>
          <w:sz w:val="22"/>
          <w:szCs w:val="22"/>
        </w:rPr>
      </w:pPr>
    </w:p>
    <w:p w14:paraId="7B3E2B26" w14:textId="77777777" w:rsidR="0072020E" w:rsidRPr="00786071" w:rsidRDefault="0072020E" w:rsidP="00480FB1">
      <w:pPr>
        <w:tabs>
          <w:tab w:val="left" w:pos="540"/>
          <w:tab w:val="left" w:pos="569"/>
        </w:tabs>
        <w:rPr>
          <w:b/>
          <w:bCs/>
          <w:sz w:val="22"/>
          <w:szCs w:val="22"/>
        </w:rPr>
      </w:pPr>
      <w:r w:rsidRPr="00786071">
        <w:rPr>
          <w:b/>
          <w:bCs/>
          <w:sz w:val="22"/>
          <w:szCs w:val="22"/>
        </w:rPr>
        <w:t xml:space="preserve">6.2. </w:t>
      </w:r>
      <w:r w:rsidR="00480FB1" w:rsidRPr="00786071">
        <w:rPr>
          <w:b/>
          <w:bCs/>
          <w:sz w:val="22"/>
          <w:szCs w:val="22"/>
        </w:rPr>
        <w:tab/>
      </w:r>
      <w:r w:rsidRPr="00786071">
        <w:rPr>
          <w:b/>
          <w:bCs/>
          <w:sz w:val="22"/>
          <w:szCs w:val="22"/>
        </w:rPr>
        <w:t>Inkompatibilnost</w:t>
      </w:r>
      <w:r w:rsidR="002846DB" w:rsidRPr="00786071">
        <w:rPr>
          <w:b/>
          <w:bCs/>
          <w:sz w:val="22"/>
          <w:szCs w:val="22"/>
        </w:rPr>
        <w:t>i</w:t>
      </w:r>
    </w:p>
    <w:p w14:paraId="1B0A398F" w14:textId="77777777" w:rsidR="0072020E" w:rsidRDefault="0072020E" w:rsidP="00480FB1">
      <w:pPr>
        <w:tabs>
          <w:tab w:val="left" w:pos="540"/>
          <w:tab w:val="left" w:pos="569"/>
        </w:tabs>
        <w:rPr>
          <w:bCs/>
          <w:sz w:val="22"/>
          <w:szCs w:val="22"/>
        </w:rPr>
      </w:pPr>
    </w:p>
    <w:p w14:paraId="498726E7" w14:textId="366D06D9" w:rsidR="009F5C16" w:rsidRPr="009F5C16" w:rsidRDefault="009F5C16" w:rsidP="00245903">
      <w:pPr>
        <w:tabs>
          <w:tab w:val="left" w:pos="284"/>
          <w:tab w:val="center" w:pos="4536"/>
          <w:tab w:val="right" w:pos="9072"/>
        </w:tabs>
        <w:jc w:val="both"/>
        <w:rPr>
          <w:sz w:val="22"/>
          <w:szCs w:val="22"/>
          <w:lang w:val="sr-Latn-ME"/>
        </w:rPr>
      </w:pPr>
      <w:r w:rsidRPr="009F5C16">
        <w:rPr>
          <w:sz w:val="22"/>
          <w:szCs w:val="22"/>
          <w:lang w:val="sr-Latn-ME"/>
        </w:rPr>
        <w:t>Ni</w:t>
      </w:r>
      <w:r w:rsidR="00CB458E">
        <w:rPr>
          <w:sz w:val="22"/>
          <w:szCs w:val="22"/>
          <w:lang w:val="sr-Latn-ME"/>
        </w:rPr>
        <w:t>je primjenjivo.</w:t>
      </w:r>
    </w:p>
    <w:p w14:paraId="7DE1461A" w14:textId="77777777" w:rsidR="009F5C16" w:rsidRPr="00786071" w:rsidRDefault="009F5C16" w:rsidP="00480FB1">
      <w:pPr>
        <w:tabs>
          <w:tab w:val="left" w:pos="540"/>
          <w:tab w:val="left" w:pos="569"/>
        </w:tabs>
        <w:rPr>
          <w:bCs/>
          <w:sz w:val="22"/>
          <w:szCs w:val="22"/>
        </w:rPr>
      </w:pPr>
    </w:p>
    <w:p w14:paraId="724ED406" w14:textId="77777777" w:rsidR="0072020E" w:rsidRPr="00786071" w:rsidRDefault="0072020E" w:rsidP="00480FB1">
      <w:pPr>
        <w:tabs>
          <w:tab w:val="left" w:pos="540"/>
          <w:tab w:val="left" w:pos="569"/>
        </w:tabs>
        <w:rPr>
          <w:b/>
          <w:bCs/>
          <w:sz w:val="22"/>
          <w:szCs w:val="22"/>
        </w:rPr>
      </w:pPr>
      <w:r w:rsidRPr="00786071">
        <w:rPr>
          <w:b/>
          <w:bCs/>
          <w:sz w:val="22"/>
          <w:szCs w:val="22"/>
        </w:rPr>
        <w:t>6.3.</w:t>
      </w:r>
      <w:r w:rsidR="00C05DF8">
        <w:rPr>
          <w:b/>
          <w:bCs/>
          <w:sz w:val="22"/>
          <w:szCs w:val="22"/>
        </w:rPr>
        <w:t xml:space="preserve"> </w:t>
      </w:r>
      <w:r w:rsidR="00480FB1" w:rsidRPr="00786071">
        <w:rPr>
          <w:b/>
          <w:bCs/>
          <w:sz w:val="22"/>
          <w:szCs w:val="22"/>
        </w:rPr>
        <w:tab/>
      </w:r>
      <w:r w:rsidRPr="00786071">
        <w:rPr>
          <w:b/>
          <w:bCs/>
          <w:sz w:val="22"/>
          <w:szCs w:val="22"/>
        </w:rPr>
        <w:t>Rok upotrebe</w:t>
      </w:r>
    </w:p>
    <w:p w14:paraId="78DFFFE3" w14:textId="77777777" w:rsidR="009F5C16" w:rsidRDefault="009F5C16" w:rsidP="009F5C16">
      <w:pPr>
        <w:tabs>
          <w:tab w:val="left" w:pos="284"/>
          <w:tab w:val="center" w:pos="4536"/>
          <w:tab w:val="right" w:pos="9072"/>
        </w:tabs>
        <w:rPr>
          <w:sz w:val="22"/>
          <w:szCs w:val="22"/>
          <w:lang w:val="sr-Latn-ME"/>
        </w:rPr>
      </w:pPr>
    </w:p>
    <w:p w14:paraId="66FEE09C" w14:textId="18470D90" w:rsidR="009F5C16" w:rsidRPr="009F5C16" w:rsidRDefault="009F5C16" w:rsidP="00245903">
      <w:pPr>
        <w:tabs>
          <w:tab w:val="left" w:pos="284"/>
          <w:tab w:val="center" w:pos="4536"/>
          <w:tab w:val="right" w:pos="9072"/>
        </w:tabs>
        <w:jc w:val="both"/>
        <w:rPr>
          <w:sz w:val="22"/>
          <w:szCs w:val="22"/>
          <w:lang w:val="sr-Latn-ME"/>
        </w:rPr>
      </w:pPr>
      <w:r w:rsidRPr="009F5C16">
        <w:rPr>
          <w:sz w:val="22"/>
          <w:szCs w:val="22"/>
          <w:lang w:val="sr-Latn-ME"/>
        </w:rPr>
        <w:t>3 godine.</w:t>
      </w:r>
    </w:p>
    <w:p w14:paraId="5528E968" w14:textId="77777777" w:rsidR="0072020E" w:rsidRPr="00786071" w:rsidRDefault="0072020E" w:rsidP="00480FB1">
      <w:pPr>
        <w:tabs>
          <w:tab w:val="left" w:pos="540"/>
          <w:tab w:val="left" w:pos="569"/>
        </w:tabs>
        <w:rPr>
          <w:bCs/>
          <w:sz w:val="22"/>
          <w:szCs w:val="22"/>
        </w:rPr>
      </w:pPr>
    </w:p>
    <w:p w14:paraId="1D8F251B" w14:textId="77777777" w:rsidR="0072020E" w:rsidRPr="00786071" w:rsidRDefault="0072020E" w:rsidP="00480FB1">
      <w:pPr>
        <w:tabs>
          <w:tab w:val="left" w:pos="540"/>
          <w:tab w:val="left" w:pos="569"/>
        </w:tabs>
        <w:rPr>
          <w:b/>
          <w:bCs/>
          <w:sz w:val="22"/>
          <w:szCs w:val="22"/>
        </w:rPr>
      </w:pPr>
      <w:r w:rsidRPr="00786071">
        <w:rPr>
          <w:b/>
          <w:bCs/>
          <w:sz w:val="22"/>
          <w:szCs w:val="22"/>
        </w:rPr>
        <w:t xml:space="preserve">6.4. </w:t>
      </w:r>
      <w:r w:rsidR="00480FB1" w:rsidRPr="00786071">
        <w:rPr>
          <w:b/>
          <w:bCs/>
          <w:sz w:val="22"/>
          <w:szCs w:val="22"/>
        </w:rPr>
        <w:tab/>
      </w:r>
      <w:r w:rsidRPr="00786071">
        <w:rPr>
          <w:b/>
          <w:bCs/>
          <w:sz w:val="22"/>
          <w:szCs w:val="22"/>
        </w:rPr>
        <w:t>Posebne mjere upozorenja pri čuvanju</w:t>
      </w:r>
      <w:r w:rsidR="00F8570A" w:rsidRPr="00786071">
        <w:rPr>
          <w:b/>
          <w:bCs/>
          <w:sz w:val="22"/>
          <w:szCs w:val="22"/>
        </w:rPr>
        <w:t xml:space="preserve"> lijeka</w:t>
      </w:r>
    </w:p>
    <w:p w14:paraId="178F4CFC" w14:textId="77777777" w:rsidR="00EC2532" w:rsidRDefault="00EC2532" w:rsidP="00480FB1">
      <w:pPr>
        <w:tabs>
          <w:tab w:val="left" w:pos="540"/>
          <w:tab w:val="left" w:pos="569"/>
        </w:tabs>
        <w:rPr>
          <w:bCs/>
          <w:sz w:val="22"/>
          <w:szCs w:val="22"/>
        </w:rPr>
      </w:pPr>
    </w:p>
    <w:p w14:paraId="6B6CF0B7" w14:textId="77777777" w:rsidR="009F5C16" w:rsidRPr="009F5C16" w:rsidRDefault="009F5C16" w:rsidP="009F5C16">
      <w:pPr>
        <w:tabs>
          <w:tab w:val="left" w:pos="284"/>
        </w:tabs>
        <w:jc w:val="both"/>
        <w:rPr>
          <w:sz w:val="22"/>
          <w:szCs w:val="22"/>
          <w:lang w:val="sr-Latn-ME"/>
        </w:rPr>
      </w:pPr>
      <w:r w:rsidRPr="009F5C16">
        <w:rPr>
          <w:sz w:val="22"/>
          <w:szCs w:val="22"/>
          <w:lang w:val="sr-Latn-ME"/>
        </w:rPr>
        <w:t xml:space="preserve">Lijek čuvati na temperaturi do 25˚C u originalnom pakovanju radi zaštite od svjetlosti i vlage. </w:t>
      </w:r>
    </w:p>
    <w:p w14:paraId="7BB356EF" w14:textId="77777777" w:rsidR="009F5C16" w:rsidRPr="00786071" w:rsidRDefault="009F5C16" w:rsidP="00480FB1">
      <w:pPr>
        <w:tabs>
          <w:tab w:val="left" w:pos="540"/>
          <w:tab w:val="left" w:pos="569"/>
        </w:tabs>
        <w:rPr>
          <w:bCs/>
          <w:sz w:val="22"/>
          <w:szCs w:val="22"/>
        </w:rPr>
      </w:pPr>
    </w:p>
    <w:p w14:paraId="6F8920A8" w14:textId="77777777" w:rsidR="0072020E" w:rsidRPr="00786071" w:rsidRDefault="0072020E" w:rsidP="00480FB1">
      <w:pPr>
        <w:tabs>
          <w:tab w:val="left" w:pos="540"/>
          <w:tab w:val="left" w:pos="569"/>
        </w:tabs>
        <w:rPr>
          <w:b/>
          <w:bCs/>
          <w:sz w:val="22"/>
          <w:szCs w:val="22"/>
        </w:rPr>
      </w:pPr>
      <w:r w:rsidRPr="00786071">
        <w:rPr>
          <w:b/>
          <w:bCs/>
          <w:sz w:val="22"/>
          <w:szCs w:val="22"/>
        </w:rPr>
        <w:t xml:space="preserve">6.5. </w:t>
      </w:r>
      <w:r w:rsidR="00480FB1" w:rsidRPr="00786071">
        <w:rPr>
          <w:b/>
          <w:bCs/>
          <w:sz w:val="22"/>
          <w:szCs w:val="22"/>
        </w:rPr>
        <w:tab/>
      </w:r>
      <w:r w:rsidR="002846DB" w:rsidRPr="00786071">
        <w:rPr>
          <w:b/>
          <w:bCs/>
          <w:sz w:val="22"/>
          <w:szCs w:val="22"/>
        </w:rPr>
        <w:t xml:space="preserve">Vrsta i sadržaj </w:t>
      </w:r>
      <w:r w:rsidR="00F8570A" w:rsidRPr="00786071">
        <w:rPr>
          <w:b/>
          <w:bCs/>
          <w:sz w:val="22"/>
          <w:szCs w:val="22"/>
        </w:rPr>
        <w:t>pakovanja</w:t>
      </w:r>
      <w:r w:rsidR="00C06864" w:rsidRPr="00786071">
        <w:rPr>
          <w:b/>
          <w:bCs/>
          <w:sz w:val="22"/>
          <w:szCs w:val="22"/>
        </w:rPr>
        <w:t xml:space="preserve"> </w:t>
      </w:r>
    </w:p>
    <w:p w14:paraId="7AB6C750" w14:textId="77777777" w:rsidR="0072020E" w:rsidRDefault="0072020E" w:rsidP="00480FB1">
      <w:pPr>
        <w:tabs>
          <w:tab w:val="left" w:pos="540"/>
          <w:tab w:val="left" w:pos="569"/>
        </w:tabs>
        <w:rPr>
          <w:bCs/>
          <w:sz w:val="22"/>
          <w:szCs w:val="22"/>
        </w:rPr>
      </w:pPr>
    </w:p>
    <w:p w14:paraId="78679F58" w14:textId="77777777" w:rsidR="00F15AA0" w:rsidRPr="00E43026" w:rsidRDefault="00F15AA0" w:rsidP="00245903">
      <w:pPr>
        <w:tabs>
          <w:tab w:val="left" w:pos="284"/>
          <w:tab w:val="center" w:pos="4536"/>
          <w:tab w:val="right" w:pos="9072"/>
        </w:tabs>
        <w:jc w:val="both"/>
        <w:rPr>
          <w:sz w:val="22"/>
          <w:szCs w:val="22"/>
          <w:u w:val="single"/>
          <w:lang w:val="sr-Latn-ME"/>
        </w:rPr>
      </w:pPr>
      <w:bookmarkStart w:id="3" w:name="_Hlk169001521"/>
      <w:r w:rsidRPr="00E43026">
        <w:rPr>
          <w:sz w:val="22"/>
          <w:szCs w:val="22"/>
          <w:u w:val="single"/>
          <w:lang w:val="sr-Latn-ME"/>
        </w:rPr>
        <w:t>Tanakan, obložena tableta, 30x40mg</w:t>
      </w:r>
    </w:p>
    <w:p w14:paraId="59E1179D" w14:textId="7FB3E8F2" w:rsidR="009F5C16" w:rsidRDefault="00F15AA0" w:rsidP="00245903">
      <w:pPr>
        <w:tabs>
          <w:tab w:val="left" w:pos="284"/>
          <w:tab w:val="center" w:pos="4536"/>
          <w:tab w:val="right" w:pos="9072"/>
        </w:tabs>
        <w:jc w:val="both"/>
        <w:rPr>
          <w:sz w:val="22"/>
          <w:szCs w:val="22"/>
          <w:lang w:val="sr-Latn-ME"/>
        </w:rPr>
      </w:pPr>
      <w:r>
        <w:rPr>
          <w:sz w:val="22"/>
          <w:szCs w:val="22"/>
          <w:lang w:val="sr-Latn-ME"/>
        </w:rPr>
        <w:t>Unutrašnje pakovanje lijeka je blister od PVC/Al folije ili blister od PVC/PV</w:t>
      </w:r>
      <w:r w:rsidR="006867A9">
        <w:rPr>
          <w:sz w:val="22"/>
          <w:szCs w:val="22"/>
          <w:lang w:val="sr-Latn-ME"/>
        </w:rPr>
        <w:t>d</w:t>
      </w:r>
      <w:r>
        <w:rPr>
          <w:sz w:val="22"/>
          <w:szCs w:val="22"/>
          <w:lang w:val="sr-Latn-ME"/>
        </w:rPr>
        <w:t>C</w:t>
      </w:r>
      <w:bookmarkStart w:id="4" w:name="_GoBack"/>
      <w:bookmarkEnd w:id="4"/>
      <w:r>
        <w:rPr>
          <w:sz w:val="22"/>
          <w:szCs w:val="22"/>
          <w:lang w:val="sr-Latn-ME"/>
        </w:rPr>
        <w:t>/Al folije sa 15 obloženih tableta.</w:t>
      </w:r>
    </w:p>
    <w:p w14:paraId="571A112B" w14:textId="1F675ED2" w:rsidR="00F15AA0" w:rsidRDefault="00F15AA0" w:rsidP="00245903">
      <w:pPr>
        <w:tabs>
          <w:tab w:val="left" w:pos="284"/>
          <w:tab w:val="center" w:pos="4536"/>
          <w:tab w:val="right" w:pos="9072"/>
        </w:tabs>
        <w:jc w:val="both"/>
        <w:rPr>
          <w:sz w:val="22"/>
          <w:szCs w:val="22"/>
          <w:lang w:val="sr-Latn-ME"/>
        </w:rPr>
      </w:pPr>
      <w:r>
        <w:rPr>
          <w:sz w:val="22"/>
          <w:szCs w:val="22"/>
          <w:lang w:val="sr-Latn-ME"/>
        </w:rPr>
        <w:t>Spoljašnje pakovanje lijeka je složiva kartonska kutija u kojoj se nalaze 2 blistera i Uputstvo za lijek.</w:t>
      </w:r>
    </w:p>
    <w:bookmarkEnd w:id="3"/>
    <w:p w14:paraId="65F29D9D" w14:textId="77777777" w:rsidR="00F15AA0" w:rsidRDefault="00F15AA0" w:rsidP="00245903">
      <w:pPr>
        <w:tabs>
          <w:tab w:val="left" w:pos="284"/>
          <w:tab w:val="center" w:pos="4536"/>
          <w:tab w:val="right" w:pos="9072"/>
        </w:tabs>
        <w:jc w:val="both"/>
        <w:rPr>
          <w:sz w:val="22"/>
          <w:szCs w:val="22"/>
          <w:lang w:val="sr-Latn-ME"/>
        </w:rPr>
      </w:pPr>
    </w:p>
    <w:p w14:paraId="2797FCA5" w14:textId="146DDCA6" w:rsidR="00F15AA0" w:rsidRPr="009B4B4C" w:rsidRDefault="00F15AA0" w:rsidP="00F15AA0">
      <w:pPr>
        <w:tabs>
          <w:tab w:val="left" w:pos="284"/>
          <w:tab w:val="center" w:pos="4536"/>
          <w:tab w:val="right" w:pos="9072"/>
        </w:tabs>
        <w:jc w:val="both"/>
        <w:rPr>
          <w:sz w:val="22"/>
          <w:szCs w:val="22"/>
          <w:u w:val="single"/>
          <w:lang w:val="sr-Latn-ME"/>
        </w:rPr>
      </w:pPr>
      <w:r w:rsidRPr="009B4B4C">
        <w:rPr>
          <w:sz w:val="22"/>
          <w:szCs w:val="22"/>
          <w:u w:val="single"/>
          <w:lang w:val="sr-Latn-ME"/>
        </w:rPr>
        <w:t xml:space="preserve">Tanakan, obložena tableta, </w:t>
      </w:r>
      <w:r>
        <w:rPr>
          <w:sz w:val="22"/>
          <w:szCs w:val="22"/>
          <w:u w:val="single"/>
          <w:lang w:val="sr-Latn-ME"/>
        </w:rPr>
        <w:t>9</w:t>
      </w:r>
      <w:r w:rsidRPr="009B4B4C">
        <w:rPr>
          <w:sz w:val="22"/>
          <w:szCs w:val="22"/>
          <w:u w:val="single"/>
          <w:lang w:val="sr-Latn-ME"/>
        </w:rPr>
        <w:t>0x40mg</w:t>
      </w:r>
    </w:p>
    <w:p w14:paraId="0CC40569" w14:textId="03849897" w:rsidR="00F15AA0" w:rsidRDefault="00F15AA0" w:rsidP="00F15AA0">
      <w:pPr>
        <w:tabs>
          <w:tab w:val="left" w:pos="284"/>
          <w:tab w:val="center" w:pos="4536"/>
          <w:tab w:val="right" w:pos="9072"/>
        </w:tabs>
        <w:jc w:val="both"/>
        <w:rPr>
          <w:sz w:val="22"/>
          <w:szCs w:val="22"/>
          <w:lang w:val="sr-Latn-ME"/>
        </w:rPr>
      </w:pPr>
      <w:r>
        <w:rPr>
          <w:sz w:val="22"/>
          <w:szCs w:val="22"/>
          <w:lang w:val="sr-Latn-ME"/>
        </w:rPr>
        <w:t>Unutrašnje pakovanje lijeka je blister od PVC/Al folije ili blister od PVC/PV</w:t>
      </w:r>
      <w:r w:rsidR="006867A9">
        <w:rPr>
          <w:sz w:val="22"/>
          <w:szCs w:val="22"/>
          <w:lang w:val="sr-Latn-ME"/>
        </w:rPr>
        <w:t>d</w:t>
      </w:r>
      <w:r>
        <w:rPr>
          <w:sz w:val="22"/>
          <w:szCs w:val="22"/>
          <w:lang w:val="sr-Latn-ME"/>
        </w:rPr>
        <w:t>C/Al folije sa 15 obloženih tableta.</w:t>
      </w:r>
    </w:p>
    <w:p w14:paraId="57103ADA" w14:textId="3FD184D1" w:rsidR="00F15AA0" w:rsidRDefault="00F15AA0" w:rsidP="00F15AA0">
      <w:pPr>
        <w:tabs>
          <w:tab w:val="left" w:pos="284"/>
          <w:tab w:val="center" w:pos="4536"/>
          <w:tab w:val="right" w:pos="9072"/>
        </w:tabs>
        <w:jc w:val="both"/>
        <w:rPr>
          <w:sz w:val="22"/>
          <w:szCs w:val="22"/>
          <w:lang w:val="sr-Latn-ME"/>
        </w:rPr>
      </w:pPr>
      <w:r>
        <w:rPr>
          <w:sz w:val="22"/>
          <w:szCs w:val="22"/>
          <w:lang w:val="sr-Latn-ME"/>
        </w:rPr>
        <w:t>Spoljašnje pakovanje lijeka je složiva kartonska kutija u kojoj se nalazi 6 blistera i Uputstvo za lijek.</w:t>
      </w:r>
    </w:p>
    <w:p w14:paraId="40FFC156" w14:textId="77777777" w:rsidR="009F5C16" w:rsidRPr="00786071" w:rsidRDefault="009F5C16" w:rsidP="00480FB1">
      <w:pPr>
        <w:tabs>
          <w:tab w:val="left" w:pos="540"/>
          <w:tab w:val="left" w:pos="569"/>
        </w:tabs>
        <w:rPr>
          <w:bCs/>
          <w:sz w:val="22"/>
          <w:szCs w:val="22"/>
        </w:rPr>
      </w:pPr>
    </w:p>
    <w:p w14:paraId="510932AF" w14:textId="77777777" w:rsidR="002846DB" w:rsidRDefault="0072020E" w:rsidP="00480FB1">
      <w:pPr>
        <w:tabs>
          <w:tab w:val="left" w:pos="540"/>
          <w:tab w:val="left" w:pos="569"/>
        </w:tabs>
        <w:rPr>
          <w:b/>
          <w:bCs/>
          <w:sz w:val="22"/>
          <w:szCs w:val="22"/>
        </w:rPr>
      </w:pPr>
      <w:r w:rsidRPr="00786071">
        <w:rPr>
          <w:b/>
          <w:bCs/>
          <w:sz w:val="22"/>
          <w:szCs w:val="22"/>
        </w:rPr>
        <w:t xml:space="preserve">6.6. </w:t>
      </w:r>
      <w:r w:rsidR="00480FB1" w:rsidRPr="00786071">
        <w:rPr>
          <w:b/>
          <w:bCs/>
          <w:sz w:val="22"/>
          <w:szCs w:val="22"/>
        </w:rPr>
        <w:tab/>
      </w:r>
      <w:r w:rsidRPr="00D47634">
        <w:rPr>
          <w:b/>
          <w:bCs/>
          <w:color w:val="000000"/>
          <w:sz w:val="22"/>
          <w:szCs w:val="22"/>
        </w:rPr>
        <w:t>Posebne mjere opreza pri odlaganju materijala koji treba odbaciti nakon primjene lijeka</w:t>
      </w:r>
      <w:r w:rsidRPr="00786071">
        <w:rPr>
          <w:b/>
          <w:bCs/>
          <w:sz w:val="22"/>
          <w:szCs w:val="22"/>
        </w:rPr>
        <w:t xml:space="preserve"> </w:t>
      </w:r>
      <w:r w:rsidR="00310F03">
        <w:rPr>
          <w:b/>
          <w:bCs/>
          <w:sz w:val="22"/>
          <w:szCs w:val="22"/>
        </w:rPr>
        <w:t>(i druga uputs</w:t>
      </w:r>
      <w:r w:rsidR="004109FA">
        <w:rPr>
          <w:b/>
          <w:bCs/>
          <w:sz w:val="22"/>
          <w:szCs w:val="22"/>
        </w:rPr>
        <w:t>t</w:t>
      </w:r>
      <w:r w:rsidR="00310F03">
        <w:rPr>
          <w:b/>
          <w:bCs/>
          <w:sz w:val="22"/>
          <w:szCs w:val="22"/>
        </w:rPr>
        <w:t xml:space="preserve">va za rukovanje lijekom) </w:t>
      </w:r>
    </w:p>
    <w:p w14:paraId="68EA4FB2" w14:textId="77777777" w:rsidR="00B66A70" w:rsidRDefault="00B66A70" w:rsidP="00480FB1">
      <w:pPr>
        <w:tabs>
          <w:tab w:val="left" w:pos="540"/>
          <w:tab w:val="left" w:pos="569"/>
        </w:tabs>
        <w:rPr>
          <w:b/>
          <w:bCs/>
          <w:sz w:val="22"/>
          <w:szCs w:val="22"/>
        </w:rPr>
      </w:pPr>
    </w:p>
    <w:p w14:paraId="5219C130" w14:textId="77777777" w:rsidR="009F5C16" w:rsidRPr="009F5C16" w:rsidRDefault="009F5C16" w:rsidP="00245903">
      <w:pPr>
        <w:tabs>
          <w:tab w:val="left" w:pos="284"/>
          <w:tab w:val="center" w:pos="4536"/>
          <w:tab w:val="right" w:pos="9072"/>
        </w:tabs>
        <w:jc w:val="both"/>
        <w:rPr>
          <w:sz w:val="22"/>
          <w:szCs w:val="22"/>
          <w:lang w:val="sr-Latn-ME"/>
        </w:rPr>
      </w:pPr>
      <w:r w:rsidRPr="009F5C16">
        <w:rPr>
          <w:sz w:val="22"/>
          <w:szCs w:val="22"/>
          <w:lang w:val="sr-Latn-ME"/>
        </w:rPr>
        <w:t>Neupotrijebljeni lijek se uništava u skladu sa važećim propisima.</w:t>
      </w:r>
    </w:p>
    <w:p w14:paraId="00003DA1" w14:textId="74915DF0" w:rsidR="0072020E" w:rsidRDefault="0072020E" w:rsidP="00480FB1">
      <w:pPr>
        <w:tabs>
          <w:tab w:val="left" w:pos="540"/>
          <w:tab w:val="left" w:pos="569"/>
        </w:tabs>
        <w:rPr>
          <w:bCs/>
          <w:sz w:val="22"/>
          <w:szCs w:val="22"/>
        </w:rPr>
      </w:pPr>
    </w:p>
    <w:p w14:paraId="07CDBDFE" w14:textId="77777777" w:rsidR="00683BF2" w:rsidRPr="00786071" w:rsidRDefault="00683BF2" w:rsidP="00480FB1">
      <w:pPr>
        <w:tabs>
          <w:tab w:val="left" w:pos="540"/>
          <w:tab w:val="left" w:pos="569"/>
        </w:tabs>
        <w:rPr>
          <w:bCs/>
          <w:sz w:val="22"/>
          <w:szCs w:val="22"/>
        </w:rPr>
      </w:pPr>
    </w:p>
    <w:p w14:paraId="2448F46D" w14:textId="77777777" w:rsidR="00F8570A" w:rsidRPr="00786071" w:rsidRDefault="0072020E" w:rsidP="00480FB1">
      <w:pPr>
        <w:tabs>
          <w:tab w:val="left" w:pos="540"/>
          <w:tab w:val="left" w:pos="569"/>
        </w:tabs>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14:paraId="1DD5B026" w14:textId="77777777" w:rsidR="00C61BE0" w:rsidRDefault="00C61BE0" w:rsidP="00480FB1">
      <w:pPr>
        <w:tabs>
          <w:tab w:val="left" w:pos="540"/>
          <w:tab w:val="left" w:pos="569"/>
        </w:tabs>
        <w:rPr>
          <w:bCs/>
          <w:sz w:val="22"/>
          <w:szCs w:val="22"/>
        </w:rPr>
      </w:pPr>
    </w:p>
    <w:p w14:paraId="2B3D345C" w14:textId="77777777" w:rsidR="009F5C16" w:rsidRPr="009F5C16" w:rsidRDefault="009F5C16" w:rsidP="009F5C16">
      <w:pPr>
        <w:tabs>
          <w:tab w:val="center" w:pos="4536"/>
          <w:tab w:val="right" w:pos="9072"/>
        </w:tabs>
        <w:spacing w:before="80" w:after="80"/>
        <w:jc w:val="both"/>
        <w:rPr>
          <w:bCs/>
          <w:sz w:val="22"/>
          <w:szCs w:val="22"/>
          <w:lang w:val="sr-Latn-ME"/>
        </w:rPr>
      </w:pPr>
      <w:bookmarkStart w:id="5" w:name="_Hlk71881521"/>
      <w:r w:rsidRPr="009F5C16">
        <w:rPr>
          <w:bCs/>
          <w:sz w:val="22"/>
          <w:szCs w:val="22"/>
          <w:lang w:val="sr-Latn-ME"/>
        </w:rPr>
        <w:t>PharmaSwiss - Montenegro, PharmaSwiss doo Beograd dio stranog društva u Podgorici</w:t>
      </w:r>
    </w:p>
    <w:p w14:paraId="660E7906" w14:textId="77777777" w:rsidR="009F5C16" w:rsidRPr="009F5C16" w:rsidRDefault="009F5C16" w:rsidP="009F5C16">
      <w:pPr>
        <w:tabs>
          <w:tab w:val="left" w:pos="284"/>
          <w:tab w:val="center" w:pos="4536"/>
          <w:tab w:val="right" w:pos="9072"/>
        </w:tabs>
        <w:spacing w:before="80" w:after="80"/>
        <w:jc w:val="both"/>
        <w:rPr>
          <w:bCs/>
          <w:sz w:val="22"/>
          <w:szCs w:val="22"/>
          <w:lang w:val="sr-Latn-ME"/>
        </w:rPr>
      </w:pPr>
      <w:r w:rsidRPr="009F5C16">
        <w:rPr>
          <w:bCs/>
          <w:sz w:val="22"/>
          <w:szCs w:val="22"/>
          <w:lang w:val="sr-Latn-ME"/>
        </w:rPr>
        <w:t>Rimski trg br. 16, Podgorica, Crna Gora</w:t>
      </w:r>
      <w:bookmarkEnd w:id="5"/>
    </w:p>
    <w:p w14:paraId="29D36C0F" w14:textId="1D68F107" w:rsidR="00C37FD7" w:rsidRDefault="00C37FD7" w:rsidP="00480FB1">
      <w:pPr>
        <w:tabs>
          <w:tab w:val="left" w:pos="540"/>
          <w:tab w:val="left" w:pos="569"/>
        </w:tabs>
        <w:rPr>
          <w:bCs/>
          <w:sz w:val="22"/>
          <w:szCs w:val="22"/>
        </w:rPr>
      </w:pPr>
    </w:p>
    <w:p w14:paraId="5DF3521D" w14:textId="77777777" w:rsidR="00683BF2" w:rsidRPr="00786071" w:rsidRDefault="00683BF2" w:rsidP="00480FB1">
      <w:pPr>
        <w:tabs>
          <w:tab w:val="left" w:pos="540"/>
          <w:tab w:val="left" w:pos="569"/>
        </w:tabs>
        <w:rPr>
          <w:bCs/>
          <w:sz w:val="22"/>
          <w:szCs w:val="22"/>
        </w:rPr>
      </w:pPr>
    </w:p>
    <w:p w14:paraId="2EE55584" w14:textId="77777777" w:rsidR="0072020E" w:rsidRPr="00786071" w:rsidRDefault="0072020E" w:rsidP="00480FB1">
      <w:pPr>
        <w:tabs>
          <w:tab w:val="left" w:pos="540"/>
          <w:tab w:val="left" w:pos="569"/>
        </w:tabs>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14:paraId="2F0E692B" w14:textId="77777777" w:rsidR="0072020E" w:rsidRPr="00786071" w:rsidRDefault="0072020E" w:rsidP="00480FB1">
      <w:pPr>
        <w:tabs>
          <w:tab w:val="left" w:pos="540"/>
          <w:tab w:val="left" w:pos="569"/>
        </w:tabs>
        <w:rPr>
          <w:bCs/>
          <w:sz w:val="22"/>
          <w:szCs w:val="22"/>
        </w:rPr>
      </w:pPr>
    </w:p>
    <w:p w14:paraId="264DAA32" w14:textId="10DE92EE" w:rsidR="009F5C16" w:rsidRPr="009F5C16" w:rsidRDefault="009F5C16" w:rsidP="00683BF2">
      <w:pPr>
        <w:tabs>
          <w:tab w:val="left" w:pos="284"/>
        </w:tabs>
        <w:jc w:val="both"/>
        <w:rPr>
          <w:bCs/>
          <w:sz w:val="22"/>
          <w:szCs w:val="22"/>
          <w:lang w:val="sr-Latn-ME"/>
        </w:rPr>
      </w:pPr>
      <w:bookmarkStart w:id="6" w:name="_Hlk71881543"/>
      <w:r w:rsidRPr="009F5C16">
        <w:rPr>
          <w:bCs/>
          <w:sz w:val="22"/>
          <w:szCs w:val="22"/>
          <w:lang w:val="sr-Latn-ME"/>
        </w:rPr>
        <w:t>Tanakan, obložen</w:t>
      </w:r>
      <w:r w:rsidR="00245903">
        <w:rPr>
          <w:bCs/>
          <w:sz w:val="22"/>
          <w:szCs w:val="22"/>
          <w:lang w:val="sr-Latn-ME"/>
        </w:rPr>
        <w:t>a</w:t>
      </w:r>
      <w:r w:rsidRPr="009F5C16">
        <w:rPr>
          <w:bCs/>
          <w:sz w:val="22"/>
          <w:szCs w:val="22"/>
          <w:lang w:val="sr-Latn-ME"/>
        </w:rPr>
        <w:t xml:space="preserve"> tablet</w:t>
      </w:r>
      <w:r w:rsidR="00245903">
        <w:rPr>
          <w:bCs/>
          <w:sz w:val="22"/>
          <w:szCs w:val="22"/>
          <w:lang w:val="sr-Latn-ME"/>
        </w:rPr>
        <w:t>a</w:t>
      </w:r>
      <w:r w:rsidRPr="009F5C16">
        <w:rPr>
          <w:bCs/>
          <w:sz w:val="22"/>
          <w:szCs w:val="22"/>
          <w:lang w:val="sr-Latn-ME"/>
        </w:rPr>
        <w:t>, 40 mg, blister, 2x15 tableta: 2030/</w:t>
      </w:r>
      <w:r w:rsidR="004B1D30">
        <w:rPr>
          <w:bCs/>
          <w:sz w:val="22"/>
          <w:szCs w:val="22"/>
          <w:lang w:val="sr-Latn-ME"/>
        </w:rPr>
        <w:t>24/6873 - 2108</w:t>
      </w:r>
    </w:p>
    <w:p w14:paraId="0C87070D" w14:textId="4EDE5BFF" w:rsidR="009F5C16" w:rsidRPr="009F5C16" w:rsidRDefault="009F5C16" w:rsidP="009F5C16">
      <w:pPr>
        <w:tabs>
          <w:tab w:val="left" w:pos="284"/>
        </w:tabs>
        <w:jc w:val="both"/>
        <w:rPr>
          <w:bCs/>
          <w:sz w:val="22"/>
          <w:szCs w:val="22"/>
          <w:lang w:val="sr-Latn-ME"/>
        </w:rPr>
      </w:pPr>
      <w:r w:rsidRPr="009F5C16">
        <w:rPr>
          <w:bCs/>
          <w:sz w:val="22"/>
          <w:szCs w:val="22"/>
          <w:lang w:val="sr-Latn-ME"/>
        </w:rPr>
        <w:t>Tanakan, obložen</w:t>
      </w:r>
      <w:r w:rsidR="00245903">
        <w:rPr>
          <w:bCs/>
          <w:sz w:val="22"/>
          <w:szCs w:val="22"/>
          <w:lang w:val="sr-Latn-ME"/>
        </w:rPr>
        <w:t>a</w:t>
      </w:r>
      <w:r w:rsidRPr="009F5C16">
        <w:rPr>
          <w:bCs/>
          <w:sz w:val="22"/>
          <w:szCs w:val="22"/>
          <w:lang w:val="sr-Latn-ME"/>
        </w:rPr>
        <w:t xml:space="preserve"> tablet</w:t>
      </w:r>
      <w:r w:rsidR="00245903">
        <w:rPr>
          <w:bCs/>
          <w:sz w:val="22"/>
          <w:szCs w:val="22"/>
          <w:lang w:val="sr-Latn-ME"/>
        </w:rPr>
        <w:t>a</w:t>
      </w:r>
      <w:r w:rsidRPr="009F5C16">
        <w:rPr>
          <w:bCs/>
          <w:sz w:val="22"/>
          <w:szCs w:val="22"/>
          <w:lang w:val="sr-Latn-ME"/>
        </w:rPr>
        <w:t xml:space="preserve">, 40 mg, blister, 6x15 tableta: </w:t>
      </w:r>
      <w:bookmarkEnd w:id="6"/>
      <w:r w:rsidR="004B1D30" w:rsidRPr="004B1D30">
        <w:rPr>
          <w:bCs/>
          <w:sz w:val="22"/>
          <w:szCs w:val="22"/>
          <w:lang w:val="sr-Latn-ME"/>
        </w:rPr>
        <w:t>2030/24/68</w:t>
      </w:r>
      <w:r w:rsidR="004B1D30">
        <w:rPr>
          <w:bCs/>
          <w:sz w:val="22"/>
          <w:szCs w:val="22"/>
          <w:lang w:val="sr-Latn-ME"/>
        </w:rPr>
        <w:t>82</w:t>
      </w:r>
      <w:r w:rsidR="004B1D30" w:rsidRPr="004B1D30">
        <w:rPr>
          <w:bCs/>
          <w:sz w:val="22"/>
          <w:szCs w:val="22"/>
          <w:lang w:val="sr-Latn-ME"/>
        </w:rPr>
        <w:t xml:space="preserve"> - 210</w:t>
      </w:r>
      <w:r w:rsidR="004B1D30">
        <w:rPr>
          <w:bCs/>
          <w:sz w:val="22"/>
          <w:szCs w:val="22"/>
          <w:lang w:val="sr-Latn-ME"/>
        </w:rPr>
        <w:t>9</w:t>
      </w:r>
    </w:p>
    <w:p w14:paraId="56E563A5" w14:textId="5ABA219C" w:rsidR="00F45F77" w:rsidRDefault="00F45F77" w:rsidP="00480FB1">
      <w:pPr>
        <w:tabs>
          <w:tab w:val="left" w:pos="540"/>
          <w:tab w:val="left" w:pos="569"/>
        </w:tabs>
        <w:rPr>
          <w:bCs/>
          <w:sz w:val="22"/>
          <w:szCs w:val="22"/>
        </w:rPr>
      </w:pPr>
    </w:p>
    <w:p w14:paraId="31A856D5" w14:textId="77777777" w:rsidR="00683BF2" w:rsidRPr="00786071" w:rsidRDefault="00683BF2" w:rsidP="00480FB1">
      <w:pPr>
        <w:tabs>
          <w:tab w:val="left" w:pos="540"/>
          <w:tab w:val="left" w:pos="569"/>
        </w:tabs>
        <w:rPr>
          <w:bCs/>
          <w:sz w:val="22"/>
          <w:szCs w:val="22"/>
        </w:rPr>
      </w:pPr>
    </w:p>
    <w:p w14:paraId="392CA6A8" w14:textId="77777777" w:rsidR="0072020E" w:rsidRPr="00786071" w:rsidRDefault="0072020E" w:rsidP="00480FB1">
      <w:pPr>
        <w:tabs>
          <w:tab w:val="left" w:pos="540"/>
          <w:tab w:val="left" w:pos="569"/>
        </w:tabs>
        <w:rPr>
          <w:b/>
          <w:bCs/>
          <w:sz w:val="22"/>
          <w:szCs w:val="22"/>
        </w:rPr>
      </w:pPr>
      <w:r w:rsidRPr="00786071">
        <w:rPr>
          <w:b/>
          <w:bCs/>
          <w:sz w:val="22"/>
          <w:szCs w:val="22"/>
        </w:rPr>
        <w:t xml:space="preserve">9. </w:t>
      </w:r>
      <w:r w:rsidR="00480FB1" w:rsidRPr="00786071">
        <w:rPr>
          <w:b/>
          <w:bCs/>
          <w:sz w:val="22"/>
          <w:szCs w:val="22"/>
        </w:rPr>
        <w:tab/>
      </w:r>
      <w:r w:rsidRPr="00786071">
        <w:rPr>
          <w:b/>
          <w:bCs/>
          <w:sz w:val="22"/>
          <w:szCs w:val="22"/>
        </w:rPr>
        <w:t xml:space="preserve">DATUM </w:t>
      </w:r>
      <w:r w:rsidR="00C05DF8">
        <w:rPr>
          <w:b/>
          <w:bCs/>
          <w:sz w:val="22"/>
          <w:szCs w:val="22"/>
        </w:rPr>
        <w:t xml:space="preserve">PRVE </w:t>
      </w:r>
      <w:r w:rsidR="008A6D43" w:rsidRPr="00786071">
        <w:rPr>
          <w:b/>
          <w:bCs/>
          <w:sz w:val="22"/>
          <w:szCs w:val="22"/>
        </w:rPr>
        <w:t>DOZVOLE</w:t>
      </w:r>
      <w:r w:rsidR="00C05DF8">
        <w:rPr>
          <w:b/>
          <w:bCs/>
          <w:sz w:val="22"/>
          <w:szCs w:val="22"/>
        </w:rPr>
        <w:t>/OBNOVE DOZVOLE</w:t>
      </w:r>
      <w:r w:rsidR="008A6D43">
        <w:rPr>
          <w:b/>
          <w:bCs/>
          <w:sz w:val="22"/>
          <w:szCs w:val="22"/>
        </w:rPr>
        <w:t xml:space="preserve"> ZA STAVLJANJE LIJEKA U PROMET</w:t>
      </w:r>
    </w:p>
    <w:p w14:paraId="01023C39" w14:textId="77777777" w:rsidR="0072020E" w:rsidRPr="00786071" w:rsidRDefault="0072020E" w:rsidP="00480FB1">
      <w:pPr>
        <w:tabs>
          <w:tab w:val="left" w:pos="540"/>
          <w:tab w:val="left" w:pos="569"/>
        </w:tabs>
        <w:rPr>
          <w:bCs/>
          <w:sz w:val="22"/>
          <w:szCs w:val="22"/>
        </w:rPr>
      </w:pPr>
    </w:p>
    <w:p w14:paraId="6F32C028" w14:textId="5B3E65AE" w:rsidR="00245903" w:rsidRDefault="00245903" w:rsidP="00245903">
      <w:pPr>
        <w:tabs>
          <w:tab w:val="left" w:pos="284"/>
        </w:tabs>
        <w:jc w:val="both"/>
        <w:rPr>
          <w:bCs/>
          <w:sz w:val="22"/>
          <w:szCs w:val="22"/>
          <w:lang w:val="sr-Latn-ME"/>
        </w:rPr>
      </w:pPr>
      <w:r>
        <w:rPr>
          <w:bCs/>
          <w:sz w:val="22"/>
          <w:szCs w:val="22"/>
          <w:lang w:val="sr-Latn-ME"/>
        </w:rPr>
        <w:t>Datum prve dozvole:</w:t>
      </w:r>
      <w:r w:rsidR="00817E31">
        <w:rPr>
          <w:bCs/>
          <w:sz w:val="22"/>
          <w:szCs w:val="22"/>
          <w:lang w:val="sr-Latn-ME"/>
        </w:rPr>
        <w:t xml:space="preserve"> 18.09.2015. godine</w:t>
      </w:r>
    </w:p>
    <w:p w14:paraId="5D926C7D" w14:textId="33FD5459" w:rsidR="00245903" w:rsidRDefault="00245903" w:rsidP="00245903">
      <w:pPr>
        <w:tabs>
          <w:tab w:val="left" w:pos="284"/>
        </w:tabs>
        <w:jc w:val="both"/>
        <w:rPr>
          <w:bCs/>
          <w:sz w:val="22"/>
          <w:szCs w:val="22"/>
          <w:lang w:val="sr-Latn-ME"/>
        </w:rPr>
      </w:pPr>
      <w:r>
        <w:rPr>
          <w:bCs/>
          <w:sz w:val="22"/>
          <w:szCs w:val="22"/>
          <w:lang w:val="sr-Latn-ME"/>
        </w:rPr>
        <w:t>Datum posl</w:t>
      </w:r>
      <w:r w:rsidR="00952E4D">
        <w:rPr>
          <w:bCs/>
          <w:sz w:val="22"/>
          <w:szCs w:val="22"/>
          <w:lang w:val="sr-Latn-ME"/>
        </w:rPr>
        <w:t>j</w:t>
      </w:r>
      <w:r>
        <w:rPr>
          <w:bCs/>
          <w:sz w:val="22"/>
          <w:szCs w:val="22"/>
          <w:lang w:val="sr-Latn-ME"/>
        </w:rPr>
        <w:t>ednje obnove dozvole:</w:t>
      </w:r>
      <w:r w:rsidR="00C349B6">
        <w:rPr>
          <w:bCs/>
          <w:sz w:val="22"/>
          <w:szCs w:val="22"/>
          <w:lang w:val="sr-Latn-ME"/>
        </w:rPr>
        <w:t xml:space="preserve"> 24.12.2024. godine</w:t>
      </w:r>
    </w:p>
    <w:p w14:paraId="6A11711A" w14:textId="0A74E2AE" w:rsidR="00245903" w:rsidRDefault="00245903" w:rsidP="00245903">
      <w:pPr>
        <w:tabs>
          <w:tab w:val="left" w:pos="284"/>
        </w:tabs>
        <w:jc w:val="both"/>
        <w:rPr>
          <w:bCs/>
          <w:sz w:val="22"/>
          <w:szCs w:val="22"/>
          <w:lang w:val="sr-Latn-ME"/>
        </w:rPr>
      </w:pPr>
    </w:p>
    <w:p w14:paraId="4128E329" w14:textId="77777777" w:rsidR="00683BF2" w:rsidRPr="00245903" w:rsidRDefault="00683BF2" w:rsidP="00245903">
      <w:pPr>
        <w:tabs>
          <w:tab w:val="left" w:pos="284"/>
        </w:tabs>
        <w:jc w:val="both"/>
        <w:rPr>
          <w:bCs/>
          <w:sz w:val="22"/>
          <w:szCs w:val="22"/>
          <w:lang w:val="sr-Latn-ME"/>
        </w:rPr>
      </w:pPr>
    </w:p>
    <w:p w14:paraId="4E34BCF0" w14:textId="77777777" w:rsidR="003F6A59" w:rsidRPr="00786071" w:rsidRDefault="0072020E" w:rsidP="00C05DF8">
      <w:pPr>
        <w:tabs>
          <w:tab w:val="left" w:pos="540"/>
          <w:tab w:val="left" w:pos="569"/>
        </w:tabs>
        <w:ind w:left="540" w:hanging="540"/>
        <w:rPr>
          <w:bCs/>
          <w:sz w:val="22"/>
          <w:szCs w:val="22"/>
        </w:rPr>
      </w:pPr>
      <w:r w:rsidRPr="00786071">
        <w:rPr>
          <w:b/>
          <w:bCs/>
          <w:sz w:val="22"/>
          <w:szCs w:val="22"/>
        </w:rPr>
        <w:t xml:space="preserve">10. </w:t>
      </w:r>
      <w:r w:rsidR="00480FB1" w:rsidRPr="00786071">
        <w:rPr>
          <w:b/>
          <w:bCs/>
          <w:sz w:val="22"/>
          <w:szCs w:val="22"/>
        </w:rPr>
        <w:tab/>
      </w:r>
      <w:r w:rsidR="002846DB" w:rsidRPr="00786071">
        <w:rPr>
          <w:b/>
          <w:bCs/>
          <w:sz w:val="22"/>
          <w:szCs w:val="22"/>
        </w:rPr>
        <w:t>D</w:t>
      </w:r>
      <w:r w:rsidR="00EC2532" w:rsidRPr="00786071">
        <w:rPr>
          <w:b/>
          <w:bCs/>
          <w:sz w:val="22"/>
          <w:szCs w:val="22"/>
        </w:rPr>
        <w:t xml:space="preserve">ATUM REVIZIJE TEKSTA </w:t>
      </w:r>
    </w:p>
    <w:p w14:paraId="584114B5" w14:textId="77777777" w:rsidR="003F6A59" w:rsidRDefault="003F6A59" w:rsidP="00480FB1">
      <w:pPr>
        <w:tabs>
          <w:tab w:val="left" w:pos="540"/>
          <w:tab w:val="left" w:pos="569"/>
        </w:tabs>
        <w:rPr>
          <w:bCs/>
          <w:sz w:val="22"/>
          <w:szCs w:val="22"/>
        </w:rPr>
      </w:pPr>
    </w:p>
    <w:p w14:paraId="3FA358BB" w14:textId="7D85C65F" w:rsidR="003F6A59" w:rsidRPr="00786071" w:rsidRDefault="00683BF2" w:rsidP="00DE3F5C">
      <w:pPr>
        <w:rPr>
          <w:sz w:val="22"/>
          <w:szCs w:val="22"/>
          <w:lang w:val="pl-PL"/>
        </w:rPr>
      </w:pPr>
      <w:r>
        <w:rPr>
          <w:sz w:val="22"/>
          <w:szCs w:val="22"/>
          <w:lang w:val="pl-PL"/>
        </w:rPr>
        <w:t>Jul, 2025.</w:t>
      </w:r>
    </w:p>
    <w:sectPr w:rsidR="003F6A59" w:rsidRPr="00786071"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58CA8" w14:textId="77777777" w:rsidR="008852FE" w:rsidRDefault="008852FE">
      <w:r>
        <w:separator/>
      </w:r>
    </w:p>
  </w:endnote>
  <w:endnote w:type="continuationSeparator" w:id="0">
    <w:p w14:paraId="5F18AA8B" w14:textId="77777777" w:rsidR="008852FE" w:rsidRDefault="0088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
    <w:altName w:val="Yu Gothic UI"/>
    <w:panose1 w:val="00000000000000000000"/>
    <w:charset w:val="EE"/>
    <w:family w:val="auto"/>
    <w:notTrueType/>
    <w:pitch w:val="default"/>
    <w:sig w:usb0="00000205" w:usb1="08070000" w:usb2="00000010" w:usb3="00000000" w:csb0="00020006"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6FB7C" w14:textId="40A0C856"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31038">
      <w:rPr>
        <w:noProof/>
        <w:sz w:val="22"/>
        <w:szCs w:val="22"/>
      </w:rPr>
      <w:t>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31038">
      <w:rPr>
        <w:noProof/>
        <w:sz w:val="22"/>
        <w:szCs w:val="22"/>
      </w:rPr>
      <w:t>6</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8FAA4" w14:textId="77777777" w:rsidR="008852FE" w:rsidRDefault="008852FE">
      <w:r>
        <w:separator/>
      </w:r>
    </w:p>
  </w:footnote>
  <w:footnote w:type="continuationSeparator" w:id="0">
    <w:p w14:paraId="759B55E9" w14:textId="77777777" w:rsidR="008852FE" w:rsidRDefault="00885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6pt;height:13.6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0482F64"/>
    <w:multiLevelType w:val="hybridMultilevel"/>
    <w:tmpl w:val="2800D07C"/>
    <w:lvl w:ilvl="0" w:tplc="D9ECC952">
      <w:start w:val="2"/>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0A4045"/>
    <w:multiLevelType w:val="hybridMultilevel"/>
    <w:tmpl w:val="C7A8F686"/>
    <w:lvl w:ilvl="0" w:tplc="D9ECC952">
      <w:start w:val="2"/>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1"/>
  </w:num>
  <w:num w:numId="11">
    <w:abstractNumId w:val="6"/>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5E28"/>
    <w:rsid w:val="00076726"/>
    <w:rsid w:val="00080303"/>
    <w:rsid w:val="00083D02"/>
    <w:rsid w:val="000A3F58"/>
    <w:rsid w:val="000D2343"/>
    <w:rsid w:val="000D3449"/>
    <w:rsid w:val="000D425A"/>
    <w:rsid w:val="000D60CC"/>
    <w:rsid w:val="000E2084"/>
    <w:rsid w:val="000E6F55"/>
    <w:rsid w:val="000F77FA"/>
    <w:rsid w:val="0010213D"/>
    <w:rsid w:val="00107BF7"/>
    <w:rsid w:val="00126F53"/>
    <w:rsid w:val="0014766D"/>
    <w:rsid w:val="001536CC"/>
    <w:rsid w:val="00187ED4"/>
    <w:rsid w:val="001A3FBA"/>
    <w:rsid w:val="001A5518"/>
    <w:rsid w:val="001B1C6A"/>
    <w:rsid w:val="001B580D"/>
    <w:rsid w:val="001C1263"/>
    <w:rsid w:val="001C1417"/>
    <w:rsid w:val="001E390B"/>
    <w:rsid w:val="001F42FB"/>
    <w:rsid w:val="001F719A"/>
    <w:rsid w:val="002031B3"/>
    <w:rsid w:val="00215931"/>
    <w:rsid w:val="00217E3D"/>
    <w:rsid w:val="00224C91"/>
    <w:rsid w:val="00227BDB"/>
    <w:rsid w:val="00234CB1"/>
    <w:rsid w:val="002352F8"/>
    <w:rsid w:val="00245903"/>
    <w:rsid w:val="002510A5"/>
    <w:rsid w:val="00254A0A"/>
    <w:rsid w:val="00266046"/>
    <w:rsid w:val="002846DB"/>
    <w:rsid w:val="00284CCD"/>
    <w:rsid w:val="002C6637"/>
    <w:rsid w:val="002E0135"/>
    <w:rsid w:val="002E37A5"/>
    <w:rsid w:val="00310F03"/>
    <w:rsid w:val="003247D2"/>
    <w:rsid w:val="003445C1"/>
    <w:rsid w:val="00355B61"/>
    <w:rsid w:val="00362686"/>
    <w:rsid w:val="00371510"/>
    <w:rsid w:val="00372AF6"/>
    <w:rsid w:val="00396DFD"/>
    <w:rsid w:val="003A1E44"/>
    <w:rsid w:val="003A7059"/>
    <w:rsid w:val="003B7A36"/>
    <w:rsid w:val="003C17AB"/>
    <w:rsid w:val="003C7823"/>
    <w:rsid w:val="003E1DCC"/>
    <w:rsid w:val="003F11A1"/>
    <w:rsid w:val="003F4D5F"/>
    <w:rsid w:val="003F6A59"/>
    <w:rsid w:val="004026EA"/>
    <w:rsid w:val="004065C8"/>
    <w:rsid w:val="004109FA"/>
    <w:rsid w:val="00411B4B"/>
    <w:rsid w:val="00415BEE"/>
    <w:rsid w:val="004163C7"/>
    <w:rsid w:val="004254E9"/>
    <w:rsid w:val="00427F85"/>
    <w:rsid w:val="00436F42"/>
    <w:rsid w:val="004378B4"/>
    <w:rsid w:val="00451314"/>
    <w:rsid w:val="00452E9D"/>
    <w:rsid w:val="004534C7"/>
    <w:rsid w:val="004671AA"/>
    <w:rsid w:val="00467CE7"/>
    <w:rsid w:val="00471DF8"/>
    <w:rsid w:val="00480FB1"/>
    <w:rsid w:val="00483928"/>
    <w:rsid w:val="004B1D30"/>
    <w:rsid w:val="004C0167"/>
    <w:rsid w:val="004C331F"/>
    <w:rsid w:val="004D6103"/>
    <w:rsid w:val="004E3BCE"/>
    <w:rsid w:val="004E70AD"/>
    <w:rsid w:val="004F0E97"/>
    <w:rsid w:val="004F17E2"/>
    <w:rsid w:val="00501DD1"/>
    <w:rsid w:val="00515C21"/>
    <w:rsid w:val="00530BD7"/>
    <w:rsid w:val="005321FD"/>
    <w:rsid w:val="00545CD2"/>
    <w:rsid w:val="005476F3"/>
    <w:rsid w:val="00572527"/>
    <w:rsid w:val="00573E40"/>
    <w:rsid w:val="00576348"/>
    <w:rsid w:val="0059688D"/>
    <w:rsid w:val="005A0B2E"/>
    <w:rsid w:val="005A23D2"/>
    <w:rsid w:val="005A36CB"/>
    <w:rsid w:val="005B49B8"/>
    <w:rsid w:val="005C0741"/>
    <w:rsid w:val="005C5EF4"/>
    <w:rsid w:val="005E2E0B"/>
    <w:rsid w:val="005E67AD"/>
    <w:rsid w:val="005E7A7D"/>
    <w:rsid w:val="00602457"/>
    <w:rsid w:val="00644F85"/>
    <w:rsid w:val="00644FC3"/>
    <w:rsid w:val="00646BD1"/>
    <w:rsid w:val="006561C2"/>
    <w:rsid w:val="00671CB3"/>
    <w:rsid w:val="00674BAF"/>
    <w:rsid w:val="00682200"/>
    <w:rsid w:val="00683BF2"/>
    <w:rsid w:val="006867A9"/>
    <w:rsid w:val="00692BF6"/>
    <w:rsid w:val="006A1351"/>
    <w:rsid w:val="006A1497"/>
    <w:rsid w:val="006B0BD1"/>
    <w:rsid w:val="006B5404"/>
    <w:rsid w:val="006D20A5"/>
    <w:rsid w:val="006D37BF"/>
    <w:rsid w:val="00702E22"/>
    <w:rsid w:val="007123B0"/>
    <w:rsid w:val="0072020E"/>
    <w:rsid w:val="00754902"/>
    <w:rsid w:val="00786071"/>
    <w:rsid w:val="007A3ECB"/>
    <w:rsid w:val="007D7BB3"/>
    <w:rsid w:val="007E31E9"/>
    <w:rsid w:val="007F05E3"/>
    <w:rsid w:val="00817E31"/>
    <w:rsid w:val="00824AB9"/>
    <w:rsid w:val="00836B35"/>
    <w:rsid w:val="00843BDE"/>
    <w:rsid w:val="0087588C"/>
    <w:rsid w:val="008852FE"/>
    <w:rsid w:val="0089705C"/>
    <w:rsid w:val="008A6D43"/>
    <w:rsid w:val="008B491E"/>
    <w:rsid w:val="008C1A28"/>
    <w:rsid w:val="008C2E98"/>
    <w:rsid w:val="008D3547"/>
    <w:rsid w:val="008E49BD"/>
    <w:rsid w:val="008E53E9"/>
    <w:rsid w:val="008E5771"/>
    <w:rsid w:val="008F4ACF"/>
    <w:rsid w:val="00924166"/>
    <w:rsid w:val="00940B9B"/>
    <w:rsid w:val="00952E4D"/>
    <w:rsid w:val="00953573"/>
    <w:rsid w:val="00954036"/>
    <w:rsid w:val="0095676E"/>
    <w:rsid w:val="00956983"/>
    <w:rsid w:val="00963CF0"/>
    <w:rsid w:val="00964BB1"/>
    <w:rsid w:val="009775D9"/>
    <w:rsid w:val="00997175"/>
    <w:rsid w:val="009A1847"/>
    <w:rsid w:val="009B062A"/>
    <w:rsid w:val="009E7C6F"/>
    <w:rsid w:val="009F1793"/>
    <w:rsid w:val="009F2D23"/>
    <w:rsid w:val="009F5C16"/>
    <w:rsid w:val="00A01D69"/>
    <w:rsid w:val="00A02335"/>
    <w:rsid w:val="00A46C9A"/>
    <w:rsid w:val="00A5646D"/>
    <w:rsid w:val="00A619F3"/>
    <w:rsid w:val="00A62A73"/>
    <w:rsid w:val="00A87FF6"/>
    <w:rsid w:val="00AA0A3B"/>
    <w:rsid w:val="00AA2763"/>
    <w:rsid w:val="00AA33B6"/>
    <w:rsid w:val="00AB50CA"/>
    <w:rsid w:val="00AB6D64"/>
    <w:rsid w:val="00AC53CE"/>
    <w:rsid w:val="00AD2193"/>
    <w:rsid w:val="00AF19F4"/>
    <w:rsid w:val="00AF2AC7"/>
    <w:rsid w:val="00AF74CE"/>
    <w:rsid w:val="00B208DB"/>
    <w:rsid w:val="00B23F69"/>
    <w:rsid w:val="00B31038"/>
    <w:rsid w:val="00B60619"/>
    <w:rsid w:val="00B66A70"/>
    <w:rsid w:val="00B67366"/>
    <w:rsid w:val="00B80EE1"/>
    <w:rsid w:val="00B84135"/>
    <w:rsid w:val="00C04D34"/>
    <w:rsid w:val="00C05DF8"/>
    <w:rsid w:val="00C06864"/>
    <w:rsid w:val="00C10F54"/>
    <w:rsid w:val="00C23D8D"/>
    <w:rsid w:val="00C349B6"/>
    <w:rsid w:val="00C37AA3"/>
    <w:rsid w:val="00C37FD7"/>
    <w:rsid w:val="00C43419"/>
    <w:rsid w:val="00C44CF3"/>
    <w:rsid w:val="00C61BE0"/>
    <w:rsid w:val="00C6707E"/>
    <w:rsid w:val="00C70B0E"/>
    <w:rsid w:val="00C773CA"/>
    <w:rsid w:val="00C83785"/>
    <w:rsid w:val="00C87FA8"/>
    <w:rsid w:val="00C94C0D"/>
    <w:rsid w:val="00CA1FEB"/>
    <w:rsid w:val="00CB458E"/>
    <w:rsid w:val="00CD4F85"/>
    <w:rsid w:val="00CD6F02"/>
    <w:rsid w:val="00CE246D"/>
    <w:rsid w:val="00CF07A0"/>
    <w:rsid w:val="00CF3E03"/>
    <w:rsid w:val="00D0082A"/>
    <w:rsid w:val="00D21455"/>
    <w:rsid w:val="00D47634"/>
    <w:rsid w:val="00D709B3"/>
    <w:rsid w:val="00D74CD2"/>
    <w:rsid w:val="00DA2ED6"/>
    <w:rsid w:val="00DB1D55"/>
    <w:rsid w:val="00DB318B"/>
    <w:rsid w:val="00DB5E80"/>
    <w:rsid w:val="00DB76B8"/>
    <w:rsid w:val="00DC2EA1"/>
    <w:rsid w:val="00DC498F"/>
    <w:rsid w:val="00DD6AAF"/>
    <w:rsid w:val="00DE3F5C"/>
    <w:rsid w:val="00DF1D20"/>
    <w:rsid w:val="00E21324"/>
    <w:rsid w:val="00E246B9"/>
    <w:rsid w:val="00E31FEA"/>
    <w:rsid w:val="00E35824"/>
    <w:rsid w:val="00E43026"/>
    <w:rsid w:val="00E45169"/>
    <w:rsid w:val="00E47787"/>
    <w:rsid w:val="00E51C30"/>
    <w:rsid w:val="00E64180"/>
    <w:rsid w:val="00E7235D"/>
    <w:rsid w:val="00E74AEE"/>
    <w:rsid w:val="00E868E5"/>
    <w:rsid w:val="00E9237A"/>
    <w:rsid w:val="00E939FA"/>
    <w:rsid w:val="00EA5765"/>
    <w:rsid w:val="00EC2532"/>
    <w:rsid w:val="00ED7812"/>
    <w:rsid w:val="00EF3B86"/>
    <w:rsid w:val="00F15AA0"/>
    <w:rsid w:val="00F317E9"/>
    <w:rsid w:val="00F34554"/>
    <w:rsid w:val="00F35B68"/>
    <w:rsid w:val="00F45F77"/>
    <w:rsid w:val="00F5167F"/>
    <w:rsid w:val="00F52258"/>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EA4A7"/>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24590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04194">
      <w:bodyDiv w:val="1"/>
      <w:marLeft w:val="0"/>
      <w:marRight w:val="0"/>
      <w:marTop w:val="0"/>
      <w:marBottom w:val="0"/>
      <w:divBdr>
        <w:top w:val="none" w:sz="0" w:space="0" w:color="auto"/>
        <w:left w:val="none" w:sz="0" w:space="0" w:color="auto"/>
        <w:bottom w:val="none" w:sz="0" w:space="0" w:color="auto"/>
        <w:right w:val="none" w:sz="0" w:space="0" w:color="auto"/>
      </w:divBdr>
    </w:div>
    <w:div w:id="360396527">
      <w:bodyDiv w:val="1"/>
      <w:marLeft w:val="0"/>
      <w:marRight w:val="0"/>
      <w:marTop w:val="0"/>
      <w:marBottom w:val="0"/>
      <w:divBdr>
        <w:top w:val="none" w:sz="0" w:space="0" w:color="auto"/>
        <w:left w:val="none" w:sz="0" w:space="0" w:color="auto"/>
        <w:bottom w:val="none" w:sz="0" w:space="0" w:color="auto"/>
        <w:right w:val="none" w:sz="0" w:space="0" w:color="auto"/>
      </w:divBdr>
    </w:div>
    <w:div w:id="404111849">
      <w:bodyDiv w:val="1"/>
      <w:marLeft w:val="0"/>
      <w:marRight w:val="0"/>
      <w:marTop w:val="0"/>
      <w:marBottom w:val="0"/>
      <w:divBdr>
        <w:top w:val="none" w:sz="0" w:space="0" w:color="auto"/>
        <w:left w:val="none" w:sz="0" w:space="0" w:color="auto"/>
        <w:bottom w:val="none" w:sz="0" w:space="0" w:color="auto"/>
        <w:right w:val="none" w:sz="0" w:space="0" w:color="auto"/>
      </w:divBdr>
    </w:div>
    <w:div w:id="517232437">
      <w:bodyDiv w:val="1"/>
      <w:marLeft w:val="0"/>
      <w:marRight w:val="0"/>
      <w:marTop w:val="0"/>
      <w:marBottom w:val="0"/>
      <w:divBdr>
        <w:top w:val="none" w:sz="0" w:space="0" w:color="auto"/>
        <w:left w:val="none" w:sz="0" w:space="0" w:color="auto"/>
        <w:bottom w:val="none" w:sz="0" w:space="0" w:color="auto"/>
        <w:right w:val="none" w:sz="0" w:space="0" w:color="auto"/>
      </w:divBdr>
    </w:div>
    <w:div w:id="532233637">
      <w:bodyDiv w:val="1"/>
      <w:marLeft w:val="0"/>
      <w:marRight w:val="0"/>
      <w:marTop w:val="0"/>
      <w:marBottom w:val="0"/>
      <w:divBdr>
        <w:top w:val="none" w:sz="0" w:space="0" w:color="auto"/>
        <w:left w:val="none" w:sz="0" w:space="0" w:color="auto"/>
        <w:bottom w:val="none" w:sz="0" w:space="0" w:color="auto"/>
        <w:right w:val="none" w:sz="0" w:space="0" w:color="auto"/>
      </w:divBdr>
    </w:div>
    <w:div w:id="645401208">
      <w:bodyDiv w:val="1"/>
      <w:marLeft w:val="0"/>
      <w:marRight w:val="0"/>
      <w:marTop w:val="0"/>
      <w:marBottom w:val="0"/>
      <w:divBdr>
        <w:top w:val="none" w:sz="0" w:space="0" w:color="auto"/>
        <w:left w:val="none" w:sz="0" w:space="0" w:color="auto"/>
        <w:bottom w:val="none" w:sz="0" w:space="0" w:color="auto"/>
        <w:right w:val="none" w:sz="0" w:space="0" w:color="auto"/>
      </w:divBdr>
    </w:div>
    <w:div w:id="944728948">
      <w:bodyDiv w:val="1"/>
      <w:marLeft w:val="0"/>
      <w:marRight w:val="0"/>
      <w:marTop w:val="0"/>
      <w:marBottom w:val="0"/>
      <w:divBdr>
        <w:top w:val="none" w:sz="0" w:space="0" w:color="auto"/>
        <w:left w:val="none" w:sz="0" w:space="0" w:color="auto"/>
        <w:bottom w:val="none" w:sz="0" w:space="0" w:color="auto"/>
        <w:right w:val="none" w:sz="0" w:space="0" w:color="auto"/>
      </w:divBdr>
    </w:div>
    <w:div w:id="980353055">
      <w:bodyDiv w:val="1"/>
      <w:marLeft w:val="0"/>
      <w:marRight w:val="0"/>
      <w:marTop w:val="0"/>
      <w:marBottom w:val="0"/>
      <w:divBdr>
        <w:top w:val="none" w:sz="0" w:space="0" w:color="auto"/>
        <w:left w:val="none" w:sz="0" w:space="0" w:color="auto"/>
        <w:bottom w:val="none" w:sz="0" w:space="0" w:color="auto"/>
        <w:right w:val="none" w:sz="0" w:space="0" w:color="auto"/>
      </w:divBdr>
    </w:div>
    <w:div w:id="1078404274">
      <w:bodyDiv w:val="1"/>
      <w:marLeft w:val="0"/>
      <w:marRight w:val="0"/>
      <w:marTop w:val="0"/>
      <w:marBottom w:val="0"/>
      <w:divBdr>
        <w:top w:val="none" w:sz="0" w:space="0" w:color="auto"/>
        <w:left w:val="none" w:sz="0" w:space="0" w:color="auto"/>
        <w:bottom w:val="none" w:sz="0" w:space="0" w:color="auto"/>
        <w:right w:val="none" w:sz="0" w:space="0" w:color="auto"/>
      </w:divBdr>
    </w:div>
    <w:div w:id="1144080227">
      <w:bodyDiv w:val="1"/>
      <w:marLeft w:val="0"/>
      <w:marRight w:val="0"/>
      <w:marTop w:val="0"/>
      <w:marBottom w:val="0"/>
      <w:divBdr>
        <w:top w:val="none" w:sz="0" w:space="0" w:color="auto"/>
        <w:left w:val="none" w:sz="0" w:space="0" w:color="auto"/>
        <w:bottom w:val="none" w:sz="0" w:space="0" w:color="auto"/>
        <w:right w:val="none" w:sz="0" w:space="0" w:color="auto"/>
      </w:divBdr>
    </w:div>
    <w:div w:id="1208025874">
      <w:bodyDiv w:val="1"/>
      <w:marLeft w:val="0"/>
      <w:marRight w:val="0"/>
      <w:marTop w:val="0"/>
      <w:marBottom w:val="0"/>
      <w:divBdr>
        <w:top w:val="none" w:sz="0" w:space="0" w:color="auto"/>
        <w:left w:val="none" w:sz="0" w:space="0" w:color="auto"/>
        <w:bottom w:val="none" w:sz="0" w:space="0" w:color="auto"/>
        <w:right w:val="none" w:sz="0" w:space="0" w:color="auto"/>
      </w:divBdr>
    </w:div>
    <w:div w:id="1374648144">
      <w:bodyDiv w:val="1"/>
      <w:marLeft w:val="0"/>
      <w:marRight w:val="0"/>
      <w:marTop w:val="0"/>
      <w:marBottom w:val="0"/>
      <w:divBdr>
        <w:top w:val="none" w:sz="0" w:space="0" w:color="auto"/>
        <w:left w:val="none" w:sz="0" w:space="0" w:color="auto"/>
        <w:bottom w:val="none" w:sz="0" w:space="0" w:color="auto"/>
        <w:right w:val="none" w:sz="0" w:space="0" w:color="auto"/>
      </w:divBdr>
    </w:div>
    <w:div w:id="1555314579">
      <w:bodyDiv w:val="1"/>
      <w:marLeft w:val="0"/>
      <w:marRight w:val="0"/>
      <w:marTop w:val="0"/>
      <w:marBottom w:val="0"/>
      <w:divBdr>
        <w:top w:val="none" w:sz="0" w:space="0" w:color="auto"/>
        <w:left w:val="none" w:sz="0" w:space="0" w:color="auto"/>
        <w:bottom w:val="none" w:sz="0" w:space="0" w:color="auto"/>
        <w:right w:val="none" w:sz="0" w:space="0" w:color="auto"/>
      </w:divBdr>
    </w:div>
    <w:div w:id="1557159678">
      <w:bodyDiv w:val="1"/>
      <w:marLeft w:val="0"/>
      <w:marRight w:val="0"/>
      <w:marTop w:val="0"/>
      <w:marBottom w:val="0"/>
      <w:divBdr>
        <w:top w:val="none" w:sz="0" w:space="0" w:color="auto"/>
        <w:left w:val="none" w:sz="0" w:space="0" w:color="auto"/>
        <w:bottom w:val="none" w:sz="0" w:space="0" w:color="auto"/>
        <w:right w:val="none" w:sz="0" w:space="0" w:color="auto"/>
      </w:divBdr>
    </w:div>
    <w:div w:id="1637564112">
      <w:bodyDiv w:val="1"/>
      <w:marLeft w:val="0"/>
      <w:marRight w:val="0"/>
      <w:marTop w:val="0"/>
      <w:marBottom w:val="0"/>
      <w:divBdr>
        <w:top w:val="none" w:sz="0" w:space="0" w:color="auto"/>
        <w:left w:val="none" w:sz="0" w:space="0" w:color="auto"/>
        <w:bottom w:val="none" w:sz="0" w:space="0" w:color="auto"/>
        <w:right w:val="none" w:sz="0" w:space="0" w:color="auto"/>
      </w:divBdr>
    </w:div>
    <w:div w:id="1678381599">
      <w:bodyDiv w:val="1"/>
      <w:marLeft w:val="0"/>
      <w:marRight w:val="0"/>
      <w:marTop w:val="0"/>
      <w:marBottom w:val="0"/>
      <w:divBdr>
        <w:top w:val="none" w:sz="0" w:space="0" w:color="auto"/>
        <w:left w:val="none" w:sz="0" w:space="0" w:color="auto"/>
        <w:bottom w:val="none" w:sz="0" w:space="0" w:color="auto"/>
        <w:right w:val="none" w:sz="0" w:space="0" w:color="auto"/>
      </w:divBdr>
    </w:div>
    <w:div w:id="1721203772">
      <w:bodyDiv w:val="1"/>
      <w:marLeft w:val="0"/>
      <w:marRight w:val="0"/>
      <w:marTop w:val="0"/>
      <w:marBottom w:val="0"/>
      <w:divBdr>
        <w:top w:val="none" w:sz="0" w:space="0" w:color="auto"/>
        <w:left w:val="none" w:sz="0" w:space="0" w:color="auto"/>
        <w:bottom w:val="none" w:sz="0" w:space="0" w:color="auto"/>
        <w:right w:val="none" w:sz="0" w:space="0" w:color="auto"/>
      </w:divBdr>
    </w:div>
    <w:div w:id="1764642816">
      <w:bodyDiv w:val="1"/>
      <w:marLeft w:val="0"/>
      <w:marRight w:val="0"/>
      <w:marTop w:val="0"/>
      <w:marBottom w:val="0"/>
      <w:divBdr>
        <w:top w:val="none" w:sz="0" w:space="0" w:color="auto"/>
        <w:left w:val="none" w:sz="0" w:space="0" w:color="auto"/>
        <w:bottom w:val="none" w:sz="0" w:space="0" w:color="auto"/>
        <w:right w:val="none" w:sz="0" w:space="0" w:color="auto"/>
      </w:divBdr>
    </w:div>
    <w:div w:id="1797405053">
      <w:bodyDiv w:val="1"/>
      <w:marLeft w:val="0"/>
      <w:marRight w:val="0"/>
      <w:marTop w:val="0"/>
      <w:marBottom w:val="0"/>
      <w:divBdr>
        <w:top w:val="none" w:sz="0" w:space="0" w:color="auto"/>
        <w:left w:val="none" w:sz="0" w:space="0" w:color="auto"/>
        <w:bottom w:val="none" w:sz="0" w:space="0" w:color="auto"/>
        <w:right w:val="none" w:sz="0" w:space="0" w:color="auto"/>
      </w:divBdr>
    </w:div>
    <w:div w:id="1991210546">
      <w:bodyDiv w:val="1"/>
      <w:marLeft w:val="0"/>
      <w:marRight w:val="0"/>
      <w:marTop w:val="0"/>
      <w:marBottom w:val="0"/>
      <w:divBdr>
        <w:top w:val="none" w:sz="0" w:space="0" w:color="auto"/>
        <w:left w:val="none" w:sz="0" w:space="0" w:color="auto"/>
        <w:bottom w:val="none" w:sz="0" w:space="0" w:color="auto"/>
        <w:right w:val="none" w:sz="0" w:space="0" w:color="auto"/>
      </w:divBdr>
    </w:div>
    <w:div w:id="20913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958C0-6B23-4295-8F51-5A7CED0CE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1721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11514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Berina Ljuca</cp:lastModifiedBy>
  <cp:revision>10</cp:revision>
  <cp:lastPrinted>2023-02-09T08:16:00Z</cp:lastPrinted>
  <dcterms:created xsi:type="dcterms:W3CDTF">2025-01-13T14:56:00Z</dcterms:created>
  <dcterms:modified xsi:type="dcterms:W3CDTF">2025-07-23T06:53:00Z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