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56E922" w14:textId="77777777" w:rsidR="001E6D1D" w:rsidRPr="00B14963" w:rsidRDefault="001E6D1D" w:rsidP="002510A5">
      <w:pPr>
        <w:jc w:val="center"/>
        <w:rPr>
          <w:b/>
          <w:bCs/>
          <w:iCs/>
          <w:sz w:val="22"/>
          <w:szCs w:val="22"/>
          <w:u w:val="single"/>
        </w:rPr>
      </w:pPr>
    </w:p>
    <w:p w14:paraId="333A9ADD" w14:textId="77777777" w:rsidR="002510A5" w:rsidRPr="00B14963" w:rsidRDefault="002510A5" w:rsidP="002510A5">
      <w:pPr>
        <w:jc w:val="center"/>
        <w:rPr>
          <w:b/>
          <w:bCs/>
          <w:iCs/>
          <w:sz w:val="22"/>
          <w:szCs w:val="22"/>
          <w:u w:val="single"/>
        </w:rPr>
      </w:pPr>
      <w:r w:rsidRPr="00B14963">
        <w:rPr>
          <w:b/>
          <w:bCs/>
          <w:iCs/>
          <w:sz w:val="22"/>
          <w:szCs w:val="22"/>
          <w:u w:val="single"/>
        </w:rPr>
        <w:t>SAŽETAK KARAKTERISTIKA LIJEKA</w:t>
      </w:r>
    </w:p>
    <w:p w14:paraId="276ED17F" w14:textId="77777777" w:rsidR="003C17AB" w:rsidRPr="00B14963" w:rsidRDefault="003C17AB" w:rsidP="00F5167F">
      <w:pPr>
        <w:tabs>
          <w:tab w:val="left" w:pos="540"/>
          <w:tab w:val="left" w:pos="569"/>
        </w:tabs>
        <w:rPr>
          <w:sz w:val="22"/>
          <w:szCs w:val="22"/>
        </w:rPr>
      </w:pPr>
    </w:p>
    <w:p w14:paraId="6167ADC8" w14:textId="77777777" w:rsidR="00C37FD7" w:rsidRPr="00B14963" w:rsidRDefault="00C37FD7" w:rsidP="00F5167F">
      <w:pPr>
        <w:tabs>
          <w:tab w:val="left" w:pos="540"/>
          <w:tab w:val="left" w:pos="569"/>
        </w:tabs>
        <w:rPr>
          <w:bCs/>
          <w:sz w:val="22"/>
          <w:szCs w:val="22"/>
        </w:rPr>
      </w:pPr>
    </w:p>
    <w:p w14:paraId="6182B7C8" w14:textId="77777777" w:rsidR="00411B4B" w:rsidRPr="00B14963" w:rsidRDefault="00411B4B" w:rsidP="00874EF0">
      <w:pPr>
        <w:tabs>
          <w:tab w:val="left" w:pos="540"/>
          <w:tab w:val="left" w:pos="569"/>
        </w:tabs>
        <w:jc w:val="both"/>
        <w:rPr>
          <w:b/>
          <w:bCs/>
          <w:sz w:val="22"/>
          <w:szCs w:val="22"/>
        </w:rPr>
      </w:pPr>
      <w:r w:rsidRPr="00B14963">
        <w:rPr>
          <w:b/>
          <w:bCs/>
          <w:sz w:val="22"/>
          <w:szCs w:val="22"/>
        </w:rPr>
        <w:t>1.</w:t>
      </w:r>
      <w:r w:rsidR="00F5167F" w:rsidRPr="00B14963">
        <w:rPr>
          <w:b/>
          <w:bCs/>
          <w:sz w:val="22"/>
          <w:szCs w:val="22"/>
        </w:rPr>
        <w:tab/>
      </w:r>
      <w:r w:rsidR="002846DB" w:rsidRPr="00B14963">
        <w:rPr>
          <w:b/>
          <w:bCs/>
          <w:sz w:val="22"/>
          <w:szCs w:val="22"/>
        </w:rPr>
        <w:t xml:space="preserve">NAZIV </w:t>
      </w:r>
      <w:r w:rsidRPr="00B14963">
        <w:rPr>
          <w:b/>
          <w:bCs/>
          <w:sz w:val="22"/>
          <w:szCs w:val="22"/>
        </w:rPr>
        <w:t>LIJEKA</w:t>
      </w:r>
    </w:p>
    <w:p w14:paraId="6ED16399" w14:textId="77777777" w:rsidR="00EC2532" w:rsidRPr="00B14963" w:rsidRDefault="00EC2532" w:rsidP="00874EF0">
      <w:pPr>
        <w:jc w:val="both"/>
        <w:rPr>
          <w:sz w:val="22"/>
          <w:szCs w:val="22"/>
        </w:rPr>
      </w:pPr>
    </w:p>
    <w:p w14:paraId="71E6CCA8" w14:textId="1EDCBDEE" w:rsidR="006D20A5" w:rsidRPr="00B14963" w:rsidRDefault="00D35ABA" w:rsidP="00874EF0">
      <w:pPr>
        <w:jc w:val="both"/>
        <w:rPr>
          <w:bCs/>
          <w:sz w:val="22"/>
          <w:szCs w:val="22"/>
        </w:rPr>
      </w:pPr>
      <w:r w:rsidRPr="00B14963">
        <w:rPr>
          <w:bCs/>
          <w:sz w:val="22"/>
          <w:szCs w:val="22"/>
        </w:rPr>
        <w:t>MabThera, 1600 mg, rastvor za injekciju</w:t>
      </w:r>
    </w:p>
    <w:p w14:paraId="3E462E69" w14:textId="77777777" w:rsidR="00D35ABA" w:rsidRPr="00B14963" w:rsidRDefault="00D35ABA" w:rsidP="00874EF0">
      <w:pPr>
        <w:jc w:val="both"/>
        <w:rPr>
          <w:bCs/>
          <w:sz w:val="22"/>
          <w:szCs w:val="22"/>
        </w:rPr>
      </w:pPr>
    </w:p>
    <w:p w14:paraId="256F42D8" w14:textId="77777777" w:rsidR="00D35ABA" w:rsidRPr="00B14963" w:rsidRDefault="00D35ABA" w:rsidP="00874EF0">
      <w:pPr>
        <w:jc w:val="both"/>
        <w:rPr>
          <w:bCs/>
          <w:sz w:val="22"/>
          <w:szCs w:val="22"/>
        </w:rPr>
      </w:pPr>
      <w:r w:rsidRPr="00B14963">
        <w:rPr>
          <w:bCs/>
          <w:sz w:val="22"/>
          <w:szCs w:val="22"/>
        </w:rPr>
        <w:t>INN: rituksimab</w:t>
      </w:r>
    </w:p>
    <w:p w14:paraId="386423FF" w14:textId="77777777" w:rsidR="00530BD7" w:rsidRPr="00B14963" w:rsidRDefault="00530BD7" w:rsidP="00874EF0">
      <w:pPr>
        <w:jc w:val="both"/>
        <w:rPr>
          <w:bCs/>
          <w:sz w:val="22"/>
          <w:szCs w:val="22"/>
        </w:rPr>
      </w:pPr>
    </w:p>
    <w:p w14:paraId="74C5CB12" w14:textId="77777777" w:rsidR="00951288" w:rsidRPr="00B14963" w:rsidRDefault="00951288" w:rsidP="00874EF0">
      <w:pPr>
        <w:jc w:val="both"/>
        <w:rPr>
          <w:bCs/>
          <w:sz w:val="22"/>
          <w:szCs w:val="22"/>
        </w:rPr>
      </w:pPr>
    </w:p>
    <w:p w14:paraId="630C5EC8" w14:textId="77777777" w:rsidR="00411B4B" w:rsidRPr="00B14963" w:rsidRDefault="00411B4B" w:rsidP="00874EF0">
      <w:pPr>
        <w:tabs>
          <w:tab w:val="left" w:pos="540"/>
          <w:tab w:val="left" w:pos="569"/>
        </w:tabs>
        <w:jc w:val="both"/>
        <w:rPr>
          <w:b/>
          <w:bCs/>
          <w:sz w:val="22"/>
          <w:szCs w:val="22"/>
        </w:rPr>
      </w:pPr>
      <w:r w:rsidRPr="00B14963">
        <w:rPr>
          <w:b/>
          <w:bCs/>
          <w:sz w:val="22"/>
          <w:szCs w:val="22"/>
        </w:rPr>
        <w:t xml:space="preserve">2. </w:t>
      </w:r>
      <w:r w:rsidR="00F5167F" w:rsidRPr="00B14963">
        <w:rPr>
          <w:b/>
          <w:bCs/>
          <w:sz w:val="22"/>
          <w:szCs w:val="22"/>
        </w:rPr>
        <w:tab/>
      </w:r>
      <w:r w:rsidRPr="00B14963">
        <w:rPr>
          <w:b/>
          <w:bCs/>
          <w:sz w:val="22"/>
          <w:szCs w:val="22"/>
        </w:rPr>
        <w:t>KVALITATIVNI I KVANTITATIVNI SASTAV</w:t>
      </w:r>
    </w:p>
    <w:p w14:paraId="6C9D1890" w14:textId="77777777" w:rsidR="005A0B2E" w:rsidRPr="00B14963" w:rsidRDefault="005A0B2E" w:rsidP="00874EF0">
      <w:pPr>
        <w:jc w:val="both"/>
        <w:rPr>
          <w:sz w:val="22"/>
          <w:szCs w:val="22"/>
        </w:rPr>
      </w:pPr>
    </w:p>
    <w:p w14:paraId="61C43A75" w14:textId="77777777" w:rsidR="00D35ABA" w:rsidRPr="00B14963" w:rsidRDefault="00D35ABA" w:rsidP="00874EF0">
      <w:pPr>
        <w:jc w:val="both"/>
        <w:rPr>
          <w:sz w:val="22"/>
          <w:szCs w:val="22"/>
        </w:rPr>
      </w:pPr>
      <w:r w:rsidRPr="00B14963">
        <w:rPr>
          <w:sz w:val="22"/>
          <w:szCs w:val="22"/>
        </w:rPr>
        <w:t>Jedan ml</w:t>
      </w:r>
      <w:r w:rsidR="00BC6782" w:rsidRPr="00B14963">
        <w:rPr>
          <w:sz w:val="22"/>
          <w:szCs w:val="22"/>
        </w:rPr>
        <w:t xml:space="preserve"> rastvora</w:t>
      </w:r>
      <w:r w:rsidRPr="00B14963">
        <w:rPr>
          <w:sz w:val="22"/>
          <w:szCs w:val="22"/>
        </w:rPr>
        <w:t xml:space="preserve"> sadrži 120 mg rituksimaba.</w:t>
      </w:r>
    </w:p>
    <w:p w14:paraId="400374F1" w14:textId="77777777" w:rsidR="00D35ABA" w:rsidRPr="00B14963" w:rsidRDefault="00D35ABA" w:rsidP="00874EF0">
      <w:pPr>
        <w:jc w:val="both"/>
        <w:rPr>
          <w:sz w:val="22"/>
          <w:szCs w:val="22"/>
        </w:rPr>
      </w:pPr>
    </w:p>
    <w:p w14:paraId="5FAA249B" w14:textId="77777777" w:rsidR="00D35ABA" w:rsidRPr="00B14963" w:rsidRDefault="00D35ABA" w:rsidP="00874EF0">
      <w:pPr>
        <w:jc w:val="both"/>
        <w:rPr>
          <w:sz w:val="22"/>
          <w:szCs w:val="22"/>
        </w:rPr>
      </w:pPr>
      <w:r w:rsidRPr="00B14963">
        <w:rPr>
          <w:sz w:val="22"/>
          <w:szCs w:val="22"/>
        </w:rPr>
        <w:t>Jedna bočica sadrži 1600 mg/13.4 ml rituksimaba.</w:t>
      </w:r>
    </w:p>
    <w:p w14:paraId="1D4B2D18" w14:textId="77777777" w:rsidR="00D35ABA" w:rsidRPr="00B14963" w:rsidRDefault="00D35ABA" w:rsidP="00874EF0">
      <w:pPr>
        <w:jc w:val="both"/>
        <w:rPr>
          <w:sz w:val="22"/>
          <w:szCs w:val="22"/>
        </w:rPr>
      </w:pPr>
    </w:p>
    <w:p w14:paraId="680DC2F0" w14:textId="77777777" w:rsidR="00D35ABA" w:rsidRPr="00B14963" w:rsidRDefault="00D35ABA" w:rsidP="00874EF0">
      <w:pPr>
        <w:jc w:val="both"/>
        <w:rPr>
          <w:sz w:val="22"/>
          <w:szCs w:val="22"/>
        </w:rPr>
      </w:pPr>
      <w:r w:rsidRPr="00B14963">
        <w:rPr>
          <w:sz w:val="22"/>
          <w:szCs w:val="22"/>
        </w:rPr>
        <w:t xml:space="preserve">Rituksimab je genetskim inženjeringom dobijeno himerno mišje/humano monoklonsko antitijelo koje predstavlja glikozilovani imunoglobulin sa konstantnim regionima humanog IgG1 i mišjim sekvencama varijabilnih regiona lakih i teških lanaca. Ovo antitijelo se proizvodi u kulturi ćelijske suspenzije sisara (jajnici kineskog hrčka) i potom prečišćava afinitetnom hromatografijom i jonskom izmjenom, uključujući specifične procedure uklanjanja i inaktivacije virusa. </w:t>
      </w:r>
    </w:p>
    <w:p w14:paraId="72FC6D7E" w14:textId="77777777" w:rsidR="00D35ABA" w:rsidRPr="00B14963" w:rsidRDefault="00D35ABA" w:rsidP="00874EF0">
      <w:pPr>
        <w:jc w:val="both"/>
        <w:rPr>
          <w:sz w:val="22"/>
          <w:szCs w:val="22"/>
        </w:rPr>
      </w:pPr>
    </w:p>
    <w:p w14:paraId="590161B9" w14:textId="77777777" w:rsidR="0003793F" w:rsidRPr="00B14963" w:rsidRDefault="0003793F" w:rsidP="00874EF0">
      <w:pPr>
        <w:jc w:val="both"/>
        <w:rPr>
          <w:sz w:val="22"/>
          <w:szCs w:val="22"/>
        </w:rPr>
      </w:pPr>
      <w:r w:rsidRPr="00B14963">
        <w:rPr>
          <w:sz w:val="22"/>
          <w:szCs w:val="22"/>
        </w:rPr>
        <w:t>Za spisak svih ekscipijenasa, pogledati dio 6.1.</w:t>
      </w:r>
    </w:p>
    <w:p w14:paraId="250EE63A" w14:textId="77777777" w:rsidR="0004041A" w:rsidRPr="00B14963" w:rsidRDefault="0004041A" w:rsidP="00874EF0">
      <w:pPr>
        <w:jc w:val="both"/>
        <w:rPr>
          <w:sz w:val="22"/>
          <w:szCs w:val="22"/>
        </w:rPr>
      </w:pPr>
    </w:p>
    <w:p w14:paraId="47A307C0" w14:textId="77777777" w:rsidR="00C37FD7" w:rsidRPr="00B14963" w:rsidRDefault="00C37FD7" w:rsidP="00874EF0">
      <w:pPr>
        <w:jc w:val="both"/>
        <w:rPr>
          <w:sz w:val="22"/>
          <w:szCs w:val="22"/>
        </w:rPr>
      </w:pPr>
    </w:p>
    <w:p w14:paraId="546D31EE" w14:textId="77777777" w:rsidR="00411B4B" w:rsidRPr="00B14963" w:rsidRDefault="00411B4B" w:rsidP="00874EF0">
      <w:pPr>
        <w:tabs>
          <w:tab w:val="left" w:pos="540"/>
          <w:tab w:val="left" w:pos="569"/>
        </w:tabs>
        <w:jc w:val="both"/>
        <w:rPr>
          <w:b/>
          <w:bCs/>
          <w:sz w:val="22"/>
          <w:szCs w:val="22"/>
        </w:rPr>
      </w:pPr>
      <w:r w:rsidRPr="00B14963">
        <w:rPr>
          <w:b/>
          <w:bCs/>
          <w:sz w:val="22"/>
          <w:szCs w:val="22"/>
        </w:rPr>
        <w:t xml:space="preserve">3. </w:t>
      </w:r>
      <w:r w:rsidR="00F5167F" w:rsidRPr="00B14963">
        <w:rPr>
          <w:b/>
          <w:bCs/>
          <w:sz w:val="22"/>
          <w:szCs w:val="22"/>
        </w:rPr>
        <w:tab/>
      </w:r>
      <w:r w:rsidRPr="00B14963">
        <w:rPr>
          <w:b/>
          <w:bCs/>
          <w:sz w:val="22"/>
          <w:szCs w:val="22"/>
        </w:rPr>
        <w:t>FARMACEUTSKI OBLIK</w:t>
      </w:r>
      <w:r w:rsidR="009F2D23" w:rsidRPr="00B14963">
        <w:rPr>
          <w:b/>
          <w:bCs/>
          <w:sz w:val="22"/>
          <w:szCs w:val="22"/>
        </w:rPr>
        <w:t xml:space="preserve"> </w:t>
      </w:r>
    </w:p>
    <w:p w14:paraId="7C2167DA" w14:textId="77777777" w:rsidR="00D35ABA" w:rsidRPr="00B14963" w:rsidRDefault="00D35ABA" w:rsidP="00874EF0">
      <w:pPr>
        <w:tabs>
          <w:tab w:val="left" w:pos="540"/>
          <w:tab w:val="left" w:pos="569"/>
        </w:tabs>
        <w:jc w:val="both"/>
        <w:rPr>
          <w:b/>
          <w:bCs/>
          <w:sz w:val="22"/>
          <w:szCs w:val="22"/>
        </w:rPr>
      </w:pPr>
    </w:p>
    <w:p w14:paraId="289A01B8" w14:textId="77777777" w:rsidR="00D35ABA" w:rsidRPr="00B14963" w:rsidRDefault="00D35ABA" w:rsidP="00874EF0">
      <w:pPr>
        <w:jc w:val="both"/>
        <w:rPr>
          <w:sz w:val="22"/>
          <w:szCs w:val="22"/>
        </w:rPr>
      </w:pPr>
      <w:r w:rsidRPr="00B14963">
        <w:rPr>
          <w:sz w:val="22"/>
          <w:szCs w:val="22"/>
        </w:rPr>
        <w:t>Rastvor za injekciju.</w:t>
      </w:r>
    </w:p>
    <w:p w14:paraId="3740BC7F" w14:textId="77777777" w:rsidR="00411B4B" w:rsidRPr="00B14963" w:rsidRDefault="00D35ABA" w:rsidP="00874EF0">
      <w:pPr>
        <w:jc w:val="both"/>
        <w:rPr>
          <w:sz w:val="22"/>
          <w:szCs w:val="22"/>
        </w:rPr>
      </w:pPr>
      <w:r w:rsidRPr="00B14963">
        <w:rPr>
          <w:sz w:val="22"/>
          <w:szCs w:val="22"/>
        </w:rPr>
        <w:t>Bistra do opalescentna, bezbojna do žućkasta tečnost, pH vr</w:t>
      </w:r>
      <w:r w:rsidR="00BC6782" w:rsidRPr="00B14963">
        <w:rPr>
          <w:sz w:val="22"/>
          <w:szCs w:val="22"/>
        </w:rPr>
        <w:t>ij</w:t>
      </w:r>
      <w:r w:rsidRPr="00B14963">
        <w:rPr>
          <w:sz w:val="22"/>
          <w:szCs w:val="22"/>
        </w:rPr>
        <w:t>ednosti 5,2 </w:t>
      </w:r>
      <w:r w:rsidRPr="00B14963">
        <w:rPr>
          <w:sz w:val="22"/>
          <w:szCs w:val="22"/>
        </w:rPr>
        <w:noBreakHyphen/>
        <w:t xml:space="preserve"> 5,8 i osmolalnosti 300 </w:t>
      </w:r>
      <w:r w:rsidRPr="00B14963">
        <w:rPr>
          <w:sz w:val="22"/>
          <w:szCs w:val="22"/>
        </w:rPr>
        <w:noBreakHyphen/>
        <w:t> 400 mOsmol/kg.</w:t>
      </w:r>
    </w:p>
    <w:p w14:paraId="498C2702" w14:textId="77777777" w:rsidR="0004041A" w:rsidRPr="00B14963" w:rsidRDefault="0004041A" w:rsidP="00874EF0">
      <w:pPr>
        <w:jc w:val="both"/>
        <w:rPr>
          <w:bCs/>
          <w:sz w:val="22"/>
          <w:szCs w:val="22"/>
        </w:rPr>
      </w:pPr>
    </w:p>
    <w:p w14:paraId="20C14D86" w14:textId="77777777" w:rsidR="00EC2532" w:rsidRPr="00B14963" w:rsidRDefault="00EC2532" w:rsidP="00874EF0">
      <w:pPr>
        <w:jc w:val="both"/>
        <w:rPr>
          <w:bCs/>
          <w:sz w:val="22"/>
          <w:szCs w:val="22"/>
        </w:rPr>
      </w:pPr>
    </w:p>
    <w:p w14:paraId="32C7C055" w14:textId="77777777" w:rsidR="00411B4B" w:rsidRPr="00B14963" w:rsidRDefault="00411B4B" w:rsidP="00874EF0">
      <w:pPr>
        <w:tabs>
          <w:tab w:val="left" w:pos="540"/>
          <w:tab w:val="left" w:pos="569"/>
        </w:tabs>
        <w:jc w:val="both"/>
        <w:rPr>
          <w:b/>
          <w:bCs/>
          <w:sz w:val="22"/>
          <w:szCs w:val="22"/>
        </w:rPr>
      </w:pPr>
      <w:r w:rsidRPr="00B14963">
        <w:rPr>
          <w:b/>
          <w:bCs/>
          <w:sz w:val="22"/>
          <w:szCs w:val="22"/>
        </w:rPr>
        <w:t xml:space="preserve">4. </w:t>
      </w:r>
      <w:r w:rsidR="00480FB1" w:rsidRPr="00B14963">
        <w:rPr>
          <w:b/>
          <w:bCs/>
          <w:sz w:val="22"/>
          <w:szCs w:val="22"/>
        </w:rPr>
        <w:tab/>
      </w:r>
      <w:r w:rsidRPr="00B14963">
        <w:rPr>
          <w:b/>
          <w:bCs/>
          <w:sz w:val="22"/>
          <w:szCs w:val="22"/>
        </w:rPr>
        <w:t>KLINIČKI PODACI</w:t>
      </w:r>
    </w:p>
    <w:p w14:paraId="342A4EA0" w14:textId="77777777" w:rsidR="00CD6F02" w:rsidRPr="00B14963" w:rsidRDefault="00CD6F02" w:rsidP="00874EF0">
      <w:pPr>
        <w:tabs>
          <w:tab w:val="left" w:pos="540"/>
          <w:tab w:val="left" w:pos="569"/>
        </w:tabs>
        <w:jc w:val="both"/>
        <w:rPr>
          <w:bCs/>
          <w:sz w:val="22"/>
          <w:szCs w:val="22"/>
        </w:rPr>
      </w:pPr>
    </w:p>
    <w:p w14:paraId="5617307B" w14:textId="77777777" w:rsidR="00411B4B" w:rsidRPr="00B14963" w:rsidRDefault="00411B4B" w:rsidP="00874EF0">
      <w:pPr>
        <w:tabs>
          <w:tab w:val="left" w:pos="540"/>
          <w:tab w:val="left" w:pos="569"/>
        </w:tabs>
        <w:jc w:val="both"/>
        <w:rPr>
          <w:b/>
          <w:bCs/>
          <w:sz w:val="22"/>
          <w:szCs w:val="22"/>
        </w:rPr>
      </w:pPr>
      <w:r w:rsidRPr="00B14963">
        <w:rPr>
          <w:b/>
          <w:bCs/>
          <w:sz w:val="22"/>
          <w:szCs w:val="22"/>
        </w:rPr>
        <w:t xml:space="preserve">4.1. </w:t>
      </w:r>
      <w:r w:rsidR="00480FB1" w:rsidRPr="00B14963">
        <w:rPr>
          <w:b/>
          <w:bCs/>
          <w:sz w:val="22"/>
          <w:szCs w:val="22"/>
        </w:rPr>
        <w:tab/>
      </w:r>
      <w:r w:rsidRPr="00B14963">
        <w:rPr>
          <w:b/>
          <w:bCs/>
          <w:sz w:val="22"/>
          <w:szCs w:val="22"/>
        </w:rPr>
        <w:t>Terapijske indikacije</w:t>
      </w:r>
    </w:p>
    <w:p w14:paraId="52ABCF26" w14:textId="77777777" w:rsidR="00BC6782" w:rsidRPr="00B14963" w:rsidRDefault="00BC6782" w:rsidP="00874EF0">
      <w:pPr>
        <w:jc w:val="both"/>
        <w:rPr>
          <w:sz w:val="22"/>
          <w:szCs w:val="22"/>
        </w:rPr>
      </w:pPr>
    </w:p>
    <w:p w14:paraId="2436D74C" w14:textId="77777777" w:rsidR="00D35ABA" w:rsidRPr="00B14963" w:rsidRDefault="00D35ABA" w:rsidP="00874EF0">
      <w:pPr>
        <w:jc w:val="both"/>
        <w:rPr>
          <w:sz w:val="22"/>
          <w:szCs w:val="22"/>
        </w:rPr>
      </w:pPr>
      <w:r w:rsidRPr="00B14963">
        <w:rPr>
          <w:sz w:val="22"/>
          <w:szCs w:val="22"/>
        </w:rPr>
        <w:t>Lijek MabThera je u kombinaciji sa hemioterapijom indikovan za liječenje odraslih pacijenata s prethodno neliječenom i relapsirajućom/refraktornom hroničnom limfocitnom leukemijom (HLL). Dostupni su samo ograničeni podaci o efikasnosti i bezbjednosti za pacijente prethodno liječene monoklonskim antitijelima, uključujući lijek MabThera, kao i za pacijente refraktorne na prethodno liječenje lijekom MabThera u kombinaciji sa hemioterapijom.</w:t>
      </w:r>
    </w:p>
    <w:p w14:paraId="66EE4710" w14:textId="77777777" w:rsidR="00D35ABA" w:rsidRPr="00B14963" w:rsidRDefault="00D35ABA" w:rsidP="00874EF0">
      <w:pPr>
        <w:jc w:val="both"/>
        <w:rPr>
          <w:sz w:val="22"/>
          <w:szCs w:val="22"/>
        </w:rPr>
      </w:pPr>
    </w:p>
    <w:p w14:paraId="5E292374" w14:textId="77777777" w:rsidR="00D35ABA" w:rsidRPr="00B14963" w:rsidRDefault="00D35ABA" w:rsidP="00874EF0">
      <w:pPr>
        <w:tabs>
          <w:tab w:val="left" w:pos="540"/>
          <w:tab w:val="left" w:pos="569"/>
        </w:tabs>
        <w:jc w:val="both"/>
        <w:rPr>
          <w:sz w:val="22"/>
          <w:szCs w:val="22"/>
        </w:rPr>
      </w:pPr>
      <w:r w:rsidRPr="00B14963">
        <w:rPr>
          <w:sz w:val="22"/>
          <w:szCs w:val="22"/>
        </w:rPr>
        <w:t>Za dodatne informacije vidjeti dio 5.1.</w:t>
      </w:r>
    </w:p>
    <w:p w14:paraId="6B41EF88" w14:textId="77777777" w:rsidR="00D35ABA" w:rsidRPr="00B14963" w:rsidRDefault="00D35ABA" w:rsidP="00874EF0">
      <w:pPr>
        <w:tabs>
          <w:tab w:val="left" w:pos="540"/>
          <w:tab w:val="left" w:pos="569"/>
        </w:tabs>
        <w:jc w:val="both"/>
        <w:rPr>
          <w:bCs/>
          <w:sz w:val="22"/>
          <w:szCs w:val="22"/>
        </w:rPr>
      </w:pPr>
    </w:p>
    <w:p w14:paraId="5B8F1ECE" w14:textId="77777777" w:rsidR="0072020E" w:rsidRPr="00B14963" w:rsidRDefault="00411B4B" w:rsidP="00874EF0">
      <w:pPr>
        <w:tabs>
          <w:tab w:val="left" w:pos="540"/>
          <w:tab w:val="left" w:pos="569"/>
        </w:tabs>
        <w:jc w:val="both"/>
        <w:rPr>
          <w:b/>
          <w:bCs/>
          <w:sz w:val="22"/>
          <w:szCs w:val="22"/>
        </w:rPr>
      </w:pPr>
      <w:r w:rsidRPr="00B14963">
        <w:rPr>
          <w:b/>
          <w:bCs/>
          <w:sz w:val="22"/>
          <w:szCs w:val="22"/>
        </w:rPr>
        <w:t xml:space="preserve">4.2. </w:t>
      </w:r>
      <w:r w:rsidR="00480FB1" w:rsidRPr="00B14963">
        <w:rPr>
          <w:b/>
          <w:bCs/>
          <w:sz w:val="22"/>
          <w:szCs w:val="22"/>
        </w:rPr>
        <w:tab/>
      </w:r>
      <w:r w:rsidRPr="00B14963">
        <w:rPr>
          <w:b/>
          <w:bCs/>
          <w:sz w:val="22"/>
          <w:szCs w:val="22"/>
        </w:rPr>
        <w:t>Doziranje i način primjene</w:t>
      </w:r>
    </w:p>
    <w:p w14:paraId="1C9D9BFB" w14:textId="77777777" w:rsidR="00BC6782" w:rsidRPr="00B14963" w:rsidRDefault="00BC6782" w:rsidP="00874EF0">
      <w:pPr>
        <w:jc w:val="both"/>
        <w:rPr>
          <w:sz w:val="22"/>
          <w:szCs w:val="22"/>
        </w:rPr>
      </w:pPr>
    </w:p>
    <w:p w14:paraId="6575A92C" w14:textId="77777777" w:rsidR="00D35ABA" w:rsidRPr="00B14963" w:rsidRDefault="00D35ABA" w:rsidP="00874EF0">
      <w:pPr>
        <w:jc w:val="both"/>
        <w:rPr>
          <w:sz w:val="22"/>
          <w:szCs w:val="22"/>
        </w:rPr>
      </w:pPr>
      <w:r w:rsidRPr="00B14963">
        <w:rPr>
          <w:sz w:val="22"/>
          <w:szCs w:val="22"/>
        </w:rPr>
        <w:t>Lijek Mab</w:t>
      </w:r>
      <w:r w:rsidRPr="00B14963">
        <w:rPr>
          <w:caps/>
          <w:sz w:val="22"/>
          <w:szCs w:val="22"/>
        </w:rPr>
        <w:t>t</w:t>
      </w:r>
      <w:r w:rsidRPr="00B14963">
        <w:rPr>
          <w:sz w:val="22"/>
          <w:szCs w:val="22"/>
        </w:rPr>
        <w:t>hera treba davati pod strogim nadzorom iskusnog ljekara, i u okruženju gdje su odmah na raspolaganju sve mogućnosti za reanimaciju (vidjeti dio 4.4).</w:t>
      </w:r>
    </w:p>
    <w:p w14:paraId="6DE7F7A4" w14:textId="77777777" w:rsidR="00D35ABA" w:rsidRPr="00B14963" w:rsidRDefault="00D35ABA" w:rsidP="00874EF0">
      <w:pPr>
        <w:jc w:val="both"/>
        <w:rPr>
          <w:sz w:val="22"/>
          <w:szCs w:val="22"/>
        </w:rPr>
      </w:pPr>
    </w:p>
    <w:p w14:paraId="771435AD" w14:textId="77777777" w:rsidR="00D35ABA" w:rsidRPr="00B14963" w:rsidRDefault="00D35ABA" w:rsidP="00874EF0">
      <w:pPr>
        <w:jc w:val="both"/>
        <w:outlineLvl w:val="0"/>
        <w:rPr>
          <w:sz w:val="22"/>
          <w:szCs w:val="22"/>
        </w:rPr>
      </w:pPr>
      <w:r w:rsidRPr="00B14963">
        <w:rPr>
          <w:sz w:val="22"/>
          <w:szCs w:val="22"/>
        </w:rPr>
        <w:t>Prije svake primjene lijeka MabThera, uvijek treba primijeniti premedikaciju koja obuhvata antipiretik i antihistaminik, npr. paracetamol i difenhidramin.</w:t>
      </w:r>
    </w:p>
    <w:p w14:paraId="5D5C2BA7" w14:textId="77777777" w:rsidR="00D35ABA" w:rsidRPr="00B14963" w:rsidRDefault="00D35ABA" w:rsidP="00874EF0">
      <w:pPr>
        <w:jc w:val="both"/>
        <w:outlineLvl w:val="0"/>
        <w:rPr>
          <w:sz w:val="22"/>
          <w:szCs w:val="22"/>
        </w:rPr>
      </w:pPr>
    </w:p>
    <w:p w14:paraId="34037E9C" w14:textId="77777777" w:rsidR="00D35ABA" w:rsidRPr="00B14963" w:rsidRDefault="00D35ABA" w:rsidP="00874EF0">
      <w:pPr>
        <w:jc w:val="both"/>
        <w:outlineLvl w:val="0"/>
        <w:rPr>
          <w:sz w:val="22"/>
          <w:szCs w:val="22"/>
        </w:rPr>
      </w:pPr>
      <w:r w:rsidRPr="00B14963">
        <w:rPr>
          <w:sz w:val="22"/>
          <w:szCs w:val="22"/>
        </w:rPr>
        <w:t>Potrebno je razmotriti premedikaciju glukokortikoidima ako se lijek MabThera ne primjenjuje u kombinaciji sa hemioterapijom koja sadrži glukokortikoide.</w:t>
      </w:r>
    </w:p>
    <w:p w14:paraId="051CF174" w14:textId="6080A999" w:rsidR="00D35ABA" w:rsidRDefault="00D35ABA" w:rsidP="00874EF0">
      <w:pPr>
        <w:jc w:val="both"/>
        <w:rPr>
          <w:sz w:val="22"/>
          <w:szCs w:val="22"/>
        </w:rPr>
      </w:pPr>
    </w:p>
    <w:p w14:paraId="42F73364" w14:textId="77777777" w:rsidR="00AF59B0" w:rsidRPr="00B14963" w:rsidRDefault="00AF59B0" w:rsidP="00874EF0">
      <w:pPr>
        <w:jc w:val="both"/>
        <w:rPr>
          <w:sz w:val="22"/>
          <w:szCs w:val="22"/>
        </w:rPr>
      </w:pPr>
    </w:p>
    <w:p w14:paraId="4267AD42" w14:textId="01CD2061" w:rsidR="00D35ABA" w:rsidRDefault="00D35ABA" w:rsidP="00874EF0">
      <w:pPr>
        <w:jc w:val="both"/>
        <w:rPr>
          <w:sz w:val="22"/>
          <w:szCs w:val="22"/>
          <w:u w:val="single"/>
        </w:rPr>
      </w:pPr>
      <w:r w:rsidRPr="00B14963">
        <w:rPr>
          <w:sz w:val="22"/>
          <w:szCs w:val="22"/>
          <w:u w:val="single"/>
        </w:rPr>
        <w:lastRenderedPageBreak/>
        <w:t>Doziranje</w:t>
      </w:r>
    </w:p>
    <w:p w14:paraId="355FDB11" w14:textId="77777777" w:rsidR="00AF59B0" w:rsidRPr="00B14963" w:rsidRDefault="00AF59B0" w:rsidP="00874EF0">
      <w:pPr>
        <w:jc w:val="both"/>
        <w:rPr>
          <w:sz w:val="22"/>
          <w:szCs w:val="22"/>
          <w:u w:val="single"/>
        </w:rPr>
      </w:pPr>
    </w:p>
    <w:p w14:paraId="1E6E86B5" w14:textId="77777777" w:rsidR="00D35ABA" w:rsidRPr="00B14963" w:rsidRDefault="00D35ABA" w:rsidP="00874EF0">
      <w:pPr>
        <w:jc w:val="both"/>
        <w:rPr>
          <w:sz w:val="22"/>
          <w:szCs w:val="22"/>
        </w:rPr>
      </w:pPr>
      <w:r w:rsidRPr="00B14963">
        <w:rPr>
          <w:sz w:val="22"/>
          <w:szCs w:val="22"/>
        </w:rPr>
        <w:t>Preporučena doza lijeka MabThera u formulaciji za subkutanu primjenu kod odraslih pacijenata je jedna subkutana injekcija lijeka u fiksnoj dozi od 1600 mg, nezavisno od površine tijela pacijenta.</w:t>
      </w:r>
    </w:p>
    <w:p w14:paraId="11329D68" w14:textId="77777777" w:rsidR="00D35ABA" w:rsidRPr="00B14963" w:rsidRDefault="00D35ABA" w:rsidP="00874EF0">
      <w:pPr>
        <w:jc w:val="both"/>
        <w:rPr>
          <w:sz w:val="22"/>
          <w:szCs w:val="22"/>
        </w:rPr>
      </w:pPr>
    </w:p>
    <w:p w14:paraId="5DCD557A" w14:textId="77777777" w:rsidR="00D35ABA" w:rsidRPr="00B14963" w:rsidRDefault="00D35ABA" w:rsidP="00874EF0">
      <w:pPr>
        <w:jc w:val="both"/>
        <w:rPr>
          <w:sz w:val="22"/>
          <w:szCs w:val="22"/>
        </w:rPr>
      </w:pPr>
      <w:r w:rsidRPr="00B14963">
        <w:rPr>
          <w:sz w:val="22"/>
          <w:szCs w:val="22"/>
        </w:rPr>
        <w:t>Prije početka primjene subkutanih injekcija lijeka MabThera, svi pacijenti uvijek moraju najprije intravenskom infuzijom da prime cijelu dozu lijeka MabThera u formulaciji za intravensku primjenu (vidjeti dio 4.4).</w:t>
      </w:r>
    </w:p>
    <w:p w14:paraId="29551A17" w14:textId="77777777" w:rsidR="00D35ABA" w:rsidRPr="00B14963" w:rsidRDefault="00D35ABA" w:rsidP="00874EF0">
      <w:pPr>
        <w:jc w:val="both"/>
        <w:rPr>
          <w:sz w:val="22"/>
          <w:szCs w:val="22"/>
        </w:rPr>
      </w:pPr>
    </w:p>
    <w:p w14:paraId="40D6A5FE" w14:textId="77777777" w:rsidR="00D35ABA" w:rsidRPr="00B14963" w:rsidRDefault="00D35ABA" w:rsidP="00874EF0">
      <w:pPr>
        <w:jc w:val="both"/>
        <w:rPr>
          <w:sz w:val="22"/>
          <w:szCs w:val="22"/>
        </w:rPr>
      </w:pPr>
      <w:r w:rsidRPr="00B14963">
        <w:rPr>
          <w:sz w:val="22"/>
          <w:szCs w:val="22"/>
        </w:rPr>
        <w:t>Ako pacijenti prije prelaska na formulaciju za subkutanu primjenu nijesu mogli primiti jednu cijelu dozu lijeka MabThera intravenskom infuzijom, u sljedećim ciklusima moraju nastaviti da primaju formulaciju lijeka MabThera za intravensku primjenu sve dok se uspješno ne primijeni cijela intravenska doza.</w:t>
      </w:r>
    </w:p>
    <w:p w14:paraId="05AADF9D" w14:textId="77777777" w:rsidR="00D35ABA" w:rsidRPr="00B14963" w:rsidRDefault="00D35ABA" w:rsidP="00874EF0">
      <w:pPr>
        <w:jc w:val="both"/>
        <w:rPr>
          <w:sz w:val="22"/>
          <w:szCs w:val="22"/>
        </w:rPr>
      </w:pPr>
      <w:r w:rsidRPr="00B14963">
        <w:rPr>
          <w:sz w:val="22"/>
          <w:szCs w:val="22"/>
        </w:rPr>
        <w:t>Zbog toga je prelaz na formulaciju lijeka MabThera za subkutanu primjenu moguć tek u drugom ili nekom kasnijem ciklusu liječenja.</w:t>
      </w:r>
    </w:p>
    <w:p w14:paraId="07513174" w14:textId="77777777" w:rsidR="00D35ABA" w:rsidRPr="00B14963" w:rsidRDefault="00D35ABA" w:rsidP="00874EF0">
      <w:pPr>
        <w:jc w:val="both"/>
        <w:rPr>
          <w:sz w:val="22"/>
          <w:szCs w:val="22"/>
        </w:rPr>
      </w:pPr>
    </w:p>
    <w:p w14:paraId="50E2D115" w14:textId="77777777" w:rsidR="00D35ABA" w:rsidRPr="00B14963" w:rsidRDefault="00D35ABA" w:rsidP="00874EF0">
      <w:pPr>
        <w:jc w:val="both"/>
        <w:rPr>
          <w:sz w:val="22"/>
          <w:szCs w:val="22"/>
        </w:rPr>
      </w:pPr>
      <w:r w:rsidRPr="00B14963">
        <w:rPr>
          <w:sz w:val="22"/>
          <w:szCs w:val="22"/>
        </w:rPr>
        <w:t>Važno je provjeriti tekst na pakovanju lijeka, kako bi se osiguralo da pacijent primi odgovarajuću formulaciju lijeka (formulaciju za intravensku ili subkutanu primjenu) i jačinu lijeka, u skladu sa onim što je propisano.</w:t>
      </w:r>
    </w:p>
    <w:p w14:paraId="287BF756" w14:textId="77777777" w:rsidR="00D35ABA" w:rsidRPr="00B14963" w:rsidRDefault="00D35ABA" w:rsidP="00874EF0">
      <w:pPr>
        <w:jc w:val="both"/>
        <w:rPr>
          <w:sz w:val="22"/>
          <w:szCs w:val="22"/>
        </w:rPr>
      </w:pPr>
    </w:p>
    <w:p w14:paraId="36CC5684" w14:textId="77777777" w:rsidR="00D35ABA" w:rsidRPr="00B14963" w:rsidRDefault="00D35ABA" w:rsidP="00874EF0">
      <w:pPr>
        <w:jc w:val="both"/>
        <w:rPr>
          <w:sz w:val="22"/>
          <w:szCs w:val="22"/>
        </w:rPr>
      </w:pPr>
      <w:r w:rsidRPr="00B14963">
        <w:rPr>
          <w:sz w:val="22"/>
          <w:szCs w:val="22"/>
        </w:rPr>
        <w:t xml:space="preserve">Formulacija lijeka MabThera za subkutanu primjenu nije namijenjena za intravensku primjenu i smije se primijeniti isključivo subkutanom injekcijom. Jačina od 1600 mg namijenjena je za subkutanu primjenu isključivo kod HLL. </w:t>
      </w:r>
    </w:p>
    <w:p w14:paraId="581FC93D" w14:textId="77777777" w:rsidR="00D35ABA" w:rsidRPr="00B14963" w:rsidRDefault="00D35ABA" w:rsidP="00874EF0">
      <w:pPr>
        <w:jc w:val="both"/>
        <w:rPr>
          <w:sz w:val="22"/>
          <w:szCs w:val="22"/>
        </w:rPr>
      </w:pPr>
    </w:p>
    <w:p w14:paraId="56780758" w14:textId="77777777" w:rsidR="00D35ABA" w:rsidRPr="00B14963" w:rsidRDefault="00D35ABA" w:rsidP="00874EF0">
      <w:pPr>
        <w:jc w:val="both"/>
        <w:rPr>
          <w:sz w:val="22"/>
          <w:szCs w:val="22"/>
        </w:rPr>
      </w:pPr>
      <w:r w:rsidRPr="00B14963">
        <w:rPr>
          <w:sz w:val="22"/>
          <w:szCs w:val="22"/>
        </w:rPr>
        <w:t>Za pacijente sa HLL-om preporučuje se profilaksa primjerenom hidracijom i primjenom ljekova koji inhibiraju stvaranje mokraćne kiseline 48 sati prije početka terapije, kako bi se smanjio rizik od sindroma lize tumora. Kod pacijenata sa HLL-om koji imaju broj limfocita &gt; 25 x 10</w:t>
      </w:r>
      <w:r w:rsidRPr="00B14963">
        <w:rPr>
          <w:sz w:val="22"/>
          <w:szCs w:val="22"/>
          <w:vertAlign w:val="superscript"/>
        </w:rPr>
        <w:t>9</w:t>
      </w:r>
      <w:r w:rsidRPr="00B14963">
        <w:rPr>
          <w:sz w:val="22"/>
          <w:szCs w:val="22"/>
        </w:rPr>
        <w:t>/l, preporučuje se primjena prednizona/prednizolona u dozi od 100 mg intravenski neposredno prije primjene lijeka MabThera, kako bi se smanjila stopa i težina akutne infuzijske reakcije i/ili sindroma otpuštanja citokina.</w:t>
      </w:r>
    </w:p>
    <w:p w14:paraId="55BEA12C" w14:textId="77777777" w:rsidR="00D35ABA" w:rsidRPr="00B14963" w:rsidRDefault="00D35ABA" w:rsidP="00874EF0">
      <w:pPr>
        <w:jc w:val="both"/>
        <w:rPr>
          <w:sz w:val="22"/>
          <w:szCs w:val="22"/>
        </w:rPr>
      </w:pPr>
    </w:p>
    <w:p w14:paraId="0D39E589" w14:textId="77777777" w:rsidR="00D35ABA" w:rsidRPr="00B14963" w:rsidRDefault="00D35ABA" w:rsidP="00874EF0">
      <w:pPr>
        <w:jc w:val="both"/>
        <w:rPr>
          <w:sz w:val="22"/>
          <w:szCs w:val="22"/>
        </w:rPr>
      </w:pPr>
      <w:r w:rsidRPr="00B14963">
        <w:rPr>
          <w:sz w:val="22"/>
          <w:szCs w:val="22"/>
        </w:rPr>
        <w:t>Preporučena doza lijeka MabThera u formulaciji za intravensku primjenu u kombinaciji sa hemioterapijom za prethodno neliječene pacijente i pacijente koji ni</w:t>
      </w:r>
      <w:r w:rsidR="001A549A" w:rsidRPr="00B14963">
        <w:rPr>
          <w:sz w:val="22"/>
          <w:szCs w:val="22"/>
        </w:rPr>
        <w:t>je</w:t>
      </w:r>
      <w:r w:rsidRPr="00B14963">
        <w:rPr>
          <w:sz w:val="22"/>
          <w:szCs w:val="22"/>
        </w:rPr>
        <w:t>su odgovorili na liječenje ili su u relapsu, iznosi 375 mg/m</w:t>
      </w:r>
      <w:r w:rsidRPr="00B14963">
        <w:rPr>
          <w:sz w:val="22"/>
          <w:szCs w:val="22"/>
          <w:vertAlign w:val="superscript"/>
        </w:rPr>
        <w:t>2</w:t>
      </w:r>
      <w:r w:rsidRPr="00B14963">
        <w:rPr>
          <w:sz w:val="22"/>
          <w:szCs w:val="22"/>
        </w:rPr>
        <w:t xml:space="preserve"> tjelesne površine primijenjeno nultog dana prvog ciklusa liječenja, nakon čega slijedi injekcija formulacije lijeka MabThera za subkutanu primjenu u fiksnoj dozi od 1600 mg po ciklusu, primijenjena 1. dana svakog sljedećeg ciklusa (ukupno: 6 ciklusa). Hemioterapiju treba primijeniti nakon primjene lijeka MabThera.</w:t>
      </w:r>
    </w:p>
    <w:p w14:paraId="0127765D" w14:textId="77777777" w:rsidR="00D35ABA" w:rsidRPr="00B14963" w:rsidRDefault="00D35ABA" w:rsidP="00874EF0">
      <w:pPr>
        <w:jc w:val="both"/>
        <w:rPr>
          <w:sz w:val="22"/>
          <w:szCs w:val="22"/>
        </w:rPr>
      </w:pPr>
    </w:p>
    <w:p w14:paraId="61F48D19" w14:textId="77777777" w:rsidR="00D35ABA" w:rsidRPr="00B14963" w:rsidRDefault="00D35ABA" w:rsidP="00874EF0">
      <w:pPr>
        <w:jc w:val="both"/>
        <w:rPr>
          <w:sz w:val="22"/>
          <w:szCs w:val="22"/>
          <w:u w:val="single"/>
        </w:rPr>
      </w:pPr>
      <w:r w:rsidRPr="00B14963">
        <w:rPr>
          <w:sz w:val="22"/>
          <w:szCs w:val="22"/>
          <w:u w:val="single"/>
        </w:rPr>
        <w:t>Prilagođavanje doze tokom liječenja</w:t>
      </w:r>
    </w:p>
    <w:p w14:paraId="7DD5E493" w14:textId="77777777" w:rsidR="00555704" w:rsidRPr="00B14963" w:rsidRDefault="00555704" w:rsidP="00874EF0">
      <w:pPr>
        <w:jc w:val="both"/>
        <w:rPr>
          <w:sz w:val="22"/>
          <w:szCs w:val="22"/>
          <w:u w:val="single"/>
        </w:rPr>
      </w:pPr>
    </w:p>
    <w:p w14:paraId="11AEE7AC" w14:textId="77777777" w:rsidR="00D35ABA" w:rsidRPr="00B14963" w:rsidRDefault="00D35ABA" w:rsidP="00874EF0">
      <w:pPr>
        <w:jc w:val="both"/>
        <w:rPr>
          <w:sz w:val="22"/>
          <w:szCs w:val="22"/>
        </w:rPr>
      </w:pPr>
      <w:r w:rsidRPr="00B14963">
        <w:rPr>
          <w:sz w:val="22"/>
          <w:szCs w:val="22"/>
        </w:rPr>
        <w:t>Ne preporučuje se smanjivanje doze lijeka MabThera. Kada se lijek MabThera primjenjuje u kombinaciji sa hemioterapijom, moraju da se primijene uobičajena smanjenja doze hemioterapijskih ljekova (vidjeti dio 4.8).</w:t>
      </w:r>
    </w:p>
    <w:p w14:paraId="7DFA6628" w14:textId="77777777" w:rsidR="00D35ABA" w:rsidRPr="00B14963" w:rsidRDefault="00D35ABA" w:rsidP="00874EF0">
      <w:pPr>
        <w:autoSpaceDE w:val="0"/>
        <w:jc w:val="both"/>
        <w:outlineLvl w:val="0"/>
        <w:rPr>
          <w:sz w:val="22"/>
          <w:szCs w:val="22"/>
        </w:rPr>
      </w:pPr>
    </w:p>
    <w:p w14:paraId="0A2E00F9" w14:textId="77777777" w:rsidR="00D35ABA" w:rsidRPr="00B14963" w:rsidRDefault="00D35ABA" w:rsidP="00874EF0">
      <w:pPr>
        <w:jc w:val="both"/>
        <w:rPr>
          <w:sz w:val="22"/>
          <w:szCs w:val="22"/>
          <w:u w:val="single"/>
        </w:rPr>
      </w:pPr>
      <w:r w:rsidRPr="00B14963">
        <w:rPr>
          <w:sz w:val="22"/>
          <w:szCs w:val="22"/>
          <w:u w:val="single"/>
        </w:rPr>
        <w:t>Posebne grupe pacijenata</w:t>
      </w:r>
    </w:p>
    <w:p w14:paraId="21E80E6D" w14:textId="77777777" w:rsidR="00D35ABA" w:rsidRPr="00B14963" w:rsidRDefault="00D35ABA" w:rsidP="00874EF0">
      <w:pPr>
        <w:jc w:val="both"/>
        <w:rPr>
          <w:sz w:val="22"/>
          <w:szCs w:val="22"/>
        </w:rPr>
      </w:pPr>
    </w:p>
    <w:p w14:paraId="5E7E2764" w14:textId="77777777" w:rsidR="00D35ABA" w:rsidRPr="00B14963" w:rsidRDefault="00D35ABA" w:rsidP="00874EF0">
      <w:pPr>
        <w:jc w:val="both"/>
        <w:rPr>
          <w:i/>
          <w:sz w:val="22"/>
          <w:szCs w:val="22"/>
        </w:rPr>
      </w:pPr>
      <w:r w:rsidRPr="00B14963">
        <w:rPr>
          <w:i/>
          <w:sz w:val="22"/>
          <w:szCs w:val="22"/>
        </w:rPr>
        <w:t>Pedijatrijska populacija</w:t>
      </w:r>
    </w:p>
    <w:p w14:paraId="28B9FF39" w14:textId="77777777" w:rsidR="00D35ABA" w:rsidRPr="00B14963" w:rsidRDefault="00D35ABA" w:rsidP="00874EF0">
      <w:pPr>
        <w:jc w:val="both"/>
        <w:rPr>
          <w:sz w:val="22"/>
          <w:szCs w:val="22"/>
        </w:rPr>
      </w:pPr>
      <w:r w:rsidRPr="00B14963">
        <w:rPr>
          <w:sz w:val="22"/>
          <w:szCs w:val="22"/>
        </w:rPr>
        <w:t>Bezbjednost i efikasnost lijeka MabThera kod djece mlađe od 18 godina nijesu utvrđene. Nema dostupnih podataka.</w:t>
      </w:r>
    </w:p>
    <w:p w14:paraId="0280E3A9" w14:textId="77777777" w:rsidR="00D35ABA" w:rsidRPr="00B14963" w:rsidRDefault="00D35ABA" w:rsidP="00874EF0">
      <w:pPr>
        <w:jc w:val="both"/>
        <w:rPr>
          <w:sz w:val="22"/>
          <w:szCs w:val="22"/>
        </w:rPr>
      </w:pPr>
    </w:p>
    <w:p w14:paraId="25AA757B" w14:textId="77777777" w:rsidR="00D35ABA" w:rsidRPr="00B14963" w:rsidRDefault="00D35ABA" w:rsidP="00874EF0">
      <w:pPr>
        <w:jc w:val="both"/>
        <w:rPr>
          <w:i/>
          <w:sz w:val="22"/>
          <w:szCs w:val="22"/>
        </w:rPr>
      </w:pPr>
      <w:r w:rsidRPr="00B14963">
        <w:rPr>
          <w:i/>
          <w:sz w:val="22"/>
          <w:szCs w:val="22"/>
        </w:rPr>
        <w:t>Gerijatrijska populacija</w:t>
      </w:r>
    </w:p>
    <w:p w14:paraId="1769B42C" w14:textId="77777777" w:rsidR="00D35ABA" w:rsidRPr="00B14963" w:rsidRDefault="00D35ABA" w:rsidP="00874EF0">
      <w:pPr>
        <w:jc w:val="both"/>
        <w:rPr>
          <w:sz w:val="22"/>
          <w:szCs w:val="22"/>
        </w:rPr>
      </w:pPr>
      <w:r w:rsidRPr="00B14963">
        <w:rPr>
          <w:sz w:val="22"/>
          <w:szCs w:val="22"/>
        </w:rPr>
        <w:t xml:space="preserve">Kod pacijenata životnog doba </w:t>
      </w:r>
      <w:r w:rsidR="00555704" w:rsidRPr="00B14963">
        <w:rPr>
          <w:sz w:val="22"/>
          <w:szCs w:val="22"/>
        </w:rPr>
        <w:t xml:space="preserve">od </w:t>
      </w:r>
      <w:r w:rsidRPr="00B14963">
        <w:rPr>
          <w:sz w:val="22"/>
          <w:szCs w:val="22"/>
        </w:rPr>
        <w:t xml:space="preserve">65 </w:t>
      </w:r>
      <w:r w:rsidR="00555704" w:rsidRPr="00B14963">
        <w:rPr>
          <w:sz w:val="22"/>
          <w:szCs w:val="22"/>
        </w:rPr>
        <w:t xml:space="preserve">i više </w:t>
      </w:r>
      <w:r w:rsidRPr="00B14963">
        <w:rPr>
          <w:sz w:val="22"/>
          <w:szCs w:val="22"/>
        </w:rPr>
        <w:t xml:space="preserve">godina nije potrebno podešavanje doze. </w:t>
      </w:r>
    </w:p>
    <w:p w14:paraId="4D31C736" w14:textId="77777777" w:rsidR="00D35ABA" w:rsidRPr="00B14963" w:rsidRDefault="00D35ABA" w:rsidP="00874EF0">
      <w:pPr>
        <w:jc w:val="both"/>
        <w:rPr>
          <w:sz w:val="22"/>
          <w:szCs w:val="22"/>
        </w:rPr>
      </w:pPr>
    </w:p>
    <w:p w14:paraId="09B44A8C" w14:textId="77777777" w:rsidR="00D35ABA" w:rsidRPr="00B14963" w:rsidRDefault="00D35ABA" w:rsidP="00874EF0">
      <w:pPr>
        <w:jc w:val="both"/>
        <w:rPr>
          <w:sz w:val="22"/>
          <w:szCs w:val="22"/>
          <w:u w:val="single"/>
        </w:rPr>
      </w:pPr>
      <w:r w:rsidRPr="00B14963">
        <w:rPr>
          <w:sz w:val="22"/>
          <w:szCs w:val="22"/>
          <w:u w:val="single"/>
        </w:rPr>
        <w:t>Način primjene</w:t>
      </w:r>
    </w:p>
    <w:p w14:paraId="649C8DDC" w14:textId="77777777" w:rsidR="00D35ABA" w:rsidRPr="00B14963" w:rsidRDefault="00D35ABA" w:rsidP="00874EF0">
      <w:pPr>
        <w:jc w:val="both"/>
        <w:rPr>
          <w:sz w:val="22"/>
          <w:szCs w:val="22"/>
          <w:u w:val="single"/>
        </w:rPr>
      </w:pPr>
    </w:p>
    <w:p w14:paraId="64FB292E" w14:textId="77777777" w:rsidR="00D35ABA" w:rsidRPr="00B14963" w:rsidRDefault="00D35ABA" w:rsidP="00874EF0">
      <w:pPr>
        <w:jc w:val="both"/>
        <w:rPr>
          <w:i/>
          <w:sz w:val="22"/>
          <w:szCs w:val="22"/>
        </w:rPr>
      </w:pPr>
      <w:r w:rsidRPr="00B14963">
        <w:rPr>
          <w:i/>
          <w:sz w:val="22"/>
          <w:szCs w:val="22"/>
        </w:rPr>
        <w:t>Subkutane injekcije:</w:t>
      </w:r>
    </w:p>
    <w:p w14:paraId="300AE697" w14:textId="77E05309" w:rsidR="00D35ABA" w:rsidRPr="00B14963" w:rsidRDefault="00D35ABA" w:rsidP="00874EF0">
      <w:pPr>
        <w:jc w:val="both"/>
        <w:rPr>
          <w:sz w:val="22"/>
          <w:szCs w:val="22"/>
        </w:rPr>
      </w:pPr>
      <w:r w:rsidRPr="00B14963">
        <w:rPr>
          <w:sz w:val="22"/>
          <w:szCs w:val="22"/>
        </w:rPr>
        <w:t>Lijek MabThera od 1600 mg u formulaciji za subkutanu primjenu smije se primijeniti isključivo u obliku subkutane injekcije tokom približno 7 minuta. Hipodermička igla za injekciju se smije pričvrstiti za špric samo neposredno prije primjene, kako bi se izbjeglo moguće začepljenje igle.</w:t>
      </w:r>
      <w:r w:rsidRPr="00B14963">
        <w:rPr>
          <w:sz w:val="22"/>
          <w:szCs w:val="22"/>
        </w:rPr>
        <w:tab/>
      </w:r>
    </w:p>
    <w:p w14:paraId="2D3CFBBC" w14:textId="77777777" w:rsidR="00D35ABA" w:rsidRPr="00B14963" w:rsidRDefault="00D35ABA" w:rsidP="00874EF0">
      <w:pPr>
        <w:jc w:val="both"/>
        <w:rPr>
          <w:sz w:val="22"/>
          <w:szCs w:val="22"/>
        </w:rPr>
      </w:pPr>
      <w:r w:rsidRPr="00B14963">
        <w:rPr>
          <w:sz w:val="22"/>
          <w:szCs w:val="22"/>
        </w:rPr>
        <w:lastRenderedPageBreak/>
        <w:t>Lijek MabThera u formulaciji za subkutanu primjenu injicira se subkutano u trbušni zid, ali nikada na područjima gdje je koža crvena, prekrivena modricama, bolna na dodir ili tvrda, niti na područjima gdje ima mladeža ili ožiljaka.</w:t>
      </w:r>
    </w:p>
    <w:p w14:paraId="17921CB6" w14:textId="77777777" w:rsidR="00D35ABA" w:rsidRPr="00B14963" w:rsidRDefault="00D35ABA" w:rsidP="00874EF0">
      <w:pPr>
        <w:jc w:val="both"/>
        <w:rPr>
          <w:sz w:val="22"/>
          <w:szCs w:val="22"/>
        </w:rPr>
      </w:pPr>
    </w:p>
    <w:p w14:paraId="5B643B8C" w14:textId="77777777" w:rsidR="00D35ABA" w:rsidRPr="00B14963" w:rsidRDefault="00D35ABA" w:rsidP="00874EF0">
      <w:pPr>
        <w:jc w:val="both"/>
        <w:rPr>
          <w:sz w:val="22"/>
          <w:szCs w:val="22"/>
        </w:rPr>
      </w:pPr>
      <w:r w:rsidRPr="00B14963">
        <w:rPr>
          <w:sz w:val="22"/>
          <w:szCs w:val="22"/>
        </w:rPr>
        <w:t>Nema dostupnih podataka o injiciranju lijeka na drugim mjestima na tijelu, pa primjenu injekcija treba ograničiti na trbušni zid.</w:t>
      </w:r>
    </w:p>
    <w:p w14:paraId="2F4D4400" w14:textId="77777777" w:rsidR="00D35ABA" w:rsidRPr="00B14963" w:rsidRDefault="00D35ABA" w:rsidP="00874EF0">
      <w:pPr>
        <w:jc w:val="both"/>
        <w:rPr>
          <w:sz w:val="22"/>
          <w:szCs w:val="22"/>
        </w:rPr>
      </w:pPr>
    </w:p>
    <w:p w14:paraId="42367B2F" w14:textId="77777777" w:rsidR="00D35ABA" w:rsidRPr="00B14963" w:rsidRDefault="00D35ABA" w:rsidP="00874EF0">
      <w:pPr>
        <w:jc w:val="both"/>
        <w:rPr>
          <w:sz w:val="22"/>
          <w:szCs w:val="22"/>
        </w:rPr>
      </w:pPr>
      <w:r w:rsidRPr="00B14963">
        <w:rPr>
          <w:sz w:val="22"/>
          <w:szCs w:val="22"/>
        </w:rPr>
        <w:t>Tokom ciklusa liječenja lijekom MabThera u formulaciji za subkutanu primjenu, druge ljekove za subkutanu primjenu poželjno je davati na drugim mjestima.</w:t>
      </w:r>
    </w:p>
    <w:p w14:paraId="3F2082FB" w14:textId="77777777" w:rsidR="00D35ABA" w:rsidRPr="00B14963" w:rsidRDefault="00D35ABA" w:rsidP="00874EF0">
      <w:pPr>
        <w:jc w:val="both"/>
        <w:rPr>
          <w:sz w:val="22"/>
          <w:szCs w:val="22"/>
        </w:rPr>
      </w:pPr>
    </w:p>
    <w:p w14:paraId="5D4DA6E8" w14:textId="77777777" w:rsidR="00D35ABA" w:rsidRPr="00B14963" w:rsidRDefault="00D35ABA" w:rsidP="00874EF0">
      <w:pPr>
        <w:jc w:val="both"/>
        <w:rPr>
          <w:sz w:val="22"/>
          <w:szCs w:val="22"/>
        </w:rPr>
      </w:pPr>
      <w:r w:rsidRPr="00B14963">
        <w:rPr>
          <w:sz w:val="22"/>
          <w:szCs w:val="22"/>
        </w:rPr>
        <w:t>Ako se injekcija prekine, njena primjena se može nastaviti na istom mjestu ili, po potrebi, na nekom drugom mjestu.</w:t>
      </w:r>
    </w:p>
    <w:p w14:paraId="7DDE2157" w14:textId="084046F2" w:rsidR="00D35ABA" w:rsidRPr="00B14963" w:rsidRDefault="00D35ABA" w:rsidP="00874EF0">
      <w:pPr>
        <w:tabs>
          <w:tab w:val="left" w:pos="540"/>
          <w:tab w:val="left" w:pos="569"/>
        </w:tabs>
        <w:jc w:val="both"/>
        <w:rPr>
          <w:bCs/>
          <w:sz w:val="22"/>
          <w:szCs w:val="22"/>
        </w:rPr>
      </w:pPr>
    </w:p>
    <w:p w14:paraId="4DB21558" w14:textId="77777777" w:rsidR="00411B4B" w:rsidRPr="00B14963" w:rsidRDefault="00411B4B" w:rsidP="00874EF0">
      <w:pPr>
        <w:tabs>
          <w:tab w:val="left" w:pos="540"/>
          <w:tab w:val="left" w:pos="569"/>
        </w:tabs>
        <w:jc w:val="both"/>
        <w:rPr>
          <w:b/>
          <w:bCs/>
          <w:sz w:val="22"/>
          <w:szCs w:val="22"/>
        </w:rPr>
      </w:pPr>
      <w:r w:rsidRPr="00B14963">
        <w:rPr>
          <w:b/>
          <w:bCs/>
          <w:sz w:val="22"/>
          <w:szCs w:val="22"/>
        </w:rPr>
        <w:t xml:space="preserve">4.3. </w:t>
      </w:r>
      <w:r w:rsidR="00480FB1" w:rsidRPr="00B14963">
        <w:rPr>
          <w:b/>
          <w:bCs/>
          <w:sz w:val="22"/>
          <w:szCs w:val="22"/>
        </w:rPr>
        <w:tab/>
      </w:r>
      <w:r w:rsidRPr="00B14963">
        <w:rPr>
          <w:b/>
          <w:bCs/>
          <w:sz w:val="22"/>
          <w:szCs w:val="22"/>
        </w:rPr>
        <w:t>Kontraindikacije</w:t>
      </w:r>
    </w:p>
    <w:p w14:paraId="43E9ABDB" w14:textId="77777777" w:rsidR="0072020E" w:rsidRPr="00B14963" w:rsidRDefault="0072020E" w:rsidP="00874EF0">
      <w:pPr>
        <w:tabs>
          <w:tab w:val="left" w:pos="540"/>
          <w:tab w:val="left" w:pos="569"/>
        </w:tabs>
        <w:jc w:val="both"/>
        <w:rPr>
          <w:bCs/>
          <w:sz w:val="22"/>
          <w:szCs w:val="22"/>
        </w:rPr>
      </w:pPr>
    </w:p>
    <w:p w14:paraId="7672D70F" w14:textId="77777777" w:rsidR="00D35ABA" w:rsidRPr="00B14963" w:rsidRDefault="00D35ABA" w:rsidP="00874EF0">
      <w:pPr>
        <w:jc w:val="both"/>
        <w:rPr>
          <w:sz w:val="22"/>
          <w:szCs w:val="22"/>
        </w:rPr>
      </w:pPr>
      <w:r w:rsidRPr="00B14963">
        <w:rPr>
          <w:sz w:val="22"/>
          <w:szCs w:val="22"/>
        </w:rPr>
        <w:t>Preosjetljivost na aktivnu supstancu, mišje proteine, hijaluronidazu ili na bilo koju od pomoćnih materija navedenih u dijelu 6.1.</w:t>
      </w:r>
    </w:p>
    <w:p w14:paraId="2EB146DF" w14:textId="77777777" w:rsidR="00D35ABA" w:rsidRPr="00B14963" w:rsidRDefault="00D35ABA" w:rsidP="00874EF0">
      <w:pPr>
        <w:jc w:val="both"/>
        <w:rPr>
          <w:sz w:val="22"/>
          <w:szCs w:val="22"/>
        </w:rPr>
      </w:pPr>
    </w:p>
    <w:p w14:paraId="61F8AC8E" w14:textId="77777777" w:rsidR="00D35ABA" w:rsidRPr="00B14963" w:rsidRDefault="00D35ABA" w:rsidP="00874EF0">
      <w:pPr>
        <w:jc w:val="both"/>
        <w:rPr>
          <w:sz w:val="22"/>
          <w:szCs w:val="22"/>
        </w:rPr>
      </w:pPr>
      <w:r w:rsidRPr="00B14963">
        <w:rPr>
          <w:sz w:val="22"/>
          <w:szCs w:val="22"/>
        </w:rPr>
        <w:t>Aktivne, teške infekcije (vidjeti dio 4.4).</w:t>
      </w:r>
    </w:p>
    <w:p w14:paraId="1C00B1BC" w14:textId="77777777" w:rsidR="00D35ABA" w:rsidRPr="00B14963" w:rsidRDefault="00D35ABA" w:rsidP="00874EF0">
      <w:pPr>
        <w:jc w:val="both"/>
        <w:rPr>
          <w:sz w:val="22"/>
          <w:szCs w:val="22"/>
        </w:rPr>
      </w:pPr>
    </w:p>
    <w:p w14:paraId="61AF2D38" w14:textId="77777777" w:rsidR="00D35ABA" w:rsidRPr="00B14963" w:rsidRDefault="00D35ABA" w:rsidP="00874EF0">
      <w:pPr>
        <w:tabs>
          <w:tab w:val="left" w:pos="540"/>
          <w:tab w:val="left" w:pos="569"/>
        </w:tabs>
        <w:jc w:val="both"/>
        <w:rPr>
          <w:bCs/>
          <w:sz w:val="22"/>
          <w:szCs w:val="22"/>
        </w:rPr>
      </w:pPr>
      <w:r w:rsidRPr="00B14963">
        <w:rPr>
          <w:sz w:val="22"/>
          <w:szCs w:val="22"/>
        </w:rPr>
        <w:t>Pacijenti u teškom imunokompromitovanom stanju.</w:t>
      </w:r>
    </w:p>
    <w:p w14:paraId="1866B8D4" w14:textId="77777777" w:rsidR="00D35ABA" w:rsidRPr="00B14963" w:rsidRDefault="00D35ABA" w:rsidP="00874EF0">
      <w:pPr>
        <w:tabs>
          <w:tab w:val="left" w:pos="540"/>
          <w:tab w:val="left" w:pos="569"/>
        </w:tabs>
        <w:jc w:val="both"/>
        <w:rPr>
          <w:bCs/>
          <w:sz w:val="22"/>
          <w:szCs w:val="22"/>
        </w:rPr>
      </w:pPr>
    </w:p>
    <w:p w14:paraId="37CD5DAE" w14:textId="77777777" w:rsidR="00411B4B" w:rsidRPr="00B14963" w:rsidRDefault="00411B4B" w:rsidP="00874EF0">
      <w:pPr>
        <w:tabs>
          <w:tab w:val="left" w:pos="540"/>
          <w:tab w:val="left" w:pos="569"/>
        </w:tabs>
        <w:jc w:val="both"/>
        <w:rPr>
          <w:b/>
          <w:bCs/>
          <w:sz w:val="22"/>
          <w:szCs w:val="22"/>
        </w:rPr>
      </w:pPr>
      <w:r w:rsidRPr="00B14963">
        <w:rPr>
          <w:b/>
          <w:bCs/>
          <w:sz w:val="22"/>
          <w:szCs w:val="22"/>
        </w:rPr>
        <w:t xml:space="preserve">4.4. </w:t>
      </w:r>
      <w:r w:rsidR="00480FB1" w:rsidRPr="00B14963">
        <w:rPr>
          <w:b/>
          <w:bCs/>
          <w:sz w:val="22"/>
          <w:szCs w:val="22"/>
        </w:rPr>
        <w:tab/>
      </w:r>
      <w:r w:rsidRPr="00B14963">
        <w:rPr>
          <w:b/>
          <w:bCs/>
          <w:sz w:val="22"/>
          <w:szCs w:val="22"/>
        </w:rPr>
        <w:t>Posebna upozorenja i mjere opreza pri upotrebi lijeka</w:t>
      </w:r>
    </w:p>
    <w:p w14:paraId="5C8FACAF" w14:textId="77777777" w:rsidR="0072020E" w:rsidRPr="00B14963" w:rsidRDefault="0072020E" w:rsidP="00874EF0">
      <w:pPr>
        <w:tabs>
          <w:tab w:val="left" w:pos="540"/>
          <w:tab w:val="left" w:pos="569"/>
        </w:tabs>
        <w:jc w:val="both"/>
        <w:rPr>
          <w:bCs/>
          <w:sz w:val="22"/>
          <w:szCs w:val="22"/>
        </w:rPr>
      </w:pPr>
    </w:p>
    <w:p w14:paraId="0EE09290" w14:textId="77777777" w:rsidR="00D35ABA" w:rsidRPr="00B14963" w:rsidRDefault="00D35ABA" w:rsidP="00874EF0">
      <w:pPr>
        <w:keepNext/>
        <w:tabs>
          <w:tab w:val="left" w:pos="720"/>
        </w:tabs>
        <w:jc w:val="both"/>
        <w:outlineLvl w:val="0"/>
        <w:rPr>
          <w:noProof w:val="0"/>
          <w:sz w:val="22"/>
          <w:szCs w:val="22"/>
          <w:lang w:eastAsia="ja-JP"/>
        </w:rPr>
      </w:pPr>
      <w:r w:rsidRPr="00B14963">
        <w:rPr>
          <w:sz w:val="22"/>
          <w:szCs w:val="22"/>
          <w:u w:val="single"/>
          <w:lang w:eastAsia="ja-JP"/>
        </w:rPr>
        <w:t>S</w:t>
      </w:r>
      <w:r w:rsidR="00874EF0" w:rsidRPr="00B14963">
        <w:rPr>
          <w:sz w:val="22"/>
          <w:szCs w:val="22"/>
          <w:u w:val="single"/>
          <w:lang w:eastAsia="ja-JP"/>
        </w:rPr>
        <w:t>l</w:t>
      </w:r>
      <w:r w:rsidR="00D079D5" w:rsidRPr="00B14963">
        <w:rPr>
          <w:sz w:val="22"/>
          <w:szCs w:val="22"/>
          <w:u w:val="single"/>
          <w:lang w:eastAsia="ja-JP"/>
        </w:rPr>
        <w:t>jedivost</w:t>
      </w:r>
    </w:p>
    <w:p w14:paraId="586361BF" w14:textId="77777777" w:rsidR="00D35ABA" w:rsidRPr="00B14963" w:rsidRDefault="00D35ABA" w:rsidP="00874EF0">
      <w:pPr>
        <w:tabs>
          <w:tab w:val="left" w:pos="720"/>
        </w:tabs>
        <w:jc w:val="both"/>
        <w:outlineLvl w:val="0"/>
        <w:rPr>
          <w:sz w:val="22"/>
          <w:szCs w:val="22"/>
          <w:lang w:eastAsia="ja-JP"/>
        </w:rPr>
      </w:pPr>
      <w:r w:rsidRPr="00B14963">
        <w:rPr>
          <w:sz w:val="22"/>
          <w:szCs w:val="22"/>
          <w:lang w:eastAsia="ja-JP"/>
        </w:rPr>
        <w:t>Kako bi se poboljšala sedivost bioloških l</w:t>
      </w:r>
      <w:r w:rsidR="00D079D5" w:rsidRPr="00B14963">
        <w:rPr>
          <w:sz w:val="22"/>
          <w:szCs w:val="22"/>
          <w:lang w:eastAsia="ja-JP"/>
        </w:rPr>
        <w:t>j</w:t>
      </w:r>
      <w:r w:rsidRPr="00B14963">
        <w:rPr>
          <w:sz w:val="22"/>
          <w:szCs w:val="22"/>
          <w:lang w:eastAsia="ja-JP"/>
        </w:rPr>
        <w:t>ekova, naziv i broj serije prim</w:t>
      </w:r>
      <w:r w:rsidR="001A549A" w:rsidRPr="00B14963">
        <w:rPr>
          <w:sz w:val="22"/>
          <w:szCs w:val="22"/>
          <w:lang w:eastAsia="ja-JP"/>
        </w:rPr>
        <w:t>ije</w:t>
      </w:r>
      <w:r w:rsidRPr="00B14963">
        <w:rPr>
          <w:sz w:val="22"/>
          <w:szCs w:val="22"/>
          <w:lang w:eastAsia="ja-JP"/>
        </w:rPr>
        <w:t>njenog l</w:t>
      </w:r>
      <w:r w:rsidR="00D079D5" w:rsidRPr="00B14963">
        <w:rPr>
          <w:sz w:val="22"/>
          <w:szCs w:val="22"/>
          <w:lang w:eastAsia="ja-JP"/>
        </w:rPr>
        <w:t>ij</w:t>
      </w:r>
      <w:r w:rsidRPr="00B14963">
        <w:rPr>
          <w:sz w:val="22"/>
          <w:szCs w:val="22"/>
          <w:lang w:eastAsia="ja-JP"/>
        </w:rPr>
        <w:t>eka potrebno je jasno evidentirati.</w:t>
      </w:r>
    </w:p>
    <w:p w14:paraId="77A9C881" w14:textId="77777777" w:rsidR="00D35ABA" w:rsidRPr="00B14963" w:rsidRDefault="00D35ABA" w:rsidP="00874EF0">
      <w:pPr>
        <w:tabs>
          <w:tab w:val="left" w:pos="540"/>
          <w:tab w:val="left" w:pos="569"/>
        </w:tabs>
        <w:jc w:val="both"/>
        <w:rPr>
          <w:bCs/>
          <w:sz w:val="22"/>
          <w:szCs w:val="22"/>
        </w:rPr>
      </w:pPr>
    </w:p>
    <w:p w14:paraId="477E0130" w14:textId="77777777" w:rsidR="00D35ABA" w:rsidRPr="00B14963" w:rsidRDefault="00D35ABA" w:rsidP="00874EF0">
      <w:pPr>
        <w:jc w:val="both"/>
        <w:rPr>
          <w:sz w:val="22"/>
          <w:szCs w:val="22"/>
        </w:rPr>
      </w:pPr>
      <w:r w:rsidRPr="00B14963">
        <w:rPr>
          <w:szCs w:val="22"/>
        </w:rPr>
        <w:t>I</w:t>
      </w:r>
      <w:r w:rsidRPr="00B14963">
        <w:rPr>
          <w:sz w:val="22"/>
          <w:szCs w:val="22"/>
        </w:rPr>
        <w:t xml:space="preserve">nformacije u dijelu 4.4 odnose se na primjenu lijeka MabThera u formulaciji za subkutanu primjenu u odobrenim indikacijama </w:t>
      </w:r>
      <w:r w:rsidRPr="00B14963">
        <w:rPr>
          <w:i/>
          <w:sz w:val="22"/>
          <w:szCs w:val="22"/>
        </w:rPr>
        <w:t>Liječenje non-Ho</w:t>
      </w:r>
      <w:r w:rsidR="00555704" w:rsidRPr="00B14963">
        <w:rPr>
          <w:i/>
          <w:sz w:val="22"/>
          <w:szCs w:val="22"/>
        </w:rPr>
        <w:t>dg</w:t>
      </w:r>
      <w:r w:rsidRPr="00B14963">
        <w:rPr>
          <w:i/>
          <w:sz w:val="22"/>
          <w:szCs w:val="22"/>
        </w:rPr>
        <w:t>kin</w:t>
      </w:r>
      <w:r w:rsidR="00555704" w:rsidRPr="00B14963">
        <w:rPr>
          <w:i/>
          <w:sz w:val="22"/>
          <w:szCs w:val="22"/>
        </w:rPr>
        <w:t>-</w:t>
      </w:r>
      <w:r w:rsidRPr="00B14963">
        <w:rPr>
          <w:i/>
          <w:sz w:val="22"/>
          <w:szCs w:val="22"/>
        </w:rPr>
        <w:t xml:space="preserve">ovog limfoma </w:t>
      </w:r>
      <w:r w:rsidRPr="00B14963">
        <w:rPr>
          <w:sz w:val="22"/>
          <w:szCs w:val="22"/>
        </w:rPr>
        <w:t>(jačina od 1400 mg)</w:t>
      </w:r>
      <w:r w:rsidRPr="00B14963">
        <w:rPr>
          <w:i/>
          <w:sz w:val="22"/>
          <w:szCs w:val="22"/>
        </w:rPr>
        <w:t xml:space="preserve"> i Liječenje hronične limfocitne leukemije </w:t>
      </w:r>
      <w:r w:rsidRPr="00B14963">
        <w:rPr>
          <w:sz w:val="22"/>
          <w:szCs w:val="22"/>
        </w:rPr>
        <w:t>(jačina od 1600 mg). Za informacije povezane sa drugim indikacijama, vidjeti Sažetak karakteristika lijeka MabThera u formulaciji za intravensku primjenu.</w:t>
      </w:r>
    </w:p>
    <w:p w14:paraId="48005FE2" w14:textId="77777777" w:rsidR="00D35ABA" w:rsidRPr="00B14963" w:rsidRDefault="00D35ABA" w:rsidP="00874EF0">
      <w:pPr>
        <w:tabs>
          <w:tab w:val="left" w:pos="540"/>
          <w:tab w:val="left" w:pos="569"/>
        </w:tabs>
        <w:jc w:val="both"/>
        <w:rPr>
          <w:bCs/>
          <w:sz w:val="22"/>
          <w:szCs w:val="22"/>
        </w:rPr>
      </w:pPr>
    </w:p>
    <w:p w14:paraId="516B4BF3" w14:textId="77777777" w:rsidR="00D35ABA" w:rsidRPr="00B14963" w:rsidRDefault="00D35ABA" w:rsidP="00874EF0">
      <w:pPr>
        <w:jc w:val="both"/>
        <w:rPr>
          <w:sz w:val="22"/>
          <w:szCs w:val="22"/>
          <w:u w:val="single"/>
        </w:rPr>
      </w:pPr>
      <w:r w:rsidRPr="00B14963">
        <w:rPr>
          <w:sz w:val="22"/>
          <w:szCs w:val="22"/>
          <w:u w:val="single"/>
        </w:rPr>
        <w:t>Progresivna multifokalna leukoencefalopatija</w:t>
      </w:r>
    </w:p>
    <w:p w14:paraId="1C4D83DE" w14:textId="77777777" w:rsidR="00555704" w:rsidRPr="00B14963" w:rsidRDefault="00555704" w:rsidP="00874EF0">
      <w:pPr>
        <w:jc w:val="both"/>
        <w:rPr>
          <w:sz w:val="22"/>
          <w:szCs w:val="22"/>
          <w:u w:val="single"/>
        </w:rPr>
      </w:pPr>
    </w:p>
    <w:p w14:paraId="64C8A646" w14:textId="77777777" w:rsidR="00D35ABA" w:rsidRPr="00B14963" w:rsidRDefault="00D35ABA" w:rsidP="00874EF0">
      <w:pPr>
        <w:jc w:val="both"/>
        <w:rPr>
          <w:sz w:val="22"/>
          <w:szCs w:val="22"/>
        </w:rPr>
      </w:pPr>
      <w:r w:rsidRPr="00B14963">
        <w:rPr>
          <w:sz w:val="22"/>
          <w:szCs w:val="22"/>
        </w:rPr>
        <w:t xml:space="preserve">Primjena lijeka MabThera može biti povezana sa povećanim rizikom od progresivne multifokalne leukoencefalopatije (PML). Pacijenti se moraju redovno pratiti zbog moguće pojave novih ili pogoršanja već postojećih neuroloških simptoma ili znakova koji mogu ukazivati na PML. Ako se sumnja na PML, dalja primjena se mora prekinuti dok se PML ne isključi. Ljekar treba da pregleda pacijenta kako bi utvrdio ukazuju li simptomi na neurološki poremećaj, i ako je tako, upućuju li možda na PML. Ako je klinički indikovano, potrebno je razmotriti konsultaciju sa neurologom. </w:t>
      </w:r>
    </w:p>
    <w:p w14:paraId="009FC857" w14:textId="77777777" w:rsidR="00D35ABA" w:rsidRPr="00B14963" w:rsidRDefault="00D35ABA" w:rsidP="00874EF0">
      <w:pPr>
        <w:jc w:val="both"/>
        <w:rPr>
          <w:sz w:val="22"/>
          <w:szCs w:val="22"/>
        </w:rPr>
      </w:pPr>
    </w:p>
    <w:p w14:paraId="0CD55D38" w14:textId="77777777" w:rsidR="00D35ABA" w:rsidRPr="00B14963" w:rsidRDefault="00D35ABA" w:rsidP="00874EF0">
      <w:pPr>
        <w:jc w:val="both"/>
        <w:rPr>
          <w:sz w:val="22"/>
          <w:szCs w:val="22"/>
        </w:rPr>
      </w:pPr>
      <w:r w:rsidRPr="00B14963">
        <w:rPr>
          <w:sz w:val="22"/>
          <w:szCs w:val="22"/>
        </w:rPr>
        <w:t>Postoji li nedoumica, treba razmotriti sprovođenje daljih analiza, uključujući MR snimanje, po mogućnosti sa kontrastnim sredstvom, ispitivanje cerebrospinalne tečnosti na DNK JC virusa, i ponavljanje neuroloških analiza.</w:t>
      </w:r>
    </w:p>
    <w:p w14:paraId="7065D5E1" w14:textId="77777777" w:rsidR="00D35ABA" w:rsidRPr="00B14963" w:rsidRDefault="00D35ABA" w:rsidP="00874EF0">
      <w:pPr>
        <w:jc w:val="both"/>
        <w:rPr>
          <w:sz w:val="22"/>
          <w:szCs w:val="22"/>
        </w:rPr>
      </w:pPr>
    </w:p>
    <w:p w14:paraId="0DCB0859" w14:textId="77777777" w:rsidR="00D35ABA" w:rsidRPr="00B14963" w:rsidRDefault="00D35ABA" w:rsidP="00874EF0">
      <w:pPr>
        <w:jc w:val="both"/>
        <w:rPr>
          <w:sz w:val="22"/>
          <w:szCs w:val="22"/>
        </w:rPr>
      </w:pPr>
      <w:r w:rsidRPr="00B14963">
        <w:rPr>
          <w:sz w:val="22"/>
          <w:szCs w:val="22"/>
        </w:rPr>
        <w:t>Ljekar treba da naročitu pažnju posveti simptomima koji ukazuju na PML, a koje pacijent ne mora da primijeti (npr. kognitivne, neurološke ili psihijatrijske simptome). Pacijentima takođe treba savjetovati da obavijeste partnera ili staratelje o svojoj terapiji, jer oni mogu primijetiti simptome kojih pacijent nije svjestan.</w:t>
      </w:r>
    </w:p>
    <w:p w14:paraId="410BF3E8" w14:textId="77777777" w:rsidR="00D35ABA" w:rsidRPr="00B14963" w:rsidRDefault="00D35ABA" w:rsidP="00874EF0">
      <w:pPr>
        <w:jc w:val="both"/>
        <w:rPr>
          <w:sz w:val="22"/>
          <w:szCs w:val="22"/>
        </w:rPr>
      </w:pPr>
    </w:p>
    <w:p w14:paraId="0298E041" w14:textId="77777777" w:rsidR="00D35ABA" w:rsidRPr="00B14963" w:rsidRDefault="00D35ABA" w:rsidP="00874EF0">
      <w:pPr>
        <w:jc w:val="both"/>
        <w:rPr>
          <w:sz w:val="22"/>
          <w:szCs w:val="22"/>
        </w:rPr>
      </w:pPr>
      <w:r w:rsidRPr="00B14963">
        <w:rPr>
          <w:sz w:val="22"/>
          <w:szCs w:val="22"/>
        </w:rPr>
        <w:t>Ako se kod pacijenata razvije PML, primjena lijeka MabThera mora se trajno obustaviti.</w:t>
      </w:r>
    </w:p>
    <w:p w14:paraId="3DDFD057" w14:textId="77777777" w:rsidR="00D35ABA" w:rsidRPr="00B14963" w:rsidRDefault="00D35ABA" w:rsidP="00874EF0">
      <w:pPr>
        <w:jc w:val="both"/>
        <w:rPr>
          <w:sz w:val="22"/>
          <w:szCs w:val="22"/>
        </w:rPr>
      </w:pPr>
    </w:p>
    <w:p w14:paraId="4E487253" w14:textId="77777777" w:rsidR="00D35ABA" w:rsidRPr="00B14963" w:rsidRDefault="00D35ABA" w:rsidP="00874EF0">
      <w:pPr>
        <w:tabs>
          <w:tab w:val="left" w:pos="540"/>
          <w:tab w:val="left" w:pos="569"/>
        </w:tabs>
        <w:jc w:val="both"/>
        <w:rPr>
          <w:sz w:val="22"/>
          <w:szCs w:val="22"/>
        </w:rPr>
      </w:pPr>
      <w:r w:rsidRPr="00B14963">
        <w:rPr>
          <w:sz w:val="22"/>
          <w:szCs w:val="22"/>
        </w:rPr>
        <w:t>Zapažena je stabilizacija ili poboljšanje ishoda nakon ponovnog uspostavljanja funkcije imunog sistema kod imunokompromitovanih pacijenata sa PML</w:t>
      </w:r>
      <w:r w:rsidRPr="00B14963">
        <w:rPr>
          <w:sz w:val="22"/>
          <w:szCs w:val="22"/>
        </w:rPr>
        <w:noBreakHyphen/>
        <w:t>om. Ostaje nepoznato mogu li rano otkrivanje PML</w:t>
      </w:r>
      <w:r w:rsidRPr="00B14963">
        <w:rPr>
          <w:sz w:val="22"/>
          <w:szCs w:val="22"/>
        </w:rPr>
        <w:noBreakHyphen/>
        <w:t>a i prekid liječenja lijekom MabThera dovesti do slične stabilizacije ili poboljšanog ishoda.</w:t>
      </w:r>
    </w:p>
    <w:p w14:paraId="4C56A707" w14:textId="77777777" w:rsidR="00D35ABA" w:rsidRPr="00B14963" w:rsidRDefault="00D35ABA" w:rsidP="00874EF0">
      <w:pPr>
        <w:tabs>
          <w:tab w:val="left" w:pos="540"/>
          <w:tab w:val="left" w:pos="569"/>
        </w:tabs>
        <w:jc w:val="both"/>
        <w:rPr>
          <w:sz w:val="22"/>
          <w:szCs w:val="22"/>
        </w:rPr>
      </w:pPr>
    </w:p>
    <w:p w14:paraId="33529F52" w14:textId="77777777" w:rsidR="00D35ABA" w:rsidRPr="00B14963" w:rsidRDefault="00D35ABA" w:rsidP="00874EF0">
      <w:pPr>
        <w:jc w:val="both"/>
        <w:rPr>
          <w:sz w:val="22"/>
          <w:szCs w:val="22"/>
          <w:u w:val="single"/>
        </w:rPr>
      </w:pPr>
      <w:r w:rsidRPr="00B14963">
        <w:rPr>
          <w:sz w:val="22"/>
          <w:szCs w:val="22"/>
          <w:u w:val="single"/>
        </w:rPr>
        <w:lastRenderedPageBreak/>
        <w:t>Reakcije na infuziju/primjenu</w:t>
      </w:r>
    </w:p>
    <w:p w14:paraId="03B6D639" w14:textId="77777777" w:rsidR="00555704" w:rsidRPr="00B14963" w:rsidRDefault="00555704" w:rsidP="00874EF0">
      <w:pPr>
        <w:jc w:val="both"/>
        <w:rPr>
          <w:sz w:val="22"/>
          <w:szCs w:val="22"/>
          <w:u w:val="single"/>
        </w:rPr>
      </w:pPr>
    </w:p>
    <w:p w14:paraId="1844FC7C" w14:textId="77777777" w:rsidR="00D35ABA" w:rsidRPr="00B14963" w:rsidRDefault="00D35ABA" w:rsidP="00874EF0">
      <w:pPr>
        <w:jc w:val="both"/>
        <w:rPr>
          <w:sz w:val="22"/>
          <w:szCs w:val="22"/>
        </w:rPr>
      </w:pPr>
      <w:r w:rsidRPr="00B14963">
        <w:rPr>
          <w:sz w:val="22"/>
          <w:szCs w:val="22"/>
        </w:rPr>
        <w:t>Primjena lijeka MabThera povezuje se sa reakcijama na infuziju/primjenu, koje mogu biti povezane sa otpuštanjem citokina i/ili drugih hemijskih medijatora. Sindrom otpuštanja citokina možda se klinički neće moći razlikovati od akutnih reakcija preosjetljivosti.</w:t>
      </w:r>
    </w:p>
    <w:p w14:paraId="2996E83B" w14:textId="77777777" w:rsidR="00D35ABA" w:rsidRPr="00B14963" w:rsidRDefault="00D35ABA" w:rsidP="00874EF0">
      <w:pPr>
        <w:jc w:val="both"/>
        <w:rPr>
          <w:sz w:val="22"/>
          <w:szCs w:val="22"/>
        </w:rPr>
      </w:pPr>
    </w:p>
    <w:p w14:paraId="1D57E857" w14:textId="77777777" w:rsidR="00D35ABA" w:rsidRPr="00B14963" w:rsidRDefault="00D35ABA" w:rsidP="00874EF0">
      <w:pPr>
        <w:jc w:val="both"/>
        <w:rPr>
          <w:sz w:val="22"/>
          <w:szCs w:val="22"/>
        </w:rPr>
      </w:pPr>
      <w:r w:rsidRPr="00B14963">
        <w:rPr>
          <w:sz w:val="22"/>
          <w:szCs w:val="22"/>
        </w:rPr>
        <w:t xml:space="preserve">Ova grupa reakcija, koje uključuju sindrom otpuštanja citokina, sindrom lize tumora, kao i anafilaktičke reakcije i reakcije preosjetljivosti, opisuje se u nastavku. One </w:t>
      </w:r>
      <w:r w:rsidR="001A549A" w:rsidRPr="00B14963">
        <w:rPr>
          <w:sz w:val="22"/>
          <w:szCs w:val="22"/>
        </w:rPr>
        <w:t>nijesu</w:t>
      </w:r>
      <w:r w:rsidRPr="00B14963">
        <w:rPr>
          <w:sz w:val="22"/>
          <w:szCs w:val="22"/>
        </w:rPr>
        <w:t xml:space="preserve"> posebno povezane sa određenim putem primjene lijeka MabThera, pa je njihova pojava moguća kod primjene obije formulacije.</w:t>
      </w:r>
    </w:p>
    <w:p w14:paraId="50792154" w14:textId="77777777" w:rsidR="00D35ABA" w:rsidRPr="00B14963" w:rsidRDefault="00D35ABA" w:rsidP="00874EF0">
      <w:pPr>
        <w:jc w:val="both"/>
        <w:rPr>
          <w:sz w:val="22"/>
          <w:szCs w:val="22"/>
        </w:rPr>
      </w:pPr>
    </w:p>
    <w:p w14:paraId="5200778B" w14:textId="77777777" w:rsidR="00D35ABA" w:rsidRPr="00B14963" w:rsidRDefault="00D35ABA" w:rsidP="00874EF0">
      <w:pPr>
        <w:jc w:val="both"/>
        <w:rPr>
          <w:sz w:val="22"/>
          <w:szCs w:val="22"/>
        </w:rPr>
      </w:pPr>
      <w:r w:rsidRPr="00B14963">
        <w:rPr>
          <w:sz w:val="22"/>
          <w:szCs w:val="22"/>
        </w:rPr>
        <w:t>Pri primjeni lijeka MabThera u formulaciji za intravensku primjenu nakon njenog stavljanja u promet prijavljene su teške reakcije na infuziju sa smrtnim ishodom, koje su nastupile 30 minuta do 2 sata nakon početka prve intravenske infuzije lijeka MabThera. Kod tih reakcija bili su karakteristični plućni događaji, a u nekim slučajevima su uključivale brzu lizu tumora te obilježja sindroma lize tumora, uz povišenu temperaturu, drhtavicu, ukočenost, hipotenziju, urtikariju, angioedem i druge simptome (vidjeti dio 4.8).</w:t>
      </w:r>
    </w:p>
    <w:p w14:paraId="76F6FC24" w14:textId="77777777" w:rsidR="00D35ABA" w:rsidRPr="00B14963" w:rsidRDefault="00D35ABA" w:rsidP="00874EF0">
      <w:pPr>
        <w:jc w:val="both"/>
        <w:rPr>
          <w:sz w:val="22"/>
          <w:szCs w:val="22"/>
        </w:rPr>
      </w:pPr>
    </w:p>
    <w:p w14:paraId="7C33D973" w14:textId="77777777" w:rsidR="00D35ABA" w:rsidRPr="00B14963" w:rsidRDefault="00D35ABA" w:rsidP="00874EF0">
      <w:pPr>
        <w:jc w:val="both"/>
        <w:rPr>
          <w:sz w:val="22"/>
          <w:szCs w:val="22"/>
        </w:rPr>
      </w:pPr>
      <w:r w:rsidRPr="00B14963">
        <w:rPr>
          <w:sz w:val="22"/>
          <w:szCs w:val="22"/>
        </w:rPr>
        <w:t xml:space="preserve">Teški sindrom oslobađanja citokina se odlikuje teškom dispnejom, često praćenom bronhospazmom i hipoksijom, uz povišenu temperaturu, drhtavicu, ukočenost, urtikariju i angioedem. Ovaj sindrom može da bude povezan sa nekim osobinama sindroma lize tumora, kao što su hiperurikemija, hiperkalijemija, hipokalcijemija, hiperfosfatemija, akutna bubrežna insuficijencija, povišeni LDH, a može biti povezan i sa akutnom respiratornom insuficijencijom i smrću. Akutna respiratorna insuficijencija može biti praćena događajima kao što su plućna intersticijalna infiltracija ili edem koji je vidljiv na rendgenskom snimku grudnog koša. Ovaj sindrom se često manifestuje  u roku od jedan do dva sata po započinjanju prve infuzije. Pacijenti koji su već patili od plućne insuficijencije ili su imali infiltraciju tumora u pluća mogu biti izloženi većem riziku od lošeg ishoda i treba ih tretirati s posebnom pažnjom. Pacijente koji razviju teški sindrom oslobađanja citokina treba odmah skinuti s infuzije (vidjeti dio 4.2.) i treba im dati agresivnu simptomatsku terapiju. Budući da inicijalno ublažavanje kliničkih simptoma može biti praćeno pogoršanjem, ove pacijente treba brižljivo pratiti sve dok se sindrom lize tumora i plućna infiltracija ne razriješe ili povuku. Dalje liječenje pacijenata po kompletnom povlačenju znakova i simptoma rijetko dovodi do ponavljanja težeg sindroma oslobađanja citokina. </w:t>
      </w:r>
    </w:p>
    <w:p w14:paraId="6C2A1207" w14:textId="77777777" w:rsidR="00D35ABA" w:rsidRPr="00B14963" w:rsidRDefault="00D35ABA" w:rsidP="00874EF0">
      <w:pPr>
        <w:jc w:val="both"/>
        <w:rPr>
          <w:sz w:val="22"/>
          <w:szCs w:val="22"/>
        </w:rPr>
      </w:pPr>
    </w:p>
    <w:p w14:paraId="25027D1F" w14:textId="77777777" w:rsidR="00D35ABA" w:rsidRPr="00B14963" w:rsidRDefault="00D35ABA" w:rsidP="00874EF0">
      <w:pPr>
        <w:jc w:val="both"/>
        <w:rPr>
          <w:sz w:val="22"/>
          <w:szCs w:val="22"/>
        </w:rPr>
      </w:pPr>
      <w:r w:rsidRPr="00B14963">
        <w:rPr>
          <w:sz w:val="22"/>
          <w:szCs w:val="22"/>
        </w:rPr>
        <w:t>Pacijenti sa velikim tumorskim opterećenjem ili velikim brojem (</w:t>
      </w:r>
      <w:r w:rsidRPr="00B14963">
        <w:rPr>
          <w:sz w:val="22"/>
          <w:szCs w:val="22"/>
        </w:rPr>
        <w:sym w:font="Symbol" w:char="F0B3"/>
      </w:r>
      <w:r w:rsidRPr="00B14963">
        <w:rPr>
          <w:sz w:val="22"/>
          <w:szCs w:val="22"/>
        </w:rPr>
        <w:t>25 x 10</w:t>
      </w:r>
      <w:r w:rsidRPr="00B14963">
        <w:rPr>
          <w:sz w:val="22"/>
          <w:szCs w:val="22"/>
          <w:vertAlign w:val="superscript"/>
        </w:rPr>
        <w:t>9</w:t>
      </w:r>
      <w:r w:rsidRPr="00B14963">
        <w:rPr>
          <w:sz w:val="22"/>
          <w:szCs w:val="22"/>
        </w:rPr>
        <w:t>/l) malignih ćelija u cirkulaciji, kao što su pacijenti sa HLL koji mogu biti izloženi visokom riziku od posebno teškog sindroma oslobađanja citokina, smiju se liječiti samo sa izuzetnim oprezom. Ove pacijente treba vrlo brižljivo pratiti tokom cijelog trajanja prve infuzije. Treba razmisliti i o mogućnosti još sporije prve infuzije kod ovih pacijenata pri primjeni prve doze, ili o podjeli doze u dva dana</w:t>
      </w:r>
      <w:r w:rsidRPr="00B14963">
        <w:rPr>
          <w:sz w:val="22"/>
          <w:szCs w:val="22"/>
          <w:lang w:eastAsia="ja-JP"/>
        </w:rPr>
        <w:t xml:space="preserve"> </w:t>
      </w:r>
      <w:r w:rsidRPr="00B14963">
        <w:rPr>
          <w:sz w:val="22"/>
          <w:szCs w:val="22"/>
        </w:rPr>
        <w:t>tokom prvog ciklusa, ali i svakog narednog ciklusa ako je broj limfocita i dalje &gt;25 x 10</w:t>
      </w:r>
      <w:r w:rsidRPr="00B14963">
        <w:rPr>
          <w:sz w:val="22"/>
          <w:szCs w:val="22"/>
          <w:vertAlign w:val="superscript"/>
        </w:rPr>
        <w:t>9</w:t>
      </w:r>
      <w:r w:rsidRPr="00B14963">
        <w:rPr>
          <w:sz w:val="22"/>
          <w:szCs w:val="22"/>
        </w:rPr>
        <w:t>/l.</w:t>
      </w:r>
    </w:p>
    <w:p w14:paraId="6B86DB5C" w14:textId="77777777" w:rsidR="00D35ABA" w:rsidRPr="00B14963" w:rsidRDefault="00D35ABA" w:rsidP="00874EF0">
      <w:pPr>
        <w:jc w:val="both"/>
        <w:rPr>
          <w:sz w:val="22"/>
          <w:szCs w:val="22"/>
        </w:rPr>
      </w:pPr>
    </w:p>
    <w:p w14:paraId="2F9A551B" w14:textId="77777777" w:rsidR="00D35ABA" w:rsidRPr="00B14963" w:rsidRDefault="00D35ABA" w:rsidP="00874EF0">
      <w:pPr>
        <w:jc w:val="both"/>
        <w:rPr>
          <w:sz w:val="22"/>
          <w:szCs w:val="22"/>
        </w:rPr>
      </w:pPr>
      <w:r w:rsidRPr="00B14963">
        <w:rPr>
          <w:sz w:val="22"/>
          <w:szCs w:val="22"/>
        </w:rPr>
        <w:t xml:space="preserve">Anafilaktičke i druge reakcije preosjetljivosti su zabilježene po i.v. davanju proteina pacijentima. Za razliku od sindroma oslobađanja citokina, prave reakcije preosjetljivosti tipično nastaju u roku od nekoliko minuta po započinjanju infuzije. Ljekovi za terapiju reakcija preosjetljivosti, npr. epinefrin (adrenalin), antihistaminici i kortikosteroidi, treba da budu pri ruci da se mogu odmah primijeniti u slučaju razvoja alergijske reakcije tokom davanja lijeka MabThera. Kliničke manifestacije anafilakse mogu izgledati slično kliničkim manifestacijama sindroma oslobađanja citokina (opisanim gore). Reakcije koje se pripisuju preosjetljivosti su zabilježene rjeđe od onih koje se pripisuju oslobađanju citokina. </w:t>
      </w:r>
    </w:p>
    <w:p w14:paraId="4EBFA9E0" w14:textId="77777777" w:rsidR="00D35ABA" w:rsidRPr="00B14963" w:rsidRDefault="00D35ABA" w:rsidP="00874EF0">
      <w:pPr>
        <w:jc w:val="both"/>
        <w:rPr>
          <w:sz w:val="22"/>
          <w:szCs w:val="22"/>
        </w:rPr>
      </w:pPr>
    </w:p>
    <w:p w14:paraId="29E4D1A4" w14:textId="77777777" w:rsidR="00D35ABA" w:rsidRPr="00B14963" w:rsidRDefault="00D35ABA" w:rsidP="00874EF0">
      <w:pPr>
        <w:jc w:val="both"/>
        <w:outlineLvl w:val="0"/>
        <w:rPr>
          <w:sz w:val="22"/>
          <w:szCs w:val="22"/>
        </w:rPr>
      </w:pPr>
      <w:r w:rsidRPr="00B14963">
        <w:rPr>
          <w:sz w:val="22"/>
          <w:szCs w:val="22"/>
        </w:rPr>
        <w:t>Dodatne reakcije prijavljene kod nekih slučajeva obuhvatile su infarkt miokarda, atrijalnu fibrilaciju, plućni edem i akutnu reverzibilnu trombocitopeniju.</w:t>
      </w:r>
    </w:p>
    <w:p w14:paraId="4A4B3D32" w14:textId="77777777" w:rsidR="00D35ABA" w:rsidRPr="00B14963" w:rsidRDefault="00D35ABA" w:rsidP="00874EF0">
      <w:pPr>
        <w:jc w:val="both"/>
        <w:outlineLvl w:val="0"/>
        <w:rPr>
          <w:sz w:val="22"/>
          <w:szCs w:val="22"/>
        </w:rPr>
      </w:pPr>
    </w:p>
    <w:p w14:paraId="43777EFB" w14:textId="77777777" w:rsidR="00D35ABA" w:rsidRPr="00B14963" w:rsidRDefault="00D35ABA" w:rsidP="00874EF0">
      <w:pPr>
        <w:jc w:val="both"/>
        <w:rPr>
          <w:sz w:val="22"/>
          <w:szCs w:val="22"/>
        </w:rPr>
      </w:pPr>
      <w:r w:rsidRPr="00B14963">
        <w:rPr>
          <w:sz w:val="22"/>
          <w:szCs w:val="22"/>
        </w:rPr>
        <w:t xml:space="preserve">Budući da tokom infuzije lijeka MabThera može doći do hipotenzije, treba razmisliti o uzdržavanju od antihipertenzivne terapije 12 časova prije infuzije lijeka MabThera. </w:t>
      </w:r>
    </w:p>
    <w:p w14:paraId="5A4F3887" w14:textId="77777777" w:rsidR="00D35ABA" w:rsidRPr="00B14963" w:rsidRDefault="00D35ABA" w:rsidP="00874EF0">
      <w:pPr>
        <w:jc w:val="both"/>
        <w:rPr>
          <w:sz w:val="22"/>
          <w:szCs w:val="22"/>
        </w:rPr>
      </w:pPr>
    </w:p>
    <w:p w14:paraId="2C38689D" w14:textId="77777777" w:rsidR="00D35ABA" w:rsidRPr="00B14963" w:rsidRDefault="00D35ABA" w:rsidP="00874EF0">
      <w:pPr>
        <w:jc w:val="both"/>
        <w:rPr>
          <w:sz w:val="22"/>
          <w:szCs w:val="22"/>
        </w:rPr>
      </w:pPr>
      <w:r w:rsidRPr="00B14963">
        <w:rPr>
          <w:sz w:val="22"/>
          <w:szCs w:val="22"/>
        </w:rPr>
        <w:t xml:space="preserve">Kod 77% pacijenata liječenih lijekom MabThera primijećene su neželjene reakcije povezane sa primjenom infuzije (uključujući sindrom oslobađanja citokina praćen hipotenzijom i bronhospazmom kod 10% pacijenata); vidjeti dio 4.8. Ovi simptomi su obično reverzibilni s prekidom infuzije lijeka </w:t>
      </w:r>
      <w:r w:rsidRPr="00B14963">
        <w:rPr>
          <w:sz w:val="22"/>
          <w:szCs w:val="22"/>
        </w:rPr>
        <w:lastRenderedPageBreak/>
        <w:t xml:space="preserve">MabThera i davanjem analgetika, antihistaminika, i povremeno kiseonika, i.v. fiziološkog rastvora ili bronhodilatatora, i kortikosteroida po potrebi. Molimo da se u vezi sa teškim reakcijama pročita gore naveden dio o sindromu oslobađanja citokina. </w:t>
      </w:r>
    </w:p>
    <w:p w14:paraId="0B121326" w14:textId="77777777" w:rsidR="00D35ABA" w:rsidRPr="00B14963" w:rsidRDefault="00D35ABA" w:rsidP="00874EF0">
      <w:pPr>
        <w:jc w:val="both"/>
        <w:rPr>
          <w:sz w:val="22"/>
          <w:szCs w:val="22"/>
        </w:rPr>
      </w:pPr>
    </w:p>
    <w:p w14:paraId="4F75508D" w14:textId="77777777" w:rsidR="00D35ABA" w:rsidRPr="00B14963" w:rsidRDefault="00D35ABA" w:rsidP="00874EF0">
      <w:pPr>
        <w:jc w:val="both"/>
        <w:rPr>
          <w:sz w:val="22"/>
          <w:szCs w:val="22"/>
        </w:rPr>
      </w:pPr>
      <w:r w:rsidRPr="00B14963">
        <w:rPr>
          <w:sz w:val="22"/>
          <w:szCs w:val="22"/>
        </w:rPr>
        <w:t>Reakcije na primjenu primijećene su kod do 50% pacijenata koji su u kliničkim ispitivanjima liječeni formulacijom lijeka MabThera za subkutanu primjenu. Reakcije koje su se javljale u roku od 24 sata nakon subkutane injekcije prvenstveno su uključivale eritem, svrab, osip i reakcije na mjestu injekcije, poput bola, otoka i crvenila, a u principu su bile blage ili umjerene težine (stepena 1 ili 2) te prolazne prirode (vidjeti dio 4.8).</w:t>
      </w:r>
    </w:p>
    <w:p w14:paraId="62A01074" w14:textId="77777777" w:rsidR="00D35ABA" w:rsidRPr="00B14963" w:rsidRDefault="00D35ABA" w:rsidP="00874EF0">
      <w:pPr>
        <w:jc w:val="both"/>
        <w:rPr>
          <w:sz w:val="22"/>
          <w:szCs w:val="22"/>
        </w:rPr>
      </w:pPr>
    </w:p>
    <w:p w14:paraId="31A42D2D" w14:textId="77777777" w:rsidR="00D35ABA" w:rsidRPr="00B14963" w:rsidRDefault="00D35ABA" w:rsidP="00874EF0">
      <w:pPr>
        <w:jc w:val="both"/>
        <w:rPr>
          <w:sz w:val="22"/>
          <w:szCs w:val="22"/>
        </w:rPr>
      </w:pPr>
      <w:r w:rsidRPr="00B14963">
        <w:rPr>
          <w:sz w:val="22"/>
          <w:szCs w:val="22"/>
        </w:rPr>
        <w:t>Lokalne kožne reakcije bile su vrlo česte kod pacijenata koji su u kliničkim ispitivanjima primali formulaciju lijeka MabThera za subkutanu primjenu. Simptomi su uključivali bol, oticanje, induraciju, krvarenje, eritem, svrab i osip (vidjeti dio 4.8). Neke lokalne kožne reakcije pojavile su se više od 24 sata nakon subkutane primjene lijeka MabThera. Lokalne kožne reakcije zabilježene nakon primjene formulacije lijeka MabThera za subkutanu primjenu većinom su bile blage ili umjerene težine i povukle su se bez posebnog liječenja.</w:t>
      </w:r>
    </w:p>
    <w:p w14:paraId="0265D491" w14:textId="77777777" w:rsidR="00D35ABA" w:rsidRPr="00B14963" w:rsidRDefault="00D35ABA" w:rsidP="00874EF0">
      <w:pPr>
        <w:jc w:val="both"/>
        <w:rPr>
          <w:sz w:val="22"/>
          <w:szCs w:val="22"/>
        </w:rPr>
      </w:pPr>
    </w:p>
    <w:p w14:paraId="17988184" w14:textId="77777777" w:rsidR="00D35ABA" w:rsidRPr="00B14963" w:rsidRDefault="00D35ABA" w:rsidP="00874EF0">
      <w:pPr>
        <w:jc w:val="both"/>
        <w:rPr>
          <w:sz w:val="22"/>
          <w:szCs w:val="22"/>
        </w:rPr>
      </w:pPr>
      <w:r w:rsidRPr="00B14963">
        <w:rPr>
          <w:sz w:val="22"/>
          <w:szCs w:val="22"/>
        </w:rPr>
        <w:t>Prije početka primjene subkutanih injekcija lijeka MabThera, svi pacijenti uvijek moraju najprije intravenskom infuzijom da prime cijelu dozu formulacije lijeka MabThera za intravensku primjenu. Najveći rizik od pojave reakcija na primjenu generalno je primijećen u prvom ciklusu liječenja. Započinjanje liječenja intravenskom infuzijom lijeka MabThera omogućava bolje zbrinjavanje reakcija na primjenu lijeka usporavanjem ili prekidom intravenske infuzije.</w:t>
      </w:r>
    </w:p>
    <w:p w14:paraId="50AD5954" w14:textId="77777777" w:rsidR="00D35ABA" w:rsidRPr="00B14963" w:rsidRDefault="00D35ABA" w:rsidP="00874EF0">
      <w:pPr>
        <w:jc w:val="both"/>
        <w:rPr>
          <w:sz w:val="22"/>
          <w:szCs w:val="22"/>
        </w:rPr>
      </w:pPr>
    </w:p>
    <w:p w14:paraId="2548DB16" w14:textId="77777777" w:rsidR="00D35ABA" w:rsidRPr="00B14963" w:rsidRDefault="00D35ABA" w:rsidP="00874EF0">
      <w:pPr>
        <w:jc w:val="both"/>
        <w:rPr>
          <w:sz w:val="22"/>
          <w:szCs w:val="22"/>
        </w:rPr>
      </w:pPr>
      <w:r w:rsidRPr="00B14963">
        <w:rPr>
          <w:sz w:val="22"/>
          <w:szCs w:val="22"/>
        </w:rPr>
        <w:t>Ako pacijenti prije prelaza na formulaciju za subkutanu primjenu nijesu mogli primiti jednu cijelu dozu lijeka MabThera intravenskom infuzijom, u sljedećim ciklusima moraju nastaviti da primaju formulaciju lijeka MabThera za intravensku primjenu sve dok se uspješno ne primijeni cijela intravenska doza. Zbog toga je prelaz na formulaciju lijeka MabThera za subkutanu primjenu moguć tek u drugom ili nekom kasnijem ciklusu liječenja.</w:t>
      </w:r>
    </w:p>
    <w:p w14:paraId="7709A039" w14:textId="77777777" w:rsidR="00D35ABA" w:rsidRPr="00B14963" w:rsidRDefault="00D35ABA" w:rsidP="00874EF0">
      <w:pPr>
        <w:jc w:val="both"/>
        <w:rPr>
          <w:sz w:val="22"/>
          <w:szCs w:val="22"/>
        </w:rPr>
      </w:pPr>
    </w:p>
    <w:p w14:paraId="4754A49E" w14:textId="77777777" w:rsidR="00D35ABA" w:rsidRPr="00B14963" w:rsidRDefault="00D35ABA" w:rsidP="00874EF0">
      <w:pPr>
        <w:jc w:val="both"/>
        <w:rPr>
          <w:sz w:val="22"/>
          <w:szCs w:val="22"/>
        </w:rPr>
      </w:pPr>
      <w:r w:rsidRPr="00B14963">
        <w:rPr>
          <w:sz w:val="22"/>
          <w:szCs w:val="22"/>
        </w:rPr>
        <w:t>Kao i kod formulacije za intravensku primjenu, formulaciju lijeka MabThera za subkutanu primjenu treba primjenjivati u okruženju u kojem su direktno dostupni svi uređaji za oživljavanje, kao i pod direktnim nadzorom zdravstvenog radnika sa iskustvom. Prije svake doze formulacije lijeka MabThera za subkutanu primjenu treba uvijek primijeniti premedikaciju koja se sastoji od jednog analgetika/antipiretika i jednog antihistaminika. Treba razmotriti i premedikaciju kortikosteroidima.</w:t>
      </w:r>
    </w:p>
    <w:p w14:paraId="153C0942" w14:textId="77777777" w:rsidR="00D35ABA" w:rsidRPr="00B14963" w:rsidRDefault="00D35ABA" w:rsidP="00874EF0">
      <w:pPr>
        <w:jc w:val="both"/>
        <w:rPr>
          <w:sz w:val="22"/>
          <w:szCs w:val="22"/>
        </w:rPr>
      </w:pPr>
    </w:p>
    <w:p w14:paraId="3B3BE3DF" w14:textId="77777777" w:rsidR="00D35ABA" w:rsidRPr="00B14963" w:rsidRDefault="00D35ABA" w:rsidP="00874EF0">
      <w:pPr>
        <w:jc w:val="both"/>
        <w:rPr>
          <w:sz w:val="22"/>
          <w:szCs w:val="22"/>
        </w:rPr>
      </w:pPr>
      <w:r w:rsidRPr="00B14963">
        <w:rPr>
          <w:sz w:val="22"/>
          <w:szCs w:val="22"/>
        </w:rPr>
        <w:t>Pacijenta treba nadzirati najmanje 15 minuta nakon subkutane primjene lijeka MabThera. Taj će nadzor možda biti potrebno produžiti kod pacijenata sa povećanim rizikom od reakcija preosjetljivosti.</w:t>
      </w:r>
    </w:p>
    <w:p w14:paraId="03A1B303" w14:textId="77777777" w:rsidR="00D35ABA" w:rsidRPr="00B14963" w:rsidRDefault="00D35ABA" w:rsidP="00874EF0">
      <w:pPr>
        <w:jc w:val="both"/>
        <w:rPr>
          <w:sz w:val="22"/>
          <w:szCs w:val="22"/>
        </w:rPr>
      </w:pPr>
    </w:p>
    <w:p w14:paraId="6D5D3B20" w14:textId="77777777" w:rsidR="00D35ABA" w:rsidRPr="00B14963" w:rsidRDefault="00D35ABA" w:rsidP="00874EF0">
      <w:pPr>
        <w:tabs>
          <w:tab w:val="left" w:pos="540"/>
          <w:tab w:val="left" w:pos="569"/>
        </w:tabs>
        <w:jc w:val="both"/>
        <w:rPr>
          <w:sz w:val="22"/>
          <w:szCs w:val="22"/>
        </w:rPr>
      </w:pPr>
      <w:r w:rsidRPr="00B14963">
        <w:rPr>
          <w:sz w:val="22"/>
          <w:szCs w:val="22"/>
        </w:rPr>
        <w:t>Pacijente treba uputiti da se odmah obrate ljekaru koji ih liječi ako se u bilo kom trenutku nakon primjene lijeka pojave simptomi koji ukazuju na tešku preosjetljivost ili sindrom otpuštanja citokina.</w:t>
      </w:r>
    </w:p>
    <w:p w14:paraId="2CB22DF1" w14:textId="77777777" w:rsidR="00D35ABA" w:rsidRPr="00B14963" w:rsidRDefault="00D35ABA" w:rsidP="00874EF0">
      <w:pPr>
        <w:tabs>
          <w:tab w:val="left" w:pos="540"/>
          <w:tab w:val="left" w:pos="569"/>
        </w:tabs>
        <w:jc w:val="both"/>
        <w:rPr>
          <w:bCs/>
          <w:sz w:val="22"/>
          <w:szCs w:val="22"/>
        </w:rPr>
      </w:pPr>
    </w:p>
    <w:p w14:paraId="4A993F02" w14:textId="77777777" w:rsidR="00D35ABA" w:rsidRPr="00B14963" w:rsidRDefault="00D35ABA" w:rsidP="00874EF0">
      <w:pPr>
        <w:jc w:val="both"/>
        <w:rPr>
          <w:sz w:val="22"/>
          <w:szCs w:val="22"/>
          <w:u w:val="single"/>
        </w:rPr>
      </w:pPr>
      <w:r w:rsidRPr="00B14963">
        <w:rPr>
          <w:sz w:val="22"/>
          <w:szCs w:val="22"/>
          <w:u w:val="single"/>
        </w:rPr>
        <w:t>Srčani poremećaji</w:t>
      </w:r>
    </w:p>
    <w:p w14:paraId="7412FC00" w14:textId="77777777" w:rsidR="00555704" w:rsidRPr="00B14963" w:rsidRDefault="00555704" w:rsidP="00874EF0">
      <w:pPr>
        <w:jc w:val="both"/>
        <w:rPr>
          <w:sz w:val="22"/>
          <w:szCs w:val="22"/>
          <w:u w:val="single"/>
        </w:rPr>
      </w:pPr>
    </w:p>
    <w:p w14:paraId="175A88C2" w14:textId="77777777" w:rsidR="00D35ABA" w:rsidRPr="00B14963" w:rsidRDefault="00D35ABA" w:rsidP="00874EF0">
      <w:pPr>
        <w:jc w:val="both"/>
        <w:rPr>
          <w:sz w:val="22"/>
          <w:szCs w:val="22"/>
        </w:rPr>
      </w:pPr>
      <w:r w:rsidRPr="00B14963">
        <w:rPr>
          <w:sz w:val="22"/>
          <w:szCs w:val="22"/>
        </w:rPr>
        <w:t xml:space="preserve">Angina pektoris, srčane aritmije kao što su atrijalni flater i fibrilacija, srčana insuficijencija i/ili infarkt miokarda zabilježeni su kod pacijenata koji su primali lijek MabThera. Prema tome, pacijenti koji su patili od srčanih oboljenja i/ili su primali kardiotoksičnu terapiju moraju se držati pod strogim nadzorom. </w:t>
      </w:r>
    </w:p>
    <w:p w14:paraId="073D3E97" w14:textId="77777777" w:rsidR="00D35ABA" w:rsidRPr="00B14963" w:rsidRDefault="00D35ABA" w:rsidP="00874EF0">
      <w:pPr>
        <w:jc w:val="both"/>
        <w:rPr>
          <w:sz w:val="22"/>
          <w:szCs w:val="22"/>
        </w:rPr>
      </w:pPr>
    </w:p>
    <w:p w14:paraId="5396DE9A" w14:textId="77777777" w:rsidR="00D35ABA" w:rsidRPr="00B14963" w:rsidRDefault="00D35ABA" w:rsidP="00874EF0">
      <w:pPr>
        <w:jc w:val="both"/>
        <w:rPr>
          <w:sz w:val="22"/>
          <w:szCs w:val="22"/>
          <w:u w:val="single"/>
        </w:rPr>
      </w:pPr>
      <w:r w:rsidRPr="00B14963">
        <w:rPr>
          <w:sz w:val="22"/>
          <w:szCs w:val="22"/>
          <w:u w:val="single"/>
        </w:rPr>
        <w:t>Hematološke toksičnosti</w:t>
      </w:r>
    </w:p>
    <w:p w14:paraId="5DE6992D" w14:textId="77777777" w:rsidR="00555704" w:rsidRPr="00B14963" w:rsidRDefault="00555704" w:rsidP="00874EF0">
      <w:pPr>
        <w:jc w:val="both"/>
        <w:rPr>
          <w:sz w:val="22"/>
          <w:szCs w:val="22"/>
          <w:u w:val="single"/>
        </w:rPr>
      </w:pPr>
    </w:p>
    <w:p w14:paraId="728F4E61" w14:textId="77777777" w:rsidR="00D35ABA" w:rsidRPr="00B14963" w:rsidRDefault="00D35ABA" w:rsidP="00874EF0">
      <w:pPr>
        <w:jc w:val="both"/>
        <w:rPr>
          <w:sz w:val="22"/>
          <w:szCs w:val="22"/>
        </w:rPr>
      </w:pPr>
      <w:r w:rsidRPr="00B14963">
        <w:rPr>
          <w:sz w:val="22"/>
          <w:szCs w:val="22"/>
        </w:rPr>
        <w:t>Iako lijek MabThera nije mijelosupresivan kada se daje kao monoterapija, treba biti oprezan kada se razmišlja o liječenju pacijenata koji imaju &lt;1,5 x10</w:t>
      </w:r>
      <w:r w:rsidRPr="00B14963">
        <w:rPr>
          <w:sz w:val="22"/>
          <w:szCs w:val="22"/>
          <w:vertAlign w:val="superscript"/>
        </w:rPr>
        <w:t>9</w:t>
      </w:r>
      <w:r w:rsidRPr="00B14963">
        <w:rPr>
          <w:sz w:val="22"/>
          <w:szCs w:val="22"/>
        </w:rPr>
        <w:t>/l neutrofila i/ili broj trombocita &lt;75x10</w:t>
      </w:r>
      <w:r w:rsidRPr="00B14963">
        <w:rPr>
          <w:sz w:val="22"/>
          <w:szCs w:val="22"/>
          <w:vertAlign w:val="superscript"/>
        </w:rPr>
        <w:t>9</w:t>
      </w:r>
      <w:r w:rsidRPr="00B14963">
        <w:rPr>
          <w:sz w:val="22"/>
          <w:szCs w:val="22"/>
        </w:rPr>
        <w:t xml:space="preserve">/l, jer je kliničko iskustvo u ovoj populaciji još uvijek ograničeno. Lijek MabThera u formulaciji za intravensku primjenu je primjenjivan kod 21 pacijenta koji su podvrgnuti autolognoj transplantaciji kostne srži i u drugim rizičnim grupama kod kojih je pretpostavljena oslabljena funkcija kostne srži, bez izazivanja mijelotoksičnosti. </w:t>
      </w:r>
    </w:p>
    <w:p w14:paraId="7EBEC2D1" w14:textId="77777777" w:rsidR="00D35ABA" w:rsidRPr="00B14963" w:rsidRDefault="00D35ABA" w:rsidP="00874EF0">
      <w:pPr>
        <w:jc w:val="both"/>
        <w:rPr>
          <w:sz w:val="22"/>
          <w:szCs w:val="22"/>
        </w:rPr>
      </w:pPr>
    </w:p>
    <w:p w14:paraId="7744B532" w14:textId="77777777" w:rsidR="00D35ABA" w:rsidRPr="00B14963" w:rsidRDefault="00D35ABA" w:rsidP="00874EF0">
      <w:pPr>
        <w:keepNext/>
        <w:jc w:val="both"/>
        <w:outlineLvl w:val="0"/>
        <w:rPr>
          <w:sz w:val="22"/>
          <w:szCs w:val="22"/>
        </w:rPr>
      </w:pPr>
      <w:r w:rsidRPr="00B14963">
        <w:rPr>
          <w:sz w:val="22"/>
          <w:szCs w:val="22"/>
        </w:rPr>
        <w:lastRenderedPageBreak/>
        <w:t xml:space="preserve">Tokom terapije lijekom MabThera potrebno je redovno kontrolisati cjelokupnu krvnu sliku, uključujući broj neutrofila i trombocita. </w:t>
      </w:r>
    </w:p>
    <w:p w14:paraId="21E84750" w14:textId="77777777" w:rsidR="00D35ABA" w:rsidRPr="00B14963" w:rsidRDefault="00D35ABA" w:rsidP="00874EF0">
      <w:pPr>
        <w:keepNext/>
        <w:jc w:val="both"/>
        <w:outlineLvl w:val="0"/>
        <w:rPr>
          <w:sz w:val="22"/>
          <w:szCs w:val="22"/>
        </w:rPr>
      </w:pPr>
    </w:p>
    <w:p w14:paraId="67047D2F" w14:textId="77777777" w:rsidR="00D35ABA" w:rsidRPr="00B14963" w:rsidRDefault="00D35ABA" w:rsidP="00874EF0">
      <w:pPr>
        <w:keepNext/>
        <w:jc w:val="both"/>
        <w:outlineLvl w:val="0"/>
        <w:rPr>
          <w:sz w:val="22"/>
          <w:szCs w:val="22"/>
          <w:u w:val="single"/>
        </w:rPr>
      </w:pPr>
      <w:r w:rsidRPr="00B14963">
        <w:rPr>
          <w:sz w:val="22"/>
          <w:szCs w:val="22"/>
          <w:u w:val="single"/>
        </w:rPr>
        <w:t>Infekcije</w:t>
      </w:r>
    </w:p>
    <w:p w14:paraId="32436BF6" w14:textId="77777777" w:rsidR="00555704" w:rsidRPr="00B14963" w:rsidRDefault="00555704" w:rsidP="00874EF0">
      <w:pPr>
        <w:keepNext/>
        <w:jc w:val="both"/>
        <w:outlineLvl w:val="0"/>
        <w:rPr>
          <w:sz w:val="22"/>
          <w:szCs w:val="22"/>
          <w:u w:val="single"/>
        </w:rPr>
      </w:pPr>
    </w:p>
    <w:p w14:paraId="5F9187D2" w14:textId="77777777" w:rsidR="00D35ABA" w:rsidRPr="00B14963" w:rsidRDefault="00D35ABA" w:rsidP="00874EF0">
      <w:pPr>
        <w:jc w:val="both"/>
        <w:outlineLvl w:val="0"/>
        <w:rPr>
          <w:sz w:val="22"/>
          <w:szCs w:val="22"/>
        </w:rPr>
      </w:pPr>
      <w:r w:rsidRPr="00B14963">
        <w:rPr>
          <w:sz w:val="22"/>
          <w:szCs w:val="22"/>
        </w:rPr>
        <w:t>Ozbiljne infekcije, uključujući one sa fatalnim ishodom, mogu se pojaviti tokom terapije lijekom MabThera (vidjeti dio 4.8).</w:t>
      </w:r>
      <w:r w:rsidR="0091665D" w:rsidRPr="00B14963">
        <w:rPr>
          <w:sz w:val="22"/>
          <w:szCs w:val="22"/>
        </w:rPr>
        <w:t xml:space="preserve"> </w:t>
      </w:r>
      <w:r w:rsidRPr="00B14963">
        <w:rPr>
          <w:sz w:val="22"/>
          <w:szCs w:val="22"/>
        </w:rPr>
        <w:t>Lijek MabThera se ne smije dati pacijentima sa aktivnom teškom infekcijom (npr.</w:t>
      </w:r>
      <w:r w:rsidR="0091665D" w:rsidRPr="00B14963">
        <w:rPr>
          <w:sz w:val="22"/>
          <w:szCs w:val="22"/>
        </w:rPr>
        <w:t xml:space="preserve"> </w:t>
      </w:r>
      <w:r w:rsidRPr="00B14963">
        <w:rPr>
          <w:sz w:val="22"/>
          <w:szCs w:val="22"/>
        </w:rPr>
        <w:t>tuberkulozom, sepsom i oportunističkim infekcijama; vidjeti dio 4.3).</w:t>
      </w:r>
    </w:p>
    <w:p w14:paraId="6D1459C1" w14:textId="77777777" w:rsidR="00D35ABA" w:rsidRPr="00B14963" w:rsidRDefault="00D35ABA" w:rsidP="00874EF0">
      <w:pPr>
        <w:jc w:val="both"/>
        <w:outlineLvl w:val="0"/>
        <w:rPr>
          <w:sz w:val="22"/>
          <w:szCs w:val="22"/>
        </w:rPr>
      </w:pPr>
    </w:p>
    <w:p w14:paraId="40C4327B" w14:textId="77777777" w:rsidR="00D35ABA" w:rsidRPr="00B14963" w:rsidRDefault="00D35ABA" w:rsidP="00874EF0">
      <w:pPr>
        <w:jc w:val="both"/>
        <w:outlineLvl w:val="0"/>
        <w:rPr>
          <w:sz w:val="22"/>
          <w:szCs w:val="22"/>
        </w:rPr>
      </w:pPr>
      <w:r w:rsidRPr="00B14963">
        <w:rPr>
          <w:sz w:val="22"/>
          <w:szCs w:val="22"/>
        </w:rPr>
        <w:t>Ljekari treba da budu oprezni ako razmatraju primjenu lijeka MabThera kod pacijenata sa anamnezom rekurentnih ili hroničnih infekcija ili postojećim stanjima koja ih mogu dodatno predisponirati za ozbiljne infekcije (vidjeti dio 4.8).</w:t>
      </w:r>
    </w:p>
    <w:p w14:paraId="41D16BC7" w14:textId="77777777" w:rsidR="00D35ABA" w:rsidRPr="00B14963" w:rsidRDefault="00D35ABA" w:rsidP="00874EF0">
      <w:pPr>
        <w:jc w:val="both"/>
        <w:rPr>
          <w:sz w:val="22"/>
          <w:szCs w:val="22"/>
        </w:rPr>
      </w:pPr>
    </w:p>
    <w:p w14:paraId="1A209BFE" w14:textId="77777777" w:rsidR="00D35ABA" w:rsidRPr="00B14963" w:rsidRDefault="00D35ABA" w:rsidP="00874EF0">
      <w:pPr>
        <w:jc w:val="both"/>
        <w:outlineLvl w:val="0"/>
        <w:rPr>
          <w:sz w:val="22"/>
          <w:szCs w:val="22"/>
        </w:rPr>
      </w:pPr>
      <w:r w:rsidRPr="00B14963">
        <w:rPr>
          <w:sz w:val="22"/>
          <w:szCs w:val="22"/>
        </w:rPr>
        <w:t xml:space="preserve">Kod osoba koje su primale formulaciju lijeka MabThera za intravensku primjenu zabilježeni su slučajevi reaktivacije hepatitisa B, uključujući i neke slučajeve fulminantnog hepatitisa sa fatalnim ishodom. Većina ovih osoba bila je izložena i citotoksičnoj hemioterapiji. Ograničeni podaci iz jednog ispitivanja kod pacijenata sa relapsirajućim/refraktornim HLL-om ukazuju da liječenje lijekom MabThera može takođe pogoršati ishod primarne infekcije hepatitisom B. Svi pacijenti prije početka liječenja lijekom MabThera moraju se testirati na virus hepatitisa B (HBV). Potrebno je najmanje odrediti status HBsAg i HBcAb, a testiranje se može dopuniti i određivanjem drugih odgovarajućih markera, u skladu sa lokalnim smjernicama. Pacijenti sa aktivnim hepatitisom B ne smiju se liječiti lijekom MabThera. Pacijenti sa pozitivnim serološkim nalazima na hepatitis B (bilo HBsAg ili HBcAb) trebaju prije početka liječenja da konsultuju stručnjake za bolesti jetre te ih treba nadgledati i liječiti u skladu sa lokalnim standardima sa ciljem prevencije reaktivacije hepatitisa B. </w:t>
      </w:r>
    </w:p>
    <w:p w14:paraId="700D2BEC" w14:textId="77777777" w:rsidR="00D35ABA" w:rsidRPr="00B14963" w:rsidRDefault="00D35ABA" w:rsidP="00874EF0">
      <w:pPr>
        <w:jc w:val="both"/>
        <w:rPr>
          <w:sz w:val="22"/>
          <w:szCs w:val="22"/>
        </w:rPr>
      </w:pPr>
    </w:p>
    <w:p w14:paraId="445AF5F8" w14:textId="77777777" w:rsidR="00D35ABA" w:rsidRPr="00B14963" w:rsidRDefault="00D35ABA" w:rsidP="00874EF0">
      <w:pPr>
        <w:jc w:val="both"/>
        <w:rPr>
          <w:sz w:val="22"/>
          <w:szCs w:val="22"/>
        </w:rPr>
      </w:pPr>
      <w:r w:rsidRPr="00B14963">
        <w:rPr>
          <w:sz w:val="22"/>
          <w:szCs w:val="22"/>
        </w:rPr>
        <w:t xml:space="preserve">Vrlo rijetki slučajevi progresivne multifokalne leukoencefalopatije (PML) prijavljeni su kod pacijenata sa  HLL-om  nakon stavljanja formulacije lijeka MabThera za intravensku primjenu u promet (vidjeti dio 4.8). Većina pacijenata dobijala je lijek MabThera u kombinaciji sa hemioterapijom ili u okviru transplantacije matičnih ćelija hematopoeze. </w:t>
      </w:r>
    </w:p>
    <w:p w14:paraId="709B0109" w14:textId="77777777" w:rsidR="00D35ABA" w:rsidRPr="00B14963" w:rsidRDefault="00D35ABA" w:rsidP="00874EF0">
      <w:pPr>
        <w:jc w:val="both"/>
        <w:rPr>
          <w:sz w:val="22"/>
          <w:szCs w:val="22"/>
        </w:rPr>
      </w:pPr>
    </w:p>
    <w:p w14:paraId="05839D3A" w14:textId="77777777" w:rsidR="00760D3C" w:rsidRPr="00B14963" w:rsidRDefault="00760D3C" w:rsidP="00760D3C">
      <w:pPr>
        <w:jc w:val="both"/>
        <w:rPr>
          <w:sz w:val="22"/>
          <w:szCs w:val="22"/>
        </w:rPr>
      </w:pPr>
      <w:r w:rsidRPr="00B14963">
        <w:rPr>
          <w:sz w:val="22"/>
          <w:szCs w:val="22"/>
        </w:rPr>
        <w:t>Nakon primjene rituksimaba prijavljeni su slučajevi enterovirusnog meningoencefalitisa, uključujući slučajeve sa smrtnim ishodom.</w:t>
      </w:r>
    </w:p>
    <w:p w14:paraId="25335D5D" w14:textId="77777777" w:rsidR="00760D3C" w:rsidRPr="00B14963" w:rsidRDefault="00760D3C" w:rsidP="00760D3C">
      <w:pPr>
        <w:jc w:val="both"/>
        <w:rPr>
          <w:sz w:val="22"/>
          <w:szCs w:val="22"/>
        </w:rPr>
      </w:pPr>
    </w:p>
    <w:p w14:paraId="3E918177" w14:textId="77777777" w:rsidR="00760D3C" w:rsidRPr="00B14963" w:rsidRDefault="00760D3C" w:rsidP="00760D3C">
      <w:pPr>
        <w:jc w:val="both"/>
        <w:rPr>
          <w:sz w:val="22"/>
          <w:szCs w:val="22"/>
        </w:rPr>
      </w:pPr>
      <w:r w:rsidRPr="00B14963">
        <w:rPr>
          <w:sz w:val="22"/>
          <w:szCs w:val="22"/>
        </w:rPr>
        <w:t xml:space="preserve">Lažno negativni rezultati seroloških testova na infekcije </w:t>
      </w:r>
    </w:p>
    <w:p w14:paraId="6F209369" w14:textId="77777777" w:rsidR="00760D3C" w:rsidRPr="00B14963" w:rsidRDefault="00760D3C" w:rsidP="00760D3C">
      <w:pPr>
        <w:jc w:val="both"/>
        <w:rPr>
          <w:sz w:val="22"/>
          <w:szCs w:val="22"/>
        </w:rPr>
      </w:pPr>
      <w:r w:rsidRPr="00B14963">
        <w:rPr>
          <w:sz w:val="22"/>
          <w:szCs w:val="22"/>
        </w:rPr>
        <w:t>Zbog rizika od lažno negativnih rezultata seroloških testova na infekcije, potrebno je uzeti u obzir druge dijagnostičke metode kod pacijenata sa simptomima koji ukazuju na rijetku zaraznu bolest, npr. infekciju virusom Zapadnog Nila i neuroboreliozu.</w:t>
      </w:r>
    </w:p>
    <w:p w14:paraId="4FC41389" w14:textId="77777777" w:rsidR="00760D3C" w:rsidRPr="00B14963" w:rsidRDefault="00760D3C" w:rsidP="00874EF0">
      <w:pPr>
        <w:jc w:val="both"/>
        <w:rPr>
          <w:sz w:val="22"/>
          <w:szCs w:val="22"/>
        </w:rPr>
      </w:pPr>
    </w:p>
    <w:p w14:paraId="302E5A4B" w14:textId="77777777" w:rsidR="00D35ABA" w:rsidRPr="00B14963" w:rsidRDefault="00D35ABA" w:rsidP="00874EF0">
      <w:pPr>
        <w:keepNext/>
        <w:jc w:val="both"/>
        <w:outlineLvl w:val="0"/>
        <w:rPr>
          <w:sz w:val="22"/>
          <w:szCs w:val="22"/>
          <w:u w:val="single"/>
        </w:rPr>
      </w:pPr>
      <w:r w:rsidRPr="00B14963">
        <w:rPr>
          <w:sz w:val="22"/>
          <w:szCs w:val="22"/>
          <w:u w:val="single"/>
        </w:rPr>
        <w:t>Imunizacija</w:t>
      </w:r>
    </w:p>
    <w:p w14:paraId="7D4ABBD2" w14:textId="77777777" w:rsidR="00555704" w:rsidRPr="00B14963" w:rsidRDefault="00555704" w:rsidP="00874EF0">
      <w:pPr>
        <w:keepNext/>
        <w:jc w:val="both"/>
        <w:outlineLvl w:val="0"/>
        <w:rPr>
          <w:sz w:val="22"/>
          <w:szCs w:val="22"/>
          <w:u w:val="single"/>
        </w:rPr>
      </w:pPr>
    </w:p>
    <w:p w14:paraId="3714598E" w14:textId="77777777" w:rsidR="00D35ABA" w:rsidRPr="00B14963" w:rsidRDefault="00D35ABA" w:rsidP="00874EF0">
      <w:pPr>
        <w:jc w:val="both"/>
        <w:outlineLvl w:val="0"/>
        <w:rPr>
          <w:sz w:val="22"/>
          <w:szCs w:val="22"/>
        </w:rPr>
      </w:pPr>
      <w:r w:rsidRPr="00B14963">
        <w:rPr>
          <w:sz w:val="22"/>
          <w:szCs w:val="22"/>
        </w:rPr>
        <w:t>Bezbjednost imunizacije živim virusnim vakcinama nakon liječenja lijekom MabThera nije ispitivana kod pacijenata sa NHL</w:t>
      </w:r>
      <w:r w:rsidRPr="00B14963">
        <w:rPr>
          <w:sz w:val="22"/>
          <w:szCs w:val="22"/>
        </w:rPr>
        <w:noBreakHyphen/>
        <w:t>om i HLL-om,  pa se vakcinacija živim virusnim vakcinama ne preporučuje. Pacijenti liječeni lijekom MabThera mogu primiti nežive vakcine. Međutim, stope odgovora na neživu vakcinu mogu biti smanjene. U nerandomizovanom ispitivanju, pacijenti u relapsu NHL</w:t>
      </w:r>
      <w:r w:rsidRPr="00B14963">
        <w:rPr>
          <w:sz w:val="22"/>
          <w:szCs w:val="22"/>
        </w:rPr>
        <w:noBreakHyphen/>
        <w:t>a niskog stepena malignosti koji su primali monoterapiju lijekom MabThera u formulaciji za intravensku primjenu su u poređenju sa zdravim neliječenim kontrolisanim ispitanicima imali nižu stopu odgovora na vakcinisanje antigenom tetanusa (16% u odnosu na 81%) i Keyhole Limpet Haemocyanin (KLH) neoantigenom (4% u odnosu na 69 % kada se mjerilo više nego dvostruko povećanje titra antitijela).</w:t>
      </w:r>
      <w:r w:rsidRPr="00B14963">
        <w:t xml:space="preserve"> </w:t>
      </w:r>
      <w:r w:rsidRPr="00B14963">
        <w:rPr>
          <w:sz w:val="22"/>
          <w:szCs w:val="22"/>
        </w:rPr>
        <w:t xml:space="preserve">S obzirom na sličnost među pacijentima, može se pretpostaviti da bi rezultati za pacijente sa HLL-om bili slični, ali to nije ispitivano u kliničkim ispitivanjima. </w:t>
      </w:r>
    </w:p>
    <w:p w14:paraId="22BC7694" w14:textId="77777777" w:rsidR="00D35ABA" w:rsidRPr="00B14963" w:rsidRDefault="00D35ABA" w:rsidP="00874EF0">
      <w:pPr>
        <w:jc w:val="both"/>
        <w:outlineLvl w:val="0"/>
        <w:rPr>
          <w:sz w:val="22"/>
          <w:szCs w:val="22"/>
        </w:rPr>
      </w:pPr>
    </w:p>
    <w:p w14:paraId="331DC503" w14:textId="77777777" w:rsidR="00D35ABA" w:rsidRPr="00B14963" w:rsidRDefault="00D35ABA" w:rsidP="00874EF0">
      <w:pPr>
        <w:jc w:val="both"/>
        <w:outlineLvl w:val="0"/>
        <w:rPr>
          <w:sz w:val="22"/>
          <w:szCs w:val="22"/>
        </w:rPr>
      </w:pPr>
      <w:r w:rsidRPr="00B14963">
        <w:rPr>
          <w:sz w:val="22"/>
          <w:szCs w:val="22"/>
        </w:rPr>
        <w:t>Srednja vrijednost titra antitijela na niz antigena (Streptococcus pneumoniae, influenca tipa A, zauške, rubela, varičela) prije terapije održala se najmanje 6 mjeseci nakon liječenja lijekom MabThera.</w:t>
      </w:r>
    </w:p>
    <w:p w14:paraId="181BD53D" w14:textId="77777777" w:rsidR="00D35ABA" w:rsidRPr="00B14963" w:rsidRDefault="00D35ABA" w:rsidP="00874EF0">
      <w:pPr>
        <w:jc w:val="both"/>
        <w:outlineLvl w:val="0"/>
        <w:rPr>
          <w:sz w:val="22"/>
          <w:szCs w:val="22"/>
        </w:rPr>
      </w:pPr>
    </w:p>
    <w:p w14:paraId="7ED05422" w14:textId="77777777" w:rsidR="001F415E" w:rsidRPr="00B14963" w:rsidRDefault="001F415E" w:rsidP="00874EF0">
      <w:pPr>
        <w:jc w:val="both"/>
        <w:outlineLvl w:val="0"/>
        <w:rPr>
          <w:sz w:val="22"/>
          <w:szCs w:val="22"/>
          <w:u w:val="single"/>
        </w:rPr>
      </w:pPr>
    </w:p>
    <w:p w14:paraId="1938876D" w14:textId="77777777" w:rsidR="001F415E" w:rsidRPr="00B14963" w:rsidRDefault="001F415E" w:rsidP="00874EF0">
      <w:pPr>
        <w:jc w:val="both"/>
        <w:outlineLvl w:val="0"/>
        <w:rPr>
          <w:sz w:val="22"/>
          <w:szCs w:val="22"/>
          <w:u w:val="single"/>
        </w:rPr>
      </w:pPr>
    </w:p>
    <w:p w14:paraId="28B029CE" w14:textId="77777777" w:rsidR="001F415E" w:rsidRPr="00B14963" w:rsidRDefault="001F415E" w:rsidP="00874EF0">
      <w:pPr>
        <w:jc w:val="both"/>
        <w:outlineLvl w:val="0"/>
        <w:rPr>
          <w:sz w:val="22"/>
          <w:szCs w:val="22"/>
          <w:u w:val="single"/>
        </w:rPr>
      </w:pPr>
    </w:p>
    <w:p w14:paraId="09408913" w14:textId="77777777" w:rsidR="00D35ABA" w:rsidRPr="00B14963" w:rsidRDefault="00D35ABA" w:rsidP="00874EF0">
      <w:pPr>
        <w:jc w:val="both"/>
        <w:outlineLvl w:val="0"/>
        <w:rPr>
          <w:sz w:val="22"/>
          <w:szCs w:val="22"/>
          <w:u w:val="single"/>
        </w:rPr>
      </w:pPr>
      <w:r w:rsidRPr="00B14963">
        <w:rPr>
          <w:sz w:val="22"/>
          <w:szCs w:val="22"/>
          <w:u w:val="single"/>
        </w:rPr>
        <w:lastRenderedPageBreak/>
        <w:t>Kožne reakcije</w:t>
      </w:r>
    </w:p>
    <w:p w14:paraId="0BD74B16" w14:textId="77777777" w:rsidR="001F415E" w:rsidRPr="00B14963" w:rsidRDefault="001F415E" w:rsidP="00874EF0">
      <w:pPr>
        <w:jc w:val="both"/>
        <w:outlineLvl w:val="0"/>
        <w:rPr>
          <w:sz w:val="22"/>
          <w:szCs w:val="22"/>
          <w:u w:val="single"/>
        </w:rPr>
      </w:pPr>
    </w:p>
    <w:p w14:paraId="5D6852C6" w14:textId="77777777" w:rsidR="00D35ABA" w:rsidRPr="00B14963" w:rsidRDefault="00D35ABA" w:rsidP="00874EF0">
      <w:pPr>
        <w:tabs>
          <w:tab w:val="left" w:pos="540"/>
          <w:tab w:val="left" w:pos="569"/>
        </w:tabs>
        <w:jc w:val="both"/>
        <w:rPr>
          <w:bCs/>
          <w:sz w:val="22"/>
          <w:szCs w:val="22"/>
        </w:rPr>
      </w:pPr>
      <w:r w:rsidRPr="00B14963">
        <w:rPr>
          <w:sz w:val="22"/>
          <w:szCs w:val="22"/>
        </w:rPr>
        <w:t>Prijavljene su teške kožne reakcije, poput toksične epidermalne nekrolize (Lajelov sindrom) i Stivens-Džonsonovog sindroma, neke od njih sa fatalnim ishodom (vidjeti dio 4.8). U slučaju takvog događaja, uz sumnju na povezanost sa lijekom MabThera, liječenje se mora trajno prekinuti.</w:t>
      </w:r>
    </w:p>
    <w:p w14:paraId="063C5039" w14:textId="77777777" w:rsidR="00057E35" w:rsidRPr="00B14963" w:rsidRDefault="00057E35" w:rsidP="00874EF0">
      <w:pPr>
        <w:tabs>
          <w:tab w:val="left" w:pos="540"/>
          <w:tab w:val="left" w:pos="569"/>
        </w:tabs>
        <w:jc w:val="both"/>
        <w:rPr>
          <w:bCs/>
          <w:sz w:val="22"/>
          <w:szCs w:val="22"/>
        </w:rPr>
      </w:pPr>
    </w:p>
    <w:p w14:paraId="52DE4976" w14:textId="77777777" w:rsidR="00411B4B" w:rsidRPr="00B14963" w:rsidRDefault="00411B4B" w:rsidP="00874EF0">
      <w:pPr>
        <w:tabs>
          <w:tab w:val="left" w:pos="540"/>
          <w:tab w:val="left" w:pos="569"/>
        </w:tabs>
        <w:jc w:val="both"/>
        <w:rPr>
          <w:b/>
          <w:bCs/>
          <w:sz w:val="22"/>
          <w:szCs w:val="22"/>
        </w:rPr>
      </w:pPr>
      <w:r w:rsidRPr="00B14963">
        <w:rPr>
          <w:b/>
          <w:bCs/>
          <w:sz w:val="22"/>
          <w:szCs w:val="22"/>
        </w:rPr>
        <w:t>4.5.</w:t>
      </w:r>
      <w:r w:rsidR="000D60CC" w:rsidRPr="00B14963">
        <w:rPr>
          <w:b/>
          <w:bCs/>
          <w:sz w:val="22"/>
          <w:szCs w:val="22"/>
        </w:rPr>
        <w:tab/>
      </w:r>
      <w:r w:rsidRPr="00B14963">
        <w:rPr>
          <w:b/>
          <w:bCs/>
          <w:sz w:val="22"/>
          <w:szCs w:val="22"/>
        </w:rPr>
        <w:t>Interakcije sa drugim ljekovima i druge vrste interakcija</w:t>
      </w:r>
    </w:p>
    <w:p w14:paraId="34B51AE5" w14:textId="77777777" w:rsidR="0072020E" w:rsidRPr="00B14963" w:rsidRDefault="0072020E" w:rsidP="00874EF0">
      <w:pPr>
        <w:tabs>
          <w:tab w:val="left" w:pos="540"/>
          <w:tab w:val="left" w:pos="569"/>
        </w:tabs>
        <w:jc w:val="both"/>
        <w:rPr>
          <w:bCs/>
          <w:sz w:val="22"/>
          <w:szCs w:val="22"/>
        </w:rPr>
      </w:pPr>
    </w:p>
    <w:p w14:paraId="22D593AB" w14:textId="77777777" w:rsidR="00D35ABA" w:rsidRPr="00B14963" w:rsidRDefault="00D35ABA" w:rsidP="00874EF0">
      <w:pPr>
        <w:jc w:val="both"/>
        <w:rPr>
          <w:sz w:val="22"/>
          <w:szCs w:val="22"/>
        </w:rPr>
      </w:pPr>
      <w:r w:rsidRPr="00B14963">
        <w:rPr>
          <w:sz w:val="22"/>
          <w:szCs w:val="22"/>
        </w:rPr>
        <w:t xml:space="preserve">U ovom trenutku, podaci o eventualnim interakcijama drugih ljekova sa lijekom MabThera su ograničeni. </w:t>
      </w:r>
    </w:p>
    <w:p w14:paraId="768EBDBE" w14:textId="77777777" w:rsidR="00D35ABA" w:rsidRPr="00B14963" w:rsidRDefault="00D35ABA" w:rsidP="00874EF0">
      <w:pPr>
        <w:jc w:val="both"/>
        <w:rPr>
          <w:sz w:val="22"/>
          <w:szCs w:val="22"/>
        </w:rPr>
      </w:pPr>
    </w:p>
    <w:p w14:paraId="5D120BD2" w14:textId="77777777" w:rsidR="00D35ABA" w:rsidRPr="00B14963" w:rsidRDefault="00D35ABA" w:rsidP="00874EF0">
      <w:pPr>
        <w:jc w:val="both"/>
        <w:outlineLvl w:val="0"/>
        <w:rPr>
          <w:sz w:val="22"/>
          <w:szCs w:val="22"/>
        </w:rPr>
      </w:pPr>
      <w:r w:rsidRPr="00B14963">
        <w:rPr>
          <w:sz w:val="22"/>
          <w:szCs w:val="22"/>
        </w:rPr>
        <w:t>Kod pacijenata sa HLL-om čini se da istovremeno davanje lijeka MabThera nije uticalo na farmakokinetiku fludarabina niti ciklofosfamida. Isto tako, nije uočeno da fludarabin i ciklofosfamid utiču na farmakokinetiku lijeka MabThera.</w:t>
      </w:r>
    </w:p>
    <w:p w14:paraId="185C636A" w14:textId="77777777" w:rsidR="00D35ABA" w:rsidRPr="00B14963" w:rsidRDefault="00D35ABA" w:rsidP="00874EF0">
      <w:pPr>
        <w:jc w:val="both"/>
        <w:rPr>
          <w:sz w:val="22"/>
          <w:szCs w:val="22"/>
        </w:rPr>
      </w:pPr>
    </w:p>
    <w:p w14:paraId="2B5E911B" w14:textId="77777777" w:rsidR="00D35ABA" w:rsidRPr="00B14963" w:rsidRDefault="00D35ABA" w:rsidP="00874EF0">
      <w:pPr>
        <w:tabs>
          <w:tab w:val="left" w:pos="540"/>
          <w:tab w:val="left" w:pos="569"/>
        </w:tabs>
        <w:jc w:val="both"/>
        <w:rPr>
          <w:sz w:val="22"/>
          <w:szCs w:val="22"/>
        </w:rPr>
      </w:pPr>
      <w:r w:rsidRPr="00B14963">
        <w:rPr>
          <w:sz w:val="22"/>
          <w:szCs w:val="22"/>
        </w:rPr>
        <w:t xml:space="preserve">Pacijenti sa titrom humanih antimišjih antitijela ili (engl. </w:t>
      </w:r>
      <w:r w:rsidRPr="00B14963">
        <w:rPr>
          <w:i/>
          <w:sz w:val="22"/>
          <w:szCs w:val="22"/>
        </w:rPr>
        <w:t>Human Anti-Mouse Antibody/,</w:t>
      </w:r>
      <w:r w:rsidRPr="00B14963">
        <w:rPr>
          <w:sz w:val="22"/>
          <w:szCs w:val="22"/>
        </w:rPr>
        <w:t xml:space="preserve"> HAMA/) ili antitijela na lijek (engl. Anti-Drug Antibody, ADA) mogu imati alergijske reakcije ili reakcije preosjetljivosti kada se tretiraju drugim dijagnostičkim ili terapijskim monoklonskim antitijelima.</w:t>
      </w:r>
    </w:p>
    <w:p w14:paraId="65F18A1B" w14:textId="77777777" w:rsidR="00D35ABA" w:rsidRPr="00B14963" w:rsidRDefault="00D35ABA" w:rsidP="00874EF0">
      <w:pPr>
        <w:tabs>
          <w:tab w:val="left" w:pos="540"/>
          <w:tab w:val="left" w:pos="569"/>
        </w:tabs>
        <w:jc w:val="both"/>
        <w:rPr>
          <w:bCs/>
          <w:sz w:val="22"/>
          <w:szCs w:val="22"/>
        </w:rPr>
      </w:pPr>
    </w:p>
    <w:p w14:paraId="7E4C0AB7" w14:textId="77777777" w:rsidR="0072020E" w:rsidRPr="00B14963" w:rsidRDefault="0072020E" w:rsidP="00874EF0">
      <w:pPr>
        <w:tabs>
          <w:tab w:val="left" w:pos="540"/>
          <w:tab w:val="left" w:pos="569"/>
        </w:tabs>
        <w:jc w:val="both"/>
        <w:rPr>
          <w:b/>
          <w:sz w:val="22"/>
          <w:szCs w:val="22"/>
        </w:rPr>
      </w:pPr>
      <w:r w:rsidRPr="00B14963">
        <w:rPr>
          <w:b/>
          <w:bCs/>
          <w:sz w:val="22"/>
          <w:szCs w:val="22"/>
        </w:rPr>
        <w:t xml:space="preserve">4.6. </w:t>
      </w:r>
      <w:r w:rsidR="00480FB1" w:rsidRPr="00B14963">
        <w:rPr>
          <w:b/>
          <w:bCs/>
          <w:sz w:val="22"/>
          <w:szCs w:val="22"/>
        </w:rPr>
        <w:tab/>
      </w:r>
      <w:r w:rsidR="006D20A5" w:rsidRPr="00B14963">
        <w:rPr>
          <w:b/>
          <w:sz w:val="22"/>
          <w:szCs w:val="22"/>
        </w:rPr>
        <w:t>Plodnost, trudnoća i dojenje</w:t>
      </w:r>
    </w:p>
    <w:p w14:paraId="464417AD" w14:textId="77777777" w:rsidR="002031B3" w:rsidRPr="00B14963" w:rsidRDefault="002031B3" w:rsidP="00874EF0">
      <w:pPr>
        <w:tabs>
          <w:tab w:val="left" w:pos="540"/>
          <w:tab w:val="left" w:pos="569"/>
        </w:tabs>
        <w:jc w:val="both"/>
        <w:rPr>
          <w:sz w:val="22"/>
          <w:szCs w:val="22"/>
          <w:u w:val="single"/>
        </w:rPr>
      </w:pPr>
    </w:p>
    <w:p w14:paraId="3D4D11CD" w14:textId="77777777" w:rsidR="002031B3" w:rsidRPr="00B14963" w:rsidRDefault="002031B3" w:rsidP="00874EF0">
      <w:pPr>
        <w:tabs>
          <w:tab w:val="left" w:pos="540"/>
          <w:tab w:val="left" w:pos="569"/>
        </w:tabs>
        <w:jc w:val="both"/>
        <w:rPr>
          <w:sz w:val="22"/>
          <w:szCs w:val="22"/>
          <w:u w:val="single"/>
        </w:rPr>
      </w:pPr>
      <w:r w:rsidRPr="00B14963">
        <w:rPr>
          <w:sz w:val="22"/>
          <w:szCs w:val="22"/>
          <w:u w:val="single"/>
        </w:rPr>
        <w:t>Plodnost</w:t>
      </w:r>
    </w:p>
    <w:p w14:paraId="50B0CA07" w14:textId="77777777" w:rsidR="00555704" w:rsidRPr="00B14963" w:rsidRDefault="00555704" w:rsidP="00874EF0">
      <w:pPr>
        <w:tabs>
          <w:tab w:val="left" w:pos="540"/>
          <w:tab w:val="left" w:pos="569"/>
        </w:tabs>
        <w:jc w:val="both"/>
        <w:rPr>
          <w:sz w:val="22"/>
          <w:szCs w:val="22"/>
          <w:u w:val="single"/>
        </w:rPr>
      </w:pPr>
    </w:p>
    <w:p w14:paraId="29433F3E" w14:textId="77777777" w:rsidR="00D35ABA" w:rsidRPr="00B14963" w:rsidRDefault="00D35ABA" w:rsidP="00874EF0">
      <w:pPr>
        <w:jc w:val="both"/>
        <w:rPr>
          <w:sz w:val="22"/>
          <w:szCs w:val="22"/>
        </w:rPr>
      </w:pPr>
      <w:r w:rsidRPr="00B14963">
        <w:rPr>
          <w:sz w:val="22"/>
          <w:szCs w:val="22"/>
        </w:rPr>
        <w:t xml:space="preserve">Studije sprovedene na životinjama </w:t>
      </w:r>
      <w:r w:rsidR="001A549A" w:rsidRPr="00B14963">
        <w:rPr>
          <w:sz w:val="22"/>
          <w:szCs w:val="22"/>
        </w:rPr>
        <w:t>nijesu</w:t>
      </w:r>
      <w:r w:rsidRPr="00B14963">
        <w:rPr>
          <w:sz w:val="22"/>
          <w:szCs w:val="22"/>
        </w:rPr>
        <w:t xml:space="preserve"> ukazale na štetna dejstva rituksimaba niti rekombinantne humane hijaluronidaze (rHuPH20) na reproduktivne organe.</w:t>
      </w:r>
    </w:p>
    <w:p w14:paraId="13DDF90E" w14:textId="77777777" w:rsidR="002031B3" w:rsidRPr="00B14963" w:rsidRDefault="002031B3" w:rsidP="00874EF0">
      <w:pPr>
        <w:tabs>
          <w:tab w:val="left" w:pos="540"/>
          <w:tab w:val="left" w:pos="569"/>
        </w:tabs>
        <w:jc w:val="both"/>
        <w:rPr>
          <w:sz w:val="22"/>
          <w:szCs w:val="22"/>
          <w:u w:val="single"/>
        </w:rPr>
      </w:pPr>
    </w:p>
    <w:p w14:paraId="45A84529" w14:textId="77777777" w:rsidR="007A3ECB" w:rsidRPr="00B14963" w:rsidRDefault="007A3ECB" w:rsidP="00874EF0">
      <w:pPr>
        <w:tabs>
          <w:tab w:val="left" w:pos="540"/>
          <w:tab w:val="left" w:pos="569"/>
        </w:tabs>
        <w:jc w:val="both"/>
        <w:rPr>
          <w:sz w:val="22"/>
          <w:szCs w:val="22"/>
          <w:u w:val="single"/>
        </w:rPr>
      </w:pPr>
      <w:r w:rsidRPr="00B14963">
        <w:rPr>
          <w:sz w:val="22"/>
          <w:szCs w:val="22"/>
          <w:u w:val="single"/>
        </w:rPr>
        <w:t>Trudnoća</w:t>
      </w:r>
    </w:p>
    <w:p w14:paraId="6371FCC6" w14:textId="77777777" w:rsidR="00555704" w:rsidRPr="00B14963" w:rsidRDefault="00555704" w:rsidP="00874EF0">
      <w:pPr>
        <w:tabs>
          <w:tab w:val="left" w:pos="540"/>
          <w:tab w:val="left" w:pos="569"/>
        </w:tabs>
        <w:jc w:val="both"/>
        <w:rPr>
          <w:sz w:val="22"/>
          <w:szCs w:val="22"/>
          <w:u w:val="single"/>
        </w:rPr>
      </w:pPr>
    </w:p>
    <w:p w14:paraId="26FB31B1" w14:textId="77777777" w:rsidR="00D35ABA" w:rsidRPr="00B14963" w:rsidRDefault="00D35ABA" w:rsidP="00874EF0">
      <w:pPr>
        <w:jc w:val="both"/>
        <w:rPr>
          <w:sz w:val="22"/>
          <w:szCs w:val="22"/>
        </w:rPr>
      </w:pPr>
      <w:r w:rsidRPr="00B14963">
        <w:rPr>
          <w:sz w:val="22"/>
          <w:szCs w:val="22"/>
        </w:rPr>
        <w:t>Poznato je da IgG imunoglobulini prolaze kroz placentnu barijeru.</w:t>
      </w:r>
    </w:p>
    <w:p w14:paraId="0DAE0D26" w14:textId="77777777" w:rsidR="00D35ABA" w:rsidRPr="00B14963" w:rsidRDefault="00D35ABA" w:rsidP="00874EF0">
      <w:pPr>
        <w:jc w:val="both"/>
        <w:rPr>
          <w:sz w:val="22"/>
          <w:szCs w:val="22"/>
        </w:rPr>
      </w:pPr>
    </w:p>
    <w:p w14:paraId="693B26F8" w14:textId="77777777" w:rsidR="00D35ABA" w:rsidRPr="00B14963" w:rsidRDefault="00D35ABA" w:rsidP="00874EF0">
      <w:pPr>
        <w:jc w:val="both"/>
        <w:rPr>
          <w:sz w:val="22"/>
          <w:szCs w:val="22"/>
        </w:rPr>
      </w:pPr>
      <w:r w:rsidRPr="00B14963">
        <w:rPr>
          <w:sz w:val="22"/>
          <w:szCs w:val="22"/>
        </w:rPr>
        <w:t xml:space="preserve">Nivoi B ćelija kod novorođenčadi po izlaganju majki lijeku MabThera nijesu praćeni u kliničkim ispitivanjima. Ne postoje adekvatni i dobro kontrolisani podaci iz studija na trudnicama, ali su ipak prolazna deplecija B ćelija i limfocitopenija prijavljene kod nekih novorođenčadi čije su majke tokom trudnoće bile izložene lijeku MabThera. Slično je dejstvo primijećeno i u studijama na životinjama (vidjeti dio 5.3). Zbog toga se lijek MabThera ne smije primjenjivati kod trudnica, osim ukoliko potencijalna korist ne prevazilazi potencijalni rizik. </w:t>
      </w:r>
    </w:p>
    <w:p w14:paraId="1D52F2D4" w14:textId="77777777" w:rsidR="002031B3" w:rsidRPr="00B14963" w:rsidRDefault="002031B3" w:rsidP="00874EF0">
      <w:pPr>
        <w:tabs>
          <w:tab w:val="left" w:pos="540"/>
          <w:tab w:val="left" w:pos="569"/>
        </w:tabs>
        <w:jc w:val="both"/>
        <w:rPr>
          <w:sz w:val="22"/>
          <w:szCs w:val="22"/>
          <w:u w:val="single"/>
        </w:rPr>
      </w:pPr>
    </w:p>
    <w:p w14:paraId="123A76BA" w14:textId="77777777" w:rsidR="0072020E" w:rsidRPr="00B14963" w:rsidRDefault="007A3ECB" w:rsidP="00874EF0">
      <w:pPr>
        <w:tabs>
          <w:tab w:val="left" w:pos="540"/>
          <w:tab w:val="left" w:pos="569"/>
        </w:tabs>
        <w:jc w:val="both"/>
        <w:rPr>
          <w:sz w:val="22"/>
          <w:szCs w:val="22"/>
          <w:u w:val="single"/>
        </w:rPr>
      </w:pPr>
      <w:r w:rsidRPr="00B14963">
        <w:rPr>
          <w:sz w:val="22"/>
          <w:szCs w:val="22"/>
          <w:u w:val="single"/>
        </w:rPr>
        <w:t xml:space="preserve">Dojenje </w:t>
      </w:r>
    </w:p>
    <w:p w14:paraId="67E96A86" w14:textId="77777777" w:rsidR="00555704" w:rsidRPr="00B14963" w:rsidRDefault="00555704" w:rsidP="00874EF0">
      <w:pPr>
        <w:tabs>
          <w:tab w:val="left" w:pos="540"/>
          <w:tab w:val="left" w:pos="569"/>
        </w:tabs>
        <w:jc w:val="both"/>
        <w:rPr>
          <w:b/>
          <w:bCs/>
          <w:sz w:val="22"/>
          <w:szCs w:val="22"/>
        </w:rPr>
      </w:pPr>
    </w:p>
    <w:p w14:paraId="00A89649" w14:textId="77777777" w:rsidR="00227BDB" w:rsidRPr="00B14963" w:rsidRDefault="00B50BC9" w:rsidP="007825F0">
      <w:pPr>
        <w:jc w:val="both"/>
        <w:rPr>
          <w:sz w:val="22"/>
          <w:szCs w:val="22"/>
        </w:rPr>
      </w:pPr>
      <w:r w:rsidRPr="00B14963">
        <w:rPr>
          <w:sz w:val="22"/>
          <w:szCs w:val="22"/>
        </w:rPr>
        <w:t>Ograničeni podaci o izlučivanju rituksimaba u majčino mlijeko ukaz</w:t>
      </w:r>
      <w:r w:rsidR="007825F0" w:rsidRPr="00B14963">
        <w:rPr>
          <w:sz w:val="22"/>
          <w:szCs w:val="22"/>
        </w:rPr>
        <w:t xml:space="preserve">uju na vrlo niske koncentracije </w:t>
      </w:r>
      <w:r w:rsidRPr="00B14963">
        <w:rPr>
          <w:sz w:val="22"/>
          <w:szCs w:val="22"/>
        </w:rPr>
        <w:t>l</w:t>
      </w:r>
      <w:r w:rsidR="009C2F34" w:rsidRPr="00B14963">
        <w:rPr>
          <w:sz w:val="22"/>
          <w:szCs w:val="22"/>
        </w:rPr>
        <w:t>ij</w:t>
      </w:r>
      <w:r w:rsidRPr="00B14963">
        <w:rPr>
          <w:sz w:val="22"/>
          <w:szCs w:val="22"/>
        </w:rPr>
        <w:t xml:space="preserve">eka u mlijeku (relativna doza u odojčeta manja je od 0,4%). U malobrojnim slučajevima praćenja dojene djece opisan je normalan rast i razvoj do </w:t>
      </w:r>
      <w:r w:rsidR="00D76C8E" w:rsidRPr="00B14963">
        <w:rPr>
          <w:sz w:val="22"/>
          <w:szCs w:val="22"/>
        </w:rPr>
        <w:t xml:space="preserve">2 </w:t>
      </w:r>
      <w:r w:rsidRPr="00B14963">
        <w:rPr>
          <w:sz w:val="22"/>
          <w:szCs w:val="22"/>
        </w:rPr>
        <w:t xml:space="preserve"> godine. Međutim, budući da su ti podaci ograničeni, a dugoročni ishodi za odojčad i dalje nepoznati, dojenje se ne preporučuje tokom l</w:t>
      </w:r>
      <w:r w:rsidR="009C2F34" w:rsidRPr="00B14963">
        <w:rPr>
          <w:sz w:val="22"/>
          <w:szCs w:val="22"/>
        </w:rPr>
        <w:t>ij</w:t>
      </w:r>
      <w:r w:rsidRPr="00B14963">
        <w:rPr>
          <w:sz w:val="22"/>
          <w:szCs w:val="22"/>
        </w:rPr>
        <w:t xml:space="preserve">ečenja rituksimabom, a u optimalnom slučaju ni idućih </w:t>
      </w:r>
      <w:r w:rsidR="00D76C8E" w:rsidRPr="00B14963">
        <w:rPr>
          <w:sz w:val="22"/>
          <w:szCs w:val="22"/>
        </w:rPr>
        <w:t xml:space="preserve">6 </w:t>
      </w:r>
      <w:r w:rsidRPr="00B14963">
        <w:rPr>
          <w:sz w:val="22"/>
          <w:szCs w:val="22"/>
        </w:rPr>
        <w:t>mjeseci nakon l</w:t>
      </w:r>
      <w:r w:rsidR="009C2F34" w:rsidRPr="00B14963">
        <w:rPr>
          <w:sz w:val="22"/>
          <w:szCs w:val="22"/>
        </w:rPr>
        <w:t>ij</w:t>
      </w:r>
      <w:r w:rsidRPr="00B14963">
        <w:rPr>
          <w:sz w:val="22"/>
          <w:szCs w:val="22"/>
        </w:rPr>
        <w:t>ečenja rituksimabom.</w:t>
      </w:r>
    </w:p>
    <w:p w14:paraId="5E9A2ECE" w14:textId="77777777" w:rsidR="00042E43" w:rsidRPr="00B14963" w:rsidRDefault="00042E43" w:rsidP="00874EF0">
      <w:pPr>
        <w:tabs>
          <w:tab w:val="left" w:pos="540"/>
          <w:tab w:val="left" w:pos="569"/>
        </w:tabs>
        <w:ind w:left="540" w:hanging="540"/>
        <w:jc w:val="both"/>
        <w:rPr>
          <w:b/>
          <w:bCs/>
          <w:sz w:val="22"/>
          <w:szCs w:val="22"/>
        </w:rPr>
      </w:pPr>
    </w:p>
    <w:p w14:paraId="5C028F32" w14:textId="77777777" w:rsidR="00874EF0" w:rsidRPr="00B14963" w:rsidRDefault="00874EF0" w:rsidP="00874EF0">
      <w:pPr>
        <w:keepNext/>
        <w:jc w:val="both"/>
        <w:outlineLvl w:val="0"/>
        <w:rPr>
          <w:sz w:val="22"/>
          <w:szCs w:val="22"/>
          <w:u w:val="single"/>
        </w:rPr>
      </w:pPr>
      <w:r w:rsidRPr="00B14963">
        <w:rPr>
          <w:sz w:val="22"/>
          <w:szCs w:val="22"/>
          <w:u w:val="single"/>
        </w:rPr>
        <w:t>Kontracepcija kod muškaraca i žena</w:t>
      </w:r>
    </w:p>
    <w:p w14:paraId="693C47DB" w14:textId="77777777" w:rsidR="00555704" w:rsidRPr="00B14963" w:rsidRDefault="00555704" w:rsidP="00874EF0">
      <w:pPr>
        <w:keepNext/>
        <w:jc w:val="both"/>
        <w:outlineLvl w:val="0"/>
        <w:rPr>
          <w:sz w:val="22"/>
          <w:szCs w:val="22"/>
          <w:u w:val="single"/>
        </w:rPr>
      </w:pPr>
    </w:p>
    <w:p w14:paraId="489D7C77" w14:textId="77777777" w:rsidR="00874EF0" w:rsidRPr="00B14963" w:rsidRDefault="00874EF0" w:rsidP="00874EF0">
      <w:pPr>
        <w:tabs>
          <w:tab w:val="left" w:pos="90"/>
        </w:tabs>
        <w:jc w:val="both"/>
        <w:rPr>
          <w:sz w:val="22"/>
          <w:szCs w:val="22"/>
        </w:rPr>
      </w:pPr>
      <w:r w:rsidRPr="00B14963">
        <w:rPr>
          <w:sz w:val="22"/>
          <w:szCs w:val="22"/>
        </w:rPr>
        <w:t>Zbog dugog vremena zadržavanja rituksimaba kod pacijenata sa deplecijom B ćelija, žene u reproduktivnom periodu moraju da koriste odgovarajuće mjere kontracepcije tokom terapije i još 12 mjeseci po posljednjoj dozi lijeka MabThera.</w:t>
      </w:r>
    </w:p>
    <w:p w14:paraId="5CBCCE40" w14:textId="77777777" w:rsidR="00874EF0" w:rsidRPr="00B14963" w:rsidRDefault="00874EF0" w:rsidP="00874EF0">
      <w:pPr>
        <w:tabs>
          <w:tab w:val="left" w:pos="540"/>
          <w:tab w:val="left" w:pos="569"/>
        </w:tabs>
        <w:ind w:left="540" w:hanging="540"/>
        <w:jc w:val="both"/>
        <w:rPr>
          <w:b/>
          <w:bCs/>
          <w:sz w:val="22"/>
          <w:szCs w:val="22"/>
        </w:rPr>
      </w:pPr>
    </w:p>
    <w:p w14:paraId="5241521A" w14:textId="77777777" w:rsidR="0072020E" w:rsidRPr="00B14963" w:rsidRDefault="0072020E" w:rsidP="00874EF0">
      <w:pPr>
        <w:tabs>
          <w:tab w:val="left" w:pos="540"/>
          <w:tab w:val="left" w:pos="569"/>
        </w:tabs>
        <w:ind w:left="540" w:hanging="540"/>
        <w:jc w:val="both"/>
        <w:rPr>
          <w:b/>
          <w:bCs/>
          <w:sz w:val="22"/>
          <w:szCs w:val="22"/>
        </w:rPr>
      </w:pPr>
      <w:r w:rsidRPr="00B14963">
        <w:rPr>
          <w:b/>
          <w:bCs/>
          <w:sz w:val="22"/>
          <w:szCs w:val="22"/>
        </w:rPr>
        <w:t xml:space="preserve">4.7. </w:t>
      </w:r>
      <w:r w:rsidR="00480FB1" w:rsidRPr="00B14963">
        <w:rPr>
          <w:b/>
          <w:bCs/>
          <w:sz w:val="22"/>
          <w:szCs w:val="22"/>
        </w:rPr>
        <w:tab/>
      </w:r>
      <w:r w:rsidRPr="00B14963">
        <w:rPr>
          <w:b/>
          <w:bCs/>
          <w:sz w:val="22"/>
          <w:szCs w:val="22"/>
        </w:rPr>
        <w:t xml:space="preserve">Uticaj na </w:t>
      </w:r>
      <w:r w:rsidR="002031B3" w:rsidRPr="00B14963">
        <w:rPr>
          <w:b/>
          <w:bCs/>
          <w:sz w:val="22"/>
          <w:szCs w:val="22"/>
        </w:rPr>
        <w:t xml:space="preserve">sposobnost </w:t>
      </w:r>
      <w:r w:rsidR="00F34554" w:rsidRPr="00B14963">
        <w:rPr>
          <w:b/>
          <w:bCs/>
          <w:sz w:val="22"/>
          <w:szCs w:val="22"/>
        </w:rPr>
        <w:t>upravljanja vozili</w:t>
      </w:r>
      <w:r w:rsidRPr="00B14963">
        <w:rPr>
          <w:b/>
          <w:bCs/>
          <w:sz w:val="22"/>
          <w:szCs w:val="22"/>
        </w:rPr>
        <w:t>m</w:t>
      </w:r>
      <w:r w:rsidR="00F34554" w:rsidRPr="00B14963">
        <w:rPr>
          <w:b/>
          <w:bCs/>
          <w:sz w:val="22"/>
          <w:szCs w:val="22"/>
        </w:rPr>
        <w:t>a</w:t>
      </w:r>
      <w:r w:rsidRPr="00B14963">
        <w:rPr>
          <w:b/>
          <w:bCs/>
          <w:sz w:val="22"/>
          <w:szCs w:val="22"/>
        </w:rPr>
        <w:t xml:space="preserve"> i </w:t>
      </w:r>
      <w:r w:rsidR="000D3449" w:rsidRPr="00B14963">
        <w:rPr>
          <w:b/>
          <w:bCs/>
          <w:sz w:val="22"/>
          <w:szCs w:val="22"/>
        </w:rPr>
        <w:t xml:space="preserve">rukovanje </w:t>
      </w:r>
      <w:r w:rsidRPr="00B14963">
        <w:rPr>
          <w:b/>
          <w:bCs/>
          <w:sz w:val="22"/>
          <w:szCs w:val="22"/>
        </w:rPr>
        <w:t>mašinama</w:t>
      </w:r>
    </w:p>
    <w:p w14:paraId="2EF79C05" w14:textId="77777777" w:rsidR="0072020E" w:rsidRPr="00B14963" w:rsidRDefault="0072020E" w:rsidP="00874EF0">
      <w:pPr>
        <w:tabs>
          <w:tab w:val="left" w:pos="540"/>
          <w:tab w:val="left" w:pos="569"/>
        </w:tabs>
        <w:jc w:val="both"/>
        <w:rPr>
          <w:b/>
          <w:bCs/>
          <w:sz w:val="22"/>
          <w:szCs w:val="22"/>
        </w:rPr>
      </w:pPr>
    </w:p>
    <w:p w14:paraId="01C4A4DC" w14:textId="52F9D244" w:rsidR="001F415E" w:rsidRPr="00B14963" w:rsidRDefault="00874EF0" w:rsidP="00874EF0">
      <w:pPr>
        <w:tabs>
          <w:tab w:val="left" w:pos="540"/>
          <w:tab w:val="left" w:pos="569"/>
        </w:tabs>
        <w:jc w:val="both"/>
        <w:rPr>
          <w:sz w:val="22"/>
          <w:szCs w:val="22"/>
        </w:rPr>
      </w:pPr>
      <w:r w:rsidRPr="00B14963">
        <w:rPr>
          <w:sz w:val="22"/>
          <w:szCs w:val="22"/>
        </w:rPr>
        <w:t>Nijesu sprovedena ispitivanja dejstva lijeka MabThera na sposobnosti upravljanja motornim vozilima ili rukovanja mašinama, mada farmakološka ispitivanja i neželjena dejstva koja su do danas zabilježena ukazuju na to da lijek MabThera nema ili ima zanemarljiv uticaj na sposobnosti upravljanja motornim vozilima ili rukovanja mašinama.</w:t>
      </w:r>
    </w:p>
    <w:p w14:paraId="2F5CF46B" w14:textId="77777777" w:rsidR="0072020E" w:rsidRPr="00B14963" w:rsidRDefault="0072020E" w:rsidP="00874EF0">
      <w:pPr>
        <w:tabs>
          <w:tab w:val="left" w:pos="540"/>
          <w:tab w:val="left" w:pos="569"/>
        </w:tabs>
        <w:jc w:val="both"/>
        <w:rPr>
          <w:b/>
          <w:bCs/>
          <w:sz w:val="22"/>
          <w:szCs w:val="22"/>
        </w:rPr>
      </w:pPr>
      <w:r w:rsidRPr="00B14963">
        <w:rPr>
          <w:b/>
          <w:bCs/>
          <w:sz w:val="22"/>
          <w:szCs w:val="22"/>
        </w:rPr>
        <w:lastRenderedPageBreak/>
        <w:t xml:space="preserve">4.8. </w:t>
      </w:r>
      <w:r w:rsidR="00480FB1" w:rsidRPr="00B14963">
        <w:rPr>
          <w:b/>
          <w:bCs/>
          <w:sz w:val="22"/>
          <w:szCs w:val="22"/>
        </w:rPr>
        <w:tab/>
      </w:r>
      <w:r w:rsidRPr="00B14963">
        <w:rPr>
          <w:b/>
          <w:bCs/>
          <w:sz w:val="22"/>
          <w:szCs w:val="22"/>
        </w:rPr>
        <w:t>Neželjena dejstva</w:t>
      </w:r>
    </w:p>
    <w:p w14:paraId="1C19812B" w14:textId="77777777" w:rsidR="00874EF0" w:rsidRPr="00B14963" w:rsidRDefault="00874EF0" w:rsidP="00874EF0">
      <w:pPr>
        <w:tabs>
          <w:tab w:val="left" w:pos="540"/>
          <w:tab w:val="left" w:pos="569"/>
        </w:tabs>
        <w:jc w:val="both"/>
        <w:rPr>
          <w:b/>
          <w:bCs/>
          <w:sz w:val="22"/>
          <w:szCs w:val="22"/>
        </w:rPr>
      </w:pPr>
    </w:p>
    <w:p w14:paraId="197D0F5D" w14:textId="77777777" w:rsidR="00874EF0" w:rsidRPr="00B14963" w:rsidRDefault="00874EF0" w:rsidP="00874EF0">
      <w:pPr>
        <w:jc w:val="both"/>
        <w:rPr>
          <w:sz w:val="22"/>
          <w:szCs w:val="22"/>
          <w:lang w:eastAsia="ja-JP"/>
        </w:rPr>
      </w:pPr>
      <w:r w:rsidRPr="00B14963">
        <w:rPr>
          <w:sz w:val="22"/>
          <w:szCs w:val="22"/>
          <w:lang w:eastAsia="ja-JP"/>
        </w:rPr>
        <w:t>Informacije u ovom dijelu odnose se na primjenu lijeka MabThera u onkologiji.</w:t>
      </w:r>
    </w:p>
    <w:p w14:paraId="6DC313DC" w14:textId="77777777" w:rsidR="00874EF0" w:rsidRPr="00B14963" w:rsidRDefault="00874EF0" w:rsidP="00874EF0">
      <w:pPr>
        <w:jc w:val="both"/>
        <w:rPr>
          <w:sz w:val="22"/>
          <w:szCs w:val="22"/>
          <w:lang w:eastAsia="ja-JP"/>
        </w:rPr>
      </w:pPr>
      <w:r w:rsidRPr="00B14963">
        <w:rPr>
          <w:sz w:val="22"/>
          <w:szCs w:val="22"/>
          <w:lang w:eastAsia="ja-JP"/>
        </w:rPr>
        <w:t>Za informacije povezane sa primjenom lijeka u indikacijama autoimunih bolesti vidjeti Sažetak karakteristika lijeka MabThera u formulaciji za intravensku primjenu.</w:t>
      </w:r>
    </w:p>
    <w:p w14:paraId="6FDDDE26" w14:textId="77777777" w:rsidR="00874EF0" w:rsidRPr="00B14963" w:rsidRDefault="00874EF0" w:rsidP="00874EF0">
      <w:pPr>
        <w:jc w:val="both"/>
        <w:rPr>
          <w:sz w:val="22"/>
          <w:szCs w:val="22"/>
          <w:lang w:eastAsia="ja-JP"/>
        </w:rPr>
      </w:pPr>
    </w:p>
    <w:p w14:paraId="2DA04221" w14:textId="77777777" w:rsidR="00874EF0" w:rsidRPr="00B14963" w:rsidRDefault="00874EF0" w:rsidP="00874EF0">
      <w:pPr>
        <w:jc w:val="both"/>
        <w:rPr>
          <w:sz w:val="22"/>
          <w:szCs w:val="22"/>
          <w:u w:val="single"/>
          <w:lang w:eastAsia="ja-JP"/>
        </w:rPr>
      </w:pPr>
      <w:r w:rsidRPr="00B14963">
        <w:rPr>
          <w:sz w:val="22"/>
          <w:szCs w:val="22"/>
          <w:u w:val="single"/>
          <w:lang w:eastAsia="ja-JP"/>
        </w:rPr>
        <w:t>Sažetak bezbjednosnog profila</w:t>
      </w:r>
    </w:p>
    <w:p w14:paraId="7815BC3C" w14:textId="77777777" w:rsidR="00D328D8" w:rsidRPr="00B14963" w:rsidRDefault="00D328D8" w:rsidP="00874EF0">
      <w:pPr>
        <w:jc w:val="both"/>
        <w:rPr>
          <w:sz w:val="22"/>
          <w:szCs w:val="22"/>
          <w:u w:val="single"/>
          <w:lang w:eastAsia="ja-JP"/>
        </w:rPr>
      </w:pPr>
    </w:p>
    <w:p w14:paraId="74E3383D" w14:textId="77777777" w:rsidR="00874EF0" w:rsidRPr="00B14963" w:rsidRDefault="00874EF0" w:rsidP="00874EF0">
      <w:pPr>
        <w:jc w:val="both"/>
        <w:rPr>
          <w:sz w:val="22"/>
          <w:szCs w:val="22"/>
          <w:lang w:eastAsia="ja-JP"/>
        </w:rPr>
      </w:pPr>
      <w:r w:rsidRPr="00B14963">
        <w:rPr>
          <w:sz w:val="22"/>
          <w:szCs w:val="22"/>
          <w:lang w:eastAsia="ja-JP"/>
        </w:rPr>
        <w:t>Tokom razvojnog programa, bezbjednosni profil formulacije lijeka MabThera za subkutanu primjenu bio je uporediv sa bezbjednosnim profilom formulacije za intravensku primjenu, uz izuzetak lokalnih kožnih reakcija. Lokalne kožne reakcije, uključujući reakcije na mjestu primjene injekcije, bile su veoma česte kod pacijenata koji su primali formulaciju lijeka MabThera za subkutanu primjenu. U Studiji Faze 3 nazvane SABRINA (BO22334), lokalne kožne reakcije bile su prijavljene kod do 20% pacijenata koji su primali subkutanu formulaciju lijeka MabThera. Najčešće lokalne kožne reakcije u grupi liječenoj formulacijom lijeka MabThera za subkutanu primjenu bile su eritem na mjestu injekcije (13%), bol na mjestu injekcije (7%) i edem na mjestu injekcije (4%). Događaji primijećeni nakon subkutane primjene bili su blagi ili umjerene težine, izuzev kod jednog pacijenta koji je prijavio lokalnu kožnu reakciju 3. stepena težine (osip na mjestu injekcije) nakon prve subkutane primjene lijeka MabThera (2. ciklus). Lokalne kožne reakcije bilo kojeg stepena u grupi liječenoj subkutanom formulacijom lijeka MabThera bile su najčešće tokom prvog ciklusa subkutane primjene (2. ciklus), a zatim tokom drugog ciklusa, pa se incidenca kod sljedećih injekcija smanjivala.</w:t>
      </w:r>
      <w:r w:rsidRPr="00B14963">
        <w:t xml:space="preserve"> </w:t>
      </w:r>
      <w:r w:rsidRPr="00B14963">
        <w:rPr>
          <w:sz w:val="22"/>
          <w:szCs w:val="22"/>
          <w:lang w:eastAsia="ja-JP"/>
        </w:rPr>
        <w:t xml:space="preserve">Slični događaji primijećeni su i u ispitivanju sprovedenom kod pacijenata sa HLL-om pod nazivom SAWYER (BO25341), gdje su prijavljeni u do 42% pacijenta u grupi liječenoj formulacijom lijeka MabThera za subkutanu primjenu. Najčešće lokalne kožne reakcije bile su eritem na mjestu injekcije (26%), bol na mjestu injekcije (16%) i oticanje na mjestu injekcije (5%). Kod dva su se pacijenta u ispitivanju SAWYER javile lokalne kožne reakcije stepena 3 (eritem na mjestu injekcije, bol na mjestu injekcije i oticanje na mjestu injekcije). </w:t>
      </w:r>
    </w:p>
    <w:p w14:paraId="4BF17279" w14:textId="77777777" w:rsidR="00874EF0" w:rsidRPr="00B14963" w:rsidRDefault="00874EF0" w:rsidP="00874EF0">
      <w:pPr>
        <w:jc w:val="both"/>
        <w:rPr>
          <w:sz w:val="22"/>
          <w:szCs w:val="22"/>
          <w:lang w:eastAsia="ja-JP"/>
        </w:rPr>
      </w:pPr>
    </w:p>
    <w:p w14:paraId="08C15E9B" w14:textId="77777777" w:rsidR="00874EF0" w:rsidRPr="00B14963" w:rsidRDefault="00874EF0" w:rsidP="00874EF0">
      <w:pPr>
        <w:jc w:val="both"/>
        <w:rPr>
          <w:i/>
          <w:sz w:val="22"/>
          <w:szCs w:val="22"/>
          <w:u w:val="single"/>
          <w:lang w:eastAsia="ja-JP"/>
        </w:rPr>
      </w:pPr>
      <w:r w:rsidRPr="00B14963">
        <w:rPr>
          <w:i/>
          <w:sz w:val="22"/>
          <w:szCs w:val="22"/>
          <w:u w:val="single"/>
          <w:lang w:eastAsia="ja-JP"/>
        </w:rPr>
        <w:t>Neželjena dejstva prijavljena pri upotrebi lijeka MabThera za subkutanu primjenu</w:t>
      </w:r>
    </w:p>
    <w:p w14:paraId="7D572131" w14:textId="77777777" w:rsidR="00874EF0" w:rsidRPr="00B14963" w:rsidRDefault="00874EF0" w:rsidP="00874EF0">
      <w:pPr>
        <w:jc w:val="both"/>
        <w:rPr>
          <w:sz w:val="22"/>
          <w:szCs w:val="22"/>
          <w:lang w:eastAsia="ja-JP"/>
        </w:rPr>
      </w:pPr>
    </w:p>
    <w:p w14:paraId="12A1608C" w14:textId="77777777" w:rsidR="00874EF0" w:rsidRPr="00B14963" w:rsidRDefault="00874EF0" w:rsidP="00874EF0">
      <w:pPr>
        <w:jc w:val="both"/>
        <w:rPr>
          <w:sz w:val="22"/>
          <w:szCs w:val="22"/>
          <w:lang w:eastAsia="ja-JP"/>
        </w:rPr>
      </w:pPr>
      <w:r w:rsidRPr="00B14963">
        <w:rPr>
          <w:sz w:val="22"/>
          <w:szCs w:val="22"/>
          <w:lang w:eastAsia="ja-JP"/>
        </w:rPr>
        <w:t xml:space="preserve">Rizik od akutnih reakcija povezanih sa primjenom subkutane formulacije lijeka MabThera ocijenjen je u dvije otvorene studije kod pacijenata sa folikularnim limfomom tokom uvodne terapije i terapije održavanja (SABRINA BO22334) i tokom samo terapije održavanja (SparkThera BP22333). U Studiji SABRINA, teške reakcije povezane sa primjenom (≥ stepena 3) prijavljene su kod dva pacijenta (2%) nakon primjene formulacije lijeka MabThera za subkutanu primjenu.  Ti događaji su bili osip na mjestu injekcije 3. stepena i suva usta. U Studiji SparkThera </w:t>
      </w:r>
      <w:r w:rsidR="001A549A" w:rsidRPr="00B14963">
        <w:rPr>
          <w:sz w:val="22"/>
          <w:szCs w:val="22"/>
          <w:lang w:eastAsia="ja-JP"/>
        </w:rPr>
        <w:t>nijesu</w:t>
      </w:r>
      <w:r w:rsidRPr="00B14963">
        <w:rPr>
          <w:sz w:val="22"/>
          <w:szCs w:val="22"/>
          <w:lang w:eastAsia="ja-JP"/>
        </w:rPr>
        <w:t xml:space="preserve"> prijavljene teške reakcije povezane sa primjenom. </w:t>
      </w:r>
    </w:p>
    <w:p w14:paraId="54018531" w14:textId="77777777" w:rsidR="00874EF0" w:rsidRPr="00B14963" w:rsidRDefault="00874EF0" w:rsidP="00874EF0">
      <w:pPr>
        <w:jc w:val="both"/>
        <w:rPr>
          <w:sz w:val="22"/>
          <w:szCs w:val="22"/>
          <w:lang w:eastAsia="ja-JP"/>
        </w:rPr>
      </w:pPr>
      <w:r w:rsidRPr="00B14963">
        <w:rPr>
          <w:sz w:val="22"/>
          <w:szCs w:val="22"/>
          <w:lang w:eastAsia="ja-JP"/>
        </w:rPr>
        <w:t>U ispitivanju SAWYER (BO25341), teške reakcije povezane sa primjenom (≥ stepena 3) prijavljene su kod četiri pacijenta (5%) nakon primjene subkutane formulacije lijeka MabThera. Ti su događaji bili trombocitopenija stepena 4 te anksioznost, eritem na mjestu injekcije i urtikarija stepena 3.</w:t>
      </w:r>
    </w:p>
    <w:p w14:paraId="595F9AB1" w14:textId="77777777" w:rsidR="00874EF0" w:rsidRPr="00B14963" w:rsidRDefault="00874EF0" w:rsidP="00874EF0">
      <w:pPr>
        <w:widowControl w:val="0"/>
        <w:jc w:val="both"/>
        <w:outlineLvl w:val="0"/>
        <w:rPr>
          <w:szCs w:val="22"/>
        </w:rPr>
      </w:pPr>
    </w:p>
    <w:p w14:paraId="43BE55BD" w14:textId="77777777" w:rsidR="00874EF0" w:rsidRPr="00B14963" w:rsidRDefault="00874EF0" w:rsidP="00874EF0">
      <w:pPr>
        <w:widowControl w:val="0"/>
        <w:jc w:val="both"/>
        <w:outlineLvl w:val="0"/>
        <w:rPr>
          <w:i/>
          <w:sz w:val="22"/>
          <w:szCs w:val="22"/>
          <w:u w:val="single"/>
        </w:rPr>
      </w:pPr>
      <w:r w:rsidRPr="00B14963">
        <w:rPr>
          <w:i/>
          <w:sz w:val="22"/>
          <w:szCs w:val="22"/>
          <w:u w:val="single"/>
        </w:rPr>
        <w:t>Neželjena dejstva prijavljena kod primjene formulacije lijeka MabThera za intravensku primjenu</w:t>
      </w:r>
    </w:p>
    <w:p w14:paraId="77EBFA8A" w14:textId="77777777" w:rsidR="00874EF0" w:rsidRPr="00B14963" w:rsidRDefault="00874EF0" w:rsidP="00874EF0">
      <w:pPr>
        <w:jc w:val="both"/>
        <w:rPr>
          <w:i/>
          <w:sz w:val="22"/>
          <w:szCs w:val="22"/>
          <w:u w:val="single"/>
        </w:rPr>
      </w:pPr>
    </w:p>
    <w:p w14:paraId="32F779E4" w14:textId="77777777" w:rsidR="00874EF0" w:rsidRPr="00B14963" w:rsidRDefault="00874EF0" w:rsidP="00874EF0">
      <w:pPr>
        <w:jc w:val="both"/>
        <w:rPr>
          <w:i/>
          <w:sz w:val="22"/>
          <w:szCs w:val="22"/>
        </w:rPr>
      </w:pPr>
      <w:r w:rsidRPr="00B14963">
        <w:rPr>
          <w:i/>
          <w:sz w:val="22"/>
          <w:szCs w:val="22"/>
        </w:rPr>
        <w:t>Iskustva sa primjenom kod Non-Ho</w:t>
      </w:r>
      <w:r w:rsidR="00555704" w:rsidRPr="00B14963">
        <w:rPr>
          <w:i/>
          <w:sz w:val="22"/>
          <w:szCs w:val="22"/>
        </w:rPr>
        <w:t>dg</w:t>
      </w:r>
      <w:r w:rsidRPr="00B14963">
        <w:rPr>
          <w:i/>
          <w:sz w:val="22"/>
          <w:szCs w:val="22"/>
        </w:rPr>
        <w:t>kin</w:t>
      </w:r>
      <w:r w:rsidR="00555704" w:rsidRPr="00B14963">
        <w:rPr>
          <w:i/>
          <w:sz w:val="22"/>
          <w:szCs w:val="22"/>
        </w:rPr>
        <w:t>-</w:t>
      </w:r>
      <w:r w:rsidRPr="00B14963">
        <w:rPr>
          <w:i/>
          <w:sz w:val="22"/>
          <w:szCs w:val="22"/>
        </w:rPr>
        <w:t>ovog limfoma i hronične limfocitne leukemije</w:t>
      </w:r>
    </w:p>
    <w:p w14:paraId="5B0C001C" w14:textId="77777777" w:rsidR="00874EF0" w:rsidRPr="00B14963" w:rsidRDefault="00874EF0" w:rsidP="00874EF0">
      <w:pPr>
        <w:jc w:val="both"/>
        <w:rPr>
          <w:i/>
          <w:sz w:val="22"/>
          <w:szCs w:val="22"/>
          <w:lang w:eastAsia="ja-JP"/>
        </w:rPr>
      </w:pPr>
    </w:p>
    <w:p w14:paraId="766D1BAB" w14:textId="77777777" w:rsidR="00874EF0" w:rsidRPr="00B14963" w:rsidRDefault="00874EF0" w:rsidP="00874EF0">
      <w:pPr>
        <w:jc w:val="both"/>
        <w:rPr>
          <w:sz w:val="22"/>
          <w:szCs w:val="22"/>
          <w:u w:val="single"/>
        </w:rPr>
      </w:pPr>
      <w:r w:rsidRPr="00B14963">
        <w:rPr>
          <w:sz w:val="22"/>
          <w:szCs w:val="22"/>
          <w:lang w:eastAsia="ja-JP"/>
        </w:rPr>
        <w:t xml:space="preserve">Ukupan bezbjednosni profil lijeka MabThera u terapiji </w:t>
      </w:r>
      <w:r w:rsidRPr="00B14963">
        <w:rPr>
          <w:sz w:val="22"/>
          <w:szCs w:val="22"/>
        </w:rPr>
        <w:t>non-Ho</w:t>
      </w:r>
      <w:r w:rsidR="00555704" w:rsidRPr="00B14963">
        <w:rPr>
          <w:sz w:val="22"/>
          <w:szCs w:val="22"/>
        </w:rPr>
        <w:t>dg</w:t>
      </w:r>
      <w:r w:rsidRPr="00B14963">
        <w:rPr>
          <w:sz w:val="22"/>
          <w:szCs w:val="22"/>
        </w:rPr>
        <w:t>kin</w:t>
      </w:r>
      <w:r w:rsidR="00555704" w:rsidRPr="00B14963">
        <w:rPr>
          <w:sz w:val="22"/>
          <w:szCs w:val="22"/>
        </w:rPr>
        <w:t>-</w:t>
      </w:r>
      <w:r w:rsidRPr="00B14963">
        <w:rPr>
          <w:sz w:val="22"/>
          <w:szCs w:val="22"/>
        </w:rPr>
        <w:t xml:space="preserve">ovog limfoma i hronične limfocitne leukemije zasnovan je na podacima od pacijenata iz kliničkih studija i postmarketinškog praćenja. Ovi pacijenti liječeni su ili lijekom MabThera kao monoterapijom (indukciona terapija ili terapija održavanja nakon indukcione terapije), ili u kombinaciji sa hemioterapijom. </w:t>
      </w:r>
    </w:p>
    <w:p w14:paraId="52CB65BB" w14:textId="77777777" w:rsidR="00874EF0" w:rsidRPr="00B14963" w:rsidRDefault="00874EF0" w:rsidP="00874EF0">
      <w:pPr>
        <w:jc w:val="both"/>
        <w:rPr>
          <w:sz w:val="22"/>
          <w:szCs w:val="22"/>
          <w:lang w:eastAsia="ja-JP"/>
        </w:rPr>
      </w:pPr>
    </w:p>
    <w:p w14:paraId="600AA574" w14:textId="77777777" w:rsidR="00874EF0" w:rsidRPr="00B14963" w:rsidRDefault="00874EF0" w:rsidP="00874EF0">
      <w:pPr>
        <w:jc w:val="both"/>
        <w:rPr>
          <w:sz w:val="22"/>
          <w:szCs w:val="22"/>
          <w:lang w:eastAsia="ja-JP"/>
        </w:rPr>
      </w:pPr>
      <w:r w:rsidRPr="00B14963">
        <w:rPr>
          <w:sz w:val="22"/>
          <w:szCs w:val="22"/>
          <w:lang w:eastAsia="ja-JP"/>
        </w:rPr>
        <w:t>Najčešće prijavljene neželjene reakcije na lijek kod pacijenata koji su primali lijek MabThera bile su reakcije na infuziju, koje su se kod većine pacijenata javljale pri prvoj infuziji. Incidenca simptoma pri primjeni infuzije značajno se smanjuje sa narednim infuzijama i iznosi manje od 1% nakon osam doza lijeka MabThera.</w:t>
      </w:r>
    </w:p>
    <w:p w14:paraId="137A29E9" w14:textId="77777777" w:rsidR="00874EF0" w:rsidRPr="00B14963" w:rsidRDefault="00874EF0" w:rsidP="00874EF0">
      <w:pPr>
        <w:jc w:val="both"/>
        <w:rPr>
          <w:sz w:val="22"/>
          <w:szCs w:val="22"/>
          <w:lang w:eastAsia="ja-JP"/>
        </w:rPr>
      </w:pPr>
    </w:p>
    <w:p w14:paraId="20F5376F" w14:textId="550456A4" w:rsidR="00874EF0" w:rsidRPr="00B14963" w:rsidRDefault="00874EF0" w:rsidP="00874EF0">
      <w:pPr>
        <w:jc w:val="both"/>
        <w:rPr>
          <w:sz w:val="22"/>
          <w:szCs w:val="22"/>
          <w:lang w:eastAsia="ja-JP"/>
        </w:rPr>
      </w:pPr>
      <w:r w:rsidRPr="00B14963">
        <w:rPr>
          <w:sz w:val="22"/>
          <w:szCs w:val="22"/>
          <w:lang w:eastAsia="ja-JP"/>
        </w:rPr>
        <w:t>Infekcije (predominantno bakterijske i virusne) javljale su se kod oko 30-55% pacijenata u kliničkim studijama sa pacijentima sa NHL, te kod 30-50% pacijenata tokom kliničkog ispitivanja pacijenata sa HLL-om.</w:t>
      </w:r>
    </w:p>
    <w:p w14:paraId="7A5C5C30" w14:textId="77777777" w:rsidR="00874EF0" w:rsidRPr="00B14963" w:rsidRDefault="00874EF0" w:rsidP="00874EF0">
      <w:pPr>
        <w:jc w:val="both"/>
        <w:rPr>
          <w:sz w:val="22"/>
          <w:szCs w:val="22"/>
          <w:lang w:eastAsia="ja-JP"/>
        </w:rPr>
      </w:pPr>
      <w:r w:rsidRPr="00B14963">
        <w:rPr>
          <w:sz w:val="22"/>
          <w:szCs w:val="22"/>
          <w:lang w:eastAsia="ja-JP"/>
        </w:rPr>
        <w:lastRenderedPageBreak/>
        <w:t xml:space="preserve">Najčešće prijavljene ili primijećene </w:t>
      </w:r>
      <w:r w:rsidRPr="00B14963">
        <w:rPr>
          <w:sz w:val="22"/>
          <w:szCs w:val="22"/>
          <w:u w:val="single"/>
          <w:lang w:eastAsia="ja-JP"/>
        </w:rPr>
        <w:t>ozbiljne</w:t>
      </w:r>
      <w:r w:rsidRPr="00B14963">
        <w:rPr>
          <w:sz w:val="22"/>
          <w:szCs w:val="22"/>
          <w:lang w:eastAsia="ja-JP"/>
        </w:rPr>
        <w:t xml:space="preserve"> neželjene reakcije na lijek bile su:</w:t>
      </w:r>
    </w:p>
    <w:p w14:paraId="4449867D" w14:textId="77777777" w:rsidR="00874EF0" w:rsidRPr="00B14963" w:rsidRDefault="00874EF0" w:rsidP="00874EF0">
      <w:pPr>
        <w:numPr>
          <w:ilvl w:val="0"/>
          <w:numId w:val="12"/>
        </w:numPr>
        <w:jc w:val="both"/>
        <w:rPr>
          <w:sz w:val="22"/>
          <w:szCs w:val="22"/>
          <w:lang w:eastAsia="ja-JP"/>
        </w:rPr>
      </w:pPr>
      <w:r w:rsidRPr="00B14963">
        <w:rPr>
          <w:sz w:val="22"/>
          <w:szCs w:val="22"/>
          <w:lang w:eastAsia="ja-JP"/>
        </w:rPr>
        <w:t>Reakcije na infuziju (uključujući sindrom oslobađanja citokina</w:t>
      </w:r>
      <w:r w:rsidR="00555704" w:rsidRPr="00B14963">
        <w:rPr>
          <w:sz w:val="22"/>
          <w:szCs w:val="22"/>
          <w:lang w:eastAsia="ja-JP"/>
        </w:rPr>
        <w:t xml:space="preserve"> i</w:t>
      </w:r>
      <w:r w:rsidRPr="00B14963">
        <w:rPr>
          <w:sz w:val="22"/>
          <w:szCs w:val="22"/>
          <w:lang w:eastAsia="ja-JP"/>
        </w:rPr>
        <w:t xml:space="preserve"> sindrom lize tumora), vidjeti dio 4.4.</w:t>
      </w:r>
    </w:p>
    <w:p w14:paraId="53B9365C" w14:textId="77777777" w:rsidR="00874EF0" w:rsidRPr="00B14963" w:rsidRDefault="00874EF0" w:rsidP="00874EF0">
      <w:pPr>
        <w:numPr>
          <w:ilvl w:val="0"/>
          <w:numId w:val="12"/>
        </w:numPr>
        <w:jc w:val="both"/>
        <w:rPr>
          <w:sz w:val="22"/>
          <w:szCs w:val="22"/>
          <w:lang w:eastAsia="ja-JP"/>
        </w:rPr>
      </w:pPr>
      <w:r w:rsidRPr="00B14963">
        <w:rPr>
          <w:sz w:val="22"/>
          <w:szCs w:val="22"/>
          <w:lang w:eastAsia="ja-JP"/>
        </w:rPr>
        <w:t>Infekcije, vidjeti dio 4.4.</w:t>
      </w:r>
    </w:p>
    <w:p w14:paraId="0367562B" w14:textId="77777777" w:rsidR="00874EF0" w:rsidRPr="00B14963" w:rsidRDefault="00874EF0" w:rsidP="00874EF0">
      <w:pPr>
        <w:numPr>
          <w:ilvl w:val="0"/>
          <w:numId w:val="12"/>
        </w:numPr>
        <w:jc w:val="both"/>
        <w:rPr>
          <w:sz w:val="22"/>
          <w:szCs w:val="22"/>
          <w:lang w:eastAsia="ja-JP"/>
        </w:rPr>
      </w:pPr>
      <w:r w:rsidRPr="00B14963">
        <w:rPr>
          <w:sz w:val="22"/>
          <w:szCs w:val="22"/>
          <w:lang w:eastAsia="ja-JP"/>
        </w:rPr>
        <w:t>Kardiovaskularni poremećaji, vidjeti dio 4.4.</w:t>
      </w:r>
    </w:p>
    <w:p w14:paraId="2E6174EE" w14:textId="77777777" w:rsidR="00874EF0" w:rsidRPr="00B14963" w:rsidRDefault="00874EF0" w:rsidP="00874EF0">
      <w:pPr>
        <w:jc w:val="both"/>
        <w:rPr>
          <w:sz w:val="22"/>
          <w:szCs w:val="22"/>
          <w:lang w:eastAsia="ja-JP"/>
        </w:rPr>
      </w:pPr>
    </w:p>
    <w:p w14:paraId="6BCFA8F9" w14:textId="77777777" w:rsidR="00874EF0" w:rsidRPr="00B14963" w:rsidRDefault="00874EF0" w:rsidP="00874EF0">
      <w:pPr>
        <w:jc w:val="both"/>
        <w:rPr>
          <w:sz w:val="22"/>
          <w:szCs w:val="22"/>
          <w:lang w:eastAsia="ja-JP"/>
        </w:rPr>
      </w:pPr>
      <w:r w:rsidRPr="00B14963">
        <w:rPr>
          <w:sz w:val="22"/>
          <w:szCs w:val="22"/>
          <w:lang w:eastAsia="ja-JP"/>
        </w:rPr>
        <w:t>Ostale prijavljene ozbiljne neželjene reakcije uključuju reaktivaciju hepatitisa B i PML (vidjeti dio 4.4.).</w:t>
      </w:r>
    </w:p>
    <w:p w14:paraId="1892427C" w14:textId="77777777" w:rsidR="00874EF0" w:rsidRPr="00B14963" w:rsidRDefault="00874EF0" w:rsidP="00874EF0">
      <w:pPr>
        <w:jc w:val="both"/>
        <w:rPr>
          <w:sz w:val="22"/>
          <w:szCs w:val="22"/>
          <w:lang w:eastAsia="ja-JP"/>
        </w:rPr>
      </w:pPr>
    </w:p>
    <w:p w14:paraId="3E0D436C" w14:textId="77777777" w:rsidR="00874EF0" w:rsidRPr="00B14963" w:rsidRDefault="00874EF0" w:rsidP="00874EF0">
      <w:pPr>
        <w:jc w:val="both"/>
        <w:rPr>
          <w:sz w:val="22"/>
          <w:szCs w:val="22"/>
          <w:lang w:eastAsia="ja-JP"/>
        </w:rPr>
      </w:pPr>
      <w:r w:rsidRPr="00B14963">
        <w:rPr>
          <w:sz w:val="22"/>
          <w:szCs w:val="22"/>
          <w:lang w:eastAsia="ja-JP"/>
        </w:rPr>
        <w:t>Učestalost ispoljavanja neželjenih reakcija, prijavljenih sa lijekom MabThera samim ili u kombinaciji sa hemioterapijom, prikazana je u Tabeli 1 ispod. Unutar svake grupe učestalosti, neželjena dejstva prikazana su po opadajućoj ozbiljnosti. Učestalost je definisana kao: veoma često (</w:t>
      </w:r>
      <w:r w:rsidRPr="00B14963">
        <w:rPr>
          <w:sz w:val="22"/>
          <w:szCs w:val="22"/>
          <w:lang w:eastAsia="ja-JP"/>
        </w:rPr>
        <w:sym w:font="Symbol" w:char="F0B3"/>
      </w:r>
      <w:r w:rsidRPr="00B14963">
        <w:rPr>
          <w:sz w:val="22"/>
          <w:szCs w:val="22"/>
          <w:lang w:eastAsia="ja-JP"/>
        </w:rPr>
        <w:t> 1/10), često (</w:t>
      </w:r>
      <w:r w:rsidRPr="00B14963">
        <w:rPr>
          <w:sz w:val="22"/>
          <w:szCs w:val="22"/>
          <w:lang w:eastAsia="ja-JP"/>
        </w:rPr>
        <w:sym w:font="Symbol" w:char="F0B3"/>
      </w:r>
      <w:r w:rsidR="000A1F0D" w:rsidRPr="00B14963">
        <w:rPr>
          <w:sz w:val="22"/>
          <w:szCs w:val="22"/>
          <w:lang w:eastAsia="ja-JP"/>
        </w:rPr>
        <w:t xml:space="preserve"> </w:t>
      </w:r>
      <w:r w:rsidRPr="00B14963">
        <w:rPr>
          <w:sz w:val="22"/>
          <w:szCs w:val="22"/>
          <w:lang w:eastAsia="ja-JP"/>
        </w:rPr>
        <w:t>1/100; &lt;</w:t>
      </w:r>
      <w:r w:rsidR="000A1F0D" w:rsidRPr="00B14963">
        <w:rPr>
          <w:sz w:val="22"/>
          <w:szCs w:val="22"/>
          <w:lang w:eastAsia="ja-JP"/>
        </w:rPr>
        <w:t xml:space="preserve"> </w:t>
      </w:r>
      <w:r w:rsidRPr="00B14963">
        <w:rPr>
          <w:sz w:val="22"/>
          <w:szCs w:val="22"/>
          <w:lang w:eastAsia="ja-JP"/>
        </w:rPr>
        <w:t>1/10),  povremeno (1/1,000; &lt;</w:t>
      </w:r>
      <w:r w:rsidR="000A1F0D" w:rsidRPr="00B14963">
        <w:rPr>
          <w:sz w:val="22"/>
          <w:szCs w:val="22"/>
          <w:lang w:eastAsia="ja-JP"/>
        </w:rPr>
        <w:t xml:space="preserve"> </w:t>
      </w:r>
      <w:r w:rsidRPr="00B14963">
        <w:rPr>
          <w:sz w:val="22"/>
          <w:szCs w:val="22"/>
          <w:lang w:eastAsia="ja-JP"/>
        </w:rPr>
        <w:t>1/100), rijetko (≥</w:t>
      </w:r>
      <w:r w:rsidR="000A1F0D" w:rsidRPr="00B14963">
        <w:rPr>
          <w:sz w:val="22"/>
          <w:szCs w:val="22"/>
          <w:lang w:eastAsia="ja-JP"/>
        </w:rPr>
        <w:t xml:space="preserve"> </w:t>
      </w:r>
      <w:r w:rsidRPr="00B14963">
        <w:rPr>
          <w:sz w:val="22"/>
          <w:szCs w:val="22"/>
          <w:lang w:eastAsia="ja-JP"/>
        </w:rPr>
        <w:t>1/10 000; &lt;</w:t>
      </w:r>
      <w:r w:rsidR="000A1F0D" w:rsidRPr="00B14963">
        <w:rPr>
          <w:sz w:val="22"/>
          <w:szCs w:val="22"/>
          <w:lang w:eastAsia="ja-JP"/>
        </w:rPr>
        <w:t xml:space="preserve"> </w:t>
      </w:r>
      <w:r w:rsidRPr="00B14963">
        <w:rPr>
          <w:sz w:val="22"/>
          <w:szCs w:val="22"/>
          <w:lang w:eastAsia="ja-JP"/>
        </w:rPr>
        <w:t>1/1000), veoma rijetko (&lt;</w:t>
      </w:r>
      <w:r w:rsidR="000A1F0D" w:rsidRPr="00B14963">
        <w:rPr>
          <w:sz w:val="22"/>
          <w:szCs w:val="22"/>
          <w:lang w:eastAsia="ja-JP"/>
        </w:rPr>
        <w:t xml:space="preserve"> </w:t>
      </w:r>
      <w:r w:rsidRPr="00B14963">
        <w:rPr>
          <w:sz w:val="22"/>
          <w:szCs w:val="22"/>
          <w:lang w:eastAsia="ja-JP"/>
        </w:rPr>
        <w:t xml:space="preserve">1/10 000) i nepoznato (ne može se procijeniti na osnovu dostupnih podataka). </w:t>
      </w:r>
    </w:p>
    <w:p w14:paraId="1DE05ECD" w14:textId="77777777" w:rsidR="00874EF0" w:rsidRPr="00B14963" w:rsidRDefault="00874EF0" w:rsidP="00874EF0">
      <w:pPr>
        <w:jc w:val="both"/>
        <w:rPr>
          <w:sz w:val="22"/>
          <w:szCs w:val="22"/>
          <w:lang w:eastAsia="ja-JP"/>
        </w:rPr>
      </w:pPr>
    </w:p>
    <w:p w14:paraId="43A1ACC6" w14:textId="77777777" w:rsidR="00874EF0" w:rsidRPr="00B14963" w:rsidRDefault="00874EF0" w:rsidP="00874EF0">
      <w:pPr>
        <w:jc w:val="both"/>
        <w:rPr>
          <w:b/>
          <w:sz w:val="22"/>
          <w:szCs w:val="22"/>
          <w:lang w:eastAsia="ja-JP"/>
        </w:rPr>
      </w:pPr>
      <w:r w:rsidRPr="00B14963">
        <w:rPr>
          <w:sz w:val="22"/>
          <w:szCs w:val="22"/>
          <w:lang w:eastAsia="ja-JP"/>
        </w:rPr>
        <w:t>Neželjene reakcije na lijek zabilježene samo tokom postmarketinškog praćenja i za koje učestalost nije procijenjena, navedene su u dijelu “nepoznato”</w:t>
      </w:r>
      <w:r w:rsidR="00555704" w:rsidRPr="00B14963">
        <w:rPr>
          <w:sz w:val="22"/>
          <w:szCs w:val="22"/>
          <w:lang w:eastAsia="ja-JP"/>
        </w:rPr>
        <w:t>, vidjeti fusnote</w:t>
      </w:r>
      <w:r w:rsidRPr="00B14963">
        <w:rPr>
          <w:sz w:val="22"/>
          <w:szCs w:val="22"/>
          <w:lang w:eastAsia="ja-JP"/>
        </w:rPr>
        <w:t>.</w:t>
      </w:r>
    </w:p>
    <w:p w14:paraId="2C6DFAA7" w14:textId="77777777" w:rsidR="00874EF0" w:rsidRPr="00B14963" w:rsidRDefault="00874EF0" w:rsidP="00874EF0">
      <w:pPr>
        <w:keepNext/>
        <w:ind w:left="1134" w:hanging="1134"/>
        <w:jc w:val="both"/>
        <w:rPr>
          <w:b/>
          <w:sz w:val="22"/>
          <w:szCs w:val="22"/>
          <w:lang w:eastAsia="ja-JP"/>
        </w:rPr>
      </w:pPr>
    </w:p>
    <w:p w14:paraId="1235A087" w14:textId="77777777" w:rsidR="00874EF0" w:rsidRPr="00B14963" w:rsidRDefault="00874EF0" w:rsidP="00874EF0">
      <w:pPr>
        <w:keepNext/>
        <w:ind w:left="1134" w:hanging="1134"/>
        <w:jc w:val="both"/>
        <w:rPr>
          <w:sz w:val="22"/>
          <w:szCs w:val="22"/>
          <w:u w:val="single"/>
          <w:lang w:eastAsia="ja-JP"/>
        </w:rPr>
      </w:pPr>
      <w:r w:rsidRPr="00B14963">
        <w:rPr>
          <w:sz w:val="22"/>
          <w:szCs w:val="22"/>
          <w:u w:val="single"/>
          <w:lang w:eastAsia="ja-JP"/>
        </w:rPr>
        <w:t>Tabelarni prikaz neželjenih reakcija</w:t>
      </w:r>
    </w:p>
    <w:p w14:paraId="2E5C15F0" w14:textId="77777777" w:rsidR="00874EF0" w:rsidRPr="00B14963" w:rsidRDefault="00874EF0" w:rsidP="00874EF0">
      <w:pPr>
        <w:keepNext/>
        <w:ind w:left="1134" w:hanging="1134"/>
        <w:jc w:val="both"/>
        <w:rPr>
          <w:b/>
          <w:sz w:val="22"/>
          <w:szCs w:val="22"/>
          <w:lang w:eastAsia="ja-JP"/>
        </w:rPr>
      </w:pPr>
    </w:p>
    <w:p w14:paraId="1DC26930" w14:textId="77777777" w:rsidR="00874EF0" w:rsidRPr="00B14963" w:rsidRDefault="00874EF0" w:rsidP="00874EF0">
      <w:pPr>
        <w:keepNext/>
        <w:ind w:left="1134" w:hanging="1134"/>
        <w:jc w:val="both"/>
        <w:rPr>
          <w:b/>
          <w:sz w:val="22"/>
          <w:szCs w:val="22"/>
          <w:lang w:eastAsia="ja-JP"/>
        </w:rPr>
      </w:pPr>
      <w:r w:rsidRPr="00B14963">
        <w:rPr>
          <w:b/>
          <w:sz w:val="22"/>
          <w:szCs w:val="22"/>
          <w:lang w:eastAsia="ja-JP"/>
        </w:rPr>
        <w:t>Tabela 1</w:t>
      </w:r>
      <w:r w:rsidRPr="00B14963">
        <w:rPr>
          <w:b/>
          <w:sz w:val="22"/>
          <w:szCs w:val="22"/>
          <w:lang w:eastAsia="ja-JP"/>
        </w:rPr>
        <w:tab/>
        <w:t xml:space="preserve">Neželjene reakcije na lijek prijavljene u kliničkim studijama ili tokom postmerketinškog praćenja kod pacijenata sa NHL i HLL liječenih MabThera monoterapijom/terapijom održavanja ili u kombinaciji sa hemioterapijom  </w:t>
      </w:r>
    </w:p>
    <w:p w14:paraId="464A177A" w14:textId="77777777" w:rsidR="00874EF0" w:rsidRPr="00B14963" w:rsidRDefault="00874EF0" w:rsidP="00874EF0">
      <w:pPr>
        <w:keepNext/>
        <w:ind w:left="1134" w:hanging="1134"/>
        <w:jc w:val="both"/>
        <w:rPr>
          <w:sz w:val="22"/>
          <w:szCs w:val="22"/>
          <w:lang w:eastAsia="ja-JP"/>
        </w:rPr>
      </w:pPr>
    </w:p>
    <w:p w14:paraId="23737046" w14:textId="77777777" w:rsidR="00874EF0" w:rsidRPr="00B14963" w:rsidRDefault="00874EF0" w:rsidP="00874EF0">
      <w:pPr>
        <w:jc w:val="both"/>
        <w:rPr>
          <w:sz w:val="22"/>
          <w:szCs w:val="22"/>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1295"/>
        <w:gridCol w:w="1266"/>
        <w:gridCol w:w="1395"/>
        <w:gridCol w:w="1033"/>
        <w:gridCol w:w="1283"/>
        <w:gridCol w:w="1429"/>
      </w:tblGrid>
      <w:tr w:rsidR="00874EF0" w:rsidRPr="00B14963" w14:paraId="4FA7BE99" w14:textId="77777777" w:rsidTr="00555704">
        <w:tc>
          <w:tcPr>
            <w:tcW w:w="1422" w:type="dxa"/>
            <w:shd w:val="clear" w:color="auto" w:fill="auto"/>
            <w:vAlign w:val="center"/>
          </w:tcPr>
          <w:p w14:paraId="1EA6F5D0" w14:textId="77777777" w:rsidR="00874EF0" w:rsidRPr="00B14963" w:rsidRDefault="00874EF0" w:rsidP="00874EF0">
            <w:pPr>
              <w:jc w:val="both"/>
              <w:rPr>
                <w:sz w:val="22"/>
                <w:szCs w:val="22"/>
                <w:lang w:eastAsia="ja-JP"/>
              </w:rPr>
            </w:pPr>
            <w:r w:rsidRPr="00B14963">
              <w:rPr>
                <w:rFonts w:eastAsia="MS Mincho"/>
                <w:b/>
                <w:bCs/>
                <w:sz w:val="22"/>
                <w:szCs w:val="22"/>
                <w:lang w:eastAsia="zh-CN" w:bidi="th-TH"/>
              </w:rPr>
              <w:t xml:space="preserve">MedDRA Klasa sistema organa </w:t>
            </w:r>
          </w:p>
        </w:tc>
        <w:tc>
          <w:tcPr>
            <w:tcW w:w="1422" w:type="dxa"/>
            <w:shd w:val="clear" w:color="auto" w:fill="auto"/>
            <w:vAlign w:val="center"/>
          </w:tcPr>
          <w:p w14:paraId="0630F1E0" w14:textId="77777777" w:rsidR="00874EF0" w:rsidRPr="00B14963" w:rsidRDefault="00874EF0" w:rsidP="00874EF0">
            <w:pPr>
              <w:jc w:val="both"/>
              <w:rPr>
                <w:sz w:val="22"/>
                <w:szCs w:val="22"/>
                <w:lang w:eastAsia="ja-JP"/>
              </w:rPr>
            </w:pPr>
            <w:r w:rsidRPr="00B14963">
              <w:rPr>
                <w:b/>
                <w:sz w:val="22"/>
                <w:szCs w:val="22"/>
                <w:lang w:eastAsia="ja-JP"/>
              </w:rPr>
              <w:t>Veoma često</w:t>
            </w:r>
          </w:p>
        </w:tc>
        <w:tc>
          <w:tcPr>
            <w:tcW w:w="1422" w:type="dxa"/>
            <w:shd w:val="clear" w:color="auto" w:fill="auto"/>
            <w:vAlign w:val="center"/>
          </w:tcPr>
          <w:p w14:paraId="1EBBD287" w14:textId="77777777" w:rsidR="00874EF0" w:rsidRPr="00B14963" w:rsidRDefault="00874EF0" w:rsidP="00874EF0">
            <w:pPr>
              <w:jc w:val="both"/>
              <w:rPr>
                <w:sz w:val="22"/>
                <w:szCs w:val="22"/>
                <w:lang w:eastAsia="ja-JP"/>
              </w:rPr>
            </w:pPr>
            <w:r w:rsidRPr="00B14963">
              <w:rPr>
                <w:b/>
                <w:sz w:val="22"/>
                <w:szCs w:val="22"/>
                <w:lang w:eastAsia="ja-JP"/>
              </w:rPr>
              <w:t>Često</w:t>
            </w:r>
          </w:p>
        </w:tc>
        <w:tc>
          <w:tcPr>
            <w:tcW w:w="1422" w:type="dxa"/>
            <w:shd w:val="clear" w:color="auto" w:fill="auto"/>
            <w:vAlign w:val="center"/>
          </w:tcPr>
          <w:p w14:paraId="268848B5" w14:textId="77777777" w:rsidR="00874EF0" w:rsidRPr="00B14963" w:rsidRDefault="00874EF0" w:rsidP="00874EF0">
            <w:pPr>
              <w:jc w:val="both"/>
              <w:rPr>
                <w:sz w:val="22"/>
                <w:szCs w:val="22"/>
                <w:lang w:eastAsia="ja-JP"/>
              </w:rPr>
            </w:pPr>
            <w:r w:rsidRPr="00B14963">
              <w:rPr>
                <w:b/>
                <w:sz w:val="22"/>
                <w:szCs w:val="22"/>
                <w:lang w:eastAsia="ja-JP"/>
              </w:rPr>
              <w:t>Povremeno</w:t>
            </w:r>
          </w:p>
        </w:tc>
        <w:tc>
          <w:tcPr>
            <w:tcW w:w="1423" w:type="dxa"/>
            <w:shd w:val="clear" w:color="auto" w:fill="auto"/>
            <w:vAlign w:val="center"/>
          </w:tcPr>
          <w:p w14:paraId="5559FC0E" w14:textId="77777777" w:rsidR="00874EF0" w:rsidRPr="00B14963" w:rsidRDefault="00874EF0" w:rsidP="00874EF0">
            <w:pPr>
              <w:jc w:val="both"/>
              <w:rPr>
                <w:b/>
                <w:sz w:val="22"/>
                <w:szCs w:val="22"/>
                <w:lang w:eastAsia="ja-JP"/>
              </w:rPr>
            </w:pPr>
            <w:r w:rsidRPr="00B14963">
              <w:rPr>
                <w:b/>
                <w:sz w:val="22"/>
                <w:szCs w:val="22"/>
                <w:lang w:eastAsia="ja-JP"/>
              </w:rPr>
              <w:t>Rijetko</w:t>
            </w:r>
          </w:p>
        </w:tc>
        <w:tc>
          <w:tcPr>
            <w:tcW w:w="1423" w:type="dxa"/>
            <w:shd w:val="clear" w:color="auto" w:fill="auto"/>
          </w:tcPr>
          <w:p w14:paraId="782776AE" w14:textId="77777777" w:rsidR="00874EF0" w:rsidRPr="00B14963" w:rsidRDefault="00874EF0" w:rsidP="00874EF0">
            <w:pPr>
              <w:jc w:val="both"/>
              <w:rPr>
                <w:b/>
                <w:sz w:val="22"/>
                <w:szCs w:val="22"/>
                <w:lang w:eastAsia="ja-JP"/>
              </w:rPr>
            </w:pPr>
          </w:p>
          <w:p w14:paraId="1D00E9FF" w14:textId="77777777" w:rsidR="00874EF0" w:rsidRPr="00B14963" w:rsidRDefault="00874EF0" w:rsidP="00874EF0">
            <w:pPr>
              <w:jc w:val="both"/>
              <w:rPr>
                <w:b/>
                <w:sz w:val="22"/>
                <w:szCs w:val="22"/>
                <w:lang w:eastAsia="ja-JP"/>
              </w:rPr>
            </w:pPr>
            <w:r w:rsidRPr="00B14963">
              <w:rPr>
                <w:b/>
                <w:sz w:val="22"/>
                <w:szCs w:val="22"/>
                <w:lang w:eastAsia="ja-JP"/>
              </w:rPr>
              <w:t>Veoma rijetko</w:t>
            </w:r>
          </w:p>
        </w:tc>
        <w:tc>
          <w:tcPr>
            <w:tcW w:w="1423" w:type="dxa"/>
            <w:shd w:val="clear" w:color="auto" w:fill="auto"/>
          </w:tcPr>
          <w:p w14:paraId="471DADFC" w14:textId="77777777" w:rsidR="00874EF0" w:rsidRPr="00B14963" w:rsidRDefault="00874EF0" w:rsidP="00874EF0">
            <w:pPr>
              <w:jc w:val="both"/>
              <w:rPr>
                <w:b/>
                <w:sz w:val="22"/>
                <w:szCs w:val="22"/>
                <w:lang w:eastAsia="ja-JP"/>
              </w:rPr>
            </w:pPr>
          </w:p>
          <w:p w14:paraId="58A867EC" w14:textId="77777777" w:rsidR="00874EF0" w:rsidRPr="00B14963" w:rsidRDefault="00874EF0" w:rsidP="00874EF0">
            <w:pPr>
              <w:jc w:val="both"/>
              <w:rPr>
                <w:b/>
                <w:sz w:val="22"/>
                <w:szCs w:val="22"/>
                <w:vertAlign w:val="superscript"/>
                <w:lang w:eastAsia="ja-JP"/>
              </w:rPr>
            </w:pPr>
            <w:r w:rsidRPr="00B14963">
              <w:rPr>
                <w:b/>
                <w:sz w:val="22"/>
                <w:szCs w:val="22"/>
                <w:lang w:eastAsia="ja-JP"/>
              </w:rPr>
              <w:t>Nepoznato</w:t>
            </w:r>
          </w:p>
        </w:tc>
      </w:tr>
      <w:tr w:rsidR="00874EF0" w:rsidRPr="00B14963" w14:paraId="57736811" w14:textId="77777777" w:rsidTr="00555704">
        <w:tc>
          <w:tcPr>
            <w:tcW w:w="1422" w:type="dxa"/>
            <w:shd w:val="clear" w:color="auto" w:fill="auto"/>
          </w:tcPr>
          <w:p w14:paraId="7147C2B4" w14:textId="77777777" w:rsidR="00874EF0" w:rsidRPr="00B14963" w:rsidRDefault="00874EF0" w:rsidP="00874EF0">
            <w:pPr>
              <w:rPr>
                <w:sz w:val="22"/>
                <w:szCs w:val="22"/>
                <w:lang w:eastAsia="ja-JP"/>
              </w:rPr>
            </w:pPr>
            <w:r w:rsidRPr="00B14963">
              <w:rPr>
                <w:b/>
                <w:sz w:val="22"/>
                <w:szCs w:val="22"/>
                <w:lang w:eastAsia="ja-JP"/>
              </w:rPr>
              <w:t>Infekcije i infestacije</w:t>
            </w:r>
          </w:p>
        </w:tc>
        <w:tc>
          <w:tcPr>
            <w:tcW w:w="1422" w:type="dxa"/>
            <w:shd w:val="clear" w:color="auto" w:fill="auto"/>
          </w:tcPr>
          <w:p w14:paraId="69056C66" w14:textId="77777777" w:rsidR="00874EF0" w:rsidRPr="00B14963" w:rsidRDefault="00874EF0" w:rsidP="00874EF0">
            <w:pPr>
              <w:rPr>
                <w:sz w:val="22"/>
                <w:szCs w:val="22"/>
                <w:lang w:eastAsia="ja-JP"/>
              </w:rPr>
            </w:pPr>
            <w:r w:rsidRPr="00B14963">
              <w:rPr>
                <w:sz w:val="22"/>
                <w:szCs w:val="22"/>
                <w:lang w:eastAsia="ja-JP"/>
              </w:rPr>
              <w:t>bakterijske infekcije</w:t>
            </w:r>
            <w:r w:rsidRPr="00B14963">
              <w:rPr>
                <w:sz w:val="22"/>
                <w:szCs w:val="22"/>
                <w:vertAlign w:val="superscript"/>
                <w:lang w:eastAsia="ja-JP"/>
              </w:rPr>
              <w:t xml:space="preserve"> </w:t>
            </w:r>
            <w:r w:rsidRPr="00B14963">
              <w:rPr>
                <w:sz w:val="22"/>
                <w:szCs w:val="22"/>
                <w:lang w:eastAsia="ja-JP"/>
              </w:rPr>
              <w:t>, virusne infekcije</w:t>
            </w:r>
            <w:r w:rsidRPr="00B14963">
              <w:rPr>
                <w:sz w:val="22"/>
                <w:szCs w:val="22"/>
                <w:vertAlign w:val="superscript"/>
                <w:lang w:eastAsia="ja-JP"/>
              </w:rPr>
              <w:t xml:space="preserve"> </w:t>
            </w:r>
            <w:r w:rsidRPr="00B14963">
              <w:rPr>
                <w:sz w:val="22"/>
                <w:szCs w:val="22"/>
                <w:lang w:eastAsia="ja-JP"/>
              </w:rPr>
              <w:t xml:space="preserve">, </w:t>
            </w:r>
            <w:r w:rsidRPr="00B14963">
              <w:rPr>
                <w:sz w:val="22"/>
                <w:szCs w:val="22"/>
                <w:vertAlign w:val="superscript"/>
                <w:lang w:eastAsia="ja-JP"/>
              </w:rPr>
              <w:t>+</w:t>
            </w:r>
            <w:r w:rsidRPr="00B14963">
              <w:rPr>
                <w:sz w:val="22"/>
                <w:szCs w:val="22"/>
                <w:lang w:eastAsia="ja-JP"/>
              </w:rPr>
              <w:t xml:space="preserve">bronhitis </w:t>
            </w:r>
          </w:p>
          <w:p w14:paraId="101C6C62" w14:textId="77777777" w:rsidR="00874EF0" w:rsidRPr="00B14963" w:rsidRDefault="00874EF0" w:rsidP="00874EF0">
            <w:pPr>
              <w:rPr>
                <w:sz w:val="22"/>
                <w:szCs w:val="22"/>
                <w:lang w:eastAsia="ja-JP"/>
              </w:rPr>
            </w:pPr>
          </w:p>
        </w:tc>
        <w:tc>
          <w:tcPr>
            <w:tcW w:w="1422" w:type="dxa"/>
            <w:shd w:val="clear" w:color="auto" w:fill="auto"/>
          </w:tcPr>
          <w:p w14:paraId="2D76B196" w14:textId="77777777" w:rsidR="00874EF0" w:rsidRPr="00B14963" w:rsidRDefault="00874EF0" w:rsidP="00874EF0">
            <w:pPr>
              <w:rPr>
                <w:sz w:val="22"/>
                <w:szCs w:val="22"/>
                <w:lang w:eastAsia="ja-JP"/>
              </w:rPr>
            </w:pPr>
            <w:r w:rsidRPr="00B14963">
              <w:rPr>
                <w:sz w:val="22"/>
                <w:szCs w:val="22"/>
                <w:lang w:eastAsia="ja-JP"/>
              </w:rPr>
              <w:t xml:space="preserve">sepsa, </w:t>
            </w:r>
            <w:r w:rsidRPr="00B14963">
              <w:rPr>
                <w:sz w:val="22"/>
                <w:szCs w:val="22"/>
                <w:vertAlign w:val="superscript"/>
                <w:lang w:eastAsia="ja-JP"/>
              </w:rPr>
              <w:t>+</w:t>
            </w:r>
            <w:r w:rsidRPr="00B14963">
              <w:rPr>
                <w:sz w:val="22"/>
                <w:szCs w:val="22"/>
                <w:lang w:eastAsia="ja-JP"/>
              </w:rPr>
              <w:t xml:space="preserve">pneumonija, </w:t>
            </w:r>
            <w:r w:rsidRPr="00B14963">
              <w:rPr>
                <w:sz w:val="22"/>
                <w:szCs w:val="22"/>
                <w:vertAlign w:val="superscript"/>
                <w:lang w:eastAsia="ja-JP"/>
              </w:rPr>
              <w:t>+</w:t>
            </w:r>
            <w:r w:rsidRPr="00B14963">
              <w:rPr>
                <w:sz w:val="22"/>
                <w:szCs w:val="22"/>
                <w:lang w:eastAsia="ja-JP"/>
              </w:rPr>
              <w:t xml:space="preserve">febrilna infekcija, </w:t>
            </w:r>
            <w:r w:rsidRPr="00B14963">
              <w:rPr>
                <w:sz w:val="22"/>
                <w:szCs w:val="22"/>
                <w:vertAlign w:val="superscript"/>
                <w:lang w:eastAsia="ja-JP"/>
              </w:rPr>
              <w:t>+</w:t>
            </w:r>
            <w:r w:rsidRPr="00B14963">
              <w:rPr>
                <w:sz w:val="22"/>
                <w:szCs w:val="22"/>
                <w:lang w:eastAsia="ja-JP"/>
              </w:rPr>
              <w:t xml:space="preserve">herpes zoster, </w:t>
            </w:r>
          </w:p>
          <w:p w14:paraId="3D8793FF" w14:textId="77777777" w:rsidR="00874EF0" w:rsidRPr="00B14963" w:rsidRDefault="00874EF0" w:rsidP="00874EF0">
            <w:pPr>
              <w:rPr>
                <w:sz w:val="22"/>
                <w:szCs w:val="22"/>
                <w:lang w:eastAsia="ja-JP"/>
              </w:rPr>
            </w:pPr>
            <w:r w:rsidRPr="00B14963">
              <w:rPr>
                <w:sz w:val="22"/>
                <w:szCs w:val="22"/>
                <w:vertAlign w:val="superscript"/>
                <w:lang w:eastAsia="ja-JP"/>
              </w:rPr>
              <w:t>+</w:t>
            </w:r>
            <w:r w:rsidRPr="00B14963">
              <w:rPr>
                <w:sz w:val="22"/>
                <w:szCs w:val="22"/>
                <w:lang w:eastAsia="ja-JP"/>
              </w:rPr>
              <w:t xml:space="preserve"> infekcija respiratornog trakta, </w:t>
            </w:r>
          </w:p>
          <w:p w14:paraId="15456293" w14:textId="77777777" w:rsidR="00874EF0" w:rsidRPr="00B14963" w:rsidRDefault="00874EF0" w:rsidP="00874EF0">
            <w:pPr>
              <w:rPr>
                <w:sz w:val="22"/>
                <w:szCs w:val="22"/>
                <w:lang w:eastAsia="ja-JP"/>
              </w:rPr>
            </w:pPr>
            <w:r w:rsidRPr="00B14963">
              <w:rPr>
                <w:sz w:val="22"/>
                <w:szCs w:val="22"/>
                <w:lang w:eastAsia="ja-JP"/>
              </w:rPr>
              <w:t xml:space="preserve">gljivična infekcija, infekcije nepoznate etiologije, </w:t>
            </w:r>
          </w:p>
          <w:p w14:paraId="21E35914" w14:textId="77777777" w:rsidR="00874EF0" w:rsidRPr="00B14963" w:rsidRDefault="00874EF0" w:rsidP="00874EF0">
            <w:pPr>
              <w:rPr>
                <w:sz w:val="22"/>
                <w:szCs w:val="22"/>
                <w:vertAlign w:val="superscript"/>
                <w:lang w:eastAsia="ja-JP"/>
              </w:rPr>
            </w:pPr>
            <w:r w:rsidRPr="00B14963">
              <w:rPr>
                <w:sz w:val="22"/>
                <w:szCs w:val="22"/>
                <w:vertAlign w:val="superscript"/>
                <w:lang w:eastAsia="ja-JP"/>
              </w:rPr>
              <w:t>+</w:t>
            </w:r>
            <w:r w:rsidRPr="00B14963">
              <w:rPr>
                <w:sz w:val="22"/>
                <w:szCs w:val="22"/>
                <w:lang w:eastAsia="ja-JP"/>
              </w:rPr>
              <w:t xml:space="preserve">akutni bronhitis, </w:t>
            </w:r>
            <w:r w:rsidRPr="00B14963">
              <w:rPr>
                <w:sz w:val="22"/>
                <w:szCs w:val="22"/>
                <w:vertAlign w:val="superscript"/>
                <w:lang w:eastAsia="ja-JP"/>
              </w:rPr>
              <w:t>+</w:t>
            </w:r>
            <w:r w:rsidRPr="00B14963">
              <w:rPr>
                <w:sz w:val="22"/>
                <w:szCs w:val="22"/>
                <w:lang w:eastAsia="ja-JP"/>
              </w:rPr>
              <w:t>sinusitis</w:t>
            </w:r>
            <w:r w:rsidRPr="00B14963">
              <w:rPr>
                <w:sz w:val="22"/>
                <w:szCs w:val="22"/>
                <w:vertAlign w:val="superscript"/>
                <w:lang w:eastAsia="ja-JP"/>
              </w:rPr>
              <w:t xml:space="preserve"> </w:t>
            </w:r>
            <w:r w:rsidRPr="00B14963">
              <w:rPr>
                <w:sz w:val="22"/>
                <w:szCs w:val="22"/>
                <w:lang w:eastAsia="ja-JP"/>
              </w:rPr>
              <w:t>, hepatitis B</w:t>
            </w:r>
            <w:r w:rsidRPr="00B14963">
              <w:rPr>
                <w:sz w:val="22"/>
                <w:szCs w:val="22"/>
                <w:vertAlign w:val="superscript"/>
                <w:lang w:eastAsia="ja-JP"/>
              </w:rPr>
              <w:t>1</w:t>
            </w:r>
          </w:p>
        </w:tc>
        <w:tc>
          <w:tcPr>
            <w:tcW w:w="1422" w:type="dxa"/>
            <w:shd w:val="clear" w:color="auto" w:fill="auto"/>
          </w:tcPr>
          <w:p w14:paraId="29DD062B" w14:textId="77777777" w:rsidR="00874EF0" w:rsidRPr="00B14963" w:rsidRDefault="00874EF0" w:rsidP="00874EF0">
            <w:pPr>
              <w:rPr>
                <w:sz w:val="22"/>
                <w:szCs w:val="22"/>
                <w:lang w:eastAsia="ja-JP"/>
              </w:rPr>
            </w:pPr>
          </w:p>
        </w:tc>
        <w:tc>
          <w:tcPr>
            <w:tcW w:w="1423" w:type="dxa"/>
            <w:shd w:val="clear" w:color="auto" w:fill="auto"/>
          </w:tcPr>
          <w:p w14:paraId="1F42786A" w14:textId="77777777" w:rsidR="00874EF0" w:rsidRPr="00B14963" w:rsidRDefault="00874EF0" w:rsidP="00874EF0">
            <w:pPr>
              <w:rPr>
                <w:sz w:val="22"/>
                <w:szCs w:val="22"/>
                <w:lang w:eastAsia="ja-JP"/>
              </w:rPr>
            </w:pPr>
            <w:r w:rsidRPr="00B14963">
              <w:rPr>
                <w:snapToGrid w:val="0"/>
                <w:sz w:val="22"/>
                <w:szCs w:val="22"/>
              </w:rPr>
              <w:t>ozbiljna virusna infekcija</w:t>
            </w:r>
            <w:r w:rsidRPr="00B14963">
              <w:rPr>
                <w:snapToGrid w:val="0"/>
                <w:sz w:val="22"/>
                <w:szCs w:val="22"/>
                <w:vertAlign w:val="superscript"/>
              </w:rPr>
              <w:t>2</w:t>
            </w:r>
            <w:r w:rsidRPr="00B14963">
              <w:rPr>
                <w:snapToGrid w:val="0"/>
                <w:sz w:val="22"/>
                <w:szCs w:val="22"/>
              </w:rPr>
              <w:t xml:space="preserve"> </w:t>
            </w:r>
          </w:p>
        </w:tc>
        <w:tc>
          <w:tcPr>
            <w:tcW w:w="1423" w:type="dxa"/>
            <w:shd w:val="clear" w:color="auto" w:fill="auto"/>
          </w:tcPr>
          <w:p w14:paraId="54123759" w14:textId="77777777" w:rsidR="00874EF0" w:rsidRPr="00B14963" w:rsidRDefault="00874EF0" w:rsidP="00874EF0">
            <w:pPr>
              <w:rPr>
                <w:sz w:val="22"/>
                <w:szCs w:val="22"/>
                <w:lang w:eastAsia="ja-JP"/>
              </w:rPr>
            </w:pPr>
          </w:p>
        </w:tc>
        <w:tc>
          <w:tcPr>
            <w:tcW w:w="1423" w:type="dxa"/>
            <w:shd w:val="clear" w:color="auto" w:fill="auto"/>
          </w:tcPr>
          <w:p w14:paraId="59E23E0D" w14:textId="77777777" w:rsidR="00874EF0" w:rsidRPr="00B14963" w:rsidRDefault="00760D3C" w:rsidP="00874EF0">
            <w:pPr>
              <w:rPr>
                <w:sz w:val="22"/>
                <w:szCs w:val="22"/>
                <w:lang w:eastAsia="ja-JP"/>
              </w:rPr>
            </w:pPr>
            <w:r w:rsidRPr="00B14963">
              <w:rPr>
                <w:sz w:val="22"/>
                <w:szCs w:val="22"/>
                <w:lang w:eastAsia="ja-JP"/>
              </w:rPr>
              <w:t>enterovirusni meningoencefalitis</w:t>
            </w:r>
            <w:r w:rsidRPr="00B14963">
              <w:rPr>
                <w:sz w:val="22"/>
                <w:szCs w:val="22"/>
                <w:vertAlign w:val="superscript"/>
                <w:lang w:eastAsia="ja-JP"/>
              </w:rPr>
              <w:t>2, 3</w:t>
            </w:r>
          </w:p>
        </w:tc>
      </w:tr>
      <w:tr w:rsidR="00874EF0" w:rsidRPr="00B14963" w14:paraId="71421B6C" w14:textId="77777777" w:rsidTr="00555704">
        <w:tc>
          <w:tcPr>
            <w:tcW w:w="1422" w:type="dxa"/>
            <w:shd w:val="clear" w:color="auto" w:fill="auto"/>
          </w:tcPr>
          <w:p w14:paraId="016C2ADF" w14:textId="77777777" w:rsidR="00874EF0" w:rsidRPr="00B14963" w:rsidRDefault="00874EF0" w:rsidP="00874EF0">
            <w:pPr>
              <w:rPr>
                <w:sz w:val="22"/>
                <w:szCs w:val="22"/>
                <w:lang w:eastAsia="ja-JP"/>
              </w:rPr>
            </w:pPr>
            <w:r w:rsidRPr="00B14963">
              <w:rPr>
                <w:b/>
                <w:sz w:val="22"/>
                <w:szCs w:val="22"/>
                <w:lang w:eastAsia="ja-JP"/>
              </w:rPr>
              <w:t xml:space="preserve">Poremećaji krvi i limfnog sistema </w:t>
            </w:r>
          </w:p>
        </w:tc>
        <w:tc>
          <w:tcPr>
            <w:tcW w:w="1422" w:type="dxa"/>
            <w:shd w:val="clear" w:color="auto" w:fill="auto"/>
          </w:tcPr>
          <w:p w14:paraId="2DB5668F" w14:textId="77777777" w:rsidR="00874EF0" w:rsidRPr="00B14963" w:rsidRDefault="00874EF0" w:rsidP="00874EF0">
            <w:pPr>
              <w:rPr>
                <w:sz w:val="22"/>
                <w:szCs w:val="22"/>
                <w:lang w:eastAsia="ja-JP"/>
              </w:rPr>
            </w:pPr>
            <w:r w:rsidRPr="00B14963">
              <w:rPr>
                <w:sz w:val="22"/>
                <w:szCs w:val="22"/>
                <w:lang w:eastAsia="ja-JP"/>
              </w:rPr>
              <w:t xml:space="preserve">neutropenija, leukopenija, </w:t>
            </w:r>
            <w:r w:rsidRPr="00B14963">
              <w:rPr>
                <w:sz w:val="22"/>
                <w:szCs w:val="22"/>
                <w:vertAlign w:val="superscript"/>
                <w:lang w:eastAsia="ja-JP"/>
              </w:rPr>
              <w:t>+</w:t>
            </w:r>
            <w:r w:rsidRPr="00B14963">
              <w:rPr>
                <w:sz w:val="22"/>
                <w:szCs w:val="22"/>
                <w:lang w:eastAsia="ja-JP"/>
              </w:rPr>
              <w:t xml:space="preserve">febrilna neutropenija, </w:t>
            </w:r>
            <w:r w:rsidRPr="00B14963">
              <w:rPr>
                <w:sz w:val="22"/>
                <w:szCs w:val="22"/>
                <w:vertAlign w:val="superscript"/>
                <w:lang w:eastAsia="ja-JP"/>
              </w:rPr>
              <w:t>+</w:t>
            </w:r>
            <w:r w:rsidRPr="00B14963">
              <w:rPr>
                <w:sz w:val="22"/>
                <w:szCs w:val="22"/>
                <w:lang w:eastAsia="ja-JP"/>
              </w:rPr>
              <w:t>trombocitopenija</w:t>
            </w:r>
          </w:p>
          <w:p w14:paraId="232C429C" w14:textId="77777777" w:rsidR="00874EF0" w:rsidRPr="00B14963" w:rsidRDefault="00874EF0" w:rsidP="00874EF0">
            <w:pPr>
              <w:rPr>
                <w:sz w:val="22"/>
                <w:szCs w:val="22"/>
                <w:lang w:eastAsia="ja-JP"/>
              </w:rPr>
            </w:pPr>
          </w:p>
        </w:tc>
        <w:tc>
          <w:tcPr>
            <w:tcW w:w="1422" w:type="dxa"/>
            <w:shd w:val="clear" w:color="auto" w:fill="auto"/>
          </w:tcPr>
          <w:p w14:paraId="740424A9" w14:textId="77777777" w:rsidR="00874EF0" w:rsidRPr="00B14963" w:rsidRDefault="00874EF0" w:rsidP="00874EF0">
            <w:pPr>
              <w:rPr>
                <w:sz w:val="22"/>
                <w:szCs w:val="22"/>
                <w:lang w:eastAsia="ja-JP"/>
              </w:rPr>
            </w:pPr>
            <w:r w:rsidRPr="00B14963">
              <w:rPr>
                <w:sz w:val="22"/>
                <w:szCs w:val="22"/>
                <w:lang w:eastAsia="ja-JP"/>
              </w:rPr>
              <w:t>anemija,</w:t>
            </w:r>
          </w:p>
          <w:p w14:paraId="5DFF629D" w14:textId="77777777" w:rsidR="00874EF0" w:rsidRPr="00B14963" w:rsidRDefault="00874EF0" w:rsidP="00874EF0">
            <w:pPr>
              <w:rPr>
                <w:sz w:val="22"/>
                <w:szCs w:val="22"/>
                <w:lang w:eastAsia="ja-JP"/>
              </w:rPr>
            </w:pPr>
            <w:r w:rsidRPr="00B14963">
              <w:rPr>
                <w:sz w:val="22"/>
                <w:szCs w:val="22"/>
                <w:vertAlign w:val="superscript"/>
                <w:lang w:eastAsia="ja-JP"/>
              </w:rPr>
              <w:t>+</w:t>
            </w:r>
            <w:r w:rsidRPr="00B14963">
              <w:rPr>
                <w:sz w:val="22"/>
                <w:szCs w:val="22"/>
                <w:lang w:eastAsia="ja-JP"/>
              </w:rPr>
              <w:t xml:space="preserve">pancitopenija, </w:t>
            </w:r>
            <w:r w:rsidRPr="00B14963">
              <w:rPr>
                <w:sz w:val="22"/>
                <w:szCs w:val="22"/>
                <w:vertAlign w:val="superscript"/>
                <w:lang w:eastAsia="ja-JP"/>
              </w:rPr>
              <w:t>+</w:t>
            </w:r>
            <w:r w:rsidRPr="00B14963">
              <w:rPr>
                <w:sz w:val="18"/>
                <w:szCs w:val="18"/>
              </w:rPr>
              <w:t xml:space="preserve"> </w:t>
            </w:r>
            <w:r w:rsidRPr="00B14963">
              <w:rPr>
                <w:sz w:val="22"/>
                <w:szCs w:val="22"/>
                <w:lang w:eastAsia="ja-JP"/>
              </w:rPr>
              <w:t>granulocitopenija</w:t>
            </w:r>
          </w:p>
        </w:tc>
        <w:tc>
          <w:tcPr>
            <w:tcW w:w="1422" w:type="dxa"/>
            <w:shd w:val="clear" w:color="auto" w:fill="auto"/>
          </w:tcPr>
          <w:p w14:paraId="297702F8" w14:textId="77777777" w:rsidR="00874EF0" w:rsidRPr="00B14963" w:rsidRDefault="00874EF0" w:rsidP="00874EF0">
            <w:pPr>
              <w:rPr>
                <w:sz w:val="22"/>
                <w:szCs w:val="22"/>
                <w:lang w:eastAsia="ja-JP"/>
              </w:rPr>
            </w:pPr>
            <w:r w:rsidRPr="00B14963">
              <w:rPr>
                <w:sz w:val="22"/>
                <w:szCs w:val="22"/>
                <w:lang w:eastAsia="ja-JP"/>
              </w:rPr>
              <w:t>poremećaji koagulacije, aplastična anemija,  hemolitička anemija, limfadenopatija</w:t>
            </w:r>
          </w:p>
        </w:tc>
        <w:tc>
          <w:tcPr>
            <w:tcW w:w="1423" w:type="dxa"/>
            <w:shd w:val="clear" w:color="auto" w:fill="auto"/>
          </w:tcPr>
          <w:p w14:paraId="55B9A714" w14:textId="77777777" w:rsidR="00874EF0" w:rsidRPr="00B14963" w:rsidRDefault="00874EF0" w:rsidP="00874EF0">
            <w:pPr>
              <w:rPr>
                <w:snapToGrid w:val="0"/>
                <w:sz w:val="22"/>
                <w:szCs w:val="22"/>
              </w:rPr>
            </w:pPr>
          </w:p>
        </w:tc>
        <w:tc>
          <w:tcPr>
            <w:tcW w:w="1423" w:type="dxa"/>
            <w:shd w:val="clear" w:color="auto" w:fill="auto"/>
          </w:tcPr>
          <w:p w14:paraId="4E4B92F1" w14:textId="77777777" w:rsidR="00874EF0" w:rsidRPr="00B14963" w:rsidRDefault="00874EF0" w:rsidP="00760D3C">
            <w:pPr>
              <w:rPr>
                <w:sz w:val="22"/>
                <w:szCs w:val="22"/>
                <w:lang w:eastAsia="ja-JP"/>
              </w:rPr>
            </w:pPr>
            <w:r w:rsidRPr="00B14963">
              <w:rPr>
                <w:rFonts w:eastAsia="Arial Unicode MS"/>
                <w:sz w:val="22"/>
                <w:szCs w:val="22"/>
                <w:lang w:eastAsia="ja-JP"/>
              </w:rPr>
              <w:t>prolazno povećanje nivoa serumskog IgM</w:t>
            </w:r>
            <w:r w:rsidR="00760D3C" w:rsidRPr="00B14963">
              <w:rPr>
                <w:snapToGrid w:val="0"/>
                <w:sz w:val="22"/>
                <w:szCs w:val="22"/>
                <w:vertAlign w:val="superscript"/>
              </w:rPr>
              <w:t>4</w:t>
            </w:r>
          </w:p>
        </w:tc>
        <w:tc>
          <w:tcPr>
            <w:tcW w:w="1423" w:type="dxa"/>
            <w:shd w:val="clear" w:color="auto" w:fill="auto"/>
          </w:tcPr>
          <w:p w14:paraId="4450F7E0" w14:textId="77777777" w:rsidR="00874EF0" w:rsidRPr="00B14963" w:rsidRDefault="00874EF0" w:rsidP="00760D3C">
            <w:pPr>
              <w:rPr>
                <w:sz w:val="22"/>
                <w:szCs w:val="22"/>
                <w:lang w:eastAsia="ja-JP"/>
              </w:rPr>
            </w:pPr>
            <w:r w:rsidRPr="00B14963">
              <w:rPr>
                <w:snapToGrid w:val="0"/>
                <w:sz w:val="22"/>
                <w:szCs w:val="22"/>
              </w:rPr>
              <w:t>kasna neutropenija</w:t>
            </w:r>
            <w:r w:rsidR="00760D3C" w:rsidRPr="00B14963">
              <w:rPr>
                <w:snapToGrid w:val="0"/>
                <w:sz w:val="22"/>
                <w:szCs w:val="22"/>
                <w:vertAlign w:val="superscript"/>
              </w:rPr>
              <w:t>4</w:t>
            </w:r>
          </w:p>
        </w:tc>
      </w:tr>
      <w:tr w:rsidR="00874EF0" w:rsidRPr="00B14963" w14:paraId="773793E7" w14:textId="77777777" w:rsidTr="00555704">
        <w:tc>
          <w:tcPr>
            <w:tcW w:w="1422" w:type="dxa"/>
            <w:shd w:val="clear" w:color="auto" w:fill="auto"/>
          </w:tcPr>
          <w:p w14:paraId="1022F047" w14:textId="77777777" w:rsidR="00874EF0" w:rsidRPr="00B14963" w:rsidRDefault="00874EF0" w:rsidP="00874EF0">
            <w:pPr>
              <w:rPr>
                <w:sz w:val="22"/>
                <w:szCs w:val="22"/>
                <w:lang w:eastAsia="ja-JP"/>
              </w:rPr>
            </w:pPr>
            <w:r w:rsidRPr="00B14963">
              <w:rPr>
                <w:b/>
                <w:sz w:val="22"/>
                <w:szCs w:val="22"/>
                <w:lang w:eastAsia="ja-JP"/>
              </w:rPr>
              <w:lastRenderedPageBreak/>
              <w:t>Poremećaji imunog sistema</w:t>
            </w:r>
          </w:p>
        </w:tc>
        <w:tc>
          <w:tcPr>
            <w:tcW w:w="1422" w:type="dxa"/>
            <w:shd w:val="clear" w:color="auto" w:fill="auto"/>
          </w:tcPr>
          <w:p w14:paraId="276898F4" w14:textId="77777777" w:rsidR="00874EF0" w:rsidRPr="00B14963" w:rsidRDefault="00874EF0" w:rsidP="00874EF0">
            <w:pPr>
              <w:rPr>
                <w:sz w:val="22"/>
                <w:szCs w:val="22"/>
                <w:lang w:eastAsia="ja-JP"/>
              </w:rPr>
            </w:pPr>
            <w:r w:rsidRPr="00B14963">
              <w:rPr>
                <w:snapToGrid w:val="0"/>
                <w:sz w:val="22"/>
                <w:szCs w:val="22"/>
              </w:rPr>
              <w:t>reakcije na infuziju</w:t>
            </w:r>
            <w:r w:rsidR="00760D3C" w:rsidRPr="00B14963">
              <w:rPr>
                <w:snapToGrid w:val="0"/>
                <w:sz w:val="22"/>
                <w:szCs w:val="22"/>
                <w:vertAlign w:val="superscript"/>
              </w:rPr>
              <w:t>5</w:t>
            </w:r>
            <w:r w:rsidRPr="00B14963">
              <w:rPr>
                <w:snapToGrid w:val="0"/>
                <w:sz w:val="22"/>
                <w:szCs w:val="22"/>
              </w:rPr>
              <w:t>,</w:t>
            </w:r>
          </w:p>
          <w:p w14:paraId="72C09537" w14:textId="77777777" w:rsidR="00874EF0" w:rsidRPr="00B14963" w:rsidRDefault="00874EF0" w:rsidP="00874EF0">
            <w:pPr>
              <w:rPr>
                <w:sz w:val="22"/>
                <w:szCs w:val="22"/>
                <w:lang w:eastAsia="ja-JP"/>
              </w:rPr>
            </w:pPr>
            <w:r w:rsidRPr="00B14963">
              <w:rPr>
                <w:sz w:val="22"/>
                <w:szCs w:val="22"/>
                <w:lang w:eastAsia="ja-JP"/>
              </w:rPr>
              <w:t>angioedem</w:t>
            </w:r>
            <w:r w:rsidRPr="00B14963">
              <w:rPr>
                <w:sz w:val="22"/>
                <w:szCs w:val="22"/>
                <w:vertAlign w:val="superscript"/>
                <w:lang w:eastAsia="ja-JP"/>
              </w:rPr>
              <w:t xml:space="preserve"> </w:t>
            </w:r>
          </w:p>
        </w:tc>
        <w:tc>
          <w:tcPr>
            <w:tcW w:w="1422" w:type="dxa"/>
            <w:shd w:val="clear" w:color="auto" w:fill="auto"/>
          </w:tcPr>
          <w:p w14:paraId="6129513F" w14:textId="77777777" w:rsidR="00874EF0" w:rsidRPr="00B14963" w:rsidRDefault="00874EF0" w:rsidP="00874EF0">
            <w:pPr>
              <w:rPr>
                <w:sz w:val="22"/>
                <w:szCs w:val="22"/>
                <w:lang w:eastAsia="ja-JP"/>
              </w:rPr>
            </w:pPr>
            <w:r w:rsidRPr="00B14963">
              <w:rPr>
                <w:sz w:val="22"/>
                <w:szCs w:val="22"/>
                <w:lang w:eastAsia="ja-JP"/>
              </w:rPr>
              <w:t>hiperosjetljivost</w:t>
            </w:r>
          </w:p>
        </w:tc>
        <w:tc>
          <w:tcPr>
            <w:tcW w:w="1422" w:type="dxa"/>
            <w:shd w:val="clear" w:color="auto" w:fill="auto"/>
          </w:tcPr>
          <w:p w14:paraId="091EB7E1" w14:textId="77777777" w:rsidR="00874EF0" w:rsidRPr="00B14963" w:rsidRDefault="00874EF0" w:rsidP="00874EF0">
            <w:pPr>
              <w:rPr>
                <w:sz w:val="22"/>
                <w:szCs w:val="22"/>
                <w:lang w:eastAsia="ja-JP"/>
              </w:rPr>
            </w:pPr>
          </w:p>
        </w:tc>
        <w:tc>
          <w:tcPr>
            <w:tcW w:w="1423" w:type="dxa"/>
            <w:shd w:val="clear" w:color="auto" w:fill="auto"/>
          </w:tcPr>
          <w:p w14:paraId="7A80EBFB" w14:textId="77777777" w:rsidR="00874EF0" w:rsidRPr="00B14963" w:rsidRDefault="00874EF0" w:rsidP="00874EF0">
            <w:pPr>
              <w:rPr>
                <w:sz w:val="22"/>
                <w:szCs w:val="22"/>
                <w:lang w:eastAsia="ja-JP"/>
              </w:rPr>
            </w:pPr>
            <w:r w:rsidRPr="00B14963">
              <w:rPr>
                <w:snapToGrid w:val="0"/>
                <w:sz w:val="22"/>
                <w:szCs w:val="22"/>
              </w:rPr>
              <w:t>anafilaksa</w:t>
            </w:r>
          </w:p>
        </w:tc>
        <w:tc>
          <w:tcPr>
            <w:tcW w:w="1423" w:type="dxa"/>
            <w:shd w:val="clear" w:color="auto" w:fill="auto"/>
          </w:tcPr>
          <w:p w14:paraId="3EE9F3B2" w14:textId="77777777" w:rsidR="00874EF0" w:rsidRPr="00B14963" w:rsidRDefault="00874EF0" w:rsidP="00874EF0">
            <w:pPr>
              <w:rPr>
                <w:snapToGrid w:val="0"/>
                <w:sz w:val="22"/>
                <w:szCs w:val="22"/>
              </w:rPr>
            </w:pPr>
            <w:r w:rsidRPr="00B14963">
              <w:rPr>
                <w:snapToGrid w:val="0"/>
                <w:sz w:val="22"/>
                <w:szCs w:val="22"/>
              </w:rPr>
              <w:t xml:space="preserve">sindrom lize tumora, </w:t>
            </w:r>
          </w:p>
          <w:p w14:paraId="3036C2B7" w14:textId="77777777" w:rsidR="00874EF0" w:rsidRPr="00B14963" w:rsidRDefault="00874EF0" w:rsidP="00760D3C">
            <w:pPr>
              <w:rPr>
                <w:sz w:val="22"/>
                <w:szCs w:val="22"/>
                <w:lang w:eastAsia="ja-JP"/>
              </w:rPr>
            </w:pPr>
            <w:r w:rsidRPr="00B14963">
              <w:rPr>
                <w:snapToGrid w:val="0"/>
                <w:sz w:val="22"/>
                <w:szCs w:val="22"/>
              </w:rPr>
              <w:t>sindrom oslobađanja citokina</w:t>
            </w:r>
            <w:r w:rsidR="00760D3C" w:rsidRPr="00B14963">
              <w:rPr>
                <w:snapToGrid w:val="0"/>
                <w:sz w:val="22"/>
                <w:szCs w:val="22"/>
                <w:vertAlign w:val="superscript"/>
              </w:rPr>
              <w:t>5</w:t>
            </w:r>
            <w:r w:rsidRPr="00B14963">
              <w:rPr>
                <w:snapToGrid w:val="0"/>
                <w:sz w:val="22"/>
                <w:szCs w:val="22"/>
              </w:rPr>
              <w:t>, serumska bolest,</w:t>
            </w:r>
          </w:p>
        </w:tc>
        <w:tc>
          <w:tcPr>
            <w:tcW w:w="1423" w:type="dxa"/>
            <w:shd w:val="clear" w:color="auto" w:fill="auto"/>
          </w:tcPr>
          <w:p w14:paraId="3FD8B229" w14:textId="77777777" w:rsidR="00874EF0" w:rsidRPr="00B14963" w:rsidRDefault="00874EF0" w:rsidP="00760D3C">
            <w:pPr>
              <w:rPr>
                <w:sz w:val="22"/>
                <w:szCs w:val="22"/>
                <w:vertAlign w:val="superscript"/>
                <w:lang w:eastAsia="ja-JP"/>
              </w:rPr>
            </w:pPr>
            <w:r w:rsidRPr="00B14963">
              <w:rPr>
                <w:snapToGrid w:val="0"/>
                <w:sz w:val="22"/>
                <w:szCs w:val="22"/>
              </w:rPr>
              <w:t>akutna reverzibilna trombocitopenija povezana sa infuzijom</w:t>
            </w:r>
            <w:r w:rsidR="00760D3C" w:rsidRPr="00B14963">
              <w:rPr>
                <w:snapToGrid w:val="0"/>
                <w:sz w:val="22"/>
                <w:szCs w:val="22"/>
                <w:vertAlign w:val="superscript"/>
              </w:rPr>
              <w:t>5</w:t>
            </w:r>
          </w:p>
        </w:tc>
      </w:tr>
      <w:tr w:rsidR="00874EF0" w:rsidRPr="00B14963" w14:paraId="5A314710" w14:textId="77777777" w:rsidTr="00555704">
        <w:tc>
          <w:tcPr>
            <w:tcW w:w="1422" w:type="dxa"/>
            <w:shd w:val="clear" w:color="auto" w:fill="auto"/>
          </w:tcPr>
          <w:p w14:paraId="2A31E9EC" w14:textId="77777777" w:rsidR="00874EF0" w:rsidRPr="00B14963" w:rsidRDefault="00874EF0" w:rsidP="00874EF0">
            <w:pPr>
              <w:rPr>
                <w:sz w:val="22"/>
                <w:szCs w:val="22"/>
                <w:lang w:eastAsia="ja-JP"/>
              </w:rPr>
            </w:pPr>
            <w:r w:rsidRPr="00B14963">
              <w:rPr>
                <w:b/>
                <w:sz w:val="22"/>
                <w:szCs w:val="22"/>
                <w:lang w:eastAsia="ja-JP"/>
              </w:rPr>
              <w:t xml:space="preserve">Poremećaji ishrane i metabolizma </w:t>
            </w:r>
          </w:p>
        </w:tc>
        <w:tc>
          <w:tcPr>
            <w:tcW w:w="1422" w:type="dxa"/>
            <w:shd w:val="clear" w:color="auto" w:fill="auto"/>
          </w:tcPr>
          <w:p w14:paraId="57E7D6E1" w14:textId="77777777" w:rsidR="00874EF0" w:rsidRPr="00B14963" w:rsidRDefault="00874EF0" w:rsidP="00874EF0">
            <w:pPr>
              <w:rPr>
                <w:sz w:val="22"/>
                <w:szCs w:val="22"/>
                <w:lang w:eastAsia="ja-JP"/>
              </w:rPr>
            </w:pPr>
          </w:p>
        </w:tc>
        <w:tc>
          <w:tcPr>
            <w:tcW w:w="1422" w:type="dxa"/>
            <w:shd w:val="clear" w:color="auto" w:fill="auto"/>
          </w:tcPr>
          <w:p w14:paraId="742B4EE6" w14:textId="77777777" w:rsidR="00874EF0" w:rsidRPr="00B14963" w:rsidRDefault="00874EF0" w:rsidP="00874EF0">
            <w:pPr>
              <w:rPr>
                <w:sz w:val="22"/>
                <w:szCs w:val="22"/>
                <w:lang w:eastAsia="ja-JP"/>
              </w:rPr>
            </w:pPr>
            <w:r w:rsidRPr="00B14963">
              <w:rPr>
                <w:sz w:val="22"/>
                <w:szCs w:val="22"/>
                <w:lang w:eastAsia="ja-JP"/>
              </w:rPr>
              <w:t>hiperglikemija, smanjenje tjelesne težine, periferni edem, edem lica, povećanje LDH, hipokalcemija</w:t>
            </w:r>
          </w:p>
        </w:tc>
        <w:tc>
          <w:tcPr>
            <w:tcW w:w="1422" w:type="dxa"/>
            <w:shd w:val="clear" w:color="auto" w:fill="auto"/>
          </w:tcPr>
          <w:p w14:paraId="3C7ED39A" w14:textId="77777777" w:rsidR="00874EF0" w:rsidRPr="00B14963" w:rsidRDefault="00874EF0" w:rsidP="00874EF0">
            <w:pPr>
              <w:rPr>
                <w:sz w:val="22"/>
                <w:szCs w:val="22"/>
                <w:lang w:eastAsia="ja-JP"/>
              </w:rPr>
            </w:pPr>
          </w:p>
        </w:tc>
        <w:tc>
          <w:tcPr>
            <w:tcW w:w="1423" w:type="dxa"/>
            <w:shd w:val="clear" w:color="auto" w:fill="auto"/>
          </w:tcPr>
          <w:p w14:paraId="68889322" w14:textId="77777777" w:rsidR="00874EF0" w:rsidRPr="00B14963" w:rsidRDefault="00874EF0" w:rsidP="00874EF0">
            <w:pPr>
              <w:rPr>
                <w:sz w:val="22"/>
                <w:szCs w:val="22"/>
                <w:lang w:eastAsia="ja-JP"/>
              </w:rPr>
            </w:pPr>
          </w:p>
        </w:tc>
        <w:tc>
          <w:tcPr>
            <w:tcW w:w="1423" w:type="dxa"/>
            <w:shd w:val="clear" w:color="auto" w:fill="auto"/>
          </w:tcPr>
          <w:p w14:paraId="5A817789" w14:textId="77777777" w:rsidR="00874EF0" w:rsidRPr="00B14963" w:rsidRDefault="00874EF0" w:rsidP="00874EF0">
            <w:pPr>
              <w:rPr>
                <w:sz w:val="22"/>
                <w:szCs w:val="22"/>
                <w:lang w:eastAsia="ja-JP"/>
              </w:rPr>
            </w:pPr>
          </w:p>
        </w:tc>
        <w:tc>
          <w:tcPr>
            <w:tcW w:w="1423" w:type="dxa"/>
            <w:shd w:val="clear" w:color="auto" w:fill="auto"/>
          </w:tcPr>
          <w:p w14:paraId="33D3AA19" w14:textId="77777777" w:rsidR="00874EF0" w:rsidRPr="00B14963" w:rsidRDefault="00874EF0" w:rsidP="00874EF0">
            <w:pPr>
              <w:rPr>
                <w:sz w:val="22"/>
                <w:szCs w:val="22"/>
                <w:lang w:eastAsia="ja-JP"/>
              </w:rPr>
            </w:pPr>
          </w:p>
        </w:tc>
      </w:tr>
      <w:tr w:rsidR="00874EF0" w:rsidRPr="00B14963" w14:paraId="43AE327F" w14:textId="77777777" w:rsidTr="00555704">
        <w:tc>
          <w:tcPr>
            <w:tcW w:w="1422" w:type="dxa"/>
            <w:shd w:val="clear" w:color="auto" w:fill="auto"/>
          </w:tcPr>
          <w:p w14:paraId="2F8023AE" w14:textId="77777777" w:rsidR="00874EF0" w:rsidRPr="00B14963" w:rsidRDefault="00874EF0" w:rsidP="00874EF0">
            <w:pPr>
              <w:rPr>
                <w:sz w:val="22"/>
                <w:szCs w:val="22"/>
                <w:lang w:eastAsia="ja-JP"/>
              </w:rPr>
            </w:pPr>
            <w:r w:rsidRPr="00B14963">
              <w:rPr>
                <w:b/>
                <w:sz w:val="22"/>
                <w:szCs w:val="22"/>
                <w:lang w:eastAsia="ja-JP"/>
              </w:rPr>
              <w:t>Psihijatrijski poremećaji</w:t>
            </w:r>
          </w:p>
        </w:tc>
        <w:tc>
          <w:tcPr>
            <w:tcW w:w="1422" w:type="dxa"/>
            <w:shd w:val="clear" w:color="auto" w:fill="auto"/>
          </w:tcPr>
          <w:p w14:paraId="61E58F25" w14:textId="77777777" w:rsidR="00874EF0" w:rsidRPr="00B14963" w:rsidRDefault="00874EF0" w:rsidP="00874EF0">
            <w:pPr>
              <w:rPr>
                <w:sz w:val="22"/>
                <w:szCs w:val="22"/>
                <w:lang w:eastAsia="ja-JP"/>
              </w:rPr>
            </w:pPr>
          </w:p>
        </w:tc>
        <w:tc>
          <w:tcPr>
            <w:tcW w:w="1422" w:type="dxa"/>
            <w:shd w:val="clear" w:color="auto" w:fill="auto"/>
          </w:tcPr>
          <w:p w14:paraId="3EB15C7A" w14:textId="77777777" w:rsidR="00874EF0" w:rsidRPr="00B14963" w:rsidRDefault="00874EF0" w:rsidP="00874EF0">
            <w:pPr>
              <w:rPr>
                <w:sz w:val="22"/>
                <w:szCs w:val="22"/>
                <w:lang w:eastAsia="ja-JP"/>
              </w:rPr>
            </w:pPr>
          </w:p>
        </w:tc>
        <w:tc>
          <w:tcPr>
            <w:tcW w:w="1422" w:type="dxa"/>
            <w:shd w:val="clear" w:color="auto" w:fill="auto"/>
          </w:tcPr>
          <w:p w14:paraId="35358C96" w14:textId="77777777" w:rsidR="00874EF0" w:rsidRPr="00B14963" w:rsidRDefault="00874EF0" w:rsidP="00874EF0">
            <w:pPr>
              <w:rPr>
                <w:sz w:val="22"/>
                <w:szCs w:val="22"/>
                <w:lang w:eastAsia="ja-JP"/>
              </w:rPr>
            </w:pPr>
            <w:r w:rsidRPr="00B14963">
              <w:rPr>
                <w:sz w:val="22"/>
                <w:szCs w:val="22"/>
                <w:lang w:eastAsia="ja-JP"/>
              </w:rPr>
              <w:t>depresija, nervoza</w:t>
            </w:r>
          </w:p>
        </w:tc>
        <w:tc>
          <w:tcPr>
            <w:tcW w:w="1423" w:type="dxa"/>
            <w:shd w:val="clear" w:color="auto" w:fill="auto"/>
          </w:tcPr>
          <w:p w14:paraId="625F2F48" w14:textId="77777777" w:rsidR="00874EF0" w:rsidRPr="00B14963" w:rsidRDefault="00874EF0" w:rsidP="00874EF0">
            <w:pPr>
              <w:rPr>
                <w:sz w:val="22"/>
                <w:szCs w:val="22"/>
                <w:lang w:eastAsia="ja-JP"/>
              </w:rPr>
            </w:pPr>
          </w:p>
        </w:tc>
        <w:tc>
          <w:tcPr>
            <w:tcW w:w="1423" w:type="dxa"/>
            <w:shd w:val="clear" w:color="auto" w:fill="auto"/>
          </w:tcPr>
          <w:p w14:paraId="78A5C05C" w14:textId="77777777" w:rsidR="00874EF0" w:rsidRPr="00B14963" w:rsidRDefault="00874EF0" w:rsidP="00874EF0">
            <w:pPr>
              <w:rPr>
                <w:sz w:val="22"/>
                <w:szCs w:val="22"/>
                <w:lang w:eastAsia="ja-JP"/>
              </w:rPr>
            </w:pPr>
          </w:p>
        </w:tc>
        <w:tc>
          <w:tcPr>
            <w:tcW w:w="1423" w:type="dxa"/>
            <w:shd w:val="clear" w:color="auto" w:fill="auto"/>
          </w:tcPr>
          <w:p w14:paraId="09D17625" w14:textId="77777777" w:rsidR="00874EF0" w:rsidRPr="00B14963" w:rsidRDefault="00874EF0" w:rsidP="00874EF0">
            <w:pPr>
              <w:rPr>
                <w:sz w:val="22"/>
                <w:szCs w:val="22"/>
                <w:lang w:eastAsia="ja-JP"/>
              </w:rPr>
            </w:pPr>
          </w:p>
        </w:tc>
      </w:tr>
      <w:tr w:rsidR="00874EF0" w:rsidRPr="00B14963" w14:paraId="35C744E1" w14:textId="77777777" w:rsidTr="00555704">
        <w:tc>
          <w:tcPr>
            <w:tcW w:w="1422" w:type="dxa"/>
            <w:shd w:val="clear" w:color="auto" w:fill="auto"/>
          </w:tcPr>
          <w:p w14:paraId="0CD40FCD" w14:textId="77777777" w:rsidR="00874EF0" w:rsidRPr="00B14963" w:rsidRDefault="00874EF0" w:rsidP="00874EF0">
            <w:pPr>
              <w:rPr>
                <w:sz w:val="22"/>
                <w:szCs w:val="22"/>
                <w:lang w:eastAsia="ja-JP"/>
              </w:rPr>
            </w:pPr>
            <w:r w:rsidRPr="00B14963">
              <w:rPr>
                <w:b/>
                <w:sz w:val="22"/>
                <w:szCs w:val="22"/>
                <w:lang w:eastAsia="ja-JP"/>
              </w:rPr>
              <w:t>Poremećaji nervnog sistema</w:t>
            </w:r>
          </w:p>
        </w:tc>
        <w:tc>
          <w:tcPr>
            <w:tcW w:w="1422" w:type="dxa"/>
            <w:shd w:val="clear" w:color="auto" w:fill="auto"/>
          </w:tcPr>
          <w:p w14:paraId="3E6EE0E6" w14:textId="77777777" w:rsidR="00874EF0" w:rsidRPr="00B14963" w:rsidRDefault="00874EF0" w:rsidP="00874EF0">
            <w:pPr>
              <w:rPr>
                <w:sz w:val="22"/>
                <w:szCs w:val="22"/>
                <w:lang w:eastAsia="ja-JP"/>
              </w:rPr>
            </w:pPr>
          </w:p>
        </w:tc>
        <w:tc>
          <w:tcPr>
            <w:tcW w:w="1422" w:type="dxa"/>
            <w:shd w:val="clear" w:color="auto" w:fill="auto"/>
          </w:tcPr>
          <w:p w14:paraId="3EB69E96" w14:textId="77777777" w:rsidR="00874EF0" w:rsidRPr="00B14963" w:rsidRDefault="00874EF0" w:rsidP="00874EF0">
            <w:pPr>
              <w:rPr>
                <w:sz w:val="22"/>
                <w:szCs w:val="22"/>
                <w:lang w:eastAsia="ja-JP"/>
              </w:rPr>
            </w:pPr>
            <w:r w:rsidRPr="00B14963">
              <w:rPr>
                <w:sz w:val="22"/>
                <w:szCs w:val="22"/>
                <w:lang w:eastAsia="ja-JP"/>
              </w:rPr>
              <w:t xml:space="preserve">parestezija, hipoestezija, agitacija, nesanica, vazodilatacija, vrtoglavica, anksioznost </w:t>
            </w:r>
          </w:p>
        </w:tc>
        <w:tc>
          <w:tcPr>
            <w:tcW w:w="1422" w:type="dxa"/>
            <w:shd w:val="clear" w:color="auto" w:fill="auto"/>
          </w:tcPr>
          <w:p w14:paraId="7EEEC1D2" w14:textId="77777777" w:rsidR="00874EF0" w:rsidRPr="00B14963" w:rsidRDefault="00874EF0" w:rsidP="00874EF0">
            <w:pPr>
              <w:rPr>
                <w:sz w:val="22"/>
                <w:szCs w:val="22"/>
                <w:lang w:eastAsia="ja-JP"/>
              </w:rPr>
            </w:pPr>
            <w:r w:rsidRPr="00B14963">
              <w:rPr>
                <w:sz w:val="22"/>
                <w:szCs w:val="22"/>
                <w:lang w:eastAsia="ja-JP"/>
              </w:rPr>
              <w:t>disgeuzija</w:t>
            </w:r>
          </w:p>
        </w:tc>
        <w:tc>
          <w:tcPr>
            <w:tcW w:w="1423" w:type="dxa"/>
            <w:shd w:val="clear" w:color="auto" w:fill="auto"/>
          </w:tcPr>
          <w:p w14:paraId="288E939F" w14:textId="77777777" w:rsidR="00874EF0" w:rsidRPr="00B14963" w:rsidRDefault="00874EF0" w:rsidP="00874EF0">
            <w:pPr>
              <w:rPr>
                <w:sz w:val="22"/>
                <w:szCs w:val="22"/>
                <w:lang w:eastAsia="ja-JP"/>
              </w:rPr>
            </w:pPr>
          </w:p>
        </w:tc>
        <w:tc>
          <w:tcPr>
            <w:tcW w:w="1423" w:type="dxa"/>
            <w:shd w:val="clear" w:color="auto" w:fill="auto"/>
          </w:tcPr>
          <w:p w14:paraId="00C1F7D5" w14:textId="77777777" w:rsidR="00874EF0" w:rsidRPr="00B14963" w:rsidRDefault="00874EF0" w:rsidP="00874EF0">
            <w:pPr>
              <w:rPr>
                <w:snapToGrid w:val="0"/>
                <w:sz w:val="22"/>
                <w:szCs w:val="22"/>
              </w:rPr>
            </w:pPr>
            <w:r w:rsidRPr="00B14963">
              <w:rPr>
                <w:snapToGrid w:val="0"/>
                <w:sz w:val="22"/>
                <w:szCs w:val="22"/>
              </w:rPr>
              <w:t>periferna neuropatija, paraliza facijalisa</w:t>
            </w:r>
            <w:r w:rsidR="00760D3C" w:rsidRPr="00B14963">
              <w:rPr>
                <w:snapToGrid w:val="0"/>
                <w:sz w:val="22"/>
                <w:szCs w:val="22"/>
                <w:vertAlign w:val="superscript"/>
              </w:rPr>
              <w:t>6</w:t>
            </w:r>
            <w:r w:rsidRPr="00B14963">
              <w:rPr>
                <w:snapToGrid w:val="0"/>
                <w:sz w:val="22"/>
                <w:szCs w:val="22"/>
              </w:rPr>
              <w:t>,</w:t>
            </w:r>
          </w:p>
          <w:p w14:paraId="2C4D5B48" w14:textId="77777777" w:rsidR="00874EF0" w:rsidRPr="00B14963" w:rsidRDefault="00874EF0" w:rsidP="00874EF0">
            <w:pPr>
              <w:rPr>
                <w:sz w:val="22"/>
                <w:szCs w:val="22"/>
                <w:lang w:eastAsia="ja-JP"/>
              </w:rPr>
            </w:pPr>
          </w:p>
        </w:tc>
        <w:tc>
          <w:tcPr>
            <w:tcW w:w="1423" w:type="dxa"/>
            <w:shd w:val="clear" w:color="auto" w:fill="auto"/>
          </w:tcPr>
          <w:p w14:paraId="2EB395C7" w14:textId="77777777" w:rsidR="00874EF0" w:rsidRPr="00B14963" w:rsidRDefault="00874EF0" w:rsidP="00874EF0">
            <w:pPr>
              <w:rPr>
                <w:snapToGrid w:val="0"/>
                <w:sz w:val="22"/>
                <w:szCs w:val="22"/>
              </w:rPr>
            </w:pPr>
            <w:r w:rsidRPr="00B14963">
              <w:rPr>
                <w:snapToGrid w:val="0"/>
                <w:sz w:val="22"/>
                <w:szCs w:val="22"/>
              </w:rPr>
              <w:t>kranijalna neuropatija,</w:t>
            </w:r>
          </w:p>
          <w:p w14:paraId="3A85B03F" w14:textId="77777777" w:rsidR="00874EF0" w:rsidRPr="00B14963" w:rsidRDefault="00874EF0" w:rsidP="00760D3C">
            <w:pPr>
              <w:rPr>
                <w:sz w:val="22"/>
                <w:szCs w:val="22"/>
                <w:lang w:eastAsia="ja-JP"/>
              </w:rPr>
            </w:pPr>
            <w:r w:rsidRPr="00B14963">
              <w:rPr>
                <w:snapToGrid w:val="0"/>
                <w:sz w:val="22"/>
                <w:szCs w:val="22"/>
              </w:rPr>
              <w:t>gubitak drugih čula</w:t>
            </w:r>
            <w:r w:rsidR="00760D3C" w:rsidRPr="00B14963">
              <w:rPr>
                <w:snapToGrid w:val="0"/>
                <w:sz w:val="22"/>
                <w:szCs w:val="22"/>
                <w:vertAlign w:val="superscript"/>
              </w:rPr>
              <w:t>6</w:t>
            </w:r>
          </w:p>
        </w:tc>
      </w:tr>
      <w:tr w:rsidR="00874EF0" w:rsidRPr="00B14963" w14:paraId="2285AA14" w14:textId="77777777" w:rsidTr="00555704">
        <w:tc>
          <w:tcPr>
            <w:tcW w:w="1422" w:type="dxa"/>
            <w:shd w:val="clear" w:color="auto" w:fill="auto"/>
          </w:tcPr>
          <w:p w14:paraId="38AA41C2" w14:textId="77777777" w:rsidR="00874EF0" w:rsidRPr="00B14963" w:rsidRDefault="00874EF0" w:rsidP="00874EF0">
            <w:pPr>
              <w:rPr>
                <w:sz w:val="22"/>
                <w:szCs w:val="22"/>
                <w:lang w:eastAsia="ja-JP"/>
              </w:rPr>
            </w:pPr>
            <w:r w:rsidRPr="00B14963">
              <w:rPr>
                <w:b/>
                <w:sz w:val="22"/>
                <w:szCs w:val="22"/>
                <w:lang w:eastAsia="ja-JP"/>
              </w:rPr>
              <w:t>Poremećaji oka</w:t>
            </w:r>
          </w:p>
        </w:tc>
        <w:tc>
          <w:tcPr>
            <w:tcW w:w="1422" w:type="dxa"/>
            <w:shd w:val="clear" w:color="auto" w:fill="auto"/>
          </w:tcPr>
          <w:p w14:paraId="76A97708" w14:textId="77777777" w:rsidR="00874EF0" w:rsidRPr="00B14963" w:rsidRDefault="00874EF0" w:rsidP="00874EF0">
            <w:pPr>
              <w:rPr>
                <w:sz w:val="22"/>
                <w:szCs w:val="22"/>
                <w:lang w:eastAsia="ja-JP"/>
              </w:rPr>
            </w:pPr>
          </w:p>
        </w:tc>
        <w:tc>
          <w:tcPr>
            <w:tcW w:w="1422" w:type="dxa"/>
            <w:shd w:val="clear" w:color="auto" w:fill="auto"/>
          </w:tcPr>
          <w:p w14:paraId="5E4859A7" w14:textId="77777777" w:rsidR="00874EF0" w:rsidRPr="00B14963" w:rsidRDefault="00874EF0" w:rsidP="00874EF0">
            <w:pPr>
              <w:rPr>
                <w:sz w:val="22"/>
                <w:szCs w:val="22"/>
                <w:lang w:eastAsia="ja-JP"/>
              </w:rPr>
            </w:pPr>
            <w:r w:rsidRPr="00B14963">
              <w:rPr>
                <w:sz w:val="22"/>
                <w:szCs w:val="22"/>
                <w:lang w:eastAsia="ja-JP"/>
              </w:rPr>
              <w:t>poremećaji suzenja, konjunktivitis</w:t>
            </w:r>
          </w:p>
        </w:tc>
        <w:tc>
          <w:tcPr>
            <w:tcW w:w="1422" w:type="dxa"/>
            <w:shd w:val="clear" w:color="auto" w:fill="auto"/>
          </w:tcPr>
          <w:p w14:paraId="18A43D4D" w14:textId="77777777" w:rsidR="00874EF0" w:rsidRPr="00B14963" w:rsidRDefault="00874EF0" w:rsidP="00874EF0">
            <w:pPr>
              <w:rPr>
                <w:sz w:val="22"/>
                <w:szCs w:val="22"/>
                <w:lang w:eastAsia="ja-JP"/>
              </w:rPr>
            </w:pPr>
          </w:p>
        </w:tc>
        <w:tc>
          <w:tcPr>
            <w:tcW w:w="1423" w:type="dxa"/>
            <w:shd w:val="clear" w:color="auto" w:fill="auto"/>
          </w:tcPr>
          <w:p w14:paraId="6FD08072" w14:textId="77777777" w:rsidR="00874EF0" w:rsidRPr="00B14963" w:rsidRDefault="00874EF0" w:rsidP="00874EF0">
            <w:pPr>
              <w:rPr>
                <w:sz w:val="22"/>
                <w:szCs w:val="22"/>
                <w:lang w:eastAsia="ja-JP"/>
              </w:rPr>
            </w:pPr>
          </w:p>
        </w:tc>
        <w:tc>
          <w:tcPr>
            <w:tcW w:w="1423" w:type="dxa"/>
            <w:shd w:val="clear" w:color="auto" w:fill="auto"/>
          </w:tcPr>
          <w:p w14:paraId="2CDC8E93" w14:textId="77777777" w:rsidR="00874EF0" w:rsidRPr="00B14963" w:rsidRDefault="00874EF0" w:rsidP="00760D3C">
            <w:pPr>
              <w:rPr>
                <w:sz w:val="22"/>
                <w:szCs w:val="22"/>
                <w:lang w:eastAsia="ja-JP"/>
              </w:rPr>
            </w:pPr>
            <w:r w:rsidRPr="00B14963">
              <w:rPr>
                <w:snapToGrid w:val="0"/>
                <w:sz w:val="22"/>
                <w:szCs w:val="22"/>
              </w:rPr>
              <w:t xml:space="preserve">ozbiljan gibitak vida </w:t>
            </w:r>
            <w:r w:rsidR="00760D3C" w:rsidRPr="00B14963">
              <w:rPr>
                <w:snapToGrid w:val="0"/>
                <w:sz w:val="22"/>
                <w:szCs w:val="22"/>
                <w:vertAlign w:val="superscript"/>
              </w:rPr>
              <w:t>6</w:t>
            </w:r>
          </w:p>
        </w:tc>
        <w:tc>
          <w:tcPr>
            <w:tcW w:w="1423" w:type="dxa"/>
            <w:shd w:val="clear" w:color="auto" w:fill="auto"/>
          </w:tcPr>
          <w:p w14:paraId="24566C4E" w14:textId="77777777" w:rsidR="00874EF0" w:rsidRPr="00B14963" w:rsidRDefault="00874EF0" w:rsidP="00874EF0">
            <w:pPr>
              <w:rPr>
                <w:sz w:val="22"/>
                <w:szCs w:val="22"/>
                <w:lang w:eastAsia="ja-JP"/>
              </w:rPr>
            </w:pPr>
          </w:p>
        </w:tc>
      </w:tr>
      <w:tr w:rsidR="00874EF0" w:rsidRPr="00B14963" w14:paraId="3E79F270" w14:textId="77777777" w:rsidTr="00555704">
        <w:tc>
          <w:tcPr>
            <w:tcW w:w="1422" w:type="dxa"/>
            <w:shd w:val="clear" w:color="auto" w:fill="auto"/>
          </w:tcPr>
          <w:p w14:paraId="7CDA8E83" w14:textId="77777777" w:rsidR="00874EF0" w:rsidRPr="00B14963" w:rsidRDefault="00874EF0" w:rsidP="00874EF0">
            <w:pPr>
              <w:rPr>
                <w:sz w:val="22"/>
                <w:szCs w:val="22"/>
                <w:lang w:eastAsia="ja-JP"/>
              </w:rPr>
            </w:pPr>
            <w:r w:rsidRPr="00B14963">
              <w:rPr>
                <w:b/>
                <w:sz w:val="22"/>
                <w:szCs w:val="22"/>
                <w:lang w:eastAsia="ja-JP"/>
              </w:rPr>
              <w:t>Poremećaji uha i labirinta</w:t>
            </w:r>
          </w:p>
        </w:tc>
        <w:tc>
          <w:tcPr>
            <w:tcW w:w="1422" w:type="dxa"/>
            <w:shd w:val="clear" w:color="auto" w:fill="auto"/>
          </w:tcPr>
          <w:p w14:paraId="679A4235" w14:textId="77777777" w:rsidR="00874EF0" w:rsidRPr="00B14963" w:rsidRDefault="00874EF0" w:rsidP="00874EF0">
            <w:pPr>
              <w:rPr>
                <w:sz w:val="22"/>
                <w:szCs w:val="22"/>
                <w:lang w:eastAsia="ja-JP"/>
              </w:rPr>
            </w:pPr>
          </w:p>
        </w:tc>
        <w:tc>
          <w:tcPr>
            <w:tcW w:w="1422" w:type="dxa"/>
            <w:shd w:val="clear" w:color="auto" w:fill="auto"/>
          </w:tcPr>
          <w:p w14:paraId="23EAC698" w14:textId="77777777" w:rsidR="00874EF0" w:rsidRPr="00B14963" w:rsidRDefault="00874EF0" w:rsidP="00874EF0">
            <w:pPr>
              <w:rPr>
                <w:sz w:val="22"/>
                <w:szCs w:val="22"/>
                <w:lang w:eastAsia="ja-JP"/>
              </w:rPr>
            </w:pPr>
            <w:r w:rsidRPr="00B14963">
              <w:rPr>
                <w:sz w:val="22"/>
                <w:szCs w:val="22"/>
                <w:lang w:eastAsia="ja-JP"/>
              </w:rPr>
              <w:t xml:space="preserve">tinitus, bol u uhu </w:t>
            </w:r>
          </w:p>
        </w:tc>
        <w:tc>
          <w:tcPr>
            <w:tcW w:w="1422" w:type="dxa"/>
            <w:shd w:val="clear" w:color="auto" w:fill="auto"/>
          </w:tcPr>
          <w:p w14:paraId="00D178CF" w14:textId="77777777" w:rsidR="00874EF0" w:rsidRPr="00B14963" w:rsidRDefault="00874EF0" w:rsidP="00874EF0">
            <w:pPr>
              <w:rPr>
                <w:sz w:val="22"/>
                <w:szCs w:val="22"/>
                <w:lang w:eastAsia="ja-JP"/>
              </w:rPr>
            </w:pPr>
          </w:p>
        </w:tc>
        <w:tc>
          <w:tcPr>
            <w:tcW w:w="1423" w:type="dxa"/>
            <w:shd w:val="clear" w:color="auto" w:fill="auto"/>
          </w:tcPr>
          <w:p w14:paraId="7F144A87" w14:textId="77777777" w:rsidR="00874EF0" w:rsidRPr="00B14963" w:rsidRDefault="00874EF0" w:rsidP="00874EF0">
            <w:pPr>
              <w:rPr>
                <w:sz w:val="22"/>
                <w:szCs w:val="22"/>
                <w:lang w:eastAsia="ja-JP"/>
              </w:rPr>
            </w:pPr>
          </w:p>
        </w:tc>
        <w:tc>
          <w:tcPr>
            <w:tcW w:w="1423" w:type="dxa"/>
            <w:shd w:val="clear" w:color="auto" w:fill="auto"/>
          </w:tcPr>
          <w:p w14:paraId="487C1920" w14:textId="77777777" w:rsidR="00874EF0" w:rsidRPr="00B14963" w:rsidRDefault="00874EF0" w:rsidP="00874EF0">
            <w:pPr>
              <w:rPr>
                <w:sz w:val="22"/>
                <w:szCs w:val="22"/>
                <w:lang w:eastAsia="ja-JP"/>
              </w:rPr>
            </w:pPr>
          </w:p>
        </w:tc>
        <w:tc>
          <w:tcPr>
            <w:tcW w:w="1423" w:type="dxa"/>
            <w:shd w:val="clear" w:color="auto" w:fill="auto"/>
          </w:tcPr>
          <w:p w14:paraId="5BDCBE36" w14:textId="77777777" w:rsidR="00874EF0" w:rsidRPr="00B14963" w:rsidRDefault="00874EF0" w:rsidP="00760D3C">
            <w:pPr>
              <w:rPr>
                <w:sz w:val="22"/>
                <w:szCs w:val="22"/>
                <w:lang w:eastAsia="ja-JP"/>
              </w:rPr>
            </w:pPr>
            <w:r w:rsidRPr="00B14963">
              <w:rPr>
                <w:snapToGrid w:val="0"/>
                <w:sz w:val="22"/>
                <w:szCs w:val="22"/>
              </w:rPr>
              <w:t>gubitak sluha</w:t>
            </w:r>
            <w:r w:rsidR="00760D3C" w:rsidRPr="00B14963">
              <w:rPr>
                <w:snapToGrid w:val="0"/>
                <w:sz w:val="22"/>
                <w:szCs w:val="22"/>
                <w:vertAlign w:val="superscript"/>
              </w:rPr>
              <w:t>6</w:t>
            </w:r>
          </w:p>
        </w:tc>
      </w:tr>
      <w:tr w:rsidR="00874EF0" w:rsidRPr="00B14963" w14:paraId="7DD4201F" w14:textId="77777777" w:rsidTr="00555704">
        <w:tc>
          <w:tcPr>
            <w:tcW w:w="1422" w:type="dxa"/>
            <w:shd w:val="clear" w:color="auto" w:fill="auto"/>
          </w:tcPr>
          <w:p w14:paraId="67567DD7" w14:textId="77777777" w:rsidR="00874EF0" w:rsidRPr="00B14963" w:rsidRDefault="00874EF0" w:rsidP="00874EF0">
            <w:pPr>
              <w:rPr>
                <w:sz w:val="22"/>
                <w:szCs w:val="22"/>
                <w:lang w:eastAsia="ja-JP"/>
              </w:rPr>
            </w:pPr>
            <w:r w:rsidRPr="00B14963">
              <w:rPr>
                <w:b/>
                <w:sz w:val="22"/>
                <w:szCs w:val="22"/>
                <w:lang w:eastAsia="ja-JP"/>
              </w:rPr>
              <w:t>Kardiološki poremećaji</w:t>
            </w:r>
          </w:p>
        </w:tc>
        <w:tc>
          <w:tcPr>
            <w:tcW w:w="1422" w:type="dxa"/>
            <w:shd w:val="clear" w:color="auto" w:fill="auto"/>
          </w:tcPr>
          <w:p w14:paraId="7C26820F" w14:textId="77777777" w:rsidR="00874EF0" w:rsidRPr="00B14963" w:rsidRDefault="00874EF0" w:rsidP="00874EF0">
            <w:pPr>
              <w:rPr>
                <w:sz w:val="22"/>
                <w:szCs w:val="22"/>
                <w:lang w:eastAsia="ja-JP"/>
              </w:rPr>
            </w:pPr>
          </w:p>
        </w:tc>
        <w:tc>
          <w:tcPr>
            <w:tcW w:w="1422" w:type="dxa"/>
            <w:shd w:val="clear" w:color="auto" w:fill="auto"/>
          </w:tcPr>
          <w:p w14:paraId="6C587B4C" w14:textId="77777777" w:rsidR="00874EF0" w:rsidRPr="00B14963" w:rsidRDefault="00874EF0" w:rsidP="00760D3C">
            <w:pPr>
              <w:rPr>
                <w:sz w:val="22"/>
                <w:szCs w:val="22"/>
                <w:lang w:eastAsia="ja-JP"/>
              </w:rPr>
            </w:pPr>
            <w:r w:rsidRPr="00B14963">
              <w:rPr>
                <w:sz w:val="22"/>
                <w:szCs w:val="22"/>
                <w:vertAlign w:val="superscript"/>
                <w:lang w:eastAsia="ja-JP"/>
              </w:rPr>
              <w:t>+</w:t>
            </w:r>
            <w:r w:rsidRPr="00B14963">
              <w:rPr>
                <w:sz w:val="22"/>
                <w:szCs w:val="22"/>
                <w:lang w:eastAsia="ja-JP"/>
              </w:rPr>
              <w:t>infarkt miokarda</w:t>
            </w:r>
            <w:r w:rsidR="00760D3C" w:rsidRPr="00B14963">
              <w:rPr>
                <w:snapToGrid w:val="0"/>
                <w:sz w:val="22"/>
                <w:szCs w:val="22"/>
                <w:vertAlign w:val="superscript"/>
              </w:rPr>
              <w:t>5</w:t>
            </w:r>
            <w:r w:rsidRPr="00B14963">
              <w:rPr>
                <w:snapToGrid w:val="0"/>
                <w:sz w:val="22"/>
                <w:szCs w:val="22"/>
                <w:vertAlign w:val="superscript"/>
              </w:rPr>
              <w:t xml:space="preserve"> </w:t>
            </w:r>
            <w:r w:rsidRPr="00B14963">
              <w:rPr>
                <w:sz w:val="22"/>
                <w:szCs w:val="22"/>
                <w:vertAlign w:val="superscript"/>
                <w:lang w:eastAsia="ja-JP"/>
              </w:rPr>
              <w:t xml:space="preserve">i </w:t>
            </w:r>
            <w:r w:rsidR="00760D3C" w:rsidRPr="00B14963">
              <w:rPr>
                <w:sz w:val="22"/>
                <w:szCs w:val="22"/>
                <w:vertAlign w:val="superscript"/>
                <w:lang w:eastAsia="ja-JP"/>
              </w:rPr>
              <w:t>7</w:t>
            </w:r>
            <w:r w:rsidRPr="00B14963">
              <w:rPr>
                <w:sz w:val="22"/>
                <w:szCs w:val="22"/>
                <w:lang w:eastAsia="ja-JP"/>
              </w:rPr>
              <w:t xml:space="preserve">, aritmija, </w:t>
            </w:r>
            <w:r w:rsidRPr="00B14963">
              <w:rPr>
                <w:sz w:val="22"/>
                <w:szCs w:val="22"/>
                <w:vertAlign w:val="superscript"/>
                <w:lang w:eastAsia="ja-JP"/>
              </w:rPr>
              <w:t>+</w:t>
            </w:r>
            <w:r w:rsidRPr="00B14963">
              <w:rPr>
                <w:sz w:val="22"/>
                <w:szCs w:val="22"/>
                <w:lang w:eastAsia="ja-JP"/>
              </w:rPr>
              <w:t xml:space="preserve">atrijalna fibrilacija, tahikardija, </w:t>
            </w:r>
            <w:r w:rsidRPr="00B14963">
              <w:rPr>
                <w:sz w:val="22"/>
                <w:szCs w:val="22"/>
                <w:vertAlign w:val="superscript"/>
                <w:lang w:eastAsia="ja-JP"/>
              </w:rPr>
              <w:t>+</w:t>
            </w:r>
            <w:r w:rsidRPr="00B14963">
              <w:rPr>
                <w:sz w:val="22"/>
                <w:szCs w:val="22"/>
                <w:lang w:eastAsia="ja-JP"/>
              </w:rPr>
              <w:t>srčani poremećaji</w:t>
            </w:r>
          </w:p>
        </w:tc>
        <w:tc>
          <w:tcPr>
            <w:tcW w:w="1422" w:type="dxa"/>
            <w:shd w:val="clear" w:color="auto" w:fill="auto"/>
          </w:tcPr>
          <w:p w14:paraId="197F0A92" w14:textId="77777777" w:rsidR="00874EF0" w:rsidRPr="00B14963" w:rsidRDefault="00874EF0" w:rsidP="00874EF0">
            <w:pPr>
              <w:rPr>
                <w:sz w:val="22"/>
                <w:szCs w:val="22"/>
                <w:lang w:eastAsia="ja-JP"/>
              </w:rPr>
            </w:pPr>
            <w:r w:rsidRPr="00B14963">
              <w:rPr>
                <w:sz w:val="22"/>
                <w:szCs w:val="22"/>
                <w:lang w:eastAsia="ja-JP"/>
              </w:rPr>
              <w:t xml:space="preserve"> </w:t>
            </w:r>
            <w:r w:rsidRPr="00B14963">
              <w:rPr>
                <w:sz w:val="22"/>
                <w:szCs w:val="22"/>
                <w:vertAlign w:val="superscript"/>
                <w:lang w:eastAsia="ja-JP"/>
              </w:rPr>
              <w:t>+</w:t>
            </w:r>
            <w:r w:rsidRPr="00B14963">
              <w:rPr>
                <w:sz w:val="22"/>
                <w:szCs w:val="22"/>
                <w:lang w:eastAsia="ja-JP"/>
              </w:rPr>
              <w:t xml:space="preserve">insuficijencija lijeve komore, </w:t>
            </w:r>
            <w:r w:rsidRPr="00B14963">
              <w:rPr>
                <w:sz w:val="22"/>
                <w:szCs w:val="22"/>
                <w:vertAlign w:val="superscript"/>
                <w:lang w:eastAsia="ja-JP"/>
              </w:rPr>
              <w:t>+</w:t>
            </w:r>
            <w:r w:rsidRPr="00B14963">
              <w:rPr>
                <w:sz w:val="22"/>
                <w:szCs w:val="22"/>
                <w:lang w:eastAsia="ja-JP"/>
              </w:rPr>
              <w:t xml:space="preserve">supraventrikularna tahikardija,  </w:t>
            </w:r>
            <w:r w:rsidRPr="00B14963">
              <w:rPr>
                <w:sz w:val="22"/>
                <w:szCs w:val="22"/>
                <w:vertAlign w:val="superscript"/>
                <w:lang w:eastAsia="ja-JP"/>
              </w:rPr>
              <w:t>+</w:t>
            </w:r>
            <w:r w:rsidRPr="00B14963">
              <w:rPr>
                <w:sz w:val="22"/>
                <w:szCs w:val="22"/>
                <w:lang w:eastAsia="ja-JP"/>
              </w:rPr>
              <w:t xml:space="preserve">ventrikularna tahikardija,  </w:t>
            </w:r>
            <w:r w:rsidRPr="00B14963">
              <w:rPr>
                <w:sz w:val="22"/>
                <w:szCs w:val="22"/>
                <w:vertAlign w:val="superscript"/>
                <w:lang w:eastAsia="ja-JP"/>
              </w:rPr>
              <w:t>+</w:t>
            </w:r>
            <w:r w:rsidRPr="00B14963">
              <w:rPr>
                <w:sz w:val="22"/>
                <w:szCs w:val="22"/>
                <w:lang w:eastAsia="ja-JP"/>
              </w:rPr>
              <w:t xml:space="preserve">angina,  </w:t>
            </w:r>
            <w:r w:rsidRPr="00B14963">
              <w:rPr>
                <w:sz w:val="22"/>
                <w:szCs w:val="22"/>
                <w:vertAlign w:val="superscript"/>
                <w:lang w:eastAsia="ja-JP"/>
              </w:rPr>
              <w:t>+</w:t>
            </w:r>
            <w:r w:rsidRPr="00B14963">
              <w:rPr>
                <w:sz w:val="22"/>
                <w:szCs w:val="22"/>
                <w:lang w:eastAsia="ja-JP"/>
              </w:rPr>
              <w:t>ishemija miokarda, bradikardija</w:t>
            </w:r>
          </w:p>
        </w:tc>
        <w:tc>
          <w:tcPr>
            <w:tcW w:w="1423" w:type="dxa"/>
            <w:shd w:val="clear" w:color="auto" w:fill="auto"/>
          </w:tcPr>
          <w:p w14:paraId="39C55589" w14:textId="77777777" w:rsidR="00874EF0" w:rsidRPr="00B14963" w:rsidRDefault="00874EF0" w:rsidP="00760D3C">
            <w:pPr>
              <w:rPr>
                <w:sz w:val="22"/>
                <w:szCs w:val="22"/>
                <w:vertAlign w:val="superscript"/>
                <w:lang w:eastAsia="ja-JP"/>
              </w:rPr>
            </w:pPr>
            <w:r w:rsidRPr="00B14963">
              <w:rPr>
                <w:sz w:val="22"/>
                <w:szCs w:val="22"/>
                <w:lang w:eastAsia="ja-JP"/>
              </w:rPr>
              <w:t xml:space="preserve">ozbiljni kardiološki događaji </w:t>
            </w:r>
            <w:r w:rsidR="00760D3C" w:rsidRPr="00B14963">
              <w:rPr>
                <w:snapToGrid w:val="0"/>
                <w:sz w:val="22"/>
                <w:szCs w:val="22"/>
                <w:vertAlign w:val="superscript"/>
              </w:rPr>
              <w:t>5</w:t>
            </w:r>
            <w:r w:rsidRPr="00B14963">
              <w:rPr>
                <w:snapToGrid w:val="0"/>
                <w:sz w:val="22"/>
                <w:szCs w:val="22"/>
                <w:vertAlign w:val="superscript"/>
              </w:rPr>
              <w:t xml:space="preserve"> </w:t>
            </w:r>
            <w:r w:rsidRPr="00B14963">
              <w:rPr>
                <w:sz w:val="22"/>
                <w:szCs w:val="22"/>
                <w:vertAlign w:val="superscript"/>
                <w:lang w:eastAsia="ja-JP"/>
              </w:rPr>
              <w:t xml:space="preserve">i </w:t>
            </w:r>
            <w:r w:rsidR="00760D3C" w:rsidRPr="00B14963">
              <w:rPr>
                <w:sz w:val="22"/>
                <w:szCs w:val="22"/>
                <w:vertAlign w:val="superscript"/>
                <w:lang w:eastAsia="ja-JP"/>
              </w:rPr>
              <w:t>7</w:t>
            </w:r>
          </w:p>
        </w:tc>
        <w:tc>
          <w:tcPr>
            <w:tcW w:w="1423" w:type="dxa"/>
            <w:shd w:val="clear" w:color="auto" w:fill="auto"/>
          </w:tcPr>
          <w:p w14:paraId="626F4215" w14:textId="77777777" w:rsidR="00874EF0" w:rsidRPr="00B14963" w:rsidRDefault="00874EF0" w:rsidP="00760D3C">
            <w:pPr>
              <w:rPr>
                <w:sz w:val="22"/>
                <w:szCs w:val="22"/>
                <w:lang w:eastAsia="ja-JP"/>
              </w:rPr>
            </w:pPr>
            <w:r w:rsidRPr="00B14963">
              <w:rPr>
                <w:sz w:val="22"/>
                <w:szCs w:val="22"/>
                <w:lang w:eastAsia="ja-JP"/>
              </w:rPr>
              <w:t>srčana insuficijencija</w:t>
            </w:r>
            <w:r w:rsidR="00760D3C" w:rsidRPr="00B14963">
              <w:rPr>
                <w:snapToGrid w:val="0"/>
                <w:sz w:val="22"/>
                <w:szCs w:val="22"/>
                <w:vertAlign w:val="superscript"/>
              </w:rPr>
              <w:t>5</w:t>
            </w:r>
            <w:r w:rsidRPr="00B14963">
              <w:rPr>
                <w:snapToGrid w:val="0"/>
                <w:sz w:val="22"/>
                <w:szCs w:val="22"/>
                <w:vertAlign w:val="superscript"/>
              </w:rPr>
              <w:t xml:space="preserve"> </w:t>
            </w:r>
            <w:r w:rsidRPr="00B14963">
              <w:rPr>
                <w:sz w:val="22"/>
                <w:szCs w:val="22"/>
                <w:vertAlign w:val="superscript"/>
                <w:lang w:eastAsia="ja-JP"/>
              </w:rPr>
              <w:t xml:space="preserve">i </w:t>
            </w:r>
            <w:r w:rsidR="00760D3C" w:rsidRPr="00B14963">
              <w:rPr>
                <w:sz w:val="22"/>
                <w:szCs w:val="22"/>
                <w:vertAlign w:val="superscript"/>
                <w:lang w:eastAsia="ja-JP"/>
              </w:rPr>
              <w:t>7</w:t>
            </w:r>
          </w:p>
        </w:tc>
        <w:tc>
          <w:tcPr>
            <w:tcW w:w="1423" w:type="dxa"/>
            <w:shd w:val="clear" w:color="auto" w:fill="auto"/>
          </w:tcPr>
          <w:p w14:paraId="61470D3F" w14:textId="77777777" w:rsidR="00874EF0" w:rsidRPr="00B14963" w:rsidRDefault="00874EF0" w:rsidP="00874EF0">
            <w:pPr>
              <w:rPr>
                <w:sz w:val="22"/>
                <w:szCs w:val="22"/>
                <w:lang w:eastAsia="ja-JP"/>
              </w:rPr>
            </w:pPr>
          </w:p>
        </w:tc>
      </w:tr>
      <w:tr w:rsidR="00874EF0" w:rsidRPr="00B14963" w14:paraId="444273E6" w14:textId="77777777" w:rsidTr="00555704">
        <w:tc>
          <w:tcPr>
            <w:tcW w:w="1422" w:type="dxa"/>
            <w:shd w:val="clear" w:color="auto" w:fill="auto"/>
          </w:tcPr>
          <w:p w14:paraId="4DE1373A" w14:textId="77777777" w:rsidR="00874EF0" w:rsidRPr="00B14963" w:rsidRDefault="00874EF0" w:rsidP="00874EF0">
            <w:pPr>
              <w:rPr>
                <w:sz w:val="22"/>
                <w:szCs w:val="22"/>
                <w:lang w:eastAsia="ja-JP"/>
              </w:rPr>
            </w:pPr>
            <w:r w:rsidRPr="00B14963">
              <w:rPr>
                <w:b/>
                <w:sz w:val="22"/>
                <w:szCs w:val="22"/>
                <w:lang w:eastAsia="ja-JP"/>
              </w:rPr>
              <w:t>Vaskularni poremećaji</w:t>
            </w:r>
          </w:p>
        </w:tc>
        <w:tc>
          <w:tcPr>
            <w:tcW w:w="1422" w:type="dxa"/>
            <w:shd w:val="clear" w:color="auto" w:fill="auto"/>
          </w:tcPr>
          <w:p w14:paraId="5410908C" w14:textId="77777777" w:rsidR="00874EF0" w:rsidRPr="00B14963" w:rsidRDefault="00874EF0" w:rsidP="00874EF0">
            <w:pPr>
              <w:rPr>
                <w:sz w:val="22"/>
                <w:szCs w:val="22"/>
                <w:lang w:eastAsia="ja-JP"/>
              </w:rPr>
            </w:pPr>
          </w:p>
        </w:tc>
        <w:tc>
          <w:tcPr>
            <w:tcW w:w="1422" w:type="dxa"/>
            <w:shd w:val="clear" w:color="auto" w:fill="auto"/>
          </w:tcPr>
          <w:p w14:paraId="1A863AF4" w14:textId="77777777" w:rsidR="00874EF0" w:rsidRPr="00B14963" w:rsidRDefault="00874EF0" w:rsidP="00874EF0">
            <w:pPr>
              <w:rPr>
                <w:sz w:val="22"/>
                <w:szCs w:val="22"/>
                <w:lang w:eastAsia="ja-JP"/>
              </w:rPr>
            </w:pPr>
            <w:r w:rsidRPr="00B14963">
              <w:rPr>
                <w:sz w:val="22"/>
                <w:szCs w:val="22"/>
                <w:lang w:eastAsia="ja-JP"/>
              </w:rPr>
              <w:t>hipertenzija, ortostatska hipotenzija, hipotenzija</w:t>
            </w:r>
            <w:r w:rsidRPr="00B14963">
              <w:rPr>
                <w:sz w:val="22"/>
                <w:szCs w:val="22"/>
                <w:vertAlign w:val="superscript"/>
                <w:lang w:eastAsia="ja-JP"/>
              </w:rPr>
              <w:t xml:space="preserve"> </w:t>
            </w:r>
          </w:p>
        </w:tc>
        <w:tc>
          <w:tcPr>
            <w:tcW w:w="1422" w:type="dxa"/>
            <w:shd w:val="clear" w:color="auto" w:fill="auto"/>
          </w:tcPr>
          <w:p w14:paraId="2A90724B" w14:textId="77777777" w:rsidR="00874EF0" w:rsidRPr="00B14963" w:rsidRDefault="00874EF0" w:rsidP="00874EF0">
            <w:pPr>
              <w:rPr>
                <w:sz w:val="22"/>
                <w:szCs w:val="22"/>
                <w:lang w:eastAsia="ja-JP"/>
              </w:rPr>
            </w:pPr>
          </w:p>
        </w:tc>
        <w:tc>
          <w:tcPr>
            <w:tcW w:w="1423" w:type="dxa"/>
            <w:shd w:val="clear" w:color="auto" w:fill="auto"/>
          </w:tcPr>
          <w:p w14:paraId="027D5DF3" w14:textId="77777777" w:rsidR="00874EF0" w:rsidRPr="00B14963" w:rsidRDefault="00874EF0" w:rsidP="00874EF0">
            <w:pPr>
              <w:rPr>
                <w:sz w:val="22"/>
                <w:szCs w:val="22"/>
                <w:lang w:eastAsia="ja-JP"/>
              </w:rPr>
            </w:pPr>
          </w:p>
        </w:tc>
        <w:tc>
          <w:tcPr>
            <w:tcW w:w="1423" w:type="dxa"/>
            <w:shd w:val="clear" w:color="auto" w:fill="auto"/>
          </w:tcPr>
          <w:p w14:paraId="1E89D752" w14:textId="77777777" w:rsidR="00874EF0" w:rsidRPr="00B14963" w:rsidRDefault="00874EF0" w:rsidP="00874EF0">
            <w:pPr>
              <w:rPr>
                <w:snapToGrid w:val="0"/>
                <w:sz w:val="22"/>
                <w:szCs w:val="22"/>
              </w:rPr>
            </w:pPr>
            <w:r w:rsidRPr="00B14963">
              <w:rPr>
                <w:snapToGrid w:val="0"/>
                <w:sz w:val="22"/>
                <w:szCs w:val="22"/>
              </w:rPr>
              <w:t>vaskulitis (predominantno kutani),</w:t>
            </w:r>
          </w:p>
          <w:p w14:paraId="2916266E" w14:textId="77777777" w:rsidR="00874EF0" w:rsidRPr="00B14963" w:rsidRDefault="00874EF0" w:rsidP="00874EF0">
            <w:pPr>
              <w:rPr>
                <w:sz w:val="22"/>
                <w:szCs w:val="22"/>
                <w:lang w:eastAsia="ja-JP"/>
              </w:rPr>
            </w:pPr>
            <w:r w:rsidRPr="00B14963">
              <w:rPr>
                <w:snapToGrid w:val="0"/>
                <w:sz w:val="22"/>
                <w:szCs w:val="22"/>
              </w:rPr>
              <w:t>leukocitoklastički vaskulitis</w:t>
            </w:r>
          </w:p>
        </w:tc>
        <w:tc>
          <w:tcPr>
            <w:tcW w:w="1423" w:type="dxa"/>
            <w:shd w:val="clear" w:color="auto" w:fill="auto"/>
          </w:tcPr>
          <w:p w14:paraId="51CD18EF" w14:textId="77777777" w:rsidR="00874EF0" w:rsidRPr="00B14963" w:rsidRDefault="00874EF0" w:rsidP="00874EF0">
            <w:pPr>
              <w:rPr>
                <w:sz w:val="22"/>
                <w:szCs w:val="22"/>
                <w:lang w:eastAsia="ja-JP"/>
              </w:rPr>
            </w:pPr>
          </w:p>
        </w:tc>
      </w:tr>
      <w:tr w:rsidR="00874EF0" w:rsidRPr="00B14963" w14:paraId="28C37828" w14:textId="77777777" w:rsidTr="00555704">
        <w:tc>
          <w:tcPr>
            <w:tcW w:w="1422" w:type="dxa"/>
            <w:shd w:val="clear" w:color="auto" w:fill="auto"/>
          </w:tcPr>
          <w:p w14:paraId="446507AF" w14:textId="77777777" w:rsidR="00874EF0" w:rsidRPr="00B14963" w:rsidRDefault="00874EF0" w:rsidP="00874EF0">
            <w:pPr>
              <w:rPr>
                <w:sz w:val="22"/>
                <w:szCs w:val="22"/>
                <w:lang w:eastAsia="ja-JP"/>
              </w:rPr>
            </w:pPr>
            <w:r w:rsidRPr="00B14963">
              <w:rPr>
                <w:b/>
                <w:sz w:val="22"/>
                <w:szCs w:val="22"/>
                <w:lang w:eastAsia="ja-JP"/>
              </w:rPr>
              <w:lastRenderedPageBreak/>
              <w:t xml:space="preserve">Respiratorni, torakalni i medijastinalni poremećaji </w:t>
            </w:r>
          </w:p>
        </w:tc>
        <w:tc>
          <w:tcPr>
            <w:tcW w:w="1422" w:type="dxa"/>
            <w:shd w:val="clear" w:color="auto" w:fill="auto"/>
          </w:tcPr>
          <w:p w14:paraId="72E4A933" w14:textId="77777777" w:rsidR="00874EF0" w:rsidRPr="00B14963" w:rsidRDefault="00874EF0" w:rsidP="00874EF0">
            <w:pPr>
              <w:rPr>
                <w:sz w:val="22"/>
                <w:szCs w:val="22"/>
                <w:lang w:eastAsia="ja-JP"/>
              </w:rPr>
            </w:pPr>
          </w:p>
        </w:tc>
        <w:tc>
          <w:tcPr>
            <w:tcW w:w="1422" w:type="dxa"/>
            <w:shd w:val="clear" w:color="auto" w:fill="auto"/>
          </w:tcPr>
          <w:p w14:paraId="493C078E" w14:textId="77777777" w:rsidR="00874EF0" w:rsidRPr="00B14963" w:rsidRDefault="00874EF0" w:rsidP="00874EF0">
            <w:pPr>
              <w:rPr>
                <w:sz w:val="22"/>
                <w:szCs w:val="22"/>
                <w:lang w:eastAsia="ja-JP"/>
              </w:rPr>
            </w:pPr>
            <w:r w:rsidRPr="00B14963">
              <w:rPr>
                <w:sz w:val="22"/>
                <w:szCs w:val="22"/>
                <w:lang w:eastAsia="ja-JP"/>
              </w:rPr>
              <w:t>bronhospazam</w:t>
            </w:r>
            <w:r w:rsidRPr="00B14963">
              <w:rPr>
                <w:snapToGrid w:val="0"/>
                <w:sz w:val="22"/>
                <w:szCs w:val="22"/>
                <w:vertAlign w:val="superscript"/>
              </w:rPr>
              <w:t>4</w:t>
            </w:r>
            <w:r w:rsidRPr="00B14963">
              <w:rPr>
                <w:sz w:val="22"/>
                <w:szCs w:val="22"/>
                <w:lang w:eastAsia="ja-JP"/>
              </w:rPr>
              <w:t>, respiratorni poremećaji, bol u grudima, dispneja, pojačan kašalj, rinitis</w:t>
            </w:r>
          </w:p>
        </w:tc>
        <w:tc>
          <w:tcPr>
            <w:tcW w:w="1422" w:type="dxa"/>
            <w:shd w:val="clear" w:color="auto" w:fill="auto"/>
          </w:tcPr>
          <w:p w14:paraId="1EFAC082" w14:textId="77777777" w:rsidR="00874EF0" w:rsidRPr="00B14963" w:rsidRDefault="00874EF0" w:rsidP="00874EF0">
            <w:pPr>
              <w:rPr>
                <w:sz w:val="22"/>
                <w:szCs w:val="22"/>
                <w:lang w:eastAsia="ja-JP"/>
              </w:rPr>
            </w:pPr>
            <w:r w:rsidRPr="00B14963">
              <w:rPr>
                <w:sz w:val="22"/>
                <w:szCs w:val="22"/>
                <w:lang w:eastAsia="ja-JP"/>
              </w:rPr>
              <w:t>astma, bronhiolitis obliterans, poremećaji pluća, hipoksija</w:t>
            </w:r>
          </w:p>
        </w:tc>
        <w:tc>
          <w:tcPr>
            <w:tcW w:w="1423" w:type="dxa"/>
            <w:shd w:val="clear" w:color="auto" w:fill="auto"/>
          </w:tcPr>
          <w:p w14:paraId="14B8009D" w14:textId="77777777" w:rsidR="00874EF0" w:rsidRPr="00B14963" w:rsidRDefault="00874EF0" w:rsidP="00760D3C">
            <w:pPr>
              <w:rPr>
                <w:sz w:val="22"/>
                <w:szCs w:val="22"/>
                <w:vertAlign w:val="superscript"/>
                <w:lang w:eastAsia="ja-JP"/>
              </w:rPr>
            </w:pPr>
            <w:r w:rsidRPr="00B14963">
              <w:rPr>
                <w:snapToGrid w:val="0"/>
                <w:sz w:val="22"/>
                <w:szCs w:val="22"/>
              </w:rPr>
              <w:t>intersticijalna bolest pluća</w:t>
            </w:r>
            <w:r w:rsidR="00760D3C" w:rsidRPr="00B14963">
              <w:rPr>
                <w:snapToGrid w:val="0"/>
                <w:sz w:val="22"/>
                <w:szCs w:val="22"/>
                <w:vertAlign w:val="superscript"/>
              </w:rPr>
              <w:t>8</w:t>
            </w:r>
          </w:p>
        </w:tc>
        <w:tc>
          <w:tcPr>
            <w:tcW w:w="1423" w:type="dxa"/>
            <w:shd w:val="clear" w:color="auto" w:fill="auto"/>
          </w:tcPr>
          <w:p w14:paraId="71FC4227" w14:textId="77777777" w:rsidR="00874EF0" w:rsidRPr="00B14963" w:rsidRDefault="00874EF0" w:rsidP="00874EF0">
            <w:pPr>
              <w:rPr>
                <w:snapToGrid w:val="0"/>
                <w:sz w:val="22"/>
                <w:szCs w:val="22"/>
              </w:rPr>
            </w:pPr>
            <w:r w:rsidRPr="00B14963">
              <w:rPr>
                <w:snapToGrid w:val="0"/>
                <w:sz w:val="22"/>
                <w:szCs w:val="22"/>
              </w:rPr>
              <w:t>respiratorni poremećaji</w:t>
            </w:r>
            <w:r w:rsidR="00760D3C" w:rsidRPr="00B14963">
              <w:rPr>
                <w:snapToGrid w:val="0"/>
                <w:sz w:val="22"/>
                <w:szCs w:val="22"/>
                <w:vertAlign w:val="superscript"/>
              </w:rPr>
              <w:t>5</w:t>
            </w:r>
          </w:p>
          <w:p w14:paraId="7582B811" w14:textId="77777777" w:rsidR="00874EF0" w:rsidRPr="00B14963" w:rsidRDefault="00874EF0" w:rsidP="00874EF0">
            <w:pPr>
              <w:rPr>
                <w:sz w:val="22"/>
                <w:szCs w:val="22"/>
                <w:lang w:eastAsia="ja-JP"/>
              </w:rPr>
            </w:pPr>
          </w:p>
        </w:tc>
        <w:tc>
          <w:tcPr>
            <w:tcW w:w="1423" w:type="dxa"/>
            <w:shd w:val="clear" w:color="auto" w:fill="auto"/>
          </w:tcPr>
          <w:p w14:paraId="32DC6594" w14:textId="77777777" w:rsidR="00874EF0" w:rsidRPr="00B14963" w:rsidRDefault="00874EF0" w:rsidP="00874EF0">
            <w:pPr>
              <w:rPr>
                <w:snapToGrid w:val="0"/>
                <w:sz w:val="22"/>
                <w:szCs w:val="22"/>
              </w:rPr>
            </w:pPr>
            <w:r w:rsidRPr="00B14963">
              <w:rPr>
                <w:snapToGrid w:val="0"/>
                <w:sz w:val="22"/>
                <w:szCs w:val="22"/>
              </w:rPr>
              <w:t>pulmonarni infiltrati</w:t>
            </w:r>
          </w:p>
          <w:p w14:paraId="4C31ACEA" w14:textId="77777777" w:rsidR="00874EF0" w:rsidRPr="00B14963" w:rsidRDefault="00874EF0" w:rsidP="00874EF0">
            <w:pPr>
              <w:rPr>
                <w:sz w:val="22"/>
                <w:szCs w:val="22"/>
                <w:lang w:eastAsia="ja-JP"/>
              </w:rPr>
            </w:pPr>
          </w:p>
        </w:tc>
      </w:tr>
      <w:tr w:rsidR="00874EF0" w:rsidRPr="00B14963" w14:paraId="73F9E631" w14:textId="77777777" w:rsidTr="00555704">
        <w:tc>
          <w:tcPr>
            <w:tcW w:w="1422" w:type="dxa"/>
            <w:shd w:val="clear" w:color="auto" w:fill="auto"/>
          </w:tcPr>
          <w:p w14:paraId="6DE566A1" w14:textId="77777777" w:rsidR="00874EF0" w:rsidRPr="00B14963" w:rsidRDefault="00874EF0" w:rsidP="00874EF0">
            <w:pPr>
              <w:rPr>
                <w:sz w:val="22"/>
                <w:szCs w:val="22"/>
                <w:lang w:eastAsia="ja-JP"/>
              </w:rPr>
            </w:pPr>
            <w:r w:rsidRPr="00B14963">
              <w:rPr>
                <w:b/>
                <w:sz w:val="22"/>
                <w:szCs w:val="22"/>
                <w:lang w:eastAsia="ja-JP"/>
              </w:rPr>
              <w:t>Gastrointestinalni poremećaji</w:t>
            </w:r>
          </w:p>
        </w:tc>
        <w:tc>
          <w:tcPr>
            <w:tcW w:w="1422" w:type="dxa"/>
            <w:shd w:val="clear" w:color="auto" w:fill="auto"/>
          </w:tcPr>
          <w:p w14:paraId="149F0F00" w14:textId="77777777" w:rsidR="00874EF0" w:rsidRPr="00B14963" w:rsidRDefault="00874EF0" w:rsidP="00874EF0">
            <w:pPr>
              <w:rPr>
                <w:sz w:val="22"/>
                <w:szCs w:val="22"/>
                <w:lang w:eastAsia="ja-JP"/>
              </w:rPr>
            </w:pPr>
            <w:r w:rsidRPr="00B14963">
              <w:rPr>
                <w:sz w:val="22"/>
                <w:szCs w:val="22"/>
                <w:lang w:eastAsia="ja-JP"/>
              </w:rPr>
              <w:t>mučnina</w:t>
            </w:r>
          </w:p>
        </w:tc>
        <w:tc>
          <w:tcPr>
            <w:tcW w:w="1422" w:type="dxa"/>
            <w:shd w:val="clear" w:color="auto" w:fill="auto"/>
          </w:tcPr>
          <w:p w14:paraId="350F24AE" w14:textId="77777777" w:rsidR="00874EF0" w:rsidRPr="00B14963" w:rsidRDefault="00874EF0" w:rsidP="00874EF0">
            <w:pPr>
              <w:rPr>
                <w:sz w:val="22"/>
                <w:szCs w:val="22"/>
                <w:lang w:eastAsia="ja-JP"/>
              </w:rPr>
            </w:pPr>
            <w:r w:rsidRPr="00B14963">
              <w:rPr>
                <w:sz w:val="22"/>
                <w:szCs w:val="22"/>
                <w:lang w:eastAsia="ja-JP"/>
              </w:rPr>
              <w:t>povraćanje, dijareja, bol u abdomenu, disfagija, stomatitis, opstipacija, dispepsija, anoreksija, iritacija grla</w:t>
            </w:r>
          </w:p>
        </w:tc>
        <w:tc>
          <w:tcPr>
            <w:tcW w:w="1422" w:type="dxa"/>
            <w:shd w:val="clear" w:color="auto" w:fill="auto"/>
          </w:tcPr>
          <w:p w14:paraId="20FEEB19" w14:textId="77777777" w:rsidR="00874EF0" w:rsidRPr="00B14963" w:rsidRDefault="00874EF0" w:rsidP="00874EF0">
            <w:pPr>
              <w:rPr>
                <w:sz w:val="22"/>
                <w:szCs w:val="22"/>
                <w:lang w:eastAsia="ja-JP"/>
              </w:rPr>
            </w:pPr>
            <w:r w:rsidRPr="00B14963">
              <w:rPr>
                <w:sz w:val="22"/>
                <w:szCs w:val="22"/>
                <w:lang w:eastAsia="ja-JP"/>
              </w:rPr>
              <w:t>povećanje abdomena</w:t>
            </w:r>
          </w:p>
        </w:tc>
        <w:tc>
          <w:tcPr>
            <w:tcW w:w="1423" w:type="dxa"/>
            <w:shd w:val="clear" w:color="auto" w:fill="auto"/>
          </w:tcPr>
          <w:p w14:paraId="6E8DE749" w14:textId="77777777" w:rsidR="00874EF0" w:rsidRPr="00B14963" w:rsidRDefault="00874EF0" w:rsidP="00874EF0">
            <w:pPr>
              <w:rPr>
                <w:sz w:val="22"/>
                <w:szCs w:val="22"/>
                <w:lang w:eastAsia="ja-JP"/>
              </w:rPr>
            </w:pPr>
          </w:p>
        </w:tc>
        <w:tc>
          <w:tcPr>
            <w:tcW w:w="1423" w:type="dxa"/>
            <w:shd w:val="clear" w:color="auto" w:fill="auto"/>
          </w:tcPr>
          <w:p w14:paraId="54EEC71E" w14:textId="77777777" w:rsidR="00874EF0" w:rsidRPr="00B14963" w:rsidRDefault="00874EF0" w:rsidP="00760D3C">
            <w:pPr>
              <w:rPr>
                <w:b/>
                <w:sz w:val="22"/>
                <w:szCs w:val="22"/>
                <w:lang w:eastAsia="ja-JP"/>
              </w:rPr>
            </w:pPr>
            <w:r w:rsidRPr="00B14963">
              <w:rPr>
                <w:snapToGrid w:val="0"/>
                <w:sz w:val="22"/>
                <w:szCs w:val="22"/>
              </w:rPr>
              <w:t>gastro-intestinalne perforacije</w:t>
            </w:r>
            <w:r w:rsidR="00760D3C" w:rsidRPr="00B14963">
              <w:rPr>
                <w:snapToGrid w:val="0"/>
                <w:sz w:val="22"/>
                <w:szCs w:val="22"/>
                <w:vertAlign w:val="superscript"/>
              </w:rPr>
              <w:t>8</w:t>
            </w:r>
          </w:p>
        </w:tc>
        <w:tc>
          <w:tcPr>
            <w:tcW w:w="1423" w:type="dxa"/>
            <w:shd w:val="clear" w:color="auto" w:fill="auto"/>
          </w:tcPr>
          <w:p w14:paraId="67599D71" w14:textId="77777777" w:rsidR="00874EF0" w:rsidRPr="00B14963" w:rsidRDefault="00874EF0" w:rsidP="00874EF0">
            <w:pPr>
              <w:rPr>
                <w:sz w:val="22"/>
                <w:szCs w:val="22"/>
                <w:lang w:eastAsia="ja-JP"/>
              </w:rPr>
            </w:pPr>
          </w:p>
        </w:tc>
      </w:tr>
      <w:tr w:rsidR="00874EF0" w:rsidRPr="00B14963" w14:paraId="0BD42EB9" w14:textId="77777777" w:rsidTr="00555704">
        <w:tc>
          <w:tcPr>
            <w:tcW w:w="1422" w:type="dxa"/>
            <w:shd w:val="clear" w:color="auto" w:fill="auto"/>
          </w:tcPr>
          <w:p w14:paraId="5500E674" w14:textId="77777777" w:rsidR="00874EF0" w:rsidRPr="00B14963" w:rsidRDefault="00874EF0" w:rsidP="00874EF0">
            <w:pPr>
              <w:rPr>
                <w:sz w:val="22"/>
                <w:szCs w:val="22"/>
                <w:lang w:eastAsia="ja-JP"/>
              </w:rPr>
            </w:pPr>
            <w:r w:rsidRPr="00B14963">
              <w:rPr>
                <w:b/>
                <w:sz w:val="22"/>
                <w:szCs w:val="22"/>
                <w:lang w:eastAsia="ja-JP"/>
              </w:rPr>
              <w:t xml:space="preserve">Poremećaji kože i potkožnog tkiva </w:t>
            </w:r>
          </w:p>
        </w:tc>
        <w:tc>
          <w:tcPr>
            <w:tcW w:w="1422" w:type="dxa"/>
            <w:shd w:val="clear" w:color="auto" w:fill="auto"/>
          </w:tcPr>
          <w:p w14:paraId="1E95C556" w14:textId="77777777" w:rsidR="00874EF0" w:rsidRPr="00B14963" w:rsidRDefault="00874EF0" w:rsidP="00874EF0">
            <w:pPr>
              <w:rPr>
                <w:sz w:val="22"/>
                <w:szCs w:val="22"/>
                <w:lang w:eastAsia="ja-JP"/>
              </w:rPr>
            </w:pPr>
            <w:r w:rsidRPr="00B14963">
              <w:rPr>
                <w:sz w:val="22"/>
                <w:szCs w:val="22"/>
                <w:lang w:eastAsia="ja-JP"/>
              </w:rPr>
              <w:t xml:space="preserve">svrab, raš, </w:t>
            </w:r>
            <w:r w:rsidRPr="00B14963">
              <w:rPr>
                <w:sz w:val="22"/>
                <w:szCs w:val="22"/>
                <w:vertAlign w:val="superscript"/>
                <w:lang w:eastAsia="ja-JP"/>
              </w:rPr>
              <w:t>+</w:t>
            </w:r>
            <w:r w:rsidRPr="00B14963">
              <w:rPr>
                <w:sz w:val="22"/>
                <w:szCs w:val="22"/>
                <w:lang w:eastAsia="ja-JP"/>
              </w:rPr>
              <w:t>alopecija</w:t>
            </w:r>
            <w:r w:rsidRPr="00B14963">
              <w:rPr>
                <w:sz w:val="22"/>
                <w:szCs w:val="22"/>
                <w:vertAlign w:val="superscript"/>
                <w:lang w:eastAsia="ja-JP"/>
              </w:rPr>
              <w:t xml:space="preserve"> </w:t>
            </w:r>
          </w:p>
        </w:tc>
        <w:tc>
          <w:tcPr>
            <w:tcW w:w="1422" w:type="dxa"/>
            <w:shd w:val="clear" w:color="auto" w:fill="auto"/>
          </w:tcPr>
          <w:p w14:paraId="72C03BDF" w14:textId="77777777" w:rsidR="00874EF0" w:rsidRPr="00B14963" w:rsidRDefault="00874EF0" w:rsidP="00874EF0">
            <w:pPr>
              <w:rPr>
                <w:sz w:val="22"/>
                <w:szCs w:val="22"/>
                <w:lang w:eastAsia="ja-JP"/>
              </w:rPr>
            </w:pPr>
            <w:r w:rsidRPr="00B14963">
              <w:rPr>
                <w:sz w:val="22"/>
                <w:szCs w:val="22"/>
                <w:lang w:eastAsia="ja-JP"/>
              </w:rPr>
              <w:t xml:space="preserve">urtikarija, znojenje, noćno znojenje, </w:t>
            </w:r>
            <w:r w:rsidRPr="00B14963">
              <w:rPr>
                <w:sz w:val="22"/>
                <w:szCs w:val="22"/>
                <w:vertAlign w:val="superscript"/>
                <w:lang w:eastAsia="ja-JP"/>
              </w:rPr>
              <w:t>+</w:t>
            </w:r>
            <w:r w:rsidRPr="00B14963">
              <w:rPr>
                <w:sz w:val="22"/>
                <w:szCs w:val="22"/>
                <w:lang w:eastAsia="ja-JP"/>
              </w:rPr>
              <w:t xml:space="preserve">poremećaji kože </w:t>
            </w:r>
          </w:p>
        </w:tc>
        <w:tc>
          <w:tcPr>
            <w:tcW w:w="1422" w:type="dxa"/>
            <w:shd w:val="clear" w:color="auto" w:fill="auto"/>
          </w:tcPr>
          <w:p w14:paraId="53C5CCBA" w14:textId="77777777" w:rsidR="00874EF0" w:rsidRPr="00B14963" w:rsidRDefault="00874EF0" w:rsidP="00874EF0">
            <w:pPr>
              <w:rPr>
                <w:sz w:val="22"/>
                <w:szCs w:val="22"/>
                <w:lang w:eastAsia="ja-JP"/>
              </w:rPr>
            </w:pPr>
          </w:p>
        </w:tc>
        <w:tc>
          <w:tcPr>
            <w:tcW w:w="1423" w:type="dxa"/>
            <w:shd w:val="clear" w:color="auto" w:fill="auto"/>
          </w:tcPr>
          <w:p w14:paraId="664BD901" w14:textId="77777777" w:rsidR="00874EF0" w:rsidRPr="00B14963" w:rsidRDefault="00874EF0" w:rsidP="00874EF0">
            <w:pPr>
              <w:rPr>
                <w:sz w:val="22"/>
                <w:szCs w:val="22"/>
                <w:lang w:eastAsia="ja-JP"/>
              </w:rPr>
            </w:pPr>
          </w:p>
        </w:tc>
        <w:tc>
          <w:tcPr>
            <w:tcW w:w="1423" w:type="dxa"/>
            <w:shd w:val="clear" w:color="auto" w:fill="auto"/>
          </w:tcPr>
          <w:p w14:paraId="06D0E89D" w14:textId="77777777" w:rsidR="00874EF0" w:rsidRPr="00B14963" w:rsidRDefault="00874EF0" w:rsidP="00874EF0">
            <w:pPr>
              <w:rPr>
                <w:snapToGrid w:val="0"/>
                <w:sz w:val="22"/>
                <w:szCs w:val="22"/>
              </w:rPr>
            </w:pPr>
            <w:r w:rsidRPr="00B14963">
              <w:rPr>
                <w:snapToGrid w:val="0"/>
                <w:sz w:val="22"/>
                <w:szCs w:val="22"/>
              </w:rPr>
              <w:t>teške bulozne kožne reakcije,</w:t>
            </w:r>
          </w:p>
          <w:p w14:paraId="17787C12" w14:textId="77777777" w:rsidR="00874EF0" w:rsidRPr="00B14963" w:rsidRDefault="00874EF0" w:rsidP="00874EF0">
            <w:pPr>
              <w:snapToGrid w:val="0"/>
              <w:outlineLvl w:val="0"/>
              <w:rPr>
                <w:snapToGrid w:val="0"/>
                <w:sz w:val="22"/>
                <w:szCs w:val="22"/>
              </w:rPr>
            </w:pPr>
            <w:r w:rsidRPr="00B14963">
              <w:rPr>
                <w:snapToGrid w:val="0"/>
                <w:sz w:val="22"/>
                <w:szCs w:val="22"/>
              </w:rPr>
              <w:t>Stevens-Johnsonov sindrom,</w:t>
            </w:r>
          </w:p>
          <w:p w14:paraId="043C7863" w14:textId="77777777" w:rsidR="00874EF0" w:rsidRPr="00B14963" w:rsidRDefault="00874EF0" w:rsidP="00760D3C">
            <w:pPr>
              <w:rPr>
                <w:sz w:val="22"/>
                <w:szCs w:val="22"/>
                <w:lang w:eastAsia="ja-JP"/>
              </w:rPr>
            </w:pPr>
            <w:r w:rsidRPr="00B14963">
              <w:rPr>
                <w:snapToGrid w:val="0"/>
                <w:sz w:val="22"/>
                <w:szCs w:val="22"/>
              </w:rPr>
              <w:t xml:space="preserve">toksična  epidermalna nekroliza </w:t>
            </w:r>
            <w:r w:rsidRPr="00B14963">
              <w:rPr>
                <w:sz w:val="18"/>
                <w:szCs w:val="18"/>
              </w:rPr>
              <w:t>(</w:t>
            </w:r>
            <w:r w:rsidRPr="00B14963">
              <w:rPr>
                <w:snapToGrid w:val="0"/>
                <w:sz w:val="22"/>
                <w:szCs w:val="22"/>
              </w:rPr>
              <w:t>Lyellov sindrom)</w:t>
            </w:r>
            <w:r w:rsidR="00760D3C" w:rsidRPr="00B14963">
              <w:rPr>
                <w:snapToGrid w:val="0"/>
                <w:sz w:val="22"/>
                <w:szCs w:val="22"/>
                <w:vertAlign w:val="superscript"/>
              </w:rPr>
              <w:t>8</w:t>
            </w:r>
          </w:p>
        </w:tc>
        <w:tc>
          <w:tcPr>
            <w:tcW w:w="1423" w:type="dxa"/>
            <w:shd w:val="clear" w:color="auto" w:fill="auto"/>
          </w:tcPr>
          <w:p w14:paraId="1EE32A22" w14:textId="77777777" w:rsidR="00874EF0" w:rsidRPr="00B14963" w:rsidRDefault="00874EF0" w:rsidP="00874EF0">
            <w:pPr>
              <w:rPr>
                <w:sz w:val="22"/>
                <w:szCs w:val="22"/>
                <w:lang w:eastAsia="ja-JP"/>
              </w:rPr>
            </w:pPr>
          </w:p>
        </w:tc>
      </w:tr>
      <w:tr w:rsidR="00874EF0" w:rsidRPr="00B14963" w14:paraId="7A5DB1C2" w14:textId="77777777" w:rsidTr="00555704">
        <w:tc>
          <w:tcPr>
            <w:tcW w:w="1422" w:type="dxa"/>
            <w:shd w:val="clear" w:color="auto" w:fill="auto"/>
          </w:tcPr>
          <w:p w14:paraId="661136E9" w14:textId="77777777" w:rsidR="00874EF0" w:rsidRPr="00B14963" w:rsidRDefault="00874EF0" w:rsidP="00874EF0">
            <w:pPr>
              <w:rPr>
                <w:sz w:val="22"/>
                <w:szCs w:val="22"/>
                <w:lang w:eastAsia="ja-JP"/>
              </w:rPr>
            </w:pPr>
            <w:r w:rsidRPr="00B14963">
              <w:rPr>
                <w:b/>
                <w:sz w:val="22"/>
                <w:szCs w:val="22"/>
                <w:lang w:eastAsia="ja-JP"/>
              </w:rPr>
              <w:t xml:space="preserve">Mišićno-skeletni poremećaji, poremećaji vezivnog tkiva i kostiju </w:t>
            </w:r>
          </w:p>
        </w:tc>
        <w:tc>
          <w:tcPr>
            <w:tcW w:w="1422" w:type="dxa"/>
            <w:shd w:val="clear" w:color="auto" w:fill="auto"/>
          </w:tcPr>
          <w:p w14:paraId="3D748254" w14:textId="77777777" w:rsidR="00874EF0" w:rsidRPr="00B14963" w:rsidRDefault="00874EF0" w:rsidP="00874EF0">
            <w:pPr>
              <w:rPr>
                <w:sz w:val="22"/>
                <w:szCs w:val="22"/>
                <w:lang w:eastAsia="ja-JP"/>
              </w:rPr>
            </w:pPr>
          </w:p>
        </w:tc>
        <w:tc>
          <w:tcPr>
            <w:tcW w:w="1422" w:type="dxa"/>
            <w:shd w:val="clear" w:color="auto" w:fill="auto"/>
          </w:tcPr>
          <w:p w14:paraId="39B8A9C2" w14:textId="77777777" w:rsidR="00874EF0" w:rsidRPr="00B14963" w:rsidRDefault="00874EF0" w:rsidP="00874EF0">
            <w:pPr>
              <w:rPr>
                <w:sz w:val="22"/>
                <w:szCs w:val="22"/>
                <w:lang w:eastAsia="ja-JP"/>
              </w:rPr>
            </w:pPr>
            <w:r w:rsidRPr="00B14963">
              <w:rPr>
                <w:sz w:val="22"/>
                <w:szCs w:val="22"/>
                <w:lang w:eastAsia="ja-JP"/>
              </w:rPr>
              <w:t>hipertonija, mialgija, artralgija, bol u leđima, bol u vratu, bol</w:t>
            </w:r>
          </w:p>
        </w:tc>
        <w:tc>
          <w:tcPr>
            <w:tcW w:w="1422" w:type="dxa"/>
            <w:shd w:val="clear" w:color="auto" w:fill="auto"/>
          </w:tcPr>
          <w:p w14:paraId="7C5537C3" w14:textId="77777777" w:rsidR="00874EF0" w:rsidRPr="00B14963" w:rsidRDefault="00874EF0" w:rsidP="00874EF0">
            <w:pPr>
              <w:rPr>
                <w:sz w:val="22"/>
                <w:szCs w:val="22"/>
                <w:lang w:eastAsia="ja-JP"/>
              </w:rPr>
            </w:pPr>
          </w:p>
        </w:tc>
        <w:tc>
          <w:tcPr>
            <w:tcW w:w="1423" w:type="dxa"/>
            <w:shd w:val="clear" w:color="auto" w:fill="auto"/>
          </w:tcPr>
          <w:p w14:paraId="6C492E32" w14:textId="77777777" w:rsidR="00874EF0" w:rsidRPr="00B14963" w:rsidRDefault="00874EF0" w:rsidP="00874EF0">
            <w:pPr>
              <w:rPr>
                <w:sz w:val="22"/>
                <w:szCs w:val="22"/>
                <w:lang w:eastAsia="ja-JP"/>
              </w:rPr>
            </w:pPr>
          </w:p>
        </w:tc>
        <w:tc>
          <w:tcPr>
            <w:tcW w:w="1423" w:type="dxa"/>
            <w:shd w:val="clear" w:color="auto" w:fill="auto"/>
          </w:tcPr>
          <w:p w14:paraId="4E7E25D4" w14:textId="77777777" w:rsidR="00874EF0" w:rsidRPr="00B14963" w:rsidRDefault="00874EF0" w:rsidP="00874EF0">
            <w:pPr>
              <w:rPr>
                <w:sz w:val="22"/>
                <w:szCs w:val="22"/>
                <w:lang w:eastAsia="ja-JP"/>
              </w:rPr>
            </w:pPr>
          </w:p>
        </w:tc>
        <w:tc>
          <w:tcPr>
            <w:tcW w:w="1423" w:type="dxa"/>
            <w:shd w:val="clear" w:color="auto" w:fill="auto"/>
          </w:tcPr>
          <w:p w14:paraId="587E24FC" w14:textId="77777777" w:rsidR="00874EF0" w:rsidRPr="00B14963" w:rsidRDefault="00874EF0" w:rsidP="00874EF0">
            <w:pPr>
              <w:rPr>
                <w:sz w:val="22"/>
                <w:szCs w:val="22"/>
                <w:lang w:eastAsia="ja-JP"/>
              </w:rPr>
            </w:pPr>
          </w:p>
        </w:tc>
      </w:tr>
      <w:tr w:rsidR="00874EF0" w:rsidRPr="00B14963" w14:paraId="449FC5A0" w14:textId="77777777" w:rsidTr="00555704">
        <w:tc>
          <w:tcPr>
            <w:tcW w:w="1422" w:type="dxa"/>
            <w:shd w:val="clear" w:color="auto" w:fill="auto"/>
          </w:tcPr>
          <w:p w14:paraId="777953FD" w14:textId="77777777" w:rsidR="00874EF0" w:rsidRPr="00B14963" w:rsidRDefault="00874EF0" w:rsidP="00874EF0">
            <w:pPr>
              <w:rPr>
                <w:sz w:val="22"/>
                <w:szCs w:val="22"/>
                <w:lang w:eastAsia="ja-JP"/>
              </w:rPr>
            </w:pPr>
            <w:r w:rsidRPr="00B14963">
              <w:rPr>
                <w:b/>
                <w:sz w:val="22"/>
                <w:szCs w:val="22"/>
                <w:lang w:eastAsia="ja-JP"/>
              </w:rPr>
              <w:t xml:space="preserve">Poremećaji bubrega i urinarnog sistema </w:t>
            </w:r>
          </w:p>
        </w:tc>
        <w:tc>
          <w:tcPr>
            <w:tcW w:w="1422" w:type="dxa"/>
            <w:shd w:val="clear" w:color="auto" w:fill="auto"/>
          </w:tcPr>
          <w:p w14:paraId="0497FC23" w14:textId="77777777" w:rsidR="00874EF0" w:rsidRPr="00B14963" w:rsidRDefault="00874EF0" w:rsidP="00874EF0">
            <w:pPr>
              <w:rPr>
                <w:sz w:val="22"/>
                <w:szCs w:val="22"/>
                <w:lang w:eastAsia="ja-JP"/>
              </w:rPr>
            </w:pPr>
          </w:p>
        </w:tc>
        <w:tc>
          <w:tcPr>
            <w:tcW w:w="1422" w:type="dxa"/>
            <w:shd w:val="clear" w:color="auto" w:fill="auto"/>
          </w:tcPr>
          <w:p w14:paraId="55B07B7E" w14:textId="77777777" w:rsidR="00874EF0" w:rsidRPr="00B14963" w:rsidRDefault="00874EF0" w:rsidP="00874EF0">
            <w:pPr>
              <w:rPr>
                <w:sz w:val="22"/>
                <w:szCs w:val="22"/>
                <w:lang w:eastAsia="ja-JP"/>
              </w:rPr>
            </w:pPr>
          </w:p>
        </w:tc>
        <w:tc>
          <w:tcPr>
            <w:tcW w:w="1422" w:type="dxa"/>
            <w:shd w:val="clear" w:color="auto" w:fill="auto"/>
          </w:tcPr>
          <w:p w14:paraId="6E7E7420" w14:textId="77777777" w:rsidR="00874EF0" w:rsidRPr="00B14963" w:rsidRDefault="00874EF0" w:rsidP="00874EF0">
            <w:pPr>
              <w:rPr>
                <w:sz w:val="22"/>
                <w:szCs w:val="22"/>
                <w:lang w:eastAsia="ja-JP"/>
              </w:rPr>
            </w:pPr>
          </w:p>
        </w:tc>
        <w:tc>
          <w:tcPr>
            <w:tcW w:w="1423" w:type="dxa"/>
            <w:shd w:val="clear" w:color="auto" w:fill="auto"/>
          </w:tcPr>
          <w:p w14:paraId="0439EA49" w14:textId="77777777" w:rsidR="00874EF0" w:rsidRPr="00B14963" w:rsidRDefault="00874EF0" w:rsidP="00874EF0">
            <w:pPr>
              <w:rPr>
                <w:sz w:val="22"/>
                <w:szCs w:val="22"/>
                <w:lang w:eastAsia="ja-JP"/>
              </w:rPr>
            </w:pPr>
          </w:p>
        </w:tc>
        <w:tc>
          <w:tcPr>
            <w:tcW w:w="1423" w:type="dxa"/>
            <w:shd w:val="clear" w:color="auto" w:fill="auto"/>
          </w:tcPr>
          <w:p w14:paraId="3CDDB355" w14:textId="77777777" w:rsidR="00874EF0" w:rsidRPr="00B14963" w:rsidRDefault="00874EF0" w:rsidP="00760D3C">
            <w:pPr>
              <w:rPr>
                <w:sz w:val="22"/>
                <w:szCs w:val="22"/>
                <w:lang w:eastAsia="ja-JP"/>
              </w:rPr>
            </w:pPr>
            <w:r w:rsidRPr="00B14963">
              <w:rPr>
                <w:snapToGrid w:val="0"/>
                <w:sz w:val="22"/>
                <w:szCs w:val="22"/>
              </w:rPr>
              <w:t>bubrežna insuficijencija</w:t>
            </w:r>
            <w:r w:rsidR="00760D3C" w:rsidRPr="00B14963">
              <w:rPr>
                <w:snapToGrid w:val="0"/>
                <w:sz w:val="22"/>
                <w:szCs w:val="22"/>
                <w:vertAlign w:val="superscript"/>
              </w:rPr>
              <w:t>5</w:t>
            </w:r>
          </w:p>
        </w:tc>
        <w:tc>
          <w:tcPr>
            <w:tcW w:w="1423" w:type="dxa"/>
            <w:shd w:val="clear" w:color="auto" w:fill="auto"/>
          </w:tcPr>
          <w:p w14:paraId="2035A24A" w14:textId="77777777" w:rsidR="00874EF0" w:rsidRPr="00B14963" w:rsidRDefault="00874EF0" w:rsidP="00874EF0">
            <w:pPr>
              <w:rPr>
                <w:sz w:val="22"/>
                <w:szCs w:val="22"/>
                <w:lang w:eastAsia="ja-JP"/>
              </w:rPr>
            </w:pPr>
          </w:p>
        </w:tc>
      </w:tr>
      <w:tr w:rsidR="00874EF0" w:rsidRPr="00B14963" w14:paraId="1A3BC5AD" w14:textId="77777777" w:rsidTr="00555704">
        <w:tc>
          <w:tcPr>
            <w:tcW w:w="1422" w:type="dxa"/>
            <w:shd w:val="clear" w:color="auto" w:fill="auto"/>
          </w:tcPr>
          <w:p w14:paraId="406D75AC" w14:textId="77777777" w:rsidR="00874EF0" w:rsidRPr="00B14963" w:rsidRDefault="00874EF0" w:rsidP="00874EF0">
            <w:pPr>
              <w:rPr>
                <w:b/>
                <w:sz w:val="22"/>
                <w:szCs w:val="22"/>
                <w:lang w:eastAsia="ja-JP"/>
              </w:rPr>
            </w:pPr>
            <w:r w:rsidRPr="00B14963">
              <w:rPr>
                <w:b/>
                <w:sz w:val="22"/>
                <w:szCs w:val="22"/>
                <w:lang w:eastAsia="ja-JP"/>
              </w:rPr>
              <w:t>Opšti poremećaji i poremećaji na mjestu primjene</w:t>
            </w:r>
          </w:p>
          <w:p w14:paraId="42482C90" w14:textId="77777777" w:rsidR="00874EF0" w:rsidRPr="00B14963" w:rsidRDefault="00874EF0" w:rsidP="00874EF0">
            <w:pPr>
              <w:rPr>
                <w:b/>
                <w:sz w:val="22"/>
                <w:szCs w:val="22"/>
                <w:lang w:eastAsia="ja-JP"/>
              </w:rPr>
            </w:pPr>
          </w:p>
          <w:p w14:paraId="65E26B6C" w14:textId="77777777" w:rsidR="00874EF0" w:rsidRPr="00B14963" w:rsidRDefault="00874EF0" w:rsidP="00874EF0">
            <w:pPr>
              <w:rPr>
                <w:b/>
                <w:sz w:val="22"/>
                <w:szCs w:val="22"/>
                <w:lang w:eastAsia="ja-JP"/>
              </w:rPr>
            </w:pPr>
          </w:p>
        </w:tc>
        <w:tc>
          <w:tcPr>
            <w:tcW w:w="1422" w:type="dxa"/>
            <w:shd w:val="clear" w:color="auto" w:fill="auto"/>
          </w:tcPr>
          <w:p w14:paraId="3A4009A4" w14:textId="77777777" w:rsidR="00874EF0" w:rsidRPr="00B14963" w:rsidRDefault="00874EF0" w:rsidP="00874EF0">
            <w:pPr>
              <w:rPr>
                <w:sz w:val="22"/>
                <w:szCs w:val="22"/>
                <w:lang w:eastAsia="ja-JP"/>
              </w:rPr>
            </w:pPr>
            <w:r w:rsidRPr="00B14963">
              <w:rPr>
                <w:sz w:val="22"/>
                <w:szCs w:val="22"/>
                <w:lang w:eastAsia="ja-JP"/>
              </w:rPr>
              <w:t>groznica, drhtavica, astenija, glavobolja</w:t>
            </w:r>
          </w:p>
        </w:tc>
        <w:tc>
          <w:tcPr>
            <w:tcW w:w="1422" w:type="dxa"/>
            <w:shd w:val="clear" w:color="auto" w:fill="auto"/>
          </w:tcPr>
          <w:p w14:paraId="45BEB8A3" w14:textId="77777777" w:rsidR="00874EF0" w:rsidRPr="00B14963" w:rsidRDefault="00874EF0" w:rsidP="00874EF0">
            <w:pPr>
              <w:autoSpaceDE w:val="0"/>
              <w:autoSpaceDN w:val="0"/>
              <w:adjustRightInd w:val="0"/>
              <w:rPr>
                <w:sz w:val="22"/>
                <w:szCs w:val="22"/>
                <w:lang w:eastAsia="ja-JP"/>
              </w:rPr>
            </w:pPr>
            <w:r w:rsidRPr="00B14963">
              <w:rPr>
                <w:sz w:val="22"/>
                <w:szCs w:val="22"/>
                <w:lang w:eastAsia="ja-JP"/>
              </w:rPr>
              <w:t xml:space="preserve">bol u predjelu tumora, navale vrućine, </w:t>
            </w:r>
            <w:r w:rsidR="00555704" w:rsidRPr="00B14963">
              <w:rPr>
                <w:sz w:val="22"/>
                <w:szCs w:val="22"/>
                <w:lang w:eastAsia="ja-JP"/>
              </w:rPr>
              <w:t>malaksalost</w:t>
            </w:r>
            <w:r w:rsidRPr="00B14963">
              <w:rPr>
                <w:sz w:val="22"/>
                <w:szCs w:val="22"/>
                <w:lang w:eastAsia="ja-JP"/>
              </w:rPr>
              <w:t xml:space="preserve">, sindrom prehlade, </w:t>
            </w:r>
            <w:r w:rsidRPr="00B14963">
              <w:rPr>
                <w:sz w:val="22"/>
                <w:szCs w:val="22"/>
              </w:rPr>
              <w:t>+</w:t>
            </w:r>
            <w:r w:rsidRPr="00B14963">
              <w:rPr>
                <w:sz w:val="22"/>
                <w:szCs w:val="22"/>
                <w:lang w:eastAsia="ja-JP"/>
              </w:rPr>
              <w:t>umor, +drhtavica,</w:t>
            </w:r>
          </w:p>
          <w:p w14:paraId="40BE19CF" w14:textId="77777777" w:rsidR="00874EF0" w:rsidRPr="00B14963" w:rsidRDefault="00874EF0" w:rsidP="00874EF0">
            <w:pPr>
              <w:autoSpaceDE w:val="0"/>
              <w:autoSpaceDN w:val="0"/>
              <w:adjustRightInd w:val="0"/>
              <w:rPr>
                <w:sz w:val="22"/>
                <w:szCs w:val="22"/>
                <w:lang w:eastAsia="ja-JP"/>
              </w:rPr>
            </w:pPr>
            <w:r w:rsidRPr="00B14963">
              <w:rPr>
                <w:sz w:val="22"/>
                <w:szCs w:val="22"/>
                <w:lang w:eastAsia="ja-JP"/>
              </w:rPr>
              <w:t>+poremećaj više</w:t>
            </w:r>
          </w:p>
          <w:p w14:paraId="57F0F6CF" w14:textId="77777777" w:rsidR="00874EF0" w:rsidRPr="00B14963" w:rsidRDefault="00874EF0" w:rsidP="00760D3C">
            <w:pPr>
              <w:rPr>
                <w:sz w:val="22"/>
                <w:szCs w:val="22"/>
                <w:vertAlign w:val="superscript"/>
                <w:lang w:eastAsia="ja-JP"/>
              </w:rPr>
            </w:pPr>
            <w:r w:rsidRPr="00B14963">
              <w:rPr>
                <w:sz w:val="22"/>
                <w:szCs w:val="22"/>
                <w:lang w:eastAsia="ja-JP"/>
              </w:rPr>
              <w:t>organa</w:t>
            </w:r>
            <w:r w:rsidR="00760D3C" w:rsidRPr="00B14963">
              <w:rPr>
                <w:sz w:val="22"/>
                <w:szCs w:val="22"/>
                <w:vertAlign w:val="superscript"/>
                <w:lang w:eastAsia="ja-JP"/>
              </w:rPr>
              <w:t>5</w:t>
            </w:r>
          </w:p>
        </w:tc>
        <w:tc>
          <w:tcPr>
            <w:tcW w:w="1422" w:type="dxa"/>
            <w:shd w:val="clear" w:color="auto" w:fill="auto"/>
          </w:tcPr>
          <w:p w14:paraId="52395085" w14:textId="77777777" w:rsidR="00874EF0" w:rsidRPr="00B14963" w:rsidRDefault="00874EF0" w:rsidP="00874EF0">
            <w:pPr>
              <w:rPr>
                <w:sz w:val="22"/>
                <w:szCs w:val="22"/>
                <w:lang w:eastAsia="ja-JP"/>
              </w:rPr>
            </w:pPr>
            <w:r w:rsidRPr="00B14963">
              <w:rPr>
                <w:sz w:val="22"/>
                <w:szCs w:val="22"/>
                <w:lang w:eastAsia="ja-JP"/>
              </w:rPr>
              <w:t>bol na mjestu infuzije</w:t>
            </w:r>
          </w:p>
        </w:tc>
        <w:tc>
          <w:tcPr>
            <w:tcW w:w="1423" w:type="dxa"/>
            <w:shd w:val="clear" w:color="auto" w:fill="auto"/>
          </w:tcPr>
          <w:p w14:paraId="7BD2D8AD" w14:textId="77777777" w:rsidR="00874EF0" w:rsidRPr="00B14963" w:rsidRDefault="00874EF0" w:rsidP="00874EF0">
            <w:pPr>
              <w:rPr>
                <w:sz w:val="22"/>
                <w:szCs w:val="22"/>
                <w:lang w:eastAsia="ja-JP"/>
              </w:rPr>
            </w:pPr>
          </w:p>
        </w:tc>
        <w:tc>
          <w:tcPr>
            <w:tcW w:w="1423" w:type="dxa"/>
            <w:shd w:val="clear" w:color="auto" w:fill="auto"/>
          </w:tcPr>
          <w:p w14:paraId="62CF674C" w14:textId="77777777" w:rsidR="00874EF0" w:rsidRPr="00B14963" w:rsidRDefault="00874EF0" w:rsidP="00874EF0">
            <w:pPr>
              <w:rPr>
                <w:snapToGrid w:val="0"/>
                <w:sz w:val="22"/>
                <w:szCs w:val="22"/>
              </w:rPr>
            </w:pPr>
          </w:p>
        </w:tc>
        <w:tc>
          <w:tcPr>
            <w:tcW w:w="1423" w:type="dxa"/>
            <w:shd w:val="clear" w:color="auto" w:fill="auto"/>
          </w:tcPr>
          <w:p w14:paraId="49BAB197" w14:textId="77777777" w:rsidR="00874EF0" w:rsidRPr="00B14963" w:rsidRDefault="00874EF0" w:rsidP="00874EF0">
            <w:pPr>
              <w:rPr>
                <w:sz w:val="22"/>
                <w:szCs w:val="22"/>
                <w:lang w:eastAsia="ja-JP"/>
              </w:rPr>
            </w:pPr>
          </w:p>
        </w:tc>
      </w:tr>
      <w:tr w:rsidR="00874EF0" w:rsidRPr="00B14963" w14:paraId="3A19951C" w14:textId="77777777" w:rsidTr="00555704">
        <w:tc>
          <w:tcPr>
            <w:tcW w:w="1422" w:type="dxa"/>
            <w:shd w:val="clear" w:color="auto" w:fill="auto"/>
          </w:tcPr>
          <w:p w14:paraId="021B2CD5" w14:textId="77777777" w:rsidR="00874EF0" w:rsidRPr="00B14963" w:rsidRDefault="00874EF0" w:rsidP="00874EF0">
            <w:pPr>
              <w:rPr>
                <w:sz w:val="22"/>
                <w:szCs w:val="22"/>
                <w:lang w:eastAsia="ja-JP"/>
              </w:rPr>
            </w:pPr>
            <w:r w:rsidRPr="00B14963">
              <w:rPr>
                <w:b/>
                <w:sz w:val="22"/>
                <w:szCs w:val="22"/>
                <w:lang w:eastAsia="ja-JP"/>
              </w:rPr>
              <w:lastRenderedPageBreak/>
              <w:t>Nalazi</w:t>
            </w:r>
          </w:p>
        </w:tc>
        <w:tc>
          <w:tcPr>
            <w:tcW w:w="1422" w:type="dxa"/>
            <w:shd w:val="clear" w:color="auto" w:fill="auto"/>
          </w:tcPr>
          <w:p w14:paraId="67939695" w14:textId="77777777" w:rsidR="00874EF0" w:rsidRPr="00B14963" w:rsidRDefault="00874EF0" w:rsidP="00874EF0">
            <w:pPr>
              <w:rPr>
                <w:sz w:val="22"/>
                <w:szCs w:val="22"/>
                <w:lang w:eastAsia="ja-JP"/>
              </w:rPr>
            </w:pPr>
            <w:r w:rsidRPr="00B14963">
              <w:rPr>
                <w:sz w:val="22"/>
                <w:szCs w:val="22"/>
                <w:lang w:eastAsia="ja-JP"/>
              </w:rPr>
              <w:t>smanjenje nivoa IgG</w:t>
            </w:r>
          </w:p>
        </w:tc>
        <w:tc>
          <w:tcPr>
            <w:tcW w:w="1422" w:type="dxa"/>
            <w:shd w:val="clear" w:color="auto" w:fill="auto"/>
          </w:tcPr>
          <w:p w14:paraId="2404BC9B" w14:textId="77777777" w:rsidR="00874EF0" w:rsidRPr="00B14963" w:rsidRDefault="00874EF0" w:rsidP="00874EF0">
            <w:pPr>
              <w:rPr>
                <w:sz w:val="22"/>
                <w:szCs w:val="22"/>
                <w:lang w:eastAsia="ja-JP"/>
              </w:rPr>
            </w:pPr>
          </w:p>
        </w:tc>
        <w:tc>
          <w:tcPr>
            <w:tcW w:w="1422" w:type="dxa"/>
            <w:shd w:val="clear" w:color="auto" w:fill="auto"/>
          </w:tcPr>
          <w:p w14:paraId="64C4550E" w14:textId="77777777" w:rsidR="00874EF0" w:rsidRPr="00B14963" w:rsidRDefault="00874EF0" w:rsidP="00874EF0">
            <w:pPr>
              <w:rPr>
                <w:sz w:val="22"/>
                <w:szCs w:val="22"/>
                <w:lang w:eastAsia="ja-JP"/>
              </w:rPr>
            </w:pPr>
          </w:p>
        </w:tc>
        <w:tc>
          <w:tcPr>
            <w:tcW w:w="1423" w:type="dxa"/>
            <w:shd w:val="clear" w:color="auto" w:fill="auto"/>
          </w:tcPr>
          <w:p w14:paraId="5AFFF69E" w14:textId="77777777" w:rsidR="00874EF0" w:rsidRPr="00B14963" w:rsidRDefault="00874EF0" w:rsidP="00874EF0">
            <w:pPr>
              <w:rPr>
                <w:sz w:val="22"/>
                <w:szCs w:val="22"/>
                <w:lang w:eastAsia="ja-JP"/>
              </w:rPr>
            </w:pPr>
          </w:p>
        </w:tc>
        <w:tc>
          <w:tcPr>
            <w:tcW w:w="1423" w:type="dxa"/>
            <w:shd w:val="clear" w:color="auto" w:fill="auto"/>
          </w:tcPr>
          <w:p w14:paraId="28A4E0E5" w14:textId="77777777" w:rsidR="00874EF0" w:rsidRPr="00B14963" w:rsidRDefault="00874EF0" w:rsidP="00874EF0">
            <w:pPr>
              <w:rPr>
                <w:sz w:val="22"/>
                <w:szCs w:val="22"/>
                <w:lang w:eastAsia="ja-JP"/>
              </w:rPr>
            </w:pPr>
          </w:p>
        </w:tc>
        <w:tc>
          <w:tcPr>
            <w:tcW w:w="1423" w:type="dxa"/>
            <w:shd w:val="clear" w:color="auto" w:fill="auto"/>
          </w:tcPr>
          <w:p w14:paraId="58546E55" w14:textId="77777777" w:rsidR="00874EF0" w:rsidRPr="00B14963" w:rsidRDefault="00874EF0" w:rsidP="00874EF0">
            <w:pPr>
              <w:rPr>
                <w:sz w:val="22"/>
                <w:szCs w:val="22"/>
                <w:lang w:eastAsia="ja-JP"/>
              </w:rPr>
            </w:pPr>
          </w:p>
        </w:tc>
      </w:tr>
      <w:tr w:rsidR="00874EF0" w:rsidRPr="00B14963" w14:paraId="504D018F" w14:textId="77777777" w:rsidTr="00555704">
        <w:tc>
          <w:tcPr>
            <w:tcW w:w="9957" w:type="dxa"/>
            <w:gridSpan w:val="7"/>
            <w:shd w:val="clear" w:color="auto" w:fill="auto"/>
          </w:tcPr>
          <w:p w14:paraId="027A3209" w14:textId="77777777" w:rsidR="00874EF0" w:rsidRPr="00B14963" w:rsidRDefault="00874EF0" w:rsidP="00874EF0">
            <w:pPr>
              <w:keepNext/>
              <w:jc w:val="both"/>
              <w:rPr>
                <w:sz w:val="18"/>
                <w:lang w:eastAsia="ja-JP"/>
              </w:rPr>
            </w:pPr>
            <w:r w:rsidRPr="00B14963">
              <w:rPr>
                <w:sz w:val="18"/>
                <w:lang w:eastAsia="ja-JP"/>
              </w:rPr>
              <w:t>Za svaku neželjenu reakciju, navedena učestalost neželjene reakcije zasnovana je na reakcijama svih stepena ozbiljnosti (od blagog do ozbiljnog), osim kod neželjenih reakcija označenih sa "+", gdje je učestalost zasnovana samo na ozbiljnim (≥ stepena 3 NCI uobičajenih kriterijuma toksičnosti) reakcijama. Jedino je najviša učestalost primijećena u studijama prijavljena</w:t>
            </w:r>
          </w:p>
          <w:p w14:paraId="24DE3519" w14:textId="77777777" w:rsidR="00874EF0" w:rsidRPr="00B14963" w:rsidRDefault="00874EF0" w:rsidP="00874EF0">
            <w:pPr>
              <w:pStyle w:val="TextTi10"/>
              <w:jc w:val="both"/>
              <w:outlineLvl w:val="0"/>
              <w:rPr>
                <w:sz w:val="18"/>
              </w:rPr>
            </w:pPr>
            <w:r w:rsidRPr="00B14963">
              <w:rPr>
                <w:sz w:val="18"/>
                <w:vertAlign w:val="superscript"/>
              </w:rPr>
              <w:t>1</w:t>
            </w:r>
            <w:r w:rsidRPr="00B14963">
              <w:rPr>
                <w:sz w:val="18"/>
              </w:rPr>
              <w:t xml:space="preserve"> </w:t>
            </w:r>
            <w:r w:rsidRPr="00B14963">
              <w:rPr>
                <w:rFonts w:eastAsia="Times New Roman"/>
                <w:sz w:val="18"/>
              </w:rPr>
              <w:t>uključuje reaktivaciju i primarne infekcije; učestalost se zasniva na R</w:t>
            </w:r>
            <w:r w:rsidRPr="00B14963">
              <w:rPr>
                <w:rFonts w:eastAsia="Times New Roman"/>
                <w:sz w:val="18"/>
              </w:rPr>
              <w:noBreakHyphen/>
              <w:t>FC režimu u relapsirajućem/refraktornom HLL</w:t>
            </w:r>
            <w:r w:rsidRPr="00B14963">
              <w:rPr>
                <w:rFonts w:eastAsia="Times New Roman"/>
                <w:sz w:val="18"/>
              </w:rPr>
              <w:noBreakHyphen/>
              <w:t>u</w:t>
            </w:r>
          </w:p>
          <w:p w14:paraId="7BA7D1E7" w14:textId="77777777" w:rsidR="00874EF0" w:rsidRPr="00B14963" w:rsidRDefault="00874EF0" w:rsidP="00874EF0">
            <w:pPr>
              <w:keepNext/>
              <w:jc w:val="both"/>
              <w:rPr>
                <w:sz w:val="18"/>
                <w:lang w:eastAsia="ja-JP"/>
              </w:rPr>
            </w:pPr>
            <w:r w:rsidRPr="00B14963">
              <w:rPr>
                <w:sz w:val="18"/>
                <w:vertAlign w:val="superscript"/>
                <w:lang w:eastAsia="ja-JP"/>
              </w:rPr>
              <w:t>2</w:t>
            </w:r>
            <w:r w:rsidRPr="00B14963">
              <w:rPr>
                <w:sz w:val="18"/>
                <w:lang w:eastAsia="ja-JP"/>
              </w:rPr>
              <w:t xml:space="preserve"> vidjeti takođe dio </w:t>
            </w:r>
            <w:r w:rsidRPr="00B14963">
              <w:rPr>
                <w:i/>
                <w:sz w:val="18"/>
                <w:lang w:eastAsia="ja-JP"/>
              </w:rPr>
              <w:t>Infekcije</w:t>
            </w:r>
            <w:r w:rsidRPr="00B14963">
              <w:rPr>
                <w:sz w:val="18"/>
                <w:lang w:eastAsia="ja-JP"/>
              </w:rPr>
              <w:t xml:space="preserve"> dalje u tekstu   </w:t>
            </w:r>
          </w:p>
          <w:p w14:paraId="702C893F" w14:textId="77777777" w:rsidR="00760D3C" w:rsidRPr="00B14963" w:rsidRDefault="00874EF0" w:rsidP="00874EF0">
            <w:pPr>
              <w:keepNext/>
              <w:jc w:val="both"/>
              <w:rPr>
                <w:sz w:val="18"/>
                <w:lang w:eastAsia="ja-JP"/>
              </w:rPr>
            </w:pPr>
            <w:r w:rsidRPr="00B14963">
              <w:rPr>
                <w:sz w:val="18"/>
                <w:vertAlign w:val="superscript"/>
                <w:lang w:eastAsia="ja-JP"/>
              </w:rPr>
              <w:t>3</w:t>
            </w:r>
            <w:r w:rsidR="00760D3C" w:rsidRPr="00B14963">
              <w:rPr>
                <w:sz w:val="18"/>
                <w:vertAlign w:val="superscript"/>
                <w:lang w:eastAsia="ja-JP"/>
              </w:rPr>
              <w:t xml:space="preserve"> </w:t>
            </w:r>
            <w:r w:rsidR="00760D3C" w:rsidRPr="00B14963">
              <w:rPr>
                <w:sz w:val="18"/>
                <w:lang w:eastAsia="ja-JP"/>
              </w:rPr>
              <w:t>primijećeno tokom praćenja lijeka nakon stavljanja lijeka u promet</w:t>
            </w:r>
          </w:p>
          <w:p w14:paraId="779A1950" w14:textId="77777777" w:rsidR="00874EF0" w:rsidRPr="00B14963" w:rsidRDefault="00760D3C" w:rsidP="00874EF0">
            <w:pPr>
              <w:keepNext/>
              <w:jc w:val="both"/>
              <w:rPr>
                <w:sz w:val="18"/>
                <w:lang w:eastAsia="ja-JP"/>
              </w:rPr>
            </w:pPr>
            <w:r w:rsidRPr="00B14963">
              <w:rPr>
                <w:sz w:val="18"/>
                <w:vertAlign w:val="superscript"/>
                <w:lang w:eastAsia="ja-JP"/>
              </w:rPr>
              <w:t>4</w:t>
            </w:r>
            <w:r w:rsidR="00874EF0" w:rsidRPr="00B14963">
              <w:rPr>
                <w:sz w:val="18"/>
                <w:lang w:eastAsia="ja-JP"/>
              </w:rPr>
              <w:t xml:space="preserve"> vidjeti takođe dio </w:t>
            </w:r>
            <w:r w:rsidR="00874EF0" w:rsidRPr="00B14963">
              <w:rPr>
                <w:i/>
                <w:sz w:val="18"/>
                <w:lang w:eastAsia="ja-JP"/>
              </w:rPr>
              <w:t>Hematološke neželjene reakcije</w:t>
            </w:r>
            <w:r w:rsidR="00874EF0" w:rsidRPr="00B14963">
              <w:rPr>
                <w:sz w:val="18"/>
                <w:lang w:eastAsia="ja-JP"/>
              </w:rPr>
              <w:t xml:space="preserve"> dalje u tekstu</w:t>
            </w:r>
          </w:p>
          <w:p w14:paraId="6DCA13C3" w14:textId="77777777" w:rsidR="00874EF0" w:rsidRPr="00B14963" w:rsidRDefault="00760D3C" w:rsidP="00874EF0">
            <w:pPr>
              <w:keepNext/>
              <w:jc w:val="both"/>
              <w:rPr>
                <w:sz w:val="18"/>
                <w:lang w:eastAsia="ja-JP"/>
              </w:rPr>
            </w:pPr>
            <w:r w:rsidRPr="00B14963">
              <w:rPr>
                <w:sz w:val="18"/>
                <w:vertAlign w:val="superscript"/>
                <w:lang w:eastAsia="ja-JP"/>
              </w:rPr>
              <w:t>5</w:t>
            </w:r>
            <w:r w:rsidR="00874EF0" w:rsidRPr="00B14963">
              <w:rPr>
                <w:sz w:val="18"/>
                <w:lang w:eastAsia="ja-JP"/>
              </w:rPr>
              <w:t xml:space="preserve"> vidjeti takođe dio </w:t>
            </w:r>
            <w:r w:rsidR="00874EF0" w:rsidRPr="00B14963">
              <w:rPr>
                <w:i/>
                <w:sz w:val="18"/>
                <w:lang w:eastAsia="ja-JP"/>
              </w:rPr>
              <w:t>Reakcije na infuziju</w:t>
            </w:r>
            <w:r w:rsidR="00874EF0" w:rsidRPr="00B14963">
              <w:rPr>
                <w:sz w:val="18"/>
                <w:lang w:eastAsia="ja-JP"/>
              </w:rPr>
              <w:t xml:space="preserve"> dalje u tekstu. Rijetko su prijavljeni fatalni ishodi</w:t>
            </w:r>
          </w:p>
          <w:p w14:paraId="7C6509DC" w14:textId="77777777" w:rsidR="00874EF0" w:rsidRPr="00B14963" w:rsidRDefault="00760D3C" w:rsidP="00874EF0">
            <w:pPr>
              <w:keepNext/>
              <w:jc w:val="both"/>
              <w:rPr>
                <w:sz w:val="18"/>
                <w:lang w:eastAsia="ja-JP"/>
              </w:rPr>
            </w:pPr>
            <w:r w:rsidRPr="00B14963">
              <w:rPr>
                <w:sz w:val="18"/>
                <w:vertAlign w:val="superscript"/>
                <w:lang w:eastAsia="ja-JP"/>
              </w:rPr>
              <w:t>6</w:t>
            </w:r>
            <w:r w:rsidR="00874EF0" w:rsidRPr="00B14963">
              <w:rPr>
                <w:b/>
                <w:sz w:val="18"/>
                <w:lang w:eastAsia="ja-JP"/>
              </w:rPr>
              <w:t xml:space="preserve"> </w:t>
            </w:r>
            <w:r w:rsidR="00874EF0" w:rsidRPr="00B14963">
              <w:rPr>
                <w:sz w:val="18"/>
                <w:lang w:eastAsia="ja-JP"/>
              </w:rPr>
              <w:t xml:space="preserve">znaci i simptomi kranijalne neuropatije. Javljaju se u različito vrijeme i do nekoliko mjeseci nakon završetka terapije lijekom MabThera </w:t>
            </w:r>
          </w:p>
          <w:p w14:paraId="4B383E06" w14:textId="77777777" w:rsidR="00874EF0" w:rsidRPr="00B14963" w:rsidRDefault="00760D3C" w:rsidP="00874EF0">
            <w:pPr>
              <w:keepNext/>
              <w:jc w:val="both"/>
              <w:rPr>
                <w:sz w:val="18"/>
                <w:lang w:eastAsia="ja-JP"/>
              </w:rPr>
            </w:pPr>
            <w:r w:rsidRPr="00B14963">
              <w:rPr>
                <w:sz w:val="18"/>
                <w:vertAlign w:val="superscript"/>
                <w:lang w:eastAsia="ja-JP"/>
              </w:rPr>
              <w:t>7</w:t>
            </w:r>
            <w:r w:rsidR="00874EF0" w:rsidRPr="00B14963">
              <w:rPr>
                <w:sz w:val="18"/>
                <w:lang w:eastAsia="ja-JP"/>
              </w:rPr>
              <w:t xml:space="preserve"> primijećeni uglavnom kod pacijenata sa prethodnim kardiološkim stanjima i/ili kardiotoksičnom hemioterapijom i uglavnom su bili povezani sa reakcijama na infuziju </w:t>
            </w:r>
          </w:p>
          <w:p w14:paraId="47B044D2" w14:textId="77777777" w:rsidR="00874EF0" w:rsidRPr="00B14963" w:rsidRDefault="00760D3C" w:rsidP="00874EF0">
            <w:pPr>
              <w:jc w:val="both"/>
              <w:rPr>
                <w:sz w:val="18"/>
                <w:lang w:eastAsia="ja-JP"/>
              </w:rPr>
            </w:pPr>
            <w:r w:rsidRPr="00B14963">
              <w:rPr>
                <w:sz w:val="18"/>
                <w:vertAlign w:val="superscript"/>
                <w:lang w:eastAsia="ja-JP"/>
              </w:rPr>
              <w:t>8</w:t>
            </w:r>
            <w:r w:rsidR="00874EF0" w:rsidRPr="00B14963">
              <w:rPr>
                <w:sz w:val="18"/>
                <w:lang w:eastAsia="ja-JP"/>
              </w:rPr>
              <w:t xml:space="preserve"> uključuju i fatalne slučajeve</w:t>
            </w:r>
          </w:p>
        </w:tc>
      </w:tr>
    </w:tbl>
    <w:p w14:paraId="3541998D" w14:textId="77777777" w:rsidR="00874EF0" w:rsidRPr="00B14963" w:rsidRDefault="00874EF0" w:rsidP="00874EF0">
      <w:pPr>
        <w:jc w:val="both"/>
        <w:rPr>
          <w:sz w:val="22"/>
          <w:szCs w:val="22"/>
          <w:lang w:eastAsia="ja-JP"/>
        </w:rPr>
      </w:pPr>
    </w:p>
    <w:p w14:paraId="30AC7E74" w14:textId="77777777" w:rsidR="00874EF0" w:rsidRPr="00B14963" w:rsidRDefault="00874EF0" w:rsidP="00874EF0">
      <w:pPr>
        <w:jc w:val="both"/>
        <w:rPr>
          <w:sz w:val="22"/>
          <w:szCs w:val="22"/>
          <w:lang w:eastAsia="ja-JP"/>
        </w:rPr>
      </w:pPr>
      <w:r w:rsidRPr="00B14963">
        <w:rPr>
          <w:sz w:val="22"/>
          <w:szCs w:val="22"/>
          <w:lang w:eastAsia="ja-JP"/>
        </w:rPr>
        <w:t>Sljedeća stanja prijavljena su kao neželjeni događaji tokom kliničkih studija, ali su bila prijavljena sa sličnom ili nižom incidencom u grupi pacijenata na terapiji lijekom MabThera u poređenju sa kontrolnom grupom: hematotoksičnost, neutropenijske infekcije, infekcije urinarnog trakta, senzorni poremećaji, pireksija.</w:t>
      </w:r>
    </w:p>
    <w:p w14:paraId="647C05E0" w14:textId="77777777" w:rsidR="00874EF0" w:rsidRPr="00B14963" w:rsidRDefault="00874EF0" w:rsidP="00874EF0">
      <w:pPr>
        <w:jc w:val="both"/>
        <w:rPr>
          <w:i/>
          <w:sz w:val="22"/>
          <w:szCs w:val="22"/>
        </w:rPr>
      </w:pPr>
    </w:p>
    <w:p w14:paraId="04FA4522" w14:textId="77777777" w:rsidR="00874EF0" w:rsidRPr="00B14963" w:rsidRDefault="00874EF0" w:rsidP="00874EF0">
      <w:pPr>
        <w:tabs>
          <w:tab w:val="left" w:pos="540"/>
          <w:tab w:val="left" w:pos="569"/>
        </w:tabs>
        <w:jc w:val="both"/>
        <w:rPr>
          <w:sz w:val="22"/>
          <w:szCs w:val="22"/>
          <w:lang w:eastAsia="ja-JP"/>
        </w:rPr>
      </w:pPr>
      <w:r w:rsidRPr="00B14963">
        <w:rPr>
          <w:sz w:val="22"/>
          <w:szCs w:val="22"/>
        </w:rPr>
        <w:t xml:space="preserve">Znaci i simptomi koji ukazuju na pojavu reakcije vezane za infuziju zabilježeni su kod više od 50% pacijenata koji su u kliničkim studijama primali formulaciju lijeka MabThera za intravensku upotrebu, i uglavnom su se pojavljivale tokom prve infuzije, i to obično u prvom satu, ili prva dva sata. Ovi simptomi su uglavnom uključivali groznicu, jezu i ukočenost. U ostale simptome spadaju: navale vrućine, angioedem, bronhospazam, povraćanje, mučnina, urtikarija/osip, umor, glavobolja, iritacija grla, rinitis, svrab, bol, tahikardija, hipertenzija, hipotenzija, dispnea, dispepsija, astenija i karakteristike sindroma lize tumora. Ozbiljne reakcije na infuziju (kao što su bronhospazam, hipotenzija) javili su se u oko 12% slučajeva. Reakcije koje su još bile prijavljene u nekim slučajevima bile su infarkt miokarda, atrijalna fibrilacija, plućni edem i akutna reverzibilna trombocitopenija. Pogoršanja ranijih kardioloških događaja kao što su angina pektoris ili kongestivna srčana insuficijencija ili ozbiljni kardiološki događaji (srčana insuficijencija, infarkt miokarda, atrijalna fibrilacija), edem pluća, multiorganski poremećaji, sindrom lize tumora, sindrom oslobađanja citokina, bubrežna insuficijencija i respiratorna insuficijencija, prijavljene su sa manjom ili nepoznatom učestalošću. Incidenca simptoma vezanih za infuziju značajno se smanjuje sa primjenom narednih infuzija i iznosi </w:t>
      </w:r>
      <w:r w:rsidRPr="00B14963">
        <w:rPr>
          <w:sz w:val="22"/>
          <w:szCs w:val="22"/>
          <w:lang w:eastAsia="ja-JP"/>
        </w:rPr>
        <w:t>&lt;</w:t>
      </w:r>
      <w:r w:rsidR="000A1F0D" w:rsidRPr="00B14963">
        <w:rPr>
          <w:sz w:val="22"/>
          <w:szCs w:val="22"/>
          <w:lang w:eastAsia="ja-JP"/>
        </w:rPr>
        <w:t xml:space="preserve"> </w:t>
      </w:r>
      <w:r w:rsidRPr="00B14963">
        <w:rPr>
          <w:sz w:val="22"/>
          <w:szCs w:val="22"/>
          <w:lang w:eastAsia="ja-JP"/>
        </w:rPr>
        <w:t>1 % pacijenata pri primjeni osmog ciklusa terapije koja sadrži lijek MabThera.</w:t>
      </w:r>
    </w:p>
    <w:p w14:paraId="103AEC44" w14:textId="77777777" w:rsidR="00874EF0" w:rsidRPr="00B14963" w:rsidRDefault="00874EF0" w:rsidP="00874EF0">
      <w:pPr>
        <w:tabs>
          <w:tab w:val="left" w:pos="540"/>
          <w:tab w:val="left" w:pos="569"/>
        </w:tabs>
        <w:jc w:val="both"/>
        <w:rPr>
          <w:b/>
          <w:bCs/>
          <w:sz w:val="22"/>
          <w:szCs w:val="22"/>
        </w:rPr>
      </w:pPr>
    </w:p>
    <w:p w14:paraId="3F86A80C" w14:textId="77777777" w:rsidR="00874EF0" w:rsidRPr="00B14963" w:rsidRDefault="00874EF0" w:rsidP="00874EF0">
      <w:pPr>
        <w:jc w:val="both"/>
        <w:rPr>
          <w:sz w:val="22"/>
          <w:szCs w:val="22"/>
          <w:u w:val="single"/>
        </w:rPr>
      </w:pPr>
      <w:r w:rsidRPr="00B14963">
        <w:rPr>
          <w:sz w:val="22"/>
          <w:szCs w:val="22"/>
          <w:u w:val="single"/>
        </w:rPr>
        <w:t>Opis odabranih neželjenih dejstava</w:t>
      </w:r>
    </w:p>
    <w:p w14:paraId="2BE9A8CE" w14:textId="77777777" w:rsidR="00874EF0" w:rsidRPr="00B14963" w:rsidRDefault="00874EF0" w:rsidP="00874EF0">
      <w:pPr>
        <w:jc w:val="both"/>
        <w:rPr>
          <w:sz w:val="22"/>
          <w:szCs w:val="22"/>
          <w:u w:val="single"/>
        </w:rPr>
      </w:pPr>
    </w:p>
    <w:p w14:paraId="3DFDB583" w14:textId="77777777" w:rsidR="00874EF0" w:rsidRPr="00B14963" w:rsidRDefault="00874EF0" w:rsidP="00874EF0">
      <w:pPr>
        <w:jc w:val="both"/>
        <w:rPr>
          <w:sz w:val="22"/>
          <w:szCs w:val="22"/>
        </w:rPr>
      </w:pPr>
      <w:r w:rsidRPr="00B14963">
        <w:rPr>
          <w:i/>
          <w:sz w:val="22"/>
          <w:szCs w:val="22"/>
        </w:rPr>
        <w:t>Infekcije</w:t>
      </w:r>
    </w:p>
    <w:p w14:paraId="492931CA" w14:textId="77777777" w:rsidR="00874EF0" w:rsidRPr="00B14963" w:rsidRDefault="00874EF0" w:rsidP="00874EF0">
      <w:pPr>
        <w:jc w:val="both"/>
        <w:rPr>
          <w:sz w:val="22"/>
          <w:szCs w:val="22"/>
        </w:rPr>
      </w:pPr>
      <w:r w:rsidRPr="00B14963">
        <w:rPr>
          <w:sz w:val="22"/>
          <w:szCs w:val="22"/>
        </w:rPr>
        <w:t xml:space="preserve">MabThera je indukovala depleciju B ćelija kod 70% - 80% pacijenata, ali je ovo bilo praćeno smanjenim nivoima imunoglobulina u serumu samo kod manjeg broja pacijenata. </w:t>
      </w:r>
    </w:p>
    <w:p w14:paraId="4C67EBFF" w14:textId="77777777" w:rsidR="00874EF0" w:rsidRPr="00B14963" w:rsidRDefault="00874EF0" w:rsidP="00874EF0">
      <w:pPr>
        <w:jc w:val="both"/>
        <w:rPr>
          <w:sz w:val="22"/>
          <w:szCs w:val="22"/>
        </w:rPr>
      </w:pPr>
    </w:p>
    <w:p w14:paraId="49D578C4" w14:textId="77777777" w:rsidR="00874EF0" w:rsidRPr="00B14963" w:rsidRDefault="00874EF0" w:rsidP="00874EF0">
      <w:pPr>
        <w:jc w:val="both"/>
        <w:rPr>
          <w:sz w:val="22"/>
          <w:szCs w:val="22"/>
          <w:lang w:eastAsia="ja-JP"/>
        </w:rPr>
      </w:pPr>
      <w:r w:rsidRPr="00B14963">
        <w:rPr>
          <w:sz w:val="22"/>
          <w:szCs w:val="22"/>
        </w:rPr>
        <w:t>Lokalizovana candida infekcija, kao i Herpes zoster, prijavljeni su sa većom incidencom u grupi pacijenata na terapiji  lijekom MabThera u randomizovanim studijama. Teške infekcije prijavljene su kod oko 4% pacijenata. Veća učestalost svih infekcija, uključujući i infekcije stepena 3 i 4, zabilježene su sa lijekom MabThera u terapiji održavanja do dvije godine, u poređenju sa kontrolnom grupom. Nije bilo kumulativne toksičnosti zbog infekcija tokom dvogodišnjeg perioda terapije. Štaviše, druge ozbiljne virusne infekcije, bilo nove, reaktivirane ili pogoršane, od kojih su neke bile fatalne, prijavljene su tokom terapije lijekom MabThera. Većina pacijenata dobijala je lijek MabThera sa hemioterapijom, ili kao dio terapije pri transplantaciji hematopoetskih stem ćelija. Primjeri ovih ozbiljnih virusnih infekcija su infekcije uzrokovane herpes virusima (</w:t>
      </w:r>
      <w:r w:rsidRPr="00B14963">
        <w:rPr>
          <w:sz w:val="22"/>
          <w:szCs w:val="22"/>
          <w:lang w:eastAsia="ja-JP"/>
        </w:rPr>
        <w:t>Cytomegalovirus, Varicella Zoster Virus i Herpes Simplex Virus</w:t>
      </w:r>
      <w:r w:rsidRPr="00B14963">
        <w:rPr>
          <w:sz w:val="22"/>
          <w:szCs w:val="22"/>
        </w:rPr>
        <w:t xml:space="preserve">),  JC virusom </w:t>
      </w:r>
      <w:r w:rsidRPr="00B14963">
        <w:rPr>
          <w:sz w:val="22"/>
          <w:szCs w:val="22"/>
          <w:lang w:eastAsia="ja-JP"/>
        </w:rPr>
        <w:t>(progresivna multifokalna leukoencefalopatija (PML))</w:t>
      </w:r>
      <w:r w:rsidRPr="00B14963">
        <w:rPr>
          <w:sz w:val="22"/>
          <w:szCs w:val="22"/>
        </w:rPr>
        <w:t>,</w:t>
      </w:r>
      <w:r w:rsidR="00760D3C" w:rsidRPr="00B14963">
        <w:t xml:space="preserve"> </w:t>
      </w:r>
      <w:r w:rsidR="00760D3C" w:rsidRPr="00B14963">
        <w:rPr>
          <w:sz w:val="22"/>
          <w:szCs w:val="22"/>
        </w:rPr>
        <w:t>enterovirusom (meningoencefalitis)</w:t>
      </w:r>
      <w:r w:rsidRPr="00B14963">
        <w:rPr>
          <w:sz w:val="22"/>
          <w:szCs w:val="22"/>
        </w:rPr>
        <w:t xml:space="preserve"> i hepatitis C virusom</w:t>
      </w:r>
      <w:r w:rsidR="00760D3C" w:rsidRPr="00B14963">
        <w:rPr>
          <w:sz w:val="22"/>
          <w:szCs w:val="22"/>
        </w:rPr>
        <w:t xml:space="preserve"> (vidjeti dio 4.4.)</w:t>
      </w:r>
      <w:r w:rsidRPr="00B14963">
        <w:rPr>
          <w:sz w:val="22"/>
          <w:szCs w:val="22"/>
          <w:lang w:eastAsia="ja-JP"/>
        </w:rPr>
        <w:t xml:space="preserve">. </w:t>
      </w:r>
      <w:r w:rsidRPr="00B14963">
        <w:rPr>
          <w:sz w:val="22"/>
          <w:szCs w:val="22"/>
        </w:rPr>
        <w:t>Slučajevi PML</w:t>
      </w:r>
      <w:r w:rsidRPr="00B14963">
        <w:rPr>
          <w:sz w:val="22"/>
          <w:szCs w:val="22"/>
        </w:rPr>
        <w:noBreakHyphen/>
        <w:t>a sa fatalnim ishodom koji su se pojavili nakon progresije bolesti i ponovnog liječenja prijavljeni su i u kliničkim ispitivanjima.</w:t>
      </w:r>
      <w:r w:rsidRPr="00B14963">
        <w:rPr>
          <w:sz w:val="20"/>
          <w:szCs w:val="22"/>
        </w:rPr>
        <w:t xml:space="preserve"> </w:t>
      </w:r>
      <w:r w:rsidRPr="00B14963">
        <w:rPr>
          <w:sz w:val="22"/>
          <w:szCs w:val="22"/>
          <w:lang w:eastAsia="ja-JP"/>
        </w:rPr>
        <w:t xml:space="preserve">Prijavljeni su i primjeri reaktivacije hepatitisa B, od kojih je većina bila pri primjeni lijeka MabThera u kombinaciji sa  citotoksičnom hemioterapijom. Kod pacijenata sa relapsirajućom/refraktornom HLL, učestalost hepatitis B infekcije (reaktivacija i primarna infekcija) stepena 3/4 bila je 2% kod R-FC, </w:t>
      </w:r>
      <w:r w:rsidRPr="00B14963">
        <w:rPr>
          <w:sz w:val="22"/>
          <w:szCs w:val="22"/>
          <w:lang w:eastAsia="ja-JP"/>
        </w:rPr>
        <w:lastRenderedPageBreak/>
        <w:t xml:space="preserve">odnosno 0% kod FC. </w:t>
      </w:r>
      <w:r w:rsidRPr="00B14963">
        <w:rPr>
          <w:sz w:val="22"/>
          <w:szCs w:val="22"/>
        </w:rPr>
        <w:t>Pr</w:t>
      </w:r>
      <w:r w:rsidRPr="00B14963">
        <w:rPr>
          <w:sz w:val="22"/>
          <w:szCs w:val="22"/>
          <w:lang w:eastAsia="ja-JP"/>
        </w:rPr>
        <w:t xml:space="preserve">ogresija Kapoši sarkoma zabilježena je kod pacijenata koji su dobijali rituksimab, a već su imali Kapoši sarkom. Ovi slučajevi javili su se pri primjeni lijeka u neodobrenim indikacijama i većina pacijenata bila je HIV pozitivna. </w:t>
      </w:r>
    </w:p>
    <w:p w14:paraId="1D86DCF5" w14:textId="77777777" w:rsidR="00874EF0" w:rsidRPr="00B14963" w:rsidRDefault="00874EF0" w:rsidP="00874EF0">
      <w:pPr>
        <w:jc w:val="both"/>
        <w:rPr>
          <w:sz w:val="22"/>
          <w:szCs w:val="22"/>
          <w:lang w:eastAsia="ja-JP"/>
        </w:rPr>
      </w:pPr>
    </w:p>
    <w:p w14:paraId="59D7701B" w14:textId="77777777" w:rsidR="00874EF0" w:rsidRPr="00B14963" w:rsidRDefault="00874EF0" w:rsidP="00874EF0">
      <w:pPr>
        <w:jc w:val="both"/>
        <w:rPr>
          <w:i/>
          <w:sz w:val="22"/>
          <w:szCs w:val="22"/>
        </w:rPr>
      </w:pPr>
      <w:r w:rsidRPr="00B14963">
        <w:rPr>
          <w:i/>
          <w:sz w:val="22"/>
          <w:szCs w:val="22"/>
        </w:rPr>
        <w:t>Hematološke neželjene reakcije</w:t>
      </w:r>
    </w:p>
    <w:p w14:paraId="38F49220" w14:textId="77777777" w:rsidR="00874EF0" w:rsidRPr="00B14963" w:rsidRDefault="00874EF0" w:rsidP="00874EF0">
      <w:pPr>
        <w:jc w:val="both"/>
        <w:rPr>
          <w:sz w:val="22"/>
          <w:szCs w:val="22"/>
        </w:rPr>
      </w:pPr>
      <w:r w:rsidRPr="00B14963">
        <w:rPr>
          <w:sz w:val="22"/>
          <w:szCs w:val="22"/>
        </w:rPr>
        <w:t xml:space="preserve">U kliničkim studijama sa primjenom MabThera monoterapije tokom 4 nedjelje, hematološki poremećaji javili su se kod manjeg broja pacijenata i obično su bili blagi i reverzibilni. Teška (stepen 3 ili 4) neutropenija zabilježena je kod 4,2% pacijenata, anemija kod 1,1%, a trombocitopenija kod 1,7% pacijenata.  </w:t>
      </w:r>
    </w:p>
    <w:p w14:paraId="1996B90F" w14:textId="77777777" w:rsidR="00874EF0" w:rsidRPr="00B14963" w:rsidRDefault="00874EF0" w:rsidP="00874EF0">
      <w:pPr>
        <w:jc w:val="both"/>
        <w:rPr>
          <w:sz w:val="22"/>
          <w:szCs w:val="22"/>
          <w:lang w:eastAsia="ja-JP"/>
        </w:rPr>
      </w:pPr>
      <w:r w:rsidRPr="00B14963">
        <w:rPr>
          <w:sz w:val="22"/>
          <w:szCs w:val="22"/>
        </w:rPr>
        <w:t>Tokom terapije održavanja sa lijekom MabThera tokom 2 godine</w:t>
      </w:r>
      <w:r w:rsidRPr="00B14963">
        <w:rPr>
          <w:sz w:val="22"/>
          <w:szCs w:val="22"/>
          <w:lang w:eastAsia="ja-JP"/>
        </w:rPr>
        <w:t xml:space="preserve">, leukopenija (5% vs 2%, stepena 3/4) i neutropenija (10% vs.4%, stepena 3/4) prijavljene su sa većom incidencom u odnosu na kontrolnu grupu. Incidenca trombocitopenije bila je niska ( &lt;1 %, stepena 3/4) i nije se razlikovala između terapijskih grupa. Za vrijeme liječenja u studijama sa lijekom MabThera u kombinaciji sa hemioterapijom, leukopenija stepena 3/4 (R-CHOP 88% vs CHOP 79%, </w:t>
      </w:r>
      <w:r w:rsidRPr="00B14963">
        <w:rPr>
          <w:rFonts w:ascii="TimesNewRomanPSMT" w:hAnsi="TimesNewRomanPSMT" w:cs="TimesNewRomanPSMT"/>
          <w:sz w:val="22"/>
          <w:szCs w:val="22"/>
        </w:rPr>
        <w:t>R-FC 23% vs. FC 12%</w:t>
      </w:r>
      <w:r w:rsidRPr="00B14963">
        <w:rPr>
          <w:sz w:val="22"/>
          <w:szCs w:val="22"/>
          <w:lang w:eastAsia="ja-JP"/>
        </w:rPr>
        <w:t>), neutropenija (R-CVP 24% vs CVP 14%; R-CHOP 97% vs. CHOP 88%%; R FC 30% naspram FC 19% kod prethodno neliječenog HLL-a), pancitopenija stepena 3/4 (R FC 3% naspram FC 1% kod prethodno neliječenog HLL-a). Ipak, viša incidenca neutropenije kod pacijenata liječenih lijekom MabThera i hemioterapijom nije bila povezana sa višom incidencom infekcija i infestacija u poređenju sa pacijentima liječenim samo hemioterapijom.</w:t>
      </w:r>
      <w:r w:rsidRPr="00B14963">
        <w:rPr>
          <w:sz w:val="20"/>
          <w:szCs w:val="22"/>
        </w:rPr>
        <w:t xml:space="preserve"> </w:t>
      </w:r>
      <w:r w:rsidRPr="00B14963">
        <w:rPr>
          <w:sz w:val="22"/>
          <w:szCs w:val="22"/>
          <w:lang w:eastAsia="ja-JP"/>
        </w:rPr>
        <w:t>Ispitivanjima lijeka Mabthera u formulaciji za intravensku primjenu kod prethodno neliječenog i relapsirajućeg/refraktornog HLL a utvrdilo se da je u do 25% pacijenata koji su primali R- FC neutropenija bila produžena (definisano kao broj neutrofila koji je ostao niži od 1 x 10</w:t>
      </w:r>
      <w:r w:rsidRPr="00B14963">
        <w:rPr>
          <w:sz w:val="22"/>
          <w:szCs w:val="22"/>
          <w:vertAlign w:val="superscript"/>
          <w:lang w:eastAsia="ja-JP"/>
        </w:rPr>
        <w:t>9</w:t>
      </w:r>
      <w:r w:rsidRPr="00B14963">
        <w:rPr>
          <w:sz w:val="22"/>
          <w:szCs w:val="22"/>
          <w:lang w:eastAsia="ja-JP"/>
        </w:rPr>
        <w:t>/l između 24. i 42. dana od posljednje doze) ili se pojavila kasnije (definisano kao broj neutrofila niži od 1 x 10</w:t>
      </w:r>
      <w:r w:rsidRPr="00B14963">
        <w:rPr>
          <w:sz w:val="22"/>
          <w:szCs w:val="22"/>
          <w:vertAlign w:val="superscript"/>
          <w:lang w:eastAsia="ja-JP"/>
        </w:rPr>
        <w:t>9</w:t>
      </w:r>
      <w:r w:rsidRPr="00B14963">
        <w:rPr>
          <w:sz w:val="22"/>
          <w:szCs w:val="22"/>
          <w:lang w:eastAsia="ja-JP"/>
        </w:rPr>
        <w:t xml:space="preserve">/l nakon više od 42 dana od posljednje doze kod pacijenata koji ranije </w:t>
      </w:r>
      <w:r w:rsidR="001A549A" w:rsidRPr="00B14963">
        <w:rPr>
          <w:sz w:val="22"/>
          <w:szCs w:val="22"/>
          <w:lang w:eastAsia="ja-JP"/>
        </w:rPr>
        <w:t>nijesu</w:t>
      </w:r>
      <w:r w:rsidRPr="00B14963">
        <w:rPr>
          <w:sz w:val="22"/>
          <w:szCs w:val="22"/>
          <w:lang w:eastAsia="ja-JP"/>
        </w:rPr>
        <w:t xml:space="preserve"> imali produženu neutropeniju, ili kod onih koji su se oporavili prije 42. dana) nakon liječenja lijekom MabThera u kombinaciji sa FC-om. Nije prijavljena različita incidenca anemije. Prijavljeno je nekoliko slučajeva odložene neutropenije koja se pojavila nakon više od četiri nedjelje od posljednje infuzije lijeka MabThera. U ispitivanju prve linije liječenja HLL- a, pacijenti u stadijumu C bolesti prema Binetovoj klasifikaciji koji su primali R- FC imali su više neželjenih dejstava u poređenju sa onima koji su primali FC (R-FC 83% u odnosu na FC 71%). U ispitivanju kod relapsirajućeg/refraktornog HLL- a trombocitopenija stepena 3/4 prijavljena je kod 11% pacijenata u skupini koja je primala R- FC u poređenju sa 9% pacijenata u grupi koja je primala FC.  </w:t>
      </w:r>
    </w:p>
    <w:p w14:paraId="46462959" w14:textId="77777777" w:rsidR="00874EF0" w:rsidRPr="00B14963" w:rsidRDefault="00874EF0" w:rsidP="00874EF0">
      <w:pPr>
        <w:jc w:val="both"/>
        <w:rPr>
          <w:rFonts w:eastAsia="Arial Unicode MS"/>
          <w:sz w:val="22"/>
          <w:szCs w:val="22"/>
          <w:lang w:eastAsia="ja-JP"/>
        </w:rPr>
      </w:pPr>
    </w:p>
    <w:p w14:paraId="0CAD1E51" w14:textId="77777777" w:rsidR="00874EF0" w:rsidRPr="00B14963" w:rsidRDefault="00874EF0" w:rsidP="00874EF0">
      <w:pPr>
        <w:jc w:val="both"/>
        <w:rPr>
          <w:rFonts w:eastAsia="Arial Unicode MS"/>
          <w:sz w:val="22"/>
          <w:szCs w:val="22"/>
          <w:lang w:eastAsia="ja-JP"/>
        </w:rPr>
      </w:pPr>
      <w:r w:rsidRPr="00B14963">
        <w:rPr>
          <w:rFonts w:eastAsia="Arial Unicode MS"/>
          <w:sz w:val="22"/>
          <w:szCs w:val="22"/>
          <w:lang w:eastAsia="ja-JP"/>
        </w:rPr>
        <w:t>U studiji primjene lijeka MabThera kod pacijenata sa Waldenstromovom makroglobulinemijom primijećena su prolazna povećanja nivoa IgM u serumu, nakon početka liječenja, što može biti povezano sa hiperviskoznošću i srodnim simptomima. Prolazno povećanje nivoa IgM-a obično se vratilo barem na početni nivo u roku od 4 mjeseca.</w:t>
      </w:r>
    </w:p>
    <w:p w14:paraId="6870BAE0" w14:textId="77777777" w:rsidR="00874EF0" w:rsidRPr="00B14963" w:rsidRDefault="00874EF0" w:rsidP="00874EF0">
      <w:pPr>
        <w:jc w:val="both"/>
        <w:rPr>
          <w:rFonts w:eastAsia="Arial Unicode MS"/>
          <w:sz w:val="22"/>
          <w:szCs w:val="22"/>
          <w:lang w:eastAsia="ja-JP"/>
        </w:rPr>
      </w:pPr>
    </w:p>
    <w:p w14:paraId="47BE1F15" w14:textId="77777777" w:rsidR="00874EF0" w:rsidRPr="00B14963" w:rsidRDefault="00874EF0" w:rsidP="00874EF0">
      <w:pPr>
        <w:jc w:val="both"/>
        <w:rPr>
          <w:sz w:val="22"/>
          <w:szCs w:val="22"/>
        </w:rPr>
      </w:pPr>
      <w:r w:rsidRPr="00B14963">
        <w:rPr>
          <w:i/>
          <w:sz w:val="22"/>
          <w:szCs w:val="22"/>
        </w:rPr>
        <w:t>Kardiovaskularni događaji</w:t>
      </w:r>
    </w:p>
    <w:p w14:paraId="63BB3E32" w14:textId="77777777" w:rsidR="00874EF0" w:rsidRPr="00B14963" w:rsidRDefault="00874EF0" w:rsidP="00874EF0">
      <w:pPr>
        <w:jc w:val="both"/>
        <w:rPr>
          <w:sz w:val="22"/>
          <w:szCs w:val="22"/>
          <w:lang w:eastAsia="ja-JP"/>
        </w:rPr>
      </w:pPr>
      <w:r w:rsidRPr="00B14963">
        <w:rPr>
          <w:sz w:val="22"/>
          <w:szCs w:val="22"/>
        </w:rPr>
        <w:t xml:space="preserve">Kardiovaskularni događaji tokom kliničkih studija sa MabThera monoterapijom zabilježeni su kod 18,8%, pri čemu su najčešće bili prijavljeni hipotenzija i hipertenzija. Tokom primjene infuzije, prijavljeni su slučajevi aritmije stepena 3 ili 4 (uključujući ventrikularnu i supraventrikularnu tahikardiju) i angine pektoris. Tokom terapije održavanja incidenca kardioloških poremećaja stepena 3/4 bila je slična između pacijenata liječenih lijekom MabThera i kontrolne grupe. Kardiološki događaji prijavljeni su kao ozbiljni neželjeni događaji (uključujući atrijalnu fibrilaciju, infarkt miokarda, insuficijenciju lijeve komore, ishemiju miokarda) kod 3% pacijenata liječenih lijekom MabThera i </w:t>
      </w:r>
      <w:r w:rsidRPr="00B14963">
        <w:rPr>
          <w:sz w:val="22"/>
          <w:szCs w:val="22"/>
          <w:lang w:eastAsia="ja-JP"/>
        </w:rPr>
        <w:t>&lt;</w:t>
      </w:r>
      <w:r w:rsidR="00733FA3" w:rsidRPr="00B14963">
        <w:rPr>
          <w:sz w:val="22"/>
          <w:szCs w:val="22"/>
          <w:lang w:eastAsia="ja-JP"/>
        </w:rPr>
        <w:t xml:space="preserve"> </w:t>
      </w:r>
      <w:r w:rsidRPr="00B14963">
        <w:rPr>
          <w:sz w:val="22"/>
          <w:szCs w:val="22"/>
          <w:lang w:eastAsia="ja-JP"/>
        </w:rPr>
        <w:t>1% u kontrolnoj grupi. U studijama koje su procjenjivale liječenje lijekom MabThera u kombinaciji sa hemioterapijom, incidenca stepena 3 i 4 kardijalnih aritmija, predominantno supraventrikularnih aritmija kao što su tahikardija i atrijalni flater/fibrilacija, bila je viša u  R-CHOP grupi (14 pacijenata, 6.9 %) u poređenju sa CHOP grupom (3 pacijenta, 1.5 %). Sve ove aritmije javljale su se ili pri primjeni infuzije MabThera ili su bile povezane sa stanjima predispozicije kao što su groznica, infekcija, akutni infarkt miokarda, ili postojeće respiratorne i kardiovaskularne bolesti. Nije primijećena razlika između R-CHOP i CHOP grupe u incidenci ostalih kardioloških događaja stepena 3 i 4, uključujući srčanu insuficijenciju, bolesti miokarda i manifestacije koronarne arterijske bolesti. Kod HLL-a je ukupna incidenca srčanih poremećaja stepena 3 ili 4 bila niska i u ispitivanju prve linije liječenja (4% R FC, 3% FC) i u ispitivanju relapsirajuće/refraktorne bolesti (4% R FC, 4% FC).</w:t>
      </w:r>
    </w:p>
    <w:p w14:paraId="214DEEA4" w14:textId="77777777" w:rsidR="00874EF0" w:rsidRPr="00B14963" w:rsidRDefault="00874EF0" w:rsidP="00874EF0">
      <w:pPr>
        <w:jc w:val="both"/>
        <w:rPr>
          <w:sz w:val="22"/>
          <w:szCs w:val="22"/>
          <w:lang w:eastAsia="ja-JP"/>
        </w:rPr>
      </w:pPr>
    </w:p>
    <w:p w14:paraId="45C8C153" w14:textId="77777777" w:rsidR="00874EF0" w:rsidRPr="00B14963" w:rsidRDefault="00874EF0" w:rsidP="00874EF0">
      <w:pPr>
        <w:keepNext/>
        <w:jc w:val="both"/>
        <w:outlineLvl w:val="0"/>
        <w:rPr>
          <w:i/>
          <w:sz w:val="22"/>
          <w:szCs w:val="22"/>
          <w:lang w:eastAsia="ja-JP"/>
        </w:rPr>
      </w:pPr>
      <w:r w:rsidRPr="00B14963">
        <w:rPr>
          <w:i/>
          <w:sz w:val="22"/>
          <w:szCs w:val="22"/>
          <w:lang w:eastAsia="ja-JP"/>
        </w:rPr>
        <w:lastRenderedPageBreak/>
        <w:t>Respiratorni sistem</w:t>
      </w:r>
    </w:p>
    <w:p w14:paraId="41AD6C63" w14:textId="77777777" w:rsidR="00874EF0" w:rsidRPr="00B14963" w:rsidRDefault="00874EF0" w:rsidP="00874EF0">
      <w:pPr>
        <w:jc w:val="both"/>
        <w:outlineLvl w:val="0"/>
        <w:rPr>
          <w:sz w:val="22"/>
          <w:szCs w:val="22"/>
          <w:lang w:eastAsia="ja-JP"/>
        </w:rPr>
      </w:pPr>
      <w:r w:rsidRPr="00B14963">
        <w:rPr>
          <w:sz w:val="22"/>
          <w:szCs w:val="22"/>
          <w:lang w:eastAsia="ja-JP"/>
        </w:rPr>
        <w:t>Prijavljeni su slučajevi intersticijalne bolesti pluća, neki sa fatalnim ishodom.</w:t>
      </w:r>
    </w:p>
    <w:p w14:paraId="3523E6A3" w14:textId="77777777" w:rsidR="00874EF0" w:rsidRPr="00B14963" w:rsidRDefault="00874EF0" w:rsidP="00874EF0">
      <w:pPr>
        <w:jc w:val="both"/>
        <w:rPr>
          <w:sz w:val="22"/>
          <w:szCs w:val="22"/>
          <w:lang w:eastAsia="ja-JP"/>
        </w:rPr>
      </w:pPr>
    </w:p>
    <w:p w14:paraId="3D53B86F" w14:textId="77777777" w:rsidR="00874EF0" w:rsidRPr="00B14963" w:rsidRDefault="00874EF0" w:rsidP="00874EF0">
      <w:pPr>
        <w:keepNext/>
        <w:jc w:val="both"/>
        <w:outlineLvl w:val="0"/>
        <w:rPr>
          <w:sz w:val="22"/>
          <w:szCs w:val="22"/>
          <w:lang w:eastAsia="ja-JP"/>
        </w:rPr>
      </w:pPr>
      <w:r w:rsidRPr="00B14963">
        <w:rPr>
          <w:i/>
          <w:sz w:val="22"/>
          <w:szCs w:val="22"/>
          <w:lang w:eastAsia="ja-JP"/>
        </w:rPr>
        <w:t>Neurološki događaji</w:t>
      </w:r>
      <w:r w:rsidRPr="00B14963">
        <w:rPr>
          <w:sz w:val="22"/>
          <w:szCs w:val="22"/>
          <w:lang w:eastAsia="ja-JP"/>
        </w:rPr>
        <w:t xml:space="preserve"> </w:t>
      </w:r>
    </w:p>
    <w:p w14:paraId="4FD73D29" w14:textId="77777777" w:rsidR="00874EF0" w:rsidRPr="00B14963" w:rsidRDefault="00874EF0" w:rsidP="00874EF0">
      <w:pPr>
        <w:jc w:val="both"/>
        <w:rPr>
          <w:sz w:val="22"/>
          <w:szCs w:val="22"/>
          <w:lang w:eastAsia="ja-JP"/>
        </w:rPr>
      </w:pPr>
      <w:r w:rsidRPr="00B14963">
        <w:rPr>
          <w:sz w:val="22"/>
          <w:szCs w:val="22"/>
          <w:lang w:eastAsia="ja-JP"/>
        </w:rPr>
        <w:t>Tokom perioda liječenja (period početnog liječenja koje se sastojalo od primjene R-CHOP tokom najviše osam ciklusa), četiri pacijenta (2%) liječena R-CHOP, svi sa kardiovaskularnim faktorima rizika, imala su tromboembolijske cerebrovaskularne događaje tokom prvog terapijskog ciklusa. Nije bilo razlike među terapijskim grupama u incidenci ostalih tromboembolijskih događaja. Nasuprot tome, tri pacijenta (1.5%) imala su cerebrovaskularne događaje u CHOP grupi, i kod svih su se javili tokom perioda praćenja.</w:t>
      </w:r>
      <w:r w:rsidRPr="00B14963">
        <w:rPr>
          <w:sz w:val="20"/>
          <w:szCs w:val="20"/>
        </w:rPr>
        <w:t xml:space="preserve"> </w:t>
      </w:r>
      <w:r w:rsidRPr="00B14963">
        <w:rPr>
          <w:sz w:val="22"/>
          <w:szCs w:val="22"/>
          <w:lang w:eastAsia="ja-JP"/>
        </w:rPr>
        <w:t xml:space="preserve">Kod HLL-a je ukupna incidenca poremećaja nervnog sistema stepena 3 ili 4 bila niska i u studiji prve linije liječenja (4% R FC, 4% FC) i u studiji relapsirajuće/refraktorne bolesti (3% R FC, 3% FC).  </w:t>
      </w:r>
    </w:p>
    <w:p w14:paraId="0F5228A3" w14:textId="77777777" w:rsidR="00874EF0" w:rsidRPr="00B14963" w:rsidRDefault="00874EF0" w:rsidP="00874EF0">
      <w:pPr>
        <w:jc w:val="both"/>
        <w:outlineLvl w:val="0"/>
        <w:rPr>
          <w:iCs/>
          <w:sz w:val="22"/>
          <w:szCs w:val="22"/>
          <w:lang w:eastAsia="ja-JP"/>
        </w:rPr>
      </w:pPr>
    </w:p>
    <w:p w14:paraId="5DEDA76A" w14:textId="77777777" w:rsidR="00874EF0" w:rsidRPr="00B14963" w:rsidRDefault="00874EF0" w:rsidP="00874EF0">
      <w:pPr>
        <w:jc w:val="both"/>
        <w:outlineLvl w:val="0"/>
        <w:rPr>
          <w:sz w:val="22"/>
          <w:szCs w:val="22"/>
          <w:lang w:eastAsia="ja-JP"/>
        </w:rPr>
      </w:pPr>
      <w:r w:rsidRPr="00B14963">
        <w:rPr>
          <w:sz w:val="22"/>
          <w:szCs w:val="22"/>
          <w:lang w:eastAsia="ja-JP"/>
        </w:rPr>
        <w:t>Prijavljeni su slučajevi sindroma reverzibilne posteriorne encefalopatije (engl. posterior reversible encephalopathy syndrome, PRES) odnosno sindroma reverzibilne posteriorne leukoencefalopatije (engl. reversible posterior leukoencephalopathy syndrome, RPLS). Znaci i simptomi obuhvatali su smetnje vida, glavobolju, epileptičke napade i promijenjeno mentalno stanje, uz pridruženu hipertenziju</w:t>
      </w:r>
      <w:r w:rsidRPr="00B14963">
        <w:rPr>
          <w:sz w:val="20"/>
          <w:szCs w:val="22"/>
        </w:rPr>
        <w:t xml:space="preserve"> </w:t>
      </w:r>
      <w:r w:rsidRPr="00B14963">
        <w:rPr>
          <w:sz w:val="22"/>
          <w:szCs w:val="22"/>
          <w:lang w:eastAsia="ja-JP"/>
        </w:rPr>
        <w:t>ili bez nje. Dijagnozu PRES/RPLS treba potvrditi snimanjem mozga. U prijavljenim slučajevima postojali su faktori rizika za PRES/RPLS, uključujući osnovnu bolest pacijenta, hipertenziju, terapiju imunosupresivima i/ili hemoterapiju.</w:t>
      </w:r>
    </w:p>
    <w:p w14:paraId="013C822D" w14:textId="77777777" w:rsidR="00874EF0" w:rsidRPr="00B14963" w:rsidRDefault="00874EF0" w:rsidP="00874EF0">
      <w:pPr>
        <w:jc w:val="both"/>
        <w:outlineLvl w:val="0"/>
        <w:rPr>
          <w:sz w:val="22"/>
          <w:szCs w:val="22"/>
          <w:lang w:eastAsia="ja-JP"/>
        </w:rPr>
      </w:pPr>
    </w:p>
    <w:p w14:paraId="095AA4B5" w14:textId="77777777" w:rsidR="00874EF0" w:rsidRPr="00B14963" w:rsidRDefault="00874EF0" w:rsidP="00874EF0">
      <w:pPr>
        <w:jc w:val="both"/>
        <w:outlineLvl w:val="0"/>
        <w:rPr>
          <w:i/>
          <w:sz w:val="22"/>
          <w:szCs w:val="22"/>
          <w:lang w:eastAsia="ja-JP"/>
        </w:rPr>
      </w:pPr>
      <w:r w:rsidRPr="00B14963">
        <w:rPr>
          <w:i/>
          <w:sz w:val="22"/>
          <w:szCs w:val="22"/>
          <w:lang w:eastAsia="ja-JP"/>
        </w:rPr>
        <w:t xml:space="preserve">Gastrointestinalni poremećaji </w:t>
      </w:r>
    </w:p>
    <w:p w14:paraId="756D7B9C" w14:textId="77777777" w:rsidR="00874EF0" w:rsidRPr="00B14963" w:rsidRDefault="00874EF0" w:rsidP="00874EF0">
      <w:pPr>
        <w:autoSpaceDE w:val="0"/>
        <w:autoSpaceDN w:val="0"/>
        <w:adjustRightInd w:val="0"/>
        <w:jc w:val="both"/>
        <w:rPr>
          <w:rFonts w:eastAsia="MS Mincho"/>
          <w:sz w:val="22"/>
          <w:szCs w:val="22"/>
          <w:lang w:eastAsia="zh-CN" w:bidi="th-TH"/>
        </w:rPr>
      </w:pPr>
      <w:r w:rsidRPr="00B14963">
        <w:rPr>
          <w:rFonts w:eastAsia="MS Mincho"/>
          <w:sz w:val="22"/>
          <w:szCs w:val="22"/>
          <w:lang w:eastAsia="zh-CN" w:bidi="th-TH"/>
        </w:rPr>
        <w:t>Gastrointestinalne perforacije koje su u nekim slučajevima dovele do smrti zabilježene su kod pacijenata koji su dobijali lijek MabThera u terapiji non-Ho</w:t>
      </w:r>
      <w:r w:rsidR="009D3F5D" w:rsidRPr="00B14963">
        <w:rPr>
          <w:rFonts w:eastAsia="MS Mincho"/>
          <w:sz w:val="22"/>
          <w:szCs w:val="22"/>
          <w:lang w:eastAsia="zh-CN" w:bidi="th-TH"/>
        </w:rPr>
        <w:t>dg</w:t>
      </w:r>
      <w:r w:rsidRPr="00B14963">
        <w:rPr>
          <w:rFonts w:eastAsia="MS Mincho"/>
          <w:sz w:val="22"/>
          <w:szCs w:val="22"/>
          <w:lang w:eastAsia="zh-CN" w:bidi="th-TH"/>
        </w:rPr>
        <w:t>kin</w:t>
      </w:r>
      <w:r w:rsidR="009D3F5D" w:rsidRPr="00B14963">
        <w:rPr>
          <w:rFonts w:eastAsia="MS Mincho"/>
          <w:sz w:val="22"/>
          <w:szCs w:val="22"/>
          <w:lang w:eastAsia="zh-CN" w:bidi="th-TH"/>
        </w:rPr>
        <w:t>-</w:t>
      </w:r>
      <w:r w:rsidRPr="00B14963">
        <w:rPr>
          <w:rFonts w:eastAsia="MS Mincho"/>
          <w:sz w:val="22"/>
          <w:szCs w:val="22"/>
          <w:lang w:eastAsia="zh-CN" w:bidi="th-TH"/>
        </w:rPr>
        <w:t>ovog limfoma. U većini ovih slučajeva, MabThera je primjenjivana sa hemioterapijom.</w:t>
      </w:r>
    </w:p>
    <w:p w14:paraId="042BFC6F" w14:textId="77777777" w:rsidR="00874EF0" w:rsidRPr="00B14963" w:rsidRDefault="00874EF0" w:rsidP="00874EF0">
      <w:pPr>
        <w:jc w:val="both"/>
        <w:rPr>
          <w:i/>
          <w:snapToGrid w:val="0"/>
          <w:sz w:val="22"/>
          <w:szCs w:val="22"/>
          <w:lang w:eastAsia="ja-JP"/>
        </w:rPr>
      </w:pPr>
    </w:p>
    <w:p w14:paraId="267FE7A5" w14:textId="77777777" w:rsidR="00874EF0" w:rsidRPr="00B14963" w:rsidRDefault="00874EF0" w:rsidP="00874EF0">
      <w:pPr>
        <w:jc w:val="both"/>
        <w:outlineLvl w:val="0"/>
        <w:rPr>
          <w:sz w:val="22"/>
          <w:szCs w:val="22"/>
          <w:lang w:eastAsia="ja-JP"/>
        </w:rPr>
      </w:pPr>
      <w:r w:rsidRPr="00B14963">
        <w:rPr>
          <w:i/>
          <w:sz w:val="22"/>
          <w:szCs w:val="22"/>
          <w:lang w:eastAsia="ja-JP"/>
        </w:rPr>
        <w:t xml:space="preserve">Nivoi IgG </w:t>
      </w:r>
    </w:p>
    <w:p w14:paraId="13E67D0F" w14:textId="77777777" w:rsidR="00874EF0" w:rsidRPr="00B14963" w:rsidRDefault="00874EF0" w:rsidP="00874EF0">
      <w:pPr>
        <w:jc w:val="both"/>
        <w:rPr>
          <w:sz w:val="22"/>
          <w:szCs w:val="22"/>
          <w:lang w:eastAsia="ja-JP"/>
        </w:rPr>
      </w:pPr>
      <w:r w:rsidRPr="00B14963">
        <w:rPr>
          <w:sz w:val="22"/>
          <w:szCs w:val="22"/>
          <w:lang w:eastAsia="ja-JP"/>
        </w:rPr>
        <w:t>U kliničkim studijama koje su procjenjivale terapiju održavanja lijekom MabThera, srednji nivoi IgG bili su ispod donje granice normale (LLN) (&lt; 7 g/L), nakon indukcione terapije i u kontrolnoj i u grupi na lijeku MabThera. U kontrolnoj grupi, srednji nivo IgG postepeno se povećavao do preko LLN, a u grupi na lijeku MabThera ostao je konstantan. Udio pacijenata sa IgG nivoima ispod LLN bio je oko 60% u MabThera grupi tokom dvije godine terapije, dok se u kontrolnoj grupi smanjio (36% nakon 2 godine).</w:t>
      </w:r>
    </w:p>
    <w:p w14:paraId="0C58734E" w14:textId="77777777" w:rsidR="00874EF0" w:rsidRPr="00B14963" w:rsidRDefault="00874EF0" w:rsidP="00874EF0">
      <w:pPr>
        <w:jc w:val="both"/>
        <w:rPr>
          <w:i/>
          <w:snapToGrid w:val="0"/>
          <w:sz w:val="22"/>
          <w:szCs w:val="22"/>
          <w:lang w:eastAsia="ja-JP"/>
        </w:rPr>
      </w:pPr>
    </w:p>
    <w:p w14:paraId="384C3C6C" w14:textId="77777777" w:rsidR="00874EF0" w:rsidRPr="00B14963" w:rsidRDefault="00874EF0" w:rsidP="00874EF0">
      <w:pPr>
        <w:jc w:val="both"/>
        <w:rPr>
          <w:i/>
          <w:sz w:val="22"/>
          <w:szCs w:val="22"/>
          <w:lang w:eastAsia="ja-JP"/>
        </w:rPr>
      </w:pPr>
      <w:r w:rsidRPr="00B14963">
        <w:rPr>
          <w:i/>
          <w:sz w:val="22"/>
          <w:szCs w:val="22"/>
          <w:lang w:eastAsia="ja-JP"/>
        </w:rPr>
        <w:t>Poremećaji kože i potkožnog tkiva</w:t>
      </w:r>
    </w:p>
    <w:p w14:paraId="5FB6C0D7" w14:textId="77777777" w:rsidR="00874EF0" w:rsidRPr="00B14963" w:rsidRDefault="00874EF0" w:rsidP="00874EF0">
      <w:pPr>
        <w:jc w:val="both"/>
        <w:rPr>
          <w:sz w:val="22"/>
          <w:szCs w:val="22"/>
          <w:lang w:eastAsia="ja-JP"/>
        </w:rPr>
      </w:pPr>
      <w:r w:rsidRPr="00B14963">
        <w:rPr>
          <w:sz w:val="22"/>
          <w:szCs w:val="22"/>
          <w:lang w:eastAsia="ja-JP"/>
        </w:rPr>
        <w:t>Veoma rijetko su prijavljeni toksična epidermalna nekroliza (Lyellov sindrom) i Stevens-Johnsonov sindrom, ponekad sa fatalnim ishodom.</w:t>
      </w:r>
    </w:p>
    <w:p w14:paraId="0110EE7F" w14:textId="77777777" w:rsidR="00874EF0" w:rsidRPr="00B14963" w:rsidRDefault="00874EF0" w:rsidP="00874EF0">
      <w:pPr>
        <w:jc w:val="both"/>
        <w:rPr>
          <w:snapToGrid w:val="0"/>
          <w:sz w:val="22"/>
          <w:szCs w:val="22"/>
          <w:lang w:eastAsia="ja-JP"/>
        </w:rPr>
      </w:pPr>
    </w:p>
    <w:p w14:paraId="019A3151" w14:textId="77777777" w:rsidR="00874EF0" w:rsidRPr="00B14963" w:rsidRDefault="00874EF0" w:rsidP="00874EF0">
      <w:pPr>
        <w:keepNext/>
        <w:jc w:val="both"/>
        <w:outlineLvl w:val="0"/>
        <w:rPr>
          <w:i/>
          <w:snapToGrid w:val="0"/>
          <w:sz w:val="22"/>
          <w:szCs w:val="22"/>
          <w:lang w:eastAsia="ja-JP"/>
        </w:rPr>
      </w:pPr>
      <w:r w:rsidRPr="00B14963">
        <w:rPr>
          <w:i/>
          <w:snapToGrid w:val="0"/>
          <w:sz w:val="22"/>
          <w:szCs w:val="22"/>
          <w:lang w:eastAsia="ja-JP"/>
        </w:rPr>
        <w:t>Subpopulacije pacijenata - monoterapija lijekom Mabthera</w:t>
      </w:r>
    </w:p>
    <w:p w14:paraId="1362A63B" w14:textId="77777777" w:rsidR="00874EF0" w:rsidRPr="00B14963" w:rsidRDefault="00874EF0" w:rsidP="00874EF0">
      <w:pPr>
        <w:jc w:val="both"/>
        <w:rPr>
          <w:sz w:val="22"/>
          <w:szCs w:val="22"/>
        </w:rPr>
      </w:pPr>
      <w:r w:rsidRPr="00B14963">
        <w:rPr>
          <w:i/>
          <w:sz w:val="22"/>
          <w:szCs w:val="22"/>
        </w:rPr>
        <w:t xml:space="preserve">Pacijenti starijeg životnog doba (65 </w:t>
      </w:r>
      <w:r w:rsidR="00555704" w:rsidRPr="00B14963">
        <w:rPr>
          <w:i/>
          <w:sz w:val="22"/>
          <w:szCs w:val="22"/>
        </w:rPr>
        <w:t xml:space="preserve">i više </w:t>
      </w:r>
      <w:r w:rsidRPr="00B14963">
        <w:rPr>
          <w:i/>
          <w:sz w:val="22"/>
          <w:szCs w:val="22"/>
        </w:rPr>
        <w:t>godina)</w:t>
      </w:r>
      <w:r w:rsidRPr="00B14963">
        <w:rPr>
          <w:sz w:val="22"/>
          <w:szCs w:val="22"/>
        </w:rPr>
        <w:t xml:space="preserve">: </w:t>
      </w:r>
    </w:p>
    <w:p w14:paraId="4A8FCE14" w14:textId="77777777" w:rsidR="00874EF0" w:rsidRPr="00B14963" w:rsidRDefault="00874EF0" w:rsidP="00874EF0">
      <w:pPr>
        <w:jc w:val="both"/>
        <w:rPr>
          <w:sz w:val="22"/>
          <w:szCs w:val="22"/>
        </w:rPr>
      </w:pPr>
      <w:r w:rsidRPr="00B14963">
        <w:rPr>
          <w:sz w:val="22"/>
          <w:szCs w:val="22"/>
        </w:rPr>
        <w:t xml:space="preserve">Incidenca svih neželjenih reakcija na lijek svih stepena kao i stepena 3/4 bila je slična kod starijih i mlađih pacijenata </w:t>
      </w:r>
      <w:r w:rsidRPr="00B14963">
        <w:rPr>
          <w:sz w:val="22"/>
          <w:szCs w:val="22"/>
          <w:lang w:eastAsia="ja-JP"/>
        </w:rPr>
        <w:t>(</w:t>
      </w:r>
      <w:r w:rsidR="00555704" w:rsidRPr="00B14963">
        <w:rPr>
          <w:sz w:val="22"/>
          <w:szCs w:val="22"/>
          <w:lang w:eastAsia="ja-JP"/>
        </w:rPr>
        <w:t xml:space="preserve">ispod </w:t>
      </w:r>
      <w:r w:rsidRPr="00B14963">
        <w:rPr>
          <w:sz w:val="22"/>
          <w:szCs w:val="22"/>
          <w:lang w:eastAsia="ja-JP"/>
        </w:rPr>
        <w:t>65 godina).</w:t>
      </w:r>
    </w:p>
    <w:p w14:paraId="09E1C001" w14:textId="77777777" w:rsidR="00874EF0" w:rsidRPr="00B14963" w:rsidRDefault="00874EF0" w:rsidP="00874EF0">
      <w:pPr>
        <w:jc w:val="both"/>
        <w:rPr>
          <w:sz w:val="22"/>
          <w:szCs w:val="22"/>
          <w:lang w:eastAsia="ja-JP"/>
        </w:rPr>
      </w:pPr>
    </w:p>
    <w:p w14:paraId="348FA35B" w14:textId="77777777" w:rsidR="00874EF0" w:rsidRPr="00B14963" w:rsidRDefault="00874EF0" w:rsidP="00874EF0">
      <w:pPr>
        <w:jc w:val="both"/>
        <w:rPr>
          <w:sz w:val="22"/>
          <w:szCs w:val="22"/>
        </w:rPr>
      </w:pPr>
      <w:r w:rsidRPr="00B14963">
        <w:rPr>
          <w:i/>
          <w:sz w:val="22"/>
          <w:szCs w:val="22"/>
        </w:rPr>
        <w:t>Voluminozna tumorska masa</w:t>
      </w:r>
    </w:p>
    <w:p w14:paraId="057AAE5B" w14:textId="77777777" w:rsidR="00874EF0" w:rsidRPr="00B14963" w:rsidRDefault="00874EF0" w:rsidP="00874EF0">
      <w:pPr>
        <w:jc w:val="both"/>
        <w:rPr>
          <w:sz w:val="22"/>
          <w:szCs w:val="22"/>
          <w:lang w:eastAsia="ja-JP"/>
        </w:rPr>
      </w:pPr>
      <w:r w:rsidRPr="00B14963">
        <w:rPr>
          <w:sz w:val="22"/>
          <w:szCs w:val="22"/>
        </w:rPr>
        <w:t xml:space="preserve">Postojala je veća incidenca neželjenih reakcija stepena 3 ili 4 kod pacijenata sa voluminoznom tumorskom masom nego kod pacijenata koji </w:t>
      </w:r>
      <w:r w:rsidR="001A549A" w:rsidRPr="00B14963">
        <w:rPr>
          <w:sz w:val="22"/>
          <w:szCs w:val="22"/>
        </w:rPr>
        <w:t>nijesu</w:t>
      </w:r>
      <w:r w:rsidRPr="00B14963">
        <w:rPr>
          <w:sz w:val="22"/>
          <w:szCs w:val="22"/>
        </w:rPr>
        <w:t xml:space="preserve"> imali voluminoznu tumorsku masu </w:t>
      </w:r>
      <w:r w:rsidRPr="00B14963">
        <w:rPr>
          <w:sz w:val="22"/>
          <w:szCs w:val="22"/>
          <w:lang w:eastAsia="ja-JP"/>
        </w:rPr>
        <w:t>(25.6% vs. 15.4%).</w:t>
      </w:r>
      <w:r w:rsidRPr="00B14963">
        <w:rPr>
          <w:sz w:val="22"/>
          <w:szCs w:val="22"/>
        </w:rPr>
        <w:t xml:space="preserve"> I</w:t>
      </w:r>
      <w:r w:rsidRPr="00B14963">
        <w:rPr>
          <w:sz w:val="22"/>
          <w:szCs w:val="22"/>
          <w:lang w:eastAsia="ja-JP"/>
        </w:rPr>
        <w:t xml:space="preserve">ncidenca </w:t>
      </w:r>
      <w:r w:rsidRPr="00B14963">
        <w:rPr>
          <w:sz w:val="22"/>
          <w:szCs w:val="22"/>
        </w:rPr>
        <w:t xml:space="preserve">neželjenih reakcija na lijek svih stepena bila je slična u ove dvije grupe. </w:t>
      </w:r>
    </w:p>
    <w:p w14:paraId="4E7F99CC" w14:textId="77777777" w:rsidR="00874EF0" w:rsidRPr="00B14963" w:rsidRDefault="00874EF0" w:rsidP="00874EF0">
      <w:pPr>
        <w:jc w:val="both"/>
        <w:rPr>
          <w:sz w:val="22"/>
          <w:szCs w:val="22"/>
        </w:rPr>
      </w:pPr>
    </w:p>
    <w:p w14:paraId="103BFE8E" w14:textId="77777777" w:rsidR="00874EF0" w:rsidRPr="00B14963" w:rsidRDefault="00874EF0" w:rsidP="00874EF0">
      <w:pPr>
        <w:jc w:val="both"/>
        <w:rPr>
          <w:sz w:val="22"/>
          <w:szCs w:val="22"/>
        </w:rPr>
      </w:pPr>
      <w:r w:rsidRPr="00B14963">
        <w:rPr>
          <w:i/>
          <w:sz w:val="22"/>
          <w:szCs w:val="22"/>
        </w:rPr>
        <w:t>Ponovna terapija</w:t>
      </w:r>
    </w:p>
    <w:p w14:paraId="68A14016" w14:textId="77777777" w:rsidR="00874EF0" w:rsidRPr="00B14963" w:rsidRDefault="00874EF0" w:rsidP="00874EF0">
      <w:pPr>
        <w:jc w:val="both"/>
        <w:rPr>
          <w:sz w:val="22"/>
          <w:szCs w:val="22"/>
        </w:rPr>
      </w:pPr>
      <w:r w:rsidRPr="00B14963">
        <w:rPr>
          <w:sz w:val="22"/>
          <w:szCs w:val="22"/>
        </w:rPr>
        <w:t xml:space="preserve">Procenat pacijenata koji prijavljuju neželjene reakcije pri ponovnoj terapiji lijekom MabThera bio je sličan procentu pacijenata  koji prijavljuju neželjene reakcije po inicijalnom izlaganju (neželjene reakcije bilo kog stepena i stepena 3 ili 4). </w:t>
      </w:r>
    </w:p>
    <w:p w14:paraId="0D24762B" w14:textId="77777777" w:rsidR="00874EF0" w:rsidRPr="00B14963" w:rsidRDefault="00874EF0" w:rsidP="00874EF0">
      <w:pPr>
        <w:jc w:val="both"/>
        <w:rPr>
          <w:sz w:val="22"/>
          <w:szCs w:val="22"/>
        </w:rPr>
      </w:pPr>
    </w:p>
    <w:p w14:paraId="4AD611DB" w14:textId="77777777" w:rsidR="00874EF0" w:rsidRPr="00B14963" w:rsidRDefault="00874EF0" w:rsidP="00874EF0">
      <w:pPr>
        <w:jc w:val="both"/>
        <w:rPr>
          <w:i/>
          <w:sz w:val="22"/>
          <w:szCs w:val="22"/>
        </w:rPr>
      </w:pPr>
      <w:r w:rsidRPr="00B14963">
        <w:rPr>
          <w:i/>
          <w:sz w:val="22"/>
          <w:szCs w:val="22"/>
        </w:rPr>
        <w:t>Podgrupe pacijenata – kombinovana terapija lijekom MabThera</w:t>
      </w:r>
    </w:p>
    <w:p w14:paraId="1177EE48" w14:textId="77777777" w:rsidR="00874EF0" w:rsidRPr="00B14963" w:rsidRDefault="00874EF0" w:rsidP="00874EF0">
      <w:pPr>
        <w:jc w:val="both"/>
        <w:rPr>
          <w:sz w:val="22"/>
          <w:szCs w:val="22"/>
        </w:rPr>
      </w:pPr>
      <w:r w:rsidRPr="00B14963">
        <w:rPr>
          <w:sz w:val="22"/>
          <w:szCs w:val="22"/>
        </w:rPr>
        <w:t xml:space="preserve">Stariji pacjenti (65 </w:t>
      </w:r>
      <w:r w:rsidR="00555704" w:rsidRPr="00B14963">
        <w:rPr>
          <w:sz w:val="22"/>
          <w:szCs w:val="22"/>
        </w:rPr>
        <w:t xml:space="preserve">i više </w:t>
      </w:r>
      <w:r w:rsidRPr="00B14963">
        <w:rPr>
          <w:sz w:val="22"/>
          <w:szCs w:val="22"/>
        </w:rPr>
        <w:t>godina)</w:t>
      </w:r>
    </w:p>
    <w:p w14:paraId="40FCECF7" w14:textId="77777777" w:rsidR="00874EF0" w:rsidRPr="00B14963" w:rsidRDefault="00874EF0" w:rsidP="00874EF0">
      <w:pPr>
        <w:tabs>
          <w:tab w:val="left" w:pos="540"/>
          <w:tab w:val="left" w:pos="569"/>
        </w:tabs>
        <w:jc w:val="both"/>
        <w:rPr>
          <w:b/>
          <w:bCs/>
          <w:sz w:val="22"/>
          <w:szCs w:val="22"/>
        </w:rPr>
      </w:pPr>
      <w:r w:rsidRPr="00B14963">
        <w:rPr>
          <w:sz w:val="22"/>
          <w:szCs w:val="22"/>
        </w:rPr>
        <w:lastRenderedPageBreak/>
        <w:t>Incidenca hematoloških i limfatičkih neželjenih dejstava stepena 3/4 bila je veća kod starijih pacijenata u poređenju sa mlađim pacijentima (</w:t>
      </w:r>
      <w:r w:rsidR="00555704" w:rsidRPr="00B14963">
        <w:rPr>
          <w:sz w:val="22"/>
          <w:szCs w:val="22"/>
        </w:rPr>
        <w:t>ispod</w:t>
      </w:r>
      <w:r w:rsidRPr="00B14963">
        <w:rPr>
          <w:sz w:val="22"/>
          <w:szCs w:val="22"/>
        </w:rPr>
        <w:t xml:space="preserve"> 65 godina) sa prethodno neliječenim ili relapsirajućim/refraktornim HLL-om.</w:t>
      </w:r>
    </w:p>
    <w:p w14:paraId="421B8B09" w14:textId="77777777" w:rsidR="00874EF0" w:rsidRPr="00B14963" w:rsidRDefault="00874EF0" w:rsidP="00874EF0">
      <w:pPr>
        <w:tabs>
          <w:tab w:val="left" w:pos="540"/>
          <w:tab w:val="left" w:pos="569"/>
        </w:tabs>
        <w:jc w:val="both"/>
        <w:rPr>
          <w:b/>
          <w:bCs/>
          <w:sz w:val="22"/>
          <w:szCs w:val="22"/>
        </w:rPr>
      </w:pPr>
    </w:p>
    <w:p w14:paraId="35B1A0CD" w14:textId="77777777" w:rsidR="004C1AE2" w:rsidRPr="00B14963" w:rsidRDefault="004C1AE2" w:rsidP="004C1AE2">
      <w:pPr>
        <w:spacing w:after="200" w:line="276" w:lineRule="auto"/>
        <w:rPr>
          <w:rFonts w:eastAsia="Calibri"/>
          <w:sz w:val="22"/>
          <w:szCs w:val="22"/>
          <w:u w:val="single"/>
        </w:rPr>
      </w:pPr>
      <w:r w:rsidRPr="00B14963">
        <w:rPr>
          <w:rFonts w:eastAsia="Calibri"/>
          <w:sz w:val="22"/>
          <w:szCs w:val="22"/>
          <w:u w:val="single"/>
        </w:rPr>
        <w:t>Prijavljivanje sumnji na neželjena dejstva</w:t>
      </w:r>
    </w:p>
    <w:p w14:paraId="7A72ABB7" w14:textId="77777777" w:rsidR="004C1AE2" w:rsidRPr="00B14963" w:rsidRDefault="004C1AE2" w:rsidP="004C1AE2">
      <w:pPr>
        <w:spacing w:after="200"/>
        <w:jc w:val="both"/>
        <w:rPr>
          <w:rFonts w:eastAsia="Calibri"/>
          <w:sz w:val="22"/>
          <w:szCs w:val="22"/>
        </w:rPr>
      </w:pPr>
      <w:r w:rsidRPr="00B14963">
        <w:rPr>
          <w:rFonts w:eastAsia="Calibri"/>
          <w:sz w:val="22"/>
          <w:szCs w:val="22"/>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1C32841E" w14:textId="77777777" w:rsidR="004C1AE2" w:rsidRPr="00B14963" w:rsidRDefault="004C1AE2" w:rsidP="004C1AE2">
      <w:pPr>
        <w:pStyle w:val="NoSpacing"/>
        <w:jc w:val="both"/>
        <w:rPr>
          <w:rFonts w:eastAsia="Calibri"/>
          <w:sz w:val="22"/>
          <w:szCs w:val="22"/>
          <w:lang w:val="sr-Latn-ME"/>
        </w:rPr>
      </w:pPr>
      <w:r w:rsidRPr="00B14963">
        <w:rPr>
          <w:rFonts w:eastAsia="Calibri"/>
          <w:sz w:val="22"/>
          <w:szCs w:val="22"/>
          <w:lang w:val="sr-Latn-ME"/>
        </w:rPr>
        <w:t xml:space="preserve">Institut za ljekove i medicinska sredstva </w:t>
      </w:r>
    </w:p>
    <w:p w14:paraId="59033775" w14:textId="77777777" w:rsidR="004C1AE2" w:rsidRPr="00B14963" w:rsidRDefault="004C1AE2" w:rsidP="004C1AE2">
      <w:pPr>
        <w:pStyle w:val="NoSpacing"/>
        <w:jc w:val="both"/>
        <w:rPr>
          <w:rFonts w:eastAsia="Calibri"/>
          <w:sz w:val="22"/>
          <w:szCs w:val="22"/>
          <w:lang w:val="sr-Latn-ME"/>
        </w:rPr>
      </w:pPr>
      <w:r w:rsidRPr="00B14963">
        <w:rPr>
          <w:rFonts w:eastAsia="Calibri"/>
          <w:sz w:val="22"/>
          <w:szCs w:val="22"/>
          <w:lang w:val="sr-Latn-ME"/>
        </w:rPr>
        <w:t>Odjeljenje za farmakovigilancu</w:t>
      </w:r>
    </w:p>
    <w:p w14:paraId="6B73650F" w14:textId="77777777" w:rsidR="004C1AE2" w:rsidRPr="00B14963" w:rsidRDefault="004C1AE2" w:rsidP="004C1AE2">
      <w:pPr>
        <w:pStyle w:val="NoSpacing"/>
        <w:jc w:val="both"/>
        <w:rPr>
          <w:rFonts w:eastAsia="Calibri"/>
          <w:sz w:val="22"/>
          <w:szCs w:val="22"/>
          <w:lang w:val="sr-Latn-ME"/>
        </w:rPr>
      </w:pPr>
      <w:r w:rsidRPr="00B14963">
        <w:rPr>
          <w:rFonts w:eastAsia="Calibri"/>
          <w:sz w:val="22"/>
          <w:szCs w:val="22"/>
          <w:lang w:val="sr-Latn-ME"/>
        </w:rPr>
        <w:t>Bulevar Ivana Crnojevića 64a, 81000 Podgorica</w:t>
      </w:r>
    </w:p>
    <w:p w14:paraId="44F8DD52" w14:textId="77777777" w:rsidR="004C1AE2" w:rsidRPr="00B14963" w:rsidRDefault="004C1AE2" w:rsidP="004C1AE2">
      <w:pPr>
        <w:pStyle w:val="NoSpacing"/>
        <w:rPr>
          <w:rFonts w:eastAsia="Calibri"/>
          <w:sz w:val="22"/>
          <w:szCs w:val="22"/>
          <w:lang w:val="sr-Latn-ME"/>
        </w:rPr>
      </w:pPr>
    </w:p>
    <w:p w14:paraId="1A4F69C9" w14:textId="77777777" w:rsidR="004C1AE2" w:rsidRPr="00B14963" w:rsidRDefault="004C1AE2" w:rsidP="004C1AE2">
      <w:pPr>
        <w:pStyle w:val="NoSpacing"/>
        <w:jc w:val="both"/>
        <w:rPr>
          <w:rFonts w:eastAsia="Calibri"/>
          <w:sz w:val="22"/>
          <w:szCs w:val="22"/>
          <w:lang w:val="sr-Latn-ME"/>
        </w:rPr>
      </w:pPr>
      <w:r w:rsidRPr="00B14963">
        <w:rPr>
          <w:rFonts w:eastAsia="Calibri"/>
          <w:sz w:val="22"/>
          <w:szCs w:val="22"/>
          <w:lang w:val="sr-Latn-ME"/>
        </w:rPr>
        <w:t>tel: +382 (0) 20 310 280</w:t>
      </w:r>
    </w:p>
    <w:p w14:paraId="7399F312" w14:textId="77777777" w:rsidR="004C1AE2" w:rsidRPr="00B14963" w:rsidRDefault="004C1AE2" w:rsidP="004C1AE2">
      <w:pPr>
        <w:pStyle w:val="NoSpacing"/>
        <w:jc w:val="both"/>
        <w:rPr>
          <w:rFonts w:eastAsia="Calibri"/>
          <w:sz w:val="22"/>
          <w:szCs w:val="22"/>
          <w:lang w:val="sr-Latn-ME"/>
        </w:rPr>
      </w:pPr>
      <w:r w:rsidRPr="00B14963">
        <w:rPr>
          <w:rFonts w:eastAsia="Calibri"/>
          <w:sz w:val="22"/>
          <w:szCs w:val="22"/>
          <w:lang w:val="sr-Latn-ME"/>
        </w:rPr>
        <w:t>fax: +382 (0) 20 310 581</w:t>
      </w:r>
    </w:p>
    <w:p w14:paraId="740EFC70" w14:textId="77777777" w:rsidR="004C1AE2" w:rsidRPr="00B14963" w:rsidRDefault="008D7601" w:rsidP="004C1AE2">
      <w:pPr>
        <w:pStyle w:val="NoSpacing"/>
        <w:jc w:val="both"/>
        <w:rPr>
          <w:rFonts w:eastAsia="Calibri"/>
          <w:sz w:val="22"/>
          <w:szCs w:val="22"/>
          <w:lang w:val="sr-Latn-ME"/>
        </w:rPr>
      </w:pPr>
      <w:hyperlink r:id="rId8" w:history="1">
        <w:r w:rsidR="004C1AE2" w:rsidRPr="00B14963">
          <w:rPr>
            <w:rStyle w:val="Hyperlink"/>
            <w:rFonts w:eastAsia="Calibri"/>
            <w:sz w:val="22"/>
            <w:szCs w:val="22"/>
            <w:lang w:val="sr-Latn-ME"/>
          </w:rPr>
          <w:t>www.cinmed.me</w:t>
        </w:r>
      </w:hyperlink>
    </w:p>
    <w:p w14:paraId="7DF73B1C" w14:textId="77777777" w:rsidR="004C1AE2" w:rsidRPr="00B14963" w:rsidRDefault="008D7601" w:rsidP="004C1AE2">
      <w:pPr>
        <w:pStyle w:val="NoSpacing"/>
        <w:jc w:val="both"/>
        <w:rPr>
          <w:rFonts w:eastAsia="Calibri"/>
          <w:color w:val="0000FF"/>
          <w:sz w:val="22"/>
          <w:szCs w:val="22"/>
          <w:u w:val="single"/>
          <w:lang w:val="sr-Latn-ME"/>
        </w:rPr>
      </w:pPr>
      <w:hyperlink r:id="rId9" w:history="1">
        <w:r w:rsidR="004C1AE2" w:rsidRPr="00B14963">
          <w:rPr>
            <w:rStyle w:val="Hyperlink"/>
            <w:rFonts w:eastAsia="Calibri"/>
            <w:sz w:val="22"/>
            <w:szCs w:val="22"/>
            <w:lang w:val="sr-Latn-ME"/>
          </w:rPr>
          <w:t>nezeljenadejstva@cinmed.me</w:t>
        </w:r>
      </w:hyperlink>
    </w:p>
    <w:p w14:paraId="10A3AD11" w14:textId="77777777" w:rsidR="004C1AE2" w:rsidRPr="00B14963" w:rsidRDefault="004C1AE2" w:rsidP="004C1AE2">
      <w:pPr>
        <w:pStyle w:val="NoSpacing"/>
        <w:jc w:val="both"/>
        <w:rPr>
          <w:rFonts w:eastAsia="Calibri"/>
          <w:sz w:val="22"/>
          <w:szCs w:val="22"/>
          <w:lang w:val="sr-Latn-ME"/>
        </w:rPr>
      </w:pPr>
      <w:r w:rsidRPr="00B14963">
        <w:rPr>
          <w:rFonts w:eastAsia="Calibri"/>
          <w:sz w:val="22"/>
          <w:szCs w:val="22"/>
          <w:lang w:val="sr-Latn-ME"/>
        </w:rPr>
        <w:t>putem IS zdravstvene zaštite</w:t>
      </w:r>
    </w:p>
    <w:p w14:paraId="72331D72" w14:textId="77777777" w:rsidR="00ED5FC3" w:rsidRPr="00B14963" w:rsidRDefault="00ED5FC3" w:rsidP="00ED5FC3">
      <w:pPr>
        <w:pStyle w:val="NoSpacing"/>
        <w:jc w:val="both"/>
        <w:rPr>
          <w:rFonts w:eastAsia="Calibri"/>
          <w:sz w:val="22"/>
          <w:szCs w:val="22"/>
          <w:lang w:val="sr-Latn-ME"/>
        </w:rPr>
      </w:pPr>
      <w:r w:rsidRPr="00B14963">
        <w:rPr>
          <w:rFonts w:eastAsia="Calibri"/>
          <w:sz w:val="22"/>
          <w:szCs w:val="22"/>
          <w:lang w:val="sr-Latn-ME"/>
        </w:rPr>
        <w:t>QR kod za online prijavu sumnje na neželjeno dejstvo lijeka:</w:t>
      </w:r>
    </w:p>
    <w:p w14:paraId="2DFD8810" w14:textId="77777777" w:rsidR="00ED5FC3" w:rsidRPr="00B14963" w:rsidRDefault="00ED5FC3" w:rsidP="004C1AE2">
      <w:pPr>
        <w:pStyle w:val="NoSpacing"/>
        <w:jc w:val="both"/>
        <w:rPr>
          <w:rFonts w:eastAsia="Calibri"/>
          <w:sz w:val="22"/>
          <w:szCs w:val="22"/>
          <w:lang w:val="sr-Latn-ME"/>
        </w:rPr>
      </w:pPr>
    </w:p>
    <w:p w14:paraId="7259AC25" w14:textId="77777777" w:rsidR="00ED5FC3" w:rsidRPr="00B14963" w:rsidRDefault="00A965B5" w:rsidP="004C1AE2">
      <w:pPr>
        <w:pStyle w:val="NoSpacing"/>
        <w:jc w:val="both"/>
        <w:rPr>
          <w:rFonts w:eastAsia="Calibri"/>
          <w:sz w:val="22"/>
          <w:szCs w:val="22"/>
          <w:lang w:val="sr-Latn-ME"/>
        </w:rPr>
      </w:pPr>
      <w:r w:rsidRPr="00B14963">
        <w:rPr>
          <w:b/>
          <w:bCs/>
          <w:noProof/>
          <w:sz w:val="22"/>
          <w:szCs w:val="22"/>
        </w:rPr>
        <w:drawing>
          <wp:inline distT="0" distB="0" distL="0" distR="0" wp14:anchorId="01B729EC" wp14:editId="5915B390">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752DFB94" w14:textId="77777777" w:rsidR="00836B35" w:rsidRPr="00B14963" w:rsidRDefault="00836B35" w:rsidP="00874EF0">
      <w:pPr>
        <w:tabs>
          <w:tab w:val="left" w:pos="540"/>
          <w:tab w:val="left" w:pos="569"/>
        </w:tabs>
        <w:jc w:val="both"/>
        <w:rPr>
          <w:b/>
          <w:bCs/>
          <w:sz w:val="22"/>
          <w:szCs w:val="22"/>
        </w:rPr>
      </w:pPr>
    </w:p>
    <w:p w14:paraId="00194B97" w14:textId="77777777" w:rsidR="00CD6F02" w:rsidRPr="00B14963" w:rsidRDefault="0072020E" w:rsidP="00874EF0">
      <w:pPr>
        <w:tabs>
          <w:tab w:val="left" w:pos="540"/>
          <w:tab w:val="left" w:pos="569"/>
        </w:tabs>
        <w:jc w:val="both"/>
        <w:rPr>
          <w:b/>
          <w:bCs/>
          <w:sz w:val="22"/>
          <w:szCs w:val="22"/>
        </w:rPr>
      </w:pPr>
      <w:r w:rsidRPr="00B14963">
        <w:rPr>
          <w:b/>
          <w:bCs/>
          <w:sz w:val="22"/>
          <w:szCs w:val="22"/>
        </w:rPr>
        <w:t xml:space="preserve">4.9. </w:t>
      </w:r>
      <w:r w:rsidR="00480FB1" w:rsidRPr="00B14963">
        <w:rPr>
          <w:b/>
          <w:bCs/>
          <w:sz w:val="22"/>
          <w:szCs w:val="22"/>
        </w:rPr>
        <w:tab/>
      </w:r>
      <w:r w:rsidRPr="00B14963">
        <w:rPr>
          <w:b/>
          <w:bCs/>
          <w:sz w:val="22"/>
          <w:szCs w:val="22"/>
        </w:rPr>
        <w:t>Predoziranje</w:t>
      </w:r>
      <w:r w:rsidR="002846DB" w:rsidRPr="00B14963">
        <w:rPr>
          <w:b/>
          <w:bCs/>
          <w:sz w:val="22"/>
          <w:szCs w:val="22"/>
        </w:rPr>
        <w:t xml:space="preserve"> </w:t>
      </w:r>
    </w:p>
    <w:p w14:paraId="657585D8" w14:textId="77777777" w:rsidR="00874EF0" w:rsidRPr="00B14963" w:rsidRDefault="00874EF0" w:rsidP="00874EF0">
      <w:pPr>
        <w:tabs>
          <w:tab w:val="left" w:pos="540"/>
          <w:tab w:val="left" w:pos="569"/>
        </w:tabs>
        <w:jc w:val="both"/>
        <w:rPr>
          <w:b/>
          <w:bCs/>
          <w:sz w:val="22"/>
          <w:szCs w:val="22"/>
        </w:rPr>
      </w:pPr>
    </w:p>
    <w:p w14:paraId="689C8CD4" w14:textId="77777777" w:rsidR="00874EF0" w:rsidRPr="00B14963" w:rsidRDefault="00874EF0" w:rsidP="00874EF0">
      <w:pPr>
        <w:jc w:val="both"/>
        <w:outlineLvl w:val="0"/>
        <w:rPr>
          <w:sz w:val="22"/>
          <w:szCs w:val="22"/>
        </w:rPr>
      </w:pPr>
      <w:r w:rsidRPr="00B14963">
        <w:rPr>
          <w:sz w:val="22"/>
          <w:szCs w:val="22"/>
        </w:rPr>
        <w:t>Iz kliničkih studija kod ljudi dostupno je ograničeno iskustvo sa primjenom većih doza intravenske formulacije lijeka MabThera. Najviša do sada ispitivana intravenska doza lijeka MabThera kod ljudi iznosi 5000 mg (2250 mg/m</w:t>
      </w:r>
      <w:r w:rsidRPr="00B14963">
        <w:rPr>
          <w:sz w:val="22"/>
          <w:szCs w:val="22"/>
          <w:vertAlign w:val="superscript"/>
        </w:rPr>
        <w:t>2</w:t>
      </w:r>
      <w:r w:rsidRPr="00B14963">
        <w:rPr>
          <w:sz w:val="22"/>
          <w:szCs w:val="22"/>
        </w:rPr>
        <w:t>), a testirana je u sklopu studije postupnog povećanja doze kod pacijenata sa hroničnom limfocitnom leukemijom. Nijesu uočeni dodatni bezbjednosni signali.</w:t>
      </w:r>
    </w:p>
    <w:p w14:paraId="58D394EE" w14:textId="77777777" w:rsidR="00874EF0" w:rsidRPr="00B14963" w:rsidRDefault="00874EF0" w:rsidP="00874EF0">
      <w:pPr>
        <w:jc w:val="both"/>
        <w:outlineLvl w:val="0"/>
        <w:rPr>
          <w:sz w:val="22"/>
          <w:szCs w:val="22"/>
        </w:rPr>
      </w:pPr>
    </w:p>
    <w:p w14:paraId="4805483A" w14:textId="77777777" w:rsidR="00874EF0" w:rsidRPr="00B14963" w:rsidRDefault="00874EF0" w:rsidP="00874EF0">
      <w:pPr>
        <w:jc w:val="both"/>
        <w:outlineLvl w:val="0"/>
        <w:rPr>
          <w:sz w:val="22"/>
          <w:szCs w:val="22"/>
        </w:rPr>
      </w:pPr>
      <w:r w:rsidRPr="00B14963">
        <w:rPr>
          <w:sz w:val="22"/>
          <w:szCs w:val="22"/>
        </w:rPr>
        <w:t>Kod pacijenata kod kojih dođe do predoziranja treba odmah prekinuti infuziju i pažljivo ih nadzirati.</w:t>
      </w:r>
    </w:p>
    <w:p w14:paraId="0DB0A3C7" w14:textId="77777777" w:rsidR="00874EF0" w:rsidRPr="00B14963" w:rsidRDefault="00874EF0" w:rsidP="00874EF0">
      <w:pPr>
        <w:jc w:val="both"/>
        <w:outlineLvl w:val="0"/>
        <w:rPr>
          <w:sz w:val="22"/>
          <w:szCs w:val="22"/>
        </w:rPr>
      </w:pPr>
    </w:p>
    <w:p w14:paraId="4C87C071" w14:textId="77777777" w:rsidR="00874EF0" w:rsidRPr="00B14963" w:rsidRDefault="00874EF0" w:rsidP="00874EF0">
      <w:pPr>
        <w:jc w:val="both"/>
        <w:outlineLvl w:val="0"/>
        <w:rPr>
          <w:sz w:val="22"/>
          <w:szCs w:val="22"/>
        </w:rPr>
      </w:pPr>
      <w:r w:rsidRPr="00B14963">
        <w:rPr>
          <w:sz w:val="22"/>
          <w:szCs w:val="22"/>
        </w:rPr>
        <w:t>U studiji SABRINA (BO22334), u kojoj se ispitivala formulacija lijeka MabThera za subkutanu primjenu kod NHL-a, kod tri pacijenta je intravenskim putem slučajno primijenjena formulacija za subkutanu primjenu u dozi koja je sadržavala najviše 2780 mg rituksimaba, ali nijesu zabilježena neželjena dejstva.</w:t>
      </w:r>
    </w:p>
    <w:p w14:paraId="0EEE7CE8" w14:textId="77777777" w:rsidR="00874EF0" w:rsidRPr="00B14963" w:rsidRDefault="00874EF0" w:rsidP="00874EF0">
      <w:pPr>
        <w:jc w:val="both"/>
        <w:outlineLvl w:val="0"/>
        <w:rPr>
          <w:sz w:val="22"/>
          <w:szCs w:val="22"/>
        </w:rPr>
      </w:pPr>
      <w:r w:rsidRPr="00B14963">
        <w:rPr>
          <w:sz w:val="22"/>
          <w:szCs w:val="22"/>
        </w:rPr>
        <w:t>Pacijente kod kojih dođe do predoziranja ili medicinske greške kod primjene lijeka MabThera treba pažljivo nadgledati.</w:t>
      </w:r>
    </w:p>
    <w:p w14:paraId="6E3A7931" w14:textId="77777777" w:rsidR="00874EF0" w:rsidRPr="00B14963" w:rsidRDefault="00874EF0" w:rsidP="00874EF0">
      <w:pPr>
        <w:jc w:val="both"/>
        <w:outlineLvl w:val="0"/>
        <w:rPr>
          <w:sz w:val="22"/>
          <w:szCs w:val="22"/>
        </w:rPr>
      </w:pPr>
    </w:p>
    <w:p w14:paraId="54482D62" w14:textId="77777777" w:rsidR="00CD6F02" w:rsidRPr="00B14963" w:rsidRDefault="00874EF0" w:rsidP="00874EF0">
      <w:pPr>
        <w:tabs>
          <w:tab w:val="left" w:pos="540"/>
          <w:tab w:val="left" w:pos="569"/>
        </w:tabs>
        <w:jc w:val="both"/>
        <w:rPr>
          <w:b/>
          <w:bCs/>
          <w:sz w:val="22"/>
          <w:szCs w:val="22"/>
        </w:rPr>
      </w:pPr>
      <w:r w:rsidRPr="00B14963">
        <w:rPr>
          <w:sz w:val="22"/>
          <w:szCs w:val="22"/>
        </w:rPr>
        <w:t>Nakon stavljanja lijeka u promet, prijavljeno je pet slučajeva predoziranja lijekom MabThera. Za tri slučaja nije prijavljeno nijedno neželjeno dejstvo. Dva prijavljena neželjena dejstva odnosila su se na simptome poput gripa pri dozi od 1,8 g rituksimaba, te na respiratornu insuficijenciju sa fatalnim ishodom  pri dozi od 2 g rituksimaba.</w:t>
      </w:r>
    </w:p>
    <w:p w14:paraId="7001E7AF" w14:textId="77777777" w:rsidR="00227BDB" w:rsidRPr="00B14963" w:rsidRDefault="00227BDB" w:rsidP="00874EF0">
      <w:pPr>
        <w:tabs>
          <w:tab w:val="left" w:pos="540"/>
          <w:tab w:val="left" w:pos="569"/>
        </w:tabs>
        <w:jc w:val="both"/>
        <w:rPr>
          <w:b/>
          <w:bCs/>
          <w:sz w:val="22"/>
          <w:szCs w:val="22"/>
        </w:rPr>
      </w:pPr>
    </w:p>
    <w:p w14:paraId="142211AC" w14:textId="77777777" w:rsidR="001E6D1D" w:rsidRPr="00B14963" w:rsidRDefault="001E6D1D" w:rsidP="00874EF0">
      <w:pPr>
        <w:tabs>
          <w:tab w:val="left" w:pos="540"/>
          <w:tab w:val="left" w:pos="569"/>
        </w:tabs>
        <w:jc w:val="both"/>
        <w:rPr>
          <w:b/>
          <w:bCs/>
          <w:sz w:val="22"/>
          <w:szCs w:val="22"/>
        </w:rPr>
      </w:pPr>
    </w:p>
    <w:p w14:paraId="7A0CB8F1" w14:textId="77777777" w:rsidR="0072020E" w:rsidRPr="00B14963" w:rsidRDefault="0072020E" w:rsidP="00874EF0">
      <w:pPr>
        <w:tabs>
          <w:tab w:val="left" w:pos="540"/>
          <w:tab w:val="left" w:pos="569"/>
        </w:tabs>
        <w:jc w:val="both"/>
        <w:rPr>
          <w:b/>
          <w:bCs/>
          <w:sz w:val="22"/>
          <w:szCs w:val="22"/>
        </w:rPr>
      </w:pPr>
      <w:r w:rsidRPr="00B14963">
        <w:rPr>
          <w:b/>
          <w:bCs/>
          <w:sz w:val="22"/>
          <w:szCs w:val="22"/>
        </w:rPr>
        <w:t xml:space="preserve">5. </w:t>
      </w:r>
      <w:r w:rsidR="00480FB1" w:rsidRPr="00B14963">
        <w:rPr>
          <w:b/>
          <w:bCs/>
          <w:sz w:val="22"/>
          <w:szCs w:val="22"/>
        </w:rPr>
        <w:tab/>
      </w:r>
      <w:r w:rsidRPr="00B14963">
        <w:rPr>
          <w:b/>
          <w:bCs/>
          <w:sz w:val="22"/>
          <w:szCs w:val="22"/>
        </w:rPr>
        <w:t>FARMAKOLOŠK</w:t>
      </w:r>
      <w:r w:rsidR="000D425A" w:rsidRPr="00B14963">
        <w:rPr>
          <w:b/>
          <w:bCs/>
          <w:sz w:val="22"/>
          <w:szCs w:val="22"/>
        </w:rPr>
        <w:t>I</w:t>
      </w:r>
      <w:r w:rsidRPr="00B14963">
        <w:rPr>
          <w:b/>
          <w:bCs/>
          <w:sz w:val="22"/>
          <w:szCs w:val="22"/>
        </w:rPr>
        <w:t xml:space="preserve"> PODACI</w:t>
      </w:r>
    </w:p>
    <w:p w14:paraId="551FDE00" w14:textId="77777777" w:rsidR="0072020E" w:rsidRPr="00B14963" w:rsidRDefault="0072020E" w:rsidP="00874EF0">
      <w:pPr>
        <w:tabs>
          <w:tab w:val="left" w:pos="540"/>
          <w:tab w:val="left" w:pos="569"/>
        </w:tabs>
        <w:jc w:val="both"/>
        <w:rPr>
          <w:b/>
          <w:bCs/>
          <w:sz w:val="22"/>
          <w:szCs w:val="22"/>
        </w:rPr>
      </w:pPr>
    </w:p>
    <w:p w14:paraId="429487EE" w14:textId="77777777" w:rsidR="0072020E" w:rsidRPr="00B14963" w:rsidRDefault="0072020E" w:rsidP="00874EF0">
      <w:pPr>
        <w:tabs>
          <w:tab w:val="left" w:pos="540"/>
          <w:tab w:val="left" w:pos="569"/>
        </w:tabs>
        <w:jc w:val="both"/>
        <w:rPr>
          <w:b/>
          <w:bCs/>
          <w:sz w:val="22"/>
          <w:szCs w:val="22"/>
        </w:rPr>
      </w:pPr>
      <w:r w:rsidRPr="00B14963">
        <w:rPr>
          <w:b/>
          <w:bCs/>
          <w:sz w:val="22"/>
          <w:szCs w:val="22"/>
        </w:rPr>
        <w:t xml:space="preserve">5.1. </w:t>
      </w:r>
      <w:r w:rsidR="00480FB1" w:rsidRPr="00B14963">
        <w:rPr>
          <w:b/>
          <w:bCs/>
          <w:sz w:val="22"/>
          <w:szCs w:val="22"/>
        </w:rPr>
        <w:tab/>
      </w:r>
      <w:r w:rsidRPr="00B14963">
        <w:rPr>
          <w:b/>
          <w:bCs/>
          <w:sz w:val="22"/>
          <w:szCs w:val="22"/>
        </w:rPr>
        <w:t>Farmakodinamski podaci</w:t>
      </w:r>
      <w:r w:rsidR="003A7059" w:rsidRPr="00B14963">
        <w:rPr>
          <w:b/>
          <w:bCs/>
          <w:sz w:val="22"/>
          <w:szCs w:val="22"/>
        </w:rPr>
        <w:t xml:space="preserve"> </w:t>
      </w:r>
    </w:p>
    <w:p w14:paraId="572F9ECF" w14:textId="77777777" w:rsidR="00F45F77" w:rsidRPr="00B14963" w:rsidRDefault="00F45F77" w:rsidP="00874EF0">
      <w:pPr>
        <w:tabs>
          <w:tab w:val="left" w:pos="540"/>
          <w:tab w:val="left" w:pos="569"/>
        </w:tabs>
        <w:jc w:val="both"/>
        <w:rPr>
          <w:b/>
          <w:bCs/>
          <w:sz w:val="22"/>
          <w:szCs w:val="22"/>
        </w:rPr>
      </w:pPr>
    </w:p>
    <w:p w14:paraId="58EC53DF" w14:textId="77777777" w:rsidR="0072020E" w:rsidRPr="00B14963" w:rsidRDefault="0072020E" w:rsidP="00874EF0">
      <w:pPr>
        <w:tabs>
          <w:tab w:val="left" w:pos="540"/>
          <w:tab w:val="left" w:pos="569"/>
        </w:tabs>
        <w:jc w:val="both"/>
        <w:rPr>
          <w:bCs/>
          <w:sz w:val="22"/>
          <w:szCs w:val="22"/>
        </w:rPr>
      </w:pPr>
      <w:r w:rsidRPr="00B14963">
        <w:rPr>
          <w:bCs/>
          <w:sz w:val="22"/>
          <w:szCs w:val="22"/>
        </w:rPr>
        <w:t>Farmakoterapijska grupa:</w:t>
      </w:r>
      <w:r w:rsidR="00874EF0" w:rsidRPr="00B14963">
        <w:rPr>
          <w:sz w:val="22"/>
          <w:szCs w:val="22"/>
        </w:rPr>
        <w:t xml:space="preserve"> </w:t>
      </w:r>
      <w:r w:rsidR="00555704" w:rsidRPr="00B14963">
        <w:rPr>
          <w:bCs/>
          <w:sz w:val="22"/>
          <w:szCs w:val="22"/>
        </w:rPr>
        <w:t>antineoplastici, m</w:t>
      </w:r>
      <w:r w:rsidR="00874EF0" w:rsidRPr="00B14963">
        <w:rPr>
          <w:bCs/>
          <w:sz w:val="22"/>
          <w:szCs w:val="22"/>
        </w:rPr>
        <w:t>onoklonska antitijela</w:t>
      </w:r>
      <w:r w:rsidR="00555704" w:rsidRPr="00B14963">
        <w:rPr>
          <w:bCs/>
          <w:sz w:val="22"/>
          <w:szCs w:val="22"/>
        </w:rPr>
        <w:t xml:space="preserve"> i konjugati antitijela i lijeka</w:t>
      </w:r>
    </w:p>
    <w:p w14:paraId="7D5A88B2" w14:textId="77777777" w:rsidR="0072020E" w:rsidRPr="00B14963" w:rsidRDefault="0072020E" w:rsidP="00874EF0">
      <w:pPr>
        <w:tabs>
          <w:tab w:val="left" w:pos="540"/>
          <w:tab w:val="left" w:pos="569"/>
        </w:tabs>
        <w:jc w:val="both"/>
        <w:rPr>
          <w:bCs/>
          <w:sz w:val="22"/>
          <w:szCs w:val="22"/>
        </w:rPr>
      </w:pPr>
    </w:p>
    <w:p w14:paraId="14FE6D05" w14:textId="227CA68D" w:rsidR="002E37A5" w:rsidRPr="00B14963" w:rsidRDefault="0072020E" w:rsidP="00874EF0">
      <w:pPr>
        <w:tabs>
          <w:tab w:val="left" w:pos="540"/>
          <w:tab w:val="left" w:pos="569"/>
        </w:tabs>
        <w:jc w:val="both"/>
        <w:rPr>
          <w:b/>
          <w:bCs/>
          <w:sz w:val="22"/>
          <w:szCs w:val="22"/>
        </w:rPr>
      </w:pPr>
      <w:r w:rsidRPr="00B14963">
        <w:rPr>
          <w:bCs/>
          <w:sz w:val="22"/>
          <w:szCs w:val="22"/>
        </w:rPr>
        <w:t>ATC kod:</w:t>
      </w:r>
      <w:r w:rsidR="00555704" w:rsidRPr="00B14963">
        <w:rPr>
          <w:bCs/>
          <w:sz w:val="22"/>
          <w:szCs w:val="22"/>
        </w:rPr>
        <w:t xml:space="preserve"> L01FA01</w:t>
      </w:r>
    </w:p>
    <w:p w14:paraId="7FA924CA" w14:textId="77777777" w:rsidR="00874EF0" w:rsidRPr="00B14963" w:rsidRDefault="00874EF0" w:rsidP="00874EF0">
      <w:pPr>
        <w:jc w:val="both"/>
        <w:outlineLvl w:val="0"/>
        <w:rPr>
          <w:sz w:val="22"/>
          <w:szCs w:val="22"/>
        </w:rPr>
      </w:pPr>
      <w:r w:rsidRPr="00B14963">
        <w:rPr>
          <w:sz w:val="22"/>
          <w:szCs w:val="22"/>
        </w:rPr>
        <w:lastRenderedPageBreak/>
        <w:t xml:space="preserve">Formulacija lijeka MabThera za subkutanu primjenu sadrži rekombinantnu humanu hijaluronidazu (rHuPH20), enzim koji se koristi za povećanje disperzije i resorpcije istovremeno primijenjenih ljekova, kada se oni primjenjuju subkutano.  </w:t>
      </w:r>
    </w:p>
    <w:p w14:paraId="16F560A2" w14:textId="77777777" w:rsidR="00207F15" w:rsidRPr="00B14963" w:rsidRDefault="00207F15" w:rsidP="00874EF0">
      <w:pPr>
        <w:jc w:val="both"/>
        <w:outlineLvl w:val="0"/>
        <w:rPr>
          <w:sz w:val="22"/>
          <w:szCs w:val="22"/>
        </w:rPr>
      </w:pPr>
    </w:p>
    <w:p w14:paraId="5E88D515" w14:textId="77777777" w:rsidR="00874EF0" w:rsidRPr="00B14963" w:rsidRDefault="00555704" w:rsidP="00874EF0">
      <w:pPr>
        <w:jc w:val="both"/>
        <w:rPr>
          <w:sz w:val="22"/>
          <w:szCs w:val="22"/>
        </w:rPr>
      </w:pPr>
      <w:r w:rsidRPr="00B14963">
        <w:rPr>
          <w:sz w:val="22"/>
          <w:szCs w:val="22"/>
        </w:rPr>
        <w:t>Mehanizam djelovanja</w:t>
      </w:r>
    </w:p>
    <w:p w14:paraId="4263633E" w14:textId="77777777" w:rsidR="00555704" w:rsidRPr="00B14963" w:rsidRDefault="00555704" w:rsidP="00874EF0">
      <w:pPr>
        <w:jc w:val="both"/>
        <w:rPr>
          <w:sz w:val="22"/>
          <w:szCs w:val="22"/>
        </w:rPr>
      </w:pPr>
    </w:p>
    <w:p w14:paraId="79E3087A" w14:textId="77777777" w:rsidR="00874EF0" w:rsidRPr="00B14963" w:rsidRDefault="00874EF0" w:rsidP="00874EF0">
      <w:pPr>
        <w:jc w:val="both"/>
        <w:rPr>
          <w:sz w:val="22"/>
          <w:szCs w:val="22"/>
        </w:rPr>
      </w:pPr>
      <w:r w:rsidRPr="00B14963">
        <w:rPr>
          <w:sz w:val="22"/>
          <w:szCs w:val="22"/>
        </w:rPr>
        <w:t>Rituksimab se vezuje specifično za transmembranski antigen, CD20, neglikozilovani fosfoprotein lociran na pre-B i zrelim B limfocitima. Ovaj antigen se eksprimira na &gt;95% svih B ćelijskih non-Ho</w:t>
      </w:r>
      <w:r w:rsidR="009D3F5D" w:rsidRPr="00B14963">
        <w:rPr>
          <w:sz w:val="22"/>
          <w:szCs w:val="22"/>
        </w:rPr>
        <w:t>dg</w:t>
      </w:r>
      <w:r w:rsidRPr="00B14963">
        <w:rPr>
          <w:sz w:val="22"/>
          <w:szCs w:val="22"/>
        </w:rPr>
        <w:t>kin</w:t>
      </w:r>
      <w:r w:rsidR="009D3F5D" w:rsidRPr="00B14963">
        <w:rPr>
          <w:sz w:val="22"/>
          <w:szCs w:val="22"/>
        </w:rPr>
        <w:t>-</w:t>
      </w:r>
      <w:r w:rsidRPr="00B14963">
        <w:rPr>
          <w:sz w:val="22"/>
          <w:szCs w:val="22"/>
        </w:rPr>
        <w:t xml:space="preserve">ovih limfoma. </w:t>
      </w:r>
    </w:p>
    <w:p w14:paraId="15C9310D" w14:textId="77777777" w:rsidR="00874EF0" w:rsidRPr="00B14963" w:rsidRDefault="00874EF0" w:rsidP="00874EF0">
      <w:pPr>
        <w:jc w:val="both"/>
        <w:rPr>
          <w:sz w:val="22"/>
          <w:szCs w:val="22"/>
        </w:rPr>
      </w:pPr>
    </w:p>
    <w:p w14:paraId="626B7598" w14:textId="77777777" w:rsidR="00874EF0" w:rsidRPr="00B14963" w:rsidRDefault="00874EF0" w:rsidP="00874EF0">
      <w:pPr>
        <w:jc w:val="both"/>
        <w:rPr>
          <w:sz w:val="22"/>
          <w:szCs w:val="22"/>
        </w:rPr>
      </w:pPr>
      <w:r w:rsidRPr="00B14963">
        <w:rPr>
          <w:sz w:val="22"/>
          <w:szCs w:val="22"/>
        </w:rPr>
        <w:t xml:space="preserve">CD20 se nalazi i na normalnim i na malignim B ćelijama, ali se ne nalazi na hematopoetskim matičnim ćelijama, pro-B ćelijama, normalnim ćelijama plazme ili drugom normalnom tkivu. Ovaj antigen se ne internalizuje po vezivanju antitijela i ne odvaja se sa ćelijske površine. CD20 ne cirkuliše u plazmi kao slobodni antigen i na taj način nije u kompeticiji za vezivanje antitijela. </w:t>
      </w:r>
    </w:p>
    <w:p w14:paraId="4F8B390F" w14:textId="77777777" w:rsidR="00874EF0" w:rsidRPr="00B14963" w:rsidRDefault="00874EF0" w:rsidP="00874EF0">
      <w:pPr>
        <w:jc w:val="both"/>
        <w:rPr>
          <w:sz w:val="22"/>
          <w:szCs w:val="22"/>
        </w:rPr>
      </w:pPr>
    </w:p>
    <w:p w14:paraId="2B18E36B" w14:textId="77777777" w:rsidR="00874EF0" w:rsidRPr="00B14963" w:rsidRDefault="00874EF0" w:rsidP="00874EF0">
      <w:pPr>
        <w:jc w:val="both"/>
        <w:rPr>
          <w:sz w:val="22"/>
          <w:szCs w:val="22"/>
        </w:rPr>
      </w:pPr>
      <w:r w:rsidRPr="00B14963">
        <w:rPr>
          <w:sz w:val="22"/>
          <w:szCs w:val="22"/>
        </w:rPr>
        <w:t xml:space="preserve">Domen Fab rituksimaba se vezuje za CD20 antigen na B limfocitima, a Fc domen može da </w:t>
      </w:r>
      <w:r w:rsidR="00555704" w:rsidRPr="00B14963">
        <w:rPr>
          <w:sz w:val="22"/>
          <w:szCs w:val="22"/>
        </w:rPr>
        <w:t>pokrene</w:t>
      </w:r>
      <w:r w:rsidRPr="00B14963">
        <w:rPr>
          <w:sz w:val="22"/>
          <w:szCs w:val="22"/>
        </w:rPr>
        <w:t xml:space="preserve"> funkcije </w:t>
      </w:r>
      <w:r w:rsidR="00555704" w:rsidRPr="00B14963">
        <w:rPr>
          <w:sz w:val="22"/>
          <w:szCs w:val="22"/>
        </w:rPr>
        <w:t xml:space="preserve">imunološkog efektora na </w:t>
      </w:r>
      <w:r w:rsidRPr="00B14963">
        <w:rPr>
          <w:sz w:val="22"/>
          <w:szCs w:val="22"/>
        </w:rPr>
        <w:t>posred</w:t>
      </w:r>
      <w:r w:rsidR="00555704" w:rsidRPr="00B14963">
        <w:rPr>
          <w:sz w:val="22"/>
          <w:szCs w:val="22"/>
        </w:rPr>
        <w:t>ovanje</w:t>
      </w:r>
      <w:r w:rsidRPr="00B14963">
        <w:rPr>
          <w:sz w:val="22"/>
          <w:szCs w:val="22"/>
        </w:rPr>
        <w:t xml:space="preserve"> lize B ćelija. U moguće mehanizme efektorski posredovanog ćelijskog liziranja spadaju citotoksičnost koja zavisi od komplementa (CDC) koja proističe iz vezivanja C1q, i ćelijska citotoksičnost koja zavisi od antitijela (ADCC) posredovana putem jednog ili više Fcγ receptora na površini granulocita, makrofaga i NK ćelija. Pokazano je i da vezivanje rituksimaba za CD20 antigen na B limfocitima indukuje ćelijsku smrt apoptozom.</w:t>
      </w:r>
    </w:p>
    <w:p w14:paraId="74D95A15" w14:textId="77777777" w:rsidR="00874EF0" w:rsidRPr="00B14963" w:rsidRDefault="00874EF0" w:rsidP="00874EF0">
      <w:pPr>
        <w:jc w:val="both"/>
        <w:rPr>
          <w:sz w:val="22"/>
          <w:szCs w:val="22"/>
        </w:rPr>
      </w:pPr>
    </w:p>
    <w:p w14:paraId="5161CC24" w14:textId="77777777" w:rsidR="00555704" w:rsidRPr="00B14963" w:rsidRDefault="00555704" w:rsidP="00874EF0">
      <w:pPr>
        <w:jc w:val="both"/>
        <w:rPr>
          <w:sz w:val="22"/>
          <w:szCs w:val="22"/>
        </w:rPr>
      </w:pPr>
      <w:r w:rsidRPr="00B14963">
        <w:rPr>
          <w:sz w:val="22"/>
          <w:szCs w:val="22"/>
        </w:rPr>
        <w:t>Farmakodinamički efekti</w:t>
      </w:r>
    </w:p>
    <w:p w14:paraId="2FE16C4D" w14:textId="77777777" w:rsidR="00555704" w:rsidRPr="00B14963" w:rsidRDefault="00555704" w:rsidP="00874EF0">
      <w:pPr>
        <w:jc w:val="both"/>
        <w:rPr>
          <w:sz w:val="22"/>
          <w:szCs w:val="22"/>
        </w:rPr>
      </w:pPr>
    </w:p>
    <w:p w14:paraId="76049D09" w14:textId="77777777" w:rsidR="00874EF0" w:rsidRPr="00B14963" w:rsidRDefault="00874EF0" w:rsidP="00874EF0">
      <w:pPr>
        <w:jc w:val="both"/>
        <w:outlineLvl w:val="0"/>
        <w:rPr>
          <w:sz w:val="22"/>
          <w:szCs w:val="22"/>
        </w:rPr>
      </w:pPr>
      <w:r w:rsidRPr="00B14963">
        <w:rPr>
          <w:sz w:val="22"/>
          <w:szCs w:val="22"/>
        </w:rPr>
        <w:t xml:space="preserve">Srednji broj B ćelija u perifernoj cirkulaciji opada na vrijednost ispod normale po završetku prve doze lijeka MabThera. Kod pacijenata koji su liječeni od hematoloških maligniteta, deplecija B ćelija započinje u roku od 6 mjeseci po terapiji, a vraća se na normalne nivoe u okviru 12 mjeseci po završetku terapije, iako kod nekih pacijenata to može trajati duže (do medijana vremena obnove od 23 mjeseca nakon uvođenja liječenja). Kod oboljelih od reumatoidnog artritisa, neposredna deplecija B ćelija u perifernoj krvi bilježi se poslije dvije infuzije od 1000 mg lijeka MabThera koje se daju u razmaku od 14 dana. Broj B ćelija u perifernoj krvi počinje da se povećava od 24. nedjelje, a kod većine pacijenata se dokazi o repopulaciji registruju do 40. nedjelje, bilo da se lijek MabThera daje kao monoterapija, ili u kombinaciji sa metotreksatom. </w:t>
      </w:r>
    </w:p>
    <w:p w14:paraId="2A096505" w14:textId="77777777" w:rsidR="00874EF0" w:rsidRPr="00B14963" w:rsidRDefault="00874EF0" w:rsidP="00874EF0">
      <w:pPr>
        <w:jc w:val="both"/>
        <w:rPr>
          <w:sz w:val="22"/>
          <w:szCs w:val="22"/>
        </w:rPr>
      </w:pPr>
    </w:p>
    <w:p w14:paraId="4575494F" w14:textId="77777777" w:rsidR="00555704" w:rsidRPr="00B14963" w:rsidRDefault="00555704" w:rsidP="00874EF0">
      <w:pPr>
        <w:jc w:val="both"/>
        <w:rPr>
          <w:sz w:val="22"/>
          <w:szCs w:val="22"/>
        </w:rPr>
      </w:pPr>
      <w:r w:rsidRPr="00B14963">
        <w:rPr>
          <w:sz w:val="22"/>
          <w:szCs w:val="22"/>
        </w:rPr>
        <w:t xml:space="preserve">Klinička efikasnost i bezbjednost </w:t>
      </w:r>
    </w:p>
    <w:p w14:paraId="3F8A2308" w14:textId="77777777" w:rsidR="00555704" w:rsidRPr="00B14963" w:rsidRDefault="00555704" w:rsidP="00874EF0">
      <w:pPr>
        <w:jc w:val="both"/>
        <w:rPr>
          <w:sz w:val="22"/>
          <w:szCs w:val="22"/>
        </w:rPr>
      </w:pPr>
    </w:p>
    <w:p w14:paraId="316EC0C0" w14:textId="77777777" w:rsidR="00874EF0" w:rsidRPr="00B14963" w:rsidRDefault="00874EF0" w:rsidP="00874EF0">
      <w:pPr>
        <w:jc w:val="both"/>
        <w:rPr>
          <w:sz w:val="22"/>
          <w:szCs w:val="22"/>
          <w:u w:val="single"/>
        </w:rPr>
      </w:pPr>
      <w:r w:rsidRPr="00B14963">
        <w:rPr>
          <w:sz w:val="22"/>
          <w:szCs w:val="22"/>
          <w:u w:val="single"/>
        </w:rPr>
        <w:t>Kliničk</w:t>
      </w:r>
      <w:r w:rsidR="00555704" w:rsidRPr="00B14963">
        <w:rPr>
          <w:sz w:val="22"/>
          <w:szCs w:val="22"/>
          <w:u w:val="single"/>
        </w:rPr>
        <w:t>a</w:t>
      </w:r>
      <w:r w:rsidRPr="00B14963">
        <w:rPr>
          <w:sz w:val="22"/>
          <w:szCs w:val="22"/>
          <w:u w:val="single"/>
        </w:rPr>
        <w:t xml:space="preserve"> </w:t>
      </w:r>
      <w:r w:rsidR="00555704" w:rsidRPr="00B14963">
        <w:rPr>
          <w:sz w:val="22"/>
          <w:szCs w:val="22"/>
          <w:u w:val="single"/>
        </w:rPr>
        <w:t xml:space="preserve">efikasnost i bezbjednost </w:t>
      </w:r>
      <w:r w:rsidRPr="00B14963">
        <w:rPr>
          <w:sz w:val="22"/>
          <w:szCs w:val="22"/>
          <w:u w:val="single"/>
        </w:rPr>
        <w:t>lijeka MabThera u formulaciji za subkutanu primjenu u liječenju hronične limfocitne leukemije</w:t>
      </w:r>
    </w:p>
    <w:p w14:paraId="00E54D3C" w14:textId="77777777" w:rsidR="00874EF0" w:rsidRPr="00B14963" w:rsidRDefault="00874EF0" w:rsidP="00874EF0">
      <w:pPr>
        <w:jc w:val="both"/>
        <w:rPr>
          <w:sz w:val="22"/>
          <w:szCs w:val="22"/>
        </w:rPr>
      </w:pPr>
    </w:p>
    <w:p w14:paraId="77D0B536" w14:textId="77777777" w:rsidR="00874EF0" w:rsidRPr="00B14963" w:rsidRDefault="00874EF0" w:rsidP="00874EF0">
      <w:pPr>
        <w:jc w:val="both"/>
        <w:outlineLvl w:val="0"/>
        <w:rPr>
          <w:sz w:val="22"/>
          <w:szCs w:val="22"/>
        </w:rPr>
      </w:pPr>
      <w:r w:rsidRPr="00B14963">
        <w:rPr>
          <w:sz w:val="22"/>
          <w:szCs w:val="22"/>
        </w:rPr>
        <w:t>Kod pacijenata sa prethodno neliječenom HLL</w:t>
      </w:r>
      <w:r w:rsidRPr="00B14963">
        <w:rPr>
          <w:sz w:val="22"/>
          <w:szCs w:val="22"/>
        </w:rPr>
        <w:noBreakHyphen/>
        <w:t>om sprovedena je dvodijelna, multicentrična, randomizirana, otvorena studija faze Ib sa paralelnim grupama (SAWYER BO25341)</w:t>
      </w:r>
      <w:r w:rsidR="00207F15" w:rsidRPr="00B14963">
        <w:rPr>
          <w:sz w:val="22"/>
          <w:szCs w:val="22"/>
        </w:rPr>
        <w:t xml:space="preserve"> </w:t>
      </w:r>
      <w:r w:rsidRPr="00B14963">
        <w:rPr>
          <w:sz w:val="22"/>
          <w:szCs w:val="22"/>
        </w:rPr>
        <w:t>radi ocjenjivanja neinferiornosti farmakokinetičkog profila te efikasnosti i bezbjednosti lijeka MabThera u formulaciji za subkutanu primjenu u kombinaciji sa hemioterapijom.</w:t>
      </w:r>
    </w:p>
    <w:p w14:paraId="1CC4BE39" w14:textId="77777777" w:rsidR="00874EF0" w:rsidRPr="00B14963" w:rsidRDefault="00874EF0" w:rsidP="00874EF0">
      <w:pPr>
        <w:jc w:val="both"/>
        <w:outlineLvl w:val="0"/>
        <w:rPr>
          <w:sz w:val="22"/>
          <w:szCs w:val="22"/>
        </w:rPr>
      </w:pPr>
    </w:p>
    <w:p w14:paraId="42C25B69" w14:textId="77777777" w:rsidR="00874EF0" w:rsidRPr="00B14963" w:rsidRDefault="00874EF0" w:rsidP="00874EF0">
      <w:pPr>
        <w:jc w:val="both"/>
        <w:outlineLvl w:val="0"/>
        <w:rPr>
          <w:sz w:val="22"/>
          <w:szCs w:val="22"/>
        </w:rPr>
      </w:pPr>
      <w:r w:rsidRPr="00B14963">
        <w:rPr>
          <w:sz w:val="22"/>
          <w:szCs w:val="22"/>
        </w:rPr>
        <w:t>Cilj 1. dijela studije bio je odabrati dozu subkutane formulacije lijeka MabThera koja će dovesti do usporedivih vrijednosti C</w:t>
      </w:r>
      <w:r w:rsidRPr="00B14963">
        <w:rPr>
          <w:sz w:val="22"/>
          <w:szCs w:val="22"/>
          <w:vertAlign w:val="subscript"/>
        </w:rPr>
        <w:t>trough</w:t>
      </w:r>
      <w:r w:rsidRPr="00B14963">
        <w:rPr>
          <w:sz w:val="22"/>
          <w:szCs w:val="22"/>
        </w:rPr>
        <w:t xml:space="preserve"> lijeka MabThera u serumu kao intravenske formulacije. Studija je obuhvatila 64 pacijenta sa HLL</w:t>
      </w:r>
      <w:r w:rsidRPr="00B14963">
        <w:rPr>
          <w:sz w:val="22"/>
          <w:szCs w:val="22"/>
        </w:rPr>
        <w:noBreakHyphen/>
        <w:t>om, koji su bili uključeni  pre 5. ciklusa liječenja intravenskom formulacijom lijeka MabThera u kombinaciji sa hemoterapijom. Za 2. dio studije odabrana je doza subkutane formulacije lijeka MabThera od 1600 mg.</w:t>
      </w:r>
    </w:p>
    <w:p w14:paraId="3539A8A8" w14:textId="77777777" w:rsidR="00874EF0" w:rsidRPr="00B14963" w:rsidRDefault="00874EF0" w:rsidP="00874EF0">
      <w:pPr>
        <w:jc w:val="both"/>
        <w:outlineLvl w:val="0"/>
        <w:rPr>
          <w:sz w:val="22"/>
          <w:szCs w:val="22"/>
        </w:rPr>
      </w:pPr>
    </w:p>
    <w:p w14:paraId="000802E3" w14:textId="77777777" w:rsidR="00874EF0" w:rsidRPr="00B14963" w:rsidRDefault="00874EF0" w:rsidP="00874EF0">
      <w:pPr>
        <w:jc w:val="both"/>
        <w:outlineLvl w:val="0"/>
        <w:rPr>
          <w:sz w:val="22"/>
          <w:szCs w:val="22"/>
        </w:rPr>
      </w:pPr>
      <w:r w:rsidRPr="00B14963">
        <w:rPr>
          <w:sz w:val="22"/>
          <w:szCs w:val="22"/>
        </w:rPr>
        <w:t>Cilj 2. dijela studije bio je utvrditi neinferiornost opaženih vrijednosti C</w:t>
      </w:r>
      <w:r w:rsidRPr="00B14963">
        <w:rPr>
          <w:sz w:val="22"/>
          <w:szCs w:val="22"/>
          <w:vertAlign w:val="subscript"/>
        </w:rPr>
        <w:t>trough</w:t>
      </w:r>
      <w:r w:rsidRPr="00B14963">
        <w:rPr>
          <w:sz w:val="22"/>
          <w:szCs w:val="22"/>
        </w:rPr>
        <w:t xml:space="preserve"> kod primjene odabrane doze subkutane formulacije lijeka MabThera i referentne doze intravenske formulacije lijeka MabThera. Ukupno je 176 pacijenata sa HLL</w:t>
      </w:r>
      <w:r w:rsidRPr="00B14963">
        <w:rPr>
          <w:sz w:val="22"/>
          <w:szCs w:val="22"/>
        </w:rPr>
        <w:noBreakHyphen/>
        <w:t>om bilo randomizovano u sljedeće dvije terapijske grupe:</w:t>
      </w:r>
    </w:p>
    <w:p w14:paraId="4E636760" w14:textId="77777777" w:rsidR="00874EF0" w:rsidRPr="00B14963" w:rsidRDefault="00874EF0" w:rsidP="00874EF0">
      <w:pPr>
        <w:jc w:val="both"/>
        <w:outlineLvl w:val="0"/>
        <w:rPr>
          <w:szCs w:val="22"/>
        </w:rPr>
      </w:pPr>
    </w:p>
    <w:p w14:paraId="5681AE75" w14:textId="77777777" w:rsidR="00874EF0" w:rsidRPr="00B14963" w:rsidRDefault="00874EF0" w:rsidP="00874EF0">
      <w:pPr>
        <w:ind w:left="562" w:hanging="562"/>
        <w:jc w:val="both"/>
        <w:outlineLvl w:val="0"/>
        <w:rPr>
          <w:sz w:val="22"/>
          <w:szCs w:val="22"/>
        </w:rPr>
      </w:pPr>
      <w:r w:rsidRPr="00B14963">
        <w:rPr>
          <w:szCs w:val="22"/>
        </w:rPr>
        <w:sym w:font="Symbol" w:char="F0B7"/>
      </w:r>
      <w:r w:rsidRPr="00B14963">
        <w:rPr>
          <w:szCs w:val="22"/>
        </w:rPr>
        <w:tab/>
      </w:r>
      <w:r w:rsidRPr="00B14963">
        <w:rPr>
          <w:sz w:val="22"/>
          <w:szCs w:val="22"/>
        </w:rPr>
        <w:t>lijek MabThera u formulaciji za subkutanu primjenu (n=88): u 1. ciklusu primjenjivala se intravenska formulacija lijeka MabThera u dozi od 375 mg/m</w:t>
      </w:r>
      <w:r w:rsidRPr="00B14963">
        <w:rPr>
          <w:sz w:val="22"/>
          <w:szCs w:val="22"/>
          <w:vertAlign w:val="superscript"/>
        </w:rPr>
        <w:t>2</w:t>
      </w:r>
      <w:r w:rsidRPr="00B14963">
        <w:rPr>
          <w:sz w:val="22"/>
          <w:szCs w:val="22"/>
        </w:rPr>
        <w:t xml:space="preserve"> u kombinaciji sa hemioterapijom, </w:t>
      </w:r>
      <w:r w:rsidRPr="00B14963">
        <w:rPr>
          <w:sz w:val="22"/>
          <w:szCs w:val="22"/>
        </w:rPr>
        <w:lastRenderedPageBreak/>
        <w:t>a zatim se u sljedećim ciklusima (2. – 6.) primjenjivala formulacija lijeka MabThera za subkutanu primjenu u dozi od 1600 mg u kombinaciji sa hemioterapijom.</w:t>
      </w:r>
    </w:p>
    <w:p w14:paraId="480EAB26" w14:textId="77777777" w:rsidR="00874EF0" w:rsidRPr="00B14963" w:rsidRDefault="00874EF0" w:rsidP="00874EF0">
      <w:pPr>
        <w:ind w:left="567"/>
        <w:jc w:val="both"/>
        <w:outlineLvl w:val="0"/>
        <w:rPr>
          <w:szCs w:val="22"/>
        </w:rPr>
      </w:pPr>
    </w:p>
    <w:p w14:paraId="75C8B92D" w14:textId="77777777" w:rsidR="00874EF0" w:rsidRPr="00B14963" w:rsidRDefault="00874EF0" w:rsidP="00874EF0">
      <w:pPr>
        <w:ind w:left="562" w:hanging="562"/>
        <w:jc w:val="both"/>
        <w:outlineLvl w:val="0"/>
        <w:rPr>
          <w:szCs w:val="22"/>
        </w:rPr>
      </w:pPr>
      <w:r w:rsidRPr="00B14963">
        <w:rPr>
          <w:szCs w:val="22"/>
        </w:rPr>
        <w:sym w:font="Symbol" w:char="F0B7"/>
      </w:r>
      <w:r w:rsidRPr="00B14963">
        <w:rPr>
          <w:szCs w:val="22"/>
        </w:rPr>
        <w:tab/>
      </w:r>
      <w:r w:rsidRPr="00B14963">
        <w:rPr>
          <w:sz w:val="22"/>
          <w:szCs w:val="22"/>
        </w:rPr>
        <w:t>lijek MabThera u formulaciji za intravensku primjenu (n=88): u 1. ciklusu primjenjivala se intravenska formulacija lijeka MabThera u dozi od 375 mg/m</w:t>
      </w:r>
      <w:r w:rsidRPr="00B14963">
        <w:rPr>
          <w:sz w:val="22"/>
          <w:szCs w:val="22"/>
          <w:vertAlign w:val="superscript"/>
        </w:rPr>
        <w:t>2</w:t>
      </w:r>
      <w:r w:rsidRPr="00B14963">
        <w:rPr>
          <w:sz w:val="22"/>
          <w:szCs w:val="22"/>
        </w:rPr>
        <w:t xml:space="preserve"> u kombinaciji sa hemioterapijom, nakon čega je uslijedilo do 5 ciklusa liječenja formulacijom lijeka MabThera za intravensku primjenu u dozi od 500 mg/m</w:t>
      </w:r>
      <w:r w:rsidRPr="00B14963">
        <w:rPr>
          <w:sz w:val="22"/>
          <w:szCs w:val="22"/>
          <w:vertAlign w:val="superscript"/>
        </w:rPr>
        <w:t>2</w:t>
      </w:r>
      <w:r w:rsidRPr="00B14963">
        <w:rPr>
          <w:sz w:val="22"/>
          <w:szCs w:val="22"/>
        </w:rPr>
        <w:t xml:space="preserve"> u kombinaciji sa hemioterapijom</w:t>
      </w:r>
      <w:r w:rsidRPr="00B14963">
        <w:rPr>
          <w:szCs w:val="22"/>
        </w:rPr>
        <w:t>.</w:t>
      </w:r>
    </w:p>
    <w:p w14:paraId="3074F486" w14:textId="77777777" w:rsidR="00874EF0" w:rsidRPr="00B14963" w:rsidRDefault="00874EF0" w:rsidP="00874EF0">
      <w:pPr>
        <w:ind w:left="562" w:hanging="562"/>
        <w:jc w:val="both"/>
        <w:outlineLvl w:val="0"/>
        <w:rPr>
          <w:szCs w:val="22"/>
        </w:rPr>
      </w:pPr>
    </w:p>
    <w:p w14:paraId="11D59837" w14:textId="77777777" w:rsidR="00874EF0" w:rsidRPr="00B14963" w:rsidRDefault="00874EF0" w:rsidP="00874EF0">
      <w:pPr>
        <w:ind w:left="562" w:hanging="562"/>
        <w:jc w:val="both"/>
        <w:outlineLvl w:val="0"/>
        <w:rPr>
          <w:sz w:val="22"/>
          <w:szCs w:val="22"/>
        </w:rPr>
      </w:pPr>
      <w:r w:rsidRPr="00B14963">
        <w:rPr>
          <w:sz w:val="22"/>
          <w:szCs w:val="22"/>
        </w:rPr>
        <w:t>U Tabeli 2 prikazane su stope odgovora na osnovu analize podataka o 176 pacijenata u 2. dijelu ispitivanja SAYWER.</w:t>
      </w:r>
    </w:p>
    <w:p w14:paraId="4A3D4029" w14:textId="77777777" w:rsidR="00874EF0" w:rsidRPr="00B14963" w:rsidRDefault="00874EF0" w:rsidP="00874EF0">
      <w:pPr>
        <w:ind w:left="562" w:hanging="562"/>
        <w:jc w:val="both"/>
        <w:outlineLvl w:val="0"/>
        <w:rPr>
          <w:sz w:val="22"/>
          <w:szCs w:val="22"/>
        </w:rPr>
      </w:pPr>
    </w:p>
    <w:p w14:paraId="2AD337FE" w14:textId="77777777" w:rsidR="00874EF0" w:rsidRPr="00B14963" w:rsidRDefault="00874EF0" w:rsidP="007825F0">
      <w:pPr>
        <w:ind w:left="562" w:hanging="562"/>
        <w:jc w:val="both"/>
        <w:outlineLvl w:val="0"/>
        <w:rPr>
          <w:b/>
          <w:sz w:val="22"/>
          <w:szCs w:val="22"/>
        </w:rPr>
      </w:pPr>
      <w:r w:rsidRPr="00B14963">
        <w:rPr>
          <w:b/>
          <w:sz w:val="22"/>
          <w:szCs w:val="22"/>
        </w:rPr>
        <w:t>Tabela 2      Rezultati efikasnosti – SAWYER (BO25341)  (populacija predviđena za liječenje ITT)</w:t>
      </w:r>
    </w:p>
    <w:p w14:paraId="0417CF9D" w14:textId="77777777" w:rsidR="00874EF0" w:rsidRPr="00B14963" w:rsidRDefault="00874EF0" w:rsidP="00874EF0">
      <w:pPr>
        <w:autoSpaceDE w:val="0"/>
        <w:autoSpaceDN w:val="0"/>
        <w:adjustRightInd w:val="0"/>
        <w:jc w:val="both"/>
        <w:rPr>
          <w:sz w:val="22"/>
          <w:szCs w:val="22"/>
          <w:lang w:eastAsia="zh-CN"/>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20" w:firstRow="1" w:lastRow="0" w:firstColumn="0" w:lastColumn="0" w:noHBand="0" w:noVBand="1"/>
      </w:tblPr>
      <w:tblGrid>
        <w:gridCol w:w="800"/>
        <w:gridCol w:w="3877"/>
        <w:gridCol w:w="2124"/>
        <w:gridCol w:w="2264"/>
      </w:tblGrid>
      <w:tr w:rsidR="00874EF0" w:rsidRPr="00B14963" w14:paraId="10D3937A" w14:textId="77777777" w:rsidTr="00555704">
        <w:trPr>
          <w:trHeight w:val="340"/>
        </w:trPr>
        <w:tc>
          <w:tcPr>
            <w:tcW w:w="4692" w:type="dxa"/>
            <w:gridSpan w:val="2"/>
            <w:vMerge w:val="restart"/>
            <w:shd w:val="clear" w:color="auto" w:fill="FFFFFF"/>
            <w:tcMar>
              <w:top w:w="72" w:type="dxa"/>
              <w:left w:w="156" w:type="dxa"/>
              <w:bottom w:w="72" w:type="dxa"/>
              <w:right w:w="156" w:type="dxa"/>
            </w:tcMar>
          </w:tcPr>
          <w:p w14:paraId="20846053" w14:textId="77777777" w:rsidR="00874EF0" w:rsidRPr="00B14963" w:rsidRDefault="00874EF0" w:rsidP="008C6991">
            <w:pPr>
              <w:jc w:val="center"/>
              <w:rPr>
                <w:b/>
                <w:bCs/>
                <w:kern w:val="24"/>
                <w:sz w:val="22"/>
                <w:szCs w:val="22"/>
              </w:rPr>
            </w:pPr>
          </w:p>
        </w:tc>
        <w:tc>
          <w:tcPr>
            <w:tcW w:w="4395" w:type="dxa"/>
            <w:gridSpan w:val="2"/>
            <w:shd w:val="clear" w:color="auto" w:fill="FFFFFF"/>
            <w:tcMar>
              <w:top w:w="72" w:type="dxa"/>
              <w:left w:w="156" w:type="dxa"/>
              <w:bottom w:w="72" w:type="dxa"/>
              <w:right w:w="156" w:type="dxa"/>
            </w:tcMar>
            <w:vAlign w:val="center"/>
          </w:tcPr>
          <w:p w14:paraId="11702307" w14:textId="77777777" w:rsidR="00874EF0" w:rsidRPr="00B14963" w:rsidRDefault="00874EF0" w:rsidP="008C6991">
            <w:pPr>
              <w:jc w:val="center"/>
              <w:rPr>
                <w:b/>
                <w:bCs/>
                <w:kern w:val="24"/>
                <w:sz w:val="22"/>
                <w:szCs w:val="22"/>
              </w:rPr>
            </w:pPr>
            <w:r w:rsidRPr="00B14963">
              <w:rPr>
                <w:b/>
                <w:bCs/>
                <w:kern w:val="24"/>
                <w:sz w:val="22"/>
                <w:szCs w:val="22"/>
              </w:rPr>
              <w:t>Dio 2</w:t>
            </w:r>
          </w:p>
          <w:p w14:paraId="15FC72FA" w14:textId="77777777" w:rsidR="00874EF0" w:rsidRPr="00B14963" w:rsidRDefault="00874EF0" w:rsidP="008C6991">
            <w:pPr>
              <w:jc w:val="center"/>
              <w:rPr>
                <w:sz w:val="22"/>
                <w:szCs w:val="22"/>
              </w:rPr>
            </w:pPr>
            <w:r w:rsidRPr="00B14963">
              <w:rPr>
                <w:b/>
                <w:bCs/>
                <w:kern w:val="24"/>
                <w:sz w:val="22"/>
                <w:szCs w:val="22"/>
              </w:rPr>
              <w:t>N = 176</w:t>
            </w:r>
          </w:p>
        </w:tc>
      </w:tr>
      <w:tr w:rsidR="00874EF0" w:rsidRPr="00B14963" w14:paraId="1E625D7D" w14:textId="77777777" w:rsidTr="00555704">
        <w:trPr>
          <w:trHeight w:val="340"/>
        </w:trPr>
        <w:tc>
          <w:tcPr>
            <w:tcW w:w="4692" w:type="dxa"/>
            <w:gridSpan w:val="2"/>
            <w:vMerge/>
            <w:vAlign w:val="center"/>
          </w:tcPr>
          <w:p w14:paraId="1FCD5AB5" w14:textId="77777777" w:rsidR="00874EF0" w:rsidRPr="00B14963" w:rsidRDefault="00874EF0" w:rsidP="008C6991">
            <w:pPr>
              <w:jc w:val="center"/>
              <w:rPr>
                <w:b/>
                <w:bCs/>
                <w:kern w:val="24"/>
                <w:sz w:val="22"/>
                <w:szCs w:val="22"/>
              </w:rPr>
            </w:pPr>
          </w:p>
        </w:tc>
        <w:tc>
          <w:tcPr>
            <w:tcW w:w="2127" w:type="dxa"/>
            <w:shd w:val="clear" w:color="auto" w:fill="FFFFFF"/>
            <w:tcMar>
              <w:top w:w="72" w:type="dxa"/>
              <w:left w:w="156" w:type="dxa"/>
              <w:bottom w:w="72" w:type="dxa"/>
              <w:right w:w="156" w:type="dxa"/>
            </w:tcMar>
            <w:vAlign w:val="center"/>
          </w:tcPr>
          <w:p w14:paraId="241D8BC0" w14:textId="77777777" w:rsidR="00874EF0" w:rsidRPr="00B14963" w:rsidRDefault="00874EF0" w:rsidP="008C6991">
            <w:pPr>
              <w:jc w:val="center"/>
              <w:rPr>
                <w:b/>
                <w:bCs/>
                <w:kern w:val="24"/>
                <w:sz w:val="22"/>
                <w:szCs w:val="22"/>
                <w:lang w:eastAsia="zh-CN"/>
              </w:rPr>
            </w:pPr>
            <w:r w:rsidRPr="00B14963">
              <w:rPr>
                <w:b/>
                <w:bCs/>
                <w:kern w:val="24"/>
                <w:sz w:val="22"/>
                <w:szCs w:val="22"/>
              </w:rPr>
              <w:t>Rituksimab</w:t>
            </w:r>
            <w:r w:rsidRPr="00B14963">
              <w:rPr>
                <w:b/>
                <w:bCs/>
                <w:kern w:val="24"/>
                <w:sz w:val="22"/>
                <w:szCs w:val="22"/>
              </w:rPr>
              <w:br/>
              <w:t>intravenska formulacija</w:t>
            </w:r>
          </w:p>
          <w:p w14:paraId="1C870EDB" w14:textId="77777777" w:rsidR="00874EF0" w:rsidRPr="00B14963" w:rsidRDefault="00874EF0" w:rsidP="008C6991">
            <w:pPr>
              <w:jc w:val="center"/>
              <w:rPr>
                <w:sz w:val="22"/>
                <w:szCs w:val="22"/>
                <w:lang w:eastAsia="zh-CN"/>
              </w:rPr>
            </w:pPr>
            <w:r w:rsidRPr="00B14963">
              <w:rPr>
                <w:b/>
                <w:bCs/>
                <w:kern w:val="24"/>
                <w:sz w:val="22"/>
                <w:szCs w:val="22"/>
                <w:lang w:eastAsia="zh-CN"/>
              </w:rPr>
              <w:t>(n = 88)</w:t>
            </w:r>
          </w:p>
        </w:tc>
        <w:tc>
          <w:tcPr>
            <w:tcW w:w="2268" w:type="dxa"/>
            <w:shd w:val="clear" w:color="auto" w:fill="FFFFFF"/>
            <w:tcMar>
              <w:top w:w="72" w:type="dxa"/>
              <w:left w:w="156" w:type="dxa"/>
              <w:bottom w:w="72" w:type="dxa"/>
              <w:right w:w="156" w:type="dxa"/>
            </w:tcMar>
            <w:vAlign w:val="center"/>
          </w:tcPr>
          <w:p w14:paraId="0451B3B1" w14:textId="77777777" w:rsidR="00874EF0" w:rsidRPr="00B14963" w:rsidRDefault="00874EF0" w:rsidP="008C6991">
            <w:pPr>
              <w:jc w:val="center"/>
              <w:rPr>
                <w:b/>
                <w:bCs/>
                <w:kern w:val="24"/>
                <w:sz w:val="22"/>
                <w:szCs w:val="22"/>
              </w:rPr>
            </w:pPr>
            <w:r w:rsidRPr="00B14963">
              <w:rPr>
                <w:b/>
                <w:bCs/>
                <w:kern w:val="24"/>
                <w:sz w:val="22"/>
                <w:szCs w:val="22"/>
              </w:rPr>
              <w:t>Rituksimab</w:t>
            </w:r>
          </w:p>
          <w:p w14:paraId="4D672F65" w14:textId="77777777" w:rsidR="00874EF0" w:rsidRPr="00B14963" w:rsidRDefault="00874EF0" w:rsidP="008C6991">
            <w:pPr>
              <w:jc w:val="center"/>
              <w:rPr>
                <w:b/>
                <w:bCs/>
                <w:kern w:val="24"/>
                <w:sz w:val="22"/>
                <w:szCs w:val="22"/>
                <w:lang w:eastAsia="zh-CN"/>
              </w:rPr>
            </w:pPr>
            <w:r w:rsidRPr="00B14963">
              <w:rPr>
                <w:b/>
                <w:bCs/>
                <w:kern w:val="24"/>
                <w:sz w:val="22"/>
                <w:szCs w:val="22"/>
              </w:rPr>
              <w:t>supkutana formulacija</w:t>
            </w:r>
          </w:p>
          <w:p w14:paraId="0A9201F9" w14:textId="77777777" w:rsidR="00874EF0" w:rsidRPr="00B14963" w:rsidRDefault="00874EF0" w:rsidP="008C6991">
            <w:pPr>
              <w:jc w:val="center"/>
              <w:rPr>
                <w:sz w:val="22"/>
                <w:szCs w:val="22"/>
                <w:lang w:eastAsia="zh-CN"/>
              </w:rPr>
            </w:pPr>
            <w:r w:rsidRPr="00B14963">
              <w:rPr>
                <w:b/>
                <w:bCs/>
                <w:kern w:val="24"/>
                <w:sz w:val="22"/>
                <w:szCs w:val="22"/>
                <w:lang w:eastAsia="zh-CN"/>
              </w:rPr>
              <w:t>(n = 88)</w:t>
            </w:r>
          </w:p>
        </w:tc>
      </w:tr>
      <w:tr w:rsidR="00874EF0" w:rsidRPr="00B14963" w14:paraId="4CB6F050" w14:textId="77777777" w:rsidTr="00555704">
        <w:trPr>
          <w:trHeight w:val="340"/>
        </w:trPr>
        <w:tc>
          <w:tcPr>
            <w:tcW w:w="801" w:type="dxa"/>
            <w:vMerge w:val="restart"/>
            <w:shd w:val="clear" w:color="auto" w:fill="FFFFFF"/>
            <w:vAlign w:val="center"/>
          </w:tcPr>
          <w:p w14:paraId="3EA94872" w14:textId="77777777" w:rsidR="00874EF0" w:rsidRPr="00B14963" w:rsidRDefault="00874EF0" w:rsidP="008C6991">
            <w:pPr>
              <w:jc w:val="center"/>
              <w:rPr>
                <w:sz w:val="22"/>
                <w:szCs w:val="22"/>
                <w:vertAlign w:val="superscript"/>
              </w:rPr>
            </w:pPr>
            <w:r w:rsidRPr="00B14963">
              <w:rPr>
                <w:b/>
                <w:bCs/>
                <w:kern w:val="24"/>
                <w:sz w:val="22"/>
                <w:szCs w:val="22"/>
              </w:rPr>
              <w:t>ORR</w:t>
            </w:r>
            <w:r w:rsidRPr="00B14963">
              <w:rPr>
                <w:b/>
                <w:bCs/>
                <w:kern w:val="24"/>
                <w:sz w:val="22"/>
                <w:szCs w:val="22"/>
                <w:vertAlign w:val="superscript"/>
              </w:rPr>
              <w:t>a</w:t>
            </w:r>
          </w:p>
        </w:tc>
        <w:tc>
          <w:tcPr>
            <w:tcW w:w="3891" w:type="dxa"/>
            <w:shd w:val="clear" w:color="auto" w:fill="FFFFFF"/>
          </w:tcPr>
          <w:p w14:paraId="7F4D148D" w14:textId="77777777" w:rsidR="00874EF0" w:rsidRPr="00B14963" w:rsidRDefault="00874EF0" w:rsidP="008C6991">
            <w:pPr>
              <w:jc w:val="center"/>
              <w:rPr>
                <w:b/>
                <w:bCs/>
                <w:kern w:val="24"/>
                <w:sz w:val="22"/>
                <w:szCs w:val="22"/>
              </w:rPr>
            </w:pPr>
            <w:r w:rsidRPr="00B14963">
              <w:rPr>
                <w:b/>
                <w:bCs/>
                <w:kern w:val="24"/>
                <w:sz w:val="22"/>
                <w:szCs w:val="22"/>
              </w:rPr>
              <w:t>Procjena</w:t>
            </w:r>
          </w:p>
        </w:tc>
        <w:tc>
          <w:tcPr>
            <w:tcW w:w="2127" w:type="dxa"/>
            <w:shd w:val="clear" w:color="auto" w:fill="FFFFFF"/>
            <w:tcMar>
              <w:top w:w="72" w:type="dxa"/>
              <w:left w:w="156" w:type="dxa"/>
              <w:bottom w:w="72" w:type="dxa"/>
              <w:right w:w="156" w:type="dxa"/>
            </w:tcMar>
          </w:tcPr>
          <w:p w14:paraId="4B1A6EF1" w14:textId="77777777" w:rsidR="00874EF0" w:rsidRPr="00B14963" w:rsidRDefault="00874EF0" w:rsidP="008C6991">
            <w:pPr>
              <w:jc w:val="center"/>
              <w:rPr>
                <w:b/>
                <w:sz w:val="22"/>
                <w:szCs w:val="22"/>
              </w:rPr>
            </w:pPr>
            <w:r w:rsidRPr="00B14963">
              <w:rPr>
                <w:b/>
                <w:kern w:val="24"/>
                <w:sz w:val="22"/>
                <w:szCs w:val="22"/>
              </w:rPr>
              <w:t>80.7% (n = 71)</w:t>
            </w:r>
          </w:p>
        </w:tc>
        <w:tc>
          <w:tcPr>
            <w:tcW w:w="2268" w:type="dxa"/>
            <w:shd w:val="clear" w:color="auto" w:fill="FFFFFF"/>
            <w:tcMar>
              <w:top w:w="72" w:type="dxa"/>
              <w:left w:w="156" w:type="dxa"/>
              <w:bottom w:w="72" w:type="dxa"/>
              <w:right w:w="156" w:type="dxa"/>
            </w:tcMar>
          </w:tcPr>
          <w:p w14:paraId="501EE7FF" w14:textId="77777777" w:rsidR="00874EF0" w:rsidRPr="00B14963" w:rsidRDefault="00874EF0" w:rsidP="008C6991">
            <w:pPr>
              <w:jc w:val="center"/>
              <w:rPr>
                <w:b/>
                <w:sz w:val="22"/>
                <w:szCs w:val="22"/>
              </w:rPr>
            </w:pPr>
            <w:r w:rsidRPr="00B14963">
              <w:rPr>
                <w:b/>
                <w:kern w:val="24"/>
                <w:sz w:val="22"/>
                <w:szCs w:val="22"/>
              </w:rPr>
              <w:t>85.2% (n = 75)</w:t>
            </w:r>
          </w:p>
        </w:tc>
      </w:tr>
      <w:tr w:rsidR="00874EF0" w:rsidRPr="00B14963" w14:paraId="06DA4BC4" w14:textId="77777777" w:rsidTr="00555704">
        <w:trPr>
          <w:trHeight w:val="340"/>
        </w:trPr>
        <w:tc>
          <w:tcPr>
            <w:tcW w:w="801" w:type="dxa"/>
            <w:vMerge/>
            <w:vAlign w:val="center"/>
          </w:tcPr>
          <w:p w14:paraId="212DFC44" w14:textId="77777777" w:rsidR="00874EF0" w:rsidRPr="00B14963" w:rsidRDefault="00874EF0" w:rsidP="008C6991">
            <w:pPr>
              <w:jc w:val="center"/>
              <w:rPr>
                <w:sz w:val="22"/>
                <w:szCs w:val="22"/>
              </w:rPr>
            </w:pPr>
          </w:p>
        </w:tc>
        <w:tc>
          <w:tcPr>
            <w:tcW w:w="3891" w:type="dxa"/>
            <w:shd w:val="clear" w:color="auto" w:fill="FFFFFF"/>
          </w:tcPr>
          <w:p w14:paraId="7C336FF3" w14:textId="77777777" w:rsidR="00874EF0" w:rsidRPr="00B14963" w:rsidRDefault="00874EF0" w:rsidP="008C6991">
            <w:pPr>
              <w:jc w:val="center"/>
              <w:rPr>
                <w:b/>
                <w:bCs/>
                <w:kern w:val="24"/>
                <w:sz w:val="22"/>
                <w:szCs w:val="22"/>
              </w:rPr>
            </w:pPr>
            <w:r w:rsidRPr="00B14963">
              <w:rPr>
                <w:b/>
                <w:bCs/>
                <w:kern w:val="24"/>
                <w:sz w:val="22"/>
                <w:szCs w:val="22"/>
              </w:rPr>
              <w:t>95% CI</w:t>
            </w:r>
          </w:p>
        </w:tc>
        <w:tc>
          <w:tcPr>
            <w:tcW w:w="2127" w:type="dxa"/>
            <w:shd w:val="clear" w:color="auto" w:fill="FFFFFF"/>
            <w:tcMar>
              <w:top w:w="72" w:type="dxa"/>
              <w:left w:w="156" w:type="dxa"/>
              <w:bottom w:w="72" w:type="dxa"/>
              <w:right w:w="156" w:type="dxa"/>
            </w:tcMar>
          </w:tcPr>
          <w:p w14:paraId="5C5AC6C5" w14:textId="77777777" w:rsidR="00874EF0" w:rsidRPr="00B14963" w:rsidRDefault="00874EF0" w:rsidP="008C6991">
            <w:pPr>
              <w:jc w:val="center"/>
              <w:rPr>
                <w:b/>
                <w:sz w:val="22"/>
                <w:szCs w:val="22"/>
              </w:rPr>
            </w:pPr>
            <w:r w:rsidRPr="00B14963">
              <w:rPr>
                <w:b/>
                <w:kern w:val="24"/>
                <w:sz w:val="22"/>
                <w:szCs w:val="22"/>
              </w:rPr>
              <w:t>[70.9%, 88.3%]</w:t>
            </w:r>
          </w:p>
        </w:tc>
        <w:tc>
          <w:tcPr>
            <w:tcW w:w="2268" w:type="dxa"/>
            <w:shd w:val="clear" w:color="auto" w:fill="FFFFFF"/>
            <w:tcMar>
              <w:top w:w="72" w:type="dxa"/>
              <w:left w:w="156" w:type="dxa"/>
              <w:bottom w:w="72" w:type="dxa"/>
              <w:right w:w="156" w:type="dxa"/>
            </w:tcMar>
          </w:tcPr>
          <w:p w14:paraId="21885965" w14:textId="77777777" w:rsidR="00874EF0" w:rsidRPr="00B14963" w:rsidRDefault="00874EF0" w:rsidP="008C6991">
            <w:pPr>
              <w:jc w:val="center"/>
              <w:rPr>
                <w:b/>
                <w:sz w:val="22"/>
                <w:szCs w:val="22"/>
              </w:rPr>
            </w:pPr>
            <w:r w:rsidRPr="00B14963">
              <w:rPr>
                <w:b/>
                <w:kern w:val="24"/>
                <w:sz w:val="22"/>
                <w:szCs w:val="22"/>
              </w:rPr>
              <w:t>[76.1%, 91.9%]</w:t>
            </w:r>
          </w:p>
        </w:tc>
      </w:tr>
      <w:tr w:rsidR="00874EF0" w:rsidRPr="00B14963" w14:paraId="3507301E" w14:textId="77777777" w:rsidTr="00555704">
        <w:trPr>
          <w:trHeight w:val="340"/>
        </w:trPr>
        <w:tc>
          <w:tcPr>
            <w:tcW w:w="801" w:type="dxa"/>
            <w:vMerge w:val="restart"/>
            <w:shd w:val="clear" w:color="auto" w:fill="FFFFFF"/>
            <w:vAlign w:val="center"/>
          </w:tcPr>
          <w:p w14:paraId="7F994A08" w14:textId="77777777" w:rsidR="00874EF0" w:rsidRPr="00B14963" w:rsidRDefault="00874EF0" w:rsidP="008C6991">
            <w:pPr>
              <w:jc w:val="center"/>
              <w:rPr>
                <w:sz w:val="22"/>
                <w:szCs w:val="22"/>
              </w:rPr>
            </w:pPr>
            <w:r w:rsidRPr="00B14963">
              <w:rPr>
                <w:b/>
                <w:bCs/>
                <w:kern w:val="24"/>
                <w:sz w:val="22"/>
                <w:szCs w:val="22"/>
              </w:rPr>
              <w:t>CRR</w:t>
            </w:r>
            <w:r w:rsidRPr="00B14963">
              <w:rPr>
                <w:b/>
                <w:bCs/>
                <w:kern w:val="24"/>
                <w:sz w:val="22"/>
                <w:szCs w:val="22"/>
                <w:vertAlign w:val="superscript"/>
              </w:rPr>
              <w:t>a</w:t>
            </w:r>
          </w:p>
        </w:tc>
        <w:tc>
          <w:tcPr>
            <w:tcW w:w="3891" w:type="dxa"/>
            <w:shd w:val="clear" w:color="auto" w:fill="FFFFFF"/>
          </w:tcPr>
          <w:p w14:paraId="36BA1F13" w14:textId="77777777" w:rsidR="00874EF0" w:rsidRPr="00B14963" w:rsidRDefault="00874EF0" w:rsidP="008C6991">
            <w:pPr>
              <w:jc w:val="center"/>
              <w:rPr>
                <w:b/>
                <w:bCs/>
                <w:kern w:val="24"/>
                <w:sz w:val="22"/>
                <w:szCs w:val="22"/>
              </w:rPr>
            </w:pPr>
            <w:r w:rsidRPr="00B14963">
              <w:rPr>
                <w:b/>
                <w:bCs/>
                <w:kern w:val="24"/>
                <w:sz w:val="22"/>
                <w:szCs w:val="22"/>
              </w:rPr>
              <w:t>Procjena</w:t>
            </w:r>
          </w:p>
        </w:tc>
        <w:tc>
          <w:tcPr>
            <w:tcW w:w="2127" w:type="dxa"/>
            <w:shd w:val="clear" w:color="auto" w:fill="FFFFFF"/>
            <w:tcMar>
              <w:top w:w="72" w:type="dxa"/>
              <w:left w:w="156" w:type="dxa"/>
              <w:bottom w:w="72" w:type="dxa"/>
              <w:right w:w="156" w:type="dxa"/>
            </w:tcMar>
          </w:tcPr>
          <w:p w14:paraId="1D46F3A5" w14:textId="77777777" w:rsidR="00874EF0" w:rsidRPr="00B14963" w:rsidRDefault="00874EF0" w:rsidP="008C6991">
            <w:pPr>
              <w:jc w:val="center"/>
              <w:rPr>
                <w:b/>
                <w:sz w:val="22"/>
                <w:szCs w:val="22"/>
              </w:rPr>
            </w:pPr>
            <w:r w:rsidRPr="00B14963">
              <w:rPr>
                <w:b/>
                <w:kern w:val="24"/>
                <w:sz w:val="22"/>
                <w:szCs w:val="22"/>
              </w:rPr>
              <w:t>31.8% (n = 28)</w:t>
            </w:r>
          </w:p>
        </w:tc>
        <w:tc>
          <w:tcPr>
            <w:tcW w:w="2268" w:type="dxa"/>
            <w:shd w:val="clear" w:color="auto" w:fill="FFFFFF"/>
            <w:tcMar>
              <w:top w:w="72" w:type="dxa"/>
              <w:left w:w="156" w:type="dxa"/>
              <w:bottom w:w="72" w:type="dxa"/>
              <w:right w:w="156" w:type="dxa"/>
            </w:tcMar>
          </w:tcPr>
          <w:p w14:paraId="45FDCF51" w14:textId="77777777" w:rsidR="00874EF0" w:rsidRPr="00B14963" w:rsidRDefault="00874EF0" w:rsidP="008C6991">
            <w:pPr>
              <w:jc w:val="center"/>
              <w:rPr>
                <w:b/>
                <w:sz w:val="22"/>
                <w:szCs w:val="22"/>
              </w:rPr>
            </w:pPr>
            <w:r w:rsidRPr="00B14963">
              <w:rPr>
                <w:b/>
                <w:kern w:val="24"/>
                <w:sz w:val="22"/>
                <w:szCs w:val="22"/>
              </w:rPr>
              <w:t>27.3% (n = 24)</w:t>
            </w:r>
          </w:p>
        </w:tc>
      </w:tr>
      <w:tr w:rsidR="00874EF0" w:rsidRPr="00B14963" w14:paraId="2C277830" w14:textId="77777777" w:rsidTr="00555704">
        <w:trPr>
          <w:trHeight w:val="340"/>
        </w:trPr>
        <w:tc>
          <w:tcPr>
            <w:tcW w:w="801" w:type="dxa"/>
            <w:vMerge/>
            <w:vAlign w:val="center"/>
          </w:tcPr>
          <w:p w14:paraId="6FCDB2A2" w14:textId="77777777" w:rsidR="00874EF0" w:rsidRPr="00B14963" w:rsidRDefault="00874EF0" w:rsidP="008C6991">
            <w:pPr>
              <w:jc w:val="center"/>
              <w:rPr>
                <w:sz w:val="22"/>
                <w:szCs w:val="22"/>
              </w:rPr>
            </w:pPr>
          </w:p>
        </w:tc>
        <w:tc>
          <w:tcPr>
            <w:tcW w:w="3891" w:type="dxa"/>
            <w:shd w:val="clear" w:color="auto" w:fill="FFFFFF"/>
          </w:tcPr>
          <w:p w14:paraId="414AD27C" w14:textId="77777777" w:rsidR="00874EF0" w:rsidRPr="00B14963" w:rsidRDefault="00874EF0" w:rsidP="008C6991">
            <w:pPr>
              <w:jc w:val="center"/>
              <w:rPr>
                <w:b/>
                <w:bCs/>
                <w:kern w:val="24"/>
                <w:sz w:val="22"/>
                <w:szCs w:val="22"/>
              </w:rPr>
            </w:pPr>
            <w:r w:rsidRPr="00B14963">
              <w:rPr>
                <w:b/>
                <w:bCs/>
                <w:kern w:val="24"/>
                <w:sz w:val="22"/>
                <w:szCs w:val="22"/>
              </w:rPr>
              <w:t>95% CI</w:t>
            </w:r>
          </w:p>
        </w:tc>
        <w:tc>
          <w:tcPr>
            <w:tcW w:w="2127" w:type="dxa"/>
            <w:shd w:val="clear" w:color="auto" w:fill="FFFFFF"/>
            <w:tcMar>
              <w:top w:w="72" w:type="dxa"/>
              <w:left w:w="156" w:type="dxa"/>
              <w:bottom w:w="72" w:type="dxa"/>
              <w:right w:w="156" w:type="dxa"/>
            </w:tcMar>
          </w:tcPr>
          <w:p w14:paraId="6E79AC98" w14:textId="77777777" w:rsidR="00874EF0" w:rsidRPr="00B14963" w:rsidRDefault="00874EF0" w:rsidP="008C6991">
            <w:pPr>
              <w:jc w:val="center"/>
              <w:rPr>
                <w:b/>
                <w:sz w:val="22"/>
                <w:szCs w:val="22"/>
              </w:rPr>
            </w:pPr>
            <w:r w:rsidRPr="00B14963">
              <w:rPr>
                <w:b/>
                <w:kern w:val="24"/>
                <w:sz w:val="22"/>
                <w:szCs w:val="22"/>
              </w:rPr>
              <w:t>[22.3%, 42.6%]</w:t>
            </w:r>
          </w:p>
        </w:tc>
        <w:tc>
          <w:tcPr>
            <w:tcW w:w="2268" w:type="dxa"/>
            <w:shd w:val="clear" w:color="auto" w:fill="FFFFFF"/>
            <w:tcMar>
              <w:top w:w="72" w:type="dxa"/>
              <w:left w:w="156" w:type="dxa"/>
              <w:bottom w:w="72" w:type="dxa"/>
              <w:right w:w="156" w:type="dxa"/>
            </w:tcMar>
          </w:tcPr>
          <w:p w14:paraId="4CDF4358" w14:textId="77777777" w:rsidR="00874EF0" w:rsidRPr="00B14963" w:rsidRDefault="00874EF0" w:rsidP="008C6991">
            <w:pPr>
              <w:jc w:val="center"/>
              <w:rPr>
                <w:b/>
                <w:sz w:val="22"/>
                <w:szCs w:val="22"/>
              </w:rPr>
            </w:pPr>
            <w:r w:rsidRPr="00B14963">
              <w:rPr>
                <w:b/>
                <w:kern w:val="24"/>
                <w:sz w:val="22"/>
                <w:szCs w:val="22"/>
              </w:rPr>
              <w:t>[18.3%, 37.8%]</w:t>
            </w:r>
          </w:p>
        </w:tc>
      </w:tr>
      <w:tr w:rsidR="00874EF0" w:rsidRPr="00B14963" w14:paraId="42F3EFAA" w14:textId="77777777" w:rsidTr="00555704">
        <w:trPr>
          <w:trHeight w:val="340"/>
        </w:trPr>
        <w:tc>
          <w:tcPr>
            <w:tcW w:w="801" w:type="dxa"/>
            <w:vMerge w:val="restart"/>
            <w:vAlign w:val="center"/>
          </w:tcPr>
          <w:p w14:paraId="013A8E87" w14:textId="77777777" w:rsidR="00874EF0" w:rsidRPr="00B14963" w:rsidRDefault="00874EF0" w:rsidP="008C6991">
            <w:pPr>
              <w:jc w:val="center"/>
              <w:rPr>
                <w:sz w:val="22"/>
                <w:szCs w:val="22"/>
              </w:rPr>
            </w:pPr>
            <w:r w:rsidRPr="00B14963">
              <w:rPr>
                <w:b/>
                <w:sz w:val="22"/>
                <w:szCs w:val="22"/>
              </w:rPr>
              <w:t>PFS</w:t>
            </w:r>
            <w:r w:rsidRPr="00B14963">
              <w:rPr>
                <w:b/>
                <w:sz w:val="22"/>
                <w:szCs w:val="22"/>
                <w:vertAlign w:val="superscript"/>
              </w:rPr>
              <w:t>b</w:t>
            </w:r>
          </w:p>
        </w:tc>
        <w:tc>
          <w:tcPr>
            <w:tcW w:w="3891" w:type="dxa"/>
            <w:shd w:val="clear" w:color="auto" w:fill="FFFFFF"/>
          </w:tcPr>
          <w:p w14:paraId="3E7A704A" w14:textId="77777777" w:rsidR="00874EF0" w:rsidRPr="00B14963" w:rsidRDefault="00874EF0" w:rsidP="008C6991">
            <w:pPr>
              <w:jc w:val="center"/>
              <w:rPr>
                <w:b/>
                <w:bCs/>
                <w:kern w:val="24"/>
                <w:sz w:val="22"/>
                <w:szCs w:val="22"/>
              </w:rPr>
            </w:pPr>
            <w:r w:rsidRPr="00B14963">
              <w:rPr>
                <w:b/>
                <w:bCs/>
                <w:kern w:val="24"/>
                <w:sz w:val="22"/>
                <w:szCs w:val="22"/>
              </w:rPr>
              <w:t xml:space="preserve">Udio pacijenata sa događajem </w:t>
            </w:r>
            <w:r w:rsidRPr="00B14963">
              <w:rPr>
                <w:b/>
                <w:bCs/>
                <w:kern w:val="24"/>
                <w:sz w:val="22"/>
                <w:szCs w:val="22"/>
              </w:rPr>
              <w:br/>
              <w:t>PFS</w:t>
            </w:r>
          </w:p>
        </w:tc>
        <w:tc>
          <w:tcPr>
            <w:tcW w:w="2127" w:type="dxa"/>
            <w:shd w:val="clear" w:color="auto" w:fill="FFFFFF"/>
            <w:tcMar>
              <w:top w:w="72" w:type="dxa"/>
              <w:left w:w="156" w:type="dxa"/>
              <w:bottom w:w="72" w:type="dxa"/>
              <w:right w:w="156" w:type="dxa"/>
            </w:tcMar>
          </w:tcPr>
          <w:p w14:paraId="7A3296E7" w14:textId="77777777" w:rsidR="00874EF0" w:rsidRPr="00B14963" w:rsidRDefault="00874EF0" w:rsidP="008C6991">
            <w:pPr>
              <w:jc w:val="center"/>
              <w:rPr>
                <w:b/>
                <w:kern w:val="24"/>
                <w:sz w:val="22"/>
                <w:szCs w:val="22"/>
              </w:rPr>
            </w:pPr>
            <w:r w:rsidRPr="00B14963">
              <w:rPr>
                <w:b/>
                <w:kern w:val="24"/>
                <w:sz w:val="22"/>
                <w:szCs w:val="22"/>
              </w:rPr>
              <w:t>42.0% (n = 37)</w:t>
            </w:r>
          </w:p>
        </w:tc>
        <w:tc>
          <w:tcPr>
            <w:tcW w:w="2268" w:type="dxa"/>
            <w:shd w:val="clear" w:color="auto" w:fill="FFFFFF"/>
            <w:tcMar>
              <w:top w:w="72" w:type="dxa"/>
              <w:left w:w="156" w:type="dxa"/>
              <w:bottom w:w="72" w:type="dxa"/>
              <w:right w:w="156" w:type="dxa"/>
            </w:tcMar>
          </w:tcPr>
          <w:p w14:paraId="01D4274A" w14:textId="77777777" w:rsidR="00874EF0" w:rsidRPr="00B14963" w:rsidRDefault="00874EF0" w:rsidP="008C6991">
            <w:pPr>
              <w:jc w:val="center"/>
              <w:rPr>
                <w:b/>
                <w:kern w:val="24"/>
                <w:sz w:val="22"/>
                <w:szCs w:val="22"/>
              </w:rPr>
            </w:pPr>
            <w:r w:rsidRPr="00B14963">
              <w:rPr>
                <w:b/>
                <w:kern w:val="24"/>
                <w:sz w:val="22"/>
                <w:szCs w:val="22"/>
              </w:rPr>
              <w:t>34.1% (n = 30)</w:t>
            </w:r>
          </w:p>
        </w:tc>
      </w:tr>
      <w:tr w:rsidR="00874EF0" w:rsidRPr="00B14963" w14:paraId="3168AF33" w14:textId="77777777" w:rsidTr="00555704">
        <w:trPr>
          <w:trHeight w:val="340"/>
        </w:trPr>
        <w:tc>
          <w:tcPr>
            <w:tcW w:w="801" w:type="dxa"/>
            <w:vMerge/>
            <w:vAlign w:val="center"/>
          </w:tcPr>
          <w:p w14:paraId="233E25ED" w14:textId="77777777" w:rsidR="00874EF0" w:rsidRPr="00B14963" w:rsidRDefault="00874EF0" w:rsidP="008C6991">
            <w:pPr>
              <w:jc w:val="center"/>
              <w:rPr>
                <w:b/>
                <w:sz w:val="22"/>
                <w:szCs w:val="22"/>
              </w:rPr>
            </w:pPr>
          </w:p>
        </w:tc>
        <w:tc>
          <w:tcPr>
            <w:tcW w:w="3891" w:type="dxa"/>
            <w:shd w:val="clear" w:color="auto" w:fill="FFFFFF"/>
          </w:tcPr>
          <w:p w14:paraId="2241C56C" w14:textId="77777777" w:rsidR="00874EF0" w:rsidRPr="00B14963" w:rsidRDefault="00874EF0" w:rsidP="008C6991">
            <w:pPr>
              <w:jc w:val="center"/>
              <w:rPr>
                <w:b/>
                <w:bCs/>
                <w:kern w:val="24"/>
                <w:sz w:val="22"/>
                <w:szCs w:val="22"/>
              </w:rPr>
            </w:pPr>
            <w:r w:rsidRPr="00B14963">
              <w:rPr>
                <w:b/>
                <w:bCs/>
                <w:kern w:val="24"/>
                <w:sz w:val="22"/>
                <w:szCs w:val="22"/>
              </w:rPr>
              <w:t>95% CI</w:t>
            </w:r>
          </w:p>
        </w:tc>
        <w:tc>
          <w:tcPr>
            <w:tcW w:w="4395" w:type="dxa"/>
            <w:gridSpan w:val="2"/>
            <w:shd w:val="clear" w:color="auto" w:fill="FFFFFF"/>
            <w:tcMar>
              <w:top w:w="72" w:type="dxa"/>
              <w:left w:w="156" w:type="dxa"/>
              <w:bottom w:w="72" w:type="dxa"/>
              <w:right w:w="156" w:type="dxa"/>
            </w:tcMar>
          </w:tcPr>
          <w:p w14:paraId="503F8F48" w14:textId="77777777" w:rsidR="00874EF0" w:rsidRPr="00B14963" w:rsidRDefault="00874EF0" w:rsidP="008C6991">
            <w:pPr>
              <w:jc w:val="center"/>
              <w:rPr>
                <w:b/>
                <w:kern w:val="24"/>
                <w:sz w:val="22"/>
                <w:szCs w:val="22"/>
              </w:rPr>
            </w:pPr>
            <w:r w:rsidRPr="00B14963">
              <w:rPr>
                <w:b/>
                <w:kern w:val="24"/>
                <w:sz w:val="22"/>
                <w:szCs w:val="22"/>
              </w:rPr>
              <w:t>0.76 [0.47%, 1.23%]</w:t>
            </w:r>
          </w:p>
        </w:tc>
      </w:tr>
    </w:tbl>
    <w:p w14:paraId="1815FC8A" w14:textId="77777777" w:rsidR="00874EF0" w:rsidRPr="00B14963" w:rsidRDefault="00874EF0" w:rsidP="00874EF0">
      <w:pPr>
        <w:jc w:val="both"/>
        <w:rPr>
          <w:sz w:val="22"/>
          <w:szCs w:val="22"/>
        </w:rPr>
      </w:pPr>
      <w:r w:rsidRPr="00B14963">
        <w:rPr>
          <w:sz w:val="22"/>
          <w:szCs w:val="22"/>
        </w:rPr>
        <w:t>ORR – stopa ukupnog odgovora (engl. Overall Response Rate)</w:t>
      </w:r>
    </w:p>
    <w:p w14:paraId="1E85F8C6" w14:textId="77777777" w:rsidR="00874EF0" w:rsidRPr="00B14963" w:rsidRDefault="00874EF0" w:rsidP="00874EF0">
      <w:pPr>
        <w:jc w:val="both"/>
        <w:rPr>
          <w:sz w:val="22"/>
          <w:szCs w:val="22"/>
        </w:rPr>
      </w:pPr>
      <w:r w:rsidRPr="00B14963">
        <w:rPr>
          <w:sz w:val="22"/>
          <w:szCs w:val="22"/>
        </w:rPr>
        <w:t>CRR – stopa potpunog odgovora (engl. Complete Response Rate)</w:t>
      </w:r>
    </w:p>
    <w:p w14:paraId="14A59814" w14:textId="77777777" w:rsidR="00874EF0" w:rsidRPr="00B14963" w:rsidRDefault="00874EF0" w:rsidP="00874EF0">
      <w:pPr>
        <w:jc w:val="both"/>
        <w:rPr>
          <w:sz w:val="22"/>
          <w:szCs w:val="22"/>
        </w:rPr>
      </w:pPr>
      <w:r w:rsidRPr="00B14963">
        <w:rPr>
          <w:sz w:val="22"/>
          <w:szCs w:val="22"/>
        </w:rPr>
        <w:t>PFS – preživljavanje bez progresije bolesti (udio pacijenata sa događajem, progresija bolesti/relaps ili smrt bilo kog uzroka)</w:t>
      </w:r>
    </w:p>
    <w:p w14:paraId="2FC7EA11" w14:textId="77777777" w:rsidR="00874EF0" w:rsidRPr="00B14963" w:rsidRDefault="00874EF0" w:rsidP="00874EF0">
      <w:pPr>
        <w:jc w:val="both"/>
        <w:rPr>
          <w:sz w:val="22"/>
          <w:szCs w:val="22"/>
        </w:rPr>
      </w:pPr>
      <w:r w:rsidRPr="00B14963">
        <w:rPr>
          <w:sz w:val="22"/>
          <w:szCs w:val="22"/>
          <w:vertAlign w:val="superscript"/>
        </w:rPr>
        <w:t>a</w:t>
      </w:r>
      <w:r w:rsidRPr="00B14963">
        <w:rPr>
          <w:sz w:val="22"/>
          <w:szCs w:val="22"/>
        </w:rPr>
        <w:t xml:space="preserve">- </w:t>
      </w:r>
      <w:bookmarkStart w:id="0" w:name="OLE_LINK13"/>
      <w:r w:rsidRPr="00B14963">
        <w:rPr>
          <w:sz w:val="22"/>
          <w:szCs w:val="22"/>
        </w:rPr>
        <w:t>prilikom kontrolne posete u  3. mesecu (2. dio)</w:t>
      </w:r>
    </w:p>
    <w:p w14:paraId="236B6DDC" w14:textId="77777777" w:rsidR="00874EF0" w:rsidRPr="00B14963" w:rsidRDefault="00874EF0" w:rsidP="00874EF0">
      <w:pPr>
        <w:jc w:val="both"/>
        <w:rPr>
          <w:sz w:val="22"/>
          <w:szCs w:val="22"/>
        </w:rPr>
      </w:pPr>
      <w:r w:rsidRPr="00B14963">
        <w:rPr>
          <w:sz w:val="22"/>
          <w:szCs w:val="22"/>
          <w:vertAlign w:val="superscript"/>
        </w:rPr>
        <w:t>b</w:t>
      </w:r>
      <w:r w:rsidRPr="00B14963">
        <w:rPr>
          <w:sz w:val="22"/>
          <w:szCs w:val="22"/>
        </w:rPr>
        <w:t>- za vr</w:t>
      </w:r>
      <w:r w:rsidR="00207F15" w:rsidRPr="00B14963">
        <w:rPr>
          <w:sz w:val="22"/>
          <w:szCs w:val="22"/>
        </w:rPr>
        <w:t>ij</w:t>
      </w:r>
      <w:r w:rsidRPr="00B14963">
        <w:rPr>
          <w:sz w:val="22"/>
          <w:szCs w:val="22"/>
        </w:rPr>
        <w:t>eme sprovođenja završne analize (medijana praćenja 53 meseca)</w:t>
      </w:r>
      <w:bookmarkEnd w:id="0"/>
    </w:p>
    <w:p w14:paraId="6B626909" w14:textId="77777777" w:rsidR="00874EF0" w:rsidRPr="00B14963" w:rsidRDefault="00874EF0" w:rsidP="00874EF0">
      <w:pPr>
        <w:jc w:val="both"/>
        <w:outlineLvl w:val="0"/>
        <w:rPr>
          <w:sz w:val="22"/>
          <w:szCs w:val="22"/>
        </w:rPr>
      </w:pPr>
    </w:p>
    <w:p w14:paraId="39646F7D" w14:textId="77777777" w:rsidR="00874EF0" w:rsidRPr="00B14963" w:rsidRDefault="00874EF0" w:rsidP="00874EF0">
      <w:pPr>
        <w:jc w:val="both"/>
        <w:outlineLvl w:val="0"/>
        <w:rPr>
          <w:sz w:val="22"/>
          <w:szCs w:val="22"/>
        </w:rPr>
      </w:pPr>
      <w:r w:rsidRPr="00B14963">
        <w:rPr>
          <w:sz w:val="22"/>
          <w:szCs w:val="22"/>
        </w:rPr>
        <w:t>Sveukupno su rezultati potvrdili da subkutana formulacija lijeka MabThera u dozi od 1600 mg ima profil koristi/rizika uporediv sa profilom intravenske formulacije lijeka MabThera u dozi od 500 mg/m</w:t>
      </w:r>
      <w:r w:rsidRPr="00B14963">
        <w:rPr>
          <w:sz w:val="22"/>
          <w:szCs w:val="22"/>
          <w:vertAlign w:val="superscript"/>
        </w:rPr>
        <w:t>2</w:t>
      </w:r>
      <w:r w:rsidRPr="00B14963">
        <w:rPr>
          <w:sz w:val="22"/>
          <w:szCs w:val="22"/>
        </w:rPr>
        <w:t>.</w:t>
      </w:r>
    </w:p>
    <w:p w14:paraId="5D15D391" w14:textId="77777777" w:rsidR="00874EF0" w:rsidRPr="00B14963" w:rsidRDefault="00874EF0" w:rsidP="00874EF0">
      <w:pPr>
        <w:jc w:val="both"/>
        <w:outlineLvl w:val="0"/>
        <w:rPr>
          <w:sz w:val="22"/>
          <w:szCs w:val="22"/>
        </w:rPr>
      </w:pPr>
    </w:p>
    <w:p w14:paraId="2962549E" w14:textId="77777777" w:rsidR="00874EF0" w:rsidRPr="00B14963" w:rsidRDefault="00874EF0" w:rsidP="00874EF0">
      <w:pPr>
        <w:jc w:val="both"/>
        <w:outlineLvl w:val="0"/>
        <w:rPr>
          <w:sz w:val="22"/>
          <w:szCs w:val="22"/>
          <w:u w:val="single"/>
        </w:rPr>
      </w:pPr>
      <w:r w:rsidRPr="00B14963">
        <w:rPr>
          <w:i/>
          <w:sz w:val="22"/>
          <w:szCs w:val="22"/>
          <w:u w:val="single"/>
        </w:rPr>
        <w:t>Imunogenost</w:t>
      </w:r>
    </w:p>
    <w:p w14:paraId="3C54FD4D" w14:textId="77777777" w:rsidR="00874EF0" w:rsidRPr="00B14963" w:rsidRDefault="00874EF0" w:rsidP="00874EF0">
      <w:pPr>
        <w:jc w:val="both"/>
        <w:outlineLvl w:val="0"/>
        <w:rPr>
          <w:sz w:val="22"/>
          <w:szCs w:val="22"/>
        </w:rPr>
      </w:pPr>
      <w:r w:rsidRPr="00B14963">
        <w:rPr>
          <w:sz w:val="22"/>
          <w:szCs w:val="22"/>
        </w:rPr>
        <w:t>Podaci iz razvojnog programa formulacije lijeka MabThera za subkutanu primjenu pokazuju da je nastanak antitijela na rituksimab nakon subkutane primjene uporediv sa onim primijećenim nakon intravenske primjene. U studiji SAWYER (BO25341), incidenca liječenjem izazvanog/pospješenog stvaranja antitijela na rituksimab bila je slična u obije liječene grupe: 15% u grupi liječenoj intravenskom formulacijom te 12% u grupi koja je primala subkutanu formulaciju. Incidenca liječenjem izazvanog/pospješenog stvaranja antitijela na rHuPH20, koja se određivala samo kod pacijenata liječenih subkutanom formulacijom, iznosila je 12%. Nijedan od pacijenata sa pozitivnim nalazom antitijela na rHuPH20 nije bio pozitivan na neutrališuća antitijela.</w:t>
      </w:r>
    </w:p>
    <w:p w14:paraId="23864CE3" w14:textId="77777777" w:rsidR="00874EF0" w:rsidRPr="00B14963" w:rsidRDefault="00874EF0" w:rsidP="00874EF0">
      <w:pPr>
        <w:jc w:val="both"/>
        <w:outlineLvl w:val="0"/>
        <w:rPr>
          <w:sz w:val="22"/>
          <w:szCs w:val="22"/>
        </w:rPr>
      </w:pPr>
    </w:p>
    <w:p w14:paraId="7240791A" w14:textId="77777777" w:rsidR="00874EF0" w:rsidRPr="00B14963" w:rsidRDefault="00874EF0" w:rsidP="00874EF0">
      <w:pPr>
        <w:jc w:val="both"/>
        <w:outlineLvl w:val="0"/>
        <w:rPr>
          <w:sz w:val="22"/>
          <w:szCs w:val="22"/>
        </w:rPr>
      </w:pPr>
      <w:r w:rsidRPr="00B14963">
        <w:rPr>
          <w:sz w:val="22"/>
          <w:szCs w:val="22"/>
        </w:rPr>
        <w:t>Klinički značaj razvoja antitijela na rituksimab ili antitijela na rHuPH20 nakon liječenja formulacijom lijeka MabThera za subkutanu primjenu nije poznat. Prisutnost antitijela na rituksimab ili rHuPH20 nije imala uticaja na bezbjednost, efikasnost ni farmakokinetiku lijeka MabThera.</w:t>
      </w:r>
    </w:p>
    <w:p w14:paraId="2E72D614" w14:textId="77777777" w:rsidR="00874EF0" w:rsidRPr="00B14963" w:rsidRDefault="00874EF0" w:rsidP="00874EF0">
      <w:pPr>
        <w:jc w:val="both"/>
        <w:outlineLvl w:val="0"/>
        <w:rPr>
          <w:sz w:val="22"/>
          <w:szCs w:val="22"/>
        </w:rPr>
      </w:pPr>
    </w:p>
    <w:p w14:paraId="068B8C05" w14:textId="77777777" w:rsidR="00874EF0" w:rsidRPr="00B14963" w:rsidRDefault="00874EF0" w:rsidP="00874EF0">
      <w:pPr>
        <w:jc w:val="both"/>
        <w:rPr>
          <w:sz w:val="22"/>
          <w:szCs w:val="22"/>
          <w:u w:val="single"/>
        </w:rPr>
      </w:pPr>
      <w:r w:rsidRPr="00B14963">
        <w:rPr>
          <w:sz w:val="22"/>
          <w:szCs w:val="22"/>
          <w:u w:val="single"/>
        </w:rPr>
        <w:lastRenderedPageBreak/>
        <w:t xml:space="preserve">Klinička </w:t>
      </w:r>
      <w:r w:rsidR="00555704" w:rsidRPr="00B14963">
        <w:rPr>
          <w:sz w:val="22"/>
          <w:szCs w:val="22"/>
          <w:u w:val="single"/>
        </w:rPr>
        <w:t>efikasnost i bezbjednost</w:t>
      </w:r>
      <w:r w:rsidRPr="00B14963">
        <w:rPr>
          <w:sz w:val="22"/>
          <w:szCs w:val="22"/>
          <w:u w:val="single"/>
        </w:rPr>
        <w:t xml:space="preserve"> MabThera koncentrat</w:t>
      </w:r>
      <w:r w:rsidR="00555704" w:rsidRPr="00B14963">
        <w:rPr>
          <w:sz w:val="22"/>
          <w:szCs w:val="22"/>
          <w:u w:val="single"/>
        </w:rPr>
        <w:t>a</w:t>
      </w:r>
      <w:r w:rsidRPr="00B14963">
        <w:rPr>
          <w:sz w:val="22"/>
          <w:szCs w:val="22"/>
          <w:u w:val="single"/>
        </w:rPr>
        <w:t xml:space="preserve"> za rastvor za infuziju u liječenju HLL</w:t>
      </w:r>
    </w:p>
    <w:p w14:paraId="32874B9F" w14:textId="77777777" w:rsidR="00874EF0" w:rsidRPr="00B14963" w:rsidRDefault="00874EF0" w:rsidP="00874EF0">
      <w:pPr>
        <w:jc w:val="both"/>
        <w:rPr>
          <w:sz w:val="22"/>
          <w:szCs w:val="22"/>
        </w:rPr>
      </w:pPr>
      <w:r w:rsidRPr="00B14963">
        <w:rPr>
          <w:sz w:val="22"/>
          <w:szCs w:val="22"/>
        </w:rPr>
        <w:t>U dvije otvorene randomizovane studije, ukupno 817 prethodno neliječenih pacijenata i 522 pacijenta sa relapsirajućim/refraktornim HLL-om randomizovani su tako da dobijaju ili FC hemioterapiju (fludarabin 25mg/m</w:t>
      </w:r>
      <w:r w:rsidRPr="00B14963">
        <w:rPr>
          <w:sz w:val="22"/>
          <w:szCs w:val="22"/>
          <w:vertAlign w:val="superscript"/>
        </w:rPr>
        <w:t>2</w:t>
      </w:r>
      <w:r w:rsidRPr="00B14963">
        <w:rPr>
          <w:sz w:val="22"/>
          <w:szCs w:val="22"/>
        </w:rPr>
        <w:t>, ciklofosfamid 250 mg/m</w:t>
      </w:r>
      <w:r w:rsidRPr="00B14963">
        <w:rPr>
          <w:sz w:val="22"/>
          <w:szCs w:val="22"/>
          <w:vertAlign w:val="superscript"/>
        </w:rPr>
        <w:t>2</w:t>
      </w:r>
      <w:r w:rsidRPr="00B14963">
        <w:rPr>
          <w:sz w:val="22"/>
          <w:szCs w:val="22"/>
        </w:rPr>
        <w:t>, prva tri dana) svake 4 ned</w:t>
      </w:r>
      <w:r w:rsidR="009B0696" w:rsidRPr="00B14963">
        <w:rPr>
          <w:sz w:val="22"/>
          <w:szCs w:val="22"/>
        </w:rPr>
        <w:t>j</w:t>
      </w:r>
      <w:r w:rsidRPr="00B14963">
        <w:rPr>
          <w:sz w:val="22"/>
          <w:szCs w:val="22"/>
        </w:rPr>
        <w:t>elje tokom 6 ciklusa, ili lijek MabThera u kombinaciji sa FC (R-FC). Lijek MabThera je primjenjivan u dozi od 375 mg/m</w:t>
      </w:r>
      <w:r w:rsidRPr="00B14963">
        <w:rPr>
          <w:sz w:val="22"/>
          <w:szCs w:val="22"/>
          <w:vertAlign w:val="superscript"/>
        </w:rPr>
        <w:t>2</w:t>
      </w:r>
      <w:r w:rsidRPr="00B14963">
        <w:rPr>
          <w:sz w:val="22"/>
          <w:szCs w:val="22"/>
        </w:rPr>
        <w:t xml:space="preserve"> tokom prvog ciklusa, jedan dan prije hemioterapije, i u dozi od 500 mg/m</w:t>
      </w:r>
      <w:r w:rsidRPr="00B14963">
        <w:rPr>
          <w:sz w:val="22"/>
          <w:szCs w:val="22"/>
          <w:vertAlign w:val="superscript"/>
        </w:rPr>
        <w:t>2</w:t>
      </w:r>
      <w:r w:rsidRPr="00B14963">
        <w:rPr>
          <w:sz w:val="22"/>
          <w:szCs w:val="22"/>
        </w:rPr>
        <w:t xml:space="preserve"> prvog dana svakog sljedećeg terapijskog ciklusa. Pacijenti su isključeni iz ispitivanja relapsirajućeg/refraktornog HLL</w:t>
      </w:r>
      <w:r w:rsidRPr="00B14963">
        <w:rPr>
          <w:sz w:val="22"/>
          <w:szCs w:val="22"/>
        </w:rPr>
        <w:noBreakHyphen/>
        <w:t xml:space="preserve">a ako su prethodno liječeni monoklonskim antitijelima, ili ako </w:t>
      </w:r>
      <w:r w:rsidR="001A549A" w:rsidRPr="00B14963">
        <w:rPr>
          <w:sz w:val="22"/>
          <w:szCs w:val="22"/>
        </w:rPr>
        <w:t>nijesu</w:t>
      </w:r>
      <w:r w:rsidRPr="00B14963">
        <w:rPr>
          <w:sz w:val="22"/>
          <w:szCs w:val="22"/>
        </w:rPr>
        <w:t xml:space="preserve"> odgovorili (</w:t>
      </w:r>
      <w:r w:rsidR="001A549A" w:rsidRPr="00B14963">
        <w:rPr>
          <w:sz w:val="22"/>
          <w:szCs w:val="22"/>
        </w:rPr>
        <w:t>nijesu</w:t>
      </w:r>
      <w:r w:rsidRPr="00B14963">
        <w:rPr>
          <w:sz w:val="22"/>
          <w:szCs w:val="22"/>
        </w:rPr>
        <w:t xml:space="preserve"> postigli djelimičnu remisiju tokom najmanje šest mjeseci) na fludarabin ili na bilo koji nukleozidni analog. Ukupno 810 pacijenata (403 R-FC, 407 FC) analizirano je pri procjeni efikasnosti terapije u studiji prve linije liječenja (Tabela 2a i Tabela 2b) i 522 pacijenta (276R-FC, 276FC) u ispitivanju relapsirajuće/refraktorne bolesti (Tabela 3).</w:t>
      </w:r>
    </w:p>
    <w:p w14:paraId="0B6CE842" w14:textId="77777777" w:rsidR="00874EF0" w:rsidRPr="00B14963" w:rsidRDefault="00874EF0" w:rsidP="00874EF0">
      <w:pPr>
        <w:jc w:val="both"/>
        <w:rPr>
          <w:sz w:val="22"/>
          <w:szCs w:val="22"/>
        </w:rPr>
      </w:pPr>
    </w:p>
    <w:p w14:paraId="6C16E91E" w14:textId="77777777" w:rsidR="00874EF0" w:rsidRPr="00B14963" w:rsidRDefault="00874EF0" w:rsidP="00874EF0">
      <w:pPr>
        <w:jc w:val="both"/>
        <w:outlineLvl w:val="0"/>
        <w:rPr>
          <w:sz w:val="22"/>
          <w:szCs w:val="22"/>
        </w:rPr>
      </w:pPr>
      <w:r w:rsidRPr="00B14963">
        <w:rPr>
          <w:sz w:val="22"/>
          <w:szCs w:val="22"/>
        </w:rPr>
        <w:t>U ispitivanju u prvoj liniji liječenja, nakon medijane praćenja od 48,1 mjeseca, medijana preživljavanja bez progresije bolesti (PFS) iznosila je 55 mjeseci u R</w:t>
      </w:r>
      <w:r w:rsidRPr="00B14963">
        <w:rPr>
          <w:sz w:val="22"/>
          <w:szCs w:val="22"/>
        </w:rPr>
        <w:noBreakHyphen/>
        <w:t>CF grupi i 33 mjeseca u FC grupi (p &lt; 0,0001, log</w:t>
      </w:r>
      <w:r w:rsidRPr="00B14963">
        <w:rPr>
          <w:sz w:val="22"/>
          <w:szCs w:val="22"/>
        </w:rPr>
        <w:noBreakHyphen/>
        <w:t>rank test). Analiza ukupnog preživljavanja pokazala je značajnu korist R</w:t>
      </w:r>
      <w:r w:rsidRPr="00B14963">
        <w:rPr>
          <w:sz w:val="22"/>
          <w:szCs w:val="22"/>
        </w:rPr>
        <w:noBreakHyphen/>
        <w:t>FC terapije u odnosu na primjenu samo FC hemioterapije (p = 0,0319, log</w:t>
      </w:r>
      <w:r w:rsidRPr="00B14963">
        <w:rPr>
          <w:sz w:val="22"/>
          <w:szCs w:val="22"/>
        </w:rPr>
        <w:noBreakHyphen/>
        <w:t>rank test) (Tabela 2a). Korist u smislu PFS</w:t>
      </w:r>
      <w:r w:rsidRPr="00B14963">
        <w:rPr>
          <w:sz w:val="22"/>
          <w:szCs w:val="22"/>
        </w:rPr>
        <w:noBreakHyphen/>
        <w:t>a dosljedno je zapažena u većini podgrupa pacijenata analiziranih prema početnom riziku bolesti (Binet stadijumi A</w:t>
      </w:r>
      <w:r w:rsidRPr="00B14963">
        <w:rPr>
          <w:sz w:val="22"/>
          <w:szCs w:val="22"/>
        </w:rPr>
        <w:noBreakHyphen/>
        <w:t>C) (tabela 2b).</w:t>
      </w:r>
    </w:p>
    <w:p w14:paraId="45FA0621" w14:textId="77777777" w:rsidR="00874EF0" w:rsidRPr="00B14963" w:rsidRDefault="00874EF0" w:rsidP="00874EF0">
      <w:pPr>
        <w:jc w:val="both"/>
        <w:rPr>
          <w:b/>
          <w:sz w:val="22"/>
          <w:szCs w:val="22"/>
        </w:rPr>
      </w:pPr>
      <w:bookmarkStart w:id="1" w:name="_Ref200176478"/>
    </w:p>
    <w:p w14:paraId="23C9FEED" w14:textId="77777777" w:rsidR="00D328D8" w:rsidRPr="00B14963" w:rsidRDefault="00874EF0" w:rsidP="00874EF0">
      <w:pPr>
        <w:jc w:val="both"/>
        <w:rPr>
          <w:b/>
          <w:sz w:val="22"/>
          <w:szCs w:val="22"/>
        </w:rPr>
      </w:pPr>
      <w:r w:rsidRPr="00B14963">
        <w:rPr>
          <w:b/>
          <w:sz w:val="22"/>
          <w:szCs w:val="22"/>
        </w:rPr>
        <w:t>Tabela </w:t>
      </w:r>
      <w:bookmarkEnd w:id="1"/>
      <w:r w:rsidRPr="00B14963">
        <w:rPr>
          <w:b/>
          <w:sz w:val="22"/>
          <w:szCs w:val="22"/>
        </w:rPr>
        <w:t xml:space="preserve">2a Prva linija terapije hronične limfocitne leukemije – pregled rezultata efikasnosti </w:t>
      </w:r>
    </w:p>
    <w:p w14:paraId="174582E5" w14:textId="77777777" w:rsidR="00874EF0" w:rsidRPr="00B14963" w:rsidRDefault="00874EF0" w:rsidP="001228EA">
      <w:pPr>
        <w:ind w:left="1008"/>
        <w:jc w:val="both"/>
        <w:rPr>
          <w:b/>
          <w:sz w:val="22"/>
          <w:szCs w:val="22"/>
        </w:rPr>
      </w:pPr>
      <w:r w:rsidRPr="00B14963">
        <w:rPr>
          <w:b/>
          <w:sz w:val="22"/>
          <w:szCs w:val="22"/>
        </w:rPr>
        <w:t>primjene lijeka MabThera u kombinaciji sa FC vs. samo FC  (48,1 mjeseci srednje vr</w:t>
      </w:r>
      <w:r w:rsidR="009C2F34" w:rsidRPr="00B14963">
        <w:rPr>
          <w:b/>
          <w:sz w:val="22"/>
          <w:szCs w:val="22"/>
        </w:rPr>
        <w:t>ij</w:t>
      </w:r>
      <w:r w:rsidRPr="00B14963">
        <w:rPr>
          <w:b/>
          <w:sz w:val="22"/>
          <w:szCs w:val="22"/>
        </w:rPr>
        <w:t>eme praćenja)</w:t>
      </w:r>
    </w:p>
    <w:p w14:paraId="60BB58E4" w14:textId="77777777" w:rsidR="00874EF0" w:rsidRPr="00B14963" w:rsidRDefault="00874EF0" w:rsidP="00874EF0">
      <w:pPr>
        <w:jc w:val="both"/>
        <w:rPr>
          <w:sz w:val="22"/>
          <w:szCs w:val="22"/>
        </w:rPr>
      </w:pPr>
    </w:p>
    <w:tbl>
      <w:tblPr>
        <w:tblW w:w="8658" w:type="dxa"/>
        <w:tblInd w:w="108" w:type="dxa"/>
        <w:tblBorders>
          <w:top w:val="single" w:sz="6" w:space="0" w:color="000000"/>
          <w:bottom w:val="single" w:sz="6" w:space="0" w:color="000000"/>
          <w:insideV w:val="single" w:sz="6" w:space="0" w:color="000000"/>
        </w:tblBorders>
        <w:tblLook w:val="0000" w:firstRow="0" w:lastRow="0" w:firstColumn="0" w:lastColumn="0" w:noHBand="0" w:noVBand="0"/>
      </w:tblPr>
      <w:tblGrid>
        <w:gridCol w:w="3124"/>
        <w:gridCol w:w="1448"/>
        <w:gridCol w:w="1379"/>
        <w:gridCol w:w="1283"/>
        <w:gridCol w:w="1424"/>
      </w:tblGrid>
      <w:tr w:rsidR="00874EF0" w:rsidRPr="00B14963" w14:paraId="322FB874" w14:textId="77777777" w:rsidTr="00555704">
        <w:trPr>
          <w:trHeight w:val="511"/>
        </w:trPr>
        <w:tc>
          <w:tcPr>
            <w:tcW w:w="3124" w:type="dxa"/>
            <w:vMerge w:val="restart"/>
            <w:tcBorders>
              <w:top w:val="single" w:sz="6" w:space="0" w:color="000000"/>
              <w:left w:val="single" w:sz="4" w:space="0" w:color="auto"/>
            </w:tcBorders>
            <w:shd w:val="clear" w:color="auto" w:fill="auto"/>
          </w:tcPr>
          <w:p w14:paraId="0E4E0A88" w14:textId="77777777" w:rsidR="00874EF0" w:rsidRPr="00B14963" w:rsidRDefault="00874EF0" w:rsidP="008C6991">
            <w:pPr>
              <w:rPr>
                <w:b/>
                <w:sz w:val="22"/>
                <w:szCs w:val="22"/>
              </w:rPr>
            </w:pPr>
            <w:r w:rsidRPr="00B14963">
              <w:rPr>
                <w:b/>
                <w:sz w:val="22"/>
                <w:szCs w:val="22"/>
              </w:rPr>
              <w:t>Parametar efikasnosti</w:t>
            </w:r>
          </w:p>
        </w:tc>
        <w:tc>
          <w:tcPr>
            <w:tcW w:w="4109" w:type="dxa"/>
            <w:gridSpan w:val="3"/>
            <w:tcBorders>
              <w:top w:val="single" w:sz="6" w:space="0" w:color="000000"/>
              <w:bottom w:val="single" w:sz="6" w:space="0" w:color="000000"/>
            </w:tcBorders>
            <w:shd w:val="clear" w:color="auto" w:fill="auto"/>
          </w:tcPr>
          <w:p w14:paraId="62F6C5DE" w14:textId="77777777" w:rsidR="00874EF0" w:rsidRPr="00B14963" w:rsidRDefault="00874EF0" w:rsidP="008C6991">
            <w:pPr>
              <w:jc w:val="center"/>
              <w:rPr>
                <w:b/>
                <w:sz w:val="22"/>
                <w:szCs w:val="22"/>
              </w:rPr>
            </w:pPr>
            <w:r w:rsidRPr="00B14963">
              <w:rPr>
                <w:b/>
                <w:sz w:val="22"/>
                <w:szCs w:val="22"/>
              </w:rPr>
              <w:t>Kaplan-Meier procjena srednjeg vremena do događaja (mjeseci)</w:t>
            </w:r>
          </w:p>
        </w:tc>
        <w:tc>
          <w:tcPr>
            <w:tcW w:w="1424" w:type="dxa"/>
            <w:vMerge w:val="restart"/>
            <w:tcBorders>
              <w:top w:val="single" w:sz="6" w:space="0" w:color="000000"/>
              <w:right w:val="single" w:sz="6" w:space="0" w:color="000000"/>
            </w:tcBorders>
            <w:shd w:val="clear" w:color="auto" w:fill="auto"/>
          </w:tcPr>
          <w:p w14:paraId="3011B3E9" w14:textId="77777777" w:rsidR="00874EF0" w:rsidRPr="00B14963" w:rsidRDefault="00874EF0" w:rsidP="008C6991">
            <w:pPr>
              <w:jc w:val="center"/>
              <w:rPr>
                <w:b/>
                <w:sz w:val="22"/>
                <w:szCs w:val="22"/>
                <w:vertAlign w:val="superscript"/>
              </w:rPr>
            </w:pPr>
            <w:r w:rsidRPr="00B14963">
              <w:rPr>
                <w:b/>
                <w:sz w:val="22"/>
                <w:szCs w:val="22"/>
              </w:rPr>
              <w:t>Smanjenje rizika</w:t>
            </w:r>
          </w:p>
        </w:tc>
      </w:tr>
      <w:tr w:rsidR="00874EF0" w:rsidRPr="00B14963" w14:paraId="30209FAB" w14:textId="77777777" w:rsidTr="00555704">
        <w:trPr>
          <w:trHeight w:val="149"/>
        </w:trPr>
        <w:tc>
          <w:tcPr>
            <w:tcW w:w="3124" w:type="dxa"/>
            <w:vMerge/>
            <w:tcBorders>
              <w:left w:val="single" w:sz="4" w:space="0" w:color="auto"/>
              <w:bottom w:val="single" w:sz="6" w:space="0" w:color="000000"/>
            </w:tcBorders>
            <w:shd w:val="clear" w:color="auto" w:fill="auto"/>
          </w:tcPr>
          <w:p w14:paraId="6BC40691" w14:textId="77777777" w:rsidR="00874EF0" w:rsidRPr="00B14963" w:rsidRDefault="00874EF0" w:rsidP="008C6991">
            <w:pPr>
              <w:rPr>
                <w:b/>
                <w:sz w:val="22"/>
                <w:szCs w:val="22"/>
              </w:rPr>
            </w:pPr>
          </w:p>
        </w:tc>
        <w:tc>
          <w:tcPr>
            <w:tcW w:w="1448" w:type="dxa"/>
            <w:tcBorders>
              <w:top w:val="single" w:sz="6" w:space="0" w:color="000000"/>
              <w:bottom w:val="single" w:sz="6" w:space="0" w:color="000000"/>
            </w:tcBorders>
            <w:shd w:val="clear" w:color="auto" w:fill="auto"/>
          </w:tcPr>
          <w:p w14:paraId="5A3CCD01" w14:textId="77777777" w:rsidR="00874EF0" w:rsidRPr="00B14963" w:rsidRDefault="00874EF0" w:rsidP="008C6991">
            <w:pPr>
              <w:jc w:val="center"/>
              <w:rPr>
                <w:b/>
                <w:sz w:val="22"/>
                <w:szCs w:val="22"/>
              </w:rPr>
            </w:pPr>
            <w:r w:rsidRPr="00B14963">
              <w:rPr>
                <w:b/>
                <w:sz w:val="22"/>
                <w:szCs w:val="22"/>
              </w:rPr>
              <w:t>FC</w:t>
            </w:r>
          </w:p>
          <w:p w14:paraId="69918198" w14:textId="77777777" w:rsidR="00874EF0" w:rsidRPr="00B14963" w:rsidRDefault="00874EF0" w:rsidP="008C6991">
            <w:pPr>
              <w:jc w:val="center"/>
              <w:rPr>
                <w:b/>
                <w:sz w:val="22"/>
                <w:szCs w:val="22"/>
              </w:rPr>
            </w:pPr>
            <w:r w:rsidRPr="00B14963">
              <w:rPr>
                <w:b/>
                <w:sz w:val="22"/>
                <w:szCs w:val="22"/>
              </w:rPr>
              <w:t>(N = 409)</w:t>
            </w:r>
          </w:p>
        </w:tc>
        <w:tc>
          <w:tcPr>
            <w:tcW w:w="1379" w:type="dxa"/>
            <w:tcBorders>
              <w:top w:val="single" w:sz="6" w:space="0" w:color="000000"/>
              <w:bottom w:val="single" w:sz="6" w:space="0" w:color="000000"/>
            </w:tcBorders>
            <w:shd w:val="clear" w:color="auto" w:fill="auto"/>
          </w:tcPr>
          <w:p w14:paraId="0E258315" w14:textId="77777777" w:rsidR="00874EF0" w:rsidRPr="00B14963" w:rsidRDefault="00874EF0" w:rsidP="008C6991">
            <w:pPr>
              <w:jc w:val="center"/>
              <w:rPr>
                <w:b/>
                <w:sz w:val="22"/>
                <w:szCs w:val="22"/>
              </w:rPr>
            </w:pPr>
            <w:r w:rsidRPr="00B14963">
              <w:rPr>
                <w:b/>
                <w:sz w:val="22"/>
                <w:szCs w:val="22"/>
              </w:rPr>
              <w:t>R-FC</w:t>
            </w:r>
          </w:p>
          <w:p w14:paraId="50226E75" w14:textId="77777777" w:rsidR="00874EF0" w:rsidRPr="00B14963" w:rsidRDefault="00874EF0" w:rsidP="008C6991">
            <w:pPr>
              <w:jc w:val="center"/>
              <w:rPr>
                <w:b/>
                <w:sz w:val="22"/>
                <w:szCs w:val="22"/>
              </w:rPr>
            </w:pPr>
            <w:r w:rsidRPr="00B14963">
              <w:rPr>
                <w:b/>
                <w:sz w:val="22"/>
                <w:szCs w:val="22"/>
              </w:rPr>
              <w:t>(N=408)</w:t>
            </w:r>
          </w:p>
        </w:tc>
        <w:tc>
          <w:tcPr>
            <w:tcW w:w="1283" w:type="dxa"/>
            <w:tcBorders>
              <w:top w:val="single" w:sz="6" w:space="0" w:color="000000"/>
              <w:bottom w:val="single" w:sz="6" w:space="0" w:color="000000"/>
            </w:tcBorders>
            <w:shd w:val="clear" w:color="auto" w:fill="auto"/>
          </w:tcPr>
          <w:p w14:paraId="53F45053" w14:textId="77777777" w:rsidR="00874EF0" w:rsidRPr="00B14963" w:rsidRDefault="00874EF0" w:rsidP="008C6991">
            <w:pPr>
              <w:jc w:val="center"/>
              <w:rPr>
                <w:b/>
                <w:sz w:val="22"/>
                <w:szCs w:val="22"/>
              </w:rPr>
            </w:pPr>
            <w:r w:rsidRPr="00B14963">
              <w:rPr>
                <w:b/>
                <w:sz w:val="22"/>
                <w:szCs w:val="22"/>
              </w:rPr>
              <w:t xml:space="preserve">Log-Rank </w:t>
            </w:r>
            <w:r w:rsidRPr="00B14963">
              <w:rPr>
                <w:b/>
                <w:sz w:val="22"/>
                <w:szCs w:val="22"/>
              </w:rPr>
              <w:br/>
              <w:t>p vrijednost</w:t>
            </w:r>
          </w:p>
        </w:tc>
        <w:tc>
          <w:tcPr>
            <w:tcW w:w="1424" w:type="dxa"/>
            <w:vMerge/>
            <w:tcBorders>
              <w:bottom w:val="single" w:sz="6" w:space="0" w:color="000000"/>
              <w:right w:val="single" w:sz="6" w:space="0" w:color="000000"/>
            </w:tcBorders>
            <w:shd w:val="clear" w:color="auto" w:fill="auto"/>
          </w:tcPr>
          <w:p w14:paraId="5EBA677A" w14:textId="77777777" w:rsidR="00874EF0" w:rsidRPr="00B14963" w:rsidRDefault="00874EF0" w:rsidP="008C6991">
            <w:pPr>
              <w:jc w:val="center"/>
              <w:rPr>
                <w:b/>
                <w:sz w:val="22"/>
                <w:szCs w:val="22"/>
              </w:rPr>
            </w:pPr>
          </w:p>
        </w:tc>
      </w:tr>
      <w:tr w:rsidR="00874EF0" w:rsidRPr="00B14963" w14:paraId="1504877A" w14:textId="77777777" w:rsidTr="00555704">
        <w:trPr>
          <w:trHeight w:val="263"/>
        </w:trPr>
        <w:tc>
          <w:tcPr>
            <w:tcW w:w="3124" w:type="dxa"/>
            <w:tcBorders>
              <w:top w:val="single" w:sz="6" w:space="0" w:color="000000"/>
              <w:left w:val="single" w:sz="4" w:space="0" w:color="auto"/>
              <w:bottom w:val="nil"/>
            </w:tcBorders>
            <w:shd w:val="clear" w:color="auto" w:fill="auto"/>
          </w:tcPr>
          <w:p w14:paraId="6E9A2F9F" w14:textId="77777777" w:rsidR="00874EF0" w:rsidRPr="00B14963" w:rsidRDefault="00874EF0" w:rsidP="008C6991">
            <w:pPr>
              <w:rPr>
                <w:b/>
                <w:i/>
                <w:sz w:val="22"/>
                <w:szCs w:val="22"/>
              </w:rPr>
            </w:pPr>
            <w:r w:rsidRPr="00B14963">
              <w:rPr>
                <w:i/>
                <w:sz w:val="22"/>
                <w:szCs w:val="22"/>
              </w:rPr>
              <w:t>Preživljavanje bez progresije bolesti (PFS)</w:t>
            </w:r>
          </w:p>
        </w:tc>
        <w:tc>
          <w:tcPr>
            <w:tcW w:w="1448" w:type="dxa"/>
            <w:tcBorders>
              <w:top w:val="single" w:sz="6" w:space="0" w:color="000000"/>
              <w:bottom w:val="nil"/>
            </w:tcBorders>
            <w:shd w:val="clear" w:color="auto" w:fill="auto"/>
          </w:tcPr>
          <w:p w14:paraId="2C21D210" w14:textId="77777777" w:rsidR="00874EF0" w:rsidRPr="00B14963" w:rsidRDefault="00874EF0" w:rsidP="008C6991">
            <w:pPr>
              <w:jc w:val="center"/>
              <w:rPr>
                <w:i/>
                <w:sz w:val="22"/>
                <w:szCs w:val="22"/>
              </w:rPr>
            </w:pPr>
            <w:r w:rsidRPr="00B14963">
              <w:rPr>
                <w:i/>
                <w:sz w:val="22"/>
                <w:szCs w:val="22"/>
              </w:rPr>
              <w:t>32,8</w:t>
            </w:r>
          </w:p>
        </w:tc>
        <w:tc>
          <w:tcPr>
            <w:tcW w:w="1379" w:type="dxa"/>
            <w:tcBorders>
              <w:top w:val="single" w:sz="6" w:space="0" w:color="000000"/>
              <w:bottom w:val="nil"/>
            </w:tcBorders>
            <w:shd w:val="clear" w:color="auto" w:fill="auto"/>
          </w:tcPr>
          <w:p w14:paraId="2884677C" w14:textId="77777777" w:rsidR="00874EF0" w:rsidRPr="00B14963" w:rsidRDefault="00874EF0" w:rsidP="008C6991">
            <w:pPr>
              <w:jc w:val="center"/>
              <w:rPr>
                <w:i/>
                <w:sz w:val="22"/>
                <w:szCs w:val="22"/>
              </w:rPr>
            </w:pPr>
            <w:r w:rsidRPr="00B14963">
              <w:rPr>
                <w:i/>
                <w:sz w:val="22"/>
                <w:szCs w:val="22"/>
              </w:rPr>
              <w:t>55,3</w:t>
            </w:r>
          </w:p>
        </w:tc>
        <w:tc>
          <w:tcPr>
            <w:tcW w:w="1283" w:type="dxa"/>
            <w:tcBorders>
              <w:top w:val="single" w:sz="6" w:space="0" w:color="000000"/>
              <w:bottom w:val="nil"/>
            </w:tcBorders>
            <w:shd w:val="clear" w:color="auto" w:fill="auto"/>
          </w:tcPr>
          <w:p w14:paraId="7A82D84F" w14:textId="77777777" w:rsidR="00874EF0" w:rsidRPr="00B14963" w:rsidRDefault="00874EF0" w:rsidP="008C6991">
            <w:pPr>
              <w:jc w:val="center"/>
              <w:rPr>
                <w:i/>
                <w:sz w:val="22"/>
                <w:szCs w:val="22"/>
              </w:rPr>
            </w:pPr>
            <w:r w:rsidRPr="00B14963">
              <w:rPr>
                <w:i/>
                <w:sz w:val="22"/>
                <w:szCs w:val="22"/>
              </w:rPr>
              <w:t>&lt;0,0001</w:t>
            </w:r>
          </w:p>
        </w:tc>
        <w:tc>
          <w:tcPr>
            <w:tcW w:w="1424" w:type="dxa"/>
            <w:tcBorders>
              <w:top w:val="single" w:sz="6" w:space="0" w:color="000000"/>
              <w:bottom w:val="nil"/>
              <w:right w:val="single" w:sz="6" w:space="0" w:color="000000"/>
            </w:tcBorders>
            <w:shd w:val="clear" w:color="auto" w:fill="auto"/>
          </w:tcPr>
          <w:p w14:paraId="08B14DDB" w14:textId="77777777" w:rsidR="00874EF0" w:rsidRPr="00B14963" w:rsidRDefault="00874EF0" w:rsidP="008C6991">
            <w:pPr>
              <w:jc w:val="center"/>
              <w:rPr>
                <w:i/>
                <w:sz w:val="22"/>
                <w:szCs w:val="22"/>
              </w:rPr>
            </w:pPr>
            <w:r w:rsidRPr="00B14963">
              <w:rPr>
                <w:i/>
                <w:sz w:val="22"/>
                <w:szCs w:val="22"/>
              </w:rPr>
              <w:t>45%</w:t>
            </w:r>
          </w:p>
        </w:tc>
      </w:tr>
      <w:tr w:rsidR="00874EF0" w:rsidRPr="00B14963" w14:paraId="1A8E3A97" w14:textId="77777777" w:rsidTr="00555704">
        <w:trPr>
          <w:trHeight w:val="263"/>
        </w:trPr>
        <w:tc>
          <w:tcPr>
            <w:tcW w:w="3124" w:type="dxa"/>
            <w:tcBorders>
              <w:top w:val="nil"/>
              <w:left w:val="single" w:sz="4" w:space="0" w:color="auto"/>
              <w:bottom w:val="single" w:sz="4" w:space="0" w:color="auto"/>
            </w:tcBorders>
            <w:shd w:val="clear" w:color="auto" w:fill="auto"/>
          </w:tcPr>
          <w:p w14:paraId="69CE20A5" w14:textId="77777777" w:rsidR="00874EF0" w:rsidRPr="00B14963" w:rsidRDefault="00874EF0" w:rsidP="008C6991">
            <w:pPr>
              <w:rPr>
                <w:i/>
                <w:sz w:val="22"/>
                <w:szCs w:val="22"/>
              </w:rPr>
            </w:pPr>
          </w:p>
        </w:tc>
        <w:tc>
          <w:tcPr>
            <w:tcW w:w="1448" w:type="dxa"/>
            <w:tcBorders>
              <w:top w:val="nil"/>
              <w:bottom w:val="single" w:sz="4" w:space="0" w:color="auto"/>
            </w:tcBorders>
            <w:shd w:val="clear" w:color="auto" w:fill="auto"/>
          </w:tcPr>
          <w:p w14:paraId="23C7452A" w14:textId="77777777" w:rsidR="00874EF0" w:rsidRPr="00B14963" w:rsidRDefault="00874EF0" w:rsidP="008C6991">
            <w:pPr>
              <w:jc w:val="center"/>
              <w:rPr>
                <w:i/>
                <w:sz w:val="22"/>
                <w:szCs w:val="22"/>
              </w:rPr>
            </w:pPr>
          </w:p>
        </w:tc>
        <w:tc>
          <w:tcPr>
            <w:tcW w:w="1379" w:type="dxa"/>
            <w:tcBorders>
              <w:top w:val="nil"/>
              <w:bottom w:val="single" w:sz="4" w:space="0" w:color="auto"/>
            </w:tcBorders>
            <w:shd w:val="clear" w:color="auto" w:fill="auto"/>
          </w:tcPr>
          <w:p w14:paraId="2EB53353" w14:textId="77777777" w:rsidR="00874EF0" w:rsidRPr="00B14963" w:rsidRDefault="00874EF0" w:rsidP="008C6991">
            <w:pPr>
              <w:jc w:val="center"/>
              <w:rPr>
                <w:i/>
                <w:sz w:val="22"/>
                <w:szCs w:val="22"/>
              </w:rPr>
            </w:pPr>
          </w:p>
        </w:tc>
        <w:tc>
          <w:tcPr>
            <w:tcW w:w="1283" w:type="dxa"/>
            <w:tcBorders>
              <w:top w:val="nil"/>
              <w:bottom w:val="single" w:sz="4" w:space="0" w:color="auto"/>
            </w:tcBorders>
            <w:shd w:val="clear" w:color="auto" w:fill="auto"/>
          </w:tcPr>
          <w:p w14:paraId="787ED389" w14:textId="77777777" w:rsidR="00874EF0" w:rsidRPr="00B14963" w:rsidRDefault="00874EF0" w:rsidP="008C6991">
            <w:pPr>
              <w:jc w:val="center"/>
              <w:rPr>
                <w:i/>
                <w:sz w:val="22"/>
                <w:szCs w:val="22"/>
              </w:rPr>
            </w:pPr>
          </w:p>
        </w:tc>
        <w:tc>
          <w:tcPr>
            <w:tcW w:w="1424" w:type="dxa"/>
            <w:tcBorders>
              <w:top w:val="nil"/>
              <w:bottom w:val="single" w:sz="4" w:space="0" w:color="auto"/>
              <w:right w:val="single" w:sz="6" w:space="0" w:color="000000"/>
            </w:tcBorders>
            <w:shd w:val="clear" w:color="auto" w:fill="auto"/>
          </w:tcPr>
          <w:p w14:paraId="34862D8D" w14:textId="77777777" w:rsidR="00874EF0" w:rsidRPr="00B14963" w:rsidRDefault="00874EF0" w:rsidP="008C6991">
            <w:pPr>
              <w:jc w:val="center"/>
              <w:rPr>
                <w:i/>
                <w:sz w:val="22"/>
                <w:szCs w:val="22"/>
              </w:rPr>
            </w:pPr>
          </w:p>
        </w:tc>
      </w:tr>
      <w:tr w:rsidR="00874EF0" w:rsidRPr="00B14963" w14:paraId="5CC7094B" w14:textId="77777777" w:rsidTr="00555704">
        <w:trPr>
          <w:trHeight w:val="248"/>
        </w:trPr>
        <w:tc>
          <w:tcPr>
            <w:tcW w:w="3124" w:type="dxa"/>
            <w:tcBorders>
              <w:top w:val="single" w:sz="4" w:space="0" w:color="auto"/>
              <w:left w:val="single" w:sz="4" w:space="0" w:color="auto"/>
              <w:bottom w:val="nil"/>
            </w:tcBorders>
            <w:shd w:val="clear" w:color="auto" w:fill="auto"/>
          </w:tcPr>
          <w:p w14:paraId="5D6A6774" w14:textId="77777777" w:rsidR="00874EF0" w:rsidRPr="00B14963" w:rsidRDefault="00874EF0" w:rsidP="008C6991">
            <w:pPr>
              <w:rPr>
                <w:b/>
                <w:i/>
                <w:sz w:val="22"/>
                <w:szCs w:val="22"/>
              </w:rPr>
            </w:pPr>
            <w:r w:rsidRPr="00B14963">
              <w:rPr>
                <w:i/>
                <w:sz w:val="22"/>
                <w:szCs w:val="22"/>
              </w:rPr>
              <w:t xml:space="preserve">Ukupno preživljavanje </w:t>
            </w:r>
          </w:p>
        </w:tc>
        <w:tc>
          <w:tcPr>
            <w:tcW w:w="1448" w:type="dxa"/>
            <w:tcBorders>
              <w:top w:val="single" w:sz="4" w:space="0" w:color="auto"/>
              <w:bottom w:val="nil"/>
            </w:tcBorders>
            <w:shd w:val="clear" w:color="auto" w:fill="auto"/>
          </w:tcPr>
          <w:p w14:paraId="560FBA9C" w14:textId="77777777" w:rsidR="00874EF0" w:rsidRPr="00B14963" w:rsidRDefault="00874EF0" w:rsidP="008C6991">
            <w:pPr>
              <w:jc w:val="center"/>
              <w:rPr>
                <w:i/>
                <w:sz w:val="22"/>
                <w:szCs w:val="22"/>
              </w:rPr>
            </w:pPr>
            <w:r w:rsidRPr="00B14963">
              <w:rPr>
                <w:i/>
                <w:sz w:val="22"/>
                <w:szCs w:val="22"/>
              </w:rPr>
              <w:t>NR</w:t>
            </w:r>
          </w:p>
        </w:tc>
        <w:tc>
          <w:tcPr>
            <w:tcW w:w="1379" w:type="dxa"/>
            <w:tcBorders>
              <w:top w:val="single" w:sz="4" w:space="0" w:color="auto"/>
              <w:bottom w:val="nil"/>
            </w:tcBorders>
            <w:shd w:val="clear" w:color="auto" w:fill="auto"/>
          </w:tcPr>
          <w:p w14:paraId="3476DAF9" w14:textId="77777777" w:rsidR="00874EF0" w:rsidRPr="00B14963" w:rsidRDefault="00874EF0" w:rsidP="008C6991">
            <w:pPr>
              <w:jc w:val="center"/>
              <w:rPr>
                <w:i/>
                <w:sz w:val="22"/>
                <w:szCs w:val="22"/>
              </w:rPr>
            </w:pPr>
            <w:r w:rsidRPr="00B14963">
              <w:rPr>
                <w:i/>
                <w:sz w:val="22"/>
                <w:szCs w:val="22"/>
              </w:rPr>
              <w:t>NR</w:t>
            </w:r>
          </w:p>
        </w:tc>
        <w:tc>
          <w:tcPr>
            <w:tcW w:w="1283" w:type="dxa"/>
            <w:tcBorders>
              <w:top w:val="single" w:sz="4" w:space="0" w:color="auto"/>
              <w:bottom w:val="nil"/>
            </w:tcBorders>
            <w:shd w:val="clear" w:color="auto" w:fill="auto"/>
          </w:tcPr>
          <w:p w14:paraId="4EBB564D" w14:textId="77777777" w:rsidR="00874EF0" w:rsidRPr="00B14963" w:rsidRDefault="00874EF0" w:rsidP="008C6991">
            <w:pPr>
              <w:jc w:val="center"/>
              <w:rPr>
                <w:i/>
                <w:sz w:val="22"/>
                <w:szCs w:val="22"/>
              </w:rPr>
            </w:pPr>
            <w:r w:rsidRPr="00B14963">
              <w:rPr>
                <w:i/>
                <w:sz w:val="22"/>
                <w:szCs w:val="22"/>
              </w:rPr>
              <w:t>0,0319</w:t>
            </w:r>
          </w:p>
        </w:tc>
        <w:tc>
          <w:tcPr>
            <w:tcW w:w="1424" w:type="dxa"/>
            <w:tcBorders>
              <w:top w:val="single" w:sz="4" w:space="0" w:color="auto"/>
              <w:bottom w:val="nil"/>
              <w:right w:val="single" w:sz="6" w:space="0" w:color="000000"/>
            </w:tcBorders>
            <w:shd w:val="clear" w:color="auto" w:fill="auto"/>
          </w:tcPr>
          <w:p w14:paraId="03EAABA2" w14:textId="77777777" w:rsidR="00874EF0" w:rsidRPr="00B14963" w:rsidRDefault="00874EF0" w:rsidP="008C6991">
            <w:pPr>
              <w:jc w:val="center"/>
              <w:rPr>
                <w:i/>
                <w:sz w:val="22"/>
                <w:szCs w:val="22"/>
              </w:rPr>
            </w:pPr>
            <w:r w:rsidRPr="00B14963">
              <w:rPr>
                <w:i/>
                <w:sz w:val="22"/>
                <w:szCs w:val="22"/>
              </w:rPr>
              <w:t>27%</w:t>
            </w:r>
          </w:p>
        </w:tc>
      </w:tr>
      <w:tr w:rsidR="00874EF0" w:rsidRPr="00B14963" w14:paraId="35242065" w14:textId="77777777" w:rsidTr="00555704">
        <w:trPr>
          <w:trHeight w:val="263"/>
        </w:trPr>
        <w:tc>
          <w:tcPr>
            <w:tcW w:w="3124" w:type="dxa"/>
            <w:tcBorders>
              <w:top w:val="nil"/>
              <w:left w:val="single" w:sz="4" w:space="0" w:color="auto"/>
              <w:bottom w:val="single" w:sz="4" w:space="0" w:color="auto"/>
            </w:tcBorders>
            <w:shd w:val="clear" w:color="auto" w:fill="auto"/>
          </w:tcPr>
          <w:p w14:paraId="5ABC58DD" w14:textId="77777777" w:rsidR="00874EF0" w:rsidRPr="00B14963" w:rsidRDefault="00874EF0" w:rsidP="008C6991">
            <w:pPr>
              <w:rPr>
                <w:i/>
                <w:sz w:val="22"/>
                <w:szCs w:val="22"/>
              </w:rPr>
            </w:pPr>
          </w:p>
        </w:tc>
        <w:tc>
          <w:tcPr>
            <w:tcW w:w="1448" w:type="dxa"/>
            <w:tcBorders>
              <w:top w:val="nil"/>
              <w:bottom w:val="single" w:sz="4" w:space="0" w:color="auto"/>
            </w:tcBorders>
            <w:shd w:val="clear" w:color="auto" w:fill="auto"/>
          </w:tcPr>
          <w:p w14:paraId="06A9EF3B" w14:textId="77777777" w:rsidR="00874EF0" w:rsidRPr="00B14963" w:rsidRDefault="00874EF0" w:rsidP="008C6991">
            <w:pPr>
              <w:jc w:val="center"/>
              <w:rPr>
                <w:i/>
                <w:sz w:val="22"/>
                <w:szCs w:val="22"/>
              </w:rPr>
            </w:pPr>
          </w:p>
        </w:tc>
        <w:tc>
          <w:tcPr>
            <w:tcW w:w="1379" w:type="dxa"/>
            <w:tcBorders>
              <w:top w:val="nil"/>
              <w:bottom w:val="single" w:sz="4" w:space="0" w:color="auto"/>
            </w:tcBorders>
            <w:shd w:val="clear" w:color="auto" w:fill="auto"/>
          </w:tcPr>
          <w:p w14:paraId="404B4ED9" w14:textId="77777777" w:rsidR="00874EF0" w:rsidRPr="00B14963" w:rsidRDefault="00874EF0" w:rsidP="008C6991">
            <w:pPr>
              <w:jc w:val="center"/>
              <w:rPr>
                <w:i/>
                <w:sz w:val="22"/>
                <w:szCs w:val="22"/>
              </w:rPr>
            </w:pPr>
          </w:p>
        </w:tc>
        <w:tc>
          <w:tcPr>
            <w:tcW w:w="1283" w:type="dxa"/>
            <w:tcBorders>
              <w:top w:val="nil"/>
              <w:bottom w:val="single" w:sz="4" w:space="0" w:color="auto"/>
            </w:tcBorders>
            <w:shd w:val="clear" w:color="auto" w:fill="auto"/>
          </w:tcPr>
          <w:p w14:paraId="241CBF50" w14:textId="77777777" w:rsidR="00874EF0" w:rsidRPr="00B14963" w:rsidRDefault="00874EF0" w:rsidP="008C6991">
            <w:pPr>
              <w:jc w:val="center"/>
              <w:rPr>
                <w:i/>
                <w:sz w:val="22"/>
                <w:szCs w:val="22"/>
              </w:rPr>
            </w:pPr>
          </w:p>
        </w:tc>
        <w:tc>
          <w:tcPr>
            <w:tcW w:w="1424" w:type="dxa"/>
            <w:tcBorders>
              <w:top w:val="nil"/>
              <w:bottom w:val="single" w:sz="4" w:space="0" w:color="auto"/>
              <w:right w:val="single" w:sz="6" w:space="0" w:color="000000"/>
            </w:tcBorders>
            <w:shd w:val="clear" w:color="auto" w:fill="auto"/>
          </w:tcPr>
          <w:p w14:paraId="7DE429CA" w14:textId="77777777" w:rsidR="00874EF0" w:rsidRPr="00B14963" w:rsidRDefault="00874EF0" w:rsidP="008C6991">
            <w:pPr>
              <w:jc w:val="center"/>
              <w:rPr>
                <w:i/>
                <w:sz w:val="22"/>
                <w:szCs w:val="22"/>
              </w:rPr>
            </w:pPr>
          </w:p>
        </w:tc>
      </w:tr>
      <w:tr w:rsidR="00874EF0" w:rsidRPr="00B14963" w14:paraId="4C433ECB" w14:textId="77777777" w:rsidTr="00555704">
        <w:trPr>
          <w:trHeight w:val="561"/>
        </w:trPr>
        <w:tc>
          <w:tcPr>
            <w:tcW w:w="3124" w:type="dxa"/>
            <w:tcBorders>
              <w:top w:val="single" w:sz="4" w:space="0" w:color="auto"/>
              <w:left w:val="single" w:sz="4" w:space="0" w:color="auto"/>
              <w:bottom w:val="nil"/>
            </w:tcBorders>
            <w:shd w:val="clear" w:color="auto" w:fill="auto"/>
          </w:tcPr>
          <w:p w14:paraId="45FB9FD4" w14:textId="77777777" w:rsidR="00874EF0" w:rsidRPr="00B14963" w:rsidRDefault="00874EF0" w:rsidP="008C6991">
            <w:pPr>
              <w:rPr>
                <w:i/>
                <w:sz w:val="22"/>
                <w:szCs w:val="22"/>
              </w:rPr>
            </w:pPr>
            <w:r w:rsidRPr="00B14963">
              <w:rPr>
                <w:i/>
                <w:sz w:val="22"/>
                <w:szCs w:val="22"/>
              </w:rPr>
              <w:t xml:space="preserve">Preživljavanje bez događaja </w:t>
            </w:r>
          </w:p>
        </w:tc>
        <w:tc>
          <w:tcPr>
            <w:tcW w:w="1448" w:type="dxa"/>
            <w:tcBorders>
              <w:top w:val="single" w:sz="4" w:space="0" w:color="auto"/>
              <w:bottom w:val="nil"/>
            </w:tcBorders>
            <w:shd w:val="clear" w:color="auto" w:fill="auto"/>
          </w:tcPr>
          <w:p w14:paraId="612F5963" w14:textId="77777777" w:rsidR="00874EF0" w:rsidRPr="00B14963" w:rsidRDefault="00874EF0" w:rsidP="008C6991">
            <w:pPr>
              <w:jc w:val="center"/>
              <w:rPr>
                <w:i/>
                <w:sz w:val="22"/>
                <w:szCs w:val="22"/>
              </w:rPr>
            </w:pPr>
            <w:r w:rsidRPr="00B14963">
              <w:rPr>
                <w:i/>
                <w:sz w:val="22"/>
                <w:szCs w:val="22"/>
              </w:rPr>
              <w:t>31,3</w:t>
            </w:r>
          </w:p>
        </w:tc>
        <w:tc>
          <w:tcPr>
            <w:tcW w:w="1379" w:type="dxa"/>
            <w:tcBorders>
              <w:top w:val="single" w:sz="4" w:space="0" w:color="auto"/>
              <w:bottom w:val="nil"/>
            </w:tcBorders>
            <w:shd w:val="clear" w:color="auto" w:fill="auto"/>
          </w:tcPr>
          <w:p w14:paraId="70850ED7" w14:textId="77777777" w:rsidR="00874EF0" w:rsidRPr="00B14963" w:rsidRDefault="00874EF0" w:rsidP="008C6991">
            <w:pPr>
              <w:jc w:val="center"/>
              <w:rPr>
                <w:i/>
                <w:sz w:val="22"/>
                <w:szCs w:val="22"/>
              </w:rPr>
            </w:pPr>
            <w:r w:rsidRPr="00B14963">
              <w:rPr>
                <w:i/>
                <w:sz w:val="22"/>
                <w:szCs w:val="22"/>
              </w:rPr>
              <w:t>51,8</w:t>
            </w:r>
          </w:p>
        </w:tc>
        <w:tc>
          <w:tcPr>
            <w:tcW w:w="1283" w:type="dxa"/>
            <w:tcBorders>
              <w:top w:val="single" w:sz="4" w:space="0" w:color="auto"/>
              <w:bottom w:val="nil"/>
            </w:tcBorders>
            <w:shd w:val="clear" w:color="auto" w:fill="auto"/>
          </w:tcPr>
          <w:p w14:paraId="3B97532E" w14:textId="77777777" w:rsidR="00874EF0" w:rsidRPr="00B14963" w:rsidRDefault="00874EF0" w:rsidP="008C6991">
            <w:pPr>
              <w:jc w:val="center"/>
              <w:rPr>
                <w:i/>
                <w:sz w:val="22"/>
                <w:szCs w:val="22"/>
              </w:rPr>
            </w:pPr>
            <w:r w:rsidRPr="00B14963">
              <w:rPr>
                <w:i/>
                <w:sz w:val="22"/>
                <w:szCs w:val="22"/>
              </w:rPr>
              <w:t>&lt;0,0001</w:t>
            </w:r>
          </w:p>
        </w:tc>
        <w:tc>
          <w:tcPr>
            <w:tcW w:w="1424" w:type="dxa"/>
            <w:tcBorders>
              <w:top w:val="single" w:sz="4" w:space="0" w:color="auto"/>
              <w:bottom w:val="nil"/>
              <w:right w:val="single" w:sz="6" w:space="0" w:color="000000"/>
            </w:tcBorders>
            <w:shd w:val="clear" w:color="auto" w:fill="auto"/>
          </w:tcPr>
          <w:p w14:paraId="375ED5F7" w14:textId="77777777" w:rsidR="00874EF0" w:rsidRPr="00B14963" w:rsidRDefault="00874EF0" w:rsidP="008C6991">
            <w:pPr>
              <w:jc w:val="center"/>
              <w:rPr>
                <w:i/>
                <w:sz w:val="22"/>
                <w:szCs w:val="22"/>
              </w:rPr>
            </w:pPr>
            <w:r w:rsidRPr="00B14963">
              <w:rPr>
                <w:i/>
                <w:sz w:val="22"/>
                <w:szCs w:val="22"/>
              </w:rPr>
              <w:t>44%</w:t>
            </w:r>
          </w:p>
        </w:tc>
      </w:tr>
      <w:tr w:rsidR="00874EF0" w:rsidRPr="00B14963" w14:paraId="0C5304F8" w14:textId="77777777" w:rsidTr="00555704">
        <w:trPr>
          <w:trHeight w:val="561"/>
        </w:trPr>
        <w:tc>
          <w:tcPr>
            <w:tcW w:w="3124" w:type="dxa"/>
            <w:tcBorders>
              <w:top w:val="single" w:sz="4" w:space="0" w:color="auto"/>
              <w:left w:val="single" w:sz="4" w:space="0" w:color="auto"/>
              <w:bottom w:val="nil"/>
            </w:tcBorders>
            <w:shd w:val="clear" w:color="auto" w:fill="auto"/>
          </w:tcPr>
          <w:p w14:paraId="4ACCD853" w14:textId="77777777" w:rsidR="00874EF0" w:rsidRPr="00B14963" w:rsidRDefault="00874EF0" w:rsidP="008C6991">
            <w:pPr>
              <w:rPr>
                <w:i/>
                <w:sz w:val="22"/>
                <w:szCs w:val="22"/>
              </w:rPr>
            </w:pPr>
            <w:r w:rsidRPr="00B14963">
              <w:rPr>
                <w:i/>
                <w:sz w:val="22"/>
                <w:szCs w:val="22"/>
              </w:rPr>
              <w:t>Stopa odgovora na terapiju  (CR, nPR, ili PR)</w:t>
            </w:r>
          </w:p>
        </w:tc>
        <w:tc>
          <w:tcPr>
            <w:tcW w:w="1448" w:type="dxa"/>
            <w:tcBorders>
              <w:top w:val="single" w:sz="4" w:space="0" w:color="auto"/>
              <w:bottom w:val="nil"/>
            </w:tcBorders>
            <w:shd w:val="clear" w:color="auto" w:fill="auto"/>
          </w:tcPr>
          <w:p w14:paraId="2F93B52E" w14:textId="77777777" w:rsidR="00874EF0" w:rsidRPr="00B14963" w:rsidRDefault="00874EF0" w:rsidP="008C6991">
            <w:pPr>
              <w:jc w:val="center"/>
              <w:rPr>
                <w:i/>
                <w:sz w:val="22"/>
                <w:szCs w:val="22"/>
              </w:rPr>
            </w:pPr>
            <w:r w:rsidRPr="00B14963">
              <w:rPr>
                <w:i/>
                <w:sz w:val="22"/>
                <w:szCs w:val="22"/>
              </w:rPr>
              <w:t>72,6%</w:t>
            </w:r>
          </w:p>
        </w:tc>
        <w:tc>
          <w:tcPr>
            <w:tcW w:w="1379" w:type="dxa"/>
            <w:tcBorders>
              <w:top w:val="single" w:sz="4" w:space="0" w:color="auto"/>
              <w:bottom w:val="nil"/>
            </w:tcBorders>
            <w:shd w:val="clear" w:color="auto" w:fill="auto"/>
          </w:tcPr>
          <w:p w14:paraId="509A750F" w14:textId="77777777" w:rsidR="00874EF0" w:rsidRPr="00B14963" w:rsidRDefault="00874EF0" w:rsidP="008C6991">
            <w:pPr>
              <w:jc w:val="center"/>
              <w:rPr>
                <w:i/>
                <w:sz w:val="22"/>
                <w:szCs w:val="22"/>
              </w:rPr>
            </w:pPr>
            <w:r w:rsidRPr="00B14963">
              <w:rPr>
                <w:i/>
                <w:sz w:val="22"/>
                <w:szCs w:val="22"/>
              </w:rPr>
              <w:t>85,8%</w:t>
            </w:r>
          </w:p>
        </w:tc>
        <w:tc>
          <w:tcPr>
            <w:tcW w:w="1283" w:type="dxa"/>
            <w:tcBorders>
              <w:top w:val="single" w:sz="4" w:space="0" w:color="auto"/>
              <w:bottom w:val="nil"/>
            </w:tcBorders>
            <w:shd w:val="clear" w:color="auto" w:fill="auto"/>
          </w:tcPr>
          <w:p w14:paraId="5089A800" w14:textId="77777777" w:rsidR="00874EF0" w:rsidRPr="00B14963" w:rsidRDefault="00874EF0" w:rsidP="008C6991">
            <w:pPr>
              <w:jc w:val="center"/>
              <w:rPr>
                <w:i/>
                <w:sz w:val="22"/>
                <w:szCs w:val="22"/>
              </w:rPr>
            </w:pPr>
            <w:r w:rsidRPr="00B14963">
              <w:rPr>
                <w:i/>
                <w:sz w:val="22"/>
                <w:szCs w:val="22"/>
              </w:rPr>
              <w:t>&lt;0,0001</w:t>
            </w:r>
          </w:p>
        </w:tc>
        <w:tc>
          <w:tcPr>
            <w:tcW w:w="1424" w:type="dxa"/>
            <w:tcBorders>
              <w:top w:val="single" w:sz="4" w:space="0" w:color="auto"/>
              <w:bottom w:val="nil"/>
              <w:right w:val="single" w:sz="6" w:space="0" w:color="000000"/>
            </w:tcBorders>
            <w:shd w:val="clear" w:color="auto" w:fill="auto"/>
          </w:tcPr>
          <w:p w14:paraId="4BFEE2E3" w14:textId="77777777" w:rsidR="00874EF0" w:rsidRPr="00B14963" w:rsidRDefault="00874EF0" w:rsidP="008C6991">
            <w:pPr>
              <w:jc w:val="center"/>
              <w:rPr>
                <w:i/>
                <w:sz w:val="22"/>
                <w:szCs w:val="22"/>
              </w:rPr>
            </w:pPr>
            <w:r w:rsidRPr="00B14963">
              <w:rPr>
                <w:i/>
                <w:sz w:val="22"/>
                <w:szCs w:val="22"/>
              </w:rPr>
              <w:t>n.a.</w:t>
            </w:r>
          </w:p>
        </w:tc>
      </w:tr>
      <w:tr w:rsidR="00874EF0" w:rsidRPr="00B14963" w14:paraId="32E5820B" w14:textId="77777777" w:rsidTr="00555704">
        <w:trPr>
          <w:trHeight w:val="535"/>
        </w:trPr>
        <w:tc>
          <w:tcPr>
            <w:tcW w:w="3124" w:type="dxa"/>
            <w:tcBorders>
              <w:left w:val="single" w:sz="4" w:space="0" w:color="auto"/>
              <w:bottom w:val="nil"/>
            </w:tcBorders>
            <w:shd w:val="clear" w:color="auto" w:fill="auto"/>
          </w:tcPr>
          <w:p w14:paraId="67F26426" w14:textId="77777777" w:rsidR="00874EF0" w:rsidRPr="00B14963" w:rsidRDefault="00874EF0" w:rsidP="008C6991">
            <w:pPr>
              <w:rPr>
                <w:i/>
                <w:sz w:val="22"/>
                <w:szCs w:val="22"/>
              </w:rPr>
            </w:pPr>
            <w:r w:rsidRPr="00B14963">
              <w:rPr>
                <w:i/>
                <w:sz w:val="22"/>
                <w:szCs w:val="22"/>
              </w:rPr>
              <w:t>CR stopa</w:t>
            </w:r>
          </w:p>
        </w:tc>
        <w:tc>
          <w:tcPr>
            <w:tcW w:w="1448" w:type="dxa"/>
            <w:tcBorders>
              <w:bottom w:val="nil"/>
            </w:tcBorders>
            <w:shd w:val="clear" w:color="auto" w:fill="auto"/>
          </w:tcPr>
          <w:p w14:paraId="58F8FFA3" w14:textId="77777777" w:rsidR="00874EF0" w:rsidRPr="00B14963" w:rsidRDefault="00874EF0" w:rsidP="008C6991">
            <w:pPr>
              <w:jc w:val="center"/>
              <w:rPr>
                <w:i/>
                <w:sz w:val="22"/>
                <w:szCs w:val="22"/>
              </w:rPr>
            </w:pPr>
            <w:r w:rsidRPr="00B14963">
              <w:rPr>
                <w:i/>
                <w:sz w:val="22"/>
                <w:szCs w:val="22"/>
              </w:rPr>
              <w:t>16,9%</w:t>
            </w:r>
          </w:p>
        </w:tc>
        <w:tc>
          <w:tcPr>
            <w:tcW w:w="1379" w:type="dxa"/>
            <w:tcBorders>
              <w:bottom w:val="nil"/>
            </w:tcBorders>
            <w:shd w:val="clear" w:color="auto" w:fill="auto"/>
          </w:tcPr>
          <w:p w14:paraId="6373F764" w14:textId="77777777" w:rsidR="00874EF0" w:rsidRPr="00B14963" w:rsidRDefault="00874EF0" w:rsidP="008C6991">
            <w:pPr>
              <w:jc w:val="center"/>
              <w:rPr>
                <w:i/>
                <w:sz w:val="22"/>
                <w:szCs w:val="22"/>
              </w:rPr>
            </w:pPr>
            <w:r w:rsidRPr="00B14963">
              <w:rPr>
                <w:i/>
                <w:sz w:val="22"/>
                <w:szCs w:val="22"/>
              </w:rPr>
              <w:t>36,0%</w:t>
            </w:r>
          </w:p>
        </w:tc>
        <w:tc>
          <w:tcPr>
            <w:tcW w:w="1283" w:type="dxa"/>
            <w:tcBorders>
              <w:bottom w:val="nil"/>
            </w:tcBorders>
            <w:shd w:val="clear" w:color="auto" w:fill="auto"/>
          </w:tcPr>
          <w:p w14:paraId="72E695BC" w14:textId="77777777" w:rsidR="00874EF0" w:rsidRPr="00B14963" w:rsidRDefault="00874EF0" w:rsidP="008C6991">
            <w:pPr>
              <w:jc w:val="center"/>
              <w:rPr>
                <w:i/>
                <w:sz w:val="22"/>
                <w:szCs w:val="22"/>
              </w:rPr>
            </w:pPr>
            <w:r w:rsidRPr="00B14963">
              <w:rPr>
                <w:i/>
                <w:sz w:val="22"/>
                <w:szCs w:val="22"/>
              </w:rPr>
              <w:t>&lt;0,0001</w:t>
            </w:r>
          </w:p>
        </w:tc>
        <w:tc>
          <w:tcPr>
            <w:tcW w:w="1424" w:type="dxa"/>
            <w:tcBorders>
              <w:bottom w:val="nil"/>
              <w:right w:val="single" w:sz="6" w:space="0" w:color="000000"/>
            </w:tcBorders>
            <w:shd w:val="clear" w:color="auto" w:fill="auto"/>
          </w:tcPr>
          <w:p w14:paraId="130B4868" w14:textId="77777777" w:rsidR="00874EF0" w:rsidRPr="00B14963" w:rsidRDefault="00874EF0" w:rsidP="008C6991">
            <w:pPr>
              <w:jc w:val="center"/>
              <w:rPr>
                <w:i/>
                <w:sz w:val="22"/>
                <w:szCs w:val="22"/>
              </w:rPr>
            </w:pPr>
            <w:r w:rsidRPr="00B14963">
              <w:rPr>
                <w:i/>
                <w:sz w:val="22"/>
                <w:szCs w:val="22"/>
              </w:rPr>
              <w:t>n.a.</w:t>
            </w:r>
          </w:p>
        </w:tc>
      </w:tr>
      <w:tr w:rsidR="00874EF0" w:rsidRPr="00B14963" w14:paraId="31B2DA4A" w14:textId="77777777" w:rsidTr="00555704">
        <w:trPr>
          <w:trHeight w:val="263"/>
        </w:trPr>
        <w:tc>
          <w:tcPr>
            <w:tcW w:w="3124" w:type="dxa"/>
            <w:tcBorders>
              <w:top w:val="nil"/>
              <w:left w:val="single" w:sz="4" w:space="0" w:color="auto"/>
              <w:bottom w:val="nil"/>
            </w:tcBorders>
            <w:shd w:val="clear" w:color="auto" w:fill="auto"/>
          </w:tcPr>
          <w:p w14:paraId="29BAA5AE" w14:textId="77777777" w:rsidR="00874EF0" w:rsidRPr="00B14963" w:rsidRDefault="00874EF0" w:rsidP="008C6991">
            <w:pPr>
              <w:rPr>
                <w:i/>
                <w:sz w:val="22"/>
                <w:szCs w:val="22"/>
              </w:rPr>
            </w:pPr>
            <w:r w:rsidRPr="00B14963">
              <w:rPr>
                <w:i/>
                <w:sz w:val="22"/>
                <w:szCs w:val="22"/>
              </w:rPr>
              <w:t xml:space="preserve"> Trajanje odgovora*</w:t>
            </w:r>
          </w:p>
        </w:tc>
        <w:tc>
          <w:tcPr>
            <w:tcW w:w="1448" w:type="dxa"/>
            <w:tcBorders>
              <w:top w:val="nil"/>
              <w:bottom w:val="nil"/>
            </w:tcBorders>
            <w:shd w:val="clear" w:color="auto" w:fill="auto"/>
          </w:tcPr>
          <w:p w14:paraId="7872DB33" w14:textId="77777777" w:rsidR="00874EF0" w:rsidRPr="00B14963" w:rsidRDefault="00874EF0" w:rsidP="008C6991">
            <w:pPr>
              <w:jc w:val="center"/>
              <w:rPr>
                <w:i/>
                <w:sz w:val="22"/>
                <w:szCs w:val="22"/>
              </w:rPr>
            </w:pPr>
            <w:r w:rsidRPr="00B14963">
              <w:rPr>
                <w:i/>
                <w:sz w:val="22"/>
                <w:szCs w:val="22"/>
              </w:rPr>
              <w:t>36,2</w:t>
            </w:r>
          </w:p>
        </w:tc>
        <w:tc>
          <w:tcPr>
            <w:tcW w:w="1379" w:type="dxa"/>
            <w:tcBorders>
              <w:top w:val="nil"/>
              <w:bottom w:val="nil"/>
            </w:tcBorders>
            <w:shd w:val="clear" w:color="auto" w:fill="auto"/>
          </w:tcPr>
          <w:p w14:paraId="69502F4F" w14:textId="77777777" w:rsidR="00874EF0" w:rsidRPr="00B14963" w:rsidRDefault="00874EF0" w:rsidP="008C6991">
            <w:pPr>
              <w:jc w:val="center"/>
              <w:rPr>
                <w:i/>
                <w:sz w:val="22"/>
                <w:szCs w:val="22"/>
              </w:rPr>
            </w:pPr>
            <w:r w:rsidRPr="00B14963">
              <w:rPr>
                <w:i/>
                <w:sz w:val="22"/>
                <w:szCs w:val="22"/>
              </w:rPr>
              <w:t>57,3</w:t>
            </w:r>
          </w:p>
        </w:tc>
        <w:tc>
          <w:tcPr>
            <w:tcW w:w="1283" w:type="dxa"/>
            <w:tcBorders>
              <w:top w:val="nil"/>
              <w:bottom w:val="nil"/>
            </w:tcBorders>
            <w:shd w:val="clear" w:color="auto" w:fill="auto"/>
          </w:tcPr>
          <w:p w14:paraId="4433C63C" w14:textId="77777777" w:rsidR="00874EF0" w:rsidRPr="00B14963" w:rsidRDefault="00874EF0" w:rsidP="008C6991">
            <w:pPr>
              <w:jc w:val="center"/>
              <w:rPr>
                <w:i/>
                <w:sz w:val="22"/>
                <w:szCs w:val="22"/>
              </w:rPr>
            </w:pPr>
            <w:r w:rsidRPr="00B14963">
              <w:rPr>
                <w:i/>
                <w:sz w:val="22"/>
                <w:szCs w:val="22"/>
              </w:rPr>
              <w:t>&lt;0,0001</w:t>
            </w:r>
          </w:p>
        </w:tc>
        <w:tc>
          <w:tcPr>
            <w:tcW w:w="1424" w:type="dxa"/>
            <w:tcBorders>
              <w:top w:val="nil"/>
              <w:bottom w:val="nil"/>
              <w:right w:val="single" w:sz="6" w:space="0" w:color="000000"/>
            </w:tcBorders>
            <w:shd w:val="clear" w:color="auto" w:fill="auto"/>
          </w:tcPr>
          <w:p w14:paraId="1148D227" w14:textId="77777777" w:rsidR="00874EF0" w:rsidRPr="00B14963" w:rsidRDefault="00874EF0" w:rsidP="008C6991">
            <w:pPr>
              <w:jc w:val="center"/>
              <w:rPr>
                <w:i/>
                <w:sz w:val="22"/>
                <w:szCs w:val="22"/>
              </w:rPr>
            </w:pPr>
            <w:r w:rsidRPr="00B14963">
              <w:rPr>
                <w:i/>
                <w:sz w:val="22"/>
                <w:szCs w:val="22"/>
              </w:rPr>
              <w:t>44%</w:t>
            </w:r>
          </w:p>
        </w:tc>
      </w:tr>
      <w:tr w:rsidR="00874EF0" w:rsidRPr="00B14963" w14:paraId="1D9F7EF0" w14:textId="77777777" w:rsidTr="00555704">
        <w:trPr>
          <w:trHeight w:val="263"/>
        </w:trPr>
        <w:tc>
          <w:tcPr>
            <w:tcW w:w="3124" w:type="dxa"/>
            <w:tcBorders>
              <w:top w:val="nil"/>
              <w:left w:val="single" w:sz="4" w:space="0" w:color="auto"/>
              <w:bottom w:val="nil"/>
            </w:tcBorders>
            <w:shd w:val="clear" w:color="auto" w:fill="auto"/>
          </w:tcPr>
          <w:p w14:paraId="356D2499" w14:textId="77777777" w:rsidR="00874EF0" w:rsidRPr="00B14963" w:rsidRDefault="00874EF0" w:rsidP="008C6991">
            <w:pPr>
              <w:rPr>
                <w:i/>
                <w:sz w:val="22"/>
                <w:szCs w:val="22"/>
              </w:rPr>
            </w:pPr>
            <w:r w:rsidRPr="00B14963">
              <w:rPr>
                <w:i/>
                <w:sz w:val="22"/>
                <w:szCs w:val="22"/>
              </w:rPr>
              <w:t>Preživljavanje bez bolesti (DFS)**</w:t>
            </w:r>
          </w:p>
        </w:tc>
        <w:tc>
          <w:tcPr>
            <w:tcW w:w="1448" w:type="dxa"/>
            <w:tcBorders>
              <w:top w:val="nil"/>
              <w:bottom w:val="nil"/>
            </w:tcBorders>
            <w:shd w:val="clear" w:color="auto" w:fill="auto"/>
          </w:tcPr>
          <w:p w14:paraId="3721C1A6" w14:textId="77777777" w:rsidR="00874EF0" w:rsidRPr="00B14963" w:rsidRDefault="00874EF0" w:rsidP="008C6991">
            <w:pPr>
              <w:jc w:val="center"/>
              <w:rPr>
                <w:i/>
                <w:sz w:val="22"/>
                <w:szCs w:val="22"/>
              </w:rPr>
            </w:pPr>
            <w:r w:rsidRPr="00B14963">
              <w:rPr>
                <w:i/>
                <w:sz w:val="22"/>
                <w:szCs w:val="22"/>
              </w:rPr>
              <w:t>48,9</w:t>
            </w:r>
          </w:p>
        </w:tc>
        <w:tc>
          <w:tcPr>
            <w:tcW w:w="1379" w:type="dxa"/>
            <w:tcBorders>
              <w:top w:val="nil"/>
              <w:bottom w:val="nil"/>
            </w:tcBorders>
            <w:shd w:val="clear" w:color="auto" w:fill="auto"/>
          </w:tcPr>
          <w:p w14:paraId="250EBC65" w14:textId="77777777" w:rsidR="00874EF0" w:rsidRPr="00B14963" w:rsidRDefault="00874EF0" w:rsidP="008C6991">
            <w:pPr>
              <w:jc w:val="center"/>
              <w:rPr>
                <w:i/>
                <w:sz w:val="22"/>
                <w:szCs w:val="22"/>
              </w:rPr>
            </w:pPr>
            <w:r w:rsidRPr="00B14963">
              <w:rPr>
                <w:i/>
                <w:sz w:val="22"/>
                <w:szCs w:val="22"/>
              </w:rPr>
              <w:t>60,3</w:t>
            </w:r>
          </w:p>
        </w:tc>
        <w:tc>
          <w:tcPr>
            <w:tcW w:w="1283" w:type="dxa"/>
            <w:tcBorders>
              <w:top w:val="nil"/>
              <w:bottom w:val="nil"/>
            </w:tcBorders>
            <w:shd w:val="clear" w:color="auto" w:fill="auto"/>
          </w:tcPr>
          <w:p w14:paraId="415E4648" w14:textId="77777777" w:rsidR="00874EF0" w:rsidRPr="00B14963" w:rsidRDefault="00874EF0" w:rsidP="008C6991">
            <w:pPr>
              <w:jc w:val="center"/>
              <w:rPr>
                <w:i/>
                <w:sz w:val="22"/>
                <w:szCs w:val="22"/>
              </w:rPr>
            </w:pPr>
            <w:r w:rsidRPr="00B14963">
              <w:rPr>
                <w:i/>
                <w:sz w:val="22"/>
                <w:szCs w:val="22"/>
              </w:rPr>
              <w:t>&lt;0,0520</w:t>
            </w:r>
          </w:p>
        </w:tc>
        <w:tc>
          <w:tcPr>
            <w:tcW w:w="1424" w:type="dxa"/>
            <w:tcBorders>
              <w:top w:val="nil"/>
              <w:bottom w:val="nil"/>
              <w:right w:val="single" w:sz="6" w:space="0" w:color="000000"/>
            </w:tcBorders>
            <w:shd w:val="clear" w:color="auto" w:fill="auto"/>
          </w:tcPr>
          <w:p w14:paraId="58BB1EF5" w14:textId="77777777" w:rsidR="00874EF0" w:rsidRPr="00B14963" w:rsidRDefault="00874EF0" w:rsidP="008C6991">
            <w:pPr>
              <w:jc w:val="center"/>
              <w:rPr>
                <w:i/>
                <w:sz w:val="22"/>
                <w:szCs w:val="22"/>
              </w:rPr>
            </w:pPr>
            <w:r w:rsidRPr="00B14963">
              <w:rPr>
                <w:i/>
                <w:sz w:val="22"/>
                <w:szCs w:val="22"/>
              </w:rPr>
              <w:t>31%</w:t>
            </w:r>
          </w:p>
        </w:tc>
      </w:tr>
      <w:tr w:rsidR="00874EF0" w:rsidRPr="00B14963" w14:paraId="6BF113E4" w14:textId="77777777" w:rsidTr="00555704">
        <w:trPr>
          <w:trHeight w:val="526"/>
        </w:trPr>
        <w:tc>
          <w:tcPr>
            <w:tcW w:w="3124" w:type="dxa"/>
            <w:tcBorders>
              <w:top w:val="nil"/>
              <w:left w:val="single" w:sz="4" w:space="0" w:color="auto"/>
              <w:bottom w:val="single" w:sz="4" w:space="0" w:color="auto"/>
            </w:tcBorders>
            <w:shd w:val="clear" w:color="auto" w:fill="auto"/>
          </w:tcPr>
          <w:p w14:paraId="0AD5802D" w14:textId="77777777" w:rsidR="00874EF0" w:rsidRPr="00B14963" w:rsidRDefault="00874EF0" w:rsidP="008C6991">
            <w:pPr>
              <w:rPr>
                <w:i/>
                <w:sz w:val="22"/>
                <w:szCs w:val="22"/>
              </w:rPr>
            </w:pPr>
            <w:r w:rsidRPr="00B14963">
              <w:rPr>
                <w:i/>
                <w:sz w:val="22"/>
                <w:szCs w:val="22"/>
              </w:rPr>
              <w:t xml:space="preserve">Vrijeme do nove terapije </w:t>
            </w:r>
          </w:p>
        </w:tc>
        <w:tc>
          <w:tcPr>
            <w:tcW w:w="1448" w:type="dxa"/>
            <w:tcBorders>
              <w:top w:val="nil"/>
              <w:bottom w:val="single" w:sz="4" w:space="0" w:color="auto"/>
            </w:tcBorders>
            <w:shd w:val="clear" w:color="auto" w:fill="auto"/>
          </w:tcPr>
          <w:p w14:paraId="3BA300A9" w14:textId="77777777" w:rsidR="00874EF0" w:rsidRPr="00B14963" w:rsidRDefault="00874EF0" w:rsidP="008C6991">
            <w:pPr>
              <w:jc w:val="center"/>
              <w:rPr>
                <w:i/>
                <w:sz w:val="22"/>
                <w:szCs w:val="22"/>
              </w:rPr>
            </w:pPr>
            <w:r w:rsidRPr="00B14963">
              <w:rPr>
                <w:i/>
                <w:sz w:val="22"/>
                <w:szCs w:val="22"/>
              </w:rPr>
              <w:t>47,2.</w:t>
            </w:r>
          </w:p>
        </w:tc>
        <w:tc>
          <w:tcPr>
            <w:tcW w:w="1379" w:type="dxa"/>
            <w:tcBorders>
              <w:top w:val="nil"/>
              <w:bottom w:val="single" w:sz="4" w:space="0" w:color="auto"/>
            </w:tcBorders>
            <w:shd w:val="clear" w:color="auto" w:fill="auto"/>
          </w:tcPr>
          <w:p w14:paraId="775D23B7" w14:textId="77777777" w:rsidR="00874EF0" w:rsidRPr="00B14963" w:rsidRDefault="00874EF0" w:rsidP="008C6991">
            <w:pPr>
              <w:jc w:val="center"/>
              <w:rPr>
                <w:i/>
                <w:sz w:val="22"/>
                <w:szCs w:val="22"/>
              </w:rPr>
            </w:pPr>
            <w:r w:rsidRPr="00B14963">
              <w:rPr>
                <w:i/>
                <w:sz w:val="22"/>
                <w:szCs w:val="22"/>
              </w:rPr>
              <w:t>69,7</w:t>
            </w:r>
          </w:p>
        </w:tc>
        <w:tc>
          <w:tcPr>
            <w:tcW w:w="1283" w:type="dxa"/>
            <w:tcBorders>
              <w:top w:val="nil"/>
              <w:bottom w:val="single" w:sz="4" w:space="0" w:color="auto"/>
            </w:tcBorders>
            <w:shd w:val="clear" w:color="auto" w:fill="auto"/>
          </w:tcPr>
          <w:p w14:paraId="4B3018E5" w14:textId="77777777" w:rsidR="00874EF0" w:rsidRPr="00B14963" w:rsidRDefault="00874EF0" w:rsidP="008C6991">
            <w:pPr>
              <w:jc w:val="center"/>
              <w:rPr>
                <w:i/>
                <w:sz w:val="22"/>
                <w:szCs w:val="22"/>
              </w:rPr>
            </w:pPr>
            <w:r w:rsidRPr="00B14963">
              <w:rPr>
                <w:i/>
                <w:sz w:val="22"/>
                <w:szCs w:val="22"/>
              </w:rPr>
              <w:t>&lt;0,0001</w:t>
            </w:r>
          </w:p>
        </w:tc>
        <w:tc>
          <w:tcPr>
            <w:tcW w:w="1424" w:type="dxa"/>
            <w:tcBorders>
              <w:top w:val="nil"/>
              <w:bottom w:val="single" w:sz="4" w:space="0" w:color="auto"/>
              <w:right w:val="single" w:sz="6" w:space="0" w:color="000000"/>
            </w:tcBorders>
            <w:shd w:val="clear" w:color="auto" w:fill="auto"/>
          </w:tcPr>
          <w:p w14:paraId="0F37D4F2" w14:textId="77777777" w:rsidR="00874EF0" w:rsidRPr="00B14963" w:rsidRDefault="00874EF0" w:rsidP="008C6991">
            <w:pPr>
              <w:jc w:val="center"/>
              <w:rPr>
                <w:i/>
                <w:sz w:val="22"/>
                <w:szCs w:val="22"/>
              </w:rPr>
            </w:pPr>
            <w:r w:rsidRPr="00B14963">
              <w:rPr>
                <w:i/>
                <w:sz w:val="22"/>
                <w:szCs w:val="22"/>
              </w:rPr>
              <w:t>42%</w:t>
            </w:r>
          </w:p>
        </w:tc>
      </w:tr>
    </w:tbl>
    <w:p w14:paraId="1A94F2B7" w14:textId="77777777" w:rsidR="00874EF0" w:rsidRPr="00B14963" w:rsidRDefault="00874EF0" w:rsidP="00874EF0">
      <w:pPr>
        <w:jc w:val="both"/>
        <w:rPr>
          <w:i/>
          <w:sz w:val="18"/>
          <w:szCs w:val="18"/>
        </w:rPr>
      </w:pPr>
      <w:r w:rsidRPr="00B14963">
        <w:rPr>
          <w:i/>
          <w:sz w:val="18"/>
          <w:szCs w:val="18"/>
        </w:rPr>
        <w:t>Stopa odgovora na terapiju i stopa CR analizirane primjenom hi-kvadrat testa.</w:t>
      </w:r>
    </w:p>
    <w:p w14:paraId="5F3004B6" w14:textId="77777777" w:rsidR="00874EF0" w:rsidRPr="00B14963" w:rsidRDefault="00874EF0" w:rsidP="00874EF0">
      <w:pPr>
        <w:jc w:val="both"/>
        <w:rPr>
          <w:sz w:val="18"/>
          <w:szCs w:val="18"/>
        </w:rPr>
      </w:pPr>
      <w:r w:rsidRPr="00B14963">
        <w:rPr>
          <w:sz w:val="18"/>
          <w:szCs w:val="18"/>
        </w:rPr>
        <w:t xml:space="preserve">*:   odnosi se samo na pacijente koji su postigli CR, nPR, PR;          NR: nije postignut      n.a. nije primjenljivo </w:t>
      </w:r>
    </w:p>
    <w:p w14:paraId="503196BA" w14:textId="77777777" w:rsidR="00874EF0" w:rsidRPr="00B14963" w:rsidRDefault="00874EF0" w:rsidP="00874EF0">
      <w:pPr>
        <w:jc w:val="both"/>
        <w:rPr>
          <w:sz w:val="18"/>
          <w:szCs w:val="18"/>
        </w:rPr>
      </w:pPr>
      <w:r w:rsidRPr="00B14963">
        <w:rPr>
          <w:sz w:val="18"/>
          <w:szCs w:val="18"/>
        </w:rPr>
        <w:t xml:space="preserve">**: primjenljivo samo na pacijente koji su postigli CR.     </w:t>
      </w:r>
    </w:p>
    <w:p w14:paraId="19704AE5" w14:textId="77777777" w:rsidR="00874EF0" w:rsidRPr="00B14963" w:rsidRDefault="00874EF0" w:rsidP="00874EF0">
      <w:pPr>
        <w:jc w:val="both"/>
        <w:rPr>
          <w:sz w:val="22"/>
          <w:szCs w:val="22"/>
        </w:rPr>
      </w:pPr>
    </w:p>
    <w:p w14:paraId="03F5E732" w14:textId="77777777" w:rsidR="00874EF0" w:rsidRPr="00B14963" w:rsidRDefault="00874EF0" w:rsidP="00874EF0">
      <w:pPr>
        <w:keepNext/>
        <w:ind w:left="1134" w:hanging="1134"/>
        <w:jc w:val="both"/>
        <w:outlineLvl w:val="0"/>
        <w:rPr>
          <w:b/>
          <w:sz w:val="22"/>
          <w:szCs w:val="22"/>
        </w:rPr>
      </w:pPr>
      <w:r w:rsidRPr="00B14963">
        <w:rPr>
          <w:b/>
          <w:sz w:val="22"/>
          <w:szCs w:val="22"/>
        </w:rPr>
        <w:t xml:space="preserve">Tabela 2b Prva linija liječenja hronične limfocitne leukemije. Odnos rizika za preživljavanje bez progresije bolesti prema Binetovom stadijumu (ITT populacija) - medijana vremena praćenja je 48,1 mjesec </w:t>
      </w:r>
    </w:p>
    <w:p w14:paraId="0BB31EE4" w14:textId="77777777" w:rsidR="00874EF0" w:rsidRPr="00B14963" w:rsidRDefault="00874EF0" w:rsidP="00874EF0">
      <w:pPr>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737"/>
        <w:gridCol w:w="1736"/>
        <w:gridCol w:w="1780"/>
        <w:gridCol w:w="1922"/>
      </w:tblGrid>
      <w:tr w:rsidR="00874EF0" w:rsidRPr="00B14963" w14:paraId="40F029EB" w14:textId="77777777" w:rsidTr="00555704">
        <w:tc>
          <w:tcPr>
            <w:tcW w:w="1991" w:type="dxa"/>
            <w:vMerge w:val="restart"/>
            <w:shd w:val="clear" w:color="auto" w:fill="auto"/>
          </w:tcPr>
          <w:p w14:paraId="71B4CD5E" w14:textId="77777777" w:rsidR="00874EF0" w:rsidRPr="00B14963" w:rsidRDefault="00874EF0" w:rsidP="008C6991">
            <w:pPr>
              <w:rPr>
                <w:sz w:val="22"/>
                <w:szCs w:val="22"/>
              </w:rPr>
            </w:pPr>
            <w:r w:rsidRPr="00B14963">
              <w:rPr>
                <w:sz w:val="22"/>
                <w:szCs w:val="22"/>
              </w:rPr>
              <w:t>Preživljavanje bez progresije bolesti (PFS)</w:t>
            </w:r>
          </w:p>
        </w:tc>
        <w:tc>
          <w:tcPr>
            <w:tcW w:w="3982" w:type="dxa"/>
            <w:gridSpan w:val="2"/>
            <w:shd w:val="clear" w:color="auto" w:fill="auto"/>
          </w:tcPr>
          <w:p w14:paraId="4037865C" w14:textId="77777777" w:rsidR="00874EF0" w:rsidRPr="00B14963" w:rsidRDefault="00874EF0" w:rsidP="008C6991">
            <w:pPr>
              <w:jc w:val="center"/>
              <w:rPr>
                <w:sz w:val="22"/>
                <w:szCs w:val="22"/>
              </w:rPr>
            </w:pPr>
            <w:r w:rsidRPr="00B14963">
              <w:rPr>
                <w:sz w:val="22"/>
                <w:szCs w:val="22"/>
              </w:rPr>
              <w:t>Broj pacijenata</w:t>
            </w:r>
          </w:p>
        </w:tc>
        <w:tc>
          <w:tcPr>
            <w:tcW w:w="1992" w:type="dxa"/>
            <w:vMerge w:val="restart"/>
            <w:shd w:val="clear" w:color="auto" w:fill="auto"/>
          </w:tcPr>
          <w:p w14:paraId="2D2A50F6" w14:textId="77777777" w:rsidR="00874EF0" w:rsidRPr="00B14963" w:rsidRDefault="00874EF0" w:rsidP="008C6991">
            <w:pPr>
              <w:jc w:val="center"/>
              <w:rPr>
                <w:sz w:val="22"/>
                <w:szCs w:val="22"/>
              </w:rPr>
            </w:pPr>
            <w:r w:rsidRPr="00B14963">
              <w:rPr>
                <w:sz w:val="22"/>
                <w:szCs w:val="22"/>
              </w:rPr>
              <w:t>Odnos rizika          (95% CI)</w:t>
            </w:r>
          </w:p>
        </w:tc>
        <w:tc>
          <w:tcPr>
            <w:tcW w:w="1992" w:type="dxa"/>
            <w:vMerge w:val="restart"/>
            <w:shd w:val="clear" w:color="auto" w:fill="auto"/>
          </w:tcPr>
          <w:p w14:paraId="4B70C987" w14:textId="77777777" w:rsidR="00874EF0" w:rsidRPr="00B14963" w:rsidRDefault="00874EF0" w:rsidP="008C6991">
            <w:pPr>
              <w:jc w:val="center"/>
              <w:rPr>
                <w:sz w:val="22"/>
                <w:szCs w:val="22"/>
              </w:rPr>
            </w:pPr>
            <w:r w:rsidRPr="00B14963">
              <w:rPr>
                <w:sz w:val="22"/>
                <w:szCs w:val="22"/>
              </w:rPr>
              <w:t>p</w:t>
            </w:r>
            <w:r w:rsidRPr="00B14963">
              <w:rPr>
                <w:sz w:val="22"/>
                <w:szCs w:val="22"/>
              </w:rPr>
              <w:noBreakHyphen/>
              <w:t>vrijednost (Waldov test, bez prilagođavanja)</w:t>
            </w:r>
          </w:p>
        </w:tc>
      </w:tr>
      <w:tr w:rsidR="00874EF0" w:rsidRPr="00B14963" w14:paraId="629CA426" w14:textId="77777777" w:rsidTr="00555704">
        <w:tc>
          <w:tcPr>
            <w:tcW w:w="1991" w:type="dxa"/>
            <w:vMerge/>
            <w:shd w:val="clear" w:color="auto" w:fill="auto"/>
          </w:tcPr>
          <w:p w14:paraId="5884E919" w14:textId="77777777" w:rsidR="00874EF0" w:rsidRPr="00B14963" w:rsidRDefault="00874EF0" w:rsidP="008C6991">
            <w:pPr>
              <w:rPr>
                <w:sz w:val="22"/>
                <w:szCs w:val="22"/>
              </w:rPr>
            </w:pPr>
          </w:p>
        </w:tc>
        <w:tc>
          <w:tcPr>
            <w:tcW w:w="1991" w:type="dxa"/>
            <w:shd w:val="clear" w:color="auto" w:fill="auto"/>
          </w:tcPr>
          <w:p w14:paraId="7DEF3DEB" w14:textId="77777777" w:rsidR="00874EF0" w:rsidRPr="00B14963" w:rsidRDefault="00874EF0" w:rsidP="008C6991">
            <w:pPr>
              <w:jc w:val="center"/>
              <w:rPr>
                <w:sz w:val="22"/>
                <w:szCs w:val="22"/>
              </w:rPr>
            </w:pPr>
            <w:r w:rsidRPr="00B14963">
              <w:rPr>
                <w:sz w:val="22"/>
                <w:szCs w:val="22"/>
              </w:rPr>
              <w:t>FC</w:t>
            </w:r>
          </w:p>
        </w:tc>
        <w:tc>
          <w:tcPr>
            <w:tcW w:w="1991" w:type="dxa"/>
            <w:shd w:val="clear" w:color="auto" w:fill="auto"/>
          </w:tcPr>
          <w:p w14:paraId="5E275868" w14:textId="77777777" w:rsidR="00874EF0" w:rsidRPr="00B14963" w:rsidRDefault="00874EF0" w:rsidP="008C6991">
            <w:pPr>
              <w:jc w:val="center"/>
              <w:rPr>
                <w:sz w:val="22"/>
                <w:szCs w:val="22"/>
              </w:rPr>
            </w:pPr>
            <w:r w:rsidRPr="00B14963">
              <w:rPr>
                <w:sz w:val="22"/>
                <w:szCs w:val="22"/>
              </w:rPr>
              <w:t>R-FC</w:t>
            </w:r>
          </w:p>
        </w:tc>
        <w:tc>
          <w:tcPr>
            <w:tcW w:w="1992" w:type="dxa"/>
            <w:vMerge/>
            <w:shd w:val="clear" w:color="auto" w:fill="auto"/>
          </w:tcPr>
          <w:p w14:paraId="26776753" w14:textId="77777777" w:rsidR="00874EF0" w:rsidRPr="00B14963" w:rsidRDefault="00874EF0" w:rsidP="008C6991">
            <w:pPr>
              <w:jc w:val="center"/>
              <w:rPr>
                <w:sz w:val="22"/>
                <w:szCs w:val="22"/>
              </w:rPr>
            </w:pPr>
          </w:p>
        </w:tc>
        <w:tc>
          <w:tcPr>
            <w:tcW w:w="1992" w:type="dxa"/>
            <w:vMerge/>
            <w:shd w:val="clear" w:color="auto" w:fill="auto"/>
          </w:tcPr>
          <w:p w14:paraId="4DC390F3" w14:textId="77777777" w:rsidR="00874EF0" w:rsidRPr="00B14963" w:rsidRDefault="00874EF0" w:rsidP="008C6991">
            <w:pPr>
              <w:jc w:val="center"/>
              <w:rPr>
                <w:sz w:val="22"/>
                <w:szCs w:val="22"/>
              </w:rPr>
            </w:pPr>
          </w:p>
        </w:tc>
      </w:tr>
      <w:tr w:rsidR="00874EF0" w:rsidRPr="00B14963" w14:paraId="4464803B" w14:textId="77777777" w:rsidTr="00555704">
        <w:tc>
          <w:tcPr>
            <w:tcW w:w="1991" w:type="dxa"/>
            <w:shd w:val="clear" w:color="auto" w:fill="auto"/>
          </w:tcPr>
          <w:p w14:paraId="2E5238E5" w14:textId="77777777" w:rsidR="00874EF0" w:rsidRPr="00B14963" w:rsidRDefault="00874EF0" w:rsidP="008C6991">
            <w:pPr>
              <w:rPr>
                <w:sz w:val="22"/>
                <w:szCs w:val="22"/>
              </w:rPr>
            </w:pPr>
            <w:r w:rsidRPr="00B14963">
              <w:rPr>
                <w:sz w:val="22"/>
                <w:szCs w:val="22"/>
              </w:rPr>
              <w:lastRenderedPageBreak/>
              <w:t>Binet stadijum A</w:t>
            </w:r>
          </w:p>
        </w:tc>
        <w:tc>
          <w:tcPr>
            <w:tcW w:w="1991" w:type="dxa"/>
            <w:shd w:val="clear" w:color="auto" w:fill="auto"/>
          </w:tcPr>
          <w:p w14:paraId="235D8308" w14:textId="77777777" w:rsidR="00874EF0" w:rsidRPr="00B14963" w:rsidRDefault="00874EF0" w:rsidP="008C6991">
            <w:pPr>
              <w:jc w:val="center"/>
              <w:rPr>
                <w:sz w:val="22"/>
                <w:szCs w:val="22"/>
              </w:rPr>
            </w:pPr>
            <w:r w:rsidRPr="00B14963">
              <w:rPr>
                <w:sz w:val="22"/>
                <w:szCs w:val="22"/>
              </w:rPr>
              <w:t>22</w:t>
            </w:r>
          </w:p>
        </w:tc>
        <w:tc>
          <w:tcPr>
            <w:tcW w:w="1991" w:type="dxa"/>
            <w:shd w:val="clear" w:color="auto" w:fill="auto"/>
          </w:tcPr>
          <w:p w14:paraId="55789B94" w14:textId="77777777" w:rsidR="00874EF0" w:rsidRPr="00B14963" w:rsidRDefault="00874EF0" w:rsidP="008C6991">
            <w:pPr>
              <w:jc w:val="center"/>
              <w:rPr>
                <w:sz w:val="22"/>
                <w:szCs w:val="22"/>
              </w:rPr>
            </w:pPr>
            <w:r w:rsidRPr="00B14963">
              <w:rPr>
                <w:sz w:val="22"/>
                <w:szCs w:val="22"/>
              </w:rPr>
              <w:t>18</w:t>
            </w:r>
          </w:p>
        </w:tc>
        <w:tc>
          <w:tcPr>
            <w:tcW w:w="1992" w:type="dxa"/>
            <w:shd w:val="clear" w:color="auto" w:fill="auto"/>
          </w:tcPr>
          <w:p w14:paraId="0EF55629" w14:textId="77777777" w:rsidR="00874EF0" w:rsidRPr="00B14963" w:rsidRDefault="00874EF0" w:rsidP="008C6991">
            <w:pPr>
              <w:jc w:val="center"/>
              <w:rPr>
                <w:sz w:val="22"/>
                <w:szCs w:val="22"/>
              </w:rPr>
            </w:pPr>
            <w:r w:rsidRPr="00B14963">
              <w:rPr>
                <w:sz w:val="22"/>
                <w:szCs w:val="22"/>
              </w:rPr>
              <w:t>0,39 (0,15; 0,98)</w:t>
            </w:r>
          </w:p>
        </w:tc>
        <w:tc>
          <w:tcPr>
            <w:tcW w:w="1992" w:type="dxa"/>
            <w:shd w:val="clear" w:color="auto" w:fill="auto"/>
          </w:tcPr>
          <w:p w14:paraId="74F70AC1" w14:textId="77777777" w:rsidR="00874EF0" w:rsidRPr="00B14963" w:rsidRDefault="00874EF0" w:rsidP="008C6991">
            <w:pPr>
              <w:jc w:val="center"/>
              <w:rPr>
                <w:sz w:val="22"/>
                <w:szCs w:val="22"/>
              </w:rPr>
            </w:pPr>
            <w:r w:rsidRPr="00B14963">
              <w:rPr>
                <w:sz w:val="22"/>
                <w:szCs w:val="22"/>
              </w:rPr>
              <w:t>0,0442</w:t>
            </w:r>
          </w:p>
        </w:tc>
      </w:tr>
      <w:tr w:rsidR="00874EF0" w:rsidRPr="00B14963" w14:paraId="6E84E406" w14:textId="77777777" w:rsidTr="00555704">
        <w:tc>
          <w:tcPr>
            <w:tcW w:w="1991" w:type="dxa"/>
            <w:shd w:val="clear" w:color="auto" w:fill="auto"/>
          </w:tcPr>
          <w:p w14:paraId="5E98237C" w14:textId="77777777" w:rsidR="00874EF0" w:rsidRPr="00B14963" w:rsidRDefault="00874EF0" w:rsidP="008C6991">
            <w:pPr>
              <w:rPr>
                <w:sz w:val="22"/>
                <w:szCs w:val="22"/>
              </w:rPr>
            </w:pPr>
            <w:r w:rsidRPr="00B14963">
              <w:rPr>
                <w:sz w:val="22"/>
                <w:szCs w:val="22"/>
              </w:rPr>
              <w:t>Binet stadijum B</w:t>
            </w:r>
          </w:p>
        </w:tc>
        <w:tc>
          <w:tcPr>
            <w:tcW w:w="1991" w:type="dxa"/>
            <w:shd w:val="clear" w:color="auto" w:fill="auto"/>
          </w:tcPr>
          <w:p w14:paraId="0D9633E7" w14:textId="77777777" w:rsidR="00874EF0" w:rsidRPr="00B14963" w:rsidRDefault="00874EF0" w:rsidP="008C6991">
            <w:pPr>
              <w:jc w:val="center"/>
              <w:rPr>
                <w:sz w:val="22"/>
                <w:szCs w:val="22"/>
              </w:rPr>
            </w:pPr>
            <w:r w:rsidRPr="00B14963">
              <w:rPr>
                <w:sz w:val="22"/>
                <w:szCs w:val="22"/>
              </w:rPr>
              <w:t>259</w:t>
            </w:r>
          </w:p>
        </w:tc>
        <w:tc>
          <w:tcPr>
            <w:tcW w:w="1991" w:type="dxa"/>
            <w:shd w:val="clear" w:color="auto" w:fill="auto"/>
          </w:tcPr>
          <w:p w14:paraId="5651CEF4" w14:textId="77777777" w:rsidR="00874EF0" w:rsidRPr="00B14963" w:rsidRDefault="00874EF0" w:rsidP="008C6991">
            <w:pPr>
              <w:jc w:val="center"/>
              <w:rPr>
                <w:sz w:val="22"/>
                <w:szCs w:val="22"/>
              </w:rPr>
            </w:pPr>
            <w:r w:rsidRPr="00B14963">
              <w:rPr>
                <w:sz w:val="22"/>
                <w:szCs w:val="22"/>
              </w:rPr>
              <w:t>263</w:t>
            </w:r>
          </w:p>
        </w:tc>
        <w:tc>
          <w:tcPr>
            <w:tcW w:w="1992" w:type="dxa"/>
            <w:shd w:val="clear" w:color="auto" w:fill="auto"/>
          </w:tcPr>
          <w:p w14:paraId="1B7D3CA9" w14:textId="77777777" w:rsidR="00874EF0" w:rsidRPr="00B14963" w:rsidRDefault="00874EF0" w:rsidP="008C6991">
            <w:pPr>
              <w:jc w:val="center"/>
              <w:rPr>
                <w:sz w:val="22"/>
                <w:szCs w:val="22"/>
              </w:rPr>
            </w:pPr>
            <w:r w:rsidRPr="00B14963">
              <w:rPr>
                <w:sz w:val="22"/>
                <w:szCs w:val="22"/>
              </w:rPr>
              <w:t>0,52 (0,41; 0,66)</w:t>
            </w:r>
          </w:p>
        </w:tc>
        <w:tc>
          <w:tcPr>
            <w:tcW w:w="1992" w:type="dxa"/>
            <w:shd w:val="clear" w:color="auto" w:fill="auto"/>
          </w:tcPr>
          <w:p w14:paraId="2E8CE6F4" w14:textId="77777777" w:rsidR="00874EF0" w:rsidRPr="00B14963" w:rsidRDefault="00874EF0" w:rsidP="008C6991">
            <w:pPr>
              <w:jc w:val="center"/>
              <w:rPr>
                <w:sz w:val="22"/>
                <w:szCs w:val="22"/>
              </w:rPr>
            </w:pPr>
            <w:r w:rsidRPr="00B14963">
              <w:rPr>
                <w:sz w:val="22"/>
                <w:szCs w:val="22"/>
              </w:rPr>
              <w:t>&lt; 0,0001</w:t>
            </w:r>
          </w:p>
        </w:tc>
      </w:tr>
      <w:tr w:rsidR="00874EF0" w:rsidRPr="00B14963" w14:paraId="53AFC36C" w14:textId="77777777" w:rsidTr="00555704">
        <w:tc>
          <w:tcPr>
            <w:tcW w:w="1991" w:type="dxa"/>
            <w:shd w:val="clear" w:color="auto" w:fill="auto"/>
          </w:tcPr>
          <w:p w14:paraId="7B2C9BA8" w14:textId="77777777" w:rsidR="00874EF0" w:rsidRPr="00B14963" w:rsidRDefault="00874EF0" w:rsidP="008C6991">
            <w:pPr>
              <w:rPr>
                <w:sz w:val="22"/>
                <w:szCs w:val="22"/>
              </w:rPr>
            </w:pPr>
            <w:r w:rsidRPr="00B14963">
              <w:rPr>
                <w:sz w:val="22"/>
                <w:szCs w:val="22"/>
              </w:rPr>
              <w:t>Binet stadijum C</w:t>
            </w:r>
          </w:p>
        </w:tc>
        <w:tc>
          <w:tcPr>
            <w:tcW w:w="1991" w:type="dxa"/>
            <w:shd w:val="clear" w:color="auto" w:fill="auto"/>
          </w:tcPr>
          <w:p w14:paraId="795C885E" w14:textId="77777777" w:rsidR="00874EF0" w:rsidRPr="00B14963" w:rsidRDefault="00874EF0" w:rsidP="008C6991">
            <w:pPr>
              <w:jc w:val="center"/>
              <w:rPr>
                <w:sz w:val="22"/>
                <w:szCs w:val="22"/>
              </w:rPr>
            </w:pPr>
            <w:r w:rsidRPr="00B14963">
              <w:rPr>
                <w:sz w:val="22"/>
                <w:szCs w:val="22"/>
              </w:rPr>
              <w:t>126</w:t>
            </w:r>
          </w:p>
        </w:tc>
        <w:tc>
          <w:tcPr>
            <w:tcW w:w="1991" w:type="dxa"/>
            <w:shd w:val="clear" w:color="auto" w:fill="auto"/>
          </w:tcPr>
          <w:p w14:paraId="6DE88697" w14:textId="77777777" w:rsidR="00874EF0" w:rsidRPr="00B14963" w:rsidRDefault="00874EF0" w:rsidP="008C6991">
            <w:pPr>
              <w:jc w:val="center"/>
              <w:rPr>
                <w:sz w:val="22"/>
                <w:szCs w:val="22"/>
              </w:rPr>
            </w:pPr>
            <w:r w:rsidRPr="00B14963">
              <w:rPr>
                <w:sz w:val="22"/>
                <w:szCs w:val="22"/>
              </w:rPr>
              <w:t>126</w:t>
            </w:r>
          </w:p>
        </w:tc>
        <w:tc>
          <w:tcPr>
            <w:tcW w:w="1992" w:type="dxa"/>
            <w:shd w:val="clear" w:color="auto" w:fill="auto"/>
          </w:tcPr>
          <w:p w14:paraId="0C804638" w14:textId="77777777" w:rsidR="00874EF0" w:rsidRPr="00B14963" w:rsidRDefault="00874EF0" w:rsidP="008C6991">
            <w:pPr>
              <w:jc w:val="center"/>
              <w:rPr>
                <w:sz w:val="22"/>
                <w:szCs w:val="22"/>
              </w:rPr>
            </w:pPr>
            <w:r w:rsidRPr="00B14963">
              <w:rPr>
                <w:sz w:val="22"/>
                <w:szCs w:val="22"/>
              </w:rPr>
              <w:t>0,68 (0,49; 0,95)</w:t>
            </w:r>
          </w:p>
        </w:tc>
        <w:tc>
          <w:tcPr>
            <w:tcW w:w="1992" w:type="dxa"/>
            <w:shd w:val="clear" w:color="auto" w:fill="auto"/>
          </w:tcPr>
          <w:p w14:paraId="30129375" w14:textId="77777777" w:rsidR="00874EF0" w:rsidRPr="00B14963" w:rsidRDefault="00874EF0" w:rsidP="008C6991">
            <w:pPr>
              <w:jc w:val="center"/>
              <w:rPr>
                <w:sz w:val="22"/>
                <w:szCs w:val="22"/>
              </w:rPr>
            </w:pPr>
            <w:r w:rsidRPr="00B14963">
              <w:rPr>
                <w:sz w:val="22"/>
                <w:szCs w:val="22"/>
              </w:rPr>
              <w:t>0,0224</w:t>
            </w:r>
          </w:p>
        </w:tc>
      </w:tr>
    </w:tbl>
    <w:p w14:paraId="18E8F0DC" w14:textId="77777777" w:rsidR="00874EF0" w:rsidRPr="00B14963" w:rsidRDefault="00874EF0" w:rsidP="00874EF0">
      <w:pPr>
        <w:jc w:val="both"/>
        <w:rPr>
          <w:sz w:val="18"/>
          <w:szCs w:val="18"/>
        </w:rPr>
      </w:pPr>
      <w:r w:rsidRPr="00B14963">
        <w:rPr>
          <w:sz w:val="18"/>
          <w:szCs w:val="18"/>
        </w:rPr>
        <w:t>CI : interval pouzdanosti</w:t>
      </w:r>
    </w:p>
    <w:p w14:paraId="3B6CED9B" w14:textId="77777777" w:rsidR="00874EF0" w:rsidRPr="00B14963" w:rsidRDefault="00874EF0" w:rsidP="00874EF0">
      <w:pPr>
        <w:jc w:val="both"/>
        <w:rPr>
          <w:sz w:val="22"/>
          <w:szCs w:val="22"/>
        </w:rPr>
      </w:pPr>
    </w:p>
    <w:p w14:paraId="5CE42A4D" w14:textId="77777777" w:rsidR="00874EF0" w:rsidRPr="00B14963" w:rsidRDefault="00874EF0" w:rsidP="00874EF0">
      <w:pPr>
        <w:jc w:val="both"/>
        <w:outlineLvl w:val="0"/>
        <w:rPr>
          <w:sz w:val="22"/>
          <w:szCs w:val="22"/>
        </w:rPr>
      </w:pPr>
      <w:r w:rsidRPr="00B14963">
        <w:rPr>
          <w:sz w:val="22"/>
          <w:szCs w:val="22"/>
        </w:rPr>
        <w:t>U ispitivanju relapsirajućeg/refraktornog HLL</w:t>
      </w:r>
      <w:r w:rsidRPr="00B14963">
        <w:rPr>
          <w:sz w:val="22"/>
          <w:szCs w:val="22"/>
        </w:rPr>
        <w:noBreakHyphen/>
        <w:t>a, medijana preživljavanja bez progresije bolesti (primarna mjera ishoda) bila je 30,6 mjeseci u grupi R</w:t>
      </w:r>
      <w:r w:rsidRPr="00B14963">
        <w:rPr>
          <w:sz w:val="22"/>
          <w:szCs w:val="22"/>
        </w:rPr>
        <w:noBreakHyphen/>
        <w:t>FC i 20,6 mjeseci u grupi FC (p = 0,0002, log</w:t>
      </w:r>
      <w:r w:rsidRPr="00B14963">
        <w:rPr>
          <w:sz w:val="22"/>
          <w:szCs w:val="22"/>
        </w:rPr>
        <w:noBreakHyphen/>
        <w:t>rank test). Korist u smislu PFS</w:t>
      </w:r>
      <w:r w:rsidRPr="00B14963">
        <w:rPr>
          <w:sz w:val="22"/>
          <w:szCs w:val="22"/>
        </w:rPr>
        <w:noBreakHyphen/>
        <w:t>a bila je uočena u gotovo svim podgrupama pacijenata analiziranim prema početnom riziku bolesti. Prijavljeno je blago, ali ne značajno, poboljšanje ukupnog preživljavanja u R</w:t>
      </w:r>
      <w:r w:rsidRPr="00B14963">
        <w:rPr>
          <w:sz w:val="22"/>
          <w:szCs w:val="22"/>
        </w:rPr>
        <w:noBreakHyphen/>
        <w:t>FC grupi u poređenju sa FC grupom.</w:t>
      </w:r>
    </w:p>
    <w:p w14:paraId="3837A164" w14:textId="77777777" w:rsidR="00874EF0" w:rsidRPr="00B14963" w:rsidRDefault="00874EF0" w:rsidP="00874EF0">
      <w:pPr>
        <w:jc w:val="both"/>
        <w:rPr>
          <w:sz w:val="22"/>
          <w:szCs w:val="22"/>
        </w:rPr>
      </w:pPr>
      <w:r w:rsidRPr="00B14963">
        <w:rPr>
          <w:sz w:val="22"/>
          <w:szCs w:val="22"/>
        </w:rPr>
        <w:t xml:space="preserve">Nema dostupnih farmakokinetičkih/kliničkih podataka o pacijentima sa refraktornom ili relapsirajućom bolešću. </w:t>
      </w:r>
    </w:p>
    <w:p w14:paraId="493755DD" w14:textId="77777777" w:rsidR="00874EF0" w:rsidRPr="00B14963" w:rsidRDefault="00874EF0" w:rsidP="00874EF0">
      <w:pPr>
        <w:jc w:val="both"/>
        <w:rPr>
          <w:sz w:val="22"/>
          <w:szCs w:val="22"/>
        </w:rPr>
      </w:pPr>
    </w:p>
    <w:p w14:paraId="6AE5E5A3" w14:textId="77777777" w:rsidR="00874EF0" w:rsidRPr="00B14963" w:rsidRDefault="00874EF0" w:rsidP="00874EF0">
      <w:pPr>
        <w:keepNext/>
        <w:keepLines/>
        <w:ind w:left="1134" w:hanging="1134"/>
        <w:jc w:val="both"/>
        <w:outlineLvl w:val="0"/>
        <w:rPr>
          <w:b/>
          <w:sz w:val="22"/>
          <w:szCs w:val="22"/>
        </w:rPr>
      </w:pPr>
      <w:r w:rsidRPr="00B14963">
        <w:rPr>
          <w:b/>
          <w:sz w:val="22"/>
          <w:szCs w:val="22"/>
        </w:rPr>
        <w:t>Tabela 3</w:t>
      </w:r>
      <w:r w:rsidRPr="00B14963">
        <w:rPr>
          <w:sz w:val="22"/>
          <w:szCs w:val="22"/>
        </w:rPr>
        <w:t xml:space="preserve"> </w:t>
      </w:r>
      <w:r w:rsidRPr="00B14963">
        <w:rPr>
          <w:b/>
          <w:sz w:val="22"/>
          <w:szCs w:val="22"/>
        </w:rPr>
        <w:t>Liječenje relapsirajuće/refraktorne hronične limfocitne leukemije - pregled rezultata efikasnosti za lijek MabThera + FC u odnosu na samo FC (medijana vremena praćenja je 25,3 mjeseca)</w:t>
      </w:r>
    </w:p>
    <w:p w14:paraId="10A77CB4" w14:textId="77777777" w:rsidR="00874EF0" w:rsidRPr="00B14963" w:rsidRDefault="00874EF0" w:rsidP="00874EF0">
      <w:pPr>
        <w:jc w:val="both"/>
        <w:rPr>
          <w:b/>
          <w:sz w:val="22"/>
          <w:szCs w:val="22"/>
        </w:rPr>
      </w:pPr>
    </w:p>
    <w:tbl>
      <w:tblPr>
        <w:tblW w:w="0" w:type="auto"/>
        <w:tblInd w:w="108" w:type="dxa"/>
        <w:tblLook w:val="0000" w:firstRow="0" w:lastRow="0" w:firstColumn="0" w:lastColumn="0" w:noHBand="0" w:noVBand="0"/>
      </w:tblPr>
      <w:tblGrid>
        <w:gridCol w:w="3261"/>
        <w:gridCol w:w="1412"/>
        <w:gridCol w:w="1276"/>
        <w:gridCol w:w="1559"/>
        <w:gridCol w:w="1342"/>
      </w:tblGrid>
      <w:tr w:rsidR="00874EF0" w:rsidRPr="00B14963" w14:paraId="115B6D36" w14:textId="77777777" w:rsidTr="00555704">
        <w:trPr>
          <w:cantSplit/>
          <w:trHeight w:hRule="exact" w:val="586"/>
        </w:trPr>
        <w:tc>
          <w:tcPr>
            <w:tcW w:w="3261" w:type="dxa"/>
            <w:vMerge w:val="restart"/>
            <w:tcBorders>
              <w:top w:val="single" w:sz="4" w:space="0" w:color="000000"/>
              <w:left w:val="single" w:sz="4" w:space="0" w:color="000000"/>
              <w:bottom w:val="single" w:sz="4" w:space="0" w:color="000000"/>
            </w:tcBorders>
          </w:tcPr>
          <w:p w14:paraId="0467BAD2" w14:textId="77777777" w:rsidR="00874EF0" w:rsidRPr="00B14963" w:rsidRDefault="00874EF0" w:rsidP="008C6991">
            <w:pPr>
              <w:pStyle w:val="TextTi10"/>
              <w:keepNext/>
              <w:keepLines/>
              <w:snapToGrid w:val="0"/>
              <w:outlineLvl w:val="0"/>
              <w:rPr>
                <w:b/>
                <w:sz w:val="22"/>
                <w:szCs w:val="22"/>
              </w:rPr>
            </w:pPr>
            <w:r w:rsidRPr="00B14963">
              <w:rPr>
                <w:b/>
                <w:sz w:val="22"/>
                <w:szCs w:val="22"/>
              </w:rPr>
              <w:t>Parametar efikasnosti</w:t>
            </w:r>
          </w:p>
        </w:tc>
        <w:tc>
          <w:tcPr>
            <w:tcW w:w="4247" w:type="dxa"/>
            <w:gridSpan w:val="3"/>
            <w:tcBorders>
              <w:top w:val="single" w:sz="4" w:space="0" w:color="000000"/>
              <w:left w:val="single" w:sz="4" w:space="0" w:color="000000"/>
              <w:bottom w:val="single" w:sz="4" w:space="0" w:color="000000"/>
            </w:tcBorders>
          </w:tcPr>
          <w:p w14:paraId="1A76AAF6" w14:textId="77777777" w:rsidR="00874EF0" w:rsidRPr="00B14963" w:rsidRDefault="00874EF0" w:rsidP="008C6991">
            <w:pPr>
              <w:pStyle w:val="TextTi10"/>
              <w:keepNext/>
              <w:keepLines/>
              <w:snapToGrid w:val="0"/>
              <w:jc w:val="center"/>
              <w:outlineLvl w:val="0"/>
              <w:rPr>
                <w:b/>
                <w:sz w:val="22"/>
                <w:szCs w:val="22"/>
              </w:rPr>
            </w:pPr>
            <w:r w:rsidRPr="00B14963">
              <w:rPr>
                <w:b/>
                <w:sz w:val="22"/>
                <w:szCs w:val="22"/>
              </w:rPr>
              <w:t>Kaplan-Meier-ova procjena medijane vremena do pojave događaja (mjeseci)</w:t>
            </w:r>
          </w:p>
        </w:tc>
        <w:tc>
          <w:tcPr>
            <w:tcW w:w="1342" w:type="dxa"/>
            <w:vMerge w:val="restart"/>
            <w:tcBorders>
              <w:top w:val="single" w:sz="4" w:space="0" w:color="000000"/>
              <w:left w:val="single" w:sz="4" w:space="0" w:color="000000"/>
              <w:bottom w:val="single" w:sz="4" w:space="0" w:color="000000"/>
              <w:right w:val="single" w:sz="4" w:space="0" w:color="000000"/>
            </w:tcBorders>
          </w:tcPr>
          <w:p w14:paraId="55895A56" w14:textId="77777777" w:rsidR="00874EF0" w:rsidRPr="00B14963" w:rsidRDefault="00874EF0" w:rsidP="008C6991">
            <w:pPr>
              <w:pStyle w:val="TextTi10"/>
              <w:keepNext/>
              <w:keepLines/>
              <w:snapToGrid w:val="0"/>
              <w:jc w:val="center"/>
              <w:outlineLvl w:val="0"/>
              <w:rPr>
                <w:b/>
                <w:sz w:val="22"/>
                <w:szCs w:val="22"/>
              </w:rPr>
            </w:pPr>
            <w:r w:rsidRPr="00B14963">
              <w:rPr>
                <w:b/>
                <w:sz w:val="22"/>
                <w:szCs w:val="22"/>
              </w:rPr>
              <w:t>Smanjenje rizika</w:t>
            </w:r>
          </w:p>
        </w:tc>
      </w:tr>
      <w:tr w:rsidR="00874EF0" w:rsidRPr="00B14963" w14:paraId="4D20BF0E" w14:textId="77777777" w:rsidTr="00555704">
        <w:trPr>
          <w:cantSplit/>
          <w:trHeight w:hRule="exact" w:val="533"/>
        </w:trPr>
        <w:tc>
          <w:tcPr>
            <w:tcW w:w="3261" w:type="dxa"/>
            <w:vMerge/>
            <w:tcBorders>
              <w:top w:val="single" w:sz="4" w:space="0" w:color="000000"/>
              <w:left w:val="single" w:sz="4" w:space="0" w:color="000000"/>
              <w:bottom w:val="single" w:sz="4" w:space="0" w:color="000000"/>
            </w:tcBorders>
          </w:tcPr>
          <w:p w14:paraId="7B796D88" w14:textId="77777777" w:rsidR="00874EF0" w:rsidRPr="00B14963" w:rsidRDefault="00874EF0" w:rsidP="008C6991">
            <w:pPr>
              <w:keepNext/>
              <w:keepLines/>
              <w:outlineLvl w:val="0"/>
              <w:rPr>
                <w:szCs w:val="22"/>
              </w:rPr>
            </w:pPr>
          </w:p>
        </w:tc>
        <w:tc>
          <w:tcPr>
            <w:tcW w:w="1412" w:type="dxa"/>
            <w:tcBorders>
              <w:top w:val="single" w:sz="4" w:space="0" w:color="000000"/>
              <w:left w:val="single" w:sz="4" w:space="0" w:color="000000"/>
              <w:bottom w:val="single" w:sz="4" w:space="0" w:color="000000"/>
            </w:tcBorders>
          </w:tcPr>
          <w:p w14:paraId="7C6BEE18" w14:textId="77777777" w:rsidR="00874EF0" w:rsidRPr="00B14963" w:rsidRDefault="00874EF0" w:rsidP="008C6991">
            <w:pPr>
              <w:pStyle w:val="TextTi10"/>
              <w:keepNext/>
              <w:keepLines/>
              <w:snapToGrid w:val="0"/>
              <w:jc w:val="center"/>
              <w:outlineLvl w:val="0"/>
              <w:rPr>
                <w:b/>
                <w:sz w:val="22"/>
                <w:szCs w:val="22"/>
              </w:rPr>
            </w:pPr>
            <w:r w:rsidRPr="00B14963">
              <w:rPr>
                <w:b/>
                <w:sz w:val="22"/>
                <w:szCs w:val="22"/>
              </w:rPr>
              <w:t>FC</w:t>
            </w:r>
          </w:p>
          <w:p w14:paraId="5399F9F1" w14:textId="77777777" w:rsidR="00874EF0" w:rsidRPr="00B14963" w:rsidRDefault="00874EF0" w:rsidP="008C6991">
            <w:pPr>
              <w:pStyle w:val="TextTi10"/>
              <w:keepNext/>
              <w:keepLines/>
              <w:jc w:val="center"/>
              <w:outlineLvl w:val="0"/>
              <w:rPr>
                <w:b/>
                <w:sz w:val="22"/>
                <w:szCs w:val="22"/>
              </w:rPr>
            </w:pPr>
            <w:r w:rsidRPr="00B14963">
              <w:rPr>
                <w:b/>
                <w:sz w:val="22"/>
                <w:szCs w:val="22"/>
              </w:rPr>
              <w:t>(N = 276)</w:t>
            </w:r>
          </w:p>
        </w:tc>
        <w:tc>
          <w:tcPr>
            <w:tcW w:w="1276" w:type="dxa"/>
            <w:tcBorders>
              <w:top w:val="single" w:sz="4" w:space="0" w:color="000000"/>
              <w:left w:val="single" w:sz="4" w:space="0" w:color="000000"/>
              <w:bottom w:val="single" w:sz="4" w:space="0" w:color="000000"/>
            </w:tcBorders>
          </w:tcPr>
          <w:p w14:paraId="551669B1" w14:textId="77777777" w:rsidR="00874EF0" w:rsidRPr="00B14963" w:rsidRDefault="00874EF0" w:rsidP="008C6991">
            <w:pPr>
              <w:pStyle w:val="TextTi10"/>
              <w:keepNext/>
              <w:keepLines/>
              <w:snapToGrid w:val="0"/>
              <w:jc w:val="center"/>
              <w:outlineLvl w:val="0"/>
              <w:rPr>
                <w:b/>
                <w:sz w:val="22"/>
                <w:szCs w:val="22"/>
              </w:rPr>
            </w:pPr>
            <w:r w:rsidRPr="00B14963">
              <w:rPr>
                <w:b/>
                <w:sz w:val="22"/>
                <w:szCs w:val="22"/>
              </w:rPr>
              <w:t>R-FC</w:t>
            </w:r>
          </w:p>
          <w:p w14:paraId="57E18EA8" w14:textId="77777777" w:rsidR="00874EF0" w:rsidRPr="00B14963" w:rsidRDefault="00874EF0" w:rsidP="008C6991">
            <w:pPr>
              <w:pStyle w:val="TextTi10"/>
              <w:keepNext/>
              <w:keepLines/>
              <w:jc w:val="center"/>
              <w:outlineLvl w:val="0"/>
              <w:rPr>
                <w:b/>
                <w:sz w:val="22"/>
                <w:szCs w:val="22"/>
              </w:rPr>
            </w:pPr>
            <w:r w:rsidRPr="00B14963">
              <w:rPr>
                <w:b/>
                <w:sz w:val="22"/>
                <w:szCs w:val="22"/>
              </w:rPr>
              <w:t>(N = 276)</w:t>
            </w:r>
          </w:p>
        </w:tc>
        <w:tc>
          <w:tcPr>
            <w:tcW w:w="1559" w:type="dxa"/>
            <w:tcBorders>
              <w:top w:val="single" w:sz="4" w:space="0" w:color="000000"/>
              <w:left w:val="single" w:sz="4" w:space="0" w:color="000000"/>
              <w:bottom w:val="single" w:sz="4" w:space="0" w:color="000000"/>
            </w:tcBorders>
          </w:tcPr>
          <w:p w14:paraId="032A9754" w14:textId="77777777" w:rsidR="00874EF0" w:rsidRPr="00B14963" w:rsidRDefault="00874EF0" w:rsidP="008C6991">
            <w:pPr>
              <w:pStyle w:val="TextTi10"/>
              <w:keepNext/>
              <w:keepLines/>
              <w:snapToGrid w:val="0"/>
              <w:jc w:val="center"/>
              <w:outlineLvl w:val="0"/>
              <w:rPr>
                <w:b/>
                <w:sz w:val="22"/>
                <w:szCs w:val="22"/>
              </w:rPr>
            </w:pPr>
            <w:r w:rsidRPr="00B14963">
              <w:rPr>
                <w:b/>
                <w:sz w:val="22"/>
                <w:szCs w:val="22"/>
              </w:rPr>
              <w:t xml:space="preserve">log-rank </w:t>
            </w:r>
            <w:r w:rsidRPr="00B14963">
              <w:rPr>
                <w:b/>
                <w:sz w:val="22"/>
                <w:szCs w:val="22"/>
              </w:rPr>
              <w:br/>
              <w:t>p</w:t>
            </w:r>
            <w:r w:rsidRPr="00B14963">
              <w:rPr>
                <w:b/>
                <w:sz w:val="22"/>
                <w:szCs w:val="22"/>
              </w:rPr>
              <w:noBreakHyphen/>
              <w:t>vrijednost</w:t>
            </w:r>
          </w:p>
        </w:tc>
        <w:tc>
          <w:tcPr>
            <w:tcW w:w="1342" w:type="dxa"/>
            <w:vMerge/>
            <w:tcBorders>
              <w:top w:val="single" w:sz="4" w:space="0" w:color="000000"/>
              <w:left w:val="single" w:sz="4" w:space="0" w:color="000000"/>
              <w:bottom w:val="single" w:sz="4" w:space="0" w:color="000000"/>
              <w:right w:val="single" w:sz="4" w:space="0" w:color="000000"/>
            </w:tcBorders>
          </w:tcPr>
          <w:p w14:paraId="13FC3242" w14:textId="77777777" w:rsidR="00874EF0" w:rsidRPr="00B14963" w:rsidRDefault="00874EF0" w:rsidP="008C6991">
            <w:pPr>
              <w:keepNext/>
              <w:keepLines/>
              <w:jc w:val="center"/>
              <w:outlineLvl w:val="0"/>
              <w:rPr>
                <w:szCs w:val="22"/>
              </w:rPr>
            </w:pPr>
          </w:p>
        </w:tc>
      </w:tr>
      <w:tr w:rsidR="00874EF0" w:rsidRPr="00B14963" w14:paraId="328263E9" w14:textId="77777777" w:rsidTr="00555704">
        <w:trPr>
          <w:trHeight w:val="263"/>
        </w:trPr>
        <w:tc>
          <w:tcPr>
            <w:tcW w:w="3261" w:type="dxa"/>
            <w:tcBorders>
              <w:top w:val="single" w:sz="4" w:space="0" w:color="000000"/>
              <w:left w:val="single" w:sz="4" w:space="0" w:color="000000"/>
            </w:tcBorders>
          </w:tcPr>
          <w:p w14:paraId="7C4E6BF3" w14:textId="77777777" w:rsidR="00874EF0" w:rsidRPr="00B14963" w:rsidRDefault="00874EF0" w:rsidP="008C6991">
            <w:pPr>
              <w:pStyle w:val="TextTi10"/>
              <w:keepNext/>
              <w:keepLines/>
              <w:snapToGrid w:val="0"/>
              <w:outlineLvl w:val="0"/>
              <w:rPr>
                <w:i/>
                <w:sz w:val="22"/>
                <w:szCs w:val="22"/>
              </w:rPr>
            </w:pPr>
            <w:r w:rsidRPr="00B14963">
              <w:rPr>
                <w:i/>
                <w:sz w:val="22"/>
                <w:szCs w:val="22"/>
              </w:rPr>
              <w:t>Preživljavanje bez progresije bolesti (PFS)</w:t>
            </w:r>
          </w:p>
        </w:tc>
        <w:tc>
          <w:tcPr>
            <w:tcW w:w="1412" w:type="dxa"/>
            <w:tcBorders>
              <w:top w:val="single" w:sz="4" w:space="0" w:color="000000"/>
              <w:left w:val="single" w:sz="4" w:space="0" w:color="000000"/>
            </w:tcBorders>
          </w:tcPr>
          <w:p w14:paraId="679050BF" w14:textId="77777777" w:rsidR="00874EF0" w:rsidRPr="00B14963" w:rsidRDefault="00874EF0" w:rsidP="008C6991">
            <w:pPr>
              <w:pStyle w:val="TextTi10"/>
              <w:keepNext/>
              <w:keepLines/>
              <w:snapToGrid w:val="0"/>
              <w:jc w:val="center"/>
              <w:outlineLvl w:val="0"/>
              <w:rPr>
                <w:i/>
                <w:sz w:val="22"/>
                <w:szCs w:val="22"/>
              </w:rPr>
            </w:pPr>
            <w:r w:rsidRPr="00B14963">
              <w:rPr>
                <w:i/>
                <w:sz w:val="22"/>
                <w:szCs w:val="22"/>
              </w:rPr>
              <w:t>20,6</w:t>
            </w:r>
          </w:p>
        </w:tc>
        <w:tc>
          <w:tcPr>
            <w:tcW w:w="1276" w:type="dxa"/>
            <w:tcBorders>
              <w:top w:val="single" w:sz="4" w:space="0" w:color="000000"/>
              <w:left w:val="single" w:sz="4" w:space="0" w:color="000000"/>
            </w:tcBorders>
          </w:tcPr>
          <w:p w14:paraId="267698D0" w14:textId="77777777" w:rsidR="00874EF0" w:rsidRPr="00B14963" w:rsidRDefault="00874EF0" w:rsidP="008C6991">
            <w:pPr>
              <w:pStyle w:val="TextTi10"/>
              <w:keepNext/>
              <w:keepLines/>
              <w:snapToGrid w:val="0"/>
              <w:jc w:val="center"/>
              <w:outlineLvl w:val="0"/>
              <w:rPr>
                <w:i/>
                <w:sz w:val="22"/>
                <w:szCs w:val="22"/>
              </w:rPr>
            </w:pPr>
            <w:r w:rsidRPr="00B14963">
              <w:rPr>
                <w:i/>
                <w:sz w:val="22"/>
                <w:szCs w:val="22"/>
              </w:rPr>
              <w:t>30,6</w:t>
            </w:r>
          </w:p>
        </w:tc>
        <w:tc>
          <w:tcPr>
            <w:tcW w:w="1559" w:type="dxa"/>
            <w:tcBorders>
              <w:top w:val="single" w:sz="4" w:space="0" w:color="000000"/>
              <w:left w:val="single" w:sz="4" w:space="0" w:color="000000"/>
            </w:tcBorders>
          </w:tcPr>
          <w:p w14:paraId="2ED12CD8" w14:textId="77777777" w:rsidR="00874EF0" w:rsidRPr="00B14963" w:rsidRDefault="00874EF0" w:rsidP="008C6991">
            <w:pPr>
              <w:pStyle w:val="TextTi10"/>
              <w:keepNext/>
              <w:keepLines/>
              <w:snapToGrid w:val="0"/>
              <w:jc w:val="center"/>
              <w:outlineLvl w:val="0"/>
              <w:rPr>
                <w:i/>
                <w:sz w:val="22"/>
                <w:szCs w:val="22"/>
              </w:rPr>
            </w:pPr>
            <w:r w:rsidRPr="00B14963">
              <w:rPr>
                <w:i/>
                <w:sz w:val="22"/>
                <w:szCs w:val="22"/>
              </w:rPr>
              <w:t>0,0002</w:t>
            </w:r>
          </w:p>
        </w:tc>
        <w:tc>
          <w:tcPr>
            <w:tcW w:w="1342" w:type="dxa"/>
            <w:tcBorders>
              <w:top w:val="single" w:sz="4" w:space="0" w:color="000000"/>
              <w:left w:val="single" w:sz="4" w:space="0" w:color="000000"/>
              <w:right w:val="single" w:sz="4" w:space="0" w:color="000000"/>
            </w:tcBorders>
          </w:tcPr>
          <w:p w14:paraId="29B226AC" w14:textId="77777777" w:rsidR="00874EF0" w:rsidRPr="00B14963" w:rsidRDefault="00874EF0" w:rsidP="008C6991">
            <w:pPr>
              <w:pStyle w:val="TextTi10"/>
              <w:keepNext/>
              <w:keepLines/>
              <w:snapToGrid w:val="0"/>
              <w:jc w:val="center"/>
              <w:outlineLvl w:val="0"/>
              <w:rPr>
                <w:i/>
                <w:sz w:val="22"/>
                <w:szCs w:val="22"/>
              </w:rPr>
            </w:pPr>
            <w:r w:rsidRPr="00B14963">
              <w:rPr>
                <w:i/>
                <w:sz w:val="22"/>
                <w:szCs w:val="22"/>
              </w:rPr>
              <w:t>35%</w:t>
            </w:r>
          </w:p>
        </w:tc>
      </w:tr>
      <w:tr w:rsidR="00874EF0" w:rsidRPr="00B14963" w14:paraId="350DE8F5" w14:textId="77777777" w:rsidTr="00555704">
        <w:trPr>
          <w:trHeight w:val="263"/>
        </w:trPr>
        <w:tc>
          <w:tcPr>
            <w:tcW w:w="3261" w:type="dxa"/>
            <w:tcBorders>
              <w:left w:val="single" w:sz="4" w:space="0" w:color="000000"/>
              <w:bottom w:val="single" w:sz="4" w:space="0" w:color="000000"/>
            </w:tcBorders>
          </w:tcPr>
          <w:p w14:paraId="4F3FA9CD" w14:textId="77777777" w:rsidR="00874EF0" w:rsidRPr="00B14963" w:rsidRDefault="00874EF0" w:rsidP="008C6991">
            <w:pPr>
              <w:pStyle w:val="TextTi10"/>
              <w:keepNext/>
              <w:keepLines/>
              <w:snapToGrid w:val="0"/>
              <w:outlineLvl w:val="0"/>
              <w:rPr>
                <w:i/>
                <w:sz w:val="22"/>
                <w:szCs w:val="22"/>
              </w:rPr>
            </w:pPr>
          </w:p>
        </w:tc>
        <w:tc>
          <w:tcPr>
            <w:tcW w:w="1412" w:type="dxa"/>
            <w:tcBorders>
              <w:left w:val="single" w:sz="4" w:space="0" w:color="000000"/>
              <w:bottom w:val="single" w:sz="4" w:space="0" w:color="000000"/>
            </w:tcBorders>
          </w:tcPr>
          <w:p w14:paraId="5861F43D" w14:textId="77777777" w:rsidR="00874EF0" w:rsidRPr="00B14963" w:rsidRDefault="00874EF0" w:rsidP="008C6991">
            <w:pPr>
              <w:pStyle w:val="TextTi10"/>
              <w:keepNext/>
              <w:keepLines/>
              <w:snapToGrid w:val="0"/>
              <w:jc w:val="center"/>
              <w:outlineLvl w:val="0"/>
              <w:rPr>
                <w:i/>
                <w:sz w:val="22"/>
                <w:szCs w:val="22"/>
              </w:rPr>
            </w:pPr>
          </w:p>
        </w:tc>
        <w:tc>
          <w:tcPr>
            <w:tcW w:w="1276" w:type="dxa"/>
            <w:tcBorders>
              <w:left w:val="single" w:sz="4" w:space="0" w:color="000000"/>
              <w:bottom w:val="single" w:sz="4" w:space="0" w:color="000000"/>
            </w:tcBorders>
          </w:tcPr>
          <w:p w14:paraId="40E3AF09" w14:textId="77777777" w:rsidR="00874EF0" w:rsidRPr="00B14963" w:rsidRDefault="00874EF0" w:rsidP="008C6991">
            <w:pPr>
              <w:pStyle w:val="TextTi10"/>
              <w:keepNext/>
              <w:keepLines/>
              <w:snapToGrid w:val="0"/>
              <w:jc w:val="center"/>
              <w:outlineLvl w:val="0"/>
              <w:rPr>
                <w:i/>
                <w:sz w:val="22"/>
                <w:szCs w:val="22"/>
              </w:rPr>
            </w:pPr>
          </w:p>
        </w:tc>
        <w:tc>
          <w:tcPr>
            <w:tcW w:w="1559" w:type="dxa"/>
            <w:tcBorders>
              <w:left w:val="single" w:sz="4" w:space="0" w:color="000000"/>
              <w:bottom w:val="single" w:sz="4" w:space="0" w:color="000000"/>
            </w:tcBorders>
          </w:tcPr>
          <w:p w14:paraId="79BED52A" w14:textId="77777777" w:rsidR="00874EF0" w:rsidRPr="00B14963" w:rsidRDefault="00874EF0" w:rsidP="008C6991">
            <w:pPr>
              <w:pStyle w:val="TextTi10"/>
              <w:keepNext/>
              <w:keepLines/>
              <w:snapToGrid w:val="0"/>
              <w:jc w:val="center"/>
              <w:outlineLvl w:val="0"/>
              <w:rPr>
                <w:i/>
                <w:sz w:val="22"/>
                <w:szCs w:val="22"/>
              </w:rPr>
            </w:pPr>
          </w:p>
        </w:tc>
        <w:tc>
          <w:tcPr>
            <w:tcW w:w="1342" w:type="dxa"/>
            <w:tcBorders>
              <w:left w:val="single" w:sz="4" w:space="0" w:color="000000"/>
              <w:bottom w:val="single" w:sz="4" w:space="0" w:color="000000"/>
              <w:right w:val="single" w:sz="4" w:space="0" w:color="000000"/>
            </w:tcBorders>
          </w:tcPr>
          <w:p w14:paraId="2904B7DA" w14:textId="77777777" w:rsidR="00874EF0" w:rsidRPr="00B14963" w:rsidRDefault="00874EF0" w:rsidP="008C6991">
            <w:pPr>
              <w:pStyle w:val="TextTi10"/>
              <w:keepNext/>
              <w:keepLines/>
              <w:snapToGrid w:val="0"/>
              <w:jc w:val="center"/>
              <w:outlineLvl w:val="0"/>
              <w:rPr>
                <w:i/>
                <w:sz w:val="22"/>
                <w:szCs w:val="22"/>
              </w:rPr>
            </w:pPr>
          </w:p>
        </w:tc>
      </w:tr>
      <w:tr w:rsidR="00874EF0" w:rsidRPr="00B14963" w14:paraId="593A79D4" w14:textId="77777777" w:rsidTr="00555704">
        <w:trPr>
          <w:trHeight w:val="248"/>
        </w:trPr>
        <w:tc>
          <w:tcPr>
            <w:tcW w:w="3261" w:type="dxa"/>
            <w:tcBorders>
              <w:top w:val="single" w:sz="4" w:space="0" w:color="000000"/>
              <w:left w:val="single" w:sz="4" w:space="0" w:color="000000"/>
            </w:tcBorders>
          </w:tcPr>
          <w:p w14:paraId="71AED2C5" w14:textId="77777777" w:rsidR="00874EF0" w:rsidRPr="00B14963" w:rsidRDefault="00874EF0" w:rsidP="008C6991">
            <w:pPr>
              <w:pStyle w:val="TextTi10"/>
              <w:keepNext/>
              <w:keepLines/>
              <w:snapToGrid w:val="0"/>
              <w:outlineLvl w:val="0"/>
              <w:rPr>
                <w:i/>
                <w:sz w:val="22"/>
                <w:szCs w:val="22"/>
              </w:rPr>
            </w:pPr>
            <w:r w:rsidRPr="00B14963">
              <w:rPr>
                <w:i/>
                <w:sz w:val="22"/>
                <w:szCs w:val="22"/>
              </w:rPr>
              <w:t>Ukupno preživljavanje</w:t>
            </w:r>
          </w:p>
        </w:tc>
        <w:tc>
          <w:tcPr>
            <w:tcW w:w="1412" w:type="dxa"/>
            <w:tcBorders>
              <w:top w:val="single" w:sz="4" w:space="0" w:color="000000"/>
              <w:left w:val="single" w:sz="4" w:space="0" w:color="000000"/>
            </w:tcBorders>
          </w:tcPr>
          <w:p w14:paraId="5AD8D29D" w14:textId="77777777" w:rsidR="00874EF0" w:rsidRPr="00B14963" w:rsidRDefault="00874EF0" w:rsidP="008C6991">
            <w:pPr>
              <w:pStyle w:val="TextTi10"/>
              <w:keepNext/>
              <w:keepLines/>
              <w:snapToGrid w:val="0"/>
              <w:jc w:val="center"/>
              <w:outlineLvl w:val="0"/>
              <w:rPr>
                <w:i/>
                <w:sz w:val="22"/>
                <w:szCs w:val="22"/>
              </w:rPr>
            </w:pPr>
            <w:r w:rsidRPr="00B14963">
              <w:rPr>
                <w:i/>
                <w:sz w:val="22"/>
                <w:szCs w:val="22"/>
              </w:rPr>
              <w:t>51,9</w:t>
            </w:r>
          </w:p>
        </w:tc>
        <w:tc>
          <w:tcPr>
            <w:tcW w:w="1276" w:type="dxa"/>
            <w:tcBorders>
              <w:top w:val="single" w:sz="4" w:space="0" w:color="000000"/>
              <w:left w:val="single" w:sz="4" w:space="0" w:color="000000"/>
            </w:tcBorders>
          </w:tcPr>
          <w:p w14:paraId="4B14C566" w14:textId="77777777" w:rsidR="00874EF0" w:rsidRPr="00B14963" w:rsidRDefault="00874EF0" w:rsidP="008C6991">
            <w:pPr>
              <w:pStyle w:val="TextTi10"/>
              <w:keepNext/>
              <w:keepLines/>
              <w:snapToGrid w:val="0"/>
              <w:jc w:val="center"/>
              <w:outlineLvl w:val="0"/>
              <w:rPr>
                <w:i/>
                <w:sz w:val="22"/>
                <w:szCs w:val="22"/>
              </w:rPr>
            </w:pPr>
            <w:r w:rsidRPr="00B14963">
              <w:rPr>
                <w:i/>
                <w:sz w:val="22"/>
                <w:szCs w:val="22"/>
              </w:rPr>
              <w:t>NR</w:t>
            </w:r>
          </w:p>
        </w:tc>
        <w:tc>
          <w:tcPr>
            <w:tcW w:w="1559" w:type="dxa"/>
            <w:tcBorders>
              <w:top w:val="single" w:sz="4" w:space="0" w:color="000000"/>
              <w:left w:val="single" w:sz="4" w:space="0" w:color="000000"/>
            </w:tcBorders>
          </w:tcPr>
          <w:p w14:paraId="76E5B743" w14:textId="77777777" w:rsidR="00874EF0" w:rsidRPr="00B14963" w:rsidRDefault="00874EF0" w:rsidP="008C6991">
            <w:pPr>
              <w:pStyle w:val="TextTi10"/>
              <w:keepNext/>
              <w:keepLines/>
              <w:snapToGrid w:val="0"/>
              <w:jc w:val="center"/>
              <w:outlineLvl w:val="0"/>
              <w:rPr>
                <w:i/>
                <w:sz w:val="22"/>
                <w:szCs w:val="22"/>
              </w:rPr>
            </w:pPr>
            <w:r w:rsidRPr="00B14963">
              <w:rPr>
                <w:i/>
                <w:sz w:val="22"/>
                <w:szCs w:val="22"/>
              </w:rPr>
              <w:t>0,2874</w:t>
            </w:r>
          </w:p>
        </w:tc>
        <w:tc>
          <w:tcPr>
            <w:tcW w:w="1342" w:type="dxa"/>
            <w:tcBorders>
              <w:top w:val="single" w:sz="4" w:space="0" w:color="000000"/>
              <w:left w:val="single" w:sz="4" w:space="0" w:color="000000"/>
              <w:right w:val="single" w:sz="4" w:space="0" w:color="000000"/>
            </w:tcBorders>
          </w:tcPr>
          <w:p w14:paraId="65B4840B" w14:textId="77777777" w:rsidR="00874EF0" w:rsidRPr="00B14963" w:rsidRDefault="00874EF0" w:rsidP="008C6991">
            <w:pPr>
              <w:pStyle w:val="TextTi10"/>
              <w:keepNext/>
              <w:keepLines/>
              <w:snapToGrid w:val="0"/>
              <w:jc w:val="center"/>
              <w:outlineLvl w:val="0"/>
              <w:rPr>
                <w:i/>
                <w:sz w:val="22"/>
                <w:szCs w:val="22"/>
              </w:rPr>
            </w:pPr>
            <w:r w:rsidRPr="00B14963">
              <w:rPr>
                <w:i/>
                <w:sz w:val="22"/>
                <w:szCs w:val="22"/>
              </w:rPr>
              <w:t>17%</w:t>
            </w:r>
          </w:p>
        </w:tc>
      </w:tr>
      <w:tr w:rsidR="00874EF0" w:rsidRPr="00B14963" w14:paraId="0D504481" w14:textId="77777777" w:rsidTr="00555704">
        <w:trPr>
          <w:trHeight w:val="263"/>
        </w:trPr>
        <w:tc>
          <w:tcPr>
            <w:tcW w:w="3261" w:type="dxa"/>
            <w:tcBorders>
              <w:left w:val="single" w:sz="4" w:space="0" w:color="000000"/>
              <w:bottom w:val="single" w:sz="4" w:space="0" w:color="000000"/>
            </w:tcBorders>
          </w:tcPr>
          <w:p w14:paraId="3360A012" w14:textId="77777777" w:rsidR="00874EF0" w:rsidRPr="00B14963" w:rsidRDefault="00874EF0" w:rsidP="008C6991">
            <w:pPr>
              <w:pStyle w:val="TextTi10"/>
              <w:keepNext/>
              <w:keepLines/>
              <w:snapToGrid w:val="0"/>
              <w:outlineLvl w:val="0"/>
              <w:rPr>
                <w:i/>
                <w:sz w:val="22"/>
                <w:szCs w:val="22"/>
              </w:rPr>
            </w:pPr>
          </w:p>
        </w:tc>
        <w:tc>
          <w:tcPr>
            <w:tcW w:w="1412" w:type="dxa"/>
            <w:tcBorders>
              <w:left w:val="single" w:sz="4" w:space="0" w:color="000000"/>
              <w:bottom w:val="single" w:sz="4" w:space="0" w:color="000000"/>
            </w:tcBorders>
          </w:tcPr>
          <w:p w14:paraId="1CE99527" w14:textId="77777777" w:rsidR="00874EF0" w:rsidRPr="00B14963" w:rsidRDefault="00874EF0" w:rsidP="008C6991">
            <w:pPr>
              <w:pStyle w:val="TextTi10"/>
              <w:keepNext/>
              <w:keepLines/>
              <w:snapToGrid w:val="0"/>
              <w:jc w:val="center"/>
              <w:outlineLvl w:val="0"/>
              <w:rPr>
                <w:i/>
                <w:sz w:val="22"/>
                <w:szCs w:val="22"/>
              </w:rPr>
            </w:pPr>
          </w:p>
        </w:tc>
        <w:tc>
          <w:tcPr>
            <w:tcW w:w="1276" w:type="dxa"/>
            <w:tcBorders>
              <w:left w:val="single" w:sz="4" w:space="0" w:color="000000"/>
              <w:bottom w:val="single" w:sz="4" w:space="0" w:color="000000"/>
            </w:tcBorders>
          </w:tcPr>
          <w:p w14:paraId="480BBF00" w14:textId="77777777" w:rsidR="00874EF0" w:rsidRPr="00B14963" w:rsidRDefault="00874EF0" w:rsidP="008C6991">
            <w:pPr>
              <w:pStyle w:val="TextTi10"/>
              <w:keepNext/>
              <w:keepLines/>
              <w:snapToGrid w:val="0"/>
              <w:jc w:val="center"/>
              <w:outlineLvl w:val="0"/>
              <w:rPr>
                <w:i/>
                <w:sz w:val="22"/>
                <w:szCs w:val="22"/>
              </w:rPr>
            </w:pPr>
          </w:p>
        </w:tc>
        <w:tc>
          <w:tcPr>
            <w:tcW w:w="1559" w:type="dxa"/>
            <w:tcBorders>
              <w:left w:val="single" w:sz="4" w:space="0" w:color="000000"/>
              <w:bottom w:val="single" w:sz="4" w:space="0" w:color="000000"/>
            </w:tcBorders>
          </w:tcPr>
          <w:p w14:paraId="05AB47EF" w14:textId="77777777" w:rsidR="00874EF0" w:rsidRPr="00B14963" w:rsidRDefault="00874EF0" w:rsidP="008C6991">
            <w:pPr>
              <w:pStyle w:val="TextTi10"/>
              <w:keepNext/>
              <w:keepLines/>
              <w:snapToGrid w:val="0"/>
              <w:jc w:val="center"/>
              <w:outlineLvl w:val="0"/>
              <w:rPr>
                <w:i/>
                <w:sz w:val="22"/>
                <w:szCs w:val="22"/>
              </w:rPr>
            </w:pPr>
          </w:p>
        </w:tc>
        <w:tc>
          <w:tcPr>
            <w:tcW w:w="1342" w:type="dxa"/>
            <w:tcBorders>
              <w:left w:val="single" w:sz="4" w:space="0" w:color="000000"/>
              <w:bottom w:val="single" w:sz="4" w:space="0" w:color="000000"/>
              <w:right w:val="single" w:sz="4" w:space="0" w:color="000000"/>
            </w:tcBorders>
          </w:tcPr>
          <w:p w14:paraId="16F342A4" w14:textId="77777777" w:rsidR="00874EF0" w:rsidRPr="00B14963" w:rsidRDefault="00874EF0" w:rsidP="008C6991">
            <w:pPr>
              <w:pStyle w:val="TextTi10"/>
              <w:keepNext/>
              <w:keepLines/>
              <w:snapToGrid w:val="0"/>
              <w:jc w:val="center"/>
              <w:outlineLvl w:val="0"/>
              <w:rPr>
                <w:i/>
                <w:sz w:val="22"/>
                <w:szCs w:val="22"/>
              </w:rPr>
            </w:pPr>
          </w:p>
        </w:tc>
      </w:tr>
      <w:tr w:rsidR="00874EF0" w:rsidRPr="00B14963" w14:paraId="3F8549B8" w14:textId="77777777" w:rsidTr="00555704">
        <w:trPr>
          <w:trHeight w:val="345"/>
        </w:trPr>
        <w:tc>
          <w:tcPr>
            <w:tcW w:w="3261" w:type="dxa"/>
            <w:tcBorders>
              <w:top w:val="single" w:sz="4" w:space="0" w:color="000000"/>
              <w:left w:val="single" w:sz="4" w:space="0" w:color="000000"/>
            </w:tcBorders>
          </w:tcPr>
          <w:p w14:paraId="5B60C1CF" w14:textId="77777777" w:rsidR="00874EF0" w:rsidRPr="00B14963" w:rsidRDefault="00874EF0" w:rsidP="008C6991">
            <w:pPr>
              <w:pStyle w:val="TextTi10"/>
              <w:keepNext/>
              <w:keepLines/>
              <w:snapToGrid w:val="0"/>
              <w:outlineLvl w:val="0"/>
              <w:rPr>
                <w:i/>
                <w:sz w:val="22"/>
                <w:szCs w:val="22"/>
              </w:rPr>
            </w:pPr>
            <w:r w:rsidRPr="00B14963">
              <w:rPr>
                <w:i/>
                <w:sz w:val="22"/>
                <w:szCs w:val="22"/>
              </w:rPr>
              <w:t>Preživljavanje bez događaja</w:t>
            </w:r>
          </w:p>
        </w:tc>
        <w:tc>
          <w:tcPr>
            <w:tcW w:w="1412" w:type="dxa"/>
            <w:tcBorders>
              <w:top w:val="single" w:sz="4" w:space="0" w:color="000000"/>
              <w:left w:val="single" w:sz="4" w:space="0" w:color="000000"/>
            </w:tcBorders>
          </w:tcPr>
          <w:p w14:paraId="29F7FDD7" w14:textId="77777777" w:rsidR="00874EF0" w:rsidRPr="00B14963" w:rsidRDefault="00874EF0" w:rsidP="008C6991">
            <w:pPr>
              <w:pStyle w:val="TextTi10"/>
              <w:keepNext/>
              <w:keepLines/>
              <w:snapToGrid w:val="0"/>
              <w:jc w:val="center"/>
              <w:outlineLvl w:val="0"/>
              <w:rPr>
                <w:i/>
                <w:sz w:val="22"/>
                <w:szCs w:val="22"/>
              </w:rPr>
            </w:pPr>
            <w:r w:rsidRPr="00B14963">
              <w:rPr>
                <w:i/>
                <w:sz w:val="22"/>
                <w:szCs w:val="22"/>
              </w:rPr>
              <w:t>19,3</w:t>
            </w:r>
          </w:p>
        </w:tc>
        <w:tc>
          <w:tcPr>
            <w:tcW w:w="1276" w:type="dxa"/>
            <w:tcBorders>
              <w:top w:val="single" w:sz="4" w:space="0" w:color="000000"/>
              <w:left w:val="single" w:sz="4" w:space="0" w:color="000000"/>
            </w:tcBorders>
          </w:tcPr>
          <w:p w14:paraId="29D1DA34" w14:textId="77777777" w:rsidR="00874EF0" w:rsidRPr="00B14963" w:rsidRDefault="00874EF0" w:rsidP="008C6991">
            <w:pPr>
              <w:pStyle w:val="TextTi10"/>
              <w:keepNext/>
              <w:keepLines/>
              <w:snapToGrid w:val="0"/>
              <w:jc w:val="center"/>
              <w:outlineLvl w:val="0"/>
              <w:rPr>
                <w:i/>
                <w:sz w:val="22"/>
                <w:szCs w:val="22"/>
              </w:rPr>
            </w:pPr>
            <w:r w:rsidRPr="00B14963">
              <w:rPr>
                <w:i/>
                <w:sz w:val="22"/>
                <w:szCs w:val="22"/>
              </w:rPr>
              <w:t>28,7</w:t>
            </w:r>
          </w:p>
        </w:tc>
        <w:tc>
          <w:tcPr>
            <w:tcW w:w="1559" w:type="dxa"/>
            <w:tcBorders>
              <w:top w:val="single" w:sz="4" w:space="0" w:color="000000"/>
              <w:left w:val="single" w:sz="4" w:space="0" w:color="000000"/>
            </w:tcBorders>
          </w:tcPr>
          <w:p w14:paraId="72ACC019" w14:textId="77777777" w:rsidR="00874EF0" w:rsidRPr="00B14963" w:rsidRDefault="00874EF0" w:rsidP="008C6991">
            <w:pPr>
              <w:pStyle w:val="TextTi10"/>
              <w:keepNext/>
              <w:keepLines/>
              <w:snapToGrid w:val="0"/>
              <w:jc w:val="center"/>
              <w:outlineLvl w:val="0"/>
              <w:rPr>
                <w:i/>
                <w:sz w:val="22"/>
                <w:szCs w:val="22"/>
              </w:rPr>
            </w:pPr>
            <w:r w:rsidRPr="00B14963">
              <w:rPr>
                <w:i/>
                <w:sz w:val="22"/>
                <w:szCs w:val="22"/>
              </w:rPr>
              <w:t>0,0002</w:t>
            </w:r>
          </w:p>
        </w:tc>
        <w:tc>
          <w:tcPr>
            <w:tcW w:w="1342" w:type="dxa"/>
            <w:tcBorders>
              <w:top w:val="single" w:sz="4" w:space="0" w:color="000000"/>
              <w:left w:val="single" w:sz="4" w:space="0" w:color="000000"/>
              <w:right w:val="single" w:sz="4" w:space="0" w:color="000000"/>
            </w:tcBorders>
          </w:tcPr>
          <w:p w14:paraId="68527CA9" w14:textId="77777777" w:rsidR="00874EF0" w:rsidRPr="00B14963" w:rsidRDefault="00874EF0" w:rsidP="008C6991">
            <w:pPr>
              <w:pStyle w:val="TextTi10"/>
              <w:keepNext/>
              <w:keepLines/>
              <w:snapToGrid w:val="0"/>
              <w:jc w:val="center"/>
              <w:outlineLvl w:val="0"/>
              <w:rPr>
                <w:i/>
                <w:sz w:val="22"/>
                <w:szCs w:val="22"/>
              </w:rPr>
            </w:pPr>
            <w:r w:rsidRPr="00B14963">
              <w:rPr>
                <w:i/>
                <w:sz w:val="22"/>
                <w:szCs w:val="22"/>
              </w:rPr>
              <w:t>36%</w:t>
            </w:r>
          </w:p>
        </w:tc>
      </w:tr>
      <w:tr w:rsidR="00874EF0" w:rsidRPr="00B14963" w14:paraId="73A3D149" w14:textId="77777777" w:rsidTr="00555704">
        <w:trPr>
          <w:trHeight w:val="339"/>
        </w:trPr>
        <w:tc>
          <w:tcPr>
            <w:tcW w:w="3261" w:type="dxa"/>
            <w:tcBorders>
              <w:top w:val="single" w:sz="4" w:space="0" w:color="000000"/>
              <w:left w:val="single" w:sz="4" w:space="0" w:color="000000"/>
            </w:tcBorders>
          </w:tcPr>
          <w:p w14:paraId="7769E804" w14:textId="77777777" w:rsidR="00874EF0" w:rsidRPr="00B14963" w:rsidRDefault="00874EF0" w:rsidP="008C6991">
            <w:pPr>
              <w:pStyle w:val="TextTi10"/>
              <w:snapToGrid w:val="0"/>
              <w:outlineLvl w:val="0"/>
              <w:rPr>
                <w:i/>
                <w:sz w:val="22"/>
                <w:szCs w:val="22"/>
              </w:rPr>
            </w:pPr>
            <w:r w:rsidRPr="00B14963">
              <w:rPr>
                <w:i/>
                <w:sz w:val="22"/>
                <w:szCs w:val="22"/>
              </w:rPr>
              <w:t>Stopa odgovora (CR, nPR, ili PR)</w:t>
            </w:r>
          </w:p>
        </w:tc>
        <w:tc>
          <w:tcPr>
            <w:tcW w:w="1412" w:type="dxa"/>
            <w:tcBorders>
              <w:top w:val="single" w:sz="4" w:space="0" w:color="000000"/>
              <w:left w:val="single" w:sz="4" w:space="0" w:color="000000"/>
            </w:tcBorders>
          </w:tcPr>
          <w:p w14:paraId="34F6C8EE" w14:textId="77777777" w:rsidR="00874EF0" w:rsidRPr="00B14963" w:rsidRDefault="00874EF0" w:rsidP="008C6991">
            <w:pPr>
              <w:pStyle w:val="TextTi10"/>
              <w:snapToGrid w:val="0"/>
              <w:jc w:val="center"/>
              <w:outlineLvl w:val="0"/>
              <w:rPr>
                <w:i/>
                <w:sz w:val="22"/>
                <w:szCs w:val="22"/>
              </w:rPr>
            </w:pPr>
            <w:r w:rsidRPr="00B14963">
              <w:rPr>
                <w:i/>
                <w:sz w:val="22"/>
                <w:szCs w:val="22"/>
              </w:rPr>
              <w:t>58,0%</w:t>
            </w:r>
          </w:p>
        </w:tc>
        <w:tc>
          <w:tcPr>
            <w:tcW w:w="1276" w:type="dxa"/>
            <w:tcBorders>
              <w:top w:val="single" w:sz="4" w:space="0" w:color="000000"/>
              <w:left w:val="single" w:sz="4" w:space="0" w:color="000000"/>
            </w:tcBorders>
          </w:tcPr>
          <w:p w14:paraId="7A872674" w14:textId="77777777" w:rsidR="00874EF0" w:rsidRPr="00B14963" w:rsidRDefault="00874EF0" w:rsidP="008C6991">
            <w:pPr>
              <w:pStyle w:val="TextTi10"/>
              <w:snapToGrid w:val="0"/>
              <w:jc w:val="center"/>
              <w:outlineLvl w:val="0"/>
              <w:rPr>
                <w:i/>
                <w:sz w:val="22"/>
                <w:szCs w:val="22"/>
              </w:rPr>
            </w:pPr>
            <w:r w:rsidRPr="00B14963">
              <w:rPr>
                <w:i/>
                <w:sz w:val="22"/>
                <w:szCs w:val="22"/>
              </w:rPr>
              <w:t>69,9%</w:t>
            </w:r>
          </w:p>
        </w:tc>
        <w:tc>
          <w:tcPr>
            <w:tcW w:w="1559" w:type="dxa"/>
            <w:tcBorders>
              <w:top w:val="single" w:sz="4" w:space="0" w:color="000000"/>
              <w:left w:val="single" w:sz="4" w:space="0" w:color="000000"/>
            </w:tcBorders>
          </w:tcPr>
          <w:p w14:paraId="2DDB21BC" w14:textId="77777777" w:rsidR="00874EF0" w:rsidRPr="00B14963" w:rsidRDefault="00874EF0" w:rsidP="008C6991">
            <w:pPr>
              <w:pStyle w:val="TextTi10"/>
              <w:snapToGrid w:val="0"/>
              <w:jc w:val="center"/>
              <w:outlineLvl w:val="0"/>
              <w:rPr>
                <w:i/>
                <w:sz w:val="22"/>
                <w:szCs w:val="22"/>
              </w:rPr>
            </w:pPr>
            <w:r w:rsidRPr="00B14963">
              <w:rPr>
                <w:i/>
                <w:sz w:val="22"/>
                <w:szCs w:val="22"/>
              </w:rPr>
              <w:t>0,0034</w:t>
            </w:r>
          </w:p>
        </w:tc>
        <w:tc>
          <w:tcPr>
            <w:tcW w:w="1342" w:type="dxa"/>
            <w:tcBorders>
              <w:top w:val="single" w:sz="4" w:space="0" w:color="000000"/>
              <w:left w:val="single" w:sz="4" w:space="0" w:color="000000"/>
              <w:right w:val="single" w:sz="4" w:space="0" w:color="000000"/>
            </w:tcBorders>
          </w:tcPr>
          <w:p w14:paraId="4AA9EADC" w14:textId="77777777" w:rsidR="00874EF0" w:rsidRPr="00B14963" w:rsidRDefault="00874EF0" w:rsidP="008C6991">
            <w:pPr>
              <w:pStyle w:val="TextTi10"/>
              <w:snapToGrid w:val="0"/>
              <w:jc w:val="center"/>
              <w:outlineLvl w:val="0"/>
              <w:rPr>
                <w:i/>
                <w:sz w:val="22"/>
                <w:szCs w:val="22"/>
              </w:rPr>
            </w:pPr>
            <w:r w:rsidRPr="00B14963">
              <w:rPr>
                <w:i/>
                <w:sz w:val="22"/>
                <w:szCs w:val="22"/>
              </w:rPr>
              <w:t>n.a.</w:t>
            </w:r>
          </w:p>
        </w:tc>
      </w:tr>
      <w:tr w:rsidR="00874EF0" w:rsidRPr="00B14963" w14:paraId="277088C4" w14:textId="77777777" w:rsidTr="00555704">
        <w:trPr>
          <w:trHeight w:val="298"/>
        </w:trPr>
        <w:tc>
          <w:tcPr>
            <w:tcW w:w="3261" w:type="dxa"/>
            <w:tcBorders>
              <w:left w:val="single" w:sz="4" w:space="0" w:color="000000"/>
            </w:tcBorders>
          </w:tcPr>
          <w:p w14:paraId="6EA0D5C7" w14:textId="77777777" w:rsidR="00874EF0" w:rsidRPr="00B14963" w:rsidRDefault="00874EF0" w:rsidP="008C6991">
            <w:pPr>
              <w:pStyle w:val="TextTi10"/>
              <w:snapToGrid w:val="0"/>
              <w:outlineLvl w:val="0"/>
              <w:rPr>
                <w:i/>
                <w:sz w:val="22"/>
                <w:szCs w:val="22"/>
              </w:rPr>
            </w:pPr>
            <w:r w:rsidRPr="00B14963">
              <w:rPr>
                <w:i/>
                <w:sz w:val="22"/>
                <w:szCs w:val="22"/>
              </w:rPr>
              <w:t>CR stope</w:t>
            </w:r>
          </w:p>
        </w:tc>
        <w:tc>
          <w:tcPr>
            <w:tcW w:w="1412" w:type="dxa"/>
            <w:tcBorders>
              <w:left w:val="single" w:sz="4" w:space="0" w:color="000000"/>
            </w:tcBorders>
          </w:tcPr>
          <w:p w14:paraId="2B3621AA" w14:textId="77777777" w:rsidR="00874EF0" w:rsidRPr="00B14963" w:rsidRDefault="00874EF0" w:rsidP="008C6991">
            <w:pPr>
              <w:pStyle w:val="TextTi10"/>
              <w:snapToGrid w:val="0"/>
              <w:jc w:val="center"/>
              <w:outlineLvl w:val="0"/>
              <w:rPr>
                <w:i/>
                <w:sz w:val="22"/>
                <w:szCs w:val="22"/>
              </w:rPr>
            </w:pPr>
            <w:r w:rsidRPr="00B14963">
              <w:rPr>
                <w:i/>
                <w:sz w:val="22"/>
                <w:szCs w:val="22"/>
              </w:rPr>
              <w:t>13,0%</w:t>
            </w:r>
          </w:p>
        </w:tc>
        <w:tc>
          <w:tcPr>
            <w:tcW w:w="1276" w:type="dxa"/>
            <w:tcBorders>
              <w:left w:val="single" w:sz="4" w:space="0" w:color="000000"/>
            </w:tcBorders>
          </w:tcPr>
          <w:p w14:paraId="56B63FA9" w14:textId="77777777" w:rsidR="00874EF0" w:rsidRPr="00B14963" w:rsidRDefault="00874EF0" w:rsidP="008C6991">
            <w:pPr>
              <w:pStyle w:val="TextTi10"/>
              <w:snapToGrid w:val="0"/>
              <w:jc w:val="center"/>
              <w:outlineLvl w:val="0"/>
              <w:rPr>
                <w:i/>
                <w:sz w:val="22"/>
                <w:szCs w:val="22"/>
              </w:rPr>
            </w:pPr>
            <w:r w:rsidRPr="00B14963">
              <w:rPr>
                <w:i/>
                <w:sz w:val="22"/>
                <w:szCs w:val="22"/>
              </w:rPr>
              <w:t>24,3%</w:t>
            </w:r>
          </w:p>
        </w:tc>
        <w:tc>
          <w:tcPr>
            <w:tcW w:w="1559" w:type="dxa"/>
            <w:tcBorders>
              <w:left w:val="single" w:sz="4" w:space="0" w:color="000000"/>
            </w:tcBorders>
          </w:tcPr>
          <w:p w14:paraId="28B52C7C" w14:textId="77777777" w:rsidR="00874EF0" w:rsidRPr="00B14963" w:rsidRDefault="00874EF0" w:rsidP="008C6991">
            <w:pPr>
              <w:pStyle w:val="TextTi10"/>
              <w:snapToGrid w:val="0"/>
              <w:jc w:val="center"/>
              <w:outlineLvl w:val="0"/>
              <w:rPr>
                <w:i/>
                <w:sz w:val="22"/>
                <w:szCs w:val="22"/>
              </w:rPr>
            </w:pPr>
            <w:r w:rsidRPr="00B14963">
              <w:rPr>
                <w:i/>
                <w:sz w:val="22"/>
                <w:szCs w:val="22"/>
              </w:rPr>
              <w:t>0,0007</w:t>
            </w:r>
          </w:p>
        </w:tc>
        <w:tc>
          <w:tcPr>
            <w:tcW w:w="1342" w:type="dxa"/>
            <w:tcBorders>
              <w:left w:val="single" w:sz="4" w:space="0" w:color="000000"/>
              <w:right w:val="single" w:sz="4" w:space="0" w:color="000000"/>
            </w:tcBorders>
          </w:tcPr>
          <w:p w14:paraId="49784EB6" w14:textId="77777777" w:rsidR="00874EF0" w:rsidRPr="00B14963" w:rsidRDefault="00874EF0" w:rsidP="008C6991">
            <w:pPr>
              <w:pStyle w:val="TextTi10"/>
              <w:snapToGrid w:val="0"/>
              <w:jc w:val="center"/>
              <w:outlineLvl w:val="0"/>
              <w:rPr>
                <w:i/>
                <w:sz w:val="22"/>
                <w:szCs w:val="22"/>
              </w:rPr>
            </w:pPr>
            <w:r w:rsidRPr="00B14963">
              <w:rPr>
                <w:i/>
                <w:sz w:val="22"/>
                <w:szCs w:val="22"/>
              </w:rPr>
              <w:t>n.a.</w:t>
            </w:r>
          </w:p>
        </w:tc>
      </w:tr>
      <w:tr w:rsidR="00874EF0" w:rsidRPr="00B14963" w14:paraId="174703F1" w14:textId="77777777" w:rsidTr="00555704">
        <w:trPr>
          <w:trHeight w:val="263"/>
        </w:trPr>
        <w:tc>
          <w:tcPr>
            <w:tcW w:w="3261" w:type="dxa"/>
            <w:tcBorders>
              <w:left w:val="single" w:sz="4" w:space="0" w:color="000000"/>
            </w:tcBorders>
          </w:tcPr>
          <w:p w14:paraId="233B8938" w14:textId="77777777" w:rsidR="00874EF0" w:rsidRPr="00B14963" w:rsidRDefault="00874EF0" w:rsidP="008C6991">
            <w:pPr>
              <w:pStyle w:val="TextTi10"/>
              <w:snapToGrid w:val="0"/>
              <w:outlineLvl w:val="0"/>
              <w:rPr>
                <w:i/>
                <w:sz w:val="22"/>
                <w:szCs w:val="22"/>
              </w:rPr>
            </w:pPr>
            <w:r w:rsidRPr="00B14963">
              <w:rPr>
                <w:i/>
                <w:sz w:val="22"/>
                <w:szCs w:val="22"/>
              </w:rPr>
              <w:t>Trajanje odgovora*</w:t>
            </w:r>
          </w:p>
        </w:tc>
        <w:tc>
          <w:tcPr>
            <w:tcW w:w="1412" w:type="dxa"/>
            <w:tcBorders>
              <w:left w:val="single" w:sz="4" w:space="0" w:color="000000"/>
            </w:tcBorders>
          </w:tcPr>
          <w:p w14:paraId="3E0BDDCB" w14:textId="77777777" w:rsidR="00874EF0" w:rsidRPr="00B14963" w:rsidRDefault="00874EF0" w:rsidP="008C6991">
            <w:pPr>
              <w:pStyle w:val="TextTi10"/>
              <w:snapToGrid w:val="0"/>
              <w:jc w:val="center"/>
              <w:outlineLvl w:val="0"/>
              <w:rPr>
                <w:i/>
                <w:sz w:val="22"/>
                <w:szCs w:val="22"/>
              </w:rPr>
            </w:pPr>
            <w:r w:rsidRPr="00B14963">
              <w:rPr>
                <w:i/>
                <w:sz w:val="22"/>
                <w:szCs w:val="22"/>
              </w:rPr>
              <w:t>27,6</w:t>
            </w:r>
          </w:p>
        </w:tc>
        <w:tc>
          <w:tcPr>
            <w:tcW w:w="1276" w:type="dxa"/>
            <w:tcBorders>
              <w:left w:val="single" w:sz="4" w:space="0" w:color="000000"/>
            </w:tcBorders>
          </w:tcPr>
          <w:p w14:paraId="68489447" w14:textId="77777777" w:rsidR="00874EF0" w:rsidRPr="00B14963" w:rsidRDefault="00874EF0" w:rsidP="008C6991">
            <w:pPr>
              <w:pStyle w:val="TextTi10"/>
              <w:snapToGrid w:val="0"/>
              <w:jc w:val="center"/>
              <w:outlineLvl w:val="0"/>
              <w:rPr>
                <w:i/>
                <w:sz w:val="22"/>
                <w:szCs w:val="22"/>
              </w:rPr>
            </w:pPr>
            <w:r w:rsidRPr="00B14963">
              <w:rPr>
                <w:i/>
                <w:sz w:val="22"/>
                <w:szCs w:val="22"/>
              </w:rPr>
              <w:t>39,6</w:t>
            </w:r>
          </w:p>
        </w:tc>
        <w:tc>
          <w:tcPr>
            <w:tcW w:w="1559" w:type="dxa"/>
            <w:tcBorders>
              <w:left w:val="single" w:sz="4" w:space="0" w:color="000000"/>
            </w:tcBorders>
          </w:tcPr>
          <w:p w14:paraId="436D5856" w14:textId="77777777" w:rsidR="00874EF0" w:rsidRPr="00B14963" w:rsidRDefault="00874EF0" w:rsidP="008C6991">
            <w:pPr>
              <w:pStyle w:val="TextTi10"/>
              <w:snapToGrid w:val="0"/>
              <w:jc w:val="center"/>
              <w:outlineLvl w:val="0"/>
              <w:rPr>
                <w:i/>
                <w:sz w:val="22"/>
                <w:szCs w:val="22"/>
              </w:rPr>
            </w:pPr>
            <w:r w:rsidRPr="00B14963">
              <w:rPr>
                <w:i/>
                <w:sz w:val="22"/>
                <w:szCs w:val="22"/>
              </w:rPr>
              <w:t>0,0252</w:t>
            </w:r>
          </w:p>
        </w:tc>
        <w:tc>
          <w:tcPr>
            <w:tcW w:w="1342" w:type="dxa"/>
            <w:tcBorders>
              <w:left w:val="single" w:sz="4" w:space="0" w:color="000000"/>
              <w:right w:val="single" w:sz="4" w:space="0" w:color="000000"/>
            </w:tcBorders>
          </w:tcPr>
          <w:p w14:paraId="54E2AE56" w14:textId="77777777" w:rsidR="00874EF0" w:rsidRPr="00B14963" w:rsidRDefault="00874EF0" w:rsidP="008C6991">
            <w:pPr>
              <w:pStyle w:val="TextTi10"/>
              <w:snapToGrid w:val="0"/>
              <w:jc w:val="center"/>
              <w:outlineLvl w:val="0"/>
              <w:rPr>
                <w:i/>
                <w:sz w:val="22"/>
                <w:szCs w:val="22"/>
              </w:rPr>
            </w:pPr>
            <w:r w:rsidRPr="00B14963">
              <w:rPr>
                <w:i/>
                <w:sz w:val="22"/>
                <w:szCs w:val="22"/>
              </w:rPr>
              <w:t>31%</w:t>
            </w:r>
          </w:p>
        </w:tc>
      </w:tr>
      <w:tr w:rsidR="00874EF0" w:rsidRPr="00B14963" w14:paraId="4A67B80D" w14:textId="77777777" w:rsidTr="00555704">
        <w:trPr>
          <w:trHeight w:val="263"/>
        </w:trPr>
        <w:tc>
          <w:tcPr>
            <w:tcW w:w="3261" w:type="dxa"/>
            <w:tcBorders>
              <w:left w:val="single" w:sz="4" w:space="0" w:color="000000"/>
            </w:tcBorders>
          </w:tcPr>
          <w:p w14:paraId="1A6F0134" w14:textId="77777777" w:rsidR="00874EF0" w:rsidRPr="00B14963" w:rsidRDefault="00874EF0" w:rsidP="008C6991">
            <w:pPr>
              <w:pStyle w:val="TextTi10"/>
              <w:snapToGrid w:val="0"/>
              <w:outlineLvl w:val="0"/>
              <w:rPr>
                <w:i/>
                <w:sz w:val="22"/>
                <w:szCs w:val="22"/>
              </w:rPr>
            </w:pPr>
            <w:r w:rsidRPr="00B14963">
              <w:rPr>
                <w:i/>
                <w:sz w:val="22"/>
                <w:szCs w:val="22"/>
              </w:rPr>
              <w:t>Preživljavanje bez bolesti (DFS)**</w:t>
            </w:r>
          </w:p>
        </w:tc>
        <w:tc>
          <w:tcPr>
            <w:tcW w:w="1412" w:type="dxa"/>
            <w:tcBorders>
              <w:left w:val="single" w:sz="4" w:space="0" w:color="000000"/>
            </w:tcBorders>
          </w:tcPr>
          <w:p w14:paraId="2F8DFAC3" w14:textId="77777777" w:rsidR="00874EF0" w:rsidRPr="00B14963" w:rsidRDefault="00874EF0" w:rsidP="008C6991">
            <w:pPr>
              <w:pStyle w:val="TextTi10"/>
              <w:snapToGrid w:val="0"/>
              <w:jc w:val="center"/>
              <w:outlineLvl w:val="0"/>
              <w:rPr>
                <w:i/>
                <w:sz w:val="22"/>
                <w:szCs w:val="22"/>
              </w:rPr>
            </w:pPr>
            <w:r w:rsidRPr="00B14963">
              <w:rPr>
                <w:i/>
                <w:sz w:val="22"/>
                <w:szCs w:val="22"/>
              </w:rPr>
              <w:t>42,2</w:t>
            </w:r>
          </w:p>
        </w:tc>
        <w:tc>
          <w:tcPr>
            <w:tcW w:w="1276" w:type="dxa"/>
            <w:tcBorders>
              <w:left w:val="single" w:sz="4" w:space="0" w:color="000000"/>
            </w:tcBorders>
          </w:tcPr>
          <w:p w14:paraId="74D9E0A1" w14:textId="77777777" w:rsidR="00874EF0" w:rsidRPr="00B14963" w:rsidRDefault="00874EF0" w:rsidP="008C6991">
            <w:pPr>
              <w:pStyle w:val="TextTi10"/>
              <w:snapToGrid w:val="0"/>
              <w:jc w:val="center"/>
              <w:outlineLvl w:val="0"/>
              <w:rPr>
                <w:i/>
                <w:sz w:val="22"/>
                <w:szCs w:val="22"/>
              </w:rPr>
            </w:pPr>
            <w:r w:rsidRPr="00B14963">
              <w:rPr>
                <w:i/>
                <w:sz w:val="22"/>
                <w:szCs w:val="22"/>
              </w:rPr>
              <w:t>39,6</w:t>
            </w:r>
          </w:p>
        </w:tc>
        <w:tc>
          <w:tcPr>
            <w:tcW w:w="1559" w:type="dxa"/>
            <w:tcBorders>
              <w:left w:val="single" w:sz="4" w:space="0" w:color="000000"/>
            </w:tcBorders>
          </w:tcPr>
          <w:p w14:paraId="658B7FDD" w14:textId="77777777" w:rsidR="00874EF0" w:rsidRPr="00B14963" w:rsidRDefault="00874EF0" w:rsidP="008C6991">
            <w:pPr>
              <w:pStyle w:val="TextTi10"/>
              <w:snapToGrid w:val="0"/>
              <w:jc w:val="center"/>
              <w:outlineLvl w:val="0"/>
              <w:rPr>
                <w:i/>
                <w:sz w:val="22"/>
                <w:szCs w:val="22"/>
              </w:rPr>
            </w:pPr>
            <w:r w:rsidRPr="00B14963">
              <w:rPr>
                <w:i/>
                <w:sz w:val="22"/>
                <w:szCs w:val="22"/>
              </w:rPr>
              <w:t>0,8842</w:t>
            </w:r>
          </w:p>
        </w:tc>
        <w:tc>
          <w:tcPr>
            <w:tcW w:w="1342" w:type="dxa"/>
            <w:tcBorders>
              <w:left w:val="single" w:sz="4" w:space="0" w:color="000000"/>
              <w:right w:val="single" w:sz="4" w:space="0" w:color="000000"/>
            </w:tcBorders>
          </w:tcPr>
          <w:p w14:paraId="33B53965" w14:textId="77777777" w:rsidR="00874EF0" w:rsidRPr="00B14963" w:rsidRDefault="00874EF0" w:rsidP="008C6991">
            <w:pPr>
              <w:pStyle w:val="TextTi10"/>
              <w:snapToGrid w:val="0"/>
              <w:jc w:val="center"/>
              <w:outlineLvl w:val="0"/>
              <w:rPr>
                <w:i/>
                <w:sz w:val="22"/>
                <w:szCs w:val="22"/>
              </w:rPr>
            </w:pPr>
            <w:r w:rsidRPr="00B14963">
              <w:rPr>
                <w:color w:val="000000"/>
                <w:szCs w:val="22"/>
              </w:rPr>
              <w:noBreakHyphen/>
            </w:r>
            <w:r w:rsidRPr="00B14963">
              <w:rPr>
                <w:i/>
                <w:sz w:val="22"/>
                <w:szCs w:val="22"/>
              </w:rPr>
              <w:t>6%</w:t>
            </w:r>
          </w:p>
        </w:tc>
      </w:tr>
      <w:tr w:rsidR="00874EF0" w:rsidRPr="00B14963" w14:paraId="1FE72BF8" w14:textId="77777777" w:rsidTr="00555704">
        <w:trPr>
          <w:trHeight w:val="323"/>
        </w:trPr>
        <w:tc>
          <w:tcPr>
            <w:tcW w:w="3261" w:type="dxa"/>
            <w:tcBorders>
              <w:left w:val="single" w:sz="4" w:space="0" w:color="000000"/>
              <w:bottom w:val="single" w:sz="4" w:space="0" w:color="000000"/>
            </w:tcBorders>
          </w:tcPr>
          <w:p w14:paraId="080C94D5" w14:textId="77777777" w:rsidR="00874EF0" w:rsidRPr="00B14963" w:rsidRDefault="00874EF0" w:rsidP="008C6991">
            <w:pPr>
              <w:pStyle w:val="TextTi10"/>
              <w:keepNext/>
              <w:snapToGrid w:val="0"/>
              <w:outlineLvl w:val="0"/>
              <w:rPr>
                <w:i/>
                <w:sz w:val="22"/>
                <w:szCs w:val="22"/>
              </w:rPr>
            </w:pPr>
            <w:r w:rsidRPr="00B14963">
              <w:rPr>
                <w:i/>
                <w:sz w:val="22"/>
                <w:szCs w:val="22"/>
              </w:rPr>
              <w:t>Vrijeme do nove terapije</w:t>
            </w:r>
          </w:p>
        </w:tc>
        <w:tc>
          <w:tcPr>
            <w:tcW w:w="1412" w:type="dxa"/>
            <w:tcBorders>
              <w:left w:val="single" w:sz="4" w:space="0" w:color="000000"/>
              <w:bottom w:val="single" w:sz="4" w:space="0" w:color="000000"/>
            </w:tcBorders>
          </w:tcPr>
          <w:p w14:paraId="65B65524" w14:textId="77777777" w:rsidR="00874EF0" w:rsidRPr="00B14963" w:rsidRDefault="00874EF0" w:rsidP="008C6991">
            <w:pPr>
              <w:pStyle w:val="TextTi10"/>
              <w:keepNext/>
              <w:snapToGrid w:val="0"/>
              <w:jc w:val="center"/>
              <w:outlineLvl w:val="0"/>
              <w:rPr>
                <w:i/>
                <w:sz w:val="22"/>
                <w:szCs w:val="22"/>
              </w:rPr>
            </w:pPr>
            <w:r w:rsidRPr="00B14963">
              <w:rPr>
                <w:i/>
                <w:sz w:val="22"/>
                <w:szCs w:val="22"/>
              </w:rPr>
              <w:t>34,2</w:t>
            </w:r>
          </w:p>
        </w:tc>
        <w:tc>
          <w:tcPr>
            <w:tcW w:w="1276" w:type="dxa"/>
            <w:tcBorders>
              <w:left w:val="single" w:sz="4" w:space="0" w:color="000000"/>
              <w:bottom w:val="single" w:sz="4" w:space="0" w:color="000000"/>
            </w:tcBorders>
          </w:tcPr>
          <w:p w14:paraId="1EED34E6" w14:textId="77777777" w:rsidR="00874EF0" w:rsidRPr="00B14963" w:rsidRDefault="00874EF0" w:rsidP="008C6991">
            <w:pPr>
              <w:pStyle w:val="TextTi10"/>
              <w:keepNext/>
              <w:snapToGrid w:val="0"/>
              <w:jc w:val="center"/>
              <w:outlineLvl w:val="0"/>
              <w:rPr>
                <w:i/>
                <w:sz w:val="22"/>
                <w:szCs w:val="22"/>
              </w:rPr>
            </w:pPr>
            <w:r w:rsidRPr="00B14963">
              <w:rPr>
                <w:i/>
                <w:sz w:val="22"/>
                <w:szCs w:val="22"/>
              </w:rPr>
              <w:t>NR</w:t>
            </w:r>
          </w:p>
        </w:tc>
        <w:tc>
          <w:tcPr>
            <w:tcW w:w="1559" w:type="dxa"/>
            <w:tcBorders>
              <w:left w:val="single" w:sz="4" w:space="0" w:color="000000"/>
              <w:bottom w:val="single" w:sz="4" w:space="0" w:color="000000"/>
            </w:tcBorders>
          </w:tcPr>
          <w:p w14:paraId="0D1327D6" w14:textId="77777777" w:rsidR="00874EF0" w:rsidRPr="00B14963" w:rsidRDefault="00874EF0" w:rsidP="008C6991">
            <w:pPr>
              <w:pStyle w:val="TextTi10"/>
              <w:keepNext/>
              <w:snapToGrid w:val="0"/>
              <w:jc w:val="center"/>
              <w:outlineLvl w:val="0"/>
              <w:rPr>
                <w:i/>
                <w:sz w:val="22"/>
                <w:szCs w:val="22"/>
              </w:rPr>
            </w:pPr>
            <w:r w:rsidRPr="00B14963">
              <w:rPr>
                <w:i/>
                <w:sz w:val="22"/>
                <w:szCs w:val="22"/>
              </w:rPr>
              <w:t>0,0024</w:t>
            </w:r>
          </w:p>
        </w:tc>
        <w:tc>
          <w:tcPr>
            <w:tcW w:w="1342" w:type="dxa"/>
            <w:tcBorders>
              <w:left w:val="single" w:sz="4" w:space="0" w:color="000000"/>
              <w:bottom w:val="single" w:sz="4" w:space="0" w:color="000000"/>
              <w:right w:val="single" w:sz="4" w:space="0" w:color="000000"/>
            </w:tcBorders>
          </w:tcPr>
          <w:p w14:paraId="32EBECC6" w14:textId="77777777" w:rsidR="00874EF0" w:rsidRPr="00B14963" w:rsidRDefault="00874EF0" w:rsidP="008C6991">
            <w:pPr>
              <w:pStyle w:val="TextTi10"/>
              <w:keepNext/>
              <w:snapToGrid w:val="0"/>
              <w:jc w:val="center"/>
              <w:outlineLvl w:val="0"/>
              <w:rPr>
                <w:i/>
                <w:sz w:val="22"/>
                <w:szCs w:val="22"/>
              </w:rPr>
            </w:pPr>
            <w:r w:rsidRPr="00B14963">
              <w:rPr>
                <w:i/>
                <w:sz w:val="22"/>
                <w:szCs w:val="22"/>
              </w:rPr>
              <w:t>35%</w:t>
            </w:r>
          </w:p>
        </w:tc>
      </w:tr>
    </w:tbl>
    <w:p w14:paraId="028E79E0" w14:textId="77777777" w:rsidR="00874EF0" w:rsidRPr="00B14963" w:rsidRDefault="00874EF0" w:rsidP="00874EF0">
      <w:pPr>
        <w:keepNext/>
        <w:jc w:val="both"/>
        <w:outlineLvl w:val="0"/>
        <w:rPr>
          <w:i/>
          <w:sz w:val="18"/>
          <w:szCs w:val="18"/>
        </w:rPr>
      </w:pPr>
      <w:r w:rsidRPr="00B14963">
        <w:rPr>
          <w:i/>
          <w:sz w:val="18"/>
          <w:szCs w:val="18"/>
        </w:rPr>
        <w:t>Stopa odgovora i CR stope analizirani su pomoću hi-kvadrat testa.</w:t>
      </w:r>
    </w:p>
    <w:p w14:paraId="2EE6435E" w14:textId="77777777" w:rsidR="00874EF0" w:rsidRPr="00B14963" w:rsidRDefault="00874EF0" w:rsidP="00874EF0">
      <w:pPr>
        <w:keepNext/>
        <w:jc w:val="both"/>
        <w:outlineLvl w:val="0"/>
        <w:rPr>
          <w:sz w:val="18"/>
          <w:szCs w:val="18"/>
        </w:rPr>
      </w:pPr>
      <w:r w:rsidRPr="00B14963">
        <w:rPr>
          <w:i/>
          <w:sz w:val="18"/>
          <w:szCs w:val="18"/>
        </w:rPr>
        <w:t>*</w:t>
      </w:r>
      <w:r w:rsidRPr="00B14963">
        <w:rPr>
          <w:sz w:val="18"/>
          <w:szCs w:val="18"/>
        </w:rPr>
        <w:t>: primjenjivo samo za pacijente koji su postigli CR, nPR ili PR; NR: nije dostignuto; n.a.: nije primjenjivo</w:t>
      </w:r>
    </w:p>
    <w:p w14:paraId="52B34172" w14:textId="77777777" w:rsidR="00874EF0" w:rsidRPr="00B14963" w:rsidRDefault="00874EF0" w:rsidP="00874EF0">
      <w:pPr>
        <w:jc w:val="both"/>
        <w:outlineLvl w:val="0"/>
        <w:rPr>
          <w:sz w:val="18"/>
          <w:szCs w:val="18"/>
        </w:rPr>
      </w:pPr>
      <w:r w:rsidRPr="00B14963">
        <w:rPr>
          <w:i/>
          <w:sz w:val="18"/>
          <w:szCs w:val="18"/>
        </w:rPr>
        <w:t>**</w:t>
      </w:r>
      <w:r w:rsidRPr="00B14963">
        <w:rPr>
          <w:sz w:val="18"/>
          <w:szCs w:val="18"/>
        </w:rPr>
        <w:t>:</w:t>
      </w:r>
      <w:r w:rsidRPr="00B14963">
        <w:rPr>
          <w:i/>
          <w:sz w:val="18"/>
          <w:szCs w:val="18"/>
        </w:rPr>
        <w:t xml:space="preserve"> </w:t>
      </w:r>
      <w:r w:rsidRPr="00B14963">
        <w:rPr>
          <w:sz w:val="18"/>
          <w:szCs w:val="18"/>
        </w:rPr>
        <w:t>primjenjivo samo za pacijente koji su postigli CR</w:t>
      </w:r>
    </w:p>
    <w:p w14:paraId="41E28A28" w14:textId="77777777" w:rsidR="00874EF0" w:rsidRPr="00B14963" w:rsidRDefault="00874EF0" w:rsidP="00874EF0">
      <w:pPr>
        <w:jc w:val="both"/>
        <w:rPr>
          <w:b/>
          <w:sz w:val="22"/>
          <w:szCs w:val="22"/>
        </w:rPr>
      </w:pPr>
    </w:p>
    <w:p w14:paraId="2ADAEEE8" w14:textId="77777777" w:rsidR="00874EF0" w:rsidRPr="00B14963" w:rsidRDefault="00874EF0" w:rsidP="00874EF0">
      <w:pPr>
        <w:jc w:val="both"/>
        <w:outlineLvl w:val="0"/>
        <w:rPr>
          <w:sz w:val="22"/>
          <w:szCs w:val="22"/>
        </w:rPr>
      </w:pPr>
      <w:r w:rsidRPr="00B14963">
        <w:rPr>
          <w:sz w:val="22"/>
          <w:szCs w:val="22"/>
        </w:rPr>
        <w:t>Rezultati iz drugih studija primjene lijeka MabThera u kombinaciji sa drugim hemioterapijskim režimima (uključujući CHOP, FCM, PC, PCM, bendamustin i kladribin) u liječenju prethodno neliječenih pacijenata i/ili pacijenata sa relapsirajućim/refraktornim HLL</w:t>
      </w:r>
      <w:r w:rsidRPr="00B14963">
        <w:rPr>
          <w:sz w:val="22"/>
          <w:szCs w:val="22"/>
        </w:rPr>
        <w:noBreakHyphen/>
        <w:t>om</w:t>
      </w:r>
      <w:r w:rsidRPr="00B14963" w:rsidDel="0068232A">
        <w:rPr>
          <w:sz w:val="22"/>
          <w:szCs w:val="22"/>
        </w:rPr>
        <w:t xml:space="preserve"> </w:t>
      </w:r>
      <w:r w:rsidRPr="00B14963">
        <w:rPr>
          <w:sz w:val="22"/>
          <w:szCs w:val="22"/>
        </w:rPr>
        <w:t>takođe su pokazali visoku stopu ukupnog odgovora i korist liječenja u smislu PFS stopa, iako s nešto višom toksičnošću (posebno mijelotoksičnošću). Ova ispitivanja podupiru primjenu lijeka MabThera sa bilo kojom hemioterapijom.</w:t>
      </w:r>
    </w:p>
    <w:p w14:paraId="2C0C13F9" w14:textId="77777777" w:rsidR="00874EF0" w:rsidRPr="00B14963" w:rsidRDefault="00874EF0" w:rsidP="00874EF0">
      <w:pPr>
        <w:jc w:val="both"/>
        <w:outlineLvl w:val="0"/>
        <w:rPr>
          <w:sz w:val="22"/>
          <w:szCs w:val="22"/>
        </w:rPr>
      </w:pPr>
      <w:r w:rsidRPr="00B14963">
        <w:rPr>
          <w:sz w:val="22"/>
          <w:szCs w:val="22"/>
        </w:rPr>
        <w:t>Podaci o približno 180 pacijenata prethodno liječenih lijekom MabThera pokazali su kliničku korist liječenja (uključujući CR) i podupiru ponovno liječenje lijekom MabThera.</w:t>
      </w:r>
    </w:p>
    <w:p w14:paraId="6666FB31" w14:textId="77777777" w:rsidR="00874EF0" w:rsidRPr="00B14963" w:rsidRDefault="00874EF0" w:rsidP="00874EF0">
      <w:pPr>
        <w:jc w:val="both"/>
        <w:outlineLvl w:val="0"/>
        <w:rPr>
          <w:sz w:val="22"/>
          <w:szCs w:val="22"/>
        </w:rPr>
      </w:pPr>
    </w:p>
    <w:p w14:paraId="17BF686F" w14:textId="77777777" w:rsidR="00874EF0" w:rsidRPr="00B14963" w:rsidRDefault="00874EF0" w:rsidP="00874EF0">
      <w:pPr>
        <w:keepNext/>
        <w:jc w:val="both"/>
        <w:outlineLvl w:val="0"/>
        <w:rPr>
          <w:sz w:val="22"/>
          <w:szCs w:val="22"/>
          <w:u w:val="single"/>
        </w:rPr>
      </w:pPr>
      <w:r w:rsidRPr="00B14963">
        <w:rPr>
          <w:sz w:val="22"/>
          <w:szCs w:val="22"/>
          <w:u w:val="single"/>
        </w:rPr>
        <w:t>Pedijatrijska populacija</w:t>
      </w:r>
    </w:p>
    <w:p w14:paraId="251637CD" w14:textId="77777777" w:rsidR="009D3F5D" w:rsidRPr="00B14963" w:rsidRDefault="009D3F5D" w:rsidP="00874EF0">
      <w:pPr>
        <w:keepNext/>
        <w:jc w:val="both"/>
        <w:outlineLvl w:val="0"/>
        <w:rPr>
          <w:sz w:val="22"/>
          <w:szCs w:val="22"/>
          <w:u w:val="single"/>
        </w:rPr>
      </w:pPr>
    </w:p>
    <w:p w14:paraId="60678644" w14:textId="77777777" w:rsidR="00874EF0" w:rsidRPr="00B14963" w:rsidRDefault="00874EF0" w:rsidP="00874EF0">
      <w:pPr>
        <w:tabs>
          <w:tab w:val="left" w:pos="540"/>
          <w:tab w:val="left" w:pos="569"/>
        </w:tabs>
        <w:jc w:val="both"/>
        <w:rPr>
          <w:sz w:val="22"/>
          <w:szCs w:val="22"/>
        </w:rPr>
      </w:pPr>
      <w:r w:rsidRPr="00B14963">
        <w:rPr>
          <w:sz w:val="22"/>
          <w:szCs w:val="22"/>
        </w:rPr>
        <w:t>Evropska agencija za ljekove izuzela je obavezu podnošenja rezultata ispitivanja rituksimaba u svim podgrupama pedijatrijske populacije s HLL</w:t>
      </w:r>
      <w:r w:rsidRPr="00B14963">
        <w:rPr>
          <w:sz w:val="22"/>
          <w:szCs w:val="22"/>
        </w:rPr>
        <w:noBreakHyphen/>
        <w:t>om. Vidjeti dio 4.2 za informacije o pedijatrijskoj primjeni.</w:t>
      </w:r>
    </w:p>
    <w:p w14:paraId="7E96D3E3" w14:textId="77777777" w:rsidR="00874EF0" w:rsidRPr="00B14963" w:rsidRDefault="00874EF0" w:rsidP="00874EF0">
      <w:pPr>
        <w:tabs>
          <w:tab w:val="left" w:pos="540"/>
          <w:tab w:val="left" w:pos="569"/>
        </w:tabs>
        <w:jc w:val="both"/>
        <w:rPr>
          <w:b/>
          <w:bCs/>
          <w:sz w:val="22"/>
          <w:szCs w:val="22"/>
        </w:rPr>
      </w:pPr>
    </w:p>
    <w:p w14:paraId="7B4BAEF6" w14:textId="77777777" w:rsidR="0072020E" w:rsidRPr="00B14963" w:rsidRDefault="0072020E" w:rsidP="00874EF0">
      <w:pPr>
        <w:tabs>
          <w:tab w:val="left" w:pos="540"/>
          <w:tab w:val="left" w:pos="569"/>
        </w:tabs>
        <w:jc w:val="both"/>
        <w:rPr>
          <w:b/>
          <w:bCs/>
          <w:sz w:val="22"/>
          <w:szCs w:val="22"/>
        </w:rPr>
      </w:pPr>
      <w:r w:rsidRPr="00B14963">
        <w:rPr>
          <w:b/>
          <w:bCs/>
          <w:sz w:val="22"/>
          <w:szCs w:val="22"/>
        </w:rPr>
        <w:t xml:space="preserve">5.2. </w:t>
      </w:r>
      <w:r w:rsidR="00480FB1" w:rsidRPr="00B14963">
        <w:rPr>
          <w:b/>
          <w:bCs/>
          <w:sz w:val="22"/>
          <w:szCs w:val="22"/>
        </w:rPr>
        <w:tab/>
      </w:r>
      <w:r w:rsidRPr="00B14963">
        <w:rPr>
          <w:b/>
          <w:bCs/>
          <w:sz w:val="22"/>
          <w:szCs w:val="22"/>
        </w:rPr>
        <w:t>Farmakokinetički podaci</w:t>
      </w:r>
      <w:r w:rsidR="003A7059" w:rsidRPr="00B14963">
        <w:rPr>
          <w:b/>
          <w:bCs/>
          <w:sz w:val="22"/>
          <w:szCs w:val="22"/>
        </w:rPr>
        <w:t xml:space="preserve"> </w:t>
      </w:r>
    </w:p>
    <w:p w14:paraId="21840B2E" w14:textId="77777777" w:rsidR="0072020E" w:rsidRPr="00B14963" w:rsidRDefault="0072020E" w:rsidP="00874EF0">
      <w:pPr>
        <w:tabs>
          <w:tab w:val="left" w:pos="540"/>
          <w:tab w:val="left" w:pos="569"/>
        </w:tabs>
        <w:jc w:val="both"/>
        <w:rPr>
          <w:bCs/>
          <w:sz w:val="22"/>
          <w:szCs w:val="22"/>
        </w:rPr>
      </w:pPr>
    </w:p>
    <w:p w14:paraId="61ADA845" w14:textId="77777777" w:rsidR="00874EF0" w:rsidRPr="00B14963" w:rsidRDefault="00874EF0" w:rsidP="00874EF0">
      <w:pPr>
        <w:jc w:val="both"/>
        <w:rPr>
          <w:sz w:val="22"/>
          <w:szCs w:val="22"/>
          <w:u w:val="single"/>
        </w:rPr>
      </w:pPr>
      <w:r w:rsidRPr="00B14963">
        <w:rPr>
          <w:sz w:val="22"/>
          <w:szCs w:val="22"/>
          <w:u w:val="single"/>
        </w:rPr>
        <w:t>Resorpcija</w:t>
      </w:r>
    </w:p>
    <w:p w14:paraId="5E1D409F" w14:textId="77777777" w:rsidR="009D3F5D" w:rsidRPr="00B14963" w:rsidRDefault="009D3F5D" w:rsidP="00874EF0">
      <w:pPr>
        <w:jc w:val="both"/>
        <w:rPr>
          <w:sz w:val="22"/>
          <w:szCs w:val="22"/>
          <w:u w:val="single"/>
        </w:rPr>
      </w:pPr>
    </w:p>
    <w:p w14:paraId="234500A2" w14:textId="77777777" w:rsidR="00874EF0" w:rsidRPr="00B14963" w:rsidRDefault="00874EF0" w:rsidP="00874EF0">
      <w:pPr>
        <w:jc w:val="both"/>
        <w:rPr>
          <w:sz w:val="22"/>
          <w:szCs w:val="22"/>
        </w:rPr>
      </w:pPr>
      <w:r w:rsidRPr="00B14963">
        <w:rPr>
          <w:sz w:val="22"/>
          <w:szCs w:val="22"/>
        </w:rPr>
        <w:t xml:space="preserve">Lijek MabThera u fiksnoj dozi od 1600 mg primjenjivao se subkutano tokom 5 ciklusa u 4-nedjeljnim intervalima, nakon prvog ciklusa liječenja formulacijom lijeka MabThera za intravensku primjenu, u </w:t>
      </w:r>
      <w:r w:rsidRPr="00B14963">
        <w:rPr>
          <w:sz w:val="22"/>
          <w:szCs w:val="22"/>
        </w:rPr>
        <w:lastRenderedPageBreak/>
        <w:t>kombinaciji sa hemioterapijom (fludarabin i ciklofosfamid, FC) kod prethodno neliječenih pacijenata sa HLL-om. Serumski C</w:t>
      </w:r>
      <w:r w:rsidRPr="00B14963">
        <w:rPr>
          <w:sz w:val="22"/>
          <w:szCs w:val="22"/>
          <w:vertAlign w:val="subscript"/>
        </w:rPr>
        <w:t>max</w:t>
      </w:r>
      <w:r w:rsidRPr="00B14963">
        <w:rPr>
          <w:sz w:val="22"/>
          <w:szCs w:val="22"/>
        </w:rPr>
        <w:t xml:space="preserve"> lijeka MabThera u 6. ciklusu bio je niži u grupi liječenoj subkutanom formulacijom nego u onoj koja je primala intravensku formulaciju: geometrijske srednje vrijednosti (CV%) iznosile su 202 (36,1) </w:t>
      </w:r>
      <w:r w:rsidRPr="00B14963">
        <w:rPr>
          <w:sz w:val="20"/>
          <w:szCs w:val="22"/>
        </w:rPr>
        <w:sym w:font="Symbol" w:char="F06D"/>
      </w:r>
      <w:r w:rsidRPr="00B14963">
        <w:rPr>
          <w:sz w:val="22"/>
          <w:szCs w:val="22"/>
        </w:rPr>
        <w:t xml:space="preserve">g/ml odnosno 280 (24,6) </w:t>
      </w:r>
      <w:r w:rsidRPr="00B14963">
        <w:rPr>
          <w:sz w:val="20"/>
          <w:szCs w:val="22"/>
        </w:rPr>
        <w:sym w:font="Symbol" w:char="F06D"/>
      </w:r>
      <w:r w:rsidRPr="00B14963">
        <w:rPr>
          <w:sz w:val="22"/>
          <w:szCs w:val="22"/>
        </w:rPr>
        <w:t>g/ml, uz odnos geometrijskih srednjih vrijednosti (C</w:t>
      </w:r>
      <w:r w:rsidRPr="00B14963">
        <w:rPr>
          <w:sz w:val="22"/>
          <w:szCs w:val="22"/>
          <w:vertAlign w:val="subscript"/>
        </w:rPr>
        <w:t>max</w:t>
      </w:r>
      <w:r w:rsidRPr="00B14963">
        <w:rPr>
          <w:sz w:val="22"/>
          <w:szCs w:val="22"/>
        </w:rPr>
        <w:t>, s.c./C</w:t>
      </w:r>
      <w:r w:rsidRPr="00B14963">
        <w:rPr>
          <w:sz w:val="22"/>
          <w:szCs w:val="22"/>
          <w:vertAlign w:val="subscript"/>
        </w:rPr>
        <w:t>max</w:t>
      </w:r>
      <w:r w:rsidRPr="00B14963">
        <w:rPr>
          <w:sz w:val="22"/>
          <w:szCs w:val="22"/>
        </w:rPr>
        <w:t>, i.v.) 0,719 (90% CI: 0,653; 0,792). Geometrijska srednja vrijednost t</w:t>
      </w:r>
      <w:r w:rsidRPr="00B14963">
        <w:rPr>
          <w:sz w:val="22"/>
          <w:szCs w:val="22"/>
          <w:vertAlign w:val="subscript"/>
        </w:rPr>
        <w:t>max</w:t>
      </w:r>
      <w:r w:rsidRPr="00B14963">
        <w:rPr>
          <w:sz w:val="22"/>
          <w:szCs w:val="22"/>
        </w:rPr>
        <w:t xml:space="preserve"> u grupi koja je primala subkutanu formulaciju lijeka MabThera iznosila je približno 3 dana, dok je t</w:t>
      </w:r>
      <w:r w:rsidRPr="00B14963">
        <w:rPr>
          <w:sz w:val="22"/>
          <w:szCs w:val="22"/>
          <w:vertAlign w:val="subscript"/>
        </w:rPr>
        <w:t>max</w:t>
      </w:r>
      <w:r w:rsidRPr="00B14963">
        <w:rPr>
          <w:sz w:val="22"/>
          <w:szCs w:val="22"/>
        </w:rPr>
        <w:t xml:space="preserve"> u grupi koja je primala intravensku formulaciju lijeka MabThera nastupio na kraju ili pri kraju infuzije. Geometrijska srednja vrijednost C</w:t>
      </w:r>
      <w:r w:rsidRPr="00B14963">
        <w:rPr>
          <w:sz w:val="22"/>
          <w:szCs w:val="22"/>
          <w:vertAlign w:val="subscript"/>
        </w:rPr>
        <w:t>through</w:t>
      </w:r>
      <w:r w:rsidRPr="00B14963">
        <w:rPr>
          <w:sz w:val="22"/>
          <w:szCs w:val="22"/>
        </w:rPr>
        <w:t xml:space="preserve"> (CV%) u 5. ciklusu (prije primjene doze u 6. ciklusu) bila je veća u grupi koja je primala subkutanu formulaciju lijeka MabThera nego u onoj koja je primala intravensku formulaciju: 97,5 </w:t>
      </w:r>
      <w:r w:rsidRPr="00B14963">
        <w:rPr>
          <w:sz w:val="20"/>
          <w:szCs w:val="22"/>
        </w:rPr>
        <w:sym w:font="Symbol" w:char="F06D"/>
      </w:r>
      <w:r w:rsidRPr="00B14963">
        <w:rPr>
          <w:sz w:val="22"/>
          <w:szCs w:val="22"/>
        </w:rPr>
        <w:t xml:space="preserve">g/ml (42,6) naspram 61,5 </w:t>
      </w:r>
      <w:r w:rsidRPr="00B14963">
        <w:rPr>
          <w:sz w:val="20"/>
          <w:szCs w:val="22"/>
        </w:rPr>
        <w:sym w:font="Symbol" w:char="F06D"/>
      </w:r>
      <w:r w:rsidRPr="00B14963">
        <w:rPr>
          <w:sz w:val="22"/>
          <w:szCs w:val="22"/>
        </w:rPr>
        <w:t xml:space="preserve">g/ml (63,9), uz prilagođen odnos geometrijskih srednjih vrijednosti [90% CI] od 1,53 [1,27 – 1,85]. Slično tome, geometrijska srednja vrijednost AUC (CV%) u 6. ciklusu bila je veća među pacijentima liječenim subkutanom formulacijom nego onima koji su primali intravensku formulaciju: 4088 µg•dan/ml (34,2) naspram 3630 µg•dan/ml (32,8), uz prilagođen odnos geometrijskih srednjih vrijednosti [90% CI] od 1,10 [0,98 – 1,24]. </w:t>
      </w:r>
    </w:p>
    <w:p w14:paraId="29361DC5" w14:textId="77777777" w:rsidR="00874EF0" w:rsidRPr="00B14963" w:rsidRDefault="00874EF0" w:rsidP="00874EF0">
      <w:pPr>
        <w:jc w:val="both"/>
        <w:rPr>
          <w:sz w:val="22"/>
          <w:szCs w:val="22"/>
        </w:rPr>
      </w:pPr>
      <w:r w:rsidRPr="00B14963">
        <w:rPr>
          <w:sz w:val="22"/>
          <w:szCs w:val="22"/>
        </w:rPr>
        <w:t xml:space="preserve">Na osnovu populacijske farmakokinetičke analize podataka iz studije BO25341 (SAWYER) procijenjeno je da apsolutna bioraspoloživost iznosi 68,4%. </w:t>
      </w:r>
    </w:p>
    <w:p w14:paraId="1C20DD05" w14:textId="77777777" w:rsidR="00874EF0" w:rsidRPr="00B14963" w:rsidRDefault="00874EF0" w:rsidP="00874EF0">
      <w:pPr>
        <w:jc w:val="both"/>
        <w:rPr>
          <w:sz w:val="22"/>
          <w:szCs w:val="22"/>
        </w:rPr>
      </w:pPr>
    </w:p>
    <w:p w14:paraId="33CBC31D" w14:textId="77777777" w:rsidR="00874EF0" w:rsidRPr="00B14963" w:rsidRDefault="00874EF0" w:rsidP="00874EF0">
      <w:pPr>
        <w:jc w:val="both"/>
        <w:rPr>
          <w:sz w:val="22"/>
          <w:szCs w:val="22"/>
          <w:u w:val="single"/>
        </w:rPr>
      </w:pPr>
      <w:r w:rsidRPr="00B14963">
        <w:rPr>
          <w:sz w:val="22"/>
          <w:szCs w:val="22"/>
          <w:u w:val="single"/>
        </w:rPr>
        <w:t>Distribucija/eliminacija</w:t>
      </w:r>
    </w:p>
    <w:p w14:paraId="2B08EF27" w14:textId="77777777" w:rsidR="009D3F5D" w:rsidRPr="00B14963" w:rsidRDefault="009D3F5D" w:rsidP="00874EF0">
      <w:pPr>
        <w:jc w:val="both"/>
        <w:rPr>
          <w:sz w:val="22"/>
          <w:szCs w:val="22"/>
          <w:u w:val="single"/>
        </w:rPr>
      </w:pPr>
    </w:p>
    <w:p w14:paraId="10CB66D0" w14:textId="77777777" w:rsidR="00874EF0" w:rsidRPr="00B14963" w:rsidRDefault="00874EF0" w:rsidP="00874EF0">
      <w:pPr>
        <w:jc w:val="both"/>
        <w:rPr>
          <w:sz w:val="22"/>
          <w:szCs w:val="22"/>
        </w:rPr>
      </w:pPr>
      <w:r w:rsidRPr="00B14963">
        <w:rPr>
          <w:sz w:val="22"/>
          <w:szCs w:val="22"/>
        </w:rPr>
        <w:t>Procijenjeno poluvrijeme subkutane formulacije lijeka MabThera od 1600 mg iznosi 30 dana, procijenjen klirens 0,22 l/dan, a volumen distribucije u središnjem dijelu 4,65 l.</w:t>
      </w:r>
    </w:p>
    <w:p w14:paraId="66340384" w14:textId="77777777" w:rsidR="00874EF0" w:rsidRPr="00B14963" w:rsidRDefault="00874EF0" w:rsidP="00874EF0">
      <w:pPr>
        <w:jc w:val="both"/>
        <w:rPr>
          <w:sz w:val="22"/>
          <w:szCs w:val="22"/>
        </w:rPr>
      </w:pPr>
    </w:p>
    <w:p w14:paraId="7477C381" w14:textId="77777777" w:rsidR="00874EF0" w:rsidRPr="00B14963" w:rsidRDefault="00874EF0" w:rsidP="00874EF0">
      <w:pPr>
        <w:jc w:val="both"/>
        <w:rPr>
          <w:sz w:val="22"/>
          <w:szCs w:val="22"/>
          <w:u w:val="single"/>
        </w:rPr>
      </w:pPr>
      <w:r w:rsidRPr="00B14963">
        <w:rPr>
          <w:sz w:val="22"/>
          <w:szCs w:val="22"/>
          <w:u w:val="single"/>
        </w:rPr>
        <w:t>Posebne populacije</w:t>
      </w:r>
    </w:p>
    <w:p w14:paraId="319422ED" w14:textId="77777777" w:rsidR="009D3F5D" w:rsidRPr="00B14963" w:rsidRDefault="009D3F5D" w:rsidP="00874EF0">
      <w:pPr>
        <w:jc w:val="both"/>
        <w:rPr>
          <w:sz w:val="22"/>
          <w:szCs w:val="22"/>
          <w:u w:val="single"/>
        </w:rPr>
      </w:pPr>
    </w:p>
    <w:p w14:paraId="1B0CA9B4" w14:textId="77777777" w:rsidR="00874EF0" w:rsidRPr="00B14963" w:rsidRDefault="00874EF0" w:rsidP="00874EF0">
      <w:pPr>
        <w:jc w:val="both"/>
        <w:rPr>
          <w:sz w:val="22"/>
          <w:szCs w:val="22"/>
        </w:rPr>
      </w:pPr>
      <w:r w:rsidRPr="00B14963">
        <w:rPr>
          <w:sz w:val="22"/>
          <w:szCs w:val="22"/>
        </w:rPr>
        <w:t>Kao što je i uobičajeno za monoklonska antitijela, farmakokinetički parametri rituksimaba zavisili su od površine tijela. Svi parametri za klirens i volumen povećavali su se sa površinom tijela. Osim toga, središnji volumen bio je nešto manji (9%) kod žena nego kod muškaraca. Parametri resorpcije subkutane formulacije smanjivali su se sa povećanjem ITM. Uslovne simulacije koje su sažeto prikazale uticaj svih parametara koji zavise od veličine tijela na izloženost rituksimabu pokazale su da, iako primjena fiksne subkutane doze dovodi do većih razlika u izloženosti (C</w:t>
      </w:r>
      <w:r w:rsidRPr="00B14963">
        <w:rPr>
          <w:sz w:val="22"/>
          <w:szCs w:val="22"/>
          <w:vertAlign w:val="subscript"/>
        </w:rPr>
        <w:t>trough</w:t>
      </w:r>
      <w:r w:rsidRPr="00B14963">
        <w:rPr>
          <w:sz w:val="22"/>
          <w:szCs w:val="22"/>
        </w:rPr>
        <w:t xml:space="preserve"> i AUCτ) između ispitanika male i onih velike veličine tijela u poređenju sa intravenskim dozama prilagođenima tjelesnoj težini, subkutana primjena fiksne doze omogućava održavanje vrijednosti C</w:t>
      </w:r>
      <w:r w:rsidRPr="00B14963">
        <w:rPr>
          <w:sz w:val="22"/>
          <w:szCs w:val="22"/>
          <w:vertAlign w:val="subscript"/>
        </w:rPr>
        <w:t>trough</w:t>
      </w:r>
      <w:r w:rsidRPr="00B14963">
        <w:rPr>
          <w:sz w:val="22"/>
          <w:szCs w:val="22"/>
        </w:rPr>
        <w:t xml:space="preserve"> i AUCτ kod svih veličina tijela na nivoima koji </w:t>
      </w:r>
      <w:r w:rsidR="001A549A" w:rsidRPr="00B14963">
        <w:rPr>
          <w:sz w:val="22"/>
          <w:szCs w:val="22"/>
        </w:rPr>
        <w:t>nijesu</w:t>
      </w:r>
      <w:r w:rsidRPr="00B14963">
        <w:rPr>
          <w:sz w:val="22"/>
          <w:szCs w:val="22"/>
        </w:rPr>
        <w:t xml:space="preserve"> niži od onih koji se postižu intravenskim dozama, čime se omogućava postizanje ciljne zasićenosti koja je najmanje jednaka onoj koja se postiže intravenskom primjenom. Kod ispitanika tjelesne težine &gt; 90 kg, vrijednosti C</w:t>
      </w:r>
      <w:r w:rsidRPr="00B14963">
        <w:rPr>
          <w:sz w:val="22"/>
          <w:szCs w:val="22"/>
          <w:vertAlign w:val="subscript"/>
        </w:rPr>
        <w:t>trough</w:t>
      </w:r>
      <w:r w:rsidRPr="00B14963">
        <w:rPr>
          <w:sz w:val="22"/>
          <w:szCs w:val="22"/>
        </w:rPr>
        <w:t xml:space="preserve"> bile su iste kod intravenskog i subkutanog režima liječenja. Kod ispitanika tjelesne težine 60 – 90 kg i &lt;</w:t>
      </w:r>
      <w:r w:rsidR="008A1962" w:rsidRPr="00B14963">
        <w:rPr>
          <w:sz w:val="22"/>
          <w:szCs w:val="22"/>
        </w:rPr>
        <w:t xml:space="preserve"> </w:t>
      </w:r>
      <w:r w:rsidRPr="00B14963">
        <w:rPr>
          <w:sz w:val="22"/>
          <w:szCs w:val="22"/>
        </w:rPr>
        <w:t>60 kg, prosječne vrijednosti C</w:t>
      </w:r>
      <w:r w:rsidRPr="00B14963">
        <w:rPr>
          <w:sz w:val="22"/>
          <w:szCs w:val="22"/>
          <w:vertAlign w:val="subscript"/>
        </w:rPr>
        <w:t>trough</w:t>
      </w:r>
      <w:r w:rsidRPr="00B14963">
        <w:rPr>
          <w:sz w:val="22"/>
          <w:szCs w:val="22"/>
        </w:rPr>
        <w:t xml:space="preserve"> nakon intravenske primjene bile su približno 16% odnosno 34% niže nego nakon subkutane primjene. Slično tome, vrijednosti C</w:t>
      </w:r>
      <w:r w:rsidRPr="00B14963">
        <w:rPr>
          <w:sz w:val="22"/>
          <w:szCs w:val="22"/>
          <w:vertAlign w:val="subscript"/>
        </w:rPr>
        <w:t>trough</w:t>
      </w:r>
      <w:r w:rsidRPr="00B14963">
        <w:rPr>
          <w:sz w:val="22"/>
          <w:szCs w:val="22"/>
        </w:rPr>
        <w:t xml:space="preserve"> kod ispitanika s velikom površinom tijela (gornja trećina) bile su jednake kod intravenskog i subkutanog režima liječenja. Kod ispitanika sa srednjom i malom površinom tijela (srednja i donja trećina), prosječne vrijednosti C</w:t>
      </w:r>
      <w:r w:rsidRPr="00B14963">
        <w:rPr>
          <w:sz w:val="22"/>
          <w:szCs w:val="22"/>
          <w:vertAlign w:val="subscript"/>
        </w:rPr>
        <w:t>trough</w:t>
      </w:r>
      <w:r w:rsidRPr="00B14963">
        <w:rPr>
          <w:sz w:val="22"/>
          <w:szCs w:val="22"/>
        </w:rPr>
        <w:t xml:space="preserve"> nakon intravenske primjene bile su približno 12% odnosno 26% niže nego nakon subkutane primjene.</w:t>
      </w:r>
    </w:p>
    <w:p w14:paraId="4FD71C6E" w14:textId="77777777" w:rsidR="00874EF0" w:rsidRPr="00B14963" w:rsidRDefault="00874EF0" w:rsidP="00874EF0">
      <w:pPr>
        <w:jc w:val="both"/>
        <w:rPr>
          <w:sz w:val="22"/>
          <w:szCs w:val="22"/>
        </w:rPr>
      </w:pPr>
    </w:p>
    <w:p w14:paraId="0A6A9117" w14:textId="77777777" w:rsidR="00874EF0" w:rsidRPr="00B14963" w:rsidRDefault="00874EF0" w:rsidP="00874EF0">
      <w:pPr>
        <w:tabs>
          <w:tab w:val="left" w:pos="540"/>
          <w:tab w:val="left" w:pos="569"/>
        </w:tabs>
        <w:jc w:val="both"/>
        <w:rPr>
          <w:sz w:val="22"/>
          <w:szCs w:val="22"/>
        </w:rPr>
      </w:pPr>
      <w:r w:rsidRPr="00B14963">
        <w:rPr>
          <w:sz w:val="22"/>
          <w:szCs w:val="22"/>
        </w:rPr>
        <w:t>Osim što zavisi od veličine tijela, vremenski zavistan klirens bio je viši kod ispitanika sa većom početnom veličinom tumora, što je u skladu sa eliminacijom posredovanom vezivanjem za ciljno mjesto. Veća vrijednost vremenski zavisnog klirensa kod ispitanika sa većim opterećenjem bolešću doveo bi do niže početne izloženosti i dužeg vremena potrebnog za postizanje izloženosti jednake onoj koja se postiže kod pacijenata sa manjim opterećenjem bolešću.</w:t>
      </w:r>
    </w:p>
    <w:p w14:paraId="354CCCC3" w14:textId="77777777" w:rsidR="00874EF0" w:rsidRPr="00B14963" w:rsidRDefault="00874EF0" w:rsidP="00874EF0">
      <w:pPr>
        <w:tabs>
          <w:tab w:val="left" w:pos="540"/>
          <w:tab w:val="left" w:pos="569"/>
        </w:tabs>
        <w:jc w:val="both"/>
        <w:rPr>
          <w:bCs/>
          <w:sz w:val="22"/>
          <w:szCs w:val="22"/>
        </w:rPr>
      </w:pPr>
    </w:p>
    <w:p w14:paraId="5E583186" w14:textId="77777777" w:rsidR="0072020E" w:rsidRPr="00B14963" w:rsidRDefault="0072020E" w:rsidP="00874EF0">
      <w:pPr>
        <w:tabs>
          <w:tab w:val="left" w:pos="540"/>
          <w:tab w:val="left" w:pos="569"/>
        </w:tabs>
        <w:jc w:val="both"/>
        <w:rPr>
          <w:b/>
          <w:bCs/>
          <w:sz w:val="22"/>
          <w:szCs w:val="22"/>
        </w:rPr>
      </w:pPr>
      <w:r w:rsidRPr="00B14963">
        <w:rPr>
          <w:b/>
          <w:bCs/>
          <w:sz w:val="22"/>
          <w:szCs w:val="22"/>
        </w:rPr>
        <w:t xml:space="preserve">5.3. </w:t>
      </w:r>
      <w:r w:rsidR="00480FB1" w:rsidRPr="00B14963">
        <w:rPr>
          <w:b/>
          <w:bCs/>
          <w:sz w:val="22"/>
          <w:szCs w:val="22"/>
        </w:rPr>
        <w:tab/>
      </w:r>
      <w:r w:rsidRPr="00B14963">
        <w:rPr>
          <w:b/>
          <w:bCs/>
          <w:sz w:val="22"/>
          <w:szCs w:val="22"/>
        </w:rPr>
        <w:t xml:space="preserve">Pretklinički podaci o bezbjednosti </w:t>
      </w:r>
    </w:p>
    <w:p w14:paraId="7870D5F7" w14:textId="77777777" w:rsidR="00836B35" w:rsidRPr="00B14963" w:rsidRDefault="00836B35" w:rsidP="00874EF0">
      <w:pPr>
        <w:tabs>
          <w:tab w:val="left" w:pos="540"/>
          <w:tab w:val="left" w:pos="569"/>
        </w:tabs>
        <w:jc w:val="both"/>
        <w:rPr>
          <w:bCs/>
          <w:sz w:val="22"/>
          <w:szCs w:val="22"/>
        </w:rPr>
      </w:pPr>
    </w:p>
    <w:p w14:paraId="1BCD6157" w14:textId="77777777" w:rsidR="00874EF0" w:rsidRPr="00B14963" w:rsidRDefault="00874EF0" w:rsidP="00874EF0">
      <w:pPr>
        <w:jc w:val="both"/>
        <w:rPr>
          <w:sz w:val="22"/>
          <w:szCs w:val="22"/>
        </w:rPr>
      </w:pPr>
      <w:r w:rsidRPr="00B14963">
        <w:rPr>
          <w:sz w:val="22"/>
          <w:szCs w:val="22"/>
        </w:rPr>
        <w:t xml:space="preserve">Pokazano je da je rituksimab visoko specifičan za CD20 antigen na B ćelijama. Ispitivanja toksičnosti kod </w:t>
      </w:r>
      <w:r w:rsidR="009D3F5D" w:rsidRPr="00B14963">
        <w:rPr>
          <w:sz w:val="22"/>
          <w:szCs w:val="22"/>
        </w:rPr>
        <w:t>makaki</w:t>
      </w:r>
      <w:r w:rsidRPr="00B14963">
        <w:rPr>
          <w:sz w:val="22"/>
          <w:szCs w:val="22"/>
        </w:rPr>
        <w:t xml:space="preserve"> majmuna pokazala su da nema drugog dejstva osim očekivane farmakološke deplecije B ćelija u perifernoj krvi i limfoidnom tkivu. </w:t>
      </w:r>
    </w:p>
    <w:p w14:paraId="311BFCC8" w14:textId="77777777" w:rsidR="00874EF0" w:rsidRPr="00B14963" w:rsidRDefault="00874EF0" w:rsidP="00874EF0">
      <w:pPr>
        <w:jc w:val="both"/>
        <w:rPr>
          <w:sz w:val="22"/>
          <w:szCs w:val="22"/>
        </w:rPr>
      </w:pPr>
    </w:p>
    <w:p w14:paraId="19BD44A6" w14:textId="77777777" w:rsidR="00874EF0" w:rsidRPr="00B14963" w:rsidRDefault="00874EF0" w:rsidP="00874EF0">
      <w:pPr>
        <w:jc w:val="both"/>
        <w:rPr>
          <w:sz w:val="22"/>
          <w:szCs w:val="22"/>
        </w:rPr>
      </w:pPr>
      <w:r w:rsidRPr="00B14963">
        <w:rPr>
          <w:sz w:val="22"/>
          <w:szCs w:val="22"/>
        </w:rPr>
        <w:t xml:space="preserve">Ispitivanja razvojne toksičnosti obavljena su na </w:t>
      </w:r>
      <w:r w:rsidR="009D3F5D" w:rsidRPr="00B14963">
        <w:rPr>
          <w:sz w:val="22"/>
          <w:szCs w:val="22"/>
        </w:rPr>
        <w:t>makaki</w:t>
      </w:r>
      <w:r w:rsidRPr="00B14963">
        <w:rPr>
          <w:sz w:val="22"/>
          <w:szCs w:val="22"/>
        </w:rPr>
        <w:t xml:space="preserve"> majmunima u dozama do 100 mg/kg (tretman 20.-50. dan gestacije) i </w:t>
      </w:r>
      <w:r w:rsidR="001A549A" w:rsidRPr="00B14963">
        <w:rPr>
          <w:sz w:val="22"/>
          <w:szCs w:val="22"/>
        </w:rPr>
        <w:t>nijesu</w:t>
      </w:r>
      <w:r w:rsidRPr="00B14963">
        <w:rPr>
          <w:sz w:val="22"/>
          <w:szCs w:val="22"/>
        </w:rPr>
        <w:t xml:space="preserve"> otkrila nikakve dokaze o toksičnosti na fetus izazvane rituksimabom. Međutim, zabilježena je dozno zavisna farmakološka deplecija B ćelija u limfoidnim organima fetusa, </w:t>
      </w:r>
      <w:r w:rsidRPr="00B14963">
        <w:rPr>
          <w:sz w:val="22"/>
          <w:szCs w:val="22"/>
        </w:rPr>
        <w:lastRenderedPageBreak/>
        <w:t xml:space="preserve">koja se održavala po rođenju, i bila praćena smanjenjem nivoa IgG kod novorođenih životinja. Broj B ćelija se vraćao na normalu kod ovih životinja u roku od 6 mjeseci po rođenju i nije ugrožavao reakciju na imunizaciju. </w:t>
      </w:r>
    </w:p>
    <w:p w14:paraId="0CFF4C6E" w14:textId="77777777" w:rsidR="00874EF0" w:rsidRPr="00B14963" w:rsidRDefault="00874EF0" w:rsidP="00874EF0">
      <w:pPr>
        <w:jc w:val="both"/>
        <w:rPr>
          <w:sz w:val="22"/>
          <w:szCs w:val="22"/>
        </w:rPr>
      </w:pPr>
    </w:p>
    <w:p w14:paraId="3923CD50" w14:textId="77777777" w:rsidR="00874EF0" w:rsidRPr="00B14963" w:rsidRDefault="001A549A" w:rsidP="00874EF0">
      <w:pPr>
        <w:jc w:val="both"/>
        <w:rPr>
          <w:sz w:val="22"/>
          <w:szCs w:val="22"/>
        </w:rPr>
      </w:pPr>
      <w:r w:rsidRPr="00B14963">
        <w:rPr>
          <w:sz w:val="22"/>
          <w:szCs w:val="22"/>
        </w:rPr>
        <w:t>Nijesu</w:t>
      </w:r>
      <w:r w:rsidR="00874EF0" w:rsidRPr="00B14963">
        <w:rPr>
          <w:sz w:val="22"/>
          <w:szCs w:val="22"/>
        </w:rPr>
        <w:t xml:space="preserve"> sprovedeni standardni testovi za ispitivanje mutagenosti jer takvi testovi </w:t>
      </w:r>
      <w:r w:rsidRPr="00B14963">
        <w:rPr>
          <w:sz w:val="22"/>
          <w:szCs w:val="22"/>
        </w:rPr>
        <w:t>nijesu</w:t>
      </w:r>
      <w:r w:rsidR="00874EF0" w:rsidRPr="00B14963">
        <w:rPr>
          <w:sz w:val="22"/>
          <w:szCs w:val="22"/>
        </w:rPr>
        <w:t xml:space="preserve"> relevantni za ovaj molekul. </w:t>
      </w:r>
      <w:r w:rsidRPr="00B14963">
        <w:rPr>
          <w:sz w:val="22"/>
          <w:szCs w:val="22"/>
        </w:rPr>
        <w:t>Nijesu</w:t>
      </w:r>
      <w:r w:rsidR="00874EF0" w:rsidRPr="00B14963">
        <w:rPr>
          <w:sz w:val="22"/>
          <w:szCs w:val="22"/>
        </w:rPr>
        <w:t xml:space="preserve"> sprovedene dugoročne studije na životinjama kako bi se ustanovio kancerogeni potencijal rituksimaba.</w:t>
      </w:r>
    </w:p>
    <w:p w14:paraId="2D883621" w14:textId="77777777" w:rsidR="00874EF0" w:rsidRPr="00B14963" w:rsidRDefault="00874EF0" w:rsidP="00874EF0">
      <w:pPr>
        <w:jc w:val="both"/>
        <w:rPr>
          <w:sz w:val="22"/>
          <w:szCs w:val="22"/>
        </w:rPr>
      </w:pPr>
    </w:p>
    <w:p w14:paraId="5D914F14" w14:textId="77777777" w:rsidR="00874EF0" w:rsidRPr="00B14963" w:rsidRDefault="001A549A" w:rsidP="00874EF0">
      <w:pPr>
        <w:jc w:val="both"/>
        <w:rPr>
          <w:sz w:val="22"/>
          <w:szCs w:val="22"/>
        </w:rPr>
      </w:pPr>
      <w:r w:rsidRPr="00B14963">
        <w:rPr>
          <w:sz w:val="22"/>
          <w:szCs w:val="22"/>
        </w:rPr>
        <w:t>Nijesu</w:t>
      </w:r>
      <w:r w:rsidR="00874EF0" w:rsidRPr="00B14963">
        <w:rPr>
          <w:sz w:val="22"/>
          <w:szCs w:val="22"/>
        </w:rPr>
        <w:t xml:space="preserve"> sprovedene specifične studije kojima bi se utvrdio efekat rituksimaba ili rHuPH20 na plodnost. U studijama opšte toksičnosti na cinomolgus majmunima </w:t>
      </w:r>
      <w:r w:rsidRPr="00B14963">
        <w:rPr>
          <w:sz w:val="22"/>
          <w:szCs w:val="22"/>
        </w:rPr>
        <w:t>nijesu</w:t>
      </w:r>
      <w:r w:rsidR="00874EF0" w:rsidRPr="00B14963">
        <w:rPr>
          <w:sz w:val="22"/>
          <w:szCs w:val="22"/>
        </w:rPr>
        <w:t xml:space="preserve"> primijećeni štetni efekti na reproduktivne organe mužjaka niti ženki. Takođe, </w:t>
      </w:r>
      <w:r w:rsidRPr="00B14963">
        <w:rPr>
          <w:sz w:val="22"/>
          <w:szCs w:val="22"/>
        </w:rPr>
        <w:t>nijesu</w:t>
      </w:r>
      <w:r w:rsidR="00874EF0" w:rsidRPr="00B14963">
        <w:rPr>
          <w:sz w:val="22"/>
          <w:szCs w:val="22"/>
        </w:rPr>
        <w:t xml:space="preserve"> primijećeni ni efekti rHuPH20 na kvalitet sperme.</w:t>
      </w:r>
    </w:p>
    <w:p w14:paraId="2A9389DC" w14:textId="77777777" w:rsidR="00874EF0" w:rsidRPr="00B14963" w:rsidRDefault="00874EF0" w:rsidP="00874EF0">
      <w:pPr>
        <w:jc w:val="both"/>
        <w:rPr>
          <w:sz w:val="22"/>
          <w:szCs w:val="22"/>
        </w:rPr>
      </w:pPr>
    </w:p>
    <w:p w14:paraId="791C7D5B" w14:textId="77777777" w:rsidR="00396DFD" w:rsidRPr="00B14963" w:rsidRDefault="00874EF0" w:rsidP="00874EF0">
      <w:pPr>
        <w:tabs>
          <w:tab w:val="left" w:pos="540"/>
          <w:tab w:val="left" w:pos="569"/>
        </w:tabs>
        <w:jc w:val="both"/>
        <w:rPr>
          <w:sz w:val="22"/>
          <w:szCs w:val="22"/>
        </w:rPr>
      </w:pPr>
      <w:r w:rsidRPr="00B14963">
        <w:rPr>
          <w:sz w:val="22"/>
          <w:szCs w:val="22"/>
        </w:rPr>
        <w:t>U studijama embriofetalnog razvoja na miševima, rHuPH20 je uzrokovao smanjenje tjelesne težine ploda te gubitak zametaka pri nivoima sistemske izloženosti znatno većim od terapijske izloženosti kod ljudi. Nema dokaza dismorfogeneze (tj. teratogeneze) kao posljedice sistemske izloženosti rHuPH20.</w:t>
      </w:r>
    </w:p>
    <w:p w14:paraId="5502145A" w14:textId="77777777" w:rsidR="00874EF0" w:rsidRPr="00B14963" w:rsidRDefault="00874EF0" w:rsidP="00874EF0">
      <w:pPr>
        <w:tabs>
          <w:tab w:val="left" w:pos="540"/>
          <w:tab w:val="left" w:pos="569"/>
        </w:tabs>
        <w:jc w:val="both"/>
        <w:rPr>
          <w:b/>
          <w:bCs/>
          <w:sz w:val="22"/>
          <w:szCs w:val="22"/>
        </w:rPr>
      </w:pPr>
    </w:p>
    <w:p w14:paraId="4BD3AA1E" w14:textId="77777777" w:rsidR="0004041A" w:rsidRPr="00B14963" w:rsidRDefault="0004041A" w:rsidP="00874EF0">
      <w:pPr>
        <w:tabs>
          <w:tab w:val="left" w:pos="540"/>
          <w:tab w:val="left" w:pos="569"/>
        </w:tabs>
        <w:jc w:val="both"/>
        <w:rPr>
          <w:b/>
          <w:bCs/>
          <w:sz w:val="22"/>
          <w:szCs w:val="22"/>
        </w:rPr>
      </w:pPr>
    </w:p>
    <w:p w14:paraId="1232308B" w14:textId="77777777" w:rsidR="0072020E" w:rsidRPr="00B14963" w:rsidRDefault="0072020E" w:rsidP="00874EF0">
      <w:pPr>
        <w:tabs>
          <w:tab w:val="left" w:pos="540"/>
          <w:tab w:val="left" w:pos="569"/>
        </w:tabs>
        <w:jc w:val="both"/>
        <w:rPr>
          <w:b/>
          <w:bCs/>
          <w:sz w:val="22"/>
          <w:szCs w:val="22"/>
        </w:rPr>
      </w:pPr>
      <w:r w:rsidRPr="00B14963">
        <w:rPr>
          <w:b/>
          <w:bCs/>
          <w:sz w:val="22"/>
          <w:szCs w:val="22"/>
        </w:rPr>
        <w:t xml:space="preserve">6. </w:t>
      </w:r>
      <w:r w:rsidR="00480FB1" w:rsidRPr="00B14963">
        <w:rPr>
          <w:b/>
          <w:bCs/>
          <w:sz w:val="22"/>
          <w:szCs w:val="22"/>
        </w:rPr>
        <w:tab/>
      </w:r>
      <w:r w:rsidRPr="00B14963">
        <w:rPr>
          <w:b/>
          <w:bCs/>
          <w:sz w:val="22"/>
          <w:szCs w:val="22"/>
        </w:rPr>
        <w:t>FARMACEUTSKI PODACI</w:t>
      </w:r>
    </w:p>
    <w:p w14:paraId="2A7D10B3" w14:textId="77777777" w:rsidR="00836B35" w:rsidRPr="00B14963" w:rsidRDefault="00836B35" w:rsidP="00874EF0">
      <w:pPr>
        <w:tabs>
          <w:tab w:val="left" w:pos="540"/>
          <w:tab w:val="left" w:pos="569"/>
        </w:tabs>
        <w:jc w:val="both"/>
        <w:rPr>
          <w:bCs/>
          <w:sz w:val="22"/>
          <w:szCs w:val="22"/>
        </w:rPr>
      </w:pPr>
    </w:p>
    <w:p w14:paraId="1AF67274" w14:textId="77777777" w:rsidR="0072020E" w:rsidRPr="00B14963" w:rsidRDefault="0072020E" w:rsidP="00874EF0">
      <w:pPr>
        <w:tabs>
          <w:tab w:val="left" w:pos="540"/>
          <w:tab w:val="left" w:pos="569"/>
        </w:tabs>
        <w:jc w:val="both"/>
        <w:rPr>
          <w:b/>
          <w:bCs/>
          <w:sz w:val="22"/>
          <w:szCs w:val="22"/>
        </w:rPr>
      </w:pPr>
      <w:r w:rsidRPr="00B14963">
        <w:rPr>
          <w:b/>
          <w:bCs/>
          <w:sz w:val="22"/>
          <w:szCs w:val="22"/>
        </w:rPr>
        <w:t xml:space="preserve">6.1. </w:t>
      </w:r>
      <w:r w:rsidR="00480FB1" w:rsidRPr="00B14963">
        <w:rPr>
          <w:b/>
          <w:bCs/>
          <w:sz w:val="22"/>
          <w:szCs w:val="22"/>
        </w:rPr>
        <w:tab/>
      </w:r>
      <w:r w:rsidRPr="00B14963">
        <w:rPr>
          <w:b/>
          <w:bCs/>
          <w:sz w:val="22"/>
          <w:szCs w:val="22"/>
        </w:rPr>
        <w:t>Lista pomoćnih supstanci</w:t>
      </w:r>
      <w:r w:rsidR="002E0135" w:rsidRPr="00B14963">
        <w:rPr>
          <w:b/>
          <w:bCs/>
          <w:sz w:val="22"/>
          <w:szCs w:val="22"/>
        </w:rPr>
        <w:t xml:space="preserve"> (ekscipijenasa)</w:t>
      </w:r>
    </w:p>
    <w:p w14:paraId="7B91944B" w14:textId="77777777" w:rsidR="00874EF0" w:rsidRPr="00B14963" w:rsidRDefault="00874EF0" w:rsidP="00874EF0">
      <w:pPr>
        <w:tabs>
          <w:tab w:val="left" w:pos="540"/>
          <w:tab w:val="left" w:pos="569"/>
        </w:tabs>
        <w:jc w:val="both"/>
        <w:rPr>
          <w:b/>
          <w:bCs/>
          <w:sz w:val="22"/>
          <w:szCs w:val="22"/>
        </w:rPr>
      </w:pPr>
    </w:p>
    <w:p w14:paraId="1AF2FE61" w14:textId="77777777" w:rsidR="00874EF0" w:rsidRPr="00B14963" w:rsidRDefault="00874EF0" w:rsidP="00874EF0">
      <w:pPr>
        <w:jc w:val="both"/>
        <w:rPr>
          <w:sz w:val="22"/>
          <w:szCs w:val="22"/>
        </w:rPr>
      </w:pPr>
      <w:r w:rsidRPr="00B14963">
        <w:rPr>
          <w:sz w:val="22"/>
          <w:szCs w:val="22"/>
        </w:rPr>
        <w:t>Rekombinantna humana hijaluronidaza (rHuPH20)</w:t>
      </w:r>
    </w:p>
    <w:p w14:paraId="77158FE6" w14:textId="77777777" w:rsidR="00874EF0" w:rsidRPr="00B14963" w:rsidRDefault="00874EF0" w:rsidP="00874EF0">
      <w:pPr>
        <w:jc w:val="both"/>
        <w:rPr>
          <w:sz w:val="22"/>
          <w:szCs w:val="22"/>
        </w:rPr>
      </w:pPr>
      <w:r w:rsidRPr="00B14963">
        <w:rPr>
          <w:sz w:val="22"/>
          <w:szCs w:val="22"/>
        </w:rPr>
        <w:t>L-histidin</w:t>
      </w:r>
    </w:p>
    <w:p w14:paraId="113E6165" w14:textId="77777777" w:rsidR="00874EF0" w:rsidRPr="00B14963" w:rsidRDefault="00874EF0" w:rsidP="00874EF0">
      <w:pPr>
        <w:jc w:val="both"/>
        <w:rPr>
          <w:sz w:val="22"/>
          <w:szCs w:val="22"/>
        </w:rPr>
      </w:pPr>
      <w:r w:rsidRPr="00B14963">
        <w:rPr>
          <w:sz w:val="22"/>
          <w:szCs w:val="22"/>
        </w:rPr>
        <w:t>L-histidin hidrohlorid monohidrat</w:t>
      </w:r>
    </w:p>
    <w:p w14:paraId="212B1677" w14:textId="77777777" w:rsidR="00874EF0" w:rsidRPr="00B14963" w:rsidRDefault="00874EF0" w:rsidP="00874EF0">
      <w:pPr>
        <w:jc w:val="both"/>
        <w:rPr>
          <w:sz w:val="22"/>
          <w:szCs w:val="22"/>
        </w:rPr>
      </w:pPr>
      <w:r w:rsidRPr="00B14963">
        <w:rPr>
          <w:sz w:val="22"/>
          <w:szCs w:val="22"/>
        </w:rPr>
        <w:t>α,α-trehaloza dihidrat</w:t>
      </w:r>
    </w:p>
    <w:p w14:paraId="0D09A49B" w14:textId="77777777" w:rsidR="00874EF0" w:rsidRPr="00B14963" w:rsidRDefault="00874EF0" w:rsidP="00874EF0">
      <w:pPr>
        <w:jc w:val="both"/>
        <w:rPr>
          <w:sz w:val="22"/>
          <w:szCs w:val="22"/>
        </w:rPr>
      </w:pPr>
      <w:r w:rsidRPr="00B14963">
        <w:rPr>
          <w:sz w:val="22"/>
          <w:szCs w:val="22"/>
        </w:rPr>
        <w:t>L-metionin</w:t>
      </w:r>
    </w:p>
    <w:p w14:paraId="45FC8BD3" w14:textId="230E21F4" w:rsidR="00874EF0" w:rsidRPr="00B14963" w:rsidRDefault="00874EF0" w:rsidP="00874EF0">
      <w:pPr>
        <w:jc w:val="both"/>
        <w:rPr>
          <w:sz w:val="22"/>
          <w:szCs w:val="22"/>
        </w:rPr>
      </w:pPr>
      <w:r w:rsidRPr="00B14963">
        <w:rPr>
          <w:sz w:val="22"/>
          <w:szCs w:val="22"/>
        </w:rPr>
        <w:t>Polisorbat 80 (E433)</w:t>
      </w:r>
    </w:p>
    <w:p w14:paraId="048CFC5E" w14:textId="77777777" w:rsidR="00874EF0" w:rsidRPr="00B14963" w:rsidRDefault="00874EF0" w:rsidP="00874EF0">
      <w:pPr>
        <w:jc w:val="both"/>
        <w:rPr>
          <w:sz w:val="22"/>
          <w:szCs w:val="22"/>
        </w:rPr>
      </w:pPr>
      <w:r w:rsidRPr="00B14963">
        <w:rPr>
          <w:sz w:val="22"/>
          <w:szCs w:val="22"/>
        </w:rPr>
        <w:t>Voda za injekcije</w:t>
      </w:r>
    </w:p>
    <w:p w14:paraId="2FBA460A" w14:textId="77777777" w:rsidR="0072020E" w:rsidRPr="00B14963" w:rsidRDefault="0072020E" w:rsidP="00874EF0">
      <w:pPr>
        <w:tabs>
          <w:tab w:val="left" w:pos="540"/>
          <w:tab w:val="left" w:pos="569"/>
        </w:tabs>
        <w:jc w:val="both"/>
        <w:rPr>
          <w:bCs/>
          <w:sz w:val="22"/>
          <w:szCs w:val="22"/>
        </w:rPr>
      </w:pPr>
    </w:p>
    <w:p w14:paraId="181DC7B3" w14:textId="77777777" w:rsidR="0072020E" w:rsidRPr="00B14963" w:rsidRDefault="0072020E" w:rsidP="00874EF0">
      <w:pPr>
        <w:tabs>
          <w:tab w:val="left" w:pos="540"/>
          <w:tab w:val="left" w:pos="569"/>
        </w:tabs>
        <w:jc w:val="both"/>
        <w:rPr>
          <w:b/>
          <w:bCs/>
          <w:sz w:val="22"/>
          <w:szCs w:val="22"/>
        </w:rPr>
      </w:pPr>
      <w:r w:rsidRPr="00B14963">
        <w:rPr>
          <w:b/>
          <w:bCs/>
          <w:sz w:val="22"/>
          <w:szCs w:val="22"/>
        </w:rPr>
        <w:t xml:space="preserve">6.2. </w:t>
      </w:r>
      <w:r w:rsidR="00480FB1" w:rsidRPr="00B14963">
        <w:rPr>
          <w:b/>
          <w:bCs/>
          <w:sz w:val="22"/>
          <w:szCs w:val="22"/>
        </w:rPr>
        <w:tab/>
      </w:r>
      <w:r w:rsidRPr="00B14963">
        <w:rPr>
          <w:b/>
          <w:bCs/>
          <w:sz w:val="22"/>
          <w:szCs w:val="22"/>
        </w:rPr>
        <w:t>Inkompatibilnost</w:t>
      </w:r>
      <w:r w:rsidR="002846DB" w:rsidRPr="00B14963">
        <w:rPr>
          <w:b/>
          <w:bCs/>
          <w:sz w:val="22"/>
          <w:szCs w:val="22"/>
        </w:rPr>
        <w:t>i</w:t>
      </w:r>
    </w:p>
    <w:p w14:paraId="4982DE3E" w14:textId="77777777" w:rsidR="00874EF0" w:rsidRPr="00B14963" w:rsidRDefault="00874EF0" w:rsidP="00874EF0">
      <w:pPr>
        <w:tabs>
          <w:tab w:val="left" w:pos="540"/>
          <w:tab w:val="left" w:pos="569"/>
        </w:tabs>
        <w:jc w:val="both"/>
        <w:rPr>
          <w:b/>
          <w:bCs/>
          <w:sz w:val="22"/>
          <w:szCs w:val="22"/>
        </w:rPr>
      </w:pPr>
    </w:p>
    <w:p w14:paraId="3C94BD8D" w14:textId="77777777" w:rsidR="00874EF0" w:rsidRPr="00B14963" w:rsidRDefault="001A549A" w:rsidP="00874EF0">
      <w:pPr>
        <w:jc w:val="both"/>
        <w:rPr>
          <w:sz w:val="22"/>
          <w:szCs w:val="22"/>
        </w:rPr>
      </w:pPr>
      <w:r w:rsidRPr="00B14963">
        <w:rPr>
          <w:sz w:val="22"/>
          <w:szCs w:val="22"/>
        </w:rPr>
        <w:t>Nijesu</w:t>
      </w:r>
      <w:r w:rsidR="00874EF0" w:rsidRPr="00B14963">
        <w:rPr>
          <w:sz w:val="22"/>
          <w:szCs w:val="22"/>
        </w:rPr>
        <w:t xml:space="preserve"> primijećene inkompatibilnosti između lijeka MabThera u formulaciji za subkutanu primjenu i polipropilenskih ili polikarbonatnih materijala za špriceve kao ni igala za izvlačenje i injiciranje od nerđajućeg čelika i polietilenskih „Luer cone“ čepova.</w:t>
      </w:r>
    </w:p>
    <w:p w14:paraId="31389993" w14:textId="77777777" w:rsidR="0072020E" w:rsidRPr="00B14963" w:rsidRDefault="0072020E" w:rsidP="00874EF0">
      <w:pPr>
        <w:tabs>
          <w:tab w:val="left" w:pos="540"/>
          <w:tab w:val="left" w:pos="569"/>
        </w:tabs>
        <w:jc w:val="both"/>
        <w:rPr>
          <w:bCs/>
          <w:sz w:val="22"/>
          <w:szCs w:val="22"/>
        </w:rPr>
      </w:pPr>
    </w:p>
    <w:p w14:paraId="63685D97" w14:textId="77777777" w:rsidR="0072020E" w:rsidRPr="00B14963" w:rsidRDefault="0072020E" w:rsidP="00874EF0">
      <w:pPr>
        <w:tabs>
          <w:tab w:val="left" w:pos="540"/>
          <w:tab w:val="left" w:pos="569"/>
        </w:tabs>
        <w:jc w:val="both"/>
        <w:rPr>
          <w:b/>
          <w:bCs/>
          <w:sz w:val="22"/>
          <w:szCs w:val="22"/>
        </w:rPr>
      </w:pPr>
      <w:r w:rsidRPr="00B14963">
        <w:rPr>
          <w:b/>
          <w:bCs/>
          <w:sz w:val="22"/>
          <w:szCs w:val="22"/>
        </w:rPr>
        <w:t>6.3.</w:t>
      </w:r>
      <w:r w:rsidR="00C05DF8" w:rsidRPr="00B14963">
        <w:rPr>
          <w:b/>
          <w:bCs/>
          <w:sz w:val="22"/>
          <w:szCs w:val="22"/>
        </w:rPr>
        <w:t xml:space="preserve"> </w:t>
      </w:r>
      <w:r w:rsidR="00480FB1" w:rsidRPr="00B14963">
        <w:rPr>
          <w:b/>
          <w:bCs/>
          <w:sz w:val="22"/>
          <w:szCs w:val="22"/>
        </w:rPr>
        <w:tab/>
      </w:r>
      <w:r w:rsidRPr="00B14963">
        <w:rPr>
          <w:b/>
          <w:bCs/>
          <w:sz w:val="22"/>
          <w:szCs w:val="22"/>
        </w:rPr>
        <w:t>Rok upotrebe</w:t>
      </w:r>
    </w:p>
    <w:p w14:paraId="35DB44BF" w14:textId="77777777" w:rsidR="0072020E" w:rsidRPr="00B14963" w:rsidRDefault="0072020E" w:rsidP="00874EF0">
      <w:pPr>
        <w:tabs>
          <w:tab w:val="left" w:pos="540"/>
          <w:tab w:val="left" w:pos="569"/>
        </w:tabs>
        <w:jc w:val="both"/>
        <w:rPr>
          <w:bCs/>
          <w:sz w:val="22"/>
          <w:szCs w:val="22"/>
        </w:rPr>
      </w:pPr>
    </w:p>
    <w:p w14:paraId="37E91387" w14:textId="77777777" w:rsidR="00874EF0" w:rsidRPr="00B14963" w:rsidRDefault="00874EF0" w:rsidP="00874EF0">
      <w:pPr>
        <w:jc w:val="both"/>
        <w:rPr>
          <w:sz w:val="22"/>
          <w:szCs w:val="22"/>
          <w:u w:val="single"/>
        </w:rPr>
      </w:pPr>
      <w:r w:rsidRPr="00B14963">
        <w:rPr>
          <w:sz w:val="22"/>
          <w:szCs w:val="22"/>
          <w:u w:val="single"/>
        </w:rPr>
        <w:t>Neotvorena bočica</w:t>
      </w:r>
    </w:p>
    <w:p w14:paraId="039EE81B" w14:textId="77777777" w:rsidR="00874EF0" w:rsidRPr="00B14963" w:rsidRDefault="000F282B" w:rsidP="00874EF0">
      <w:pPr>
        <w:jc w:val="both"/>
        <w:rPr>
          <w:sz w:val="22"/>
          <w:szCs w:val="22"/>
        </w:rPr>
      </w:pPr>
      <w:r w:rsidRPr="00B14963">
        <w:rPr>
          <w:sz w:val="22"/>
          <w:szCs w:val="22"/>
        </w:rPr>
        <w:t>3 godine</w:t>
      </w:r>
    </w:p>
    <w:p w14:paraId="023B00EB" w14:textId="77777777" w:rsidR="00874EF0" w:rsidRPr="00B14963" w:rsidRDefault="00874EF0" w:rsidP="00874EF0">
      <w:pPr>
        <w:jc w:val="both"/>
        <w:rPr>
          <w:sz w:val="22"/>
          <w:szCs w:val="22"/>
        </w:rPr>
      </w:pPr>
    </w:p>
    <w:p w14:paraId="2C9EF830" w14:textId="77777777" w:rsidR="00874EF0" w:rsidRPr="00B14963" w:rsidRDefault="00874EF0" w:rsidP="00874EF0">
      <w:pPr>
        <w:jc w:val="both"/>
        <w:rPr>
          <w:sz w:val="22"/>
          <w:szCs w:val="22"/>
          <w:u w:val="single"/>
        </w:rPr>
      </w:pPr>
      <w:r w:rsidRPr="00B14963">
        <w:rPr>
          <w:sz w:val="22"/>
          <w:szCs w:val="22"/>
          <w:u w:val="single"/>
        </w:rPr>
        <w:t>Nakon prvog otvaranja</w:t>
      </w:r>
    </w:p>
    <w:p w14:paraId="69A4017C" w14:textId="77777777" w:rsidR="00874EF0" w:rsidRPr="00B14963" w:rsidRDefault="00874EF0" w:rsidP="00874EF0">
      <w:pPr>
        <w:jc w:val="both"/>
        <w:rPr>
          <w:sz w:val="22"/>
          <w:szCs w:val="22"/>
        </w:rPr>
      </w:pPr>
      <w:r w:rsidRPr="00B14963">
        <w:rPr>
          <w:sz w:val="22"/>
          <w:szCs w:val="22"/>
        </w:rPr>
        <w:t>Kada se izvuče iz bočice u špric, rastvor formulacije lijeka MabThera za subkutanu primjenu je fizički i hemijski stabilan 48 sati na temperaturi od 2°C do 8°C, a nakon toga još 8 sati na temperaturi od 30°C bez direktnog uticaja sunčeve svjetlosti.</w:t>
      </w:r>
    </w:p>
    <w:p w14:paraId="53D9DDCB" w14:textId="77777777" w:rsidR="00874EF0" w:rsidRPr="00B14963" w:rsidRDefault="00874EF0" w:rsidP="00874EF0">
      <w:pPr>
        <w:jc w:val="both"/>
        <w:rPr>
          <w:sz w:val="22"/>
          <w:szCs w:val="22"/>
        </w:rPr>
      </w:pPr>
    </w:p>
    <w:p w14:paraId="681E963A" w14:textId="77777777" w:rsidR="00874EF0" w:rsidRPr="00B14963" w:rsidRDefault="00874EF0" w:rsidP="00874EF0">
      <w:pPr>
        <w:jc w:val="both"/>
        <w:rPr>
          <w:sz w:val="22"/>
          <w:szCs w:val="22"/>
        </w:rPr>
      </w:pPr>
      <w:r w:rsidRPr="00B14963">
        <w:rPr>
          <w:sz w:val="22"/>
          <w:szCs w:val="22"/>
        </w:rPr>
        <w:t>Sa mikrobiološke tačke gledišta, lijek treba upotrijebiti odmah. Ako se ne upotrijebi odmah, lijek treba pripremiti u kontrolisanim i validiranim aseptičnim uslovima. Vrijeme i uslovi čuvanja prije upotrebe su isključiva odgovornost korisnika.</w:t>
      </w:r>
    </w:p>
    <w:p w14:paraId="787614F8" w14:textId="77777777" w:rsidR="00874EF0" w:rsidRPr="00B14963" w:rsidRDefault="00874EF0" w:rsidP="00874EF0">
      <w:pPr>
        <w:tabs>
          <w:tab w:val="left" w:pos="540"/>
          <w:tab w:val="left" w:pos="569"/>
        </w:tabs>
        <w:jc w:val="both"/>
        <w:rPr>
          <w:bCs/>
          <w:sz w:val="22"/>
          <w:szCs w:val="22"/>
        </w:rPr>
      </w:pPr>
    </w:p>
    <w:p w14:paraId="650F6F7E" w14:textId="77777777" w:rsidR="0072020E" w:rsidRPr="00B14963" w:rsidRDefault="0072020E" w:rsidP="00874EF0">
      <w:pPr>
        <w:tabs>
          <w:tab w:val="left" w:pos="540"/>
          <w:tab w:val="left" w:pos="569"/>
        </w:tabs>
        <w:jc w:val="both"/>
        <w:rPr>
          <w:b/>
          <w:bCs/>
          <w:sz w:val="22"/>
          <w:szCs w:val="22"/>
        </w:rPr>
      </w:pPr>
      <w:r w:rsidRPr="00B14963">
        <w:rPr>
          <w:b/>
          <w:bCs/>
          <w:sz w:val="22"/>
          <w:szCs w:val="22"/>
        </w:rPr>
        <w:t xml:space="preserve">6.4. </w:t>
      </w:r>
      <w:r w:rsidR="00480FB1" w:rsidRPr="00B14963">
        <w:rPr>
          <w:b/>
          <w:bCs/>
          <w:sz w:val="22"/>
          <w:szCs w:val="22"/>
        </w:rPr>
        <w:tab/>
      </w:r>
      <w:r w:rsidRPr="00B14963">
        <w:rPr>
          <w:b/>
          <w:bCs/>
          <w:sz w:val="22"/>
          <w:szCs w:val="22"/>
        </w:rPr>
        <w:t>Posebne mjere upozorenja pri čuvanju</w:t>
      </w:r>
      <w:r w:rsidR="00F8570A" w:rsidRPr="00B14963">
        <w:rPr>
          <w:b/>
          <w:bCs/>
          <w:sz w:val="22"/>
          <w:szCs w:val="22"/>
        </w:rPr>
        <w:t xml:space="preserve"> lijeka</w:t>
      </w:r>
    </w:p>
    <w:p w14:paraId="1C35294A" w14:textId="77777777" w:rsidR="00EC2532" w:rsidRPr="00B14963" w:rsidRDefault="00EC2532" w:rsidP="00874EF0">
      <w:pPr>
        <w:tabs>
          <w:tab w:val="left" w:pos="540"/>
          <w:tab w:val="left" w:pos="569"/>
        </w:tabs>
        <w:jc w:val="both"/>
        <w:rPr>
          <w:bCs/>
          <w:sz w:val="22"/>
          <w:szCs w:val="22"/>
        </w:rPr>
      </w:pPr>
    </w:p>
    <w:p w14:paraId="3E7DC0AB" w14:textId="246F1E04" w:rsidR="00874EF0" w:rsidRPr="00B14963" w:rsidRDefault="00874EF0" w:rsidP="00874EF0">
      <w:pPr>
        <w:jc w:val="both"/>
        <w:rPr>
          <w:sz w:val="22"/>
          <w:szCs w:val="22"/>
        </w:rPr>
      </w:pPr>
      <w:r w:rsidRPr="00B14963">
        <w:rPr>
          <w:sz w:val="22"/>
          <w:szCs w:val="22"/>
        </w:rPr>
        <w:t xml:space="preserve">Čuvati u frižideru (2°C do 8°C). </w:t>
      </w:r>
      <w:r w:rsidR="009D3F5D" w:rsidRPr="00B14963">
        <w:rPr>
          <w:sz w:val="22"/>
          <w:szCs w:val="22"/>
        </w:rPr>
        <w:t xml:space="preserve">Ne zamrzavati. </w:t>
      </w:r>
      <w:r w:rsidRPr="00B14963">
        <w:rPr>
          <w:sz w:val="22"/>
          <w:szCs w:val="22"/>
        </w:rPr>
        <w:t xml:space="preserve">Bočicu čuvati u </w:t>
      </w:r>
      <w:r w:rsidR="001E6D1D" w:rsidRPr="00B14963">
        <w:rPr>
          <w:sz w:val="22"/>
          <w:szCs w:val="22"/>
        </w:rPr>
        <w:t>spoljašnjem pakova</w:t>
      </w:r>
      <w:r w:rsidR="00300812" w:rsidRPr="00B14963">
        <w:rPr>
          <w:sz w:val="22"/>
          <w:szCs w:val="22"/>
        </w:rPr>
        <w:t>nju</w:t>
      </w:r>
      <w:r w:rsidR="001E6D1D" w:rsidRPr="00B14963">
        <w:rPr>
          <w:sz w:val="22"/>
          <w:szCs w:val="22"/>
        </w:rPr>
        <w:t xml:space="preserve"> radi zaštite od svjetlosti.</w:t>
      </w:r>
      <w:r w:rsidRPr="00B14963">
        <w:rPr>
          <w:sz w:val="22"/>
          <w:szCs w:val="22"/>
        </w:rPr>
        <w:t xml:space="preserve"> </w:t>
      </w:r>
    </w:p>
    <w:p w14:paraId="79553037" w14:textId="77777777" w:rsidR="009D3F5D" w:rsidRPr="00B14963" w:rsidRDefault="009D3F5D" w:rsidP="00874EF0">
      <w:pPr>
        <w:jc w:val="both"/>
        <w:rPr>
          <w:sz w:val="22"/>
          <w:szCs w:val="22"/>
        </w:rPr>
      </w:pPr>
    </w:p>
    <w:p w14:paraId="5427B4DA" w14:textId="77777777" w:rsidR="00874EF0" w:rsidRPr="00B14963" w:rsidRDefault="00874EF0" w:rsidP="00874EF0">
      <w:pPr>
        <w:jc w:val="both"/>
        <w:rPr>
          <w:sz w:val="22"/>
          <w:szCs w:val="22"/>
        </w:rPr>
      </w:pPr>
      <w:r w:rsidRPr="00B14963">
        <w:rPr>
          <w:sz w:val="22"/>
          <w:szCs w:val="22"/>
        </w:rPr>
        <w:t xml:space="preserve">Za uslove čuvanja nakon prvog otvaranja lijeka, vidjeti </w:t>
      </w:r>
      <w:r w:rsidR="0004041A" w:rsidRPr="00B14963">
        <w:rPr>
          <w:sz w:val="22"/>
          <w:szCs w:val="22"/>
        </w:rPr>
        <w:t xml:space="preserve">dio </w:t>
      </w:r>
      <w:r w:rsidRPr="00B14963">
        <w:rPr>
          <w:sz w:val="22"/>
          <w:szCs w:val="22"/>
        </w:rPr>
        <w:t xml:space="preserve">6.3. </w:t>
      </w:r>
    </w:p>
    <w:p w14:paraId="1251E73D" w14:textId="77777777" w:rsidR="00874EF0" w:rsidRPr="00B14963" w:rsidRDefault="00874EF0" w:rsidP="00874EF0">
      <w:pPr>
        <w:tabs>
          <w:tab w:val="left" w:pos="540"/>
          <w:tab w:val="left" w:pos="569"/>
        </w:tabs>
        <w:jc w:val="both"/>
        <w:rPr>
          <w:bCs/>
          <w:sz w:val="22"/>
          <w:szCs w:val="22"/>
        </w:rPr>
      </w:pPr>
    </w:p>
    <w:p w14:paraId="6B20D30B" w14:textId="77777777" w:rsidR="0072020E" w:rsidRPr="00B14963" w:rsidRDefault="0072020E" w:rsidP="00874EF0">
      <w:pPr>
        <w:tabs>
          <w:tab w:val="left" w:pos="540"/>
          <w:tab w:val="left" w:pos="569"/>
        </w:tabs>
        <w:jc w:val="both"/>
        <w:rPr>
          <w:b/>
          <w:bCs/>
          <w:sz w:val="22"/>
          <w:szCs w:val="22"/>
        </w:rPr>
      </w:pPr>
      <w:r w:rsidRPr="00B14963">
        <w:rPr>
          <w:b/>
          <w:bCs/>
          <w:sz w:val="22"/>
          <w:szCs w:val="22"/>
        </w:rPr>
        <w:lastRenderedPageBreak/>
        <w:t xml:space="preserve">6.5. </w:t>
      </w:r>
      <w:r w:rsidR="00480FB1" w:rsidRPr="00B14963">
        <w:rPr>
          <w:b/>
          <w:bCs/>
          <w:sz w:val="22"/>
          <w:szCs w:val="22"/>
        </w:rPr>
        <w:tab/>
      </w:r>
      <w:r w:rsidR="002846DB" w:rsidRPr="00B14963">
        <w:rPr>
          <w:b/>
          <w:bCs/>
          <w:sz w:val="22"/>
          <w:szCs w:val="22"/>
        </w:rPr>
        <w:t xml:space="preserve">Vrsta </w:t>
      </w:r>
      <w:bookmarkStart w:id="2" w:name="_GoBack"/>
      <w:bookmarkEnd w:id="2"/>
      <w:r w:rsidR="002846DB" w:rsidRPr="00B14963">
        <w:rPr>
          <w:b/>
          <w:bCs/>
          <w:sz w:val="22"/>
          <w:szCs w:val="22"/>
        </w:rPr>
        <w:t xml:space="preserve">i sadržaj </w:t>
      </w:r>
      <w:r w:rsidR="00F8570A" w:rsidRPr="00B14963">
        <w:rPr>
          <w:b/>
          <w:bCs/>
          <w:sz w:val="22"/>
          <w:szCs w:val="22"/>
        </w:rPr>
        <w:t>pakovanja</w:t>
      </w:r>
      <w:r w:rsidR="00C06864" w:rsidRPr="00B14963">
        <w:rPr>
          <w:b/>
          <w:bCs/>
          <w:sz w:val="22"/>
          <w:szCs w:val="22"/>
        </w:rPr>
        <w:t xml:space="preserve"> </w:t>
      </w:r>
    </w:p>
    <w:p w14:paraId="654D3C90" w14:textId="77777777" w:rsidR="00874EF0" w:rsidRPr="00B14963" w:rsidRDefault="00874EF0" w:rsidP="00874EF0">
      <w:pPr>
        <w:tabs>
          <w:tab w:val="left" w:pos="540"/>
          <w:tab w:val="left" w:pos="569"/>
        </w:tabs>
        <w:jc w:val="both"/>
        <w:rPr>
          <w:b/>
          <w:bCs/>
          <w:sz w:val="22"/>
          <w:szCs w:val="22"/>
        </w:rPr>
      </w:pPr>
    </w:p>
    <w:p w14:paraId="5F194BFC" w14:textId="77777777" w:rsidR="00874EF0" w:rsidRPr="00B14963" w:rsidRDefault="00874EF0" w:rsidP="00874EF0">
      <w:pPr>
        <w:jc w:val="both"/>
        <w:outlineLvl w:val="0"/>
        <w:rPr>
          <w:sz w:val="22"/>
          <w:szCs w:val="22"/>
        </w:rPr>
      </w:pPr>
      <w:r w:rsidRPr="00B14963">
        <w:rPr>
          <w:sz w:val="22"/>
          <w:szCs w:val="22"/>
        </w:rPr>
        <w:t>Staklena bočica (bezbojno staklo tipa I) sa butil gumenim čepom, aluminijumskim zaštitnim zatvaračem i plavim plastičnim „flip-off“ poklopcem, koja sadrži 1600 mg/13,4 ml  rituksimaba.</w:t>
      </w:r>
    </w:p>
    <w:p w14:paraId="6884DD0F" w14:textId="77777777" w:rsidR="009D3F5D" w:rsidRPr="00B14963" w:rsidRDefault="009D3F5D" w:rsidP="00874EF0">
      <w:pPr>
        <w:jc w:val="both"/>
        <w:outlineLvl w:val="0"/>
        <w:rPr>
          <w:sz w:val="22"/>
          <w:szCs w:val="22"/>
        </w:rPr>
      </w:pPr>
    </w:p>
    <w:p w14:paraId="4C217279" w14:textId="77777777" w:rsidR="0072020E" w:rsidRPr="00B14963" w:rsidRDefault="00874EF0" w:rsidP="00874EF0">
      <w:pPr>
        <w:tabs>
          <w:tab w:val="left" w:pos="540"/>
          <w:tab w:val="left" w:pos="569"/>
        </w:tabs>
        <w:jc w:val="both"/>
        <w:rPr>
          <w:sz w:val="22"/>
          <w:szCs w:val="22"/>
        </w:rPr>
      </w:pPr>
      <w:r w:rsidRPr="00B14963">
        <w:rPr>
          <w:sz w:val="22"/>
          <w:szCs w:val="22"/>
        </w:rPr>
        <w:t>Jedno pakovanje sadrži jednu bočicu.</w:t>
      </w:r>
    </w:p>
    <w:p w14:paraId="3A31669F" w14:textId="77777777" w:rsidR="00874EF0" w:rsidRPr="00B14963" w:rsidRDefault="00874EF0" w:rsidP="00874EF0">
      <w:pPr>
        <w:tabs>
          <w:tab w:val="left" w:pos="540"/>
          <w:tab w:val="left" w:pos="569"/>
        </w:tabs>
        <w:jc w:val="both"/>
        <w:rPr>
          <w:bCs/>
          <w:sz w:val="22"/>
          <w:szCs w:val="22"/>
        </w:rPr>
      </w:pPr>
    </w:p>
    <w:p w14:paraId="143AB35D" w14:textId="77777777" w:rsidR="002846DB" w:rsidRPr="00B14963" w:rsidRDefault="0072020E" w:rsidP="00874EF0">
      <w:pPr>
        <w:tabs>
          <w:tab w:val="left" w:pos="540"/>
          <w:tab w:val="left" w:pos="569"/>
        </w:tabs>
        <w:jc w:val="both"/>
        <w:rPr>
          <w:b/>
          <w:bCs/>
          <w:sz w:val="22"/>
          <w:szCs w:val="22"/>
        </w:rPr>
      </w:pPr>
      <w:r w:rsidRPr="00B14963">
        <w:rPr>
          <w:b/>
          <w:bCs/>
          <w:sz w:val="22"/>
          <w:szCs w:val="22"/>
        </w:rPr>
        <w:t xml:space="preserve">6.6. </w:t>
      </w:r>
      <w:r w:rsidR="00480FB1" w:rsidRPr="00B14963">
        <w:rPr>
          <w:b/>
          <w:bCs/>
          <w:sz w:val="22"/>
          <w:szCs w:val="22"/>
        </w:rPr>
        <w:tab/>
      </w:r>
      <w:r w:rsidRPr="00B14963">
        <w:rPr>
          <w:b/>
          <w:bCs/>
          <w:color w:val="000000"/>
          <w:sz w:val="22"/>
          <w:szCs w:val="22"/>
        </w:rPr>
        <w:t>Posebne mjere opreza pri odlaganju materijala koji treba odbaciti nakon primjene lijeka</w:t>
      </w:r>
      <w:r w:rsidRPr="00B14963">
        <w:rPr>
          <w:b/>
          <w:bCs/>
          <w:sz w:val="22"/>
          <w:szCs w:val="22"/>
        </w:rPr>
        <w:t xml:space="preserve"> </w:t>
      </w:r>
      <w:r w:rsidR="00310F03" w:rsidRPr="00B14963">
        <w:rPr>
          <w:b/>
          <w:bCs/>
          <w:sz w:val="22"/>
          <w:szCs w:val="22"/>
        </w:rPr>
        <w:t>(i druga uputs</w:t>
      </w:r>
      <w:r w:rsidR="004109FA" w:rsidRPr="00B14963">
        <w:rPr>
          <w:b/>
          <w:bCs/>
          <w:sz w:val="22"/>
          <w:szCs w:val="22"/>
        </w:rPr>
        <w:t>t</w:t>
      </w:r>
      <w:r w:rsidR="00310F03" w:rsidRPr="00B14963">
        <w:rPr>
          <w:b/>
          <w:bCs/>
          <w:sz w:val="22"/>
          <w:szCs w:val="22"/>
        </w:rPr>
        <w:t xml:space="preserve">va za rukovanje lijekom) </w:t>
      </w:r>
    </w:p>
    <w:p w14:paraId="2AFFA2D8" w14:textId="77777777" w:rsidR="00B66A70" w:rsidRPr="00B14963" w:rsidRDefault="00B66A70" w:rsidP="00874EF0">
      <w:pPr>
        <w:tabs>
          <w:tab w:val="left" w:pos="540"/>
          <w:tab w:val="left" w:pos="569"/>
        </w:tabs>
        <w:jc w:val="both"/>
        <w:rPr>
          <w:b/>
          <w:bCs/>
          <w:sz w:val="22"/>
          <w:szCs w:val="22"/>
        </w:rPr>
      </w:pPr>
    </w:p>
    <w:p w14:paraId="2C170AD1" w14:textId="55DF55B2" w:rsidR="009C2F34" w:rsidRPr="00B14963" w:rsidRDefault="00874EF0" w:rsidP="00874EF0">
      <w:pPr>
        <w:keepNext/>
        <w:keepLines/>
        <w:jc w:val="both"/>
        <w:outlineLvl w:val="0"/>
        <w:rPr>
          <w:sz w:val="22"/>
          <w:szCs w:val="22"/>
        </w:rPr>
      </w:pPr>
      <w:r w:rsidRPr="00B14963">
        <w:rPr>
          <w:sz w:val="22"/>
          <w:szCs w:val="22"/>
        </w:rPr>
        <w:t>Lijek MabThera je dostupan u sterilnim, apirogenim bočicama za jednokratnu upotrebu bez konzervansa.</w:t>
      </w:r>
      <w:r w:rsidR="009C2F34" w:rsidRPr="00B14963">
        <w:rPr>
          <w:sz w:val="22"/>
          <w:szCs w:val="22"/>
        </w:rPr>
        <w:t xml:space="preserve"> Koristite sterilnu iglu i špric prilikom pripreme lijeka MabThera. </w:t>
      </w:r>
      <w:r w:rsidRPr="00B14963">
        <w:rPr>
          <w:sz w:val="22"/>
          <w:szCs w:val="22"/>
        </w:rPr>
        <w:t>Na bočicama se nalazi odvojiva naljepnica na kojoj su navedeni jačina, put primjene i indikacija. Tu naljepnicu treba prije primjene odlijepiti sa bočice i zalijepiti na špric.</w:t>
      </w:r>
    </w:p>
    <w:p w14:paraId="0B06BF4F" w14:textId="77777777" w:rsidR="009C2F34" w:rsidRPr="00B14963" w:rsidRDefault="009C2F34" w:rsidP="00874EF0">
      <w:pPr>
        <w:keepNext/>
        <w:keepLines/>
        <w:jc w:val="both"/>
        <w:outlineLvl w:val="0"/>
        <w:rPr>
          <w:sz w:val="22"/>
          <w:szCs w:val="22"/>
        </w:rPr>
      </w:pPr>
    </w:p>
    <w:p w14:paraId="1CE5E2D6" w14:textId="77777777" w:rsidR="00874EF0" w:rsidRPr="00B14963" w:rsidRDefault="00874EF0" w:rsidP="00874EF0">
      <w:pPr>
        <w:keepNext/>
        <w:keepLines/>
        <w:jc w:val="both"/>
        <w:outlineLvl w:val="0"/>
        <w:rPr>
          <w:sz w:val="22"/>
          <w:szCs w:val="22"/>
        </w:rPr>
      </w:pPr>
      <w:r w:rsidRPr="00B14963">
        <w:rPr>
          <w:sz w:val="22"/>
          <w:szCs w:val="22"/>
        </w:rPr>
        <w:t>Neophodno je strogo se pridržavati sljedećih smjernica povezanih sa upotrebom i odlaganjem špriceva i drugih oštrih medicinskih predmeta:</w:t>
      </w:r>
    </w:p>
    <w:p w14:paraId="3A3BFADE" w14:textId="77777777" w:rsidR="00874EF0" w:rsidRPr="00B14963" w:rsidRDefault="00874EF0" w:rsidP="00874EF0">
      <w:pPr>
        <w:ind w:left="562" w:hanging="562"/>
        <w:jc w:val="both"/>
        <w:outlineLvl w:val="0"/>
        <w:rPr>
          <w:sz w:val="22"/>
          <w:szCs w:val="22"/>
        </w:rPr>
      </w:pPr>
      <w:r w:rsidRPr="00B14963">
        <w:rPr>
          <w:sz w:val="22"/>
          <w:szCs w:val="22"/>
        </w:rPr>
        <w:sym w:font="Symbol" w:char="F0B7"/>
      </w:r>
      <w:r w:rsidRPr="00B14963">
        <w:rPr>
          <w:sz w:val="22"/>
          <w:szCs w:val="22"/>
        </w:rPr>
        <w:tab/>
        <w:t>Igle i špricevi se nikada ne smiju ponovno upotrijebiti.</w:t>
      </w:r>
    </w:p>
    <w:p w14:paraId="2A13E94C" w14:textId="77777777" w:rsidR="00874EF0" w:rsidRPr="00B14963" w:rsidRDefault="00874EF0" w:rsidP="00874EF0">
      <w:pPr>
        <w:ind w:left="562" w:hanging="562"/>
        <w:jc w:val="both"/>
        <w:outlineLvl w:val="0"/>
        <w:rPr>
          <w:sz w:val="22"/>
          <w:szCs w:val="22"/>
        </w:rPr>
      </w:pPr>
      <w:r w:rsidRPr="00B14963">
        <w:rPr>
          <w:sz w:val="22"/>
          <w:szCs w:val="22"/>
        </w:rPr>
        <w:sym w:font="Symbol" w:char="F0B7"/>
      </w:r>
      <w:r w:rsidRPr="00B14963">
        <w:rPr>
          <w:sz w:val="22"/>
          <w:szCs w:val="22"/>
        </w:rPr>
        <w:tab/>
        <w:t xml:space="preserve">Sve upotrijebljene igle i špriceve treba odložiti u posudu za oštre predmete (neprobojna posuda za jednokratnu upotrebu). </w:t>
      </w:r>
    </w:p>
    <w:p w14:paraId="58E9C97F" w14:textId="77777777" w:rsidR="00874EF0" w:rsidRPr="00B14963" w:rsidRDefault="00874EF0" w:rsidP="00874EF0">
      <w:pPr>
        <w:ind w:left="360"/>
        <w:jc w:val="both"/>
        <w:rPr>
          <w:sz w:val="22"/>
          <w:szCs w:val="22"/>
        </w:rPr>
      </w:pPr>
    </w:p>
    <w:p w14:paraId="1BE3F284" w14:textId="73E76A1F" w:rsidR="0072020E" w:rsidRPr="00B14963" w:rsidRDefault="00874EF0" w:rsidP="00874EF0">
      <w:pPr>
        <w:tabs>
          <w:tab w:val="left" w:pos="540"/>
          <w:tab w:val="left" w:pos="569"/>
        </w:tabs>
        <w:jc w:val="both"/>
        <w:rPr>
          <w:sz w:val="22"/>
          <w:szCs w:val="22"/>
        </w:rPr>
      </w:pPr>
      <w:r w:rsidRPr="00B14963">
        <w:rPr>
          <w:sz w:val="22"/>
          <w:szCs w:val="22"/>
        </w:rPr>
        <w:t xml:space="preserve">Svu neiskorišćenu količinu </w:t>
      </w:r>
      <w:r w:rsidR="00BC6782" w:rsidRPr="00B14963">
        <w:rPr>
          <w:sz w:val="22"/>
          <w:szCs w:val="22"/>
        </w:rPr>
        <w:t xml:space="preserve">lijeka </w:t>
      </w:r>
      <w:r w:rsidRPr="00B14963">
        <w:rPr>
          <w:sz w:val="22"/>
          <w:szCs w:val="22"/>
        </w:rPr>
        <w:t>ili otpadni materijal treba ukloniti u skladu sa lokalnim propisima.</w:t>
      </w:r>
    </w:p>
    <w:p w14:paraId="12DB8294" w14:textId="77777777" w:rsidR="00874EF0" w:rsidRPr="00B14963" w:rsidRDefault="00874EF0" w:rsidP="00874EF0">
      <w:pPr>
        <w:tabs>
          <w:tab w:val="left" w:pos="540"/>
          <w:tab w:val="left" w:pos="569"/>
        </w:tabs>
        <w:jc w:val="both"/>
        <w:rPr>
          <w:bCs/>
          <w:sz w:val="22"/>
          <w:szCs w:val="22"/>
        </w:rPr>
      </w:pPr>
    </w:p>
    <w:p w14:paraId="0A2D2C54" w14:textId="77777777" w:rsidR="0004041A" w:rsidRPr="00B14963" w:rsidRDefault="0004041A" w:rsidP="00874EF0">
      <w:pPr>
        <w:tabs>
          <w:tab w:val="left" w:pos="540"/>
          <w:tab w:val="left" w:pos="569"/>
        </w:tabs>
        <w:jc w:val="both"/>
        <w:rPr>
          <w:bCs/>
          <w:sz w:val="22"/>
          <w:szCs w:val="22"/>
        </w:rPr>
      </w:pPr>
    </w:p>
    <w:p w14:paraId="020A4DB7" w14:textId="77777777" w:rsidR="00F8570A" w:rsidRPr="00B14963" w:rsidRDefault="0072020E" w:rsidP="00874EF0">
      <w:pPr>
        <w:tabs>
          <w:tab w:val="left" w:pos="540"/>
          <w:tab w:val="left" w:pos="569"/>
        </w:tabs>
        <w:jc w:val="both"/>
        <w:rPr>
          <w:b/>
          <w:bCs/>
          <w:sz w:val="22"/>
          <w:szCs w:val="22"/>
        </w:rPr>
      </w:pPr>
      <w:r w:rsidRPr="00B14963">
        <w:rPr>
          <w:b/>
          <w:bCs/>
          <w:sz w:val="22"/>
          <w:szCs w:val="22"/>
        </w:rPr>
        <w:t xml:space="preserve">7. </w:t>
      </w:r>
      <w:r w:rsidR="00480FB1" w:rsidRPr="00B14963">
        <w:rPr>
          <w:b/>
          <w:bCs/>
          <w:sz w:val="22"/>
          <w:szCs w:val="22"/>
        </w:rPr>
        <w:tab/>
      </w:r>
      <w:r w:rsidRPr="00B14963">
        <w:rPr>
          <w:b/>
          <w:bCs/>
          <w:sz w:val="22"/>
          <w:szCs w:val="22"/>
        </w:rPr>
        <w:t>NOSILAC DOZVOLE</w:t>
      </w:r>
      <w:r w:rsidR="00483928" w:rsidRPr="00B14963">
        <w:rPr>
          <w:b/>
          <w:bCs/>
          <w:sz w:val="22"/>
          <w:szCs w:val="22"/>
        </w:rPr>
        <w:t xml:space="preserve"> </w:t>
      </w:r>
    </w:p>
    <w:p w14:paraId="605405A0" w14:textId="77777777" w:rsidR="00C61BE0" w:rsidRPr="00B14963" w:rsidRDefault="00C61BE0" w:rsidP="00874EF0">
      <w:pPr>
        <w:tabs>
          <w:tab w:val="left" w:pos="540"/>
          <w:tab w:val="left" w:pos="569"/>
        </w:tabs>
        <w:jc w:val="both"/>
        <w:rPr>
          <w:bCs/>
          <w:sz w:val="22"/>
          <w:szCs w:val="22"/>
        </w:rPr>
      </w:pPr>
    </w:p>
    <w:p w14:paraId="1268A20C" w14:textId="77777777" w:rsidR="00874EF0" w:rsidRPr="00B14963" w:rsidRDefault="00874EF0" w:rsidP="00874EF0">
      <w:pPr>
        <w:jc w:val="both"/>
        <w:rPr>
          <w:sz w:val="22"/>
          <w:szCs w:val="22"/>
        </w:rPr>
      </w:pPr>
      <w:r w:rsidRPr="00B14963">
        <w:rPr>
          <w:sz w:val="22"/>
          <w:szCs w:val="22"/>
        </w:rPr>
        <w:t>''Hoffmann - La Roche LTD'' D.S.D. Podgorica</w:t>
      </w:r>
    </w:p>
    <w:p w14:paraId="531D6573" w14:textId="77777777" w:rsidR="00874EF0" w:rsidRPr="00B14963" w:rsidRDefault="00874EF0" w:rsidP="00874EF0">
      <w:pPr>
        <w:jc w:val="both"/>
        <w:rPr>
          <w:sz w:val="22"/>
          <w:szCs w:val="22"/>
        </w:rPr>
      </w:pPr>
      <w:r w:rsidRPr="00B14963">
        <w:rPr>
          <w:sz w:val="22"/>
          <w:szCs w:val="22"/>
        </w:rPr>
        <w:t>Cetinjska br. 11, 81000 Podgorica, Crna Gora</w:t>
      </w:r>
    </w:p>
    <w:p w14:paraId="29C9C45F" w14:textId="77777777" w:rsidR="00C37FD7" w:rsidRPr="00B14963" w:rsidRDefault="00C37FD7" w:rsidP="00874EF0">
      <w:pPr>
        <w:tabs>
          <w:tab w:val="left" w:pos="540"/>
          <w:tab w:val="left" w:pos="569"/>
        </w:tabs>
        <w:jc w:val="both"/>
        <w:rPr>
          <w:bCs/>
          <w:sz w:val="22"/>
          <w:szCs w:val="22"/>
        </w:rPr>
      </w:pPr>
    </w:p>
    <w:p w14:paraId="3C7F30F3" w14:textId="77777777" w:rsidR="0004041A" w:rsidRPr="00B14963" w:rsidRDefault="0004041A" w:rsidP="00874EF0">
      <w:pPr>
        <w:tabs>
          <w:tab w:val="left" w:pos="540"/>
          <w:tab w:val="left" w:pos="569"/>
        </w:tabs>
        <w:jc w:val="both"/>
        <w:rPr>
          <w:bCs/>
          <w:sz w:val="22"/>
          <w:szCs w:val="22"/>
        </w:rPr>
      </w:pPr>
    </w:p>
    <w:p w14:paraId="7685BC35" w14:textId="77777777" w:rsidR="0072020E" w:rsidRPr="00B14963" w:rsidRDefault="0072020E" w:rsidP="00874EF0">
      <w:pPr>
        <w:tabs>
          <w:tab w:val="left" w:pos="540"/>
          <w:tab w:val="left" w:pos="569"/>
        </w:tabs>
        <w:jc w:val="both"/>
        <w:rPr>
          <w:b/>
          <w:bCs/>
          <w:sz w:val="22"/>
          <w:szCs w:val="22"/>
        </w:rPr>
      </w:pPr>
      <w:r w:rsidRPr="00B14963">
        <w:rPr>
          <w:b/>
          <w:bCs/>
          <w:sz w:val="22"/>
          <w:szCs w:val="22"/>
        </w:rPr>
        <w:t xml:space="preserve">8. </w:t>
      </w:r>
      <w:r w:rsidR="00480FB1" w:rsidRPr="00B14963">
        <w:rPr>
          <w:b/>
          <w:bCs/>
          <w:sz w:val="22"/>
          <w:szCs w:val="22"/>
        </w:rPr>
        <w:tab/>
      </w:r>
      <w:r w:rsidRPr="00B14963">
        <w:rPr>
          <w:b/>
          <w:bCs/>
          <w:sz w:val="22"/>
          <w:szCs w:val="22"/>
        </w:rPr>
        <w:t>BROJ DOZVOLE</w:t>
      </w:r>
      <w:r w:rsidR="008A6D43" w:rsidRPr="00B14963">
        <w:rPr>
          <w:b/>
          <w:bCs/>
          <w:sz w:val="22"/>
          <w:szCs w:val="22"/>
        </w:rPr>
        <w:t xml:space="preserve"> ZA STAVLJANJE LIJEKA U PROMET</w:t>
      </w:r>
    </w:p>
    <w:p w14:paraId="5C72C5D3" w14:textId="33E871E0" w:rsidR="0004041A" w:rsidRPr="00B14963" w:rsidRDefault="0004041A" w:rsidP="00874EF0">
      <w:pPr>
        <w:tabs>
          <w:tab w:val="left" w:pos="540"/>
          <w:tab w:val="left" w:pos="569"/>
        </w:tabs>
        <w:jc w:val="both"/>
        <w:rPr>
          <w:sz w:val="22"/>
          <w:szCs w:val="22"/>
        </w:rPr>
      </w:pPr>
    </w:p>
    <w:p w14:paraId="77656CBF" w14:textId="23310D83" w:rsidR="00B14963" w:rsidRPr="00B14963" w:rsidRDefault="00B14963" w:rsidP="00874EF0">
      <w:pPr>
        <w:tabs>
          <w:tab w:val="left" w:pos="540"/>
          <w:tab w:val="left" w:pos="569"/>
        </w:tabs>
        <w:jc w:val="both"/>
        <w:rPr>
          <w:noProof w:val="0"/>
          <w:sz w:val="22"/>
          <w:szCs w:val="22"/>
          <w:lang w:eastAsia="sr-Latn-ME"/>
        </w:rPr>
      </w:pPr>
      <w:r w:rsidRPr="00B14963">
        <w:rPr>
          <w:noProof w:val="0"/>
          <w:sz w:val="22"/>
          <w:szCs w:val="22"/>
          <w:lang w:eastAsia="sr-Latn-ME"/>
        </w:rPr>
        <w:t>2030/25/2432 – 3923</w:t>
      </w:r>
    </w:p>
    <w:p w14:paraId="6320ABDA" w14:textId="77777777" w:rsidR="00B14963" w:rsidRPr="00B14963" w:rsidRDefault="00B14963" w:rsidP="00874EF0">
      <w:pPr>
        <w:tabs>
          <w:tab w:val="left" w:pos="540"/>
          <w:tab w:val="left" w:pos="569"/>
        </w:tabs>
        <w:jc w:val="both"/>
        <w:rPr>
          <w:sz w:val="22"/>
          <w:szCs w:val="22"/>
        </w:rPr>
      </w:pPr>
    </w:p>
    <w:p w14:paraId="3A1C1CD3" w14:textId="77777777" w:rsidR="009D3F5D" w:rsidRPr="00B14963" w:rsidRDefault="009D3F5D" w:rsidP="00874EF0">
      <w:pPr>
        <w:tabs>
          <w:tab w:val="left" w:pos="540"/>
          <w:tab w:val="left" w:pos="569"/>
        </w:tabs>
        <w:jc w:val="both"/>
        <w:rPr>
          <w:bCs/>
          <w:sz w:val="22"/>
          <w:szCs w:val="22"/>
        </w:rPr>
      </w:pPr>
    </w:p>
    <w:p w14:paraId="638A9714" w14:textId="77777777" w:rsidR="0072020E" w:rsidRPr="00B14963" w:rsidRDefault="0072020E" w:rsidP="00874EF0">
      <w:pPr>
        <w:tabs>
          <w:tab w:val="left" w:pos="540"/>
          <w:tab w:val="left" w:pos="569"/>
        </w:tabs>
        <w:jc w:val="both"/>
        <w:rPr>
          <w:b/>
          <w:bCs/>
          <w:sz w:val="22"/>
          <w:szCs w:val="22"/>
        </w:rPr>
      </w:pPr>
      <w:r w:rsidRPr="00B14963">
        <w:rPr>
          <w:b/>
          <w:bCs/>
          <w:sz w:val="22"/>
          <w:szCs w:val="22"/>
        </w:rPr>
        <w:t xml:space="preserve">9. </w:t>
      </w:r>
      <w:r w:rsidR="00480FB1" w:rsidRPr="00B14963">
        <w:rPr>
          <w:b/>
          <w:bCs/>
          <w:sz w:val="22"/>
          <w:szCs w:val="22"/>
        </w:rPr>
        <w:tab/>
      </w:r>
      <w:r w:rsidRPr="00B14963">
        <w:rPr>
          <w:b/>
          <w:bCs/>
          <w:sz w:val="22"/>
          <w:szCs w:val="22"/>
        </w:rPr>
        <w:t xml:space="preserve">DATUM </w:t>
      </w:r>
      <w:r w:rsidR="00C05DF8" w:rsidRPr="00B14963">
        <w:rPr>
          <w:b/>
          <w:bCs/>
          <w:sz w:val="22"/>
          <w:szCs w:val="22"/>
        </w:rPr>
        <w:t xml:space="preserve">PRVE </w:t>
      </w:r>
      <w:r w:rsidR="008A6D43" w:rsidRPr="00B14963">
        <w:rPr>
          <w:b/>
          <w:bCs/>
          <w:sz w:val="22"/>
          <w:szCs w:val="22"/>
        </w:rPr>
        <w:t>DOZVOLE</w:t>
      </w:r>
      <w:r w:rsidR="00C05DF8" w:rsidRPr="00B14963">
        <w:rPr>
          <w:b/>
          <w:bCs/>
          <w:sz w:val="22"/>
          <w:szCs w:val="22"/>
        </w:rPr>
        <w:t>/OBNOVE DOZVOLE</w:t>
      </w:r>
      <w:r w:rsidR="008A6D43" w:rsidRPr="00B14963">
        <w:rPr>
          <w:b/>
          <w:bCs/>
          <w:sz w:val="22"/>
          <w:szCs w:val="22"/>
        </w:rPr>
        <w:t xml:space="preserve"> ZA STAVLJANJE LIJEKA U PROMET</w:t>
      </w:r>
    </w:p>
    <w:p w14:paraId="56D2BE98" w14:textId="77777777" w:rsidR="0072020E" w:rsidRPr="00B14963" w:rsidRDefault="0072020E" w:rsidP="00874EF0">
      <w:pPr>
        <w:tabs>
          <w:tab w:val="left" w:pos="540"/>
          <w:tab w:val="left" w:pos="569"/>
        </w:tabs>
        <w:jc w:val="both"/>
        <w:rPr>
          <w:bCs/>
          <w:sz w:val="22"/>
          <w:szCs w:val="22"/>
        </w:rPr>
      </w:pPr>
    </w:p>
    <w:p w14:paraId="6DE6AF5F" w14:textId="77777777" w:rsidR="00836B35" w:rsidRPr="00B14963" w:rsidRDefault="001E6D1D" w:rsidP="00874EF0">
      <w:pPr>
        <w:tabs>
          <w:tab w:val="left" w:pos="540"/>
          <w:tab w:val="left" w:pos="569"/>
        </w:tabs>
        <w:jc w:val="both"/>
        <w:rPr>
          <w:sz w:val="22"/>
          <w:szCs w:val="22"/>
        </w:rPr>
      </w:pPr>
      <w:r w:rsidRPr="00B14963">
        <w:rPr>
          <w:sz w:val="22"/>
          <w:szCs w:val="22"/>
        </w:rPr>
        <w:t xml:space="preserve">Datum prve dozvole: </w:t>
      </w:r>
      <w:r w:rsidR="00874EF0" w:rsidRPr="00B14963">
        <w:rPr>
          <w:sz w:val="22"/>
          <w:szCs w:val="22"/>
        </w:rPr>
        <w:t>01.03.2018</w:t>
      </w:r>
      <w:r w:rsidR="00F05C4E" w:rsidRPr="00B14963">
        <w:rPr>
          <w:sz w:val="22"/>
          <w:szCs w:val="22"/>
        </w:rPr>
        <w:t>.</w:t>
      </w:r>
      <w:r w:rsidR="0004041A" w:rsidRPr="00B14963">
        <w:rPr>
          <w:sz w:val="22"/>
          <w:szCs w:val="22"/>
        </w:rPr>
        <w:t xml:space="preserve"> godine</w:t>
      </w:r>
    </w:p>
    <w:p w14:paraId="45E2CDC4" w14:textId="7CF8E60D" w:rsidR="001E6D1D" w:rsidRPr="00B14963" w:rsidRDefault="001E6D1D" w:rsidP="00874EF0">
      <w:pPr>
        <w:tabs>
          <w:tab w:val="left" w:pos="540"/>
          <w:tab w:val="left" w:pos="569"/>
        </w:tabs>
        <w:jc w:val="both"/>
        <w:rPr>
          <w:sz w:val="22"/>
          <w:szCs w:val="22"/>
        </w:rPr>
      </w:pPr>
      <w:r w:rsidRPr="00B14963">
        <w:rPr>
          <w:sz w:val="22"/>
          <w:szCs w:val="22"/>
        </w:rPr>
        <w:t>Datum posljednje obnove dozvole:</w:t>
      </w:r>
      <w:r w:rsidR="00B14963" w:rsidRPr="00B14963">
        <w:rPr>
          <w:sz w:val="22"/>
          <w:szCs w:val="22"/>
        </w:rPr>
        <w:t xml:space="preserve"> </w:t>
      </w:r>
      <w:r w:rsidR="00104AD8">
        <w:rPr>
          <w:sz w:val="22"/>
          <w:szCs w:val="22"/>
        </w:rPr>
        <w:t>23.07</w:t>
      </w:r>
      <w:r w:rsidR="00B14963" w:rsidRPr="00B14963">
        <w:rPr>
          <w:sz w:val="22"/>
          <w:szCs w:val="22"/>
        </w:rPr>
        <w:t>.2025. godine</w:t>
      </w:r>
    </w:p>
    <w:p w14:paraId="28FCB497" w14:textId="77777777" w:rsidR="0004041A" w:rsidRPr="00B14963" w:rsidRDefault="0004041A" w:rsidP="00874EF0">
      <w:pPr>
        <w:tabs>
          <w:tab w:val="left" w:pos="540"/>
          <w:tab w:val="left" w:pos="569"/>
        </w:tabs>
        <w:jc w:val="both"/>
        <w:rPr>
          <w:sz w:val="22"/>
          <w:szCs w:val="22"/>
        </w:rPr>
      </w:pPr>
    </w:p>
    <w:p w14:paraId="01A8DD46" w14:textId="77777777" w:rsidR="00874EF0" w:rsidRPr="00B14963" w:rsidRDefault="00874EF0" w:rsidP="00874EF0">
      <w:pPr>
        <w:tabs>
          <w:tab w:val="left" w:pos="540"/>
          <w:tab w:val="left" w:pos="569"/>
        </w:tabs>
        <w:jc w:val="both"/>
        <w:rPr>
          <w:bCs/>
          <w:sz w:val="22"/>
          <w:szCs w:val="22"/>
        </w:rPr>
      </w:pPr>
    </w:p>
    <w:p w14:paraId="463D86CB" w14:textId="77777777" w:rsidR="003F6A59" w:rsidRPr="00B14963" w:rsidRDefault="0072020E" w:rsidP="00874EF0">
      <w:pPr>
        <w:tabs>
          <w:tab w:val="left" w:pos="540"/>
          <w:tab w:val="left" w:pos="569"/>
        </w:tabs>
        <w:ind w:left="540" w:hanging="540"/>
        <w:jc w:val="both"/>
        <w:rPr>
          <w:bCs/>
          <w:sz w:val="22"/>
          <w:szCs w:val="22"/>
        </w:rPr>
      </w:pPr>
      <w:r w:rsidRPr="00B14963">
        <w:rPr>
          <w:b/>
          <w:bCs/>
          <w:sz w:val="22"/>
          <w:szCs w:val="22"/>
        </w:rPr>
        <w:t xml:space="preserve">10. </w:t>
      </w:r>
      <w:r w:rsidR="00480FB1" w:rsidRPr="00B14963">
        <w:rPr>
          <w:b/>
          <w:bCs/>
          <w:sz w:val="22"/>
          <w:szCs w:val="22"/>
        </w:rPr>
        <w:tab/>
      </w:r>
      <w:r w:rsidR="002846DB" w:rsidRPr="00B14963">
        <w:rPr>
          <w:b/>
          <w:bCs/>
          <w:sz w:val="22"/>
          <w:szCs w:val="22"/>
        </w:rPr>
        <w:t>D</w:t>
      </w:r>
      <w:r w:rsidR="00EC2532" w:rsidRPr="00B14963">
        <w:rPr>
          <w:b/>
          <w:bCs/>
          <w:sz w:val="22"/>
          <w:szCs w:val="22"/>
        </w:rPr>
        <w:t xml:space="preserve">ATUM REVIZIJE TEKSTA </w:t>
      </w:r>
    </w:p>
    <w:p w14:paraId="4FD38C38" w14:textId="2CFCFADC" w:rsidR="003F6A59" w:rsidRPr="00B14963" w:rsidRDefault="003F6A59" w:rsidP="00DE3F5C">
      <w:pPr>
        <w:rPr>
          <w:sz w:val="22"/>
          <w:szCs w:val="22"/>
        </w:rPr>
      </w:pPr>
    </w:p>
    <w:p w14:paraId="0030972E" w14:textId="76C440F8" w:rsidR="00B14963" w:rsidRPr="00B14963" w:rsidRDefault="00104AD8" w:rsidP="00DE3F5C">
      <w:pPr>
        <w:rPr>
          <w:sz w:val="22"/>
          <w:szCs w:val="22"/>
        </w:rPr>
      </w:pPr>
      <w:r>
        <w:rPr>
          <w:sz w:val="22"/>
          <w:szCs w:val="22"/>
        </w:rPr>
        <w:t>Jul</w:t>
      </w:r>
      <w:r w:rsidR="00B14963" w:rsidRPr="00B14963">
        <w:rPr>
          <w:sz w:val="22"/>
          <w:szCs w:val="22"/>
        </w:rPr>
        <w:t>, 2025. godine</w:t>
      </w:r>
    </w:p>
    <w:sectPr w:rsidR="00B14963" w:rsidRPr="00B14963" w:rsidSect="00EF3B86">
      <w:footerReference w:type="default" r:id="rId12"/>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911371" w14:textId="77777777" w:rsidR="008D7601" w:rsidRDefault="008D7601">
      <w:r>
        <w:separator/>
      </w:r>
    </w:p>
  </w:endnote>
  <w:endnote w:type="continuationSeparator" w:id="0">
    <w:p w14:paraId="4A49D5E9" w14:textId="77777777" w:rsidR="008D7601" w:rsidRDefault="008D7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0" w:usb1="08070000" w:usb2="00000010" w:usb3="00000000" w:csb0="00020009"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3793D" w14:textId="6F9C9C7F" w:rsidR="001A549A" w:rsidRPr="00B23F69" w:rsidRDefault="001A549A"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AF59B0">
      <w:rPr>
        <w:sz w:val="22"/>
        <w:szCs w:val="22"/>
      </w:rPr>
      <w:t>21</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AF59B0">
      <w:rPr>
        <w:sz w:val="22"/>
        <w:szCs w:val="22"/>
      </w:rPr>
      <w:t>22</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4EBB8" w14:textId="77777777" w:rsidR="008D7601" w:rsidRDefault="008D7601">
      <w:r>
        <w:separator/>
      </w:r>
    </w:p>
  </w:footnote>
  <w:footnote w:type="continuationSeparator" w:id="0">
    <w:p w14:paraId="7980DE03" w14:textId="77777777" w:rsidR="008D7601" w:rsidRDefault="008D76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5.45pt;height:13.1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5EC60966"/>
    <w:multiLevelType w:val="hybridMultilevel"/>
    <w:tmpl w:val="A1861B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1"/>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es-ES" w:vendorID="64" w:dllVersion="6" w:nlCheck="1" w:checkStyle="0"/>
  <w:activeWritingStyle w:appName="MSWord" w:lang="es-ES" w:vendorID="64" w:dllVersion="131078" w:nlCheck="1" w:checkStyle="0"/>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6FA0"/>
    <w:rsid w:val="0003793F"/>
    <w:rsid w:val="0004041A"/>
    <w:rsid w:val="00042E43"/>
    <w:rsid w:val="00057E35"/>
    <w:rsid w:val="00076726"/>
    <w:rsid w:val="00080303"/>
    <w:rsid w:val="000A1F0D"/>
    <w:rsid w:val="000A3F58"/>
    <w:rsid w:val="000D2343"/>
    <w:rsid w:val="000D3449"/>
    <w:rsid w:val="000D425A"/>
    <w:rsid w:val="000D60CC"/>
    <w:rsid w:val="000E2084"/>
    <w:rsid w:val="000E6F55"/>
    <w:rsid w:val="000F282B"/>
    <w:rsid w:val="000F77FA"/>
    <w:rsid w:val="00104AD8"/>
    <w:rsid w:val="00107BF7"/>
    <w:rsid w:val="001228EA"/>
    <w:rsid w:val="00126F53"/>
    <w:rsid w:val="0014766D"/>
    <w:rsid w:val="00152A4C"/>
    <w:rsid w:val="001536CC"/>
    <w:rsid w:val="00160503"/>
    <w:rsid w:val="001A3FBA"/>
    <w:rsid w:val="001A549A"/>
    <w:rsid w:val="001A5518"/>
    <w:rsid w:val="001B1C6A"/>
    <w:rsid w:val="001C1263"/>
    <w:rsid w:val="001C1417"/>
    <w:rsid w:val="001C7F35"/>
    <w:rsid w:val="001E390B"/>
    <w:rsid w:val="001E6D1D"/>
    <w:rsid w:val="001F415E"/>
    <w:rsid w:val="001F42FB"/>
    <w:rsid w:val="001F719A"/>
    <w:rsid w:val="002031B3"/>
    <w:rsid w:val="00207F15"/>
    <w:rsid w:val="00215931"/>
    <w:rsid w:val="00227BDB"/>
    <w:rsid w:val="00234CB1"/>
    <w:rsid w:val="002352F8"/>
    <w:rsid w:val="002510A5"/>
    <w:rsid w:val="00254A0A"/>
    <w:rsid w:val="00266046"/>
    <w:rsid w:val="002776B8"/>
    <w:rsid w:val="002846DB"/>
    <w:rsid w:val="00284CCD"/>
    <w:rsid w:val="00291625"/>
    <w:rsid w:val="002C04A0"/>
    <w:rsid w:val="002C6637"/>
    <w:rsid w:val="002E0135"/>
    <w:rsid w:val="002E37A5"/>
    <w:rsid w:val="00300812"/>
    <w:rsid w:val="00304934"/>
    <w:rsid w:val="00310F03"/>
    <w:rsid w:val="003247D2"/>
    <w:rsid w:val="003249ED"/>
    <w:rsid w:val="003445C1"/>
    <w:rsid w:val="00355B61"/>
    <w:rsid w:val="00362686"/>
    <w:rsid w:val="00371510"/>
    <w:rsid w:val="00396DFD"/>
    <w:rsid w:val="003A2130"/>
    <w:rsid w:val="003A7059"/>
    <w:rsid w:val="003B7A36"/>
    <w:rsid w:val="003C17AB"/>
    <w:rsid w:val="003C7823"/>
    <w:rsid w:val="003E1DCC"/>
    <w:rsid w:val="003F6A59"/>
    <w:rsid w:val="004065C8"/>
    <w:rsid w:val="004109FA"/>
    <w:rsid w:val="00411B4B"/>
    <w:rsid w:val="00415BEE"/>
    <w:rsid w:val="00427F85"/>
    <w:rsid w:val="00436F42"/>
    <w:rsid w:val="004378B4"/>
    <w:rsid w:val="00450F1C"/>
    <w:rsid w:val="00451314"/>
    <w:rsid w:val="00452E9D"/>
    <w:rsid w:val="004534C7"/>
    <w:rsid w:val="004671AA"/>
    <w:rsid w:val="00471F0E"/>
    <w:rsid w:val="00480FB1"/>
    <w:rsid w:val="00483928"/>
    <w:rsid w:val="004B2D8B"/>
    <w:rsid w:val="004C10D2"/>
    <w:rsid w:val="004C1AE2"/>
    <w:rsid w:val="004D6103"/>
    <w:rsid w:val="004E3BCE"/>
    <w:rsid w:val="004F0E97"/>
    <w:rsid w:val="00501DD1"/>
    <w:rsid w:val="00511089"/>
    <w:rsid w:val="00515C21"/>
    <w:rsid w:val="00530BD7"/>
    <w:rsid w:val="00545CD2"/>
    <w:rsid w:val="005476F3"/>
    <w:rsid w:val="00553A03"/>
    <w:rsid w:val="00555704"/>
    <w:rsid w:val="00555D3B"/>
    <w:rsid w:val="00572527"/>
    <w:rsid w:val="00573E40"/>
    <w:rsid w:val="00576348"/>
    <w:rsid w:val="005A0B2E"/>
    <w:rsid w:val="005A23D2"/>
    <w:rsid w:val="005A36CB"/>
    <w:rsid w:val="005B49B8"/>
    <w:rsid w:val="005C0741"/>
    <w:rsid w:val="005C55CA"/>
    <w:rsid w:val="005C5EF4"/>
    <w:rsid w:val="005D4A70"/>
    <w:rsid w:val="005E2E0B"/>
    <w:rsid w:val="005E7A7D"/>
    <w:rsid w:val="00602457"/>
    <w:rsid w:val="0061279E"/>
    <w:rsid w:val="006169EE"/>
    <w:rsid w:val="00646BD1"/>
    <w:rsid w:val="006561C2"/>
    <w:rsid w:val="00671CB3"/>
    <w:rsid w:val="00674BAF"/>
    <w:rsid w:val="00682200"/>
    <w:rsid w:val="00692BF6"/>
    <w:rsid w:val="006A1497"/>
    <w:rsid w:val="006B0BD1"/>
    <w:rsid w:val="006D20A5"/>
    <w:rsid w:val="006D37BF"/>
    <w:rsid w:val="00702E22"/>
    <w:rsid w:val="0072020E"/>
    <w:rsid w:val="007329CF"/>
    <w:rsid w:val="00733FA3"/>
    <w:rsid w:val="00760D3C"/>
    <w:rsid w:val="00761809"/>
    <w:rsid w:val="007825F0"/>
    <w:rsid w:val="00786071"/>
    <w:rsid w:val="007A3ECB"/>
    <w:rsid w:val="007C33C1"/>
    <w:rsid w:val="007D7046"/>
    <w:rsid w:val="00824AB9"/>
    <w:rsid w:val="00836B35"/>
    <w:rsid w:val="00843BDE"/>
    <w:rsid w:val="0087070F"/>
    <w:rsid w:val="00873405"/>
    <w:rsid w:val="00874EF0"/>
    <w:rsid w:val="0089705C"/>
    <w:rsid w:val="008A1962"/>
    <w:rsid w:val="008A6D43"/>
    <w:rsid w:val="008B0417"/>
    <w:rsid w:val="008B491E"/>
    <w:rsid w:val="008C1A28"/>
    <w:rsid w:val="008C2E98"/>
    <w:rsid w:val="008C6991"/>
    <w:rsid w:val="008D7601"/>
    <w:rsid w:val="008E49BD"/>
    <w:rsid w:val="008E53E9"/>
    <w:rsid w:val="008E5771"/>
    <w:rsid w:val="008F4ACF"/>
    <w:rsid w:val="0091665D"/>
    <w:rsid w:val="00940B9B"/>
    <w:rsid w:val="009475E7"/>
    <w:rsid w:val="00951288"/>
    <w:rsid w:val="0095676E"/>
    <w:rsid w:val="00956983"/>
    <w:rsid w:val="00963CF0"/>
    <w:rsid w:val="00964BB1"/>
    <w:rsid w:val="009775D9"/>
    <w:rsid w:val="00997175"/>
    <w:rsid w:val="009A1847"/>
    <w:rsid w:val="009B062A"/>
    <w:rsid w:val="009B0696"/>
    <w:rsid w:val="009B7D84"/>
    <w:rsid w:val="009C2F34"/>
    <w:rsid w:val="009D3F5D"/>
    <w:rsid w:val="009E7C6F"/>
    <w:rsid w:val="009F1793"/>
    <w:rsid w:val="009F2D23"/>
    <w:rsid w:val="00A01D69"/>
    <w:rsid w:val="00A02335"/>
    <w:rsid w:val="00A46C9A"/>
    <w:rsid w:val="00A57706"/>
    <w:rsid w:val="00A6158E"/>
    <w:rsid w:val="00A619F3"/>
    <w:rsid w:val="00A62A73"/>
    <w:rsid w:val="00A6474A"/>
    <w:rsid w:val="00A87FF6"/>
    <w:rsid w:val="00A965B5"/>
    <w:rsid w:val="00AA0A3B"/>
    <w:rsid w:val="00AA2763"/>
    <w:rsid w:val="00AA33B6"/>
    <w:rsid w:val="00AB50CA"/>
    <w:rsid w:val="00AB6D64"/>
    <w:rsid w:val="00AC53CE"/>
    <w:rsid w:val="00AD2193"/>
    <w:rsid w:val="00AF2AC7"/>
    <w:rsid w:val="00AF59B0"/>
    <w:rsid w:val="00AF74CE"/>
    <w:rsid w:val="00B14963"/>
    <w:rsid w:val="00B208DB"/>
    <w:rsid w:val="00B23F69"/>
    <w:rsid w:val="00B24EF3"/>
    <w:rsid w:val="00B26104"/>
    <w:rsid w:val="00B50BC9"/>
    <w:rsid w:val="00B60619"/>
    <w:rsid w:val="00B66A70"/>
    <w:rsid w:val="00B67366"/>
    <w:rsid w:val="00B80EE1"/>
    <w:rsid w:val="00B84135"/>
    <w:rsid w:val="00BC6782"/>
    <w:rsid w:val="00C04D34"/>
    <w:rsid w:val="00C05DF8"/>
    <w:rsid w:val="00C06864"/>
    <w:rsid w:val="00C10F54"/>
    <w:rsid w:val="00C23D8D"/>
    <w:rsid w:val="00C37AA3"/>
    <w:rsid w:val="00C37FD7"/>
    <w:rsid w:val="00C43419"/>
    <w:rsid w:val="00C44CF3"/>
    <w:rsid w:val="00C61BE0"/>
    <w:rsid w:val="00C70B0E"/>
    <w:rsid w:val="00C75C83"/>
    <w:rsid w:val="00C773CA"/>
    <w:rsid w:val="00C83785"/>
    <w:rsid w:val="00C94C0D"/>
    <w:rsid w:val="00CA1FEB"/>
    <w:rsid w:val="00CB1D87"/>
    <w:rsid w:val="00CD4F85"/>
    <w:rsid w:val="00CD6F02"/>
    <w:rsid w:val="00CE246D"/>
    <w:rsid w:val="00CF07A0"/>
    <w:rsid w:val="00CF3A26"/>
    <w:rsid w:val="00CF3E03"/>
    <w:rsid w:val="00CF5C43"/>
    <w:rsid w:val="00D0082A"/>
    <w:rsid w:val="00D079D5"/>
    <w:rsid w:val="00D21455"/>
    <w:rsid w:val="00D328D8"/>
    <w:rsid w:val="00D35ABA"/>
    <w:rsid w:val="00D47634"/>
    <w:rsid w:val="00D57111"/>
    <w:rsid w:val="00D709B3"/>
    <w:rsid w:val="00D76C8E"/>
    <w:rsid w:val="00D94BD6"/>
    <w:rsid w:val="00DA2ED6"/>
    <w:rsid w:val="00DB76B8"/>
    <w:rsid w:val="00DC2EA1"/>
    <w:rsid w:val="00DD6AAF"/>
    <w:rsid w:val="00DE2694"/>
    <w:rsid w:val="00DE3F5C"/>
    <w:rsid w:val="00DE55C0"/>
    <w:rsid w:val="00DF1D20"/>
    <w:rsid w:val="00E21324"/>
    <w:rsid w:val="00E246B9"/>
    <w:rsid w:val="00E26470"/>
    <w:rsid w:val="00E31FEA"/>
    <w:rsid w:val="00E45169"/>
    <w:rsid w:val="00E47787"/>
    <w:rsid w:val="00E51C30"/>
    <w:rsid w:val="00E64180"/>
    <w:rsid w:val="00E74AEE"/>
    <w:rsid w:val="00E868E5"/>
    <w:rsid w:val="00E9237A"/>
    <w:rsid w:val="00E939FA"/>
    <w:rsid w:val="00EA5765"/>
    <w:rsid w:val="00EC2532"/>
    <w:rsid w:val="00ED5FC3"/>
    <w:rsid w:val="00ED7812"/>
    <w:rsid w:val="00EF3B86"/>
    <w:rsid w:val="00F05C4E"/>
    <w:rsid w:val="00F23428"/>
    <w:rsid w:val="00F317E9"/>
    <w:rsid w:val="00F34554"/>
    <w:rsid w:val="00F45F77"/>
    <w:rsid w:val="00F5167F"/>
    <w:rsid w:val="00F52258"/>
    <w:rsid w:val="00F60FF3"/>
    <w:rsid w:val="00F8215F"/>
    <w:rsid w:val="00F8570A"/>
    <w:rsid w:val="00F91C7B"/>
    <w:rsid w:val="00FC31AA"/>
    <w:rsid w:val="00FD2636"/>
    <w:rsid w:val="00FF5F82"/>
  </w:rsids>
  <m:mathPr>
    <m:mathFont m:val="Cambria Math"/>
    <m:brkBin m:val="before"/>
    <m:brkBinSub m:val="--"/>
    <m:smallFrac m:val="0"/>
    <m:dispDef/>
    <m:lMargin m:val="0"/>
    <m:rMargin m:val="0"/>
    <m:defJc m:val="centerGroup"/>
    <m:wrapIndent m:val="1440"/>
    <m:intLim m:val="subSup"/>
    <m:naryLim m:val="undOvr"/>
  </m:mathPr>
  <w:themeFontLang w:val="sr-Latn-M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D9A376"/>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sz w:val="24"/>
      <w:szCs w:val="24"/>
      <w:lang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link w:val="NoSpacingChar"/>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paragraph" w:customStyle="1" w:styleId="TextTi10">
    <w:name w:val="Text:Ti10"/>
    <w:basedOn w:val="Normal"/>
    <w:rsid w:val="00874EF0"/>
    <w:rPr>
      <w:rFonts w:eastAsia="MS Mincho"/>
      <w:sz w:val="20"/>
      <w:szCs w:val="20"/>
      <w:lang w:eastAsia="ja-JP"/>
    </w:rPr>
  </w:style>
  <w:style w:type="paragraph" w:styleId="Date">
    <w:name w:val="Date"/>
    <w:basedOn w:val="Normal"/>
    <w:next w:val="Normal"/>
    <w:link w:val="DateChar"/>
    <w:rsid w:val="00874EF0"/>
  </w:style>
  <w:style w:type="character" w:customStyle="1" w:styleId="DateChar">
    <w:name w:val="Date Char"/>
    <w:basedOn w:val="DefaultParagraphFont"/>
    <w:link w:val="Date"/>
    <w:rsid w:val="00874EF0"/>
    <w:rPr>
      <w:sz w:val="24"/>
      <w:szCs w:val="24"/>
      <w:lang w:val="en-US" w:eastAsia="en-US"/>
    </w:rPr>
  </w:style>
  <w:style w:type="character" w:styleId="Hyperlink">
    <w:name w:val="Hyperlink"/>
    <w:basedOn w:val="DefaultParagraphFont"/>
    <w:rsid w:val="004C1AE2"/>
    <w:rPr>
      <w:color w:val="0563C1" w:themeColor="hyperlink"/>
      <w:u w:val="single"/>
    </w:rPr>
  </w:style>
  <w:style w:type="character" w:customStyle="1" w:styleId="NoSpacingChar">
    <w:name w:val="No Spacing Char"/>
    <w:basedOn w:val="DefaultParagraphFont"/>
    <w:link w:val="NoSpacing"/>
    <w:uiPriority w:val="1"/>
    <w:rsid w:val="00ED5FC3"/>
    <w:rPr>
      <w:sz w:val="24"/>
      <w:szCs w:val="24"/>
      <w:lang w:val="en-US" w:eastAsia="en-US"/>
    </w:rPr>
  </w:style>
  <w:style w:type="paragraph" w:styleId="Revision">
    <w:name w:val="Revision"/>
    <w:hidden/>
    <w:uiPriority w:val="99"/>
    <w:semiHidden/>
    <w:rsid w:val="00B24EF3"/>
    <w:rPr>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93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55F3E-9976-4AEC-BE1A-8A4ADF8E6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10101</Words>
  <Characters>57578</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67544</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Aleksandra Jonić-Popović</cp:lastModifiedBy>
  <cp:revision>4</cp:revision>
  <dcterms:created xsi:type="dcterms:W3CDTF">2025-06-24T05:56:00Z</dcterms:created>
  <dcterms:modified xsi:type="dcterms:W3CDTF">2025-07-23T10:44:00Z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