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DC031" w14:textId="77777777" w:rsidR="00F91C7B" w:rsidRPr="00E51EBA" w:rsidRDefault="00F91C7B" w:rsidP="001A5518">
      <w:pPr>
        <w:rPr>
          <w:b/>
          <w:bCs/>
          <w:i/>
          <w:iCs/>
          <w:sz w:val="22"/>
          <w:szCs w:val="22"/>
          <w:u w:val="single"/>
          <w:lang w:val="sr-Latn-ME"/>
        </w:rPr>
      </w:pPr>
    </w:p>
    <w:p w14:paraId="12F2F89C" w14:textId="77777777" w:rsidR="002510A5" w:rsidRPr="00E51EBA" w:rsidRDefault="002510A5" w:rsidP="002510A5">
      <w:pPr>
        <w:jc w:val="center"/>
        <w:rPr>
          <w:b/>
          <w:bCs/>
          <w:iCs/>
          <w:sz w:val="22"/>
          <w:szCs w:val="22"/>
          <w:u w:val="single"/>
          <w:lang w:val="sr-Latn-ME"/>
        </w:rPr>
      </w:pPr>
      <w:r w:rsidRPr="00E51EBA">
        <w:rPr>
          <w:b/>
          <w:bCs/>
          <w:iCs/>
          <w:sz w:val="22"/>
          <w:szCs w:val="22"/>
          <w:u w:val="single"/>
          <w:lang w:val="sr-Latn-ME"/>
        </w:rPr>
        <w:t>SAŽETAK KARAKTERISTIKA LIJEKA</w:t>
      </w:r>
    </w:p>
    <w:p w14:paraId="0E38463A" w14:textId="77777777" w:rsidR="002510A5" w:rsidRPr="00E51EBA" w:rsidRDefault="002510A5" w:rsidP="002510A5">
      <w:pPr>
        <w:rPr>
          <w:b/>
          <w:bCs/>
          <w:i/>
          <w:iCs/>
          <w:sz w:val="22"/>
          <w:szCs w:val="22"/>
          <w:u w:val="single"/>
          <w:lang w:val="sr-Latn-ME"/>
        </w:rPr>
      </w:pPr>
    </w:p>
    <w:p w14:paraId="26D2CEE8" w14:textId="77777777" w:rsidR="003C17AB" w:rsidRPr="00E51EBA" w:rsidRDefault="003C17AB" w:rsidP="00F5167F">
      <w:pPr>
        <w:tabs>
          <w:tab w:val="left" w:pos="540"/>
          <w:tab w:val="left" w:pos="569"/>
        </w:tabs>
        <w:rPr>
          <w:noProof/>
          <w:sz w:val="22"/>
          <w:szCs w:val="22"/>
          <w:lang w:val="sr-Latn-ME"/>
        </w:rPr>
      </w:pPr>
    </w:p>
    <w:p w14:paraId="00586823" w14:textId="77777777" w:rsidR="00C37FD7" w:rsidRPr="00E51EBA" w:rsidRDefault="00C37FD7" w:rsidP="00F5167F">
      <w:pPr>
        <w:tabs>
          <w:tab w:val="left" w:pos="540"/>
          <w:tab w:val="left" w:pos="569"/>
        </w:tabs>
        <w:rPr>
          <w:bCs/>
          <w:sz w:val="22"/>
          <w:szCs w:val="22"/>
          <w:lang w:val="sr-Latn-ME"/>
        </w:rPr>
      </w:pPr>
    </w:p>
    <w:p w14:paraId="5A9FAFA0" w14:textId="77777777" w:rsidR="00411B4B" w:rsidRPr="00E51EBA" w:rsidRDefault="00411B4B" w:rsidP="00F5167F">
      <w:pPr>
        <w:tabs>
          <w:tab w:val="left" w:pos="540"/>
          <w:tab w:val="left" w:pos="569"/>
        </w:tabs>
        <w:rPr>
          <w:b/>
          <w:bCs/>
          <w:sz w:val="22"/>
          <w:szCs w:val="22"/>
          <w:lang w:val="sr-Latn-ME"/>
        </w:rPr>
      </w:pPr>
      <w:r w:rsidRPr="00E51EBA">
        <w:rPr>
          <w:b/>
          <w:bCs/>
          <w:sz w:val="22"/>
          <w:szCs w:val="22"/>
          <w:lang w:val="sr-Latn-ME"/>
        </w:rPr>
        <w:t>1.</w:t>
      </w:r>
      <w:r w:rsidR="00F5167F" w:rsidRPr="00E51EBA">
        <w:rPr>
          <w:b/>
          <w:bCs/>
          <w:sz w:val="22"/>
          <w:szCs w:val="22"/>
          <w:lang w:val="sr-Latn-ME"/>
        </w:rPr>
        <w:tab/>
      </w:r>
      <w:r w:rsidR="002846DB" w:rsidRPr="00E51EBA">
        <w:rPr>
          <w:b/>
          <w:bCs/>
          <w:sz w:val="22"/>
          <w:szCs w:val="22"/>
          <w:lang w:val="sr-Latn-ME"/>
        </w:rPr>
        <w:t xml:space="preserve">NAZIV </w:t>
      </w:r>
      <w:r w:rsidRPr="00E51EBA">
        <w:rPr>
          <w:b/>
          <w:bCs/>
          <w:sz w:val="22"/>
          <w:szCs w:val="22"/>
          <w:lang w:val="sr-Latn-ME"/>
        </w:rPr>
        <w:t>LIJEKA</w:t>
      </w:r>
    </w:p>
    <w:p w14:paraId="5844E123" w14:textId="24E23487" w:rsidR="000D425A" w:rsidRPr="00E51EBA" w:rsidRDefault="000D425A">
      <w:pPr>
        <w:rPr>
          <w:bCs/>
          <w:sz w:val="22"/>
          <w:szCs w:val="22"/>
          <w:lang w:val="sr-Latn-ME"/>
        </w:rPr>
      </w:pPr>
    </w:p>
    <w:p w14:paraId="1505D286" w14:textId="69B1C243" w:rsidR="00B460AC" w:rsidRPr="00E51EBA" w:rsidRDefault="00B460AC">
      <w:pPr>
        <w:rPr>
          <w:bCs/>
          <w:sz w:val="22"/>
          <w:szCs w:val="22"/>
          <w:lang w:val="sr-Latn-ME"/>
        </w:rPr>
      </w:pPr>
      <w:r w:rsidRPr="00E51EBA">
        <w:rPr>
          <w:caps/>
          <w:sz w:val="22"/>
          <w:szCs w:val="22"/>
          <w:lang w:val="sr-Latn-ME"/>
        </w:rPr>
        <w:t>Belogent</w:t>
      </w:r>
      <w:r w:rsidRPr="00E51EBA">
        <w:rPr>
          <w:sz w:val="22"/>
          <w:szCs w:val="22"/>
          <w:lang w:val="sr-Latn-ME"/>
        </w:rPr>
        <w:t>, 0.5 mg/g</w:t>
      </w:r>
      <w:r w:rsidR="000A57FA" w:rsidRPr="00E51EBA">
        <w:rPr>
          <w:sz w:val="22"/>
          <w:szCs w:val="22"/>
          <w:lang w:val="sr-Latn-ME"/>
        </w:rPr>
        <w:t xml:space="preserve"> </w:t>
      </w:r>
      <w:r w:rsidRPr="00E51EBA">
        <w:rPr>
          <w:sz w:val="22"/>
          <w:szCs w:val="22"/>
          <w:lang w:val="sr-Latn-ME"/>
        </w:rPr>
        <w:t>+</w:t>
      </w:r>
      <w:r w:rsidR="000A57FA" w:rsidRPr="00E51EBA">
        <w:rPr>
          <w:sz w:val="22"/>
          <w:szCs w:val="22"/>
          <w:lang w:val="sr-Latn-ME"/>
        </w:rPr>
        <w:t xml:space="preserve"> </w:t>
      </w:r>
      <w:r w:rsidRPr="00E51EBA">
        <w:rPr>
          <w:sz w:val="22"/>
          <w:szCs w:val="22"/>
          <w:lang w:val="sr-Latn-ME"/>
        </w:rPr>
        <w:t>1 mg/g, mast</w:t>
      </w:r>
    </w:p>
    <w:p w14:paraId="67939576" w14:textId="77777777" w:rsidR="000A57FA" w:rsidRPr="00E51EBA" w:rsidRDefault="000A57FA" w:rsidP="00B460AC">
      <w:pPr>
        <w:pStyle w:val="Header"/>
        <w:tabs>
          <w:tab w:val="left" w:pos="284"/>
        </w:tabs>
        <w:rPr>
          <w:sz w:val="22"/>
          <w:szCs w:val="22"/>
          <w:lang w:val="sr-Latn-ME"/>
        </w:rPr>
      </w:pPr>
    </w:p>
    <w:p w14:paraId="272E9D7E" w14:textId="262B561E" w:rsidR="006D20A5" w:rsidRPr="00E51EBA" w:rsidRDefault="006D20A5" w:rsidP="00B460AC">
      <w:pPr>
        <w:pStyle w:val="Header"/>
        <w:tabs>
          <w:tab w:val="left" w:pos="284"/>
        </w:tabs>
        <w:rPr>
          <w:bCs/>
          <w:sz w:val="22"/>
          <w:szCs w:val="22"/>
          <w:lang w:val="sr-Latn-ME"/>
        </w:rPr>
      </w:pPr>
      <w:r w:rsidRPr="00E51EBA">
        <w:rPr>
          <w:sz w:val="22"/>
          <w:szCs w:val="22"/>
          <w:lang w:val="sr-Latn-ME"/>
        </w:rPr>
        <w:t>INN:</w:t>
      </w:r>
      <w:r w:rsidR="00B460AC" w:rsidRPr="00E51EBA">
        <w:rPr>
          <w:sz w:val="22"/>
          <w:szCs w:val="22"/>
          <w:lang w:val="sr-Latn-ME"/>
        </w:rPr>
        <w:t xml:space="preserve"> </w:t>
      </w:r>
      <w:r w:rsidR="00B460AC" w:rsidRPr="00E51EBA">
        <w:rPr>
          <w:bCs/>
          <w:sz w:val="22"/>
          <w:szCs w:val="22"/>
          <w:lang w:val="sr-Latn-ME"/>
        </w:rPr>
        <w:t>betametazon, gentamicin</w:t>
      </w:r>
    </w:p>
    <w:p w14:paraId="425CB81A" w14:textId="4AE23BBE" w:rsidR="00530BD7" w:rsidRPr="00E51EBA" w:rsidRDefault="00530BD7">
      <w:pPr>
        <w:rPr>
          <w:bCs/>
          <w:sz w:val="22"/>
          <w:szCs w:val="22"/>
          <w:lang w:val="sr-Latn-ME"/>
        </w:rPr>
      </w:pPr>
    </w:p>
    <w:p w14:paraId="641ACEE6" w14:textId="77777777" w:rsidR="000A57FA" w:rsidRPr="00E51EBA" w:rsidRDefault="000A57FA">
      <w:pPr>
        <w:rPr>
          <w:bCs/>
          <w:sz w:val="22"/>
          <w:szCs w:val="22"/>
          <w:lang w:val="sr-Latn-ME"/>
        </w:rPr>
      </w:pPr>
    </w:p>
    <w:p w14:paraId="7A0F824D" w14:textId="59372F41" w:rsidR="00411B4B" w:rsidRPr="00E51EBA" w:rsidRDefault="00411B4B" w:rsidP="00F5167F">
      <w:pPr>
        <w:tabs>
          <w:tab w:val="left" w:pos="540"/>
          <w:tab w:val="left" w:pos="569"/>
        </w:tabs>
        <w:rPr>
          <w:b/>
          <w:bCs/>
          <w:sz w:val="22"/>
          <w:szCs w:val="22"/>
          <w:lang w:val="sr-Latn-ME"/>
        </w:rPr>
      </w:pPr>
      <w:r w:rsidRPr="00E51EBA">
        <w:rPr>
          <w:b/>
          <w:bCs/>
          <w:sz w:val="22"/>
          <w:szCs w:val="22"/>
          <w:lang w:val="sr-Latn-ME"/>
        </w:rPr>
        <w:t xml:space="preserve">2. </w:t>
      </w:r>
      <w:r w:rsidR="00F5167F" w:rsidRPr="00E51EBA">
        <w:rPr>
          <w:b/>
          <w:bCs/>
          <w:sz w:val="22"/>
          <w:szCs w:val="22"/>
          <w:lang w:val="sr-Latn-ME"/>
        </w:rPr>
        <w:tab/>
      </w:r>
      <w:r w:rsidRPr="00E51EBA">
        <w:rPr>
          <w:b/>
          <w:bCs/>
          <w:sz w:val="22"/>
          <w:szCs w:val="22"/>
          <w:lang w:val="sr-Latn-ME"/>
        </w:rPr>
        <w:t>KVALITATIVNI I KVANTITATIVNI SASTAV</w:t>
      </w:r>
    </w:p>
    <w:p w14:paraId="351CBDA3" w14:textId="2AA3D4B5" w:rsidR="00B460AC" w:rsidRPr="00E51EBA" w:rsidRDefault="00B460AC" w:rsidP="00F5167F">
      <w:pPr>
        <w:tabs>
          <w:tab w:val="left" w:pos="540"/>
          <w:tab w:val="left" w:pos="569"/>
        </w:tabs>
        <w:rPr>
          <w:b/>
          <w:bCs/>
          <w:sz w:val="22"/>
          <w:szCs w:val="22"/>
          <w:lang w:val="sr-Latn-ME"/>
        </w:rPr>
      </w:pPr>
    </w:p>
    <w:p w14:paraId="7ED363C5" w14:textId="385B152B" w:rsidR="00B460AC" w:rsidRPr="00E51EBA" w:rsidRDefault="00B460AC" w:rsidP="00F1371E">
      <w:pPr>
        <w:rPr>
          <w:sz w:val="22"/>
          <w:szCs w:val="22"/>
          <w:lang w:val="sr-Latn-ME"/>
        </w:rPr>
      </w:pPr>
      <w:r w:rsidRPr="00E51EBA">
        <w:rPr>
          <w:sz w:val="22"/>
          <w:szCs w:val="22"/>
          <w:lang w:val="sr-Latn-ME"/>
        </w:rPr>
        <w:t>1</w:t>
      </w:r>
      <w:r w:rsidR="00E51EBA">
        <w:rPr>
          <w:sz w:val="22"/>
          <w:szCs w:val="22"/>
          <w:lang w:val="sr-Latn-ME"/>
        </w:rPr>
        <w:t xml:space="preserve"> </w:t>
      </w:r>
      <w:r w:rsidRPr="00E51EBA">
        <w:rPr>
          <w:sz w:val="22"/>
          <w:szCs w:val="22"/>
          <w:lang w:val="sr-Latn-ME"/>
        </w:rPr>
        <w:t>g masti sadrži: 0.5 mg betametazona u obliku betametazon</w:t>
      </w:r>
      <w:r w:rsidR="000A57FA" w:rsidRPr="00E51EBA">
        <w:rPr>
          <w:sz w:val="22"/>
          <w:szCs w:val="22"/>
          <w:lang w:val="sr-Latn-ME"/>
        </w:rPr>
        <w:t xml:space="preserve"> </w:t>
      </w:r>
      <w:r w:rsidRPr="00E51EBA">
        <w:rPr>
          <w:sz w:val="22"/>
          <w:szCs w:val="22"/>
          <w:lang w:val="sr-Latn-ME"/>
        </w:rPr>
        <w:t>dipropionata i 1 mg gentamicina u obliku gentamicin sulfata</w:t>
      </w:r>
      <w:r w:rsidR="000A57FA" w:rsidRPr="00E51EBA">
        <w:rPr>
          <w:sz w:val="22"/>
          <w:szCs w:val="22"/>
          <w:lang w:val="sr-Latn-ME"/>
        </w:rPr>
        <w:t>.</w:t>
      </w:r>
      <w:r w:rsidRPr="00E51EBA">
        <w:rPr>
          <w:bCs/>
          <w:sz w:val="22"/>
          <w:szCs w:val="22"/>
          <w:lang w:val="sr-Latn-ME"/>
        </w:rPr>
        <w:t xml:space="preserve"> </w:t>
      </w:r>
    </w:p>
    <w:p w14:paraId="4006C167" w14:textId="77777777" w:rsidR="005A0B2E" w:rsidRPr="00E51EBA" w:rsidRDefault="005A0B2E">
      <w:pPr>
        <w:rPr>
          <w:sz w:val="22"/>
          <w:szCs w:val="22"/>
          <w:lang w:val="sr-Latn-ME"/>
        </w:rPr>
      </w:pPr>
    </w:p>
    <w:p w14:paraId="5E3668F4" w14:textId="77777777" w:rsidR="0003793F" w:rsidRPr="00E51EBA" w:rsidRDefault="0003793F">
      <w:pPr>
        <w:rPr>
          <w:sz w:val="22"/>
          <w:szCs w:val="22"/>
          <w:lang w:val="sr-Latn-ME"/>
        </w:rPr>
      </w:pPr>
      <w:r w:rsidRPr="00E51EBA">
        <w:rPr>
          <w:sz w:val="22"/>
          <w:szCs w:val="22"/>
          <w:lang w:val="sr-Latn-ME"/>
        </w:rPr>
        <w:t>Za spisak svih ekscipijenasa, pogledati dio 6.1.</w:t>
      </w:r>
    </w:p>
    <w:p w14:paraId="0F2E74C3" w14:textId="0CD1235F" w:rsidR="00C37FD7" w:rsidRPr="00E51EBA" w:rsidRDefault="00C37FD7">
      <w:pPr>
        <w:rPr>
          <w:sz w:val="22"/>
          <w:szCs w:val="22"/>
          <w:lang w:val="sr-Latn-ME"/>
        </w:rPr>
      </w:pPr>
    </w:p>
    <w:p w14:paraId="4E46B3E0" w14:textId="77777777" w:rsidR="000A57FA" w:rsidRPr="00E51EBA" w:rsidRDefault="000A57FA">
      <w:pPr>
        <w:rPr>
          <w:sz w:val="22"/>
          <w:szCs w:val="22"/>
          <w:lang w:val="sr-Latn-ME"/>
        </w:rPr>
      </w:pPr>
    </w:p>
    <w:p w14:paraId="04421231" w14:textId="77777777" w:rsidR="00411B4B" w:rsidRPr="00E51EBA" w:rsidRDefault="00411B4B" w:rsidP="00F5167F">
      <w:pPr>
        <w:tabs>
          <w:tab w:val="left" w:pos="540"/>
          <w:tab w:val="left" w:pos="569"/>
        </w:tabs>
        <w:rPr>
          <w:b/>
          <w:bCs/>
          <w:sz w:val="22"/>
          <w:szCs w:val="22"/>
          <w:lang w:val="sr-Latn-ME"/>
        </w:rPr>
      </w:pPr>
      <w:r w:rsidRPr="00E51EBA">
        <w:rPr>
          <w:b/>
          <w:bCs/>
          <w:sz w:val="22"/>
          <w:szCs w:val="22"/>
          <w:lang w:val="sr-Latn-ME"/>
        </w:rPr>
        <w:t xml:space="preserve">3. </w:t>
      </w:r>
      <w:r w:rsidR="00F5167F" w:rsidRPr="00E51EBA">
        <w:rPr>
          <w:b/>
          <w:bCs/>
          <w:sz w:val="22"/>
          <w:szCs w:val="22"/>
          <w:lang w:val="sr-Latn-ME"/>
        </w:rPr>
        <w:tab/>
      </w:r>
      <w:r w:rsidRPr="00E51EBA">
        <w:rPr>
          <w:b/>
          <w:bCs/>
          <w:sz w:val="22"/>
          <w:szCs w:val="22"/>
          <w:lang w:val="sr-Latn-ME"/>
        </w:rPr>
        <w:t>FARMACEUTSKI OBLIK</w:t>
      </w:r>
      <w:r w:rsidR="009F2D23" w:rsidRPr="00E51EBA">
        <w:rPr>
          <w:b/>
          <w:bCs/>
          <w:sz w:val="22"/>
          <w:szCs w:val="22"/>
          <w:lang w:val="sr-Latn-ME"/>
        </w:rPr>
        <w:t xml:space="preserve"> </w:t>
      </w:r>
    </w:p>
    <w:p w14:paraId="75C0A1DD" w14:textId="77777777" w:rsidR="00411B4B" w:rsidRPr="00E51EBA" w:rsidRDefault="00411B4B">
      <w:pPr>
        <w:rPr>
          <w:bCs/>
          <w:sz w:val="22"/>
          <w:szCs w:val="22"/>
          <w:lang w:val="sr-Latn-ME"/>
        </w:rPr>
      </w:pPr>
    </w:p>
    <w:p w14:paraId="2EDAD97C" w14:textId="77777777" w:rsidR="00B460AC" w:rsidRPr="00E51EBA" w:rsidRDefault="00B460AC" w:rsidP="00B460AC">
      <w:pPr>
        <w:pStyle w:val="Header"/>
        <w:tabs>
          <w:tab w:val="left" w:pos="284"/>
        </w:tabs>
        <w:rPr>
          <w:bCs/>
          <w:sz w:val="22"/>
          <w:szCs w:val="22"/>
          <w:lang w:val="sr-Latn-ME"/>
        </w:rPr>
      </w:pPr>
      <w:r w:rsidRPr="00E51EBA">
        <w:rPr>
          <w:sz w:val="22"/>
          <w:szCs w:val="22"/>
          <w:lang w:val="sr-Latn-ME"/>
        </w:rPr>
        <w:t>Mast.</w:t>
      </w:r>
      <w:r w:rsidRPr="00E51EBA">
        <w:rPr>
          <w:bCs/>
          <w:sz w:val="22"/>
          <w:szCs w:val="22"/>
          <w:lang w:val="sr-Latn-ME"/>
        </w:rPr>
        <w:t xml:space="preserve"> </w:t>
      </w:r>
    </w:p>
    <w:p w14:paraId="1CD6282A" w14:textId="77777777" w:rsidR="00B460AC" w:rsidRPr="00E51EBA" w:rsidRDefault="00B460AC" w:rsidP="00B460AC">
      <w:pPr>
        <w:pStyle w:val="Header"/>
        <w:tabs>
          <w:tab w:val="left" w:pos="284"/>
        </w:tabs>
        <w:rPr>
          <w:bCs/>
          <w:sz w:val="22"/>
          <w:szCs w:val="22"/>
          <w:lang w:val="sr-Latn-ME"/>
        </w:rPr>
      </w:pPr>
      <w:r w:rsidRPr="00E51EBA">
        <w:rPr>
          <w:bCs/>
          <w:sz w:val="22"/>
          <w:szCs w:val="22"/>
          <w:lang w:val="sr-Latn-ME"/>
        </w:rPr>
        <w:t>Poluprovidna, homogena mast bijele boje.</w:t>
      </w:r>
    </w:p>
    <w:p w14:paraId="7A0E80BC" w14:textId="7B2179F3" w:rsidR="00EC2532" w:rsidRPr="00E51EBA" w:rsidRDefault="00EC2532">
      <w:pPr>
        <w:rPr>
          <w:bCs/>
          <w:sz w:val="22"/>
          <w:szCs w:val="22"/>
          <w:lang w:val="sr-Latn-ME"/>
        </w:rPr>
      </w:pPr>
    </w:p>
    <w:p w14:paraId="4E504BC6" w14:textId="77777777" w:rsidR="000A57FA" w:rsidRPr="00E51EBA" w:rsidRDefault="000A57FA">
      <w:pPr>
        <w:rPr>
          <w:bCs/>
          <w:sz w:val="22"/>
          <w:szCs w:val="22"/>
          <w:lang w:val="sr-Latn-ME"/>
        </w:rPr>
      </w:pPr>
    </w:p>
    <w:p w14:paraId="196DAA67" w14:textId="77777777" w:rsidR="00411B4B" w:rsidRPr="00E51EBA" w:rsidRDefault="00411B4B" w:rsidP="008B00F2">
      <w:pPr>
        <w:tabs>
          <w:tab w:val="left" w:pos="540"/>
          <w:tab w:val="left" w:pos="569"/>
        </w:tabs>
        <w:jc w:val="both"/>
        <w:rPr>
          <w:b/>
          <w:bCs/>
          <w:sz w:val="22"/>
          <w:szCs w:val="22"/>
          <w:lang w:val="sr-Latn-ME"/>
        </w:rPr>
      </w:pPr>
      <w:r w:rsidRPr="00E51EBA">
        <w:rPr>
          <w:b/>
          <w:bCs/>
          <w:sz w:val="22"/>
          <w:szCs w:val="22"/>
          <w:lang w:val="sr-Latn-ME"/>
        </w:rPr>
        <w:t xml:space="preserve">4. </w:t>
      </w:r>
      <w:r w:rsidR="00480FB1" w:rsidRPr="00E51EBA">
        <w:rPr>
          <w:b/>
          <w:bCs/>
          <w:sz w:val="22"/>
          <w:szCs w:val="22"/>
          <w:lang w:val="sr-Latn-ME"/>
        </w:rPr>
        <w:tab/>
      </w:r>
      <w:r w:rsidRPr="00E51EBA">
        <w:rPr>
          <w:b/>
          <w:bCs/>
          <w:sz w:val="22"/>
          <w:szCs w:val="22"/>
          <w:lang w:val="sr-Latn-ME"/>
        </w:rPr>
        <w:t>KLINIČKI PODACI</w:t>
      </w:r>
    </w:p>
    <w:p w14:paraId="1F2EFFDF" w14:textId="77777777" w:rsidR="00CD6F02" w:rsidRPr="00E51EBA" w:rsidRDefault="00CD6F02" w:rsidP="008B00F2">
      <w:pPr>
        <w:tabs>
          <w:tab w:val="left" w:pos="540"/>
          <w:tab w:val="left" w:pos="569"/>
        </w:tabs>
        <w:jc w:val="both"/>
        <w:rPr>
          <w:bCs/>
          <w:sz w:val="22"/>
          <w:szCs w:val="22"/>
          <w:lang w:val="sr-Latn-ME"/>
        </w:rPr>
      </w:pPr>
    </w:p>
    <w:p w14:paraId="691AC84E" w14:textId="185D9148" w:rsidR="00411B4B" w:rsidRPr="00E51EBA" w:rsidRDefault="00411B4B" w:rsidP="008B00F2">
      <w:pPr>
        <w:tabs>
          <w:tab w:val="left" w:pos="540"/>
          <w:tab w:val="left" w:pos="569"/>
        </w:tabs>
        <w:jc w:val="both"/>
        <w:rPr>
          <w:b/>
          <w:bCs/>
          <w:sz w:val="22"/>
          <w:szCs w:val="22"/>
          <w:lang w:val="sr-Latn-ME"/>
        </w:rPr>
      </w:pPr>
      <w:r w:rsidRPr="00E51EBA">
        <w:rPr>
          <w:b/>
          <w:bCs/>
          <w:sz w:val="22"/>
          <w:szCs w:val="22"/>
          <w:lang w:val="sr-Latn-ME"/>
        </w:rPr>
        <w:t xml:space="preserve">4.1. </w:t>
      </w:r>
      <w:r w:rsidR="00480FB1" w:rsidRPr="00E51EBA">
        <w:rPr>
          <w:b/>
          <w:bCs/>
          <w:sz w:val="22"/>
          <w:szCs w:val="22"/>
          <w:lang w:val="sr-Latn-ME"/>
        </w:rPr>
        <w:tab/>
      </w:r>
      <w:r w:rsidRPr="00E51EBA">
        <w:rPr>
          <w:b/>
          <w:bCs/>
          <w:sz w:val="22"/>
          <w:szCs w:val="22"/>
          <w:lang w:val="sr-Latn-ME"/>
        </w:rPr>
        <w:t>Terapijske indikacije</w:t>
      </w:r>
    </w:p>
    <w:p w14:paraId="589B3C64" w14:textId="56689BDF" w:rsidR="00B460AC" w:rsidRPr="00E51EBA" w:rsidRDefault="00B460AC" w:rsidP="008B00F2">
      <w:pPr>
        <w:tabs>
          <w:tab w:val="left" w:pos="540"/>
          <w:tab w:val="left" w:pos="569"/>
        </w:tabs>
        <w:jc w:val="both"/>
        <w:rPr>
          <w:b/>
          <w:bCs/>
          <w:sz w:val="22"/>
          <w:szCs w:val="22"/>
          <w:lang w:val="sr-Latn-ME"/>
        </w:rPr>
      </w:pPr>
    </w:p>
    <w:p w14:paraId="566D19B2" w14:textId="0CB8B53A" w:rsidR="00B460AC" w:rsidRPr="00E51EBA" w:rsidRDefault="00712116" w:rsidP="008B00F2">
      <w:pPr>
        <w:jc w:val="both"/>
        <w:rPr>
          <w:sz w:val="22"/>
          <w:szCs w:val="22"/>
          <w:lang w:val="sr-Latn-ME"/>
        </w:rPr>
      </w:pPr>
      <w:r w:rsidRPr="00E51EBA">
        <w:rPr>
          <w:sz w:val="22"/>
          <w:szCs w:val="22"/>
          <w:lang w:val="sr-Latn-ME"/>
        </w:rPr>
        <w:t xml:space="preserve">Lijek </w:t>
      </w:r>
      <w:r w:rsidR="00B460AC" w:rsidRPr="00E51EBA">
        <w:rPr>
          <w:sz w:val="22"/>
          <w:szCs w:val="22"/>
          <w:lang w:val="sr-Latn-ME"/>
        </w:rPr>
        <w:t>Belogent</w:t>
      </w:r>
      <w:r w:rsidR="002727EA" w:rsidRPr="00E51EBA">
        <w:rPr>
          <w:sz w:val="22"/>
          <w:szCs w:val="22"/>
          <w:lang w:val="sr-Latn-ME"/>
        </w:rPr>
        <w:t xml:space="preserve"> mast</w:t>
      </w:r>
      <w:r w:rsidR="00B460AC" w:rsidRPr="00E51EBA">
        <w:rPr>
          <w:sz w:val="22"/>
          <w:szCs w:val="22"/>
          <w:lang w:val="sr-Latn-ME"/>
        </w:rPr>
        <w:t xml:space="preserve"> </w:t>
      </w:r>
      <w:r w:rsidR="002727EA" w:rsidRPr="00E51EBA">
        <w:rPr>
          <w:sz w:val="22"/>
          <w:szCs w:val="22"/>
          <w:lang w:val="sr-Latn-ME"/>
        </w:rPr>
        <w:t>indikovan je za ublažavanje upalnih manifestacija dermatoza koje reaguju na lokalno liječenje kortikosteroidima</w:t>
      </w:r>
      <w:r w:rsidR="00B460AC" w:rsidRPr="00E51EBA">
        <w:rPr>
          <w:sz w:val="22"/>
          <w:szCs w:val="22"/>
          <w:lang w:val="sr-Latn-ME"/>
        </w:rPr>
        <w:t>, kada je prisutna superinfekcija mikroorganizmima osjetljivim na gentamicin</w:t>
      </w:r>
      <w:r w:rsidR="002727EA" w:rsidRPr="00E51EBA">
        <w:rPr>
          <w:sz w:val="22"/>
          <w:szCs w:val="22"/>
          <w:lang w:val="sr-Latn-ME"/>
        </w:rPr>
        <w:t xml:space="preserve"> ili kod sumnje na takve infekcije</w:t>
      </w:r>
      <w:r w:rsidR="00B460AC" w:rsidRPr="00E51EBA">
        <w:rPr>
          <w:sz w:val="22"/>
          <w:szCs w:val="22"/>
          <w:lang w:val="sr-Latn-ME"/>
        </w:rPr>
        <w:t>.</w:t>
      </w:r>
      <w:r w:rsidR="00B460AC" w:rsidRPr="00E51EBA" w:rsidDel="003F481F">
        <w:rPr>
          <w:sz w:val="22"/>
          <w:szCs w:val="22"/>
          <w:lang w:val="sr-Latn-ME"/>
        </w:rPr>
        <w:t xml:space="preserve"> </w:t>
      </w:r>
    </w:p>
    <w:p w14:paraId="43833E50" w14:textId="77777777" w:rsidR="00411B4B" w:rsidRPr="00E51EBA" w:rsidRDefault="00411B4B" w:rsidP="008B00F2">
      <w:pPr>
        <w:tabs>
          <w:tab w:val="left" w:pos="540"/>
          <w:tab w:val="left" w:pos="569"/>
        </w:tabs>
        <w:jc w:val="both"/>
        <w:rPr>
          <w:bCs/>
          <w:sz w:val="22"/>
          <w:szCs w:val="22"/>
          <w:lang w:val="sr-Latn-ME"/>
        </w:rPr>
      </w:pPr>
    </w:p>
    <w:p w14:paraId="1CFA6512" w14:textId="77777777" w:rsidR="00411B4B" w:rsidRPr="00E51EBA" w:rsidRDefault="00411B4B" w:rsidP="008B00F2">
      <w:pPr>
        <w:tabs>
          <w:tab w:val="left" w:pos="540"/>
          <w:tab w:val="left" w:pos="569"/>
        </w:tabs>
        <w:jc w:val="both"/>
        <w:rPr>
          <w:b/>
          <w:bCs/>
          <w:sz w:val="22"/>
          <w:szCs w:val="22"/>
          <w:lang w:val="sr-Latn-ME"/>
        </w:rPr>
      </w:pPr>
      <w:r w:rsidRPr="00E51EBA">
        <w:rPr>
          <w:b/>
          <w:bCs/>
          <w:sz w:val="22"/>
          <w:szCs w:val="22"/>
          <w:lang w:val="sr-Latn-ME"/>
        </w:rPr>
        <w:t xml:space="preserve">4.2. </w:t>
      </w:r>
      <w:r w:rsidR="00480FB1" w:rsidRPr="00E51EBA">
        <w:rPr>
          <w:b/>
          <w:bCs/>
          <w:sz w:val="22"/>
          <w:szCs w:val="22"/>
          <w:lang w:val="sr-Latn-ME"/>
        </w:rPr>
        <w:tab/>
      </w:r>
      <w:r w:rsidRPr="00E51EBA">
        <w:rPr>
          <w:b/>
          <w:bCs/>
          <w:sz w:val="22"/>
          <w:szCs w:val="22"/>
          <w:lang w:val="sr-Latn-ME"/>
        </w:rPr>
        <w:t>Doziranje i način primjene</w:t>
      </w:r>
    </w:p>
    <w:p w14:paraId="4D042D7E" w14:textId="77777777" w:rsidR="0072020E" w:rsidRPr="00E51EBA" w:rsidRDefault="0072020E" w:rsidP="008B00F2">
      <w:pPr>
        <w:tabs>
          <w:tab w:val="left" w:pos="540"/>
          <w:tab w:val="left" w:pos="569"/>
        </w:tabs>
        <w:jc w:val="both"/>
        <w:rPr>
          <w:bCs/>
          <w:sz w:val="22"/>
          <w:szCs w:val="22"/>
          <w:lang w:val="sr-Latn-ME"/>
        </w:rPr>
      </w:pPr>
    </w:p>
    <w:p w14:paraId="34521F54" w14:textId="2CFB4432" w:rsidR="00452E9D" w:rsidRPr="00E51EBA" w:rsidRDefault="00452E9D" w:rsidP="008B00F2">
      <w:pPr>
        <w:tabs>
          <w:tab w:val="left" w:pos="540"/>
          <w:tab w:val="left" w:pos="569"/>
        </w:tabs>
        <w:jc w:val="both"/>
        <w:rPr>
          <w:bCs/>
          <w:sz w:val="22"/>
          <w:szCs w:val="22"/>
          <w:u w:val="single"/>
          <w:lang w:val="sr-Latn-ME"/>
        </w:rPr>
      </w:pPr>
      <w:r w:rsidRPr="00E51EBA">
        <w:rPr>
          <w:bCs/>
          <w:sz w:val="22"/>
          <w:szCs w:val="22"/>
          <w:u w:val="single"/>
          <w:lang w:val="sr-Latn-ME"/>
        </w:rPr>
        <w:t>Doziranje</w:t>
      </w:r>
    </w:p>
    <w:p w14:paraId="3E74075C" w14:textId="77777777" w:rsidR="002E5BC8" w:rsidRPr="00E51EBA" w:rsidRDefault="002E5BC8" w:rsidP="008B00F2">
      <w:pPr>
        <w:tabs>
          <w:tab w:val="left" w:pos="540"/>
          <w:tab w:val="left" w:pos="569"/>
        </w:tabs>
        <w:jc w:val="both"/>
        <w:rPr>
          <w:bCs/>
          <w:sz w:val="22"/>
          <w:szCs w:val="22"/>
          <w:u w:val="single"/>
          <w:lang w:val="sr-Latn-ME"/>
        </w:rPr>
      </w:pPr>
    </w:p>
    <w:p w14:paraId="3C036203" w14:textId="6AAA93F6" w:rsidR="00B460AC" w:rsidRPr="00E51EBA" w:rsidRDefault="002E5BC8" w:rsidP="008B00F2">
      <w:pPr>
        <w:tabs>
          <w:tab w:val="left" w:pos="540"/>
          <w:tab w:val="left" w:pos="569"/>
        </w:tabs>
        <w:jc w:val="both"/>
        <w:rPr>
          <w:bCs/>
          <w:sz w:val="22"/>
          <w:szCs w:val="22"/>
          <w:u w:val="single"/>
          <w:lang w:val="sr-Latn-ME"/>
        </w:rPr>
      </w:pPr>
      <w:r w:rsidRPr="00E51EBA">
        <w:rPr>
          <w:bCs/>
          <w:sz w:val="22"/>
          <w:szCs w:val="22"/>
          <w:u w:val="single"/>
          <w:lang w:val="sr-Latn-ME"/>
        </w:rPr>
        <w:t>Odrasli</w:t>
      </w:r>
    </w:p>
    <w:p w14:paraId="726579AB" w14:textId="0D6EA09C" w:rsidR="002E5BC8" w:rsidRPr="00E51EBA" w:rsidRDefault="00CC36ED" w:rsidP="008B00F2">
      <w:pPr>
        <w:jc w:val="both"/>
        <w:rPr>
          <w:color w:val="000000"/>
          <w:sz w:val="22"/>
          <w:szCs w:val="22"/>
          <w:lang w:val="sr-Latn-ME"/>
        </w:rPr>
      </w:pPr>
      <w:r w:rsidRPr="00E51EBA">
        <w:rPr>
          <w:color w:val="000000"/>
          <w:sz w:val="22"/>
          <w:szCs w:val="22"/>
          <w:lang w:val="sr-Latn-ME"/>
        </w:rPr>
        <w:t xml:space="preserve">Ako </w:t>
      </w:r>
      <w:r w:rsidR="00B460AC" w:rsidRPr="00E51EBA">
        <w:rPr>
          <w:color w:val="000000"/>
          <w:sz w:val="22"/>
          <w:szCs w:val="22"/>
          <w:lang w:val="sr-Latn-ME"/>
        </w:rPr>
        <w:t xml:space="preserve">nije drugačije propisano, mast </w:t>
      </w:r>
      <w:r w:rsidRPr="00E51EBA">
        <w:rPr>
          <w:color w:val="000000"/>
          <w:sz w:val="22"/>
          <w:szCs w:val="22"/>
          <w:lang w:val="sr-Latn-ME"/>
        </w:rPr>
        <w:t xml:space="preserve">se primjenjuje </w:t>
      </w:r>
      <w:r w:rsidR="00B460AC" w:rsidRPr="00E51EBA">
        <w:rPr>
          <w:color w:val="000000"/>
          <w:sz w:val="22"/>
          <w:szCs w:val="22"/>
          <w:lang w:val="sr-Latn-ME"/>
        </w:rPr>
        <w:t xml:space="preserve">1-2 puta dnevno. </w:t>
      </w:r>
      <w:r w:rsidRPr="00E51EBA">
        <w:rPr>
          <w:color w:val="000000"/>
          <w:sz w:val="22"/>
          <w:szCs w:val="22"/>
          <w:lang w:val="sr-Latn-ME"/>
        </w:rPr>
        <w:t>Učestalost primjene može se smanjiti tokom poboljšanja bolesti.</w:t>
      </w:r>
    </w:p>
    <w:p w14:paraId="2534FFCA" w14:textId="7FD6E6E9" w:rsidR="00B460AC" w:rsidRPr="00E51EBA" w:rsidRDefault="00B460AC" w:rsidP="008B00F2">
      <w:pPr>
        <w:jc w:val="both"/>
        <w:rPr>
          <w:color w:val="000000"/>
          <w:sz w:val="22"/>
          <w:szCs w:val="22"/>
          <w:lang w:val="sr-Latn-ME"/>
        </w:rPr>
      </w:pPr>
      <w:r w:rsidRPr="00E51EBA">
        <w:rPr>
          <w:color w:val="000000"/>
          <w:sz w:val="22"/>
          <w:szCs w:val="22"/>
          <w:lang w:val="sr-Latn-ME"/>
        </w:rPr>
        <w:t xml:space="preserve"> </w:t>
      </w:r>
    </w:p>
    <w:p w14:paraId="0ACBB01F" w14:textId="59B7EB9E" w:rsidR="002E5BC8" w:rsidRPr="00E51EBA" w:rsidRDefault="002E5BC8" w:rsidP="008B00F2">
      <w:pPr>
        <w:jc w:val="both"/>
        <w:rPr>
          <w:sz w:val="22"/>
          <w:szCs w:val="22"/>
          <w:u w:val="single"/>
          <w:lang w:val="sr-Latn-ME"/>
        </w:rPr>
      </w:pPr>
      <w:r w:rsidRPr="00E51EBA">
        <w:rPr>
          <w:sz w:val="22"/>
          <w:szCs w:val="22"/>
          <w:u w:val="single"/>
          <w:lang w:val="sr-Latn-ME"/>
        </w:rPr>
        <w:t>Pedijatrijska populacija</w:t>
      </w:r>
    </w:p>
    <w:p w14:paraId="44AC2E90" w14:textId="68142F5A" w:rsidR="002E5BC8" w:rsidRPr="00E51EBA" w:rsidRDefault="002E5BC8" w:rsidP="008B00F2">
      <w:pPr>
        <w:jc w:val="both"/>
        <w:rPr>
          <w:color w:val="222222"/>
          <w:sz w:val="22"/>
          <w:szCs w:val="22"/>
          <w:lang w:val="sr-Latn-ME" w:eastAsia="hr-HR"/>
        </w:rPr>
      </w:pPr>
      <w:r w:rsidRPr="00E51EBA">
        <w:rPr>
          <w:color w:val="222222"/>
          <w:sz w:val="22"/>
          <w:szCs w:val="22"/>
          <w:lang w:val="sr-Latn-ME" w:eastAsia="hr-HR"/>
        </w:rPr>
        <w:t>Ako nije dru</w:t>
      </w:r>
      <w:r w:rsidR="00124D0F" w:rsidRPr="00E51EBA">
        <w:rPr>
          <w:color w:val="222222"/>
          <w:sz w:val="22"/>
          <w:szCs w:val="22"/>
          <w:lang w:val="sr-Latn-ME" w:eastAsia="hr-HR"/>
        </w:rPr>
        <w:t>gač</w:t>
      </w:r>
      <w:r w:rsidRPr="00E51EBA">
        <w:rPr>
          <w:color w:val="222222"/>
          <w:sz w:val="22"/>
          <w:szCs w:val="22"/>
          <w:lang w:val="sr-Latn-ME" w:eastAsia="hr-HR"/>
        </w:rPr>
        <w:t xml:space="preserve">ije propisano, </w:t>
      </w:r>
      <w:r w:rsidR="00124D0F" w:rsidRPr="00E51EBA">
        <w:rPr>
          <w:color w:val="222222"/>
          <w:sz w:val="22"/>
          <w:szCs w:val="22"/>
          <w:lang w:val="sr-Latn-ME" w:eastAsia="hr-HR"/>
        </w:rPr>
        <w:t xml:space="preserve">mast </w:t>
      </w:r>
      <w:r w:rsidRPr="00E51EBA">
        <w:rPr>
          <w:color w:val="222222"/>
          <w:sz w:val="22"/>
          <w:szCs w:val="22"/>
          <w:lang w:val="sr-Latn-ME" w:eastAsia="hr-HR"/>
        </w:rPr>
        <w:t>se primjenjuje jednom dnevno.</w:t>
      </w:r>
    </w:p>
    <w:p w14:paraId="4D88AA37" w14:textId="77777777" w:rsidR="00452E9D" w:rsidRPr="00E51EBA" w:rsidRDefault="00452E9D" w:rsidP="008B00F2">
      <w:pPr>
        <w:tabs>
          <w:tab w:val="left" w:pos="540"/>
          <w:tab w:val="left" w:pos="569"/>
        </w:tabs>
        <w:jc w:val="both"/>
        <w:rPr>
          <w:bCs/>
          <w:sz w:val="22"/>
          <w:szCs w:val="22"/>
          <w:u w:val="single"/>
          <w:lang w:val="sr-Latn-ME"/>
        </w:rPr>
      </w:pPr>
    </w:p>
    <w:p w14:paraId="0EF6CB83" w14:textId="28255448" w:rsidR="00452E9D" w:rsidRPr="00E51EBA" w:rsidRDefault="00452E9D" w:rsidP="008B00F2">
      <w:pPr>
        <w:tabs>
          <w:tab w:val="left" w:pos="540"/>
          <w:tab w:val="left" w:pos="569"/>
        </w:tabs>
        <w:jc w:val="both"/>
        <w:rPr>
          <w:bCs/>
          <w:sz w:val="22"/>
          <w:szCs w:val="22"/>
          <w:u w:val="single"/>
          <w:lang w:val="sr-Latn-ME"/>
        </w:rPr>
      </w:pPr>
      <w:r w:rsidRPr="00E51EBA">
        <w:rPr>
          <w:bCs/>
          <w:sz w:val="22"/>
          <w:szCs w:val="22"/>
          <w:u w:val="single"/>
          <w:lang w:val="sr-Latn-ME"/>
        </w:rPr>
        <w:t>Način primjene</w:t>
      </w:r>
    </w:p>
    <w:p w14:paraId="3B1F0F0B" w14:textId="3190FE60" w:rsidR="00B460AC" w:rsidRPr="00E51EBA" w:rsidRDefault="00B460AC" w:rsidP="008B00F2">
      <w:pPr>
        <w:tabs>
          <w:tab w:val="left" w:pos="540"/>
          <w:tab w:val="left" w:pos="569"/>
        </w:tabs>
        <w:jc w:val="both"/>
        <w:rPr>
          <w:bCs/>
          <w:sz w:val="22"/>
          <w:szCs w:val="22"/>
          <w:u w:val="single"/>
          <w:lang w:val="sr-Latn-ME"/>
        </w:rPr>
      </w:pPr>
    </w:p>
    <w:p w14:paraId="75F0E80E" w14:textId="4A5F68BC" w:rsidR="00B460AC" w:rsidRPr="00E51EBA" w:rsidRDefault="002E5BC8" w:rsidP="00A51629">
      <w:pPr>
        <w:autoSpaceDE w:val="0"/>
        <w:autoSpaceDN w:val="0"/>
        <w:adjustRightInd w:val="0"/>
        <w:jc w:val="both"/>
        <w:rPr>
          <w:color w:val="000000"/>
          <w:sz w:val="22"/>
          <w:szCs w:val="22"/>
          <w:lang w:val="sr-Latn-ME"/>
        </w:rPr>
      </w:pPr>
      <w:r w:rsidRPr="00E51EBA">
        <w:rPr>
          <w:color w:val="000000"/>
          <w:sz w:val="22"/>
          <w:szCs w:val="22"/>
          <w:lang w:val="sr-Latn-ME"/>
        </w:rPr>
        <w:t xml:space="preserve">Za </w:t>
      </w:r>
      <w:r w:rsidR="00CC36ED" w:rsidRPr="00E51EBA">
        <w:rPr>
          <w:color w:val="000000"/>
          <w:sz w:val="22"/>
          <w:szCs w:val="22"/>
          <w:lang w:val="sr-Latn-ME"/>
        </w:rPr>
        <w:t>dermalnu upotrebu</w:t>
      </w:r>
      <w:r w:rsidRPr="00E51EBA">
        <w:rPr>
          <w:color w:val="000000"/>
          <w:sz w:val="22"/>
          <w:szCs w:val="22"/>
          <w:lang w:val="sr-Latn-ME"/>
        </w:rPr>
        <w:t xml:space="preserve">. </w:t>
      </w:r>
      <w:r w:rsidR="00CC36ED" w:rsidRPr="00E51EBA">
        <w:rPr>
          <w:color w:val="000000"/>
          <w:sz w:val="22"/>
          <w:szCs w:val="22"/>
          <w:lang w:val="sr-Latn-ME"/>
        </w:rPr>
        <w:t>M</w:t>
      </w:r>
      <w:r w:rsidR="00B460AC" w:rsidRPr="00E51EBA">
        <w:rPr>
          <w:color w:val="000000"/>
          <w:sz w:val="22"/>
          <w:szCs w:val="22"/>
          <w:lang w:val="sr-Latn-ME"/>
        </w:rPr>
        <w:t>ast</w:t>
      </w:r>
      <w:r w:rsidR="006B3FBB" w:rsidRPr="00E51EBA">
        <w:rPr>
          <w:color w:val="000000"/>
          <w:sz w:val="22"/>
          <w:szCs w:val="22"/>
          <w:lang w:val="sr-Latn-ME"/>
        </w:rPr>
        <w:t xml:space="preserve"> se laganim utrljavanjem nanosi u tankom sloju na zahvaćena područja kože</w:t>
      </w:r>
      <w:r w:rsidR="00B460AC" w:rsidRPr="00E51EBA">
        <w:rPr>
          <w:color w:val="000000"/>
          <w:sz w:val="22"/>
          <w:szCs w:val="22"/>
          <w:lang w:val="sr-Latn-ME"/>
        </w:rPr>
        <w:t xml:space="preserve">. </w:t>
      </w:r>
      <w:r w:rsidR="006B3FBB" w:rsidRPr="00E51EBA">
        <w:rPr>
          <w:color w:val="000000"/>
          <w:sz w:val="22"/>
          <w:szCs w:val="22"/>
          <w:lang w:val="sr-Latn-ME"/>
        </w:rPr>
        <w:t xml:space="preserve">Tretirano </w:t>
      </w:r>
      <w:r w:rsidR="00B460AC" w:rsidRPr="00E51EBA">
        <w:rPr>
          <w:color w:val="000000"/>
          <w:sz w:val="22"/>
          <w:szCs w:val="22"/>
          <w:lang w:val="sr-Latn-ME"/>
        </w:rPr>
        <w:t xml:space="preserve">područje kože ne </w:t>
      </w:r>
      <w:r w:rsidR="006B3FBB" w:rsidRPr="00E51EBA">
        <w:rPr>
          <w:color w:val="000000"/>
          <w:sz w:val="22"/>
          <w:szCs w:val="22"/>
          <w:lang w:val="sr-Latn-ME"/>
        </w:rPr>
        <w:t>bi trebalo da bude</w:t>
      </w:r>
      <w:r w:rsidR="00113E96" w:rsidRPr="00E51EBA">
        <w:rPr>
          <w:color w:val="000000"/>
          <w:sz w:val="22"/>
          <w:szCs w:val="22"/>
          <w:lang w:val="sr-Latn-ME"/>
        </w:rPr>
        <w:t xml:space="preserve"> veće</w:t>
      </w:r>
      <w:r w:rsidR="00B460AC" w:rsidRPr="00E51EBA">
        <w:rPr>
          <w:color w:val="000000"/>
          <w:sz w:val="22"/>
          <w:szCs w:val="22"/>
          <w:lang w:val="sr-Latn-ME"/>
        </w:rPr>
        <w:t xml:space="preserve"> od 10% ukupne površine tijela. </w:t>
      </w:r>
    </w:p>
    <w:p w14:paraId="71BF4AE6" w14:textId="68787326" w:rsidR="006B3FBB" w:rsidRPr="00E51EBA" w:rsidRDefault="006B3FBB" w:rsidP="006B3FBB">
      <w:pPr>
        <w:tabs>
          <w:tab w:val="left" w:pos="540"/>
          <w:tab w:val="left" w:pos="569"/>
        </w:tabs>
        <w:jc w:val="both"/>
        <w:rPr>
          <w:color w:val="000000"/>
          <w:sz w:val="22"/>
          <w:szCs w:val="22"/>
          <w:lang w:val="sr-Latn-ME"/>
        </w:rPr>
      </w:pPr>
      <w:r w:rsidRPr="00E51EBA">
        <w:rPr>
          <w:color w:val="000000"/>
          <w:sz w:val="22"/>
          <w:szCs w:val="22"/>
          <w:lang w:val="sr-Latn-ME"/>
        </w:rPr>
        <w:t>Primjena lijeka</w:t>
      </w:r>
      <w:r w:rsidRPr="00E51EBA" w:rsidDel="006B3FBB">
        <w:rPr>
          <w:color w:val="000000"/>
          <w:sz w:val="22"/>
          <w:szCs w:val="22"/>
          <w:lang w:val="sr-Latn-ME"/>
        </w:rPr>
        <w:t xml:space="preserve"> </w:t>
      </w:r>
      <w:r w:rsidR="00B460AC" w:rsidRPr="00E51EBA">
        <w:rPr>
          <w:color w:val="000000"/>
          <w:sz w:val="22"/>
          <w:szCs w:val="22"/>
          <w:lang w:val="sr-Latn-ME"/>
        </w:rPr>
        <w:t xml:space="preserve">kod djece </w:t>
      </w:r>
      <w:r w:rsidRPr="00E51EBA">
        <w:rPr>
          <w:color w:val="000000"/>
          <w:sz w:val="22"/>
          <w:szCs w:val="22"/>
          <w:lang w:val="sr-Latn-ME"/>
        </w:rPr>
        <w:t>mora biti svedena na najkraće moguće vrijeme i na manja područja kože</w:t>
      </w:r>
      <w:r w:rsidR="00A51629" w:rsidRPr="00E51EBA">
        <w:rPr>
          <w:color w:val="000000"/>
          <w:sz w:val="22"/>
          <w:szCs w:val="22"/>
          <w:lang w:val="sr-Latn-ME"/>
        </w:rPr>
        <w:t xml:space="preserve"> (vidjeti dio 4.4)</w:t>
      </w:r>
      <w:r w:rsidR="00B460AC" w:rsidRPr="00E51EBA">
        <w:rPr>
          <w:color w:val="000000"/>
          <w:sz w:val="22"/>
          <w:szCs w:val="22"/>
          <w:lang w:val="sr-Latn-ME"/>
        </w:rPr>
        <w:t xml:space="preserve">. </w:t>
      </w:r>
    </w:p>
    <w:p w14:paraId="702141D4" w14:textId="7B44EE2F" w:rsidR="00B460AC" w:rsidRPr="00E51EBA" w:rsidRDefault="006B3FBB" w:rsidP="00A51629">
      <w:pPr>
        <w:autoSpaceDE w:val="0"/>
        <w:autoSpaceDN w:val="0"/>
        <w:adjustRightInd w:val="0"/>
        <w:spacing w:before="120"/>
        <w:jc w:val="both"/>
        <w:rPr>
          <w:color w:val="000000"/>
          <w:sz w:val="22"/>
          <w:szCs w:val="22"/>
          <w:lang w:val="sr-Latn-ME"/>
        </w:rPr>
      </w:pPr>
      <w:r w:rsidRPr="00E51EBA">
        <w:rPr>
          <w:color w:val="000000"/>
          <w:sz w:val="22"/>
          <w:szCs w:val="22"/>
          <w:lang w:val="sr-Latn-ME"/>
        </w:rPr>
        <w:t>U odnosu na odrasle potreban je uopšteno veći oprez pri primjeni kortikosteroida kod djece zbog moguće povećane resorpcije ovih supstanci kroz kožu djeteta. Takođe, lijek se ne smije primjenjivati uz okluziju</w:t>
      </w:r>
      <w:r w:rsidR="00B460AC" w:rsidRPr="00E51EBA">
        <w:rPr>
          <w:color w:val="000000"/>
          <w:sz w:val="22"/>
          <w:szCs w:val="22"/>
          <w:lang w:val="sr-Latn-ME"/>
        </w:rPr>
        <w:t xml:space="preserve"> zbog moguće </w:t>
      </w:r>
      <w:r w:rsidR="00A51629" w:rsidRPr="00E51EBA">
        <w:rPr>
          <w:color w:val="000000"/>
          <w:sz w:val="22"/>
          <w:szCs w:val="22"/>
          <w:lang w:val="sr-Latn-ME"/>
        </w:rPr>
        <w:t>re</w:t>
      </w:r>
      <w:r w:rsidR="00B76DC8" w:rsidRPr="00E51EBA">
        <w:rPr>
          <w:color w:val="000000"/>
          <w:sz w:val="22"/>
          <w:szCs w:val="22"/>
          <w:lang w:val="sr-Latn-ME"/>
        </w:rPr>
        <w:t>s</w:t>
      </w:r>
      <w:r w:rsidR="00B460AC" w:rsidRPr="00E51EBA">
        <w:rPr>
          <w:color w:val="000000"/>
          <w:sz w:val="22"/>
          <w:szCs w:val="22"/>
          <w:lang w:val="sr-Latn-ME"/>
        </w:rPr>
        <w:t>orpcije betametazon</w:t>
      </w:r>
      <w:r w:rsidRPr="00E51EBA">
        <w:rPr>
          <w:color w:val="000000"/>
          <w:sz w:val="22"/>
          <w:szCs w:val="22"/>
          <w:lang w:val="sr-Latn-ME"/>
        </w:rPr>
        <w:t>a</w:t>
      </w:r>
      <w:r w:rsidR="002E5BC8" w:rsidRPr="00E51EBA">
        <w:rPr>
          <w:color w:val="000000"/>
          <w:sz w:val="22"/>
          <w:szCs w:val="22"/>
          <w:lang w:val="sr-Latn-ME"/>
        </w:rPr>
        <w:t xml:space="preserve">, </w:t>
      </w:r>
      <w:r w:rsidR="002E5BC8" w:rsidRPr="00E51EBA">
        <w:rPr>
          <w:sz w:val="22"/>
          <w:szCs w:val="22"/>
          <w:lang w:val="sr-Latn-ME"/>
        </w:rPr>
        <w:t>kao ni</w:t>
      </w:r>
      <w:r w:rsidR="00B76DC8" w:rsidRPr="00E51EBA">
        <w:rPr>
          <w:sz w:val="22"/>
          <w:szCs w:val="22"/>
          <w:lang w:val="sr-Latn-ME"/>
        </w:rPr>
        <w:t xml:space="preserve"> </w:t>
      </w:r>
      <w:r w:rsidR="002E5BC8" w:rsidRPr="00E51EBA">
        <w:rPr>
          <w:sz w:val="22"/>
          <w:szCs w:val="22"/>
          <w:lang w:val="sr-Latn-ME"/>
        </w:rPr>
        <w:t>u liječenju pelenskog dermatitisa.</w:t>
      </w:r>
      <w:r w:rsidRPr="00E51EBA">
        <w:rPr>
          <w:color w:val="000000"/>
          <w:sz w:val="22"/>
          <w:szCs w:val="22"/>
          <w:lang w:val="sr-Latn-ME"/>
        </w:rPr>
        <w:t xml:space="preserve"> </w:t>
      </w:r>
      <w:r w:rsidRPr="00E51EBA">
        <w:rPr>
          <w:sz w:val="22"/>
          <w:szCs w:val="22"/>
          <w:lang w:val="sr-Latn-ME"/>
        </w:rPr>
        <w:t>Ne preporučuje se primena lijeka Belogent, krem bez pažljivog medicinskog nadzora kod djece mlađe od 12 godina.</w:t>
      </w:r>
    </w:p>
    <w:p w14:paraId="360BCBF4" w14:textId="748ECF8C" w:rsidR="00B460AC" w:rsidRPr="00E51EBA" w:rsidRDefault="006B3FBB">
      <w:pPr>
        <w:autoSpaceDE w:val="0"/>
        <w:autoSpaceDN w:val="0"/>
        <w:adjustRightInd w:val="0"/>
        <w:spacing w:before="120"/>
        <w:jc w:val="both"/>
        <w:rPr>
          <w:color w:val="000000"/>
          <w:sz w:val="22"/>
          <w:szCs w:val="22"/>
          <w:lang w:val="sr-Latn-ME"/>
        </w:rPr>
      </w:pPr>
      <w:r w:rsidRPr="00E51EBA">
        <w:rPr>
          <w:color w:val="000000"/>
          <w:spacing w:val="-3"/>
          <w:kern w:val="1"/>
          <w:sz w:val="22"/>
          <w:szCs w:val="22"/>
          <w:lang w:val="sr-Latn-ME"/>
        </w:rPr>
        <w:t>M</w:t>
      </w:r>
      <w:r w:rsidR="00B460AC" w:rsidRPr="00E51EBA">
        <w:rPr>
          <w:color w:val="000000"/>
          <w:sz w:val="22"/>
          <w:szCs w:val="22"/>
          <w:lang w:val="sr-Latn-ME"/>
        </w:rPr>
        <w:t>ast se primjenjuje za suvu kožu.</w:t>
      </w:r>
    </w:p>
    <w:p w14:paraId="69665712" w14:textId="77777777" w:rsidR="00B460AC" w:rsidRPr="00E51EBA" w:rsidRDefault="00B460AC" w:rsidP="00A51629">
      <w:pPr>
        <w:autoSpaceDE w:val="0"/>
        <w:autoSpaceDN w:val="0"/>
        <w:adjustRightInd w:val="0"/>
        <w:spacing w:before="120"/>
        <w:jc w:val="both"/>
        <w:rPr>
          <w:color w:val="000000"/>
          <w:sz w:val="22"/>
          <w:szCs w:val="22"/>
          <w:lang w:val="sr-Latn-ME"/>
        </w:rPr>
      </w:pPr>
      <w:r w:rsidRPr="00E51EBA">
        <w:rPr>
          <w:color w:val="000000"/>
          <w:sz w:val="22"/>
          <w:szCs w:val="22"/>
          <w:u w:val="single"/>
          <w:lang w:val="sr-Latn-ME"/>
        </w:rPr>
        <w:lastRenderedPageBreak/>
        <w:t xml:space="preserve">Trajanje terapije </w:t>
      </w:r>
    </w:p>
    <w:p w14:paraId="16274281" w14:textId="2E5E7193" w:rsidR="00B460AC" w:rsidRPr="00E51EBA" w:rsidRDefault="00B460AC" w:rsidP="00A51629">
      <w:pPr>
        <w:autoSpaceDE w:val="0"/>
        <w:autoSpaceDN w:val="0"/>
        <w:adjustRightInd w:val="0"/>
        <w:jc w:val="both"/>
        <w:rPr>
          <w:color w:val="000000"/>
          <w:sz w:val="22"/>
          <w:szCs w:val="22"/>
          <w:lang w:val="sr-Latn-ME"/>
        </w:rPr>
      </w:pPr>
      <w:r w:rsidRPr="00E51EBA">
        <w:rPr>
          <w:color w:val="000000"/>
          <w:sz w:val="22"/>
          <w:szCs w:val="22"/>
          <w:lang w:val="sr-Latn-ME"/>
        </w:rPr>
        <w:t>Zbog sadržaja gentamicina, liječenje lijekom Belogent mast</w:t>
      </w:r>
      <w:r w:rsidR="0042665E" w:rsidRPr="00E51EBA">
        <w:rPr>
          <w:color w:val="000000"/>
          <w:sz w:val="22"/>
          <w:szCs w:val="22"/>
          <w:lang w:val="sr-Latn-ME"/>
        </w:rPr>
        <w:t xml:space="preserve"> kod odraslih </w:t>
      </w:r>
      <w:r w:rsidRPr="00E51EBA">
        <w:rPr>
          <w:color w:val="000000"/>
          <w:sz w:val="22"/>
          <w:szCs w:val="22"/>
          <w:lang w:val="sr-Latn-ME"/>
        </w:rPr>
        <w:t>ne smije trajati duže od 7 do 10 dana, a kod djece ne duže od</w:t>
      </w:r>
      <w:r w:rsidR="00DE68F2" w:rsidRPr="00E51EBA">
        <w:rPr>
          <w:color w:val="000000"/>
          <w:sz w:val="22"/>
          <w:szCs w:val="22"/>
          <w:lang w:val="sr-Latn-ME"/>
        </w:rPr>
        <w:t xml:space="preserve"> 5 do</w:t>
      </w:r>
      <w:r w:rsidRPr="00E51EBA">
        <w:rPr>
          <w:color w:val="000000"/>
          <w:sz w:val="22"/>
          <w:szCs w:val="22"/>
          <w:lang w:val="sr-Latn-ME"/>
        </w:rPr>
        <w:t xml:space="preserve"> 7 dana.</w:t>
      </w:r>
    </w:p>
    <w:p w14:paraId="22E38508" w14:textId="6B22C21C" w:rsidR="002E5BC8" w:rsidRDefault="00B460AC" w:rsidP="00A51629">
      <w:pPr>
        <w:tabs>
          <w:tab w:val="left" w:pos="284"/>
        </w:tabs>
        <w:overflowPunct w:val="0"/>
        <w:autoSpaceDE w:val="0"/>
        <w:autoSpaceDN w:val="0"/>
        <w:adjustRightInd w:val="0"/>
        <w:spacing w:before="120"/>
        <w:jc w:val="both"/>
        <w:textAlignment w:val="baseline"/>
        <w:rPr>
          <w:color w:val="222222"/>
          <w:sz w:val="22"/>
          <w:szCs w:val="22"/>
          <w:lang w:val="sr-Latn-ME"/>
        </w:rPr>
      </w:pPr>
      <w:r w:rsidRPr="00E51EBA">
        <w:rPr>
          <w:color w:val="000000"/>
          <w:sz w:val="22"/>
          <w:szCs w:val="22"/>
          <w:lang w:val="sr-Latn-ME"/>
        </w:rPr>
        <w:t>Čim to bude medicinski opravdano (tj. kada dermatozu više ne treba liječiti glukokortikoidom jakog dejstva ili kada superinfekcija mikroorganizmima osjetljivim na gentamicin više nije prisutna), treba nastaviti liječenje</w:t>
      </w:r>
      <w:r w:rsidR="002E5BC8" w:rsidRPr="00E51EBA">
        <w:rPr>
          <w:color w:val="222222"/>
          <w:sz w:val="22"/>
          <w:szCs w:val="22"/>
          <w:lang w:val="sr-Latn-ME"/>
        </w:rPr>
        <w:t xml:space="preserve"> </w:t>
      </w:r>
      <w:r w:rsidR="00460B2E" w:rsidRPr="00E51EBA">
        <w:rPr>
          <w:color w:val="000000"/>
          <w:sz w:val="22"/>
          <w:szCs w:val="22"/>
          <w:lang w:val="sr-Latn-ME"/>
        </w:rPr>
        <w:t xml:space="preserve">lijekom sa jednom aktivnom supstancom, glukokortikoidom za lokalnu primjenu (ukoliko je moguće slabijeg dejstva) </w:t>
      </w:r>
      <w:r w:rsidR="002E5BC8" w:rsidRPr="00E51EBA">
        <w:rPr>
          <w:color w:val="222222"/>
          <w:sz w:val="22"/>
          <w:szCs w:val="22"/>
          <w:lang w:val="sr-Latn-ME"/>
        </w:rPr>
        <w:t>ili drugim antibiotikom.</w:t>
      </w:r>
    </w:p>
    <w:p w14:paraId="2F7DAEFF" w14:textId="77777777" w:rsidR="00E51EBA" w:rsidRPr="00E51EBA" w:rsidRDefault="00E51EBA" w:rsidP="00E51EBA">
      <w:pPr>
        <w:tabs>
          <w:tab w:val="left" w:pos="284"/>
        </w:tabs>
        <w:overflowPunct w:val="0"/>
        <w:autoSpaceDE w:val="0"/>
        <w:autoSpaceDN w:val="0"/>
        <w:adjustRightInd w:val="0"/>
        <w:jc w:val="both"/>
        <w:textAlignment w:val="baseline"/>
        <w:rPr>
          <w:sz w:val="22"/>
          <w:szCs w:val="22"/>
          <w:lang w:val="sr-Latn-ME"/>
        </w:rPr>
      </w:pPr>
    </w:p>
    <w:p w14:paraId="2B9A9BA4" w14:textId="580B1ED6" w:rsidR="00411B4B" w:rsidRPr="00E51EBA" w:rsidRDefault="00411B4B" w:rsidP="00E51EBA">
      <w:pPr>
        <w:tabs>
          <w:tab w:val="left" w:pos="540"/>
          <w:tab w:val="left" w:pos="569"/>
        </w:tabs>
        <w:jc w:val="both"/>
        <w:rPr>
          <w:b/>
          <w:bCs/>
          <w:sz w:val="22"/>
          <w:szCs w:val="22"/>
          <w:lang w:val="sr-Latn-ME"/>
        </w:rPr>
      </w:pPr>
      <w:r w:rsidRPr="00E51EBA">
        <w:rPr>
          <w:b/>
          <w:bCs/>
          <w:sz w:val="22"/>
          <w:szCs w:val="22"/>
          <w:lang w:val="sr-Latn-ME"/>
        </w:rPr>
        <w:t xml:space="preserve">4.3. </w:t>
      </w:r>
      <w:r w:rsidR="00480FB1" w:rsidRPr="00E51EBA">
        <w:rPr>
          <w:b/>
          <w:bCs/>
          <w:sz w:val="22"/>
          <w:szCs w:val="22"/>
          <w:lang w:val="sr-Latn-ME"/>
        </w:rPr>
        <w:tab/>
      </w:r>
      <w:r w:rsidRPr="00E51EBA">
        <w:rPr>
          <w:b/>
          <w:bCs/>
          <w:sz w:val="22"/>
          <w:szCs w:val="22"/>
          <w:lang w:val="sr-Latn-ME"/>
        </w:rPr>
        <w:t>Kontraindikacije</w:t>
      </w:r>
    </w:p>
    <w:p w14:paraId="3DAAD7CD" w14:textId="5E25A811" w:rsidR="00B460AC" w:rsidRPr="00E51EBA" w:rsidRDefault="00B460AC" w:rsidP="008B00F2">
      <w:pPr>
        <w:tabs>
          <w:tab w:val="left" w:pos="540"/>
          <w:tab w:val="left" w:pos="569"/>
        </w:tabs>
        <w:jc w:val="both"/>
        <w:rPr>
          <w:b/>
          <w:bCs/>
          <w:sz w:val="22"/>
          <w:szCs w:val="22"/>
          <w:lang w:val="sr-Latn-ME"/>
        </w:rPr>
      </w:pPr>
    </w:p>
    <w:p w14:paraId="49CCBC57" w14:textId="63512A60" w:rsidR="00B460AC" w:rsidRPr="00E51EBA" w:rsidRDefault="00460B2E" w:rsidP="00A51629">
      <w:pPr>
        <w:jc w:val="both"/>
        <w:rPr>
          <w:sz w:val="22"/>
          <w:szCs w:val="22"/>
          <w:lang w:val="sr-Latn-ME"/>
        </w:rPr>
      </w:pPr>
      <w:r w:rsidRPr="00E51EBA">
        <w:rPr>
          <w:sz w:val="22"/>
          <w:szCs w:val="22"/>
          <w:lang w:val="sr-Latn-ME"/>
        </w:rPr>
        <w:t>L</w:t>
      </w:r>
      <w:r w:rsidR="002E5BC8" w:rsidRPr="00E51EBA">
        <w:rPr>
          <w:sz w:val="22"/>
          <w:szCs w:val="22"/>
          <w:lang w:val="sr-Latn-ME"/>
        </w:rPr>
        <w:t xml:space="preserve">ijek </w:t>
      </w:r>
      <w:r w:rsidRPr="00E51EBA">
        <w:rPr>
          <w:sz w:val="22"/>
          <w:szCs w:val="22"/>
          <w:lang w:val="sr-Latn-ME"/>
        </w:rPr>
        <w:t xml:space="preserve">Belogent mast </w:t>
      </w:r>
      <w:r w:rsidR="002E5BC8" w:rsidRPr="00E51EBA">
        <w:rPr>
          <w:sz w:val="22"/>
          <w:szCs w:val="22"/>
          <w:lang w:val="sr-Latn-ME"/>
        </w:rPr>
        <w:t>se ne smije primijeniti kod osoba p</w:t>
      </w:r>
      <w:r w:rsidR="00B460AC" w:rsidRPr="00E51EBA">
        <w:rPr>
          <w:sz w:val="22"/>
          <w:szCs w:val="22"/>
          <w:lang w:val="sr-Latn-ME"/>
        </w:rPr>
        <w:t>reosjetlj</w:t>
      </w:r>
      <w:r w:rsidR="006E6829" w:rsidRPr="00E51EBA">
        <w:rPr>
          <w:sz w:val="22"/>
          <w:szCs w:val="22"/>
          <w:lang w:val="sr-Latn-ME"/>
        </w:rPr>
        <w:t>ivih</w:t>
      </w:r>
      <w:r w:rsidR="00B460AC" w:rsidRPr="00E51EBA">
        <w:rPr>
          <w:sz w:val="22"/>
          <w:szCs w:val="22"/>
          <w:lang w:val="sr-Latn-ME"/>
        </w:rPr>
        <w:t xml:space="preserve"> na </w:t>
      </w:r>
      <w:r w:rsidRPr="00E51EBA">
        <w:rPr>
          <w:sz w:val="22"/>
          <w:szCs w:val="22"/>
          <w:lang w:val="sr-Latn-ME"/>
        </w:rPr>
        <w:t>betametazon dipropionat, odnosno na gentamicin</w:t>
      </w:r>
      <w:r w:rsidR="00B460AC" w:rsidRPr="00E51EBA">
        <w:rPr>
          <w:sz w:val="22"/>
          <w:szCs w:val="22"/>
          <w:lang w:val="sr-Latn-ME"/>
        </w:rPr>
        <w:t xml:space="preserve"> ili na </w:t>
      </w:r>
      <w:r w:rsidRPr="00E51EBA">
        <w:rPr>
          <w:sz w:val="22"/>
          <w:szCs w:val="22"/>
          <w:lang w:val="sr-Latn-ME"/>
        </w:rPr>
        <w:t>neku</w:t>
      </w:r>
      <w:r w:rsidR="00B460AC" w:rsidRPr="00E51EBA">
        <w:rPr>
          <w:sz w:val="22"/>
          <w:szCs w:val="22"/>
          <w:lang w:val="sr-Latn-ME"/>
        </w:rPr>
        <w:t xml:space="preserve"> od pomoćnih supstanci navedenih u </w:t>
      </w:r>
      <w:r w:rsidR="006E6829" w:rsidRPr="00E51EBA">
        <w:rPr>
          <w:sz w:val="22"/>
          <w:szCs w:val="22"/>
          <w:lang w:val="sr-Latn-ME"/>
        </w:rPr>
        <w:t>dijelu</w:t>
      </w:r>
      <w:r w:rsidR="00B460AC" w:rsidRPr="00E51EBA">
        <w:rPr>
          <w:sz w:val="22"/>
          <w:szCs w:val="22"/>
          <w:lang w:val="sr-Latn-ME"/>
        </w:rPr>
        <w:t xml:space="preserve"> 6.1; </w:t>
      </w:r>
      <w:r w:rsidRPr="00E51EBA">
        <w:rPr>
          <w:sz w:val="22"/>
          <w:szCs w:val="22"/>
          <w:lang w:val="sr-Latn-ME"/>
        </w:rPr>
        <w:t xml:space="preserve">ili pak </w:t>
      </w:r>
      <w:r w:rsidR="00B460AC" w:rsidRPr="00E51EBA">
        <w:rPr>
          <w:sz w:val="22"/>
          <w:szCs w:val="22"/>
          <w:lang w:val="sr-Latn-ME"/>
        </w:rPr>
        <w:t xml:space="preserve">na druge </w:t>
      </w:r>
      <w:r w:rsidRPr="00E51EBA">
        <w:rPr>
          <w:sz w:val="22"/>
          <w:szCs w:val="22"/>
          <w:lang w:val="sr-Latn-ME"/>
        </w:rPr>
        <w:t>aminoglikozide i kortikosteroide</w:t>
      </w:r>
      <w:r w:rsidR="00B460AC" w:rsidRPr="00E51EBA">
        <w:rPr>
          <w:sz w:val="22"/>
          <w:szCs w:val="22"/>
          <w:lang w:val="sr-Latn-ME"/>
        </w:rPr>
        <w:t>.</w:t>
      </w:r>
    </w:p>
    <w:p w14:paraId="4E622FF8" w14:textId="77777777" w:rsidR="00B460AC" w:rsidRPr="00E51EBA" w:rsidRDefault="00B460AC" w:rsidP="00A51629">
      <w:pPr>
        <w:ind w:left="426" w:hanging="426"/>
        <w:jc w:val="both"/>
        <w:rPr>
          <w:sz w:val="22"/>
          <w:szCs w:val="22"/>
          <w:lang w:val="sr-Latn-ME"/>
        </w:rPr>
      </w:pPr>
    </w:p>
    <w:p w14:paraId="27D7192F" w14:textId="3296EFED" w:rsidR="00B460AC" w:rsidRPr="00E51EBA" w:rsidRDefault="007571A6" w:rsidP="00A51629">
      <w:pPr>
        <w:ind w:left="426" w:hanging="426"/>
        <w:jc w:val="both"/>
        <w:rPr>
          <w:sz w:val="22"/>
          <w:szCs w:val="22"/>
          <w:lang w:val="sr-Latn-ME"/>
        </w:rPr>
      </w:pPr>
      <w:r w:rsidRPr="00E51EBA">
        <w:rPr>
          <w:sz w:val="22"/>
          <w:szCs w:val="22"/>
          <w:lang w:val="sr-Latn-ME"/>
        </w:rPr>
        <w:t>Primjena l</w:t>
      </w:r>
      <w:r w:rsidR="00712116" w:rsidRPr="00E51EBA">
        <w:rPr>
          <w:sz w:val="22"/>
          <w:szCs w:val="22"/>
          <w:lang w:val="sr-Latn-ME"/>
        </w:rPr>
        <w:t>ijek</w:t>
      </w:r>
      <w:r w:rsidRPr="00E51EBA">
        <w:rPr>
          <w:sz w:val="22"/>
          <w:szCs w:val="22"/>
          <w:lang w:val="sr-Latn-ME"/>
        </w:rPr>
        <w:t>a</w:t>
      </w:r>
      <w:r w:rsidR="00712116" w:rsidRPr="00E51EBA">
        <w:rPr>
          <w:sz w:val="22"/>
          <w:szCs w:val="22"/>
          <w:lang w:val="sr-Latn-ME"/>
        </w:rPr>
        <w:t xml:space="preserve"> </w:t>
      </w:r>
      <w:r w:rsidR="00B460AC" w:rsidRPr="00E51EBA">
        <w:rPr>
          <w:sz w:val="22"/>
          <w:szCs w:val="22"/>
          <w:lang w:val="sr-Latn-ME"/>
        </w:rPr>
        <w:t xml:space="preserve">Belogent mast kontraindikovana </w:t>
      </w:r>
      <w:r w:rsidRPr="00E51EBA">
        <w:rPr>
          <w:sz w:val="22"/>
          <w:szCs w:val="22"/>
          <w:lang w:val="sr-Latn-ME"/>
        </w:rPr>
        <w:t xml:space="preserve">je </w:t>
      </w:r>
      <w:r w:rsidR="00B460AC" w:rsidRPr="00E51EBA">
        <w:rPr>
          <w:sz w:val="22"/>
          <w:szCs w:val="22"/>
          <w:lang w:val="sr-Latn-ME"/>
        </w:rPr>
        <w:t xml:space="preserve">u trudnoći (vidjeti </w:t>
      </w:r>
      <w:r w:rsidRPr="00E51EBA">
        <w:rPr>
          <w:sz w:val="22"/>
          <w:szCs w:val="22"/>
          <w:lang w:val="sr-Latn-ME"/>
        </w:rPr>
        <w:t xml:space="preserve">dio </w:t>
      </w:r>
      <w:r w:rsidR="00B460AC" w:rsidRPr="00E51EBA">
        <w:rPr>
          <w:sz w:val="22"/>
          <w:szCs w:val="22"/>
          <w:lang w:val="sr-Latn-ME"/>
        </w:rPr>
        <w:t>4.6).</w:t>
      </w:r>
    </w:p>
    <w:p w14:paraId="01EDDC9F" w14:textId="77777777" w:rsidR="00B460AC" w:rsidRPr="00E51EBA" w:rsidRDefault="00B460AC">
      <w:pPr>
        <w:ind w:left="426" w:hanging="426"/>
        <w:jc w:val="both"/>
        <w:rPr>
          <w:sz w:val="22"/>
          <w:szCs w:val="22"/>
          <w:lang w:val="sr-Latn-ME"/>
        </w:rPr>
      </w:pPr>
    </w:p>
    <w:p w14:paraId="1D356A40" w14:textId="7C4E40CE" w:rsidR="00B460AC" w:rsidRPr="00E51EBA" w:rsidRDefault="00712116">
      <w:pPr>
        <w:ind w:left="426" w:hanging="426"/>
        <w:jc w:val="both"/>
        <w:rPr>
          <w:sz w:val="22"/>
          <w:szCs w:val="22"/>
          <w:lang w:val="sr-Latn-ME"/>
        </w:rPr>
      </w:pPr>
      <w:r w:rsidRPr="00E51EBA">
        <w:rPr>
          <w:sz w:val="22"/>
          <w:szCs w:val="22"/>
          <w:lang w:val="sr-Latn-ME"/>
        </w:rPr>
        <w:t xml:space="preserve">Lijek </w:t>
      </w:r>
      <w:r w:rsidR="00B460AC" w:rsidRPr="00E51EBA">
        <w:rPr>
          <w:sz w:val="22"/>
          <w:szCs w:val="22"/>
          <w:lang w:val="sr-Latn-ME"/>
        </w:rPr>
        <w:t>Belogent, mast se ne sm</w:t>
      </w:r>
      <w:r w:rsidR="007571A6" w:rsidRPr="00E51EBA">
        <w:rPr>
          <w:sz w:val="22"/>
          <w:szCs w:val="22"/>
          <w:lang w:val="sr-Latn-ME"/>
        </w:rPr>
        <w:t>ij</w:t>
      </w:r>
      <w:r w:rsidR="00B460AC" w:rsidRPr="00E51EBA">
        <w:rPr>
          <w:sz w:val="22"/>
          <w:szCs w:val="22"/>
          <w:lang w:val="sr-Latn-ME"/>
        </w:rPr>
        <w:t>e koristiti u sledećim slučajevima:</w:t>
      </w:r>
    </w:p>
    <w:p w14:paraId="2539CC5B" w14:textId="77777777" w:rsidR="00B460AC" w:rsidRPr="00E51EBA" w:rsidRDefault="00B460AC" w:rsidP="008B00F2">
      <w:pPr>
        <w:numPr>
          <w:ilvl w:val="0"/>
          <w:numId w:val="12"/>
        </w:numPr>
        <w:jc w:val="both"/>
        <w:rPr>
          <w:sz w:val="22"/>
          <w:szCs w:val="22"/>
          <w:lang w:val="sr-Latn-ME"/>
        </w:rPr>
      </w:pPr>
      <w:r w:rsidRPr="00E51EBA">
        <w:rPr>
          <w:sz w:val="22"/>
          <w:szCs w:val="22"/>
          <w:lang w:val="sr-Latn-ME"/>
        </w:rPr>
        <w:t>virusne infekcije, uključujući reakcije na vakcinaciju i varičele;</w:t>
      </w:r>
    </w:p>
    <w:p w14:paraId="356184E5" w14:textId="56E8A865" w:rsidR="00B460AC" w:rsidRPr="00E51EBA" w:rsidRDefault="00460B2E" w:rsidP="008B00F2">
      <w:pPr>
        <w:numPr>
          <w:ilvl w:val="0"/>
          <w:numId w:val="12"/>
        </w:numPr>
        <w:jc w:val="both"/>
        <w:rPr>
          <w:sz w:val="22"/>
          <w:szCs w:val="22"/>
          <w:lang w:val="sr-Latn-ME"/>
        </w:rPr>
      </w:pPr>
      <w:r w:rsidRPr="00E51EBA">
        <w:rPr>
          <w:sz w:val="22"/>
          <w:szCs w:val="22"/>
          <w:lang w:val="sr-Latn-ME"/>
        </w:rPr>
        <w:t>kožni oblici tuberkuloze</w:t>
      </w:r>
      <w:r w:rsidRPr="00E51EBA" w:rsidDel="00460B2E">
        <w:rPr>
          <w:sz w:val="22"/>
          <w:szCs w:val="22"/>
          <w:lang w:val="sr-Latn-ME"/>
        </w:rPr>
        <w:t xml:space="preserve"> </w:t>
      </w:r>
      <w:r w:rsidR="00B460AC" w:rsidRPr="00E51EBA">
        <w:rPr>
          <w:sz w:val="22"/>
          <w:szCs w:val="22"/>
          <w:lang w:val="sr-Latn-ME"/>
        </w:rPr>
        <w:t>i sifilis;</w:t>
      </w:r>
    </w:p>
    <w:p w14:paraId="793403C1" w14:textId="77777777" w:rsidR="00B460AC" w:rsidRPr="00E51EBA" w:rsidRDefault="00B460AC" w:rsidP="008B00F2">
      <w:pPr>
        <w:numPr>
          <w:ilvl w:val="0"/>
          <w:numId w:val="12"/>
        </w:numPr>
        <w:jc w:val="both"/>
        <w:rPr>
          <w:sz w:val="22"/>
          <w:szCs w:val="22"/>
          <w:lang w:val="sr-Latn-ME"/>
        </w:rPr>
      </w:pPr>
      <w:r w:rsidRPr="00E51EBA">
        <w:rPr>
          <w:sz w:val="22"/>
          <w:szCs w:val="22"/>
          <w:lang w:val="sr-Latn-ME"/>
        </w:rPr>
        <w:t xml:space="preserve">virusne infekcije kože (npr. </w:t>
      </w:r>
      <w:r w:rsidRPr="00E51EBA">
        <w:rPr>
          <w:i/>
          <w:sz w:val="22"/>
          <w:szCs w:val="22"/>
          <w:lang w:val="sr-Latn-ME"/>
        </w:rPr>
        <w:t>herpes simplex, herpes zoster</w:t>
      </w:r>
      <w:r w:rsidRPr="00E51EBA">
        <w:rPr>
          <w:sz w:val="22"/>
          <w:szCs w:val="22"/>
          <w:lang w:val="sr-Latn-ME"/>
        </w:rPr>
        <w:t>);</w:t>
      </w:r>
    </w:p>
    <w:p w14:paraId="5B80F6A7" w14:textId="77777777" w:rsidR="00B460AC" w:rsidRPr="00E51EBA" w:rsidRDefault="00B460AC" w:rsidP="008B00F2">
      <w:pPr>
        <w:numPr>
          <w:ilvl w:val="0"/>
          <w:numId w:val="12"/>
        </w:numPr>
        <w:jc w:val="both"/>
        <w:rPr>
          <w:sz w:val="22"/>
          <w:szCs w:val="22"/>
          <w:lang w:val="sr-Latn-ME"/>
        </w:rPr>
      </w:pPr>
      <w:r w:rsidRPr="00E51EBA">
        <w:rPr>
          <w:sz w:val="22"/>
          <w:szCs w:val="22"/>
          <w:lang w:val="sr-Latn-ME"/>
        </w:rPr>
        <w:t>rozacea i dermatitis sličan rozacei;</w:t>
      </w:r>
    </w:p>
    <w:p w14:paraId="7D83421A" w14:textId="77777777" w:rsidR="00B460AC" w:rsidRPr="00E51EBA" w:rsidRDefault="00B460AC" w:rsidP="008B00F2">
      <w:pPr>
        <w:numPr>
          <w:ilvl w:val="0"/>
          <w:numId w:val="12"/>
        </w:numPr>
        <w:jc w:val="both"/>
        <w:rPr>
          <w:sz w:val="22"/>
          <w:szCs w:val="22"/>
          <w:lang w:val="sr-Latn-ME"/>
        </w:rPr>
      </w:pPr>
      <w:r w:rsidRPr="00E51EBA">
        <w:rPr>
          <w:sz w:val="22"/>
          <w:szCs w:val="22"/>
          <w:lang w:val="sr-Latn-ME"/>
        </w:rPr>
        <w:t>dermatomikoze;</w:t>
      </w:r>
    </w:p>
    <w:p w14:paraId="2F8BCCB1" w14:textId="77777777" w:rsidR="00B460AC" w:rsidRPr="00E51EBA" w:rsidRDefault="00B460AC" w:rsidP="008B00F2">
      <w:pPr>
        <w:numPr>
          <w:ilvl w:val="0"/>
          <w:numId w:val="12"/>
        </w:numPr>
        <w:jc w:val="both"/>
        <w:rPr>
          <w:sz w:val="22"/>
          <w:szCs w:val="22"/>
          <w:lang w:val="sr-Latn-ME"/>
        </w:rPr>
      </w:pPr>
      <w:r w:rsidRPr="00E51EBA">
        <w:rPr>
          <w:sz w:val="22"/>
          <w:szCs w:val="22"/>
          <w:lang w:val="sr-Latn-ME"/>
        </w:rPr>
        <w:t>oboljenje očiju;</w:t>
      </w:r>
    </w:p>
    <w:p w14:paraId="213875D9" w14:textId="3691086D" w:rsidR="00B460AC" w:rsidRPr="00E51EBA" w:rsidRDefault="00B460AC" w:rsidP="00A51629">
      <w:pPr>
        <w:pStyle w:val="Default"/>
        <w:numPr>
          <w:ilvl w:val="0"/>
          <w:numId w:val="12"/>
        </w:numPr>
        <w:jc w:val="both"/>
        <w:rPr>
          <w:sz w:val="22"/>
          <w:szCs w:val="22"/>
          <w:lang w:val="sr-Latn-ME"/>
        </w:rPr>
      </w:pPr>
      <w:r w:rsidRPr="00E51EBA">
        <w:rPr>
          <w:sz w:val="22"/>
          <w:szCs w:val="22"/>
          <w:lang w:val="sr-Latn-ME"/>
        </w:rPr>
        <w:t>istovremen</w:t>
      </w:r>
      <w:r w:rsidR="00A51629" w:rsidRPr="00E51EBA">
        <w:rPr>
          <w:sz w:val="22"/>
          <w:szCs w:val="22"/>
          <w:lang w:val="sr-Latn-ME"/>
        </w:rPr>
        <w:t>a</w:t>
      </w:r>
      <w:r w:rsidRPr="00E51EBA">
        <w:rPr>
          <w:sz w:val="22"/>
          <w:szCs w:val="22"/>
          <w:lang w:val="sr-Latn-ME"/>
        </w:rPr>
        <w:t xml:space="preserve"> sistemska upotreba aminoglikozidnih antibiotika zbog rizika od toksičnih koncentracija u serumu;</w:t>
      </w:r>
    </w:p>
    <w:p w14:paraId="0E0DCD9E" w14:textId="05A354C1" w:rsidR="00B460AC" w:rsidRPr="00E51EBA" w:rsidRDefault="00B460AC" w:rsidP="008B00F2">
      <w:pPr>
        <w:pStyle w:val="Header"/>
        <w:numPr>
          <w:ilvl w:val="0"/>
          <w:numId w:val="12"/>
        </w:numPr>
        <w:tabs>
          <w:tab w:val="clear" w:pos="4320"/>
          <w:tab w:val="clear" w:pos="8640"/>
          <w:tab w:val="left" w:pos="284"/>
        </w:tabs>
        <w:jc w:val="both"/>
        <w:rPr>
          <w:sz w:val="22"/>
          <w:szCs w:val="22"/>
          <w:lang w:val="sr-Latn-ME"/>
        </w:rPr>
      </w:pPr>
      <w:r w:rsidRPr="00E51EBA">
        <w:rPr>
          <w:sz w:val="22"/>
          <w:szCs w:val="22"/>
          <w:lang w:val="sr-Latn-ME"/>
        </w:rPr>
        <w:t xml:space="preserve">uznapredovala insuficijencija bubrega; </w:t>
      </w:r>
    </w:p>
    <w:p w14:paraId="33F6CC61" w14:textId="74FD205A" w:rsidR="00B460AC" w:rsidRPr="00E51EBA" w:rsidRDefault="00B460AC" w:rsidP="008B00F2">
      <w:pPr>
        <w:pStyle w:val="ListParagraph"/>
        <w:numPr>
          <w:ilvl w:val="0"/>
          <w:numId w:val="12"/>
        </w:numPr>
        <w:tabs>
          <w:tab w:val="left" w:pos="540"/>
          <w:tab w:val="left" w:pos="569"/>
        </w:tabs>
        <w:jc w:val="both"/>
        <w:rPr>
          <w:sz w:val="22"/>
          <w:szCs w:val="22"/>
          <w:lang w:val="sr-Latn-ME"/>
        </w:rPr>
      </w:pPr>
      <w:r w:rsidRPr="00E51EBA">
        <w:rPr>
          <w:sz w:val="22"/>
          <w:szCs w:val="22"/>
          <w:lang w:val="sr-Latn-ME"/>
        </w:rPr>
        <w:t xml:space="preserve">odojčad i djeca mlađa od </w:t>
      </w:r>
      <w:r w:rsidR="00460B2E" w:rsidRPr="00E51EBA">
        <w:rPr>
          <w:sz w:val="22"/>
          <w:szCs w:val="22"/>
          <w:lang w:val="sr-Latn-ME"/>
        </w:rPr>
        <w:t>godinu dana</w:t>
      </w:r>
      <w:r w:rsidRPr="00E51EBA">
        <w:rPr>
          <w:sz w:val="22"/>
          <w:szCs w:val="22"/>
          <w:lang w:val="sr-Latn-ME"/>
        </w:rPr>
        <w:t>.</w:t>
      </w:r>
    </w:p>
    <w:p w14:paraId="2F12B8DD" w14:textId="1F4EF257" w:rsidR="00B460AC" w:rsidRPr="00E51EBA" w:rsidRDefault="00712116" w:rsidP="008B00F2">
      <w:pPr>
        <w:autoSpaceDE w:val="0"/>
        <w:autoSpaceDN w:val="0"/>
        <w:adjustRightInd w:val="0"/>
        <w:spacing w:before="120"/>
        <w:jc w:val="both"/>
        <w:rPr>
          <w:color w:val="000000"/>
          <w:sz w:val="22"/>
          <w:szCs w:val="22"/>
          <w:lang w:val="sr-Latn-ME"/>
        </w:rPr>
      </w:pPr>
      <w:r w:rsidRPr="00E51EBA">
        <w:rPr>
          <w:sz w:val="22"/>
          <w:szCs w:val="22"/>
          <w:lang w:val="sr-Latn-ME"/>
        </w:rPr>
        <w:t xml:space="preserve">Lijek </w:t>
      </w:r>
      <w:r w:rsidR="00B460AC" w:rsidRPr="00E51EBA">
        <w:rPr>
          <w:sz w:val="22"/>
          <w:szCs w:val="22"/>
          <w:lang w:val="sr-Latn-ME"/>
        </w:rPr>
        <w:t>Belogent mast ne smije se primjenjivati u spoljašnji ušni kanal, oči ili na sluzokožu.</w:t>
      </w:r>
    </w:p>
    <w:p w14:paraId="7C4AB3A6" w14:textId="11D651D7" w:rsidR="00B460AC" w:rsidRPr="00E51EBA" w:rsidRDefault="00712116" w:rsidP="00A51629">
      <w:pPr>
        <w:tabs>
          <w:tab w:val="left" w:pos="284"/>
        </w:tabs>
        <w:jc w:val="both"/>
        <w:rPr>
          <w:sz w:val="22"/>
          <w:szCs w:val="22"/>
          <w:lang w:val="sr-Latn-ME"/>
        </w:rPr>
      </w:pPr>
      <w:r w:rsidRPr="00E51EBA">
        <w:rPr>
          <w:sz w:val="22"/>
          <w:szCs w:val="22"/>
          <w:lang w:val="sr-Latn-ME"/>
        </w:rPr>
        <w:t xml:space="preserve">Lijek </w:t>
      </w:r>
      <w:r w:rsidR="00B460AC" w:rsidRPr="00E51EBA">
        <w:rPr>
          <w:sz w:val="22"/>
          <w:szCs w:val="22"/>
          <w:lang w:val="sr-Latn-ME"/>
        </w:rPr>
        <w:t xml:space="preserve">Belogent mast se ne smije primjenjivati </w:t>
      </w:r>
      <w:r w:rsidR="00460B2E" w:rsidRPr="00E51EBA">
        <w:rPr>
          <w:sz w:val="22"/>
          <w:szCs w:val="22"/>
          <w:lang w:val="sr-Latn-ME"/>
        </w:rPr>
        <w:t>uz okluzivne zavoje</w:t>
      </w:r>
      <w:r w:rsidR="00B460AC" w:rsidRPr="00E51EBA">
        <w:rPr>
          <w:sz w:val="22"/>
          <w:szCs w:val="22"/>
          <w:lang w:val="sr-Latn-ME"/>
        </w:rPr>
        <w:t>.</w:t>
      </w:r>
    </w:p>
    <w:p w14:paraId="74814176" w14:textId="77777777" w:rsidR="00E51EBA" w:rsidRDefault="00E51EBA" w:rsidP="00E51EBA">
      <w:pPr>
        <w:pStyle w:val="Header"/>
        <w:tabs>
          <w:tab w:val="left" w:pos="284"/>
        </w:tabs>
        <w:spacing w:after="80"/>
        <w:jc w:val="both"/>
        <w:rPr>
          <w:b/>
          <w:bCs/>
          <w:sz w:val="22"/>
          <w:szCs w:val="22"/>
          <w:lang w:val="sr-Latn-ME"/>
        </w:rPr>
      </w:pPr>
    </w:p>
    <w:p w14:paraId="68485711" w14:textId="1E4C69BD" w:rsidR="00B460AC" w:rsidRPr="00E51EBA" w:rsidRDefault="00B460AC" w:rsidP="00E51EBA">
      <w:pPr>
        <w:pStyle w:val="Header"/>
        <w:tabs>
          <w:tab w:val="left" w:pos="284"/>
        </w:tabs>
        <w:spacing w:after="80"/>
        <w:jc w:val="both"/>
        <w:rPr>
          <w:b/>
          <w:bCs/>
          <w:sz w:val="22"/>
          <w:szCs w:val="22"/>
          <w:lang w:val="sr-Latn-ME"/>
        </w:rPr>
      </w:pPr>
      <w:r w:rsidRPr="00E51EBA">
        <w:rPr>
          <w:b/>
          <w:bCs/>
          <w:sz w:val="22"/>
          <w:szCs w:val="22"/>
          <w:lang w:val="sr-Latn-ME"/>
        </w:rPr>
        <w:t>4.4. Posebna upozorenja i mjere opreza pri upotrebi lijeka</w:t>
      </w:r>
    </w:p>
    <w:p w14:paraId="2BF122A1" w14:textId="4FE4B83D" w:rsidR="00B712C4" w:rsidRPr="00E51EBA" w:rsidRDefault="00B712C4" w:rsidP="008B00F2">
      <w:pPr>
        <w:tabs>
          <w:tab w:val="left" w:pos="284"/>
        </w:tabs>
        <w:jc w:val="both"/>
        <w:rPr>
          <w:sz w:val="22"/>
          <w:szCs w:val="22"/>
          <w:lang w:val="sr-Latn-ME"/>
        </w:rPr>
      </w:pPr>
      <w:r w:rsidRPr="00E51EBA">
        <w:rPr>
          <w:sz w:val="22"/>
          <w:szCs w:val="22"/>
          <w:lang w:val="sr-Latn-ME"/>
        </w:rPr>
        <w:t>Oprez je potreban prilikom primjene lijeka Belogent</w:t>
      </w:r>
      <w:r w:rsidR="0079428F" w:rsidRPr="00E51EBA">
        <w:rPr>
          <w:sz w:val="22"/>
          <w:szCs w:val="22"/>
          <w:lang w:val="sr-Latn-ME"/>
        </w:rPr>
        <w:t xml:space="preserve"> </w:t>
      </w:r>
      <w:r w:rsidRPr="00E51EBA">
        <w:rPr>
          <w:sz w:val="22"/>
          <w:szCs w:val="22"/>
          <w:lang w:val="sr-Latn-ME"/>
        </w:rPr>
        <w:t>mast zbog sadržaja gentamicina u sastavu</w:t>
      </w:r>
      <w:r w:rsidR="00070BF4" w:rsidRPr="00E51EBA">
        <w:rPr>
          <w:sz w:val="22"/>
          <w:szCs w:val="22"/>
          <w:lang w:val="sr-Latn-ME"/>
        </w:rPr>
        <w:t>.</w:t>
      </w:r>
      <w:r w:rsidR="0079428F" w:rsidRPr="00E51EBA">
        <w:rPr>
          <w:sz w:val="22"/>
          <w:szCs w:val="22"/>
          <w:lang w:val="sr-Latn-ME"/>
        </w:rPr>
        <w:t xml:space="preserve"> Potrebno je uočiti neodgovarajući odgovor na antibiotik i definisati slučajeve kada je terapija antibiotikom kontraindikovana.</w:t>
      </w:r>
    </w:p>
    <w:p w14:paraId="5232484F" w14:textId="147CE42A" w:rsidR="00070BF4" w:rsidRPr="00E51EBA" w:rsidRDefault="00B460AC" w:rsidP="00A51629">
      <w:pPr>
        <w:jc w:val="both"/>
        <w:rPr>
          <w:sz w:val="22"/>
          <w:szCs w:val="22"/>
          <w:lang w:val="sr-Latn-ME"/>
        </w:rPr>
      </w:pPr>
      <w:r w:rsidRPr="00E51EBA">
        <w:rPr>
          <w:color w:val="000000"/>
          <w:sz w:val="22"/>
          <w:szCs w:val="22"/>
          <w:lang w:val="sr-Latn-ME"/>
        </w:rPr>
        <w:t>Potreban je poseban oprez ako se</w:t>
      </w:r>
      <w:r w:rsidR="00712116" w:rsidRPr="00E51EBA">
        <w:rPr>
          <w:color w:val="000000"/>
          <w:sz w:val="22"/>
          <w:szCs w:val="22"/>
          <w:lang w:val="sr-Latn-ME"/>
        </w:rPr>
        <w:t xml:space="preserve"> l</w:t>
      </w:r>
      <w:r w:rsidR="00712116" w:rsidRPr="00E51EBA">
        <w:rPr>
          <w:sz w:val="22"/>
          <w:szCs w:val="22"/>
          <w:lang w:val="sr-Latn-ME"/>
        </w:rPr>
        <w:t>ijek</w:t>
      </w:r>
      <w:r w:rsidR="00712116" w:rsidRPr="00E51EBA">
        <w:rPr>
          <w:color w:val="000000"/>
          <w:sz w:val="22"/>
          <w:szCs w:val="22"/>
          <w:lang w:val="sr-Latn-ME"/>
        </w:rPr>
        <w:t xml:space="preserve"> </w:t>
      </w:r>
      <w:r w:rsidRPr="00E51EBA">
        <w:rPr>
          <w:color w:val="000000"/>
          <w:sz w:val="22"/>
          <w:szCs w:val="22"/>
          <w:lang w:val="sr-Latn-ME"/>
        </w:rPr>
        <w:t>Belogent</w:t>
      </w:r>
      <w:r w:rsidR="0079428F" w:rsidRPr="00E51EBA">
        <w:rPr>
          <w:color w:val="000000"/>
          <w:sz w:val="22"/>
          <w:szCs w:val="22"/>
          <w:lang w:val="sr-Latn-ME"/>
        </w:rPr>
        <w:t xml:space="preserve"> </w:t>
      </w:r>
      <w:r w:rsidRPr="00E51EBA">
        <w:rPr>
          <w:color w:val="000000"/>
          <w:sz w:val="22"/>
          <w:szCs w:val="22"/>
          <w:lang w:val="sr-Latn-ME"/>
        </w:rPr>
        <w:t>mast nanosi na lice</w:t>
      </w:r>
      <w:r w:rsidR="00B712C4" w:rsidRPr="00E51EBA">
        <w:rPr>
          <w:sz w:val="22"/>
          <w:szCs w:val="22"/>
          <w:lang w:val="sr-Latn-ME"/>
        </w:rPr>
        <w:t>.</w:t>
      </w:r>
    </w:p>
    <w:p w14:paraId="208E5690" w14:textId="77777777" w:rsidR="00460B2E" w:rsidRPr="00E51EBA" w:rsidRDefault="00460B2E" w:rsidP="00460B2E">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Zbog rizika od resorpcije aktivnih supstanci, treba izbjegavati dugotrajnu primjenu i/ili liječenje velikih površina tijela. </w:t>
      </w:r>
    </w:p>
    <w:p w14:paraId="786B32B9" w14:textId="15249FED" w:rsidR="00B460AC" w:rsidRPr="00E51EBA" w:rsidRDefault="00B460AC">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Svako neželjeno dejstvo prijavljeno pri sistemskoj primjeni glukokortikoida, uključujući supresiju adrenalne funkcije, može se dogoditi i nakon sistemske resorpcije lokalno primijenjenih glukokortikoida. Ovo se posebno odnosi na </w:t>
      </w:r>
      <w:r w:rsidR="00460B2E" w:rsidRPr="00E51EBA">
        <w:rPr>
          <w:color w:val="000000"/>
          <w:sz w:val="22"/>
          <w:szCs w:val="22"/>
          <w:lang w:val="sr-Latn-ME"/>
        </w:rPr>
        <w:t xml:space="preserve">malu djecu i </w:t>
      </w:r>
      <w:r w:rsidR="00B712C4" w:rsidRPr="00E51EBA">
        <w:rPr>
          <w:color w:val="000000"/>
          <w:sz w:val="22"/>
          <w:szCs w:val="22"/>
          <w:lang w:val="sr-Latn-ME"/>
        </w:rPr>
        <w:t>odojčad</w:t>
      </w:r>
      <w:r w:rsidRPr="00E51EBA">
        <w:rPr>
          <w:color w:val="000000"/>
          <w:sz w:val="22"/>
          <w:szCs w:val="22"/>
          <w:lang w:val="sr-Latn-ME"/>
        </w:rPr>
        <w:t>.</w:t>
      </w:r>
    </w:p>
    <w:p w14:paraId="4385E9A1" w14:textId="69957852" w:rsidR="00B460AC" w:rsidRPr="00E51EBA" w:rsidRDefault="00B460AC">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Sistemska </w:t>
      </w:r>
      <w:r w:rsidR="00460B2E" w:rsidRPr="00E51EBA">
        <w:rPr>
          <w:color w:val="000000"/>
          <w:sz w:val="22"/>
          <w:szCs w:val="22"/>
          <w:lang w:val="sr-Latn-ME"/>
        </w:rPr>
        <w:t xml:space="preserve">resorpcija </w:t>
      </w:r>
      <w:r w:rsidRPr="00E51EBA">
        <w:rPr>
          <w:color w:val="000000"/>
          <w:sz w:val="22"/>
          <w:szCs w:val="22"/>
          <w:lang w:val="sr-Latn-ME"/>
        </w:rPr>
        <w:t xml:space="preserve">lokalno primijenjenih glukokortikoida generalno se povećava sa jačinom glukokortikoida, trajanjem terapije, površinom tijela koja se liječi i kod liječenja intertriginoznih područja kože. </w:t>
      </w:r>
    </w:p>
    <w:p w14:paraId="03609A3C" w14:textId="1AA22370" w:rsidR="00B460AC" w:rsidRPr="00E51EBA" w:rsidRDefault="00B460AC">
      <w:pPr>
        <w:tabs>
          <w:tab w:val="left" w:pos="284"/>
        </w:tabs>
        <w:spacing w:before="120"/>
        <w:jc w:val="both"/>
        <w:rPr>
          <w:sz w:val="22"/>
          <w:szCs w:val="22"/>
          <w:lang w:val="sr-Latn-ME"/>
        </w:rPr>
      </w:pPr>
      <w:r w:rsidRPr="00E51EBA">
        <w:rPr>
          <w:sz w:val="22"/>
          <w:szCs w:val="22"/>
          <w:lang w:val="sr-Latn-ME"/>
        </w:rPr>
        <w:t xml:space="preserve">Lokalna primjena gentamicina kod kožnih infekcija nosi rizik od pojave alergijskih reakcija. Gentamicin je kontaktni alergen, a učestalost individualne senzibilizacije iznosi približno 1,4 % i raste. Rizik od senzibilizacije povećava se sa povećanjem dužine trajanja terapije. Dokazana je ukrštena alergijska reakcija između gentamicina i drugih aminoglikozida, kao što su neomicin i kanamicin. Stečena alergija na lokalno primijenjen gentamicin isključuje kasniju sistemsku primjenu kako gentamicina, tako i drugih aminoglikozida (vidjeti takođe </w:t>
      </w:r>
      <w:r w:rsidR="0079428F" w:rsidRPr="00E51EBA">
        <w:rPr>
          <w:sz w:val="22"/>
          <w:szCs w:val="22"/>
          <w:lang w:val="sr-Latn-ME"/>
        </w:rPr>
        <w:t xml:space="preserve">djelove </w:t>
      </w:r>
      <w:r w:rsidRPr="00E51EBA">
        <w:rPr>
          <w:sz w:val="22"/>
          <w:szCs w:val="22"/>
          <w:lang w:val="sr-Latn-ME"/>
        </w:rPr>
        <w:t>4.3 i 4.8).</w:t>
      </w:r>
    </w:p>
    <w:p w14:paraId="2C09B3FC" w14:textId="3D47698B" w:rsidR="00B460AC" w:rsidRPr="00E51EBA" w:rsidRDefault="00B460AC">
      <w:pPr>
        <w:autoSpaceDE w:val="0"/>
        <w:autoSpaceDN w:val="0"/>
        <w:adjustRightInd w:val="0"/>
        <w:spacing w:before="120"/>
        <w:jc w:val="both"/>
        <w:rPr>
          <w:color w:val="000000"/>
          <w:sz w:val="22"/>
          <w:szCs w:val="22"/>
          <w:lang w:val="sr-Latn-ME"/>
        </w:rPr>
      </w:pPr>
      <w:r w:rsidRPr="00E51EBA">
        <w:rPr>
          <w:color w:val="000000"/>
          <w:sz w:val="22"/>
          <w:szCs w:val="22"/>
          <w:lang w:val="sr-Latn-ME"/>
        </w:rPr>
        <w:t>Dugotrajna ili produžena lokalna primjena antibiotika na velikim površinama kože ponekad dovodi do pretjeranog rasta neosjetljivih mikroorganizama, uključujući gljivice. U tom slučaju ili ako se razvije iritacija kože, preosjetljivost ili superinfekcija, primjenu gentamicina treba prekinuti i primijeniti odgovarajuće liječenje.</w:t>
      </w:r>
    </w:p>
    <w:p w14:paraId="0B4A8944" w14:textId="2635CB71" w:rsidR="00B460AC" w:rsidRPr="00E51EBA" w:rsidRDefault="00B460AC">
      <w:pPr>
        <w:autoSpaceDE w:val="0"/>
        <w:autoSpaceDN w:val="0"/>
        <w:adjustRightInd w:val="0"/>
        <w:spacing w:before="120"/>
        <w:jc w:val="both"/>
        <w:rPr>
          <w:color w:val="000000"/>
          <w:sz w:val="22"/>
          <w:szCs w:val="22"/>
          <w:lang w:val="sr-Latn-ME"/>
        </w:rPr>
      </w:pPr>
      <w:r w:rsidRPr="00E51EBA">
        <w:rPr>
          <w:color w:val="000000"/>
          <w:sz w:val="22"/>
          <w:szCs w:val="22"/>
          <w:lang w:val="sr-Latn-ME"/>
        </w:rPr>
        <w:lastRenderedPageBreak/>
        <w:t xml:space="preserve">Sistemska </w:t>
      </w:r>
      <w:r w:rsidR="00070BF4" w:rsidRPr="00E51EBA">
        <w:rPr>
          <w:color w:val="000000"/>
          <w:sz w:val="22"/>
          <w:szCs w:val="22"/>
          <w:lang w:val="sr-Latn-ME"/>
        </w:rPr>
        <w:t>re</w:t>
      </w:r>
      <w:r w:rsidR="00C1116B" w:rsidRPr="00E51EBA">
        <w:rPr>
          <w:color w:val="000000"/>
          <w:sz w:val="22"/>
          <w:szCs w:val="22"/>
          <w:lang w:val="sr-Latn-ME"/>
        </w:rPr>
        <w:t>s</w:t>
      </w:r>
      <w:r w:rsidRPr="00E51EBA">
        <w:rPr>
          <w:color w:val="000000"/>
          <w:sz w:val="22"/>
          <w:szCs w:val="22"/>
          <w:lang w:val="sr-Latn-ME"/>
        </w:rPr>
        <w:t>orpcija lokalno primijenjenog gentamicina može biti povećana ako se liječi velika površina tijela, naročito tokom dužeg vremenskog perioda ili ako postoje oštećenja kože. U ovim slučajevima, posebno kod djece, potreban je oprez s obzirom na mogućnost pojave neželjenih dejstava koja se inače javlj</w:t>
      </w:r>
      <w:r w:rsidR="00C1116B" w:rsidRPr="00E51EBA">
        <w:rPr>
          <w:color w:val="000000"/>
          <w:sz w:val="22"/>
          <w:szCs w:val="22"/>
          <w:lang w:val="sr-Latn-ME"/>
        </w:rPr>
        <w:t>a</w:t>
      </w:r>
      <w:r w:rsidRPr="00E51EBA">
        <w:rPr>
          <w:color w:val="000000"/>
          <w:sz w:val="22"/>
          <w:szCs w:val="22"/>
          <w:lang w:val="sr-Latn-ME"/>
        </w:rPr>
        <w:t xml:space="preserve">ju nakon sistemske primjene gentamicina. </w:t>
      </w:r>
    </w:p>
    <w:p w14:paraId="4580AA74" w14:textId="0A6D6D1F" w:rsidR="00B460AC" w:rsidRPr="00E51EBA" w:rsidRDefault="00B460AC">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Budući da sistemski resorbovani aminoglikozidi dovode do neuromuskularne blokade, neophodan je oprez kod pacijenata sa miastenijom gravis, Parkinsonovom bolešću, drugim stanjima povezanim sa slabošću mišića ili kod osoba koje istovremeno uzimaju druge ljekove koji dovode do neuromuskularne blokade. </w:t>
      </w:r>
    </w:p>
    <w:p w14:paraId="7417F92E" w14:textId="65379B2B" w:rsidR="00B460AC" w:rsidRPr="00E51EBA" w:rsidRDefault="00460B2E">
      <w:pPr>
        <w:tabs>
          <w:tab w:val="left" w:pos="284"/>
        </w:tabs>
        <w:spacing w:before="120"/>
        <w:jc w:val="both"/>
        <w:rPr>
          <w:sz w:val="22"/>
          <w:szCs w:val="22"/>
          <w:lang w:val="sr-Latn-ME"/>
        </w:rPr>
      </w:pPr>
      <w:r w:rsidRPr="00E51EBA">
        <w:rPr>
          <w:sz w:val="22"/>
          <w:szCs w:val="22"/>
          <w:lang w:val="sr-Latn-ME"/>
        </w:rPr>
        <w:t xml:space="preserve">Ovaj </w:t>
      </w:r>
      <w:r w:rsidR="00B712C4" w:rsidRPr="00E51EBA">
        <w:rPr>
          <w:sz w:val="22"/>
          <w:szCs w:val="22"/>
          <w:lang w:val="sr-Latn-ME"/>
        </w:rPr>
        <w:t xml:space="preserve">lijek </w:t>
      </w:r>
      <w:r w:rsidR="00070BF4" w:rsidRPr="00E51EBA">
        <w:rPr>
          <w:sz w:val="22"/>
          <w:szCs w:val="22"/>
          <w:lang w:val="sr-Latn-ME"/>
        </w:rPr>
        <w:t xml:space="preserve">se ne smije primjenjivati </w:t>
      </w:r>
      <w:r w:rsidR="00B712C4" w:rsidRPr="00E51EBA">
        <w:rPr>
          <w:sz w:val="22"/>
          <w:szCs w:val="22"/>
          <w:lang w:val="sr-Latn-ME"/>
        </w:rPr>
        <w:t xml:space="preserve">za liječenje rana </w:t>
      </w:r>
      <w:r w:rsidR="00C131B9" w:rsidRPr="00E51EBA">
        <w:rPr>
          <w:sz w:val="22"/>
          <w:szCs w:val="22"/>
          <w:lang w:val="sr-Latn-ME"/>
        </w:rPr>
        <w:t xml:space="preserve">i </w:t>
      </w:r>
      <w:r w:rsidR="00C131B9" w:rsidRPr="00E51EBA">
        <w:rPr>
          <w:bCs/>
          <w:sz w:val="22"/>
          <w:szCs w:val="22"/>
          <w:lang w:val="sr-Latn-ME"/>
        </w:rPr>
        <w:t>varikoznih ulkusa potkoljenice</w:t>
      </w:r>
      <w:r w:rsidR="00B712C4" w:rsidRPr="00E51EBA">
        <w:rPr>
          <w:sz w:val="22"/>
          <w:szCs w:val="22"/>
          <w:lang w:val="sr-Latn-ME"/>
        </w:rPr>
        <w:t>.</w:t>
      </w:r>
    </w:p>
    <w:p w14:paraId="3E251CD3" w14:textId="25090E4E" w:rsidR="00B712C4" w:rsidRPr="00E51EBA" w:rsidRDefault="00B712C4">
      <w:pPr>
        <w:tabs>
          <w:tab w:val="center" w:pos="4536"/>
          <w:tab w:val="right" w:pos="9072"/>
        </w:tabs>
        <w:jc w:val="both"/>
        <w:rPr>
          <w:bCs/>
          <w:sz w:val="22"/>
          <w:szCs w:val="22"/>
          <w:lang w:val="sr-Latn-ME"/>
        </w:rPr>
      </w:pPr>
    </w:p>
    <w:p w14:paraId="67768666" w14:textId="05DD6D67" w:rsidR="00C1116B" w:rsidRPr="00E51EBA" w:rsidRDefault="00C1116B">
      <w:pPr>
        <w:tabs>
          <w:tab w:val="center" w:pos="4536"/>
          <w:tab w:val="right" w:pos="9072"/>
        </w:tabs>
        <w:jc w:val="both"/>
        <w:rPr>
          <w:bCs/>
          <w:sz w:val="22"/>
          <w:szCs w:val="22"/>
          <w:u w:val="single"/>
          <w:lang w:val="sr-Latn-ME"/>
        </w:rPr>
      </w:pPr>
      <w:r w:rsidRPr="00E51EBA">
        <w:rPr>
          <w:bCs/>
          <w:sz w:val="22"/>
          <w:szCs w:val="22"/>
          <w:u w:val="single"/>
          <w:lang w:val="sr-Latn-ME"/>
        </w:rPr>
        <w:t>Poremećaj vida</w:t>
      </w:r>
    </w:p>
    <w:p w14:paraId="56BF6022" w14:textId="02AAD334" w:rsidR="00B460AC" w:rsidRPr="00E51EBA" w:rsidRDefault="00B460AC">
      <w:pPr>
        <w:tabs>
          <w:tab w:val="center" w:pos="4536"/>
          <w:tab w:val="right" w:pos="9072"/>
        </w:tabs>
        <w:jc w:val="both"/>
        <w:rPr>
          <w:bCs/>
          <w:sz w:val="22"/>
          <w:szCs w:val="22"/>
          <w:lang w:val="sr-Latn-ME"/>
        </w:rPr>
      </w:pPr>
      <w:r w:rsidRPr="00E51EBA">
        <w:rPr>
          <w:bCs/>
          <w:sz w:val="22"/>
          <w:szCs w:val="22"/>
          <w:lang w:val="sr-Latn-ME"/>
        </w:rPr>
        <w:t xml:space="preserve">Prilikom sistemske i </w:t>
      </w:r>
      <w:r w:rsidR="00C131B9" w:rsidRPr="00E51EBA">
        <w:rPr>
          <w:bCs/>
          <w:sz w:val="22"/>
          <w:szCs w:val="22"/>
          <w:lang w:val="sr-Latn-ME"/>
        </w:rPr>
        <w:t>topikaln</w:t>
      </w:r>
      <w:r w:rsidR="00945BDB" w:rsidRPr="00E51EBA">
        <w:rPr>
          <w:bCs/>
          <w:sz w:val="22"/>
          <w:szCs w:val="22"/>
          <w:lang w:val="sr-Latn-ME"/>
        </w:rPr>
        <w:t>e</w:t>
      </w:r>
      <w:r w:rsidR="00C131B9" w:rsidRPr="00E51EBA">
        <w:rPr>
          <w:bCs/>
          <w:sz w:val="22"/>
          <w:szCs w:val="22"/>
          <w:lang w:val="sr-Latn-ME"/>
        </w:rPr>
        <w:t xml:space="preserve"> upotreb</w:t>
      </w:r>
      <w:r w:rsidR="00945BDB" w:rsidRPr="00E51EBA">
        <w:rPr>
          <w:bCs/>
          <w:sz w:val="22"/>
          <w:szCs w:val="22"/>
          <w:lang w:val="sr-Latn-ME"/>
        </w:rPr>
        <w:t>e</w:t>
      </w:r>
      <w:r w:rsidR="00C131B9" w:rsidRPr="00E51EBA">
        <w:rPr>
          <w:bCs/>
          <w:sz w:val="22"/>
          <w:szCs w:val="22"/>
          <w:lang w:val="sr-Latn-ME"/>
        </w:rPr>
        <w:t xml:space="preserve"> </w:t>
      </w:r>
      <w:r w:rsidRPr="00E51EBA">
        <w:rPr>
          <w:bCs/>
          <w:sz w:val="22"/>
          <w:szCs w:val="22"/>
          <w:lang w:val="sr-Latn-ME"/>
        </w:rPr>
        <w:t xml:space="preserve"> </w:t>
      </w:r>
      <w:r w:rsidR="00C131B9" w:rsidRPr="00E51EBA">
        <w:rPr>
          <w:bCs/>
          <w:sz w:val="22"/>
          <w:szCs w:val="22"/>
          <w:lang w:val="sr-Latn-ME"/>
        </w:rPr>
        <w:t>kortikosteroida moguća je pojava poremećaja vida</w:t>
      </w:r>
      <w:r w:rsidRPr="00E51EBA">
        <w:rPr>
          <w:bCs/>
          <w:sz w:val="22"/>
          <w:szCs w:val="22"/>
          <w:lang w:val="sr-Latn-ME"/>
        </w:rPr>
        <w:t xml:space="preserve">. </w:t>
      </w:r>
      <w:r w:rsidR="00C131B9" w:rsidRPr="00E51EBA">
        <w:rPr>
          <w:bCs/>
          <w:sz w:val="22"/>
          <w:szCs w:val="22"/>
          <w:lang w:val="sr-Latn-ME"/>
        </w:rPr>
        <w:t>Ako pacijent ima simptome kao što su</w:t>
      </w:r>
      <w:r w:rsidR="00C131B9" w:rsidRPr="00E51EBA" w:rsidDel="00C131B9">
        <w:rPr>
          <w:bCs/>
          <w:sz w:val="22"/>
          <w:szCs w:val="22"/>
          <w:lang w:val="sr-Latn-ME"/>
        </w:rPr>
        <w:t xml:space="preserve"> </w:t>
      </w:r>
      <w:r w:rsidRPr="00E51EBA">
        <w:rPr>
          <w:bCs/>
          <w:sz w:val="22"/>
          <w:szCs w:val="22"/>
          <w:lang w:val="sr-Latn-ME"/>
        </w:rPr>
        <w:t xml:space="preserve">zamagljen vid ili </w:t>
      </w:r>
      <w:r w:rsidR="00C131B9" w:rsidRPr="00E51EBA">
        <w:rPr>
          <w:bCs/>
          <w:sz w:val="22"/>
          <w:szCs w:val="22"/>
          <w:lang w:val="sr-Latn-ME"/>
        </w:rPr>
        <w:t>neke druge poremećaje vida</w:t>
      </w:r>
      <w:r w:rsidRPr="00E51EBA">
        <w:rPr>
          <w:bCs/>
          <w:sz w:val="22"/>
          <w:szCs w:val="22"/>
          <w:lang w:val="sr-Latn-ME"/>
        </w:rPr>
        <w:t xml:space="preserve">, </w:t>
      </w:r>
      <w:r w:rsidR="00C131B9" w:rsidRPr="00E51EBA">
        <w:rPr>
          <w:bCs/>
          <w:sz w:val="22"/>
          <w:szCs w:val="22"/>
          <w:lang w:val="sr-Latn-ME"/>
        </w:rPr>
        <w:t>treba razmotriti potrebu da se uputi oftalmologu radi procjene mogućih uzroka, koji mogu uključivati</w:t>
      </w:r>
      <w:r w:rsidR="00C131B9" w:rsidRPr="00E51EBA" w:rsidDel="00C131B9">
        <w:rPr>
          <w:bCs/>
          <w:sz w:val="22"/>
          <w:szCs w:val="22"/>
          <w:lang w:val="sr-Latn-ME"/>
        </w:rPr>
        <w:t xml:space="preserve"> </w:t>
      </w:r>
      <w:r w:rsidRPr="00E51EBA">
        <w:rPr>
          <w:bCs/>
          <w:sz w:val="22"/>
          <w:szCs w:val="22"/>
          <w:lang w:val="sr-Latn-ME"/>
        </w:rPr>
        <w:t xml:space="preserve">kataraktu, glaukom ili rijetke bolesti kao što je centralna serozna horioretinopatija (CSCR) koja je </w:t>
      </w:r>
      <w:r w:rsidR="00C131B9" w:rsidRPr="00E51EBA">
        <w:rPr>
          <w:bCs/>
          <w:sz w:val="22"/>
          <w:szCs w:val="22"/>
          <w:lang w:val="sr-Latn-ME"/>
        </w:rPr>
        <w:t>zabilježena</w:t>
      </w:r>
      <w:r w:rsidRPr="00E51EBA">
        <w:rPr>
          <w:bCs/>
          <w:sz w:val="22"/>
          <w:szCs w:val="22"/>
          <w:lang w:val="sr-Latn-ME"/>
        </w:rPr>
        <w:t xml:space="preserve"> nakon sistemske i </w:t>
      </w:r>
      <w:r w:rsidR="00C131B9" w:rsidRPr="00E51EBA">
        <w:rPr>
          <w:bCs/>
          <w:sz w:val="22"/>
          <w:szCs w:val="22"/>
          <w:lang w:val="sr-Latn-ME"/>
        </w:rPr>
        <w:t xml:space="preserve">topikalne </w:t>
      </w:r>
      <w:r w:rsidRPr="00E51EBA">
        <w:rPr>
          <w:bCs/>
          <w:sz w:val="22"/>
          <w:szCs w:val="22"/>
          <w:lang w:val="sr-Latn-ME"/>
        </w:rPr>
        <w:t>upotrebe kortikosteroida.</w:t>
      </w:r>
    </w:p>
    <w:p w14:paraId="0851A1C9" w14:textId="4BBFA687" w:rsidR="00B460AC" w:rsidRPr="00E51EBA" w:rsidRDefault="00B460AC">
      <w:pPr>
        <w:tabs>
          <w:tab w:val="left" w:pos="284"/>
        </w:tabs>
        <w:spacing w:before="120"/>
        <w:jc w:val="both"/>
        <w:rPr>
          <w:sz w:val="22"/>
          <w:szCs w:val="22"/>
          <w:u w:val="single"/>
          <w:lang w:val="sr-Latn-ME"/>
        </w:rPr>
      </w:pPr>
      <w:r w:rsidRPr="00E51EBA">
        <w:rPr>
          <w:sz w:val="22"/>
          <w:szCs w:val="22"/>
          <w:u w:val="single"/>
          <w:lang w:val="sr-Latn-ME"/>
        </w:rPr>
        <w:t>Pedijatrijska populacija</w:t>
      </w:r>
    </w:p>
    <w:p w14:paraId="6BA6FEC1" w14:textId="33160DCE" w:rsidR="00C131B9" w:rsidRPr="00E51EBA" w:rsidRDefault="00C131B9">
      <w:pPr>
        <w:tabs>
          <w:tab w:val="left" w:pos="284"/>
        </w:tabs>
        <w:spacing w:before="120"/>
        <w:jc w:val="both"/>
        <w:rPr>
          <w:sz w:val="22"/>
          <w:szCs w:val="22"/>
          <w:lang w:val="sr-Latn-ME"/>
        </w:rPr>
      </w:pPr>
      <w:r w:rsidRPr="00E51EBA">
        <w:rPr>
          <w:bCs/>
          <w:sz w:val="22"/>
          <w:szCs w:val="22"/>
          <w:lang w:val="sr-Latn-ME"/>
        </w:rPr>
        <w:t xml:space="preserve">Pedijatrijska grupa pacijenata je, u odnosu na odrasle pacijente, podložnija supresiji hipotalamus-hipofiza-nadbubrežna žlijezda (HHN) osovine izazvanoj topikalnim kortikosteroidima, te drugim  egzogenih kortikosteroida, zbog veće resorpcije usljed veće površine kože u odnosu na tjelesnu masu. </w:t>
      </w:r>
    </w:p>
    <w:p w14:paraId="02279775" w14:textId="0EB87D20" w:rsidR="00070BF4" w:rsidRPr="00E51EBA" w:rsidRDefault="00B460AC">
      <w:pPr>
        <w:tabs>
          <w:tab w:val="left" w:pos="284"/>
        </w:tabs>
        <w:spacing w:before="120"/>
        <w:jc w:val="both"/>
        <w:rPr>
          <w:sz w:val="22"/>
          <w:szCs w:val="22"/>
          <w:lang w:val="sr-Latn-ME"/>
        </w:rPr>
      </w:pPr>
      <w:r w:rsidRPr="00E51EBA">
        <w:rPr>
          <w:sz w:val="22"/>
          <w:szCs w:val="22"/>
          <w:lang w:val="sr-Latn-ME"/>
        </w:rPr>
        <w:t xml:space="preserve">Kod </w:t>
      </w:r>
      <w:r w:rsidR="00C131B9" w:rsidRPr="00E51EBA">
        <w:rPr>
          <w:bCs/>
          <w:sz w:val="22"/>
          <w:szCs w:val="22"/>
          <w:lang w:val="sr-Latn-ME"/>
        </w:rPr>
        <w:t>pedijatrijskih pacijenata koji su primali topikalne kortikosteroide primijećena</w:t>
      </w:r>
      <w:r w:rsidRPr="00E51EBA">
        <w:rPr>
          <w:sz w:val="22"/>
          <w:szCs w:val="22"/>
          <w:lang w:val="sr-Latn-ME"/>
        </w:rPr>
        <w:t xml:space="preserve"> je supresija </w:t>
      </w:r>
      <w:r w:rsidR="00C131B9" w:rsidRPr="00E51EBA">
        <w:rPr>
          <w:bCs/>
          <w:sz w:val="22"/>
          <w:szCs w:val="22"/>
          <w:lang w:val="sr-Latn-ME"/>
        </w:rPr>
        <w:t>HHN</w:t>
      </w:r>
      <w:r w:rsidRPr="00E51EBA">
        <w:rPr>
          <w:sz w:val="22"/>
          <w:szCs w:val="22"/>
          <w:lang w:val="sr-Latn-ME"/>
        </w:rPr>
        <w:t xml:space="preserve"> osovine</w:t>
      </w:r>
      <w:r w:rsidR="00C131B9" w:rsidRPr="00E51EBA">
        <w:rPr>
          <w:sz w:val="22"/>
          <w:szCs w:val="22"/>
          <w:lang w:val="sr-Latn-ME"/>
        </w:rPr>
        <w:t xml:space="preserve">, </w:t>
      </w:r>
      <w:r w:rsidR="00C131B9" w:rsidRPr="00E51EBA">
        <w:rPr>
          <w:bCs/>
          <w:sz w:val="22"/>
          <w:szCs w:val="22"/>
          <w:lang w:val="sr-Latn-ME"/>
        </w:rPr>
        <w:t>Cushingov sindrom</w:t>
      </w:r>
      <w:r w:rsidR="00C1116B" w:rsidRPr="00E51EBA">
        <w:rPr>
          <w:sz w:val="22"/>
          <w:szCs w:val="22"/>
          <w:lang w:val="sr-Latn-ME"/>
        </w:rPr>
        <w:t xml:space="preserve"> i </w:t>
      </w:r>
      <w:r w:rsidRPr="00E51EBA">
        <w:rPr>
          <w:sz w:val="22"/>
          <w:szCs w:val="22"/>
          <w:lang w:val="sr-Latn-ME"/>
        </w:rPr>
        <w:t xml:space="preserve">intrakranijalna hipertenzija. </w:t>
      </w:r>
    </w:p>
    <w:p w14:paraId="3FFF6A9C" w14:textId="09C239C4" w:rsidR="00B460AC" w:rsidRPr="00E51EBA" w:rsidRDefault="00C131B9">
      <w:pPr>
        <w:tabs>
          <w:tab w:val="left" w:pos="284"/>
        </w:tabs>
        <w:spacing w:before="120"/>
        <w:jc w:val="both"/>
        <w:rPr>
          <w:bCs/>
          <w:sz w:val="22"/>
          <w:szCs w:val="22"/>
          <w:lang w:val="sr-Latn-ME"/>
        </w:rPr>
      </w:pPr>
      <w:r w:rsidRPr="00E51EBA">
        <w:rPr>
          <w:bCs/>
          <w:sz w:val="22"/>
          <w:szCs w:val="22"/>
          <w:lang w:val="sr-Latn-ME"/>
        </w:rPr>
        <w:t xml:space="preserve">Manifestacije adrenalne supresije kod pedijatrijskih pacijenata </w:t>
      </w:r>
      <w:r w:rsidR="00B460AC" w:rsidRPr="00E51EBA">
        <w:rPr>
          <w:sz w:val="22"/>
          <w:szCs w:val="22"/>
          <w:lang w:val="sr-Latn-ME"/>
        </w:rPr>
        <w:t xml:space="preserve">uključuju </w:t>
      </w:r>
      <w:r w:rsidRPr="00E51EBA">
        <w:rPr>
          <w:sz w:val="22"/>
          <w:szCs w:val="22"/>
          <w:lang w:val="sr-Latn-ME"/>
        </w:rPr>
        <w:t>usporen</w:t>
      </w:r>
      <w:r w:rsidR="00070BF4" w:rsidRPr="00E51EBA">
        <w:rPr>
          <w:sz w:val="22"/>
          <w:szCs w:val="22"/>
          <w:lang w:val="sr-Latn-ME"/>
        </w:rPr>
        <w:t xml:space="preserve"> rast. odložen porast tjelesne mase, </w:t>
      </w:r>
      <w:r w:rsidRPr="00E51EBA">
        <w:rPr>
          <w:bCs/>
          <w:sz w:val="22"/>
          <w:szCs w:val="22"/>
          <w:lang w:val="sr-Latn-ME"/>
        </w:rPr>
        <w:t xml:space="preserve">nizak nivo </w:t>
      </w:r>
      <w:r w:rsidR="00C02827" w:rsidRPr="00E51EBA">
        <w:rPr>
          <w:bCs/>
          <w:sz w:val="22"/>
          <w:szCs w:val="22"/>
          <w:lang w:val="sr-Latn-ME"/>
        </w:rPr>
        <w:t>kortizola</w:t>
      </w:r>
      <w:r w:rsidRPr="00E51EBA">
        <w:rPr>
          <w:bCs/>
          <w:sz w:val="22"/>
          <w:szCs w:val="22"/>
          <w:lang w:val="sr-Latn-ME"/>
        </w:rPr>
        <w:t xml:space="preserve"> u plazmi</w:t>
      </w:r>
      <w:r w:rsidR="00B460AC" w:rsidRPr="00E51EBA">
        <w:rPr>
          <w:sz w:val="22"/>
          <w:szCs w:val="22"/>
          <w:lang w:val="sr-Latn-ME"/>
        </w:rPr>
        <w:t xml:space="preserve"> u plazmi i izostanak odgovora na stimulaciju</w:t>
      </w:r>
      <w:r w:rsidRPr="00E51EBA">
        <w:rPr>
          <w:sz w:val="22"/>
          <w:szCs w:val="22"/>
          <w:lang w:val="sr-Latn-ME"/>
        </w:rPr>
        <w:t xml:space="preserve"> </w:t>
      </w:r>
      <w:r w:rsidRPr="00E51EBA">
        <w:rPr>
          <w:bCs/>
          <w:sz w:val="22"/>
          <w:szCs w:val="22"/>
          <w:lang w:val="sr-Latn-ME"/>
        </w:rPr>
        <w:t>adenokortikotropnim hormonom (ACTH)</w:t>
      </w:r>
      <w:r w:rsidR="00B460AC" w:rsidRPr="00E51EBA">
        <w:rPr>
          <w:sz w:val="22"/>
          <w:szCs w:val="22"/>
          <w:lang w:val="sr-Latn-ME"/>
        </w:rPr>
        <w:t xml:space="preserve">. </w:t>
      </w:r>
      <w:r w:rsidRPr="00E51EBA">
        <w:rPr>
          <w:bCs/>
          <w:sz w:val="22"/>
          <w:szCs w:val="22"/>
          <w:lang w:val="sr-Latn-ME"/>
        </w:rPr>
        <w:t>Manifestacija</w:t>
      </w:r>
      <w:r w:rsidR="00B460AC" w:rsidRPr="00E51EBA">
        <w:rPr>
          <w:sz w:val="22"/>
          <w:szCs w:val="22"/>
          <w:lang w:val="sr-Latn-ME"/>
        </w:rPr>
        <w:t xml:space="preserve"> intrakranijalne hipertenzije uključuju </w:t>
      </w:r>
      <w:r w:rsidRPr="00E51EBA">
        <w:rPr>
          <w:bCs/>
          <w:sz w:val="22"/>
          <w:szCs w:val="22"/>
          <w:lang w:val="sr-Latn-ME"/>
        </w:rPr>
        <w:t>izbočene</w:t>
      </w:r>
      <w:r w:rsidR="00B460AC" w:rsidRPr="00E51EBA">
        <w:rPr>
          <w:sz w:val="22"/>
          <w:szCs w:val="22"/>
          <w:lang w:val="sr-Latn-ME"/>
        </w:rPr>
        <w:t xml:space="preserve"> fontanele, glavobolju i </w:t>
      </w:r>
      <w:r w:rsidRPr="00E51EBA">
        <w:rPr>
          <w:bCs/>
          <w:sz w:val="22"/>
          <w:szCs w:val="22"/>
          <w:lang w:val="sr-Latn-ME"/>
        </w:rPr>
        <w:t>bilateralni papilarni edem</w:t>
      </w:r>
      <w:r w:rsidR="00B460AC" w:rsidRPr="00E51EBA">
        <w:rPr>
          <w:sz w:val="22"/>
          <w:szCs w:val="22"/>
          <w:lang w:val="sr-Latn-ME"/>
        </w:rPr>
        <w:t>.</w:t>
      </w:r>
    </w:p>
    <w:p w14:paraId="4BB5D552" w14:textId="77777777" w:rsidR="00057E35" w:rsidRPr="00E51EBA" w:rsidRDefault="00057E35">
      <w:pPr>
        <w:tabs>
          <w:tab w:val="left" w:pos="540"/>
          <w:tab w:val="left" w:pos="569"/>
        </w:tabs>
        <w:jc w:val="both"/>
        <w:rPr>
          <w:bCs/>
          <w:sz w:val="22"/>
          <w:szCs w:val="22"/>
          <w:lang w:val="sr-Latn-ME"/>
        </w:rPr>
      </w:pPr>
    </w:p>
    <w:p w14:paraId="19C57E1D" w14:textId="55862B30" w:rsidR="00411B4B" w:rsidRPr="00E51EBA" w:rsidRDefault="00411B4B">
      <w:pPr>
        <w:tabs>
          <w:tab w:val="left" w:pos="540"/>
          <w:tab w:val="left" w:pos="569"/>
        </w:tabs>
        <w:jc w:val="both"/>
        <w:rPr>
          <w:b/>
          <w:bCs/>
          <w:sz w:val="22"/>
          <w:szCs w:val="22"/>
          <w:lang w:val="sr-Latn-ME"/>
        </w:rPr>
      </w:pPr>
      <w:r w:rsidRPr="00E51EBA">
        <w:rPr>
          <w:b/>
          <w:bCs/>
          <w:sz w:val="22"/>
          <w:szCs w:val="22"/>
          <w:lang w:val="sr-Latn-ME"/>
        </w:rPr>
        <w:t>4.5.</w:t>
      </w:r>
      <w:r w:rsidR="000D60CC" w:rsidRPr="00E51EBA">
        <w:rPr>
          <w:b/>
          <w:bCs/>
          <w:sz w:val="22"/>
          <w:szCs w:val="22"/>
          <w:lang w:val="sr-Latn-ME"/>
        </w:rPr>
        <w:tab/>
      </w:r>
      <w:r w:rsidRPr="00E51EBA">
        <w:rPr>
          <w:b/>
          <w:bCs/>
          <w:sz w:val="22"/>
          <w:szCs w:val="22"/>
          <w:lang w:val="sr-Latn-ME"/>
        </w:rPr>
        <w:t>Interakcije sa drugim ljekovima i druge vrste interakcija</w:t>
      </w:r>
    </w:p>
    <w:p w14:paraId="1733C375" w14:textId="77777777" w:rsidR="00E61C0F" w:rsidRPr="00E51EBA" w:rsidRDefault="00E61C0F">
      <w:pPr>
        <w:tabs>
          <w:tab w:val="left" w:pos="540"/>
          <w:tab w:val="left" w:pos="569"/>
        </w:tabs>
        <w:jc w:val="both"/>
        <w:rPr>
          <w:b/>
          <w:bCs/>
          <w:sz w:val="22"/>
          <w:szCs w:val="22"/>
          <w:lang w:val="sr-Latn-ME"/>
        </w:rPr>
      </w:pPr>
    </w:p>
    <w:p w14:paraId="5420AF83" w14:textId="0012691F" w:rsidR="00E61C0F" w:rsidRPr="00E51EBA" w:rsidRDefault="00E61C0F">
      <w:pPr>
        <w:tabs>
          <w:tab w:val="left" w:pos="284"/>
        </w:tabs>
        <w:jc w:val="both"/>
        <w:rPr>
          <w:spacing w:val="-3"/>
          <w:kern w:val="1"/>
          <w:sz w:val="22"/>
          <w:szCs w:val="22"/>
          <w:lang w:val="sr-Latn-ME"/>
        </w:rPr>
      </w:pPr>
      <w:r w:rsidRPr="00E51EBA">
        <w:rPr>
          <w:spacing w:val="-3"/>
          <w:kern w:val="1"/>
          <w:sz w:val="22"/>
          <w:szCs w:val="22"/>
          <w:lang w:val="sr-Latn-ME"/>
        </w:rPr>
        <w:t xml:space="preserve">Zbog moguće međusobne inaktivacije, </w:t>
      </w:r>
      <w:r w:rsidR="00712116" w:rsidRPr="00E51EBA">
        <w:rPr>
          <w:spacing w:val="-3"/>
          <w:kern w:val="1"/>
          <w:sz w:val="22"/>
          <w:szCs w:val="22"/>
          <w:lang w:val="sr-Latn-ME"/>
        </w:rPr>
        <w:t xml:space="preserve">lijek </w:t>
      </w:r>
      <w:r w:rsidRPr="00E51EBA">
        <w:rPr>
          <w:spacing w:val="-3"/>
          <w:kern w:val="1"/>
          <w:sz w:val="22"/>
          <w:szCs w:val="22"/>
          <w:lang w:val="sr-Latn-ME"/>
        </w:rPr>
        <w:t>Belogent mast se nikad ne smije primjenjivati istovremeno sa drugim dermatološkim ljekovima za lokalnu primjenu.</w:t>
      </w:r>
    </w:p>
    <w:p w14:paraId="5141CD03" w14:textId="04FA1E64" w:rsidR="00E61C0F" w:rsidRPr="00E51EBA" w:rsidRDefault="00E61C0F">
      <w:pPr>
        <w:tabs>
          <w:tab w:val="left" w:pos="540"/>
          <w:tab w:val="left" w:pos="569"/>
        </w:tabs>
        <w:jc w:val="both"/>
        <w:rPr>
          <w:b/>
          <w:bCs/>
          <w:sz w:val="22"/>
          <w:szCs w:val="22"/>
          <w:lang w:val="sr-Latn-ME"/>
        </w:rPr>
      </w:pPr>
      <w:r w:rsidRPr="00E51EBA">
        <w:rPr>
          <w:spacing w:val="-3"/>
          <w:kern w:val="1"/>
          <w:sz w:val="22"/>
          <w:szCs w:val="22"/>
          <w:lang w:val="sr-Latn-ME"/>
        </w:rPr>
        <w:t>Gentamicin nije kompatibilan sa amfotericinom B, heparinom, sulfadiazinom i beta-laktamskim antibioticima (npr. cefalosporinima).</w:t>
      </w:r>
    </w:p>
    <w:p w14:paraId="4883D169" w14:textId="77777777" w:rsidR="0072020E" w:rsidRPr="00E51EBA" w:rsidRDefault="0072020E">
      <w:pPr>
        <w:tabs>
          <w:tab w:val="left" w:pos="540"/>
          <w:tab w:val="left" w:pos="569"/>
        </w:tabs>
        <w:jc w:val="both"/>
        <w:rPr>
          <w:bCs/>
          <w:sz w:val="22"/>
          <w:szCs w:val="22"/>
          <w:lang w:val="sr-Latn-ME"/>
        </w:rPr>
      </w:pPr>
    </w:p>
    <w:p w14:paraId="04058FCD" w14:textId="77777777" w:rsidR="0072020E" w:rsidRPr="00E51EBA" w:rsidRDefault="0072020E">
      <w:pPr>
        <w:tabs>
          <w:tab w:val="left" w:pos="540"/>
          <w:tab w:val="left" w:pos="569"/>
        </w:tabs>
        <w:jc w:val="both"/>
        <w:rPr>
          <w:b/>
          <w:sz w:val="22"/>
          <w:szCs w:val="22"/>
          <w:lang w:val="sr-Latn-ME"/>
        </w:rPr>
      </w:pPr>
      <w:r w:rsidRPr="00E51EBA">
        <w:rPr>
          <w:b/>
          <w:bCs/>
          <w:sz w:val="22"/>
          <w:szCs w:val="22"/>
          <w:lang w:val="sr-Latn-ME"/>
        </w:rPr>
        <w:t xml:space="preserve">4.6. </w:t>
      </w:r>
      <w:r w:rsidR="00480FB1" w:rsidRPr="00E51EBA">
        <w:rPr>
          <w:b/>
          <w:bCs/>
          <w:sz w:val="22"/>
          <w:szCs w:val="22"/>
          <w:lang w:val="sr-Latn-ME"/>
        </w:rPr>
        <w:tab/>
      </w:r>
      <w:r w:rsidR="006D20A5" w:rsidRPr="00E51EBA">
        <w:rPr>
          <w:b/>
          <w:sz w:val="22"/>
          <w:szCs w:val="22"/>
          <w:lang w:val="sr-Latn-ME"/>
        </w:rPr>
        <w:t>Plodnost, trudnoća i dojenje</w:t>
      </w:r>
    </w:p>
    <w:p w14:paraId="646A591A" w14:textId="77777777" w:rsidR="002031B3" w:rsidRPr="00E51EBA" w:rsidRDefault="002031B3">
      <w:pPr>
        <w:tabs>
          <w:tab w:val="left" w:pos="540"/>
          <w:tab w:val="left" w:pos="569"/>
        </w:tabs>
        <w:jc w:val="both"/>
        <w:rPr>
          <w:sz w:val="22"/>
          <w:szCs w:val="22"/>
          <w:u w:val="single"/>
          <w:lang w:val="sr-Latn-ME"/>
        </w:rPr>
      </w:pPr>
    </w:p>
    <w:p w14:paraId="7D4D9C7F" w14:textId="77777777" w:rsidR="00E61C0F" w:rsidRPr="00E51EBA" w:rsidRDefault="00E61C0F">
      <w:pPr>
        <w:jc w:val="both"/>
        <w:rPr>
          <w:bCs/>
          <w:sz w:val="22"/>
          <w:szCs w:val="22"/>
          <w:u w:val="single"/>
          <w:lang w:val="sr-Latn-ME"/>
        </w:rPr>
      </w:pPr>
      <w:r w:rsidRPr="00E51EBA">
        <w:rPr>
          <w:bCs/>
          <w:sz w:val="22"/>
          <w:szCs w:val="22"/>
          <w:u w:val="single"/>
          <w:lang w:val="sr-Latn-ME"/>
        </w:rPr>
        <w:t>Trudnoća</w:t>
      </w:r>
    </w:p>
    <w:p w14:paraId="25799E2A" w14:textId="00A4EBA8" w:rsidR="00E61C0F" w:rsidRPr="00E51EBA" w:rsidRDefault="00E61C0F">
      <w:pPr>
        <w:tabs>
          <w:tab w:val="left" w:pos="284"/>
        </w:tabs>
        <w:jc w:val="both"/>
        <w:rPr>
          <w:sz w:val="22"/>
          <w:szCs w:val="22"/>
          <w:lang w:val="sr-Latn-ME"/>
        </w:rPr>
      </w:pPr>
      <w:r w:rsidRPr="00E51EBA">
        <w:rPr>
          <w:sz w:val="22"/>
          <w:szCs w:val="22"/>
          <w:lang w:val="sr-Latn-ME"/>
        </w:rPr>
        <w:t xml:space="preserve">Nema dovoljno dostupnih podataka o primjeni lijeka </w:t>
      </w:r>
      <w:r w:rsidRPr="00E51EBA">
        <w:rPr>
          <w:spacing w:val="-3"/>
          <w:kern w:val="1"/>
          <w:sz w:val="22"/>
          <w:szCs w:val="22"/>
          <w:lang w:val="sr-Latn-ME"/>
        </w:rPr>
        <w:t>Belogent</w:t>
      </w:r>
      <w:r w:rsidR="00FB18C6" w:rsidRPr="00E51EBA">
        <w:rPr>
          <w:sz w:val="22"/>
          <w:szCs w:val="22"/>
          <w:lang w:val="sr-Latn-ME"/>
        </w:rPr>
        <w:t xml:space="preserve"> </w:t>
      </w:r>
      <w:r w:rsidRPr="00E51EBA">
        <w:rPr>
          <w:sz w:val="22"/>
          <w:szCs w:val="22"/>
          <w:lang w:val="sr-Latn-ME"/>
        </w:rPr>
        <w:t xml:space="preserve">mast kod trudnica. </w:t>
      </w:r>
    </w:p>
    <w:p w14:paraId="45B565A2" w14:textId="7B2EB9E4" w:rsidR="00E61C0F" w:rsidRPr="00E51EBA" w:rsidRDefault="00E61C0F">
      <w:pPr>
        <w:tabs>
          <w:tab w:val="left" w:pos="284"/>
        </w:tabs>
        <w:jc w:val="both"/>
        <w:rPr>
          <w:b/>
          <w:sz w:val="22"/>
          <w:szCs w:val="22"/>
          <w:lang w:val="sr-Latn-ME"/>
        </w:rPr>
      </w:pPr>
      <w:r w:rsidRPr="00E51EBA">
        <w:rPr>
          <w:sz w:val="22"/>
          <w:szCs w:val="22"/>
          <w:lang w:val="sr-Latn-ME"/>
        </w:rPr>
        <w:t>Gentamicin prolazi placenta</w:t>
      </w:r>
      <w:r w:rsidR="003A2B1F" w:rsidRPr="00E51EBA">
        <w:rPr>
          <w:sz w:val="22"/>
          <w:szCs w:val="22"/>
          <w:lang w:val="sr-Latn-ME"/>
        </w:rPr>
        <w:t>r</w:t>
      </w:r>
      <w:r w:rsidRPr="00E51EBA">
        <w:rPr>
          <w:sz w:val="22"/>
          <w:szCs w:val="22"/>
          <w:lang w:val="sr-Latn-ME"/>
        </w:rPr>
        <w:t xml:space="preserve">nu barijeru i postiže mjerljive koncentracije u fetalnom tkivu i plodovoj vodi. Ispitivanja na životinjama su pokazala reproduktivnu toksičnost (vidjeti </w:t>
      </w:r>
      <w:r w:rsidR="00FB18C6" w:rsidRPr="00E51EBA">
        <w:rPr>
          <w:sz w:val="22"/>
          <w:szCs w:val="22"/>
          <w:lang w:val="sr-Latn-ME"/>
        </w:rPr>
        <w:t xml:space="preserve">dio </w:t>
      </w:r>
      <w:r w:rsidRPr="00E51EBA">
        <w:rPr>
          <w:sz w:val="22"/>
          <w:szCs w:val="22"/>
          <w:lang w:val="sr-Latn-ME"/>
        </w:rPr>
        <w:t xml:space="preserve">5.3). </w:t>
      </w:r>
    </w:p>
    <w:p w14:paraId="5B08D06A" w14:textId="4A9E47AE" w:rsidR="00E61C0F" w:rsidRPr="00E51EBA" w:rsidRDefault="00E61C0F">
      <w:pPr>
        <w:tabs>
          <w:tab w:val="left" w:pos="284"/>
        </w:tabs>
        <w:suppressAutoHyphens/>
        <w:spacing w:before="120"/>
        <w:jc w:val="both"/>
        <w:rPr>
          <w:sz w:val="22"/>
          <w:szCs w:val="22"/>
          <w:lang w:val="sr-Latn-ME"/>
        </w:rPr>
      </w:pPr>
      <w:r w:rsidRPr="00E51EBA">
        <w:rPr>
          <w:sz w:val="22"/>
          <w:szCs w:val="22"/>
          <w:lang w:val="sr-Latn-ME"/>
        </w:rPr>
        <w:t xml:space="preserve">U ispitivanjima na životinjama, betametazon je pokazao embriotoksična i teratogena dejstva nakon sistemske i lokalne primjene. U ispitivanjima na životinjama sa drugim </w:t>
      </w:r>
      <w:r w:rsidR="00C131B9" w:rsidRPr="00E51EBA">
        <w:rPr>
          <w:sz w:val="22"/>
          <w:szCs w:val="22"/>
          <w:lang w:val="sr-Latn-ME"/>
        </w:rPr>
        <w:t>glukokortikoidima</w:t>
      </w:r>
      <w:r w:rsidRPr="00E51EBA">
        <w:rPr>
          <w:sz w:val="22"/>
          <w:szCs w:val="22"/>
          <w:lang w:val="sr-Latn-ME"/>
        </w:rPr>
        <w:t>, javili su se tipični znakovi embriotoksičnosti i teratogenosti kao što su rascjep nepca, deformiteti skeleta, intrauterini zastoj u rastu i letalno dejstvo na embrione. Takođe se pretpostavlja da je povećan rizik od nastanka rascjepa nepca fetusa kod ljudi povezan sa sistemskom primjenom glukokortikoida tokom prvog trimestra trudnoće.</w:t>
      </w:r>
    </w:p>
    <w:p w14:paraId="7C30672B" w14:textId="25AB22B7" w:rsidR="00E61C0F" w:rsidRPr="00E51EBA" w:rsidRDefault="00E61C0F">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Ispitivanja na životinjama pokazala su da primjena subteratogenih doza glukokortikoida tokom gestacije </w:t>
      </w:r>
      <w:r w:rsidR="003A2B1F" w:rsidRPr="00E51EBA">
        <w:rPr>
          <w:color w:val="000000"/>
          <w:sz w:val="22"/>
          <w:szCs w:val="22"/>
          <w:lang w:val="sr-Latn-ME"/>
        </w:rPr>
        <w:t>doprinos</w:t>
      </w:r>
      <w:r w:rsidR="00C131B9" w:rsidRPr="00E51EBA">
        <w:rPr>
          <w:color w:val="000000"/>
          <w:sz w:val="22"/>
          <w:szCs w:val="22"/>
          <w:lang w:val="sr-Latn-ME"/>
        </w:rPr>
        <w:t>i</w:t>
      </w:r>
      <w:r w:rsidRPr="00E51EBA">
        <w:rPr>
          <w:color w:val="000000"/>
          <w:sz w:val="22"/>
          <w:szCs w:val="22"/>
          <w:lang w:val="sr-Latn-ME"/>
        </w:rPr>
        <w:t xml:space="preserve"> povećanom riziku od intrauterinog zastoja u rastu, kardiovaskularnih bolesti i/ili metaboličkih bolesti koje se javljaju u odrasloj dobi i trajnim promjenama gustine </w:t>
      </w:r>
      <w:r w:rsidR="00C02827" w:rsidRPr="00E51EBA">
        <w:rPr>
          <w:spacing w:val="-3"/>
          <w:kern w:val="2"/>
          <w:sz w:val="22"/>
          <w:szCs w:val="22"/>
          <w:lang w:val="sr-Latn-ME"/>
        </w:rPr>
        <w:t>kortikosteroidnih</w:t>
      </w:r>
      <w:r w:rsidRPr="00E51EBA">
        <w:rPr>
          <w:color w:val="000000"/>
          <w:sz w:val="22"/>
          <w:szCs w:val="22"/>
          <w:lang w:val="sr-Latn-ME"/>
        </w:rPr>
        <w:t xml:space="preserve"> receptora, </w:t>
      </w:r>
      <w:r w:rsidR="00C02827" w:rsidRPr="00E51EBA">
        <w:rPr>
          <w:color w:val="000000"/>
          <w:sz w:val="22"/>
          <w:szCs w:val="22"/>
          <w:lang w:val="sr-Latn-ME"/>
        </w:rPr>
        <w:t>prenosa nervnih signala</w:t>
      </w:r>
      <w:r w:rsidR="00C02827" w:rsidRPr="00E51EBA" w:rsidDel="00C02827">
        <w:rPr>
          <w:color w:val="000000"/>
          <w:sz w:val="22"/>
          <w:szCs w:val="22"/>
          <w:lang w:val="sr-Latn-ME"/>
        </w:rPr>
        <w:t xml:space="preserve"> </w:t>
      </w:r>
      <w:r w:rsidRPr="00E51EBA">
        <w:rPr>
          <w:color w:val="000000"/>
          <w:sz w:val="22"/>
          <w:szCs w:val="22"/>
          <w:lang w:val="sr-Latn-ME"/>
        </w:rPr>
        <w:t xml:space="preserve">i ponašanja. </w:t>
      </w:r>
    </w:p>
    <w:p w14:paraId="67F2D5B4" w14:textId="12B3445D" w:rsidR="00E61C0F" w:rsidRPr="00E51EBA" w:rsidRDefault="00E61C0F">
      <w:pPr>
        <w:autoSpaceDE w:val="0"/>
        <w:autoSpaceDN w:val="0"/>
        <w:adjustRightInd w:val="0"/>
        <w:spacing w:before="120"/>
        <w:jc w:val="both"/>
        <w:rPr>
          <w:color w:val="000000"/>
          <w:sz w:val="22"/>
          <w:szCs w:val="22"/>
          <w:lang w:val="sr-Latn-ME"/>
        </w:rPr>
      </w:pPr>
      <w:r w:rsidRPr="00E51EBA">
        <w:rPr>
          <w:color w:val="000000"/>
          <w:sz w:val="22"/>
          <w:szCs w:val="22"/>
          <w:lang w:val="sr-Latn-ME"/>
        </w:rPr>
        <w:t>Zbog toga je kontraindikovana primjena lijeka Belogent</w:t>
      </w:r>
      <w:r w:rsidR="00FB18C6" w:rsidRPr="00E51EBA">
        <w:rPr>
          <w:color w:val="000000"/>
          <w:sz w:val="22"/>
          <w:szCs w:val="22"/>
          <w:lang w:val="sr-Latn-ME"/>
        </w:rPr>
        <w:t xml:space="preserve"> </w:t>
      </w:r>
      <w:r w:rsidRPr="00E51EBA">
        <w:rPr>
          <w:color w:val="000000"/>
          <w:sz w:val="22"/>
          <w:szCs w:val="22"/>
          <w:lang w:val="sr-Latn-ME"/>
        </w:rPr>
        <w:t xml:space="preserve">mast u periodu trudnoće (vidjeti </w:t>
      </w:r>
      <w:r w:rsidR="00FB18C6" w:rsidRPr="00E51EBA">
        <w:rPr>
          <w:color w:val="000000"/>
          <w:sz w:val="22"/>
          <w:szCs w:val="22"/>
          <w:lang w:val="sr-Latn-ME"/>
        </w:rPr>
        <w:t>dio</w:t>
      </w:r>
      <w:r w:rsidRPr="00E51EBA">
        <w:rPr>
          <w:color w:val="000000"/>
          <w:sz w:val="22"/>
          <w:szCs w:val="22"/>
          <w:lang w:val="sr-Latn-ME"/>
        </w:rPr>
        <w:t xml:space="preserve"> 4.3). </w:t>
      </w:r>
    </w:p>
    <w:p w14:paraId="69FD489C" w14:textId="4FD37E5D" w:rsidR="00E61C0F" w:rsidRPr="00E51EBA" w:rsidRDefault="00E61C0F">
      <w:pPr>
        <w:tabs>
          <w:tab w:val="left" w:pos="284"/>
        </w:tabs>
        <w:suppressAutoHyphens/>
        <w:spacing w:before="120"/>
        <w:jc w:val="both"/>
        <w:rPr>
          <w:color w:val="000000"/>
          <w:sz w:val="22"/>
          <w:szCs w:val="22"/>
          <w:lang w:val="sr-Latn-ME"/>
        </w:rPr>
      </w:pPr>
      <w:r w:rsidRPr="00E51EBA">
        <w:rPr>
          <w:color w:val="000000"/>
          <w:sz w:val="22"/>
          <w:szCs w:val="22"/>
          <w:lang w:val="sr-Latn-ME"/>
        </w:rPr>
        <w:lastRenderedPageBreak/>
        <w:t>Ukoliko je neophodno primijeniti glukokortikoide tokom trudnoće, treba primjenjivati supstance kao što je hidrokortizon, prednizon ili prednizolon, zato što ih enzim 11-ß-HSD u p</w:t>
      </w:r>
      <w:r w:rsidR="003A2B1F" w:rsidRPr="00E51EBA">
        <w:rPr>
          <w:color w:val="000000"/>
          <w:sz w:val="22"/>
          <w:szCs w:val="22"/>
          <w:lang w:val="sr-Latn-ME"/>
        </w:rPr>
        <w:t>lacenti</w:t>
      </w:r>
      <w:r w:rsidRPr="00E51EBA">
        <w:rPr>
          <w:color w:val="000000"/>
          <w:sz w:val="22"/>
          <w:szCs w:val="22"/>
          <w:lang w:val="sr-Latn-ME"/>
        </w:rPr>
        <w:t xml:space="preserve"> metaboliše do inaktivnog oblika. Zbog toga p</w:t>
      </w:r>
      <w:r w:rsidR="003A2B1F" w:rsidRPr="00E51EBA">
        <w:rPr>
          <w:color w:val="000000"/>
          <w:sz w:val="22"/>
          <w:szCs w:val="22"/>
          <w:lang w:val="sr-Latn-ME"/>
        </w:rPr>
        <w:t>lacenta</w:t>
      </w:r>
      <w:r w:rsidRPr="00E51EBA">
        <w:rPr>
          <w:color w:val="000000"/>
          <w:sz w:val="22"/>
          <w:szCs w:val="22"/>
          <w:lang w:val="sr-Latn-ME"/>
        </w:rPr>
        <w:t xml:space="preserve"> nudi efikasniju zaštitu od tih supstanci nego od većine sintetskih </w:t>
      </w:r>
      <w:r w:rsidR="00C02827" w:rsidRPr="00E51EBA">
        <w:rPr>
          <w:spacing w:val="-3"/>
          <w:kern w:val="2"/>
          <w:sz w:val="22"/>
          <w:szCs w:val="22"/>
          <w:lang w:val="sr-Latn-ME"/>
        </w:rPr>
        <w:t>kortikosteroida</w:t>
      </w:r>
      <w:r w:rsidRPr="00E51EBA">
        <w:rPr>
          <w:color w:val="000000"/>
          <w:sz w:val="22"/>
          <w:szCs w:val="22"/>
          <w:lang w:val="sr-Latn-ME"/>
        </w:rPr>
        <w:t>.</w:t>
      </w:r>
    </w:p>
    <w:p w14:paraId="34D769EE" w14:textId="77777777" w:rsidR="00E61C0F" w:rsidRPr="00E51EBA" w:rsidRDefault="00E61C0F">
      <w:pPr>
        <w:pStyle w:val="BodyTextIndent"/>
        <w:spacing w:before="120" w:after="0"/>
        <w:ind w:left="0"/>
        <w:jc w:val="both"/>
        <w:rPr>
          <w:bCs/>
          <w:i/>
          <w:sz w:val="22"/>
          <w:szCs w:val="22"/>
          <w:u w:val="single"/>
          <w:lang w:val="sr-Latn-ME"/>
        </w:rPr>
      </w:pPr>
      <w:r w:rsidRPr="00E51EBA">
        <w:rPr>
          <w:bCs/>
          <w:sz w:val="22"/>
          <w:szCs w:val="22"/>
          <w:u w:val="single"/>
          <w:lang w:val="sr-Latn-ME"/>
        </w:rPr>
        <w:t>Dojenje</w:t>
      </w:r>
    </w:p>
    <w:p w14:paraId="0D29CA1C" w14:textId="77777777" w:rsidR="00C02827" w:rsidRPr="00E51EBA" w:rsidRDefault="00E61C0F" w:rsidP="00C02827">
      <w:pPr>
        <w:tabs>
          <w:tab w:val="left" w:pos="284"/>
        </w:tabs>
        <w:jc w:val="both"/>
        <w:rPr>
          <w:sz w:val="22"/>
          <w:szCs w:val="22"/>
          <w:lang w:val="sr-Latn-ME"/>
        </w:rPr>
      </w:pPr>
      <w:r w:rsidRPr="00E51EBA">
        <w:rPr>
          <w:sz w:val="22"/>
          <w:szCs w:val="22"/>
          <w:lang w:val="sr-Latn-ME"/>
        </w:rPr>
        <w:t xml:space="preserve">Male količine gentamicina izlučuju se u majčino mlijeko. </w:t>
      </w:r>
    </w:p>
    <w:p w14:paraId="42E959E0" w14:textId="77777777" w:rsidR="00C02827" w:rsidRPr="00E51EBA" w:rsidRDefault="00C02827" w:rsidP="00C02827">
      <w:pPr>
        <w:tabs>
          <w:tab w:val="left" w:pos="284"/>
        </w:tabs>
        <w:jc w:val="both"/>
        <w:rPr>
          <w:sz w:val="22"/>
          <w:szCs w:val="22"/>
          <w:lang w:val="sr-Latn-ME"/>
        </w:rPr>
      </w:pPr>
      <w:r w:rsidRPr="00E51EBA">
        <w:rPr>
          <w:sz w:val="22"/>
          <w:szCs w:val="22"/>
          <w:lang w:val="sr-Latn-ME"/>
        </w:rPr>
        <w:t xml:space="preserve">Nema dostupnih podataka o izlučivanju betametazon dipropionata u majčino mlijeko. Drugi glukokortikoidi se izlučuju u majčino mlijeko. Zbog toga, </w:t>
      </w:r>
      <w:r w:rsidRPr="00E51EBA">
        <w:rPr>
          <w:sz w:val="22"/>
          <w:szCs w:val="22"/>
          <w:lang w:val="sr-Latn-ME" w:eastAsia="hr-HR"/>
        </w:rPr>
        <w:t xml:space="preserve">potrebno je donijeti odluku ili o prekidu dojenja ili o prekidu uzimanja lijeka, uzimajući u obzir važnost lijeka za majku. </w:t>
      </w:r>
      <w:r w:rsidRPr="00E51EBA">
        <w:rPr>
          <w:sz w:val="22"/>
          <w:szCs w:val="22"/>
          <w:lang w:val="sr-Latn-ME"/>
        </w:rPr>
        <w:t>Odojče ne smije doći u kontakt sa liječenim područjima kože.</w:t>
      </w:r>
    </w:p>
    <w:p w14:paraId="2703755D" w14:textId="4ABA3D83" w:rsidR="00527ACA" w:rsidRPr="00E51EBA" w:rsidRDefault="00527ACA">
      <w:pPr>
        <w:jc w:val="both"/>
        <w:rPr>
          <w:sz w:val="22"/>
          <w:szCs w:val="22"/>
          <w:lang w:val="sr-Latn-ME"/>
        </w:rPr>
      </w:pPr>
    </w:p>
    <w:p w14:paraId="6E20D2E0" w14:textId="77777777" w:rsidR="00527ACA" w:rsidRPr="00E51EBA" w:rsidRDefault="00527ACA">
      <w:pPr>
        <w:jc w:val="both"/>
        <w:rPr>
          <w:sz w:val="22"/>
          <w:szCs w:val="22"/>
          <w:u w:val="single"/>
          <w:lang w:val="sr-Latn-ME"/>
        </w:rPr>
      </w:pPr>
      <w:r w:rsidRPr="00E51EBA">
        <w:rPr>
          <w:sz w:val="22"/>
          <w:szCs w:val="22"/>
          <w:u w:val="single"/>
          <w:lang w:val="sr-Latn-ME"/>
        </w:rPr>
        <w:t xml:space="preserve">Plodnost </w:t>
      </w:r>
    </w:p>
    <w:p w14:paraId="65D6A46D" w14:textId="0A42DBA5" w:rsidR="00527ACA" w:rsidRPr="00E51EBA" w:rsidRDefault="00527ACA">
      <w:pPr>
        <w:jc w:val="both"/>
        <w:rPr>
          <w:sz w:val="22"/>
          <w:szCs w:val="22"/>
          <w:lang w:val="sr-Latn-ME"/>
        </w:rPr>
      </w:pPr>
      <w:r w:rsidRPr="00E51EBA">
        <w:rPr>
          <w:sz w:val="22"/>
          <w:szCs w:val="22"/>
          <w:lang w:val="sr-Latn-ME"/>
        </w:rPr>
        <w:t>Nema podataka o uticaju lokalno primijenjenih kortikosteroida i gentamicina na plodnost kod ljudi.</w:t>
      </w:r>
    </w:p>
    <w:p w14:paraId="5F4831EE" w14:textId="77777777" w:rsidR="00227BDB" w:rsidRPr="00E51EBA" w:rsidRDefault="00227BDB" w:rsidP="008B00F2">
      <w:pPr>
        <w:tabs>
          <w:tab w:val="left" w:pos="540"/>
          <w:tab w:val="left" w:pos="569"/>
        </w:tabs>
        <w:ind w:left="540" w:hanging="540"/>
        <w:jc w:val="both"/>
        <w:rPr>
          <w:b/>
          <w:bCs/>
          <w:sz w:val="22"/>
          <w:szCs w:val="22"/>
          <w:lang w:val="sr-Latn-ME"/>
        </w:rPr>
      </w:pPr>
    </w:p>
    <w:p w14:paraId="6FB05B56" w14:textId="5107DD79" w:rsidR="0072020E" w:rsidRPr="00E51EBA" w:rsidRDefault="0072020E" w:rsidP="008B00F2">
      <w:pPr>
        <w:tabs>
          <w:tab w:val="left" w:pos="540"/>
          <w:tab w:val="left" w:pos="569"/>
        </w:tabs>
        <w:ind w:left="540" w:hanging="540"/>
        <w:jc w:val="both"/>
        <w:rPr>
          <w:b/>
          <w:bCs/>
          <w:sz w:val="22"/>
          <w:szCs w:val="22"/>
          <w:lang w:val="sr-Latn-ME"/>
        </w:rPr>
      </w:pPr>
      <w:r w:rsidRPr="00E51EBA">
        <w:rPr>
          <w:b/>
          <w:bCs/>
          <w:sz w:val="22"/>
          <w:szCs w:val="22"/>
          <w:lang w:val="sr-Latn-ME"/>
        </w:rPr>
        <w:t xml:space="preserve">4.7. </w:t>
      </w:r>
      <w:r w:rsidR="00480FB1" w:rsidRPr="00E51EBA">
        <w:rPr>
          <w:b/>
          <w:bCs/>
          <w:sz w:val="22"/>
          <w:szCs w:val="22"/>
          <w:lang w:val="sr-Latn-ME"/>
        </w:rPr>
        <w:tab/>
      </w:r>
      <w:r w:rsidRPr="00E51EBA">
        <w:rPr>
          <w:b/>
          <w:bCs/>
          <w:sz w:val="22"/>
          <w:szCs w:val="22"/>
          <w:lang w:val="sr-Latn-ME"/>
        </w:rPr>
        <w:t xml:space="preserve">Uticaj na </w:t>
      </w:r>
      <w:r w:rsidR="002031B3" w:rsidRPr="00E51EBA">
        <w:rPr>
          <w:b/>
          <w:bCs/>
          <w:sz w:val="22"/>
          <w:szCs w:val="22"/>
          <w:lang w:val="sr-Latn-ME"/>
        </w:rPr>
        <w:t xml:space="preserve">sposobnost </w:t>
      </w:r>
      <w:r w:rsidR="00F34554" w:rsidRPr="00E51EBA">
        <w:rPr>
          <w:b/>
          <w:bCs/>
          <w:sz w:val="22"/>
          <w:szCs w:val="22"/>
          <w:lang w:val="sr-Latn-ME"/>
        </w:rPr>
        <w:t>upravljanja vozili</w:t>
      </w:r>
      <w:r w:rsidRPr="00E51EBA">
        <w:rPr>
          <w:b/>
          <w:bCs/>
          <w:sz w:val="22"/>
          <w:szCs w:val="22"/>
          <w:lang w:val="sr-Latn-ME"/>
        </w:rPr>
        <w:t>m</w:t>
      </w:r>
      <w:r w:rsidR="00F34554" w:rsidRPr="00E51EBA">
        <w:rPr>
          <w:b/>
          <w:bCs/>
          <w:sz w:val="22"/>
          <w:szCs w:val="22"/>
          <w:lang w:val="sr-Latn-ME"/>
        </w:rPr>
        <w:t>a</w:t>
      </w:r>
      <w:r w:rsidRPr="00E51EBA">
        <w:rPr>
          <w:b/>
          <w:bCs/>
          <w:sz w:val="22"/>
          <w:szCs w:val="22"/>
          <w:lang w:val="sr-Latn-ME"/>
        </w:rPr>
        <w:t xml:space="preserve"> i </w:t>
      </w:r>
      <w:r w:rsidR="000D3449" w:rsidRPr="00E51EBA">
        <w:rPr>
          <w:b/>
          <w:bCs/>
          <w:sz w:val="22"/>
          <w:szCs w:val="22"/>
          <w:lang w:val="sr-Latn-ME"/>
        </w:rPr>
        <w:t xml:space="preserve">rukovanje </w:t>
      </w:r>
      <w:r w:rsidRPr="00E51EBA">
        <w:rPr>
          <w:b/>
          <w:bCs/>
          <w:sz w:val="22"/>
          <w:szCs w:val="22"/>
          <w:lang w:val="sr-Latn-ME"/>
        </w:rPr>
        <w:t>mašinama</w:t>
      </w:r>
    </w:p>
    <w:p w14:paraId="35C83FB4" w14:textId="5E40A093" w:rsidR="00E61C0F" w:rsidRPr="00E51EBA" w:rsidRDefault="00E61C0F" w:rsidP="008B00F2">
      <w:pPr>
        <w:tabs>
          <w:tab w:val="left" w:pos="540"/>
          <w:tab w:val="left" w:pos="569"/>
        </w:tabs>
        <w:ind w:left="540" w:hanging="540"/>
        <w:jc w:val="both"/>
        <w:rPr>
          <w:b/>
          <w:bCs/>
          <w:sz w:val="22"/>
          <w:szCs w:val="22"/>
          <w:lang w:val="sr-Latn-ME"/>
        </w:rPr>
      </w:pPr>
    </w:p>
    <w:p w14:paraId="705D0C7A" w14:textId="738514C4" w:rsidR="00E61C0F" w:rsidRPr="00E51EBA" w:rsidRDefault="00E61C0F" w:rsidP="008B00F2">
      <w:pPr>
        <w:jc w:val="both"/>
        <w:rPr>
          <w:sz w:val="22"/>
          <w:szCs w:val="22"/>
          <w:lang w:val="sr-Latn-ME"/>
        </w:rPr>
      </w:pPr>
      <w:r w:rsidRPr="00E51EBA">
        <w:rPr>
          <w:sz w:val="22"/>
          <w:szCs w:val="22"/>
          <w:lang w:val="sr-Latn-ME"/>
        </w:rPr>
        <w:t xml:space="preserve">Nema podataka o štetnom uticaju </w:t>
      </w:r>
      <w:r w:rsidR="00712116" w:rsidRPr="00E51EBA">
        <w:rPr>
          <w:sz w:val="22"/>
          <w:szCs w:val="22"/>
          <w:lang w:val="sr-Latn-ME"/>
        </w:rPr>
        <w:t>lijeka</w:t>
      </w:r>
      <w:r w:rsidRPr="00E51EBA">
        <w:rPr>
          <w:sz w:val="22"/>
          <w:szCs w:val="22"/>
          <w:lang w:val="sr-Latn-ME"/>
        </w:rPr>
        <w:t xml:space="preserve"> Belogent mast na sposobnost upravljanja vozilima i mašinama.</w:t>
      </w:r>
    </w:p>
    <w:p w14:paraId="5BACF750" w14:textId="77777777" w:rsidR="0072020E" w:rsidRPr="00E51EBA" w:rsidRDefault="0072020E" w:rsidP="008B00F2">
      <w:pPr>
        <w:tabs>
          <w:tab w:val="left" w:pos="540"/>
          <w:tab w:val="left" w:pos="569"/>
        </w:tabs>
        <w:jc w:val="both"/>
        <w:rPr>
          <w:b/>
          <w:bCs/>
          <w:sz w:val="22"/>
          <w:szCs w:val="22"/>
          <w:lang w:val="sr-Latn-ME"/>
        </w:rPr>
      </w:pPr>
    </w:p>
    <w:p w14:paraId="1598A8AF" w14:textId="2B7EA756" w:rsidR="0072020E"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4.8. </w:t>
      </w:r>
      <w:r w:rsidR="00480FB1" w:rsidRPr="00E51EBA">
        <w:rPr>
          <w:b/>
          <w:bCs/>
          <w:sz w:val="22"/>
          <w:szCs w:val="22"/>
          <w:lang w:val="sr-Latn-ME"/>
        </w:rPr>
        <w:tab/>
      </w:r>
      <w:r w:rsidRPr="00E51EBA">
        <w:rPr>
          <w:b/>
          <w:bCs/>
          <w:sz w:val="22"/>
          <w:szCs w:val="22"/>
          <w:lang w:val="sr-Latn-ME"/>
        </w:rPr>
        <w:t>Neželjena dejstva</w:t>
      </w:r>
    </w:p>
    <w:p w14:paraId="34E66B9B" w14:textId="06BAD93A" w:rsidR="00E61C0F" w:rsidRPr="00E51EBA" w:rsidRDefault="00E61C0F" w:rsidP="008B00F2">
      <w:pPr>
        <w:tabs>
          <w:tab w:val="left" w:pos="540"/>
          <w:tab w:val="left" w:pos="569"/>
        </w:tabs>
        <w:jc w:val="both"/>
        <w:rPr>
          <w:b/>
          <w:bCs/>
          <w:sz w:val="22"/>
          <w:szCs w:val="22"/>
          <w:lang w:val="sr-Latn-ME"/>
        </w:rPr>
      </w:pPr>
    </w:p>
    <w:p w14:paraId="64880A5F" w14:textId="390336BE" w:rsidR="00E045CC" w:rsidRPr="00E51EBA" w:rsidRDefault="00E61C0F">
      <w:pPr>
        <w:jc w:val="both"/>
        <w:rPr>
          <w:sz w:val="22"/>
          <w:szCs w:val="22"/>
          <w:lang w:val="sr-Latn-ME"/>
        </w:rPr>
      </w:pPr>
      <w:r w:rsidRPr="00E51EBA">
        <w:rPr>
          <w:spacing w:val="-3"/>
          <w:kern w:val="1"/>
          <w:sz w:val="22"/>
          <w:szCs w:val="22"/>
          <w:lang w:val="sr-Latn-ME"/>
        </w:rPr>
        <w:t xml:space="preserve">Pri lokalnoj primjeni lijeka Belogent mast, veoma rijetko su prijavljena neželjena dejstva, uključujući preosjetljivost i promjenu boje kože. </w:t>
      </w:r>
      <w:r w:rsidR="00C02827" w:rsidRPr="00E51EBA">
        <w:rPr>
          <w:spacing w:val="-3"/>
          <w:kern w:val="1"/>
          <w:sz w:val="22"/>
          <w:szCs w:val="22"/>
          <w:lang w:val="sr-Latn-ME"/>
        </w:rPr>
        <w:t xml:space="preserve">Ispod navedena neželjena dejstva zabilježena su pri primjeni topikalnih kortikosteroida, naročito uz primjenu okluzivnih zavoja.  </w:t>
      </w:r>
      <w:r w:rsidR="00E045CC" w:rsidRPr="00E51EBA">
        <w:rPr>
          <w:sz w:val="22"/>
          <w:szCs w:val="22"/>
          <w:lang w:val="sr-Latn-ME"/>
        </w:rPr>
        <w:t>N</w:t>
      </w:r>
      <w:r w:rsidR="00B8278A" w:rsidRPr="00E51EBA">
        <w:rPr>
          <w:sz w:val="22"/>
          <w:szCs w:val="22"/>
          <w:lang w:val="sr-Latn-ME"/>
        </w:rPr>
        <w:t>eželjena dejstva</w:t>
      </w:r>
      <w:r w:rsidR="00E045CC" w:rsidRPr="00E51EBA">
        <w:rPr>
          <w:sz w:val="22"/>
          <w:szCs w:val="22"/>
          <w:lang w:val="sr-Latn-ME"/>
        </w:rPr>
        <w:t xml:space="preserve"> su razvrstan</w:t>
      </w:r>
      <w:r w:rsidR="00B8278A" w:rsidRPr="00E51EBA">
        <w:rPr>
          <w:sz w:val="22"/>
          <w:szCs w:val="22"/>
          <w:lang w:val="sr-Latn-ME"/>
        </w:rPr>
        <w:t xml:space="preserve">a </w:t>
      </w:r>
      <w:r w:rsidR="00E045CC" w:rsidRPr="00E51EBA">
        <w:rPr>
          <w:sz w:val="22"/>
          <w:szCs w:val="22"/>
          <w:lang w:val="sr-Latn-ME"/>
        </w:rPr>
        <w:t xml:space="preserve">prema učestalosti na sljedeći način: </w:t>
      </w:r>
      <w:r w:rsidR="00B8278A" w:rsidRPr="00E51EBA">
        <w:rPr>
          <w:sz w:val="22"/>
          <w:szCs w:val="22"/>
          <w:lang w:val="sr-Latn-ME"/>
        </w:rPr>
        <w:t>veoma</w:t>
      </w:r>
      <w:r w:rsidR="00E045CC" w:rsidRPr="00E51EBA">
        <w:rPr>
          <w:sz w:val="22"/>
          <w:szCs w:val="22"/>
          <w:lang w:val="sr-Latn-ME"/>
        </w:rPr>
        <w:t xml:space="preserve"> često (≥1/10), često (≥1/100 do &lt;1/10); </w:t>
      </w:r>
      <w:r w:rsidR="00B8278A" w:rsidRPr="00E51EBA">
        <w:rPr>
          <w:sz w:val="22"/>
          <w:szCs w:val="22"/>
          <w:lang w:val="sr-Latn-ME"/>
        </w:rPr>
        <w:t>povremeno</w:t>
      </w:r>
      <w:r w:rsidR="00E045CC" w:rsidRPr="00E51EBA">
        <w:rPr>
          <w:sz w:val="22"/>
          <w:szCs w:val="22"/>
          <w:lang w:val="sr-Latn-ME"/>
        </w:rPr>
        <w:t xml:space="preserve"> (≥1/1000 do &lt;1/100); rijetko (≥1/10 000 do &lt;1/1 000); v</w:t>
      </w:r>
      <w:r w:rsidR="00B8278A" w:rsidRPr="00E51EBA">
        <w:rPr>
          <w:sz w:val="22"/>
          <w:szCs w:val="22"/>
          <w:lang w:val="sr-Latn-ME"/>
        </w:rPr>
        <w:t>eoma</w:t>
      </w:r>
      <w:r w:rsidR="00E045CC" w:rsidRPr="00E51EBA">
        <w:rPr>
          <w:sz w:val="22"/>
          <w:szCs w:val="22"/>
          <w:lang w:val="sr-Latn-ME"/>
        </w:rPr>
        <w:t xml:space="preserve"> rijetko (&lt;1/10 000); nepoznato (ne može se procijeniti iz dostupnih podataka).</w:t>
      </w:r>
    </w:p>
    <w:p w14:paraId="5177B78D" w14:textId="77777777" w:rsidR="00E045CC" w:rsidRPr="00E51EBA" w:rsidRDefault="00E045CC">
      <w:pPr>
        <w:tabs>
          <w:tab w:val="left" w:pos="284"/>
        </w:tabs>
        <w:spacing w:before="120"/>
        <w:jc w:val="both"/>
        <w:rPr>
          <w:spacing w:val="-3"/>
          <w:kern w:val="1"/>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552"/>
      </w:tblGrid>
      <w:tr w:rsidR="00E61C0F" w:rsidRPr="00E51EBA" w14:paraId="05D89A2E" w14:textId="77777777" w:rsidTr="00D05291">
        <w:tc>
          <w:tcPr>
            <w:tcW w:w="2405" w:type="dxa"/>
            <w:shd w:val="clear" w:color="auto" w:fill="auto"/>
            <w:vAlign w:val="center"/>
          </w:tcPr>
          <w:p w14:paraId="74B87B45" w14:textId="77777777" w:rsidR="00E61C0F"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Klasa sistema organa</w:t>
            </w:r>
          </w:p>
        </w:tc>
        <w:tc>
          <w:tcPr>
            <w:tcW w:w="7552" w:type="dxa"/>
            <w:shd w:val="clear" w:color="auto" w:fill="auto"/>
            <w:vAlign w:val="center"/>
          </w:tcPr>
          <w:p w14:paraId="645E0452" w14:textId="77777777" w:rsidR="00E61C0F"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Neželjeno dejstvo</w:t>
            </w:r>
          </w:p>
        </w:tc>
      </w:tr>
      <w:tr w:rsidR="00E61C0F" w:rsidRPr="00E51EBA" w14:paraId="1FB3A0A4" w14:textId="77777777" w:rsidTr="00D05291">
        <w:tc>
          <w:tcPr>
            <w:tcW w:w="2405" w:type="dxa"/>
            <w:shd w:val="clear" w:color="auto" w:fill="auto"/>
            <w:vAlign w:val="center"/>
          </w:tcPr>
          <w:p w14:paraId="619F88C3" w14:textId="77777777" w:rsidR="00E61C0F"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Poremećaji kože i potkožnog tkiva</w:t>
            </w:r>
          </w:p>
        </w:tc>
        <w:tc>
          <w:tcPr>
            <w:tcW w:w="7552" w:type="dxa"/>
            <w:shd w:val="clear" w:color="auto" w:fill="auto"/>
            <w:vAlign w:val="center"/>
          </w:tcPr>
          <w:p w14:paraId="404E8791" w14:textId="52F77079" w:rsidR="00C02827"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 xml:space="preserve">pečenje, svrab, iritacija, suvoća kože, folikulitis, hipertrihoza, steroidne akne, akneiformni kožni osip, </w:t>
            </w:r>
            <w:r w:rsidR="003A2B1F" w:rsidRPr="00E51EBA">
              <w:rPr>
                <w:spacing w:val="-3"/>
                <w:kern w:val="1"/>
                <w:sz w:val="22"/>
                <w:szCs w:val="22"/>
                <w:lang w:val="sr-Latn-ME"/>
              </w:rPr>
              <w:t>hipopigmentacija</w:t>
            </w:r>
            <w:r w:rsidRPr="00E51EBA">
              <w:rPr>
                <w:spacing w:val="-3"/>
                <w:kern w:val="1"/>
                <w:sz w:val="22"/>
                <w:szCs w:val="22"/>
                <w:lang w:val="sr-Latn-ME"/>
              </w:rPr>
              <w:t xml:space="preserve">, </w:t>
            </w:r>
            <w:r w:rsidR="003A2B1F" w:rsidRPr="00E51EBA">
              <w:rPr>
                <w:spacing w:val="-3"/>
                <w:kern w:val="1"/>
                <w:sz w:val="22"/>
                <w:szCs w:val="22"/>
                <w:lang w:val="sr-Latn-ME"/>
              </w:rPr>
              <w:t xml:space="preserve">teleangiektazije, </w:t>
            </w:r>
            <w:r w:rsidRPr="00E51EBA">
              <w:rPr>
                <w:spacing w:val="-3"/>
                <w:kern w:val="1"/>
                <w:sz w:val="22"/>
                <w:szCs w:val="22"/>
                <w:lang w:val="sr-Latn-ME"/>
              </w:rPr>
              <w:t>(perioralni) dermatitis sličan rozacei, alergijski kontaktni dermatitis, maceracija kože, atrofija kože, strije i miliarija</w:t>
            </w:r>
          </w:p>
        </w:tc>
      </w:tr>
      <w:tr w:rsidR="00E61C0F" w:rsidRPr="00E51EBA" w14:paraId="24932C39" w14:textId="77777777" w:rsidTr="00D05291">
        <w:tc>
          <w:tcPr>
            <w:tcW w:w="2405" w:type="dxa"/>
            <w:shd w:val="clear" w:color="auto" w:fill="auto"/>
            <w:vAlign w:val="center"/>
          </w:tcPr>
          <w:p w14:paraId="49267AAF" w14:textId="77777777" w:rsidR="00E61C0F"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Infekcije i infestacije</w:t>
            </w:r>
          </w:p>
        </w:tc>
        <w:tc>
          <w:tcPr>
            <w:tcW w:w="7552" w:type="dxa"/>
            <w:shd w:val="clear" w:color="auto" w:fill="auto"/>
            <w:vAlign w:val="center"/>
          </w:tcPr>
          <w:p w14:paraId="643D73DF" w14:textId="48C47A25" w:rsidR="00E61C0F" w:rsidRPr="00E51EBA" w:rsidRDefault="00E61C0F" w:rsidP="008B00F2">
            <w:pPr>
              <w:spacing w:before="120"/>
              <w:jc w:val="both"/>
              <w:rPr>
                <w:spacing w:val="-3"/>
                <w:kern w:val="1"/>
                <w:sz w:val="22"/>
                <w:szCs w:val="22"/>
                <w:lang w:val="sr-Latn-ME"/>
              </w:rPr>
            </w:pPr>
            <w:r w:rsidRPr="00E51EBA">
              <w:rPr>
                <w:spacing w:val="-3"/>
                <w:kern w:val="1"/>
                <w:sz w:val="22"/>
                <w:szCs w:val="22"/>
                <w:lang w:val="sr-Latn-ME"/>
              </w:rPr>
              <w:t>sekundarne infekcije</w:t>
            </w:r>
            <w:r w:rsidR="003A2B1F" w:rsidRPr="00E51EBA">
              <w:rPr>
                <w:spacing w:val="-3"/>
                <w:kern w:val="1"/>
                <w:sz w:val="22"/>
                <w:szCs w:val="22"/>
                <w:lang w:val="sr-Latn-ME"/>
              </w:rPr>
              <w:t xml:space="preserve"> kože</w:t>
            </w:r>
          </w:p>
        </w:tc>
      </w:tr>
      <w:tr w:rsidR="000F62BA" w:rsidRPr="00E51EBA" w14:paraId="7E25B16E" w14:textId="77777777" w:rsidTr="00D05291">
        <w:tc>
          <w:tcPr>
            <w:tcW w:w="2405" w:type="dxa"/>
            <w:shd w:val="clear" w:color="auto" w:fill="auto"/>
            <w:vAlign w:val="center"/>
          </w:tcPr>
          <w:p w14:paraId="34DB741A" w14:textId="48F1BE42" w:rsidR="000F62BA" w:rsidRPr="00E51EBA" w:rsidRDefault="000F62BA" w:rsidP="008B00F2">
            <w:pPr>
              <w:spacing w:before="120"/>
              <w:jc w:val="both"/>
              <w:rPr>
                <w:spacing w:val="-3"/>
                <w:kern w:val="1"/>
                <w:sz w:val="22"/>
                <w:szCs w:val="22"/>
                <w:lang w:val="sr-Latn-ME"/>
              </w:rPr>
            </w:pPr>
            <w:r w:rsidRPr="00E51EBA">
              <w:rPr>
                <w:spacing w:val="-3"/>
                <w:kern w:val="1"/>
                <w:sz w:val="22"/>
                <w:szCs w:val="22"/>
                <w:lang w:val="sr-Latn-ME"/>
              </w:rPr>
              <w:t>Poremećaji oka</w:t>
            </w:r>
          </w:p>
        </w:tc>
        <w:tc>
          <w:tcPr>
            <w:tcW w:w="7552" w:type="dxa"/>
            <w:shd w:val="clear" w:color="auto" w:fill="auto"/>
            <w:vAlign w:val="center"/>
          </w:tcPr>
          <w:p w14:paraId="6201E7C7" w14:textId="7506C0FF" w:rsidR="000F62BA" w:rsidRPr="00E51EBA" w:rsidRDefault="000F62BA" w:rsidP="008B00F2">
            <w:pPr>
              <w:spacing w:before="120"/>
              <w:jc w:val="both"/>
              <w:rPr>
                <w:spacing w:val="-3"/>
                <w:kern w:val="1"/>
                <w:sz w:val="22"/>
                <w:szCs w:val="22"/>
                <w:lang w:val="sr-Latn-ME"/>
              </w:rPr>
            </w:pPr>
            <w:r w:rsidRPr="00E51EBA">
              <w:rPr>
                <w:spacing w:val="-3"/>
                <w:kern w:val="1"/>
                <w:sz w:val="22"/>
                <w:szCs w:val="22"/>
                <w:lang w:val="sr-Latn-ME"/>
              </w:rPr>
              <w:t>zamućen vid (vidjeti takođe dio 4.4.)</w:t>
            </w:r>
          </w:p>
        </w:tc>
      </w:tr>
    </w:tbl>
    <w:p w14:paraId="4D817DCE" w14:textId="77777777" w:rsidR="00E61C0F" w:rsidRPr="00E51EBA" w:rsidRDefault="00E61C0F" w:rsidP="00A51629">
      <w:pPr>
        <w:tabs>
          <w:tab w:val="left" w:pos="284"/>
        </w:tabs>
        <w:spacing w:before="120"/>
        <w:jc w:val="both"/>
        <w:rPr>
          <w:spacing w:val="-3"/>
          <w:kern w:val="1"/>
          <w:sz w:val="22"/>
          <w:szCs w:val="22"/>
          <w:lang w:val="sr-Latn-ME"/>
        </w:rPr>
      </w:pPr>
      <w:r w:rsidRPr="00E51EBA">
        <w:rPr>
          <w:spacing w:val="-3"/>
          <w:kern w:val="1"/>
          <w:sz w:val="22"/>
          <w:szCs w:val="22"/>
          <w:lang w:val="sr-Latn-ME"/>
        </w:rPr>
        <w:t xml:space="preserve">Pri liječenju velikih površina kože, pod okluzivnim zavojem ili tokom dugotrajne terapije, mora se imati u vidu mogućnost povećane sistemske resorpcije. </w:t>
      </w:r>
    </w:p>
    <w:p w14:paraId="7911DD1A" w14:textId="77777777" w:rsidR="009E257C" w:rsidRPr="00E51EBA" w:rsidRDefault="009E257C" w:rsidP="00A51629">
      <w:pPr>
        <w:tabs>
          <w:tab w:val="center" w:pos="4536"/>
          <w:tab w:val="right" w:pos="9072"/>
        </w:tabs>
        <w:jc w:val="both"/>
        <w:rPr>
          <w:sz w:val="22"/>
          <w:szCs w:val="22"/>
          <w:lang w:val="sr-Latn-ME"/>
        </w:rPr>
      </w:pPr>
    </w:p>
    <w:p w14:paraId="554DD191" w14:textId="77777777" w:rsidR="009E257C" w:rsidRPr="00E51EBA" w:rsidRDefault="00E61C0F" w:rsidP="00A51629">
      <w:pPr>
        <w:tabs>
          <w:tab w:val="left" w:pos="284"/>
        </w:tabs>
        <w:jc w:val="both"/>
        <w:rPr>
          <w:spacing w:val="-3"/>
          <w:kern w:val="1"/>
          <w:sz w:val="22"/>
          <w:szCs w:val="22"/>
          <w:u w:val="single"/>
          <w:lang w:val="sr-Latn-ME"/>
        </w:rPr>
      </w:pPr>
      <w:r w:rsidRPr="00E51EBA">
        <w:rPr>
          <w:spacing w:val="-3"/>
          <w:kern w:val="1"/>
          <w:sz w:val="22"/>
          <w:szCs w:val="22"/>
          <w:u w:val="single"/>
          <w:lang w:val="sr-Latn-ME"/>
        </w:rPr>
        <w:t>Pedijatrijska populacija</w:t>
      </w:r>
    </w:p>
    <w:p w14:paraId="4B197321" w14:textId="5463DEE0" w:rsidR="00E61C0F" w:rsidRDefault="00E61C0F" w:rsidP="004B62EC">
      <w:pPr>
        <w:tabs>
          <w:tab w:val="left" w:pos="284"/>
        </w:tabs>
        <w:jc w:val="both"/>
        <w:rPr>
          <w:sz w:val="22"/>
          <w:szCs w:val="22"/>
          <w:lang w:val="sr-Latn-ME"/>
        </w:rPr>
      </w:pPr>
      <w:r w:rsidRPr="00E51EBA">
        <w:rPr>
          <w:spacing w:val="-3"/>
          <w:kern w:val="1"/>
          <w:sz w:val="22"/>
          <w:szCs w:val="22"/>
          <w:lang w:val="sr-Latn-ME"/>
        </w:rPr>
        <w:t>D</w:t>
      </w:r>
      <w:r w:rsidR="003811A0" w:rsidRPr="00E51EBA">
        <w:rPr>
          <w:spacing w:val="-3"/>
          <w:kern w:val="1"/>
          <w:sz w:val="22"/>
          <w:szCs w:val="22"/>
          <w:lang w:val="sr-Latn-ME"/>
        </w:rPr>
        <w:t>j</w:t>
      </w:r>
      <w:r w:rsidRPr="00E51EBA">
        <w:rPr>
          <w:spacing w:val="-3"/>
          <w:kern w:val="1"/>
          <w:sz w:val="22"/>
          <w:szCs w:val="22"/>
          <w:lang w:val="sr-Latn-ME"/>
        </w:rPr>
        <w:t xml:space="preserve">eca su, zbog veće površine kože u odnosu na tjelesnu masu, osjetljivija od odraslih pacijenata na supresiju </w:t>
      </w:r>
      <w:r w:rsidRPr="00E51EBA">
        <w:rPr>
          <w:sz w:val="22"/>
          <w:szCs w:val="22"/>
          <w:lang w:val="sr-Latn-ME"/>
        </w:rPr>
        <w:t>hipotalamus-hipofiza-nadbubrežna žlijezda osovine izazvanu lokalno primijenjenim glukokortikoidimai na dejstva egzogenih glukokortikoida.</w:t>
      </w:r>
    </w:p>
    <w:p w14:paraId="166A1D81" w14:textId="77777777" w:rsidR="004B62EC" w:rsidRPr="00E51EBA" w:rsidRDefault="004B62EC" w:rsidP="004B62EC">
      <w:pPr>
        <w:tabs>
          <w:tab w:val="left" w:pos="284"/>
        </w:tabs>
        <w:jc w:val="both"/>
        <w:rPr>
          <w:spacing w:val="-3"/>
          <w:kern w:val="1"/>
          <w:sz w:val="22"/>
          <w:szCs w:val="22"/>
          <w:u w:val="single"/>
          <w:lang w:val="sr-Latn-ME"/>
        </w:rPr>
      </w:pPr>
    </w:p>
    <w:p w14:paraId="6266C4EC" w14:textId="6CF43DCE" w:rsidR="003811A0" w:rsidRDefault="00E61C0F" w:rsidP="004B62EC">
      <w:pPr>
        <w:tabs>
          <w:tab w:val="left" w:pos="284"/>
        </w:tabs>
        <w:jc w:val="both"/>
        <w:rPr>
          <w:sz w:val="22"/>
          <w:szCs w:val="22"/>
          <w:lang w:val="sr-Latn-ME"/>
        </w:rPr>
      </w:pPr>
      <w:r w:rsidRPr="00E51EBA">
        <w:rPr>
          <w:sz w:val="22"/>
          <w:szCs w:val="22"/>
          <w:lang w:val="sr-Latn-ME"/>
        </w:rPr>
        <w:t xml:space="preserve">Kod djece liječene lokalnom primjenom glukokortikoida zabilježena je supresija hipotalamus-hipofiza-nadbubrežna žlijezda osovine, </w:t>
      </w:r>
      <w:r w:rsidRPr="00E51EBA">
        <w:rPr>
          <w:i/>
          <w:sz w:val="22"/>
          <w:szCs w:val="22"/>
          <w:lang w:val="sr-Latn-ME"/>
        </w:rPr>
        <w:t>Cushing</w:t>
      </w:r>
      <w:r w:rsidRPr="00E51EBA">
        <w:rPr>
          <w:sz w:val="22"/>
          <w:szCs w:val="22"/>
          <w:lang w:val="sr-Latn-ME"/>
        </w:rPr>
        <w:t>-ov sindrom, usporen rast, smanjen prirast tjelesne mase i povišen intrakranijalni pritisak (</w:t>
      </w:r>
      <w:r w:rsidR="003811A0" w:rsidRPr="00E51EBA">
        <w:rPr>
          <w:sz w:val="22"/>
          <w:szCs w:val="22"/>
          <w:lang w:val="sr-Latn-ME"/>
        </w:rPr>
        <w:t>hidrocefalus</w:t>
      </w:r>
      <w:r w:rsidRPr="00E51EBA">
        <w:rPr>
          <w:sz w:val="22"/>
          <w:szCs w:val="22"/>
          <w:lang w:val="sr-Latn-ME"/>
        </w:rPr>
        <w:t>).</w:t>
      </w:r>
    </w:p>
    <w:p w14:paraId="70F3FA66" w14:textId="77777777" w:rsidR="004B62EC" w:rsidRPr="00E51EBA" w:rsidRDefault="004B62EC" w:rsidP="004B62EC">
      <w:pPr>
        <w:tabs>
          <w:tab w:val="left" w:pos="284"/>
        </w:tabs>
        <w:jc w:val="both"/>
        <w:rPr>
          <w:sz w:val="22"/>
          <w:szCs w:val="22"/>
          <w:lang w:val="sr-Latn-ME"/>
        </w:rPr>
      </w:pPr>
    </w:p>
    <w:p w14:paraId="06A3F97C" w14:textId="6F3A997C" w:rsidR="003811A0" w:rsidRDefault="00E61C0F" w:rsidP="004B62EC">
      <w:pPr>
        <w:tabs>
          <w:tab w:val="left" w:pos="284"/>
        </w:tabs>
        <w:jc w:val="both"/>
        <w:rPr>
          <w:sz w:val="22"/>
          <w:szCs w:val="22"/>
          <w:lang w:val="sr-Latn-ME"/>
        </w:rPr>
      </w:pPr>
      <w:r w:rsidRPr="00E51EBA">
        <w:rPr>
          <w:sz w:val="22"/>
          <w:szCs w:val="22"/>
          <w:lang w:val="sr-Latn-ME"/>
        </w:rPr>
        <w:t>Znaci supresije hipotalamus-hipofiza-nadbubrežna žlijezda osovine kod djece uključuju nisku vrijednost kortizola u plazmi i izostanak odgovora na ACTH stimulaciju.</w:t>
      </w:r>
    </w:p>
    <w:p w14:paraId="361F1DBD" w14:textId="77777777" w:rsidR="004B62EC" w:rsidRPr="00E51EBA" w:rsidRDefault="004B62EC" w:rsidP="004B62EC">
      <w:pPr>
        <w:tabs>
          <w:tab w:val="left" w:pos="284"/>
        </w:tabs>
        <w:jc w:val="both"/>
        <w:rPr>
          <w:sz w:val="22"/>
          <w:szCs w:val="22"/>
          <w:lang w:val="sr-Latn-ME"/>
        </w:rPr>
      </w:pPr>
    </w:p>
    <w:p w14:paraId="2A62A4F6" w14:textId="716EB9BA" w:rsidR="00E61C0F" w:rsidRPr="00E51EBA" w:rsidRDefault="00E61C0F" w:rsidP="004B62EC">
      <w:pPr>
        <w:tabs>
          <w:tab w:val="left" w:pos="284"/>
        </w:tabs>
        <w:jc w:val="both"/>
        <w:rPr>
          <w:sz w:val="22"/>
          <w:szCs w:val="22"/>
          <w:lang w:val="sr-Latn-ME"/>
        </w:rPr>
      </w:pPr>
      <w:r w:rsidRPr="00E51EBA">
        <w:rPr>
          <w:sz w:val="22"/>
          <w:szCs w:val="22"/>
          <w:lang w:val="sr-Latn-ME"/>
        </w:rPr>
        <w:t xml:space="preserve">Znaci intrakranijalne hipertenzije uključuju </w:t>
      </w:r>
      <w:r w:rsidR="00C02827" w:rsidRPr="00E51EBA">
        <w:rPr>
          <w:sz w:val="22"/>
          <w:szCs w:val="22"/>
          <w:lang w:val="sr-Latn-ME"/>
        </w:rPr>
        <w:t xml:space="preserve">izbočenje </w:t>
      </w:r>
      <w:r w:rsidRPr="00E51EBA">
        <w:rPr>
          <w:sz w:val="22"/>
          <w:szCs w:val="22"/>
          <w:lang w:val="sr-Latn-ME"/>
        </w:rPr>
        <w:t>fontanele, glavobolju i obostrani edem papile.</w:t>
      </w:r>
    </w:p>
    <w:p w14:paraId="255F4164" w14:textId="77777777" w:rsidR="00E61C0F" w:rsidRPr="00E51EBA" w:rsidRDefault="00E61C0F" w:rsidP="004B62EC">
      <w:pPr>
        <w:autoSpaceDE w:val="0"/>
        <w:autoSpaceDN w:val="0"/>
        <w:adjustRightInd w:val="0"/>
        <w:spacing w:before="120"/>
        <w:jc w:val="both"/>
        <w:rPr>
          <w:color w:val="000000"/>
          <w:sz w:val="22"/>
          <w:szCs w:val="22"/>
          <w:lang w:val="sr-Latn-ME"/>
        </w:rPr>
      </w:pPr>
      <w:r w:rsidRPr="00E51EBA">
        <w:rPr>
          <w:color w:val="000000"/>
          <w:sz w:val="22"/>
          <w:szCs w:val="22"/>
          <w:lang w:val="sr-Latn-ME"/>
        </w:rPr>
        <w:t xml:space="preserve">Lokalno primijenjen gentamicin može dovesti do poremećaja granulacije rane. </w:t>
      </w:r>
    </w:p>
    <w:p w14:paraId="0D95CB08" w14:textId="77777777" w:rsidR="004B62EC" w:rsidRDefault="00E61C0F" w:rsidP="004B62EC">
      <w:pPr>
        <w:spacing w:after="200"/>
        <w:jc w:val="both"/>
        <w:rPr>
          <w:color w:val="000000"/>
          <w:sz w:val="22"/>
          <w:szCs w:val="22"/>
          <w:lang w:val="sr-Latn-ME"/>
        </w:rPr>
      </w:pPr>
      <w:r w:rsidRPr="00E51EBA">
        <w:rPr>
          <w:color w:val="000000"/>
          <w:sz w:val="22"/>
          <w:szCs w:val="22"/>
          <w:lang w:val="sr-Latn-ME"/>
        </w:rPr>
        <w:lastRenderedPageBreak/>
        <w:t>Takođe, gentamicin, čak i pri spoljašnjoj primjeni, može ponekad prouzrokovati ototoksičnost, vestibularnu toksičnost i nefrotoksičnost, naročito kod ponavljanog nanošenja gentamicina na rane velikih površina. Liječenje gentamicinom izazvalo je prolaznu iritaciju kože (eritem i pruritus).</w:t>
      </w:r>
    </w:p>
    <w:p w14:paraId="404D6502" w14:textId="6BC2070F" w:rsidR="005A23D2" w:rsidRPr="00E51EBA" w:rsidRDefault="005A23D2" w:rsidP="004B62EC">
      <w:pPr>
        <w:spacing w:after="200"/>
        <w:jc w:val="both"/>
        <w:rPr>
          <w:rFonts w:eastAsia="Calibri"/>
          <w:sz w:val="22"/>
          <w:szCs w:val="22"/>
          <w:u w:val="single"/>
          <w:lang w:val="sr-Latn-ME"/>
        </w:rPr>
      </w:pPr>
      <w:r w:rsidRPr="00E51EBA">
        <w:rPr>
          <w:rFonts w:eastAsia="Calibri"/>
          <w:sz w:val="22"/>
          <w:szCs w:val="22"/>
          <w:u w:val="single"/>
          <w:lang w:val="sr-Latn-ME"/>
        </w:rPr>
        <w:t>Prijavljivanje sumnji na neželjena dejstva</w:t>
      </w:r>
    </w:p>
    <w:p w14:paraId="7428CAC0" w14:textId="77777777" w:rsidR="005A23D2" w:rsidRPr="00E51EBA" w:rsidRDefault="005A23D2" w:rsidP="00A51629">
      <w:pPr>
        <w:spacing w:after="200"/>
        <w:jc w:val="both"/>
        <w:rPr>
          <w:rFonts w:eastAsia="Calibri"/>
          <w:sz w:val="22"/>
          <w:szCs w:val="22"/>
          <w:lang w:val="sr-Latn-ME"/>
        </w:rPr>
      </w:pPr>
      <w:r w:rsidRPr="00E51EBA">
        <w:rPr>
          <w:rFonts w:eastAsia="Calibri"/>
          <w:sz w:val="22"/>
          <w:szCs w:val="22"/>
          <w:lang w:val="sr-Latn-ME"/>
        </w:rPr>
        <w:t>Prijavljivanje neželjenih dejstava nakon dobijanja dozvole je od velikog značaja jer obezbjeđuje kont</w:t>
      </w:r>
      <w:r w:rsidR="00EA5765" w:rsidRPr="00E51EBA">
        <w:rPr>
          <w:rFonts w:eastAsia="Calibri"/>
          <w:sz w:val="22"/>
          <w:szCs w:val="22"/>
          <w:lang w:val="sr-Latn-ME"/>
        </w:rPr>
        <w:t>inuirano praćenje odnosa korist</w:t>
      </w:r>
      <w:r w:rsidRPr="00E51EBA">
        <w:rPr>
          <w:rFonts w:eastAsia="Calibri"/>
          <w:sz w:val="22"/>
          <w:szCs w:val="22"/>
          <w:lang w:val="sr-Latn-ME"/>
        </w:rPr>
        <w:t>/rizik primjene lijeka. Zdravstveni radnici treba da prijave svaku sumnju na neželjeno</w:t>
      </w:r>
      <w:r w:rsidR="009B062A" w:rsidRPr="00E51EBA">
        <w:rPr>
          <w:rFonts w:eastAsia="Calibri"/>
          <w:sz w:val="22"/>
          <w:szCs w:val="22"/>
          <w:lang w:val="sr-Latn-ME"/>
        </w:rPr>
        <w:t xml:space="preserve"> </w:t>
      </w:r>
      <w:r w:rsidRPr="00E51EBA">
        <w:rPr>
          <w:rFonts w:eastAsia="Calibri"/>
          <w:sz w:val="22"/>
          <w:szCs w:val="22"/>
          <w:lang w:val="sr-Latn-ME"/>
        </w:rPr>
        <w:t xml:space="preserve">dejstvo ovog lijeka </w:t>
      </w:r>
      <w:r w:rsidR="004E70AD" w:rsidRPr="00E51EBA">
        <w:rPr>
          <w:rFonts w:eastAsia="Calibri"/>
          <w:sz w:val="22"/>
          <w:szCs w:val="22"/>
          <w:lang w:val="sr-Latn-ME"/>
        </w:rPr>
        <w:t>Institutu</w:t>
      </w:r>
      <w:r w:rsidRPr="00E51EBA">
        <w:rPr>
          <w:rFonts w:eastAsia="Calibri"/>
          <w:sz w:val="22"/>
          <w:szCs w:val="22"/>
          <w:lang w:val="sr-Latn-ME"/>
        </w:rPr>
        <w:t xml:space="preserve"> za ljekove i medicinska sredstva</w:t>
      </w:r>
      <w:r w:rsidR="004E70AD" w:rsidRPr="00E51EBA">
        <w:rPr>
          <w:rFonts w:eastAsia="Calibri"/>
          <w:sz w:val="22"/>
          <w:szCs w:val="22"/>
          <w:lang w:val="sr-Latn-ME"/>
        </w:rPr>
        <w:t xml:space="preserve"> </w:t>
      </w:r>
      <w:r w:rsidRPr="00E51EBA">
        <w:rPr>
          <w:rFonts w:eastAsia="Calibri"/>
          <w:sz w:val="22"/>
          <w:szCs w:val="22"/>
          <w:lang w:val="sr-Latn-ME"/>
        </w:rPr>
        <w:t>(</w:t>
      </w:r>
      <w:r w:rsidR="004E70AD" w:rsidRPr="00E51EBA">
        <w:rPr>
          <w:rFonts w:eastAsia="Calibri"/>
          <w:sz w:val="22"/>
          <w:szCs w:val="22"/>
          <w:lang w:val="sr-Latn-ME"/>
        </w:rPr>
        <w:t>CInMED</w:t>
      </w:r>
      <w:r w:rsidRPr="00E51EBA">
        <w:rPr>
          <w:rFonts w:eastAsia="Calibri"/>
          <w:sz w:val="22"/>
          <w:szCs w:val="22"/>
          <w:lang w:val="sr-Latn-ME"/>
        </w:rPr>
        <w:t>):</w:t>
      </w:r>
    </w:p>
    <w:p w14:paraId="5BF71D76" w14:textId="77777777" w:rsidR="005A23D2" w:rsidRPr="00E51EBA" w:rsidRDefault="004E70AD" w:rsidP="00A51629">
      <w:pPr>
        <w:pStyle w:val="NoSpacing"/>
        <w:jc w:val="both"/>
        <w:rPr>
          <w:rFonts w:eastAsia="Calibri"/>
          <w:sz w:val="22"/>
          <w:szCs w:val="22"/>
          <w:lang w:val="sr-Latn-ME"/>
        </w:rPr>
      </w:pPr>
      <w:r w:rsidRPr="00E51EBA">
        <w:rPr>
          <w:rFonts w:eastAsia="Calibri"/>
          <w:sz w:val="22"/>
          <w:szCs w:val="22"/>
          <w:lang w:val="sr-Latn-ME"/>
        </w:rPr>
        <w:t xml:space="preserve">Institut </w:t>
      </w:r>
      <w:r w:rsidR="005A23D2" w:rsidRPr="00E51EBA">
        <w:rPr>
          <w:rFonts w:eastAsia="Calibri"/>
          <w:sz w:val="22"/>
          <w:szCs w:val="22"/>
          <w:lang w:val="sr-Latn-ME"/>
        </w:rPr>
        <w:t xml:space="preserve">za ljekove i medicinska sredstva </w:t>
      </w:r>
    </w:p>
    <w:p w14:paraId="32321F7F" w14:textId="77777777" w:rsidR="005A23D2" w:rsidRPr="00E51EBA" w:rsidRDefault="005A23D2" w:rsidP="00A51629">
      <w:pPr>
        <w:pStyle w:val="NoSpacing"/>
        <w:jc w:val="both"/>
        <w:rPr>
          <w:rFonts w:eastAsia="Calibri"/>
          <w:sz w:val="22"/>
          <w:szCs w:val="22"/>
          <w:lang w:val="sr-Latn-ME"/>
        </w:rPr>
      </w:pPr>
      <w:r w:rsidRPr="00E51EBA">
        <w:rPr>
          <w:rFonts w:eastAsia="Calibri"/>
          <w:sz w:val="22"/>
          <w:szCs w:val="22"/>
          <w:lang w:val="sr-Latn-ME"/>
        </w:rPr>
        <w:t>Odjeljenje za farmakovigilancu</w:t>
      </w:r>
    </w:p>
    <w:p w14:paraId="47EF06A1" w14:textId="77777777" w:rsidR="00EA5765" w:rsidRPr="00E51EBA" w:rsidRDefault="005A23D2">
      <w:pPr>
        <w:pStyle w:val="NoSpacing"/>
        <w:jc w:val="both"/>
        <w:rPr>
          <w:rFonts w:eastAsia="Calibri"/>
          <w:sz w:val="22"/>
          <w:szCs w:val="22"/>
          <w:lang w:val="sr-Latn-ME"/>
        </w:rPr>
      </w:pPr>
      <w:r w:rsidRPr="00E51EBA">
        <w:rPr>
          <w:rFonts w:eastAsia="Calibri"/>
          <w:sz w:val="22"/>
          <w:szCs w:val="22"/>
          <w:lang w:val="sr-Latn-ME"/>
        </w:rPr>
        <w:t>Bulevar Ivana Crnojevića 64a, 81000 Podgorica</w:t>
      </w:r>
    </w:p>
    <w:p w14:paraId="37DE30DF" w14:textId="77777777" w:rsidR="00EA5765" w:rsidRPr="00E51EBA" w:rsidRDefault="00EA5765" w:rsidP="008B00F2">
      <w:pPr>
        <w:pStyle w:val="NoSpacing"/>
        <w:jc w:val="both"/>
        <w:rPr>
          <w:rFonts w:eastAsia="Calibri"/>
          <w:sz w:val="22"/>
          <w:szCs w:val="22"/>
          <w:lang w:val="sr-Latn-ME"/>
        </w:rPr>
      </w:pPr>
    </w:p>
    <w:p w14:paraId="6205A171" w14:textId="77777777" w:rsidR="005A23D2" w:rsidRPr="00E51EBA" w:rsidRDefault="005A23D2" w:rsidP="00A51629">
      <w:pPr>
        <w:pStyle w:val="NoSpacing"/>
        <w:jc w:val="both"/>
        <w:rPr>
          <w:rFonts w:eastAsia="Calibri"/>
          <w:sz w:val="22"/>
          <w:szCs w:val="22"/>
          <w:lang w:val="sr-Latn-ME"/>
        </w:rPr>
      </w:pPr>
      <w:r w:rsidRPr="00E51EBA">
        <w:rPr>
          <w:rFonts w:eastAsia="Calibri"/>
          <w:sz w:val="22"/>
          <w:szCs w:val="22"/>
          <w:lang w:val="sr-Latn-ME"/>
        </w:rPr>
        <w:t>tel: +382 (0) 20 310 280</w:t>
      </w:r>
    </w:p>
    <w:p w14:paraId="0D0F625E" w14:textId="77777777" w:rsidR="00EA5765" w:rsidRPr="00E51EBA" w:rsidRDefault="005A23D2" w:rsidP="00A51629">
      <w:pPr>
        <w:pStyle w:val="NoSpacing"/>
        <w:tabs>
          <w:tab w:val="left" w:pos="6720"/>
        </w:tabs>
        <w:jc w:val="both"/>
        <w:rPr>
          <w:rFonts w:eastAsia="Calibri"/>
          <w:sz w:val="22"/>
          <w:szCs w:val="22"/>
          <w:lang w:val="sr-Latn-ME"/>
        </w:rPr>
      </w:pPr>
      <w:r w:rsidRPr="00E51EBA">
        <w:rPr>
          <w:rFonts w:eastAsia="Calibri"/>
          <w:sz w:val="22"/>
          <w:szCs w:val="22"/>
          <w:lang w:val="sr-Latn-ME"/>
        </w:rPr>
        <w:t>fax:</w:t>
      </w:r>
      <w:r w:rsidR="00EA5765" w:rsidRPr="00E51EBA">
        <w:rPr>
          <w:rFonts w:eastAsia="Calibri"/>
          <w:sz w:val="22"/>
          <w:szCs w:val="22"/>
          <w:lang w:val="sr-Latn-ME"/>
        </w:rPr>
        <w:t xml:space="preserve"> </w:t>
      </w:r>
      <w:r w:rsidRPr="00E51EBA">
        <w:rPr>
          <w:rFonts w:eastAsia="Calibri"/>
          <w:sz w:val="22"/>
          <w:szCs w:val="22"/>
          <w:lang w:val="sr-Latn-ME"/>
        </w:rPr>
        <w:t>+382 (0) 20 310 581</w:t>
      </w:r>
      <w:r w:rsidR="00FF3EDF" w:rsidRPr="00E51EBA">
        <w:rPr>
          <w:rFonts w:eastAsia="Calibri"/>
          <w:sz w:val="22"/>
          <w:szCs w:val="22"/>
          <w:lang w:val="sr-Latn-ME"/>
        </w:rPr>
        <w:tab/>
      </w:r>
    </w:p>
    <w:p w14:paraId="223D5C5C" w14:textId="77777777" w:rsidR="005A23D2" w:rsidRPr="00E51EBA" w:rsidRDefault="00AB2D9A" w:rsidP="00A51629">
      <w:pPr>
        <w:pStyle w:val="NoSpacing"/>
        <w:jc w:val="both"/>
        <w:rPr>
          <w:rFonts w:eastAsia="Calibri"/>
          <w:sz w:val="22"/>
          <w:szCs w:val="22"/>
          <w:lang w:val="sr-Latn-ME"/>
        </w:rPr>
      </w:pPr>
      <w:hyperlink r:id="rId8" w:history="1">
        <w:r w:rsidR="004E70AD" w:rsidRPr="00E51EBA">
          <w:rPr>
            <w:rStyle w:val="Hyperlink"/>
            <w:rFonts w:eastAsia="Calibri"/>
            <w:sz w:val="22"/>
            <w:szCs w:val="22"/>
            <w:lang w:val="sr-Latn-ME"/>
          </w:rPr>
          <w:t>www.cinmed.me</w:t>
        </w:r>
      </w:hyperlink>
    </w:p>
    <w:p w14:paraId="270CEF58" w14:textId="77777777" w:rsidR="00EA5765" w:rsidRPr="00E51EBA" w:rsidRDefault="00AB2D9A" w:rsidP="00A51629">
      <w:pPr>
        <w:pStyle w:val="NoSpacing"/>
        <w:jc w:val="both"/>
        <w:rPr>
          <w:rFonts w:eastAsia="Calibri"/>
          <w:color w:val="0000FF"/>
          <w:sz w:val="22"/>
          <w:szCs w:val="22"/>
          <w:u w:val="single"/>
          <w:lang w:val="sr-Latn-ME"/>
        </w:rPr>
      </w:pPr>
      <w:hyperlink r:id="rId9" w:history="1">
        <w:r w:rsidR="004E70AD" w:rsidRPr="00E51EBA">
          <w:rPr>
            <w:rStyle w:val="Hyperlink"/>
            <w:rFonts w:eastAsia="Calibri"/>
            <w:sz w:val="22"/>
            <w:szCs w:val="22"/>
            <w:lang w:val="sr-Latn-ME"/>
          </w:rPr>
          <w:t>nezeljenadejstva@cinmed.me</w:t>
        </w:r>
      </w:hyperlink>
    </w:p>
    <w:p w14:paraId="3646C61B" w14:textId="77777777" w:rsidR="005A23D2" w:rsidRPr="00E51EBA" w:rsidRDefault="005A23D2">
      <w:pPr>
        <w:pStyle w:val="NoSpacing"/>
        <w:jc w:val="both"/>
        <w:rPr>
          <w:rFonts w:eastAsia="Calibri"/>
          <w:sz w:val="22"/>
          <w:szCs w:val="22"/>
          <w:lang w:val="sr-Latn-ME"/>
        </w:rPr>
      </w:pPr>
      <w:r w:rsidRPr="00E51EBA">
        <w:rPr>
          <w:rFonts w:eastAsia="Calibri"/>
          <w:sz w:val="22"/>
          <w:szCs w:val="22"/>
          <w:lang w:val="sr-Latn-ME"/>
        </w:rPr>
        <w:t>putem IS zdravstvene zaštite</w:t>
      </w:r>
    </w:p>
    <w:p w14:paraId="542ACA0E" w14:textId="77777777" w:rsidR="007E31E9" w:rsidRPr="00E51EBA" w:rsidRDefault="007E31E9">
      <w:pPr>
        <w:pStyle w:val="NoSpacing"/>
        <w:jc w:val="both"/>
        <w:rPr>
          <w:rFonts w:eastAsia="Calibri"/>
          <w:sz w:val="22"/>
          <w:szCs w:val="22"/>
          <w:lang w:val="sr-Latn-ME"/>
        </w:rPr>
      </w:pPr>
      <w:r w:rsidRPr="00E51EBA">
        <w:rPr>
          <w:rFonts w:eastAsia="Calibri"/>
          <w:sz w:val="22"/>
          <w:szCs w:val="22"/>
          <w:lang w:val="sr-Latn-ME"/>
        </w:rPr>
        <w:t>QR kod za online prijavu</w:t>
      </w:r>
      <w:r w:rsidR="00D74CD2" w:rsidRPr="00E51EBA">
        <w:rPr>
          <w:rFonts w:eastAsia="Calibri"/>
          <w:sz w:val="22"/>
          <w:szCs w:val="22"/>
          <w:lang w:val="sr-Latn-ME"/>
        </w:rPr>
        <w:t xml:space="preserve"> sumnje na neželjeno dejstvo lijeka</w:t>
      </w:r>
      <w:r w:rsidRPr="00E51EBA">
        <w:rPr>
          <w:rFonts w:eastAsia="Calibri"/>
          <w:sz w:val="22"/>
          <w:szCs w:val="22"/>
          <w:lang w:val="sr-Latn-ME"/>
        </w:rPr>
        <w:t>:</w:t>
      </w:r>
    </w:p>
    <w:p w14:paraId="08966989" w14:textId="77777777" w:rsidR="007E31E9" w:rsidRPr="00E51EBA" w:rsidRDefault="007E31E9">
      <w:pPr>
        <w:pStyle w:val="NoSpacing"/>
        <w:jc w:val="both"/>
        <w:rPr>
          <w:rFonts w:eastAsia="Calibri"/>
          <w:sz w:val="22"/>
          <w:szCs w:val="22"/>
          <w:lang w:val="sr-Latn-ME"/>
        </w:rPr>
      </w:pPr>
    </w:p>
    <w:p w14:paraId="0D5B5635" w14:textId="77777777" w:rsidR="004F17E2" w:rsidRPr="00E51EBA" w:rsidRDefault="007E31E9" w:rsidP="008B00F2">
      <w:pPr>
        <w:pStyle w:val="NoSpacing"/>
        <w:jc w:val="both"/>
        <w:rPr>
          <w:rFonts w:eastAsia="Calibri"/>
          <w:sz w:val="22"/>
          <w:szCs w:val="22"/>
          <w:lang w:val="sr-Latn-ME"/>
        </w:rPr>
      </w:pPr>
      <w:r w:rsidRPr="00E51EBA">
        <w:rPr>
          <w:noProof/>
          <w:sz w:val="22"/>
          <w:szCs w:val="22"/>
        </w:rPr>
        <w:drawing>
          <wp:inline distT="0" distB="0" distL="0" distR="0" wp14:anchorId="052E793E" wp14:editId="62EDFB77">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406F3E4" w14:textId="77777777" w:rsidR="00836B35" w:rsidRPr="00E51EBA" w:rsidRDefault="00836B35" w:rsidP="008B00F2">
      <w:pPr>
        <w:tabs>
          <w:tab w:val="left" w:pos="540"/>
          <w:tab w:val="left" w:pos="569"/>
        </w:tabs>
        <w:jc w:val="both"/>
        <w:rPr>
          <w:b/>
          <w:bCs/>
          <w:sz w:val="22"/>
          <w:szCs w:val="22"/>
          <w:lang w:val="sr-Latn-ME"/>
        </w:rPr>
      </w:pPr>
    </w:p>
    <w:p w14:paraId="19C733FE" w14:textId="77777777" w:rsidR="00CD6F02"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4.9. </w:t>
      </w:r>
      <w:r w:rsidR="00480FB1" w:rsidRPr="00E51EBA">
        <w:rPr>
          <w:b/>
          <w:bCs/>
          <w:sz w:val="22"/>
          <w:szCs w:val="22"/>
          <w:lang w:val="sr-Latn-ME"/>
        </w:rPr>
        <w:tab/>
      </w:r>
      <w:r w:rsidRPr="00E51EBA">
        <w:rPr>
          <w:b/>
          <w:bCs/>
          <w:sz w:val="22"/>
          <w:szCs w:val="22"/>
          <w:lang w:val="sr-Latn-ME"/>
        </w:rPr>
        <w:t>Predoziranje</w:t>
      </w:r>
      <w:r w:rsidR="002846DB" w:rsidRPr="00E51EBA">
        <w:rPr>
          <w:b/>
          <w:bCs/>
          <w:sz w:val="22"/>
          <w:szCs w:val="22"/>
          <w:lang w:val="sr-Latn-ME"/>
        </w:rPr>
        <w:t xml:space="preserve"> </w:t>
      </w:r>
    </w:p>
    <w:p w14:paraId="0A2259AA" w14:textId="636AD231" w:rsidR="00CD6F02" w:rsidRPr="00E51EBA" w:rsidRDefault="00CD6F02" w:rsidP="008B00F2">
      <w:pPr>
        <w:tabs>
          <w:tab w:val="left" w:pos="540"/>
          <w:tab w:val="left" w:pos="569"/>
        </w:tabs>
        <w:jc w:val="both"/>
        <w:rPr>
          <w:b/>
          <w:bCs/>
          <w:sz w:val="22"/>
          <w:szCs w:val="22"/>
          <w:lang w:val="sr-Latn-ME"/>
        </w:rPr>
      </w:pPr>
    </w:p>
    <w:p w14:paraId="459E6458" w14:textId="77777777" w:rsidR="00E61C0F" w:rsidRPr="00E51EBA" w:rsidRDefault="00E61C0F" w:rsidP="004B62EC">
      <w:pPr>
        <w:tabs>
          <w:tab w:val="left" w:pos="284"/>
        </w:tabs>
        <w:jc w:val="both"/>
        <w:rPr>
          <w:sz w:val="22"/>
          <w:szCs w:val="22"/>
          <w:lang w:val="sr-Latn-ME"/>
        </w:rPr>
      </w:pPr>
      <w:r w:rsidRPr="00E51EBA">
        <w:rPr>
          <w:sz w:val="22"/>
          <w:szCs w:val="22"/>
          <w:u w:val="single"/>
          <w:lang w:val="sr-Latn-ME"/>
        </w:rPr>
        <w:t>Simptomi predoziranja</w:t>
      </w:r>
    </w:p>
    <w:p w14:paraId="42F805F2" w14:textId="26365921" w:rsidR="00E045CC" w:rsidRPr="00E51EBA" w:rsidRDefault="00E61C0F" w:rsidP="00A51629">
      <w:pPr>
        <w:tabs>
          <w:tab w:val="left" w:pos="284"/>
        </w:tabs>
        <w:spacing w:before="120"/>
        <w:jc w:val="both"/>
        <w:rPr>
          <w:sz w:val="22"/>
          <w:szCs w:val="22"/>
          <w:lang w:val="sr-Latn-ME"/>
        </w:rPr>
      </w:pPr>
      <w:r w:rsidRPr="00E51EBA">
        <w:rPr>
          <w:sz w:val="22"/>
          <w:szCs w:val="22"/>
          <w:lang w:val="sr-Latn-ME"/>
        </w:rPr>
        <w:t>Prekomjern</w:t>
      </w:r>
      <w:r w:rsidR="003811A0" w:rsidRPr="00E51EBA">
        <w:rPr>
          <w:sz w:val="22"/>
          <w:szCs w:val="22"/>
          <w:lang w:val="sr-Latn-ME"/>
        </w:rPr>
        <w:t>a</w:t>
      </w:r>
      <w:r w:rsidRPr="00E51EBA">
        <w:rPr>
          <w:sz w:val="22"/>
          <w:szCs w:val="22"/>
          <w:lang w:val="sr-Latn-ME"/>
        </w:rPr>
        <w:t xml:space="preserve"> ili </w:t>
      </w:r>
      <w:r w:rsidR="00C02827" w:rsidRPr="00E51EBA">
        <w:rPr>
          <w:sz w:val="22"/>
          <w:szCs w:val="22"/>
          <w:lang w:val="sr-Latn-ME"/>
        </w:rPr>
        <w:t>dugotrajno korišćenje</w:t>
      </w:r>
      <w:r w:rsidR="003811A0" w:rsidRPr="00E51EBA">
        <w:rPr>
          <w:sz w:val="22"/>
          <w:szCs w:val="22"/>
          <w:lang w:val="sr-Latn-ME"/>
        </w:rPr>
        <w:t xml:space="preserve"> </w:t>
      </w:r>
      <w:r w:rsidRPr="00E51EBA">
        <w:rPr>
          <w:sz w:val="22"/>
          <w:szCs w:val="22"/>
          <w:lang w:val="sr-Latn-ME"/>
        </w:rPr>
        <w:t xml:space="preserve">glukokortikoida za lokalnu primjenu (hronično predoziranje ili zloupotreba), može da dovede do supresije funkcije hipotalamus-hipofiza-nadbubrežna žlijezda osovine i posljedično do sekundarne adrenalne insuficijencije. Nadalje, javljaju se simptomi prekomjerne primjene glukokortikoida, uključujući </w:t>
      </w:r>
      <w:r w:rsidRPr="00E51EBA">
        <w:rPr>
          <w:i/>
          <w:sz w:val="22"/>
          <w:szCs w:val="22"/>
          <w:lang w:val="sr-Latn-ME"/>
        </w:rPr>
        <w:t>Cushing</w:t>
      </w:r>
      <w:r w:rsidRPr="00E51EBA">
        <w:rPr>
          <w:sz w:val="22"/>
          <w:szCs w:val="22"/>
          <w:lang w:val="sr-Latn-ME"/>
        </w:rPr>
        <w:t>-ov sindrom.</w:t>
      </w:r>
    </w:p>
    <w:p w14:paraId="2F6C58DF" w14:textId="0DDF1A13" w:rsidR="00E61C0F" w:rsidRPr="00E51EBA" w:rsidRDefault="00E61C0F" w:rsidP="00A51629">
      <w:pPr>
        <w:tabs>
          <w:tab w:val="left" w:pos="284"/>
        </w:tabs>
        <w:spacing w:before="120"/>
        <w:jc w:val="both"/>
        <w:rPr>
          <w:sz w:val="22"/>
          <w:szCs w:val="22"/>
          <w:lang w:val="sr-Latn-ME"/>
        </w:rPr>
      </w:pPr>
      <w:r w:rsidRPr="00E51EBA">
        <w:rPr>
          <w:sz w:val="22"/>
          <w:szCs w:val="22"/>
          <w:lang w:val="sr-Latn-ME"/>
        </w:rPr>
        <w:t xml:space="preserve">Prekomjerna ili dugotrajna lokalna primjena antibiotika može dovesti do kolonizacije rane gljivicama ili rezistentnim mikroorganizmima. </w:t>
      </w:r>
    </w:p>
    <w:p w14:paraId="6A9A1E81" w14:textId="77777777" w:rsidR="00E61C0F" w:rsidRPr="00E51EBA" w:rsidRDefault="00E61C0F">
      <w:pPr>
        <w:tabs>
          <w:tab w:val="left" w:pos="284"/>
        </w:tabs>
        <w:spacing w:before="120"/>
        <w:jc w:val="both"/>
        <w:rPr>
          <w:sz w:val="22"/>
          <w:szCs w:val="22"/>
          <w:lang w:val="sr-Latn-ME"/>
        </w:rPr>
      </w:pPr>
      <w:r w:rsidRPr="00E51EBA">
        <w:rPr>
          <w:sz w:val="22"/>
          <w:szCs w:val="22"/>
          <w:u w:val="single"/>
          <w:lang w:val="sr-Latn-ME"/>
        </w:rPr>
        <w:t>Terapija</w:t>
      </w:r>
      <w:r w:rsidRPr="00E51EBA">
        <w:rPr>
          <w:sz w:val="22"/>
          <w:szCs w:val="22"/>
          <w:lang w:val="sr-Latn-ME"/>
        </w:rPr>
        <w:t xml:space="preserve"> </w:t>
      </w:r>
    </w:p>
    <w:p w14:paraId="66CF9FF9" w14:textId="77777777" w:rsidR="00E045CC" w:rsidRPr="00E51EBA" w:rsidRDefault="00E61C0F">
      <w:pPr>
        <w:tabs>
          <w:tab w:val="left" w:pos="284"/>
        </w:tabs>
        <w:spacing w:before="200" w:after="200"/>
        <w:jc w:val="both"/>
        <w:rPr>
          <w:sz w:val="22"/>
          <w:szCs w:val="22"/>
          <w:lang w:val="sr-Latn-ME"/>
        </w:rPr>
      </w:pPr>
      <w:r w:rsidRPr="00E51EBA">
        <w:rPr>
          <w:sz w:val="22"/>
          <w:szCs w:val="22"/>
          <w:lang w:val="sr-Latn-ME"/>
        </w:rPr>
        <w:t xml:space="preserve">Ako se lijek slučajno proguta ili se lokalno primjenjuje u prevelikim količinama ili tokom previše dugog perioda, potrebno je odmah obavijestiti ljekara. Treba započeti odgovarajuće simptomatsko liječenje. Akutni simptomi hiperkorticizma su obično reverzibilni. </w:t>
      </w:r>
    </w:p>
    <w:p w14:paraId="1B1BC052" w14:textId="327FAAFE" w:rsidR="00E61C0F" w:rsidRPr="00E51EBA" w:rsidRDefault="00E61C0F">
      <w:pPr>
        <w:tabs>
          <w:tab w:val="left" w:pos="284"/>
        </w:tabs>
        <w:spacing w:before="200" w:after="200"/>
        <w:jc w:val="both"/>
        <w:rPr>
          <w:sz w:val="22"/>
          <w:szCs w:val="22"/>
          <w:lang w:val="sr-Latn-ME"/>
        </w:rPr>
      </w:pPr>
      <w:r w:rsidRPr="00E51EBA">
        <w:rPr>
          <w:sz w:val="22"/>
          <w:szCs w:val="22"/>
          <w:lang w:val="sr-Latn-ME"/>
        </w:rPr>
        <w:t>Ukoliko je potrebno, treba liječiti premećaj ravnoteže elektrolita.</w:t>
      </w:r>
    </w:p>
    <w:p w14:paraId="12ADD9BE" w14:textId="77777777" w:rsidR="00E61C0F" w:rsidRPr="00E51EBA" w:rsidRDefault="00E61C0F">
      <w:pPr>
        <w:tabs>
          <w:tab w:val="left" w:pos="284"/>
        </w:tabs>
        <w:spacing w:before="200" w:after="200"/>
        <w:jc w:val="both"/>
        <w:rPr>
          <w:sz w:val="22"/>
          <w:szCs w:val="22"/>
          <w:lang w:val="sr-Latn-ME"/>
        </w:rPr>
      </w:pPr>
      <w:r w:rsidRPr="00E51EBA">
        <w:rPr>
          <w:sz w:val="22"/>
          <w:szCs w:val="22"/>
          <w:lang w:val="sr-Latn-ME"/>
        </w:rPr>
        <w:t>U slučaju hronične toksičnosti preporučuje se postepeno ukidanje glukokortikoida.</w:t>
      </w:r>
    </w:p>
    <w:p w14:paraId="3286FA3B" w14:textId="55469780" w:rsidR="00E61C0F" w:rsidRPr="00E51EBA" w:rsidRDefault="00E61C0F">
      <w:pPr>
        <w:tabs>
          <w:tab w:val="left" w:pos="284"/>
        </w:tabs>
        <w:spacing w:before="200" w:after="200"/>
        <w:jc w:val="both"/>
        <w:rPr>
          <w:sz w:val="22"/>
          <w:szCs w:val="22"/>
          <w:lang w:val="sr-Latn-ME"/>
        </w:rPr>
      </w:pPr>
      <w:r w:rsidRPr="00E51EBA">
        <w:rPr>
          <w:sz w:val="22"/>
          <w:szCs w:val="22"/>
          <w:lang w:val="sr-Latn-ME"/>
        </w:rPr>
        <w:t>U slučaju prekomjernog rasta rezistentnih mikroorganizama potrebno je prekinuti liječenje lijekom Belogent mast i uvesti odgovarajuću terapiju.</w:t>
      </w:r>
    </w:p>
    <w:p w14:paraId="62D67FAF" w14:textId="77777777" w:rsidR="00227BDB" w:rsidRPr="00E51EBA" w:rsidRDefault="00227BDB" w:rsidP="008B00F2">
      <w:pPr>
        <w:tabs>
          <w:tab w:val="left" w:pos="540"/>
          <w:tab w:val="left" w:pos="569"/>
        </w:tabs>
        <w:jc w:val="both"/>
        <w:rPr>
          <w:b/>
          <w:bCs/>
          <w:sz w:val="22"/>
          <w:szCs w:val="22"/>
          <w:lang w:val="sr-Latn-ME"/>
        </w:rPr>
      </w:pPr>
    </w:p>
    <w:p w14:paraId="59ED4DDD" w14:textId="77777777" w:rsidR="0072020E"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5. </w:t>
      </w:r>
      <w:r w:rsidR="00480FB1" w:rsidRPr="00E51EBA">
        <w:rPr>
          <w:b/>
          <w:bCs/>
          <w:sz w:val="22"/>
          <w:szCs w:val="22"/>
          <w:lang w:val="sr-Latn-ME"/>
        </w:rPr>
        <w:tab/>
      </w:r>
      <w:r w:rsidRPr="00E51EBA">
        <w:rPr>
          <w:b/>
          <w:bCs/>
          <w:sz w:val="22"/>
          <w:szCs w:val="22"/>
          <w:lang w:val="sr-Latn-ME"/>
        </w:rPr>
        <w:t>FARMAKOLOŠK</w:t>
      </w:r>
      <w:r w:rsidR="000D425A" w:rsidRPr="00E51EBA">
        <w:rPr>
          <w:b/>
          <w:bCs/>
          <w:sz w:val="22"/>
          <w:szCs w:val="22"/>
          <w:lang w:val="sr-Latn-ME"/>
        </w:rPr>
        <w:t>I</w:t>
      </w:r>
      <w:r w:rsidRPr="00E51EBA">
        <w:rPr>
          <w:b/>
          <w:bCs/>
          <w:sz w:val="22"/>
          <w:szCs w:val="22"/>
          <w:lang w:val="sr-Latn-ME"/>
        </w:rPr>
        <w:t xml:space="preserve"> PODACI</w:t>
      </w:r>
    </w:p>
    <w:p w14:paraId="7FD109B2" w14:textId="77777777" w:rsidR="0072020E" w:rsidRPr="00E51EBA" w:rsidRDefault="0072020E" w:rsidP="008B00F2">
      <w:pPr>
        <w:tabs>
          <w:tab w:val="left" w:pos="540"/>
          <w:tab w:val="left" w:pos="569"/>
        </w:tabs>
        <w:jc w:val="both"/>
        <w:rPr>
          <w:b/>
          <w:bCs/>
          <w:sz w:val="22"/>
          <w:szCs w:val="22"/>
          <w:lang w:val="sr-Latn-ME"/>
        </w:rPr>
      </w:pPr>
    </w:p>
    <w:p w14:paraId="116DFFE2" w14:textId="77777777" w:rsidR="0072020E"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5.1. </w:t>
      </w:r>
      <w:r w:rsidR="00480FB1" w:rsidRPr="00E51EBA">
        <w:rPr>
          <w:b/>
          <w:bCs/>
          <w:sz w:val="22"/>
          <w:szCs w:val="22"/>
          <w:lang w:val="sr-Latn-ME"/>
        </w:rPr>
        <w:tab/>
      </w:r>
      <w:r w:rsidRPr="00E51EBA">
        <w:rPr>
          <w:b/>
          <w:bCs/>
          <w:sz w:val="22"/>
          <w:szCs w:val="22"/>
          <w:lang w:val="sr-Latn-ME"/>
        </w:rPr>
        <w:t>Farmakodinamski podaci</w:t>
      </w:r>
      <w:r w:rsidR="003A7059" w:rsidRPr="00E51EBA">
        <w:rPr>
          <w:b/>
          <w:bCs/>
          <w:sz w:val="22"/>
          <w:szCs w:val="22"/>
          <w:lang w:val="sr-Latn-ME"/>
        </w:rPr>
        <w:t xml:space="preserve"> </w:t>
      </w:r>
    </w:p>
    <w:p w14:paraId="08CF737A" w14:textId="01A868DE" w:rsidR="0072020E" w:rsidRPr="00E51EBA" w:rsidRDefault="0072020E" w:rsidP="008B00F2">
      <w:pPr>
        <w:tabs>
          <w:tab w:val="left" w:pos="540"/>
          <w:tab w:val="left" w:pos="569"/>
        </w:tabs>
        <w:jc w:val="both"/>
        <w:rPr>
          <w:bCs/>
          <w:sz w:val="22"/>
          <w:szCs w:val="22"/>
          <w:lang w:val="sr-Latn-ME"/>
        </w:rPr>
      </w:pPr>
      <w:r w:rsidRPr="00E51EBA">
        <w:rPr>
          <w:bCs/>
          <w:sz w:val="22"/>
          <w:szCs w:val="22"/>
          <w:lang w:val="sr-Latn-ME"/>
        </w:rPr>
        <w:t>Farmakoterapijska grupa:</w:t>
      </w:r>
      <w:r w:rsidR="004638E5" w:rsidRPr="00E51EBA">
        <w:rPr>
          <w:sz w:val="22"/>
          <w:szCs w:val="22"/>
          <w:lang w:val="sr-Latn-ME"/>
        </w:rPr>
        <w:t xml:space="preserve"> </w:t>
      </w:r>
      <w:r w:rsidR="007972EA" w:rsidRPr="00E51EBA">
        <w:rPr>
          <w:sz w:val="22"/>
          <w:szCs w:val="22"/>
          <w:lang w:val="sr-Latn-ME"/>
        </w:rPr>
        <w:t>Kortikosteroidi jakog djelovanja, kombinacije sa antibioticima</w:t>
      </w:r>
    </w:p>
    <w:p w14:paraId="198DCEA3" w14:textId="77777777" w:rsidR="0072020E" w:rsidRPr="00E51EBA" w:rsidRDefault="0072020E" w:rsidP="008B00F2">
      <w:pPr>
        <w:tabs>
          <w:tab w:val="left" w:pos="540"/>
          <w:tab w:val="left" w:pos="569"/>
        </w:tabs>
        <w:jc w:val="both"/>
        <w:rPr>
          <w:bCs/>
          <w:sz w:val="22"/>
          <w:szCs w:val="22"/>
          <w:lang w:val="sr-Latn-ME"/>
        </w:rPr>
      </w:pPr>
    </w:p>
    <w:p w14:paraId="703D0958" w14:textId="4EF3E8F2" w:rsidR="0072020E" w:rsidRPr="00E51EBA" w:rsidRDefault="0072020E" w:rsidP="008B00F2">
      <w:pPr>
        <w:tabs>
          <w:tab w:val="left" w:pos="540"/>
          <w:tab w:val="left" w:pos="569"/>
        </w:tabs>
        <w:jc w:val="both"/>
        <w:rPr>
          <w:sz w:val="22"/>
          <w:szCs w:val="22"/>
          <w:lang w:val="sr-Latn-ME"/>
        </w:rPr>
      </w:pPr>
      <w:r w:rsidRPr="00E51EBA">
        <w:rPr>
          <w:bCs/>
          <w:sz w:val="22"/>
          <w:szCs w:val="22"/>
          <w:lang w:val="sr-Latn-ME"/>
        </w:rPr>
        <w:t>ATC kod:</w:t>
      </w:r>
      <w:r w:rsidR="004638E5" w:rsidRPr="00E51EBA">
        <w:rPr>
          <w:sz w:val="22"/>
          <w:szCs w:val="22"/>
          <w:lang w:val="sr-Latn-ME"/>
        </w:rPr>
        <w:t xml:space="preserve"> D07CC01</w:t>
      </w:r>
    </w:p>
    <w:p w14:paraId="20B982B2" w14:textId="051CDFBB" w:rsidR="004638E5" w:rsidRPr="00E51EBA" w:rsidRDefault="009E257C" w:rsidP="008B00F2">
      <w:pPr>
        <w:widowControl w:val="0"/>
        <w:ind w:right="1"/>
        <w:jc w:val="both"/>
        <w:rPr>
          <w:sz w:val="22"/>
          <w:szCs w:val="22"/>
          <w:lang w:val="sr-Latn-ME"/>
        </w:rPr>
      </w:pPr>
      <w:r w:rsidRPr="00E51EBA">
        <w:rPr>
          <w:spacing w:val="-3"/>
          <w:kern w:val="1"/>
          <w:sz w:val="22"/>
          <w:szCs w:val="22"/>
          <w:lang w:val="sr-Latn-ME"/>
        </w:rPr>
        <w:lastRenderedPageBreak/>
        <w:t xml:space="preserve">Lijek </w:t>
      </w:r>
      <w:r w:rsidR="004638E5" w:rsidRPr="00E51EBA">
        <w:rPr>
          <w:spacing w:val="-3"/>
          <w:kern w:val="1"/>
          <w:sz w:val="22"/>
          <w:szCs w:val="22"/>
          <w:lang w:val="sr-Latn-ME"/>
        </w:rPr>
        <w:t>Belogent</w:t>
      </w:r>
      <w:r w:rsidR="004638E5" w:rsidRPr="00E51EBA">
        <w:rPr>
          <w:spacing w:val="-3"/>
          <w:kern w:val="1"/>
          <w:sz w:val="22"/>
          <w:szCs w:val="22"/>
          <w:vertAlign w:val="superscript"/>
          <w:lang w:val="sr-Latn-ME"/>
        </w:rPr>
        <w:t xml:space="preserve"> </w:t>
      </w:r>
      <w:r w:rsidR="004638E5" w:rsidRPr="00E51EBA">
        <w:rPr>
          <w:sz w:val="22"/>
          <w:szCs w:val="22"/>
          <w:lang w:val="sr-Latn-ME"/>
        </w:rPr>
        <w:t xml:space="preserve">mast kao aktivne supstance sadrži: </w:t>
      </w:r>
      <w:r w:rsidR="0036231D" w:rsidRPr="00E51EBA">
        <w:rPr>
          <w:sz w:val="22"/>
          <w:szCs w:val="22"/>
          <w:lang w:val="sr-Latn-ME"/>
        </w:rPr>
        <w:t>betametazon</w:t>
      </w:r>
      <w:r w:rsidR="000A57FA" w:rsidRPr="00E51EBA">
        <w:rPr>
          <w:sz w:val="22"/>
          <w:szCs w:val="22"/>
          <w:lang w:val="sr-Latn-ME"/>
        </w:rPr>
        <w:t xml:space="preserve"> </w:t>
      </w:r>
      <w:r w:rsidR="0036231D" w:rsidRPr="00E51EBA">
        <w:rPr>
          <w:sz w:val="22"/>
          <w:szCs w:val="22"/>
          <w:lang w:val="sr-Latn-ME"/>
        </w:rPr>
        <w:t xml:space="preserve">dipropionat </w:t>
      </w:r>
      <w:r w:rsidR="004638E5" w:rsidRPr="00E51EBA">
        <w:rPr>
          <w:sz w:val="22"/>
          <w:szCs w:val="22"/>
          <w:lang w:val="sr-Latn-ME"/>
        </w:rPr>
        <w:t>i gentamicin</w:t>
      </w:r>
      <w:r w:rsidR="000A57FA" w:rsidRPr="00E51EBA">
        <w:rPr>
          <w:sz w:val="22"/>
          <w:szCs w:val="22"/>
          <w:lang w:val="sr-Latn-ME"/>
        </w:rPr>
        <w:t>.</w:t>
      </w:r>
      <w:r w:rsidR="004638E5" w:rsidRPr="00E51EBA">
        <w:rPr>
          <w:sz w:val="22"/>
          <w:szCs w:val="22"/>
          <w:lang w:val="sr-Latn-ME"/>
        </w:rPr>
        <w:t xml:space="preserve"> </w:t>
      </w:r>
    </w:p>
    <w:p w14:paraId="07D7ACF3" w14:textId="77777777" w:rsidR="004638E5" w:rsidRPr="00E51EBA" w:rsidRDefault="004638E5" w:rsidP="008B00F2">
      <w:pPr>
        <w:widowControl w:val="0"/>
        <w:ind w:right="1"/>
        <w:jc w:val="both"/>
        <w:rPr>
          <w:sz w:val="22"/>
          <w:szCs w:val="22"/>
          <w:lang w:val="sr-Latn-ME"/>
        </w:rPr>
      </w:pPr>
    </w:p>
    <w:p w14:paraId="7128C70E" w14:textId="34CBADD8" w:rsidR="006E0D32" w:rsidRPr="00E51EBA" w:rsidRDefault="006E0D32" w:rsidP="00A51629">
      <w:pPr>
        <w:jc w:val="both"/>
        <w:rPr>
          <w:sz w:val="22"/>
          <w:szCs w:val="22"/>
          <w:lang w:val="sr-Latn-ME"/>
        </w:rPr>
      </w:pPr>
      <w:r w:rsidRPr="00E51EBA">
        <w:rPr>
          <w:sz w:val="22"/>
          <w:szCs w:val="22"/>
          <w:lang w:val="sr-Latn-ME"/>
        </w:rPr>
        <w:t>Betametazon, sintetski fluorisani adrenokortikosteroid za lokalnu primjenu u dermatologiji, ima jako antiinflamatorno, imunosupresivno i antiproliferativno dejstvo. To je sintetski analog prednizolona koji pokazuje visok stepen kortikosteroidne aktivnosti, uz neznatno mineralokortikoidno dejstvo. Kortikosteroidi namijenjeni za lokalnu primjenu na koži, uključujući ovdje i betametazon</w:t>
      </w:r>
      <w:r w:rsidR="00F83409" w:rsidRPr="00E51EBA">
        <w:rPr>
          <w:sz w:val="22"/>
          <w:szCs w:val="22"/>
          <w:lang w:val="sr-Latn-ME"/>
        </w:rPr>
        <w:t xml:space="preserve"> </w:t>
      </w:r>
      <w:r w:rsidRPr="00E51EBA">
        <w:rPr>
          <w:sz w:val="22"/>
          <w:szCs w:val="22"/>
          <w:lang w:val="sr-Latn-ME"/>
        </w:rPr>
        <w:t>dipropionat, pokazuju antiinflamatorno, antipruričko i vazokonstrik</w:t>
      </w:r>
      <w:r w:rsidR="003A2B1F" w:rsidRPr="00E51EBA">
        <w:rPr>
          <w:sz w:val="22"/>
          <w:szCs w:val="22"/>
          <w:lang w:val="sr-Latn-ME"/>
        </w:rPr>
        <w:t>torno</w:t>
      </w:r>
      <w:r w:rsidRPr="00E51EBA">
        <w:rPr>
          <w:sz w:val="22"/>
          <w:szCs w:val="22"/>
          <w:lang w:val="sr-Latn-ME"/>
        </w:rPr>
        <w:t xml:space="preserve"> dejstvo, pa se zato koriste za liječenje određenih dermatoza kod kojih je primjena kortikosteroida opravdana.       </w:t>
      </w:r>
    </w:p>
    <w:p w14:paraId="44694F4F" w14:textId="77777777" w:rsidR="006E0D32" w:rsidRPr="00E51EBA" w:rsidRDefault="006E0D32" w:rsidP="00A51629">
      <w:pPr>
        <w:jc w:val="both"/>
        <w:rPr>
          <w:sz w:val="22"/>
          <w:szCs w:val="22"/>
          <w:lang w:val="sr-Latn-ME"/>
        </w:rPr>
      </w:pPr>
    </w:p>
    <w:p w14:paraId="4DE0F1B4" w14:textId="5A1E38C2" w:rsidR="007972EA" w:rsidRPr="00E51EBA" w:rsidRDefault="006E0D32" w:rsidP="008B00F2">
      <w:pPr>
        <w:tabs>
          <w:tab w:val="left" w:pos="284"/>
        </w:tabs>
        <w:jc w:val="both"/>
        <w:rPr>
          <w:sz w:val="22"/>
          <w:szCs w:val="22"/>
          <w:lang w:val="sr-Latn-ME"/>
        </w:rPr>
      </w:pPr>
      <w:r w:rsidRPr="00E51EBA">
        <w:rPr>
          <w:sz w:val="22"/>
          <w:szCs w:val="22"/>
          <w:lang w:val="sr-Latn-ME"/>
        </w:rPr>
        <w:t>Tačan mehanizam djelovanja lokalnih kortikosteroida nije poznat, međutim, pretpostavlja se kako je to kombinacija antiinflamatornog, imunosupresivnog i antiproliferativnog dejstva, od kojih je najvažnije upravo antiinflamatorno dejstvo. Kortikosteroidi smanjuju stvaranje, oslobađanje i aktivnost hemijskih medijatora upale (</w:t>
      </w:r>
      <w:r w:rsidR="00F11E4B" w:rsidRPr="00E51EBA">
        <w:rPr>
          <w:sz w:val="22"/>
          <w:szCs w:val="22"/>
          <w:lang w:val="sr-Latn-ME"/>
        </w:rPr>
        <w:t>h</w:t>
      </w:r>
      <w:r w:rsidRPr="00E51EBA">
        <w:rPr>
          <w:sz w:val="22"/>
          <w:szCs w:val="22"/>
          <w:lang w:val="sr-Latn-ME"/>
        </w:rPr>
        <w:t>inina, histamina, lipozomskih enzima, prostaglandina). Kako je za početak upalnog odgovora posredovanog pomenutim medijatorima neophodn</w:t>
      </w:r>
      <w:r w:rsidR="00F11E4B" w:rsidRPr="00E51EBA">
        <w:rPr>
          <w:sz w:val="22"/>
          <w:szCs w:val="22"/>
          <w:lang w:val="sr-Latn-ME"/>
        </w:rPr>
        <w:t>o</w:t>
      </w:r>
      <w:r w:rsidRPr="00E51EBA">
        <w:rPr>
          <w:sz w:val="22"/>
          <w:szCs w:val="22"/>
          <w:lang w:val="sr-Latn-ME"/>
        </w:rPr>
        <w:t xml:space="preserve"> prisu</w:t>
      </w:r>
      <w:r w:rsidR="00F11E4B" w:rsidRPr="00E51EBA">
        <w:rPr>
          <w:sz w:val="22"/>
          <w:szCs w:val="22"/>
          <w:lang w:val="sr-Latn-ME"/>
        </w:rPr>
        <w:t>stvo</w:t>
      </w:r>
      <w:r w:rsidRPr="00E51EBA">
        <w:rPr>
          <w:sz w:val="22"/>
          <w:szCs w:val="22"/>
          <w:lang w:val="sr-Latn-ME"/>
        </w:rPr>
        <w:t xml:space="preserve"> leukocita i makrofaga, kortikosteroidi takođe inhibiraju i migraciju ćelija na mjesto povrede i smanjuju vazodilataciju i povećanu permeabilnost krvnih sudova u tom području. To vazokonstrik</w:t>
      </w:r>
      <w:r w:rsidR="00F11E4B" w:rsidRPr="00E51EBA">
        <w:rPr>
          <w:sz w:val="22"/>
          <w:szCs w:val="22"/>
          <w:lang w:val="sr-Latn-ME"/>
        </w:rPr>
        <w:t>torno</w:t>
      </w:r>
      <w:r w:rsidRPr="00E51EBA">
        <w:rPr>
          <w:sz w:val="22"/>
          <w:szCs w:val="22"/>
          <w:lang w:val="sr-Latn-ME"/>
        </w:rPr>
        <w:t xml:space="preserve"> dejstvo smanjuje ekstravazaciju seruma i nastanak otoka. Kortikosteroidi pokazuju takođe i imunosupresivno dejstvo na tip III i tip IV reakcija preosjetljivosti, inhibirajući toksično dejstvo kompleksa antigen-antitijelo koji se talože u zid krvnih sudova uzrokujući kožni alergijski vaskulitis i inhibirajući djelovanje limfokina, ciljnih ćelija i makrofaga koji zajedno dovode do reakcije u vidu alergijskog kontaktnog dermatitisa. Osim toga, kortikosteroidi sprječavaju pristup senzibilisanih</w:t>
      </w:r>
      <w:r w:rsidR="005D43C6" w:rsidRPr="00E51EBA">
        <w:rPr>
          <w:sz w:val="22"/>
          <w:szCs w:val="22"/>
          <w:lang w:val="sr-Latn-ME"/>
        </w:rPr>
        <w:t xml:space="preserve"> </w:t>
      </w:r>
      <w:r w:rsidRPr="00E51EBA">
        <w:rPr>
          <w:sz w:val="22"/>
          <w:szCs w:val="22"/>
          <w:lang w:val="sr-Latn-ME"/>
        </w:rPr>
        <w:t xml:space="preserve">T limfocita i makrofaga ciljnim ćelijama. </w:t>
      </w:r>
      <w:r w:rsidRPr="00E51EBA">
        <w:rPr>
          <w:color w:val="000000"/>
          <w:sz w:val="22"/>
          <w:szCs w:val="22"/>
          <w:lang w:val="sr-Latn-ME"/>
        </w:rPr>
        <w:t>Za farmakodinamsko poređenje efikasnosti betametazon</w:t>
      </w:r>
      <w:r w:rsidR="00F83409" w:rsidRPr="00E51EBA">
        <w:rPr>
          <w:color w:val="000000"/>
          <w:sz w:val="22"/>
          <w:szCs w:val="22"/>
          <w:lang w:val="sr-Latn-ME"/>
        </w:rPr>
        <w:t xml:space="preserve"> </w:t>
      </w:r>
      <w:r w:rsidRPr="00E51EBA">
        <w:rPr>
          <w:color w:val="000000"/>
          <w:sz w:val="22"/>
          <w:szCs w:val="22"/>
          <w:lang w:val="sr-Latn-ME"/>
        </w:rPr>
        <w:t xml:space="preserve">dipropionata i drugih poznatih fluorisanih glukokortikoida za lokalnu primjenu, može se upotrijebiti, između ostalih dostupnih metoda, </w:t>
      </w:r>
      <w:r w:rsidRPr="00E51EBA">
        <w:rPr>
          <w:i/>
          <w:color w:val="000000"/>
          <w:sz w:val="22"/>
          <w:szCs w:val="22"/>
          <w:lang w:val="sr-Latn-ME"/>
        </w:rPr>
        <w:t>McKenzie</w:t>
      </w:r>
      <w:r w:rsidRPr="00E51EBA">
        <w:rPr>
          <w:color w:val="000000"/>
          <w:sz w:val="22"/>
          <w:szCs w:val="22"/>
          <w:lang w:val="sr-Latn-ME"/>
        </w:rPr>
        <w:t>-jev vazokonstriktorni test. Tako je u jednom testu, betametazon</w:t>
      </w:r>
      <w:r w:rsidR="00F83409" w:rsidRPr="00E51EBA">
        <w:rPr>
          <w:color w:val="000000"/>
          <w:sz w:val="22"/>
          <w:szCs w:val="22"/>
          <w:lang w:val="sr-Latn-ME"/>
        </w:rPr>
        <w:t xml:space="preserve"> </w:t>
      </w:r>
      <w:r w:rsidRPr="00E51EBA">
        <w:rPr>
          <w:color w:val="000000"/>
          <w:sz w:val="22"/>
          <w:szCs w:val="22"/>
          <w:lang w:val="sr-Latn-ME"/>
        </w:rPr>
        <w:t>dipropionat imao značajno veću stopu bljedila (p&lt;0,05) u odnosu na fluocinolonacetonid, fluokortolonkapronat, flumetazonpivalat i betametazon</w:t>
      </w:r>
      <w:r w:rsidR="00F83409" w:rsidRPr="00E51EBA">
        <w:rPr>
          <w:color w:val="000000"/>
          <w:sz w:val="22"/>
          <w:szCs w:val="22"/>
          <w:lang w:val="sr-Latn-ME"/>
        </w:rPr>
        <w:t xml:space="preserve"> </w:t>
      </w:r>
      <w:r w:rsidRPr="00E51EBA">
        <w:rPr>
          <w:color w:val="000000"/>
          <w:sz w:val="22"/>
          <w:szCs w:val="22"/>
          <w:lang w:val="sr-Latn-ME"/>
        </w:rPr>
        <w:t>valerat</w:t>
      </w:r>
      <w:r w:rsidRPr="00E51EBA">
        <w:rPr>
          <w:sz w:val="22"/>
          <w:szCs w:val="22"/>
          <w:lang w:val="sr-Latn-ME"/>
        </w:rPr>
        <w:t>.</w:t>
      </w:r>
    </w:p>
    <w:p w14:paraId="4D3337AB" w14:textId="77777777" w:rsidR="007972EA" w:rsidRPr="00E51EBA" w:rsidRDefault="007972EA" w:rsidP="008B00F2">
      <w:pPr>
        <w:tabs>
          <w:tab w:val="left" w:pos="284"/>
        </w:tabs>
        <w:jc w:val="both"/>
        <w:rPr>
          <w:sz w:val="22"/>
          <w:szCs w:val="22"/>
          <w:lang w:val="sr-Latn-ME"/>
        </w:rPr>
      </w:pPr>
    </w:p>
    <w:p w14:paraId="5A1F9C7E" w14:textId="00C5DBB0" w:rsidR="006E0D32" w:rsidRPr="00E51EBA" w:rsidRDefault="006E0D32" w:rsidP="00A51629">
      <w:pPr>
        <w:tabs>
          <w:tab w:val="left" w:pos="284"/>
        </w:tabs>
        <w:jc w:val="both"/>
        <w:rPr>
          <w:sz w:val="22"/>
          <w:szCs w:val="22"/>
          <w:lang w:val="sr-Latn-ME"/>
        </w:rPr>
      </w:pPr>
      <w:r w:rsidRPr="00E51EBA">
        <w:rPr>
          <w:sz w:val="22"/>
          <w:szCs w:val="22"/>
          <w:lang w:val="sr-Latn-ME"/>
        </w:rPr>
        <w:t>Gentamicin je aminoglikozidni antibiotik s izraženim baktericidnim dejstvom. Radi se o mješavini strukturno vrlo sličnih homologa – C</w:t>
      </w:r>
      <w:r w:rsidRPr="00E51EBA">
        <w:rPr>
          <w:sz w:val="22"/>
          <w:szCs w:val="22"/>
          <w:vertAlign w:val="subscript"/>
          <w:lang w:val="sr-Latn-ME"/>
        </w:rPr>
        <w:t>1</w:t>
      </w:r>
      <w:r w:rsidRPr="00E51EBA">
        <w:rPr>
          <w:sz w:val="22"/>
          <w:szCs w:val="22"/>
          <w:lang w:val="sr-Latn-ME"/>
        </w:rPr>
        <w:t>, C</w:t>
      </w:r>
      <w:r w:rsidRPr="00E51EBA">
        <w:rPr>
          <w:sz w:val="22"/>
          <w:szCs w:val="22"/>
          <w:vertAlign w:val="subscript"/>
          <w:lang w:val="sr-Latn-ME"/>
        </w:rPr>
        <w:t>1a</w:t>
      </w:r>
      <w:r w:rsidRPr="00E51EBA">
        <w:rPr>
          <w:sz w:val="22"/>
          <w:szCs w:val="22"/>
          <w:lang w:val="sr-Latn-ME"/>
        </w:rPr>
        <w:t xml:space="preserve"> i C</w:t>
      </w:r>
      <w:r w:rsidRPr="00E51EBA">
        <w:rPr>
          <w:sz w:val="22"/>
          <w:szCs w:val="22"/>
          <w:vertAlign w:val="subscript"/>
          <w:lang w:val="sr-Latn-ME"/>
        </w:rPr>
        <w:t>2</w:t>
      </w:r>
      <w:r w:rsidRPr="00E51EBA">
        <w:rPr>
          <w:sz w:val="22"/>
          <w:szCs w:val="22"/>
          <w:lang w:val="sr-Latn-ME"/>
        </w:rPr>
        <w:t>. Gentamicin inhibira sintezu proteina u bakterijama vezujući se za specifični receptorski protein na 30S subjedinici bakterijskih ribozoma i interferira s početnim kompleksom između mRNK i 30S podjedinice, inhibirajući sintezu bjelančevina. Dolazi do pogrešnog očitavanja DNK, zbog čega se stvaraju nefunkcionalni proteini. Rezultat navedenog je baktericidno dejstvo.</w:t>
      </w:r>
      <w:r w:rsidRPr="00E51EBA" w:rsidDel="005D548F">
        <w:rPr>
          <w:sz w:val="22"/>
          <w:szCs w:val="22"/>
          <w:lang w:val="sr-Latn-ME"/>
        </w:rPr>
        <w:t xml:space="preserve"> </w:t>
      </w:r>
      <w:r w:rsidRPr="00E51EBA">
        <w:rPr>
          <w:sz w:val="22"/>
          <w:szCs w:val="22"/>
          <w:lang w:val="sr-Latn-ME"/>
        </w:rPr>
        <w:t>Efikasnost uglavnom zavisi od odnosa najviše postignute koncentracije na mjestu dejstva (C</w:t>
      </w:r>
      <w:r w:rsidRPr="00E51EBA">
        <w:rPr>
          <w:sz w:val="22"/>
          <w:szCs w:val="22"/>
          <w:vertAlign w:val="subscript"/>
          <w:lang w:val="sr-Latn-ME"/>
        </w:rPr>
        <w:t>max</w:t>
      </w:r>
      <w:r w:rsidRPr="00E51EBA">
        <w:rPr>
          <w:sz w:val="22"/>
          <w:szCs w:val="22"/>
          <w:lang w:val="sr-Latn-ME"/>
        </w:rPr>
        <w:t>) i minimalne inhibitorne koncentracije (MIK) za mikroorganizam.</w:t>
      </w:r>
    </w:p>
    <w:p w14:paraId="09C37D7F" w14:textId="77777777" w:rsidR="006E0D32" w:rsidRPr="00E51EBA" w:rsidRDefault="006E0D32" w:rsidP="00A51629">
      <w:pPr>
        <w:tabs>
          <w:tab w:val="left" w:pos="284"/>
        </w:tabs>
        <w:jc w:val="both"/>
        <w:rPr>
          <w:sz w:val="22"/>
          <w:szCs w:val="22"/>
          <w:lang w:val="sr-Latn-ME"/>
        </w:rPr>
      </w:pPr>
    </w:p>
    <w:p w14:paraId="2BB21DF2" w14:textId="77777777" w:rsidR="006E0D32" w:rsidRPr="00E51EBA" w:rsidRDefault="006E0D32" w:rsidP="00A51629">
      <w:pPr>
        <w:autoSpaceDE w:val="0"/>
        <w:autoSpaceDN w:val="0"/>
        <w:adjustRightInd w:val="0"/>
        <w:jc w:val="both"/>
        <w:rPr>
          <w:color w:val="000000"/>
          <w:sz w:val="22"/>
          <w:szCs w:val="22"/>
          <w:lang w:val="sr-Latn-ME"/>
        </w:rPr>
      </w:pPr>
      <w:r w:rsidRPr="00E51EBA">
        <w:rPr>
          <w:color w:val="000000"/>
          <w:sz w:val="22"/>
          <w:szCs w:val="22"/>
          <w:lang w:val="sr-Latn-ME"/>
        </w:rPr>
        <w:t xml:space="preserve">Rezistencija na gentamicin može biti posljedica sljedećih mehanizama: </w:t>
      </w:r>
    </w:p>
    <w:p w14:paraId="6B339837" w14:textId="77777777" w:rsidR="006E0D32" w:rsidRPr="00E51EBA" w:rsidRDefault="006E0D32">
      <w:pPr>
        <w:numPr>
          <w:ilvl w:val="0"/>
          <w:numId w:val="13"/>
        </w:numPr>
        <w:tabs>
          <w:tab w:val="left" w:pos="284"/>
        </w:tabs>
        <w:autoSpaceDE w:val="0"/>
        <w:autoSpaceDN w:val="0"/>
        <w:adjustRightInd w:val="0"/>
        <w:ind w:left="714" w:hanging="357"/>
        <w:jc w:val="both"/>
        <w:rPr>
          <w:color w:val="000000"/>
          <w:sz w:val="22"/>
          <w:szCs w:val="22"/>
          <w:lang w:val="sr-Latn-ME"/>
        </w:rPr>
      </w:pPr>
      <w:r w:rsidRPr="00E51EBA">
        <w:rPr>
          <w:color w:val="000000"/>
          <w:sz w:val="22"/>
          <w:szCs w:val="22"/>
          <w:lang w:val="sr-Latn-ME"/>
        </w:rPr>
        <w:t xml:space="preserve">Enzimska inaktivacija: enzimska promjena molekula aminoglikozida najčešći je mehanizam rezistencije. Za to su zaslužne acetiltransferaze, fosfotransferaze ili nukleotidiltransferaze, od kojih je većina kodirana plazmidom. </w:t>
      </w:r>
    </w:p>
    <w:p w14:paraId="356364E0" w14:textId="77777777" w:rsidR="006E0D32" w:rsidRPr="00E51EBA" w:rsidRDefault="006E0D32">
      <w:pPr>
        <w:numPr>
          <w:ilvl w:val="0"/>
          <w:numId w:val="13"/>
        </w:numPr>
        <w:tabs>
          <w:tab w:val="left" w:pos="284"/>
        </w:tabs>
        <w:autoSpaceDE w:val="0"/>
        <w:autoSpaceDN w:val="0"/>
        <w:adjustRightInd w:val="0"/>
        <w:ind w:left="714" w:hanging="357"/>
        <w:jc w:val="both"/>
        <w:rPr>
          <w:color w:val="000000"/>
          <w:sz w:val="22"/>
          <w:szCs w:val="22"/>
          <w:lang w:val="sr-Latn-ME"/>
        </w:rPr>
      </w:pPr>
      <w:r w:rsidRPr="00E51EBA">
        <w:rPr>
          <w:color w:val="000000"/>
          <w:sz w:val="22"/>
          <w:szCs w:val="22"/>
          <w:lang w:val="sr-Latn-ME"/>
        </w:rPr>
        <w:t xml:space="preserve">Smanjena penetracija i aktivno izbacivanje iz ćelije: ovi mehanizmi rezistencije se uglavnom odnose na </w:t>
      </w:r>
      <w:r w:rsidRPr="00E51EBA">
        <w:rPr>
          <w:i/>
          <w:iCs/>
          <w:color w:val="000000"/>
          <w:sz w:val="22"/>
          <w:szCs w:val="22"/>
          <w:lang w:val="sr-Latn-ME"/>
        </w:rPr>
        <w:t xml:space="preserve">Pseudomonas aeruginosa. </w:t>
      </w:r>
    </w:p>
    <w:p w14:paraId="4121B89F" w14:textId="77777777" w:rsidR="006E0D32" w:rsidRPr="00E51EBA" w:rsidRDefault="006E0D32">
      <w:pPr>
        <w:numPr>
          <w:ilvl w:val="0"/>
          <w:numId w:val="13"/>
        </w:numPr>
        <w:tabs>
          <w:tab w:val="left" w:pos="284"/>
        </w:tabs>
        <w:autoSpaceDE w:val="0"/>
        <w:autoSpaceDN w:val="0"/>
        <w:adjustRightInd w:val="0"/>
        <w:spacing w:after="120"/>
        <w:jc w:val="both"/>
        <w:rPr>
          <w:color w:val="000000"/>
          <w:sz w:val="22"/>
          <w:szCs w:val="22"/>
          <w:lang w:val="sr-Latn-ME"/>
        </w:rPr>
      </w:pPr>
      <w:r w:rsidRPr="00E51EBA">
        <w:rPr>
          <w:color w:val="000000"/>
          <w:sz w:val="22"/>
          <w:szCs w:val="22"/>
          <w:lang w:val="sr-Latn-ME"/>
        </w:rPr>
        <w:t>Promjena ciljne strukture: promjene unutar ribozoma su mogući uzrok nastanka rezistencije. Ovo se javlja ili usljed mutacije ili usljed stvaranja metiltransferaze.</w:t>
      </w:r>
    </w:p>
    <w:p w14:paraId="45B47E08" w14:textId="77777777" w:rsidR="006E0D32" w:rsidRPr="00E51EBA" w:rsidRDefault="006E0D32">
      <w:pPr>
        <w:tabs>
          <w:tab w:val="left" w:pos="284"/>
        </w:tabs>
        <w:spacing w:before="120" w:after="120"/>
        <w:jc w:val="both"/>
        <w:rPr>
          <w:color w:val="000000"/>
          <w:sz w:val="22"/>
          <w:szCs w:val="22"/>
          <w:lang w:val="sr-Latn-ME"/>
        </w:rPr>
      </w:pPr>
      <w:r w:rsidRPr="00E51EBA">
        <w:rPr>
          <w:color w:val="000000"/>
          <w:sz w:val="22"/>
          <w:szCs w:val="22"/>
          <w:lang w:val="sr-Latn-ME"/>
        </w:rPr>
        <w:t>Gentamicin pokazuje visok stepen ukrštene rezistencije sa drugim aminoglikozidnim antibioticima.</w:t>
      </w:r>
    </w:p>
    <w:p w14:paraId="3853E3AE" w14:textId="61EB8CF5" w:rsidR="006E0D32" w:rsidRPr="00E51EBA" w:rsidRDefault="006E0D32">
      <w:pPr>
        <w:autoSpaceDE w:val="0"/>
        <w:autoSpaceDN w:val="0"/>
        <w:adjustRightInd w:val="0"/>
        <w:jc w:val="both"/>
        <w:rPr>
          <w:color w:val="000000"/>
          <w:sz w:val="22"/>
          <w:szCs w:val="22"/>
          <w:lang w:val="sr-Latn-ME"/>
        </w:rPr>
      </w:pPr>
      <w:r w:rsidRPr="00E51EBA">
        <w:rPr>
          <w:color w:val="000000"/>
          <w:sz w:val="22"/>
          <w:szCs w:val="22"/>
          <w:lang w:val="sr-Latn-ME"/>
        </w:rPr>
        <w:t>Gentamicin je ispitan pomoću serije standardnih ra</w:t>
      </w:r>
      <w:r w:rsidR="00945BDB" w:rsidRPr="00E51EBA">
        <w:rPr>
          <w:color w:val="000000"/>
          <w:sz w:val="22"/>
          <w:szCs w:val="22"/>
          <w:lang w:val="sr-Latn-ME"/>
        </w:rPr>
        <w:t>z</w:t>
      </w:r>
      <w:r w:rsidRPr="00E51EBA">
        <w:rPr>
          <w:color w:val="000000"/>
          <w:sz w:val="22"/>
          <w:szCs w:val="22"/>
          <w:lang w:val="sr-Latn-ME"/>
        </w:rPr>
        <w:t xml:space="preserve">blaženja. Ustanovljene su sljedeće minimalne inhibitorne koncentracije za osjetljive i rezistentne mikroorganizme: </w:t>
      </w:r>
    </w:p>
    <w:p w14:paraId="05525DD6" w14:textId="6A442A86" w:rsidR="006E0D32" w:rsidRPr="00E51EBA" w:rsidRDefault="006E0D32">
      <w:pPr>
        <w:tabs>
          <w:tab w:val="left" w:pos="284"/>
        </w:tabs>
        <w:spacing w:before="120" w:after="120"/>
        <w:jc w:val="both"/>
        <w:rPr>
          <w:sz w:val="22"/>
          <w:szCs w:val="22"/>
          <w:lang w:val="sr-Latn-ME"/>
        </w:rPr>
      </w:pPr>
      <w:r w:rsidRPr="00E51EBA">
        <w:rPr>
          <w:sz w:val="22"/>
          <w:szCs w:val="22"/>
          <w:lang w:val="sr-Latn-ME"/>
        </w:rPr>
        <w:t xml:space="preserve">Granične vrijednosti prema Evropskom komitetu za testiranje osjetljivosti na antibiotike (engl, </w:t>
      </w:r>
      <w:r w:rsidRPr="00E51EBA">
        <w:rPr>
          <w:i/>
          <w:sz w:val="22"/>
          <w:szCs w:val="22"/>
          <w:lang w:val="sr-Latn-ME"/>
        </w:rPr>
        <w:t>European Committee on Antimicrobial Susceptibility Testing</w:t>
      </w:r>
      <w:r w:rsidRPr="00E51EBA">
        <w:rPr>
          <w:sz w:val="22"/>
          <w:szCs w:val="22"/>
          <w:lang w:val="sr-Latn-ME"/>
        </w:rPr>
        <w:t>, EUCAST)</w:t>
      </w:r>
    </w:p>
    <w:tbl>
      <w:tblPr>
        <w:tblW w:w="9957" w:type="dxa"/>
        <w:tblLayout w:type="fixed"/>
        <w:tblLook w:val="04A0" w:firstRow="1" w:lastRow="0" w:firstColumn="1" w:lastColumn="0" w:noHBand="0" w:noVBand="1"/>
      </w:tblPr>
      <w:tblGrid>
        <w:gridCol w:w="4815"/>
        <w:gridCol w:w="2551"/>
        <w:gridCol w:w="2591"/>
      </w:tblGrid>
      <w:tr w:rsidR="006E0D32" w:rsidRPr="00E51EBA" w14:paraId="38D364C3" w14:textId="77777777" w:rsidTr="00D05291">
        <w:tc>
          <w:tcPr>
            <w:tcW w:w="4815" w:type="dxa"/>
            <w:shd w:val="clear" w:color="auto" w:fill="auto"/>
          </w:tcPr>
          <w:p w14:paraId="43E68321" w14:textId="77777777"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Mikroorganizam</w:t>
            </w:r>
          </w:p>
        </w:tc>
        <w:tc>
          <w:tcPr>
            <w:tcW w:w="2551" w:type="dxa"/>
            <w:shd w:val="clear" w:color="auto" w:fill="auto"/>
          </w:tcPr>
          <w:p w14:paraId="7D415F27" w14:textId="77777777"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Osjetljiv</w:t>
            </w:r>
          </w:p>
        </w:tc>
        <w:tc>
          <w:tcPr>
            <w:tcW w:w="2591" w:type="dxa"/>
            <w:shd w:val="clear" w:color="auto" w:fill="auto"/>
          </w:tcPr>
          <w:p w14:paraId="4FEC5706" w14:textId="77777777"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Rezistentan</w:t>
            </w:r>
          </w:p>
        </w:tc>
      </w:tr>
      <w:tr w:rsidR="006E0D32" w:rsidRPr="00E51EBA" w14:paraId="474DFEE6" w14:textId="77777777" w:rsidTr="00D05291">
        <w:tc>
          <w:tcPr>
            <w:tcW w:w="4815" w:type="dxa"/>
            <w:shd w:val="clear" w:color="auto" w:fill="auto"/>
          </w:tcPr>
          <w:p w14:paraId="20CD4FAE" w14:textId="77777777" w:rsidR="006E0D32" w:rsidRPr="00E51EBA" w:rsidRDefault="006E0D32" w:rsidP="00A51629">
            <w:pPr>
              <w:pStyle w:val="Default"/>
              <w:spacing w:before="60" w:after="60"/>
              <w:jc w:val="both"/>
              <w:rPr>
                <w:sz w:val="22"/>
                <w:szCs w:val="22"/>
                <w:lang w:val="sr-Latn-ME"/>
              </w:rPr>
            </w:pPr>
            <w:r w:rsidRPr="00E51EBA">
              <w:rPr>
                <w:i/>
                <w:iCs/>
                <w:sz w:val="22"/>
                <w:szCs w:val="22"/>
                <w:lang w:val="sr-Latn-ME"/>
              </w:rPr>
              <w:t xml:space="preserve">Enterobacteriaceae </w:t>
            </w:r>
          </w:p>
        </w:tc>
        <w:tc>
          <w:tcPr>
            <w:tcW w:w="2551" w:type="dxa"/>
            <w:shd w:val="clear" w:color="auto" w:fill="auto"/>
          </w:tcPr>
          <w:p w14:paraId="7F767A95" w14:textId="5420358A"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 2 mg/</w:t>
            </w:r>
            <w:r w:rsidR="00F11E4B" w:rsidRPr="00E51EBA">
              <w:rPr>
                <w:sz w:val="22"/>
                <w:szCs w:val="22"/>
                <w:lang w:val="sr-Latn-ME"/>
              </w:rPr>
              <w:t>l</w:t>
            </w:r>
          </w:p>
        </w:tc>
        <w:tc>
          <w:tcPr>
            <w:tcW w:w="2591" w:type="dxa"/>
            <w:shd w:val="clear" w:color="auto" w:fill="auto"/>
          </w:tcPr>
          <w:p w14:paraId="7F49A50E" w14:textId="72B2C752"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&gt; 4 mg/</w:t>
            </w:r>
            <w:r w:rsidR="00F11E4B" w:rsidRPr="00E51EBA">
              <w:rPr>
                <w:sz w:val="22"/>
                <w:szCs w:val="22"/>
                <w:lang w:val="sr-Latn-ME"/>
              </w:rPr>
              <w:t>l</w:t>
            </w:r>
          </w:p>
        </w:tc>
      </w:tr>
      <w:tr w:rsidR="006E0D32" w:rsidRPr="00E51EBA" w14:paraId="2F3AEB3B" w14:textId="77777777" w:rsidTr="00D05291">
        <w:tc>
          <w:tcPr>
            <w:tcW w:w="4815" w:type="dxa"/>
            <w:shd w:val="clear" w:color="auto" w:fill="auto"/>
          </w:tcPr>
          <w:p w14:paraId="16389E4A" w14:textId="77777777" w:rsidR="006E0D32" w:rsidRPr="00E51EBA" w:rsidRDefault="006E0D32" w:rsidP="008B00F2">
            <w:pPr>
              <w:pStyle w:val="BodyTextIndent"/>
              <w:spacing w:before="120"/>
              <w:ind w:left="0"/>
              <w:jc w:val="both"/>
              <w:rPr>
                <w:sz w:val="22"/>
                <w:szCs w:val="22"/>
                <w:lang w:val="sr-Latn-ME"/>
              </w:rPr>
            </w:pPr>
            <w:r w:rsidRPr="00E51EBA">
              <w:rPr>
                <w:i/>
                <w:iCs/>
                <w:color w:val="000000"/>
                <w:sz w:val="22"/>
                <w:szCs w:val="22"/>
                <w:lang w:val="sr-Latn-ME"/>
              </w:rPr>
              <w:t>Pseudomonas spp.</w:t>
            </w:r>
          </w:p>
        </w:tc>
        <w:tc>
          <w:tcPr>
            <w:tcW w:w="2551" w:type="dxa"/>
            <w:shd w:val="clear" w:color="auto" w:fill="auto"/>
          </w:tcPr>
          <w:p w14:paraId="151D4378" w14:textId="4F958CF9"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 4 mg/</w:t>
            </w:r>
            <w:r w:rsidR="00F11E4B" w:rsidRPr="00E51EBA">
              <w:rPr>
                <w:sz w:val="22"/>
                <w:szCs w:val="22"/>
                <w:lang w:val="sr-Latn-ME"/>
              </w:rPr>
              <w:t>l</w:t>
            </w:r>
          </w:p>
        </w:tc>
        <w:tc>
          <w:tcPr>
            <w:tcW w:w="2591" w:type="dxa"/>
            <w:shd w:val="clear" w:color="auto" w:fill="auto"/>
          </w:tcPr>
          <w:p w14:paraId="1EB20A1E" w14:textId="374E13C9"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&gt; 4 mg/</w:t>
            </w:r>
            <w:r w:rsidR="00F11E4B" w:rsidRPr="00E51EBA">
              <w:rPr>
                <w:sz w:val="22"/>
                <w:szCs w:val="22"/>
                <w:lang w:val="sr-Latn-ME"/>
              </w:rPr>
              <w:t>l</w:t>
            </w:r>
          </w:p>
        </w:tc>
      </w:tr>
      <w:tr w:rsidR="006E0D32" w:rsidRPr="00E51EBA" w14:paraId="7C6EFF9E" w14:textId="77777777" w:rsidTr="00D05291">
        <w:tc>
          <w:tcPr>
            <w:tcW w:w="4815" w:type="dxa"/>
            <w:shd w:val="clear" w:color="auto" w:fill="auto"/>
          </w:tcPr>
          <w:p w14:paraId="025EF11B" w14:textId="77777777" w:rsidR="006E0D32" w:rsidRPr="00E51EBA" w:rsidRDefault="006E0D32" w:rsidP="008B00F2">
            <w:pPr>
              <w:pStyle w:val="BodyTextIndent"/>
              <w:spacing w:before="120"/>
              <w:ind w:left="0"/>
              <w:jc w:val="both"/>
              <w:rPr>
                <w:sz w:val="22"/>
                <w:szCs w:val="22"/>
                <w:lang w:val="sr-Latn-ME"/>
              </w:rPr>
            </w:pPr>
            <w:r w:rsidRPr="00E51EBA">
              <w:rPr>
                <w:i/>
                <w:iCs/>
                <w:color w:val="000000"/>
                <w:sz w:val="22"/>
                <w:szCs w:val="22"/>
                <w:lang w:val="sr-Latn-ME"/>
              </w:rPr>
              <w:lastRenderedPageBreak/>
              <w:t>Acinetobacter spp.</w:t>
            </w:r>
          </w:p>
        </w:tc>
        <w:tc>
          <w:tcPr>
            <w:tcW w:w="2551" w:type="dxa"/>
            <w:shd w:val="clear" w:color="auto" w:fill="auto"/>
          </w:tcPr>
          <w:p w14:paraId="0F5454E8" w14:textId="4959CC01"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 4 mg/</w:t>
            </w:r>
            <w:r w:rsidR="00F11E4B" w:rsidRPr="00E51EBA">
              <w:rPr>
                <w:sz w:val="22"/>
                <w:szCs w:val="22"/>
                <w:lang w:val="sr-Latn-ME"/>
              </w:rPr>
              <w:t>l</w:t>
            </w:r>
          </w:p>
        </w:tc>
        <w:tc>
          <w:tcPr>
            <w:tcW w:w="2591" w:type="dxa"/>
            <w:shd w:val="clear" w:color="auto" w:fill="auto"/>
          </w:tcPr>
          <w:p w14:paraId="3149EF53" w14:textId="14F40EDE"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&gt; 4 mg/</w:t>
            </w:r>
            <w:r w:rsidR="00F11E4B" w:rsidRPr="00E51EBA">
              <w:rPr>
                <w:sz w:val="22"/>
                <w:szCs w:val="22"/>
                <w:lang w:val="sr-Latn-ME"/>
              </w:rPr>
              <w:t>l</w:t>
            </w:r>
          </w:p>
        </w:tc>
      </w:tr>
      <w:tr w:rsidR="006E0D32" w:rsidRPr="00E51EBA" w14:paraId="10B83734" w14:textId="77777777" w:rsidTr="00D05291">
        <w:tc>
          <w:tcPr>
            <w:tcW w:w="4815" w:type="dxa"/>
            <w:shd w:val="clear" w:color="auto" w:fill="auto"/>
          </w:tcPr>
          <w:p w14:paraId="495140A4" w14:textId="77777777" w:rsidR="006E0D32" w:rsidRPr="00E51EBA" w:rsidRDefault="006E0D32" w:rsidP="008B00F2">
            <w:pPr>
              <w:pStyle w:val="BodyTextIndent"/>
              <w:spacing w:before="120"/>
              <w:ind w:left="0"/>
              <w:jc w:val="both"/>
              <w:rPr>
                <w:i/>
                <w:iCs/>
                <w:sz w:val="22"/>
                <w:szCs w:val="22"/>
                <w:lang w:val="sr-Latn-ME"/>
              </w:rPr>
            </w:pPr>
            <w:r w:rsidRPr="00E51EBA">
              <w:rPr>
                <w:i/>
                <w:iCs/>
                <w:color w:val="000000"/>
                <w:sz w:val="22"/>
                <w:szCs w:val="22"/>
                <w:lang w:val="sr-Latn-ME"/>
              </w:rPr>
              <w:t>Staphylococcus spp.</w:t>
            </w:r>
          </w:p>
        </w:tc>
        <w:tc>
          <w:tcPr>
            <w:tcW w:w="2551" w:type="dxa"/>
            <w:shd w:val="clear" w:color="auto" w:fill="auto"/>
          </w:tcPr>
          <w:p w14:paraId="4D29B150" w14:textId="71EB1F94" w:rsidR="006E0D32" w:rsidRPr="00E51EBA" w:rsidRDefault="006E0D32" w:rsidP="008B00F2">
            <w:pPr>
              <w:pStyle w:val="BodyTextIndent"/>
              <w:spacing w:before="120"/>
              <w:ind w:left="0"/>
              <w:jc w:val="both"/>
              <w:rPr>
                <w:b/>
                <w:sz w:val="22"/>
                <w:szCs w:val="22"/>
                <w:lang w:val="sr-Latn-ME"/>
              </w:rPr>
            </w:pPr>
            <w:r w:rsidRPr="00E51EBA">
              <w:rPr>
                <w:sz w:val="22"/>
                <w:szCs w:val="22"/>
                <w:lang w:val="sr-Latn-ME"/>
              </w:rPr>
              <w:t>≤ 1 mg/</w:t>
            </w:r>
            <w:r w:rsidR="00F11E4B" w:rsidRPr="00E51EBA">
              <w:rPr>
                <w:sz w:val="22"/>
                <w:szCs w:val="22"/>
                <w:lang w:val="sr-Latn-ME"/>
              </w:rPr>
              <w:t>l</w:t>
            </w:r>
          </w:p>
        </w:tc>
        <w:tc>
          <w:tcPr>
            <w:tcW w:w="2591" w:type="dxa"/>
            <w:shd w:val="clear" w:color="auto" w:fill="auto"/>
          </w:tcPr>
          <w:p w14:paraId="53842CD1" w14:textId="64277529"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&gt; 1 mg/</w:t>
            </w:r>
            <w:r w:rsidR="00F11E4B" w:rsidRPr="00E51EBA">
              <w:rPr>
                <w:sz w:val="22"/>
                <w:szCs w:val="22"/>
                <w:lang w:val="sr-Latn-ME"/>
              </w:rPr>
              <w:t>l</w:t>
            </w:r>
          </w:p>
        </w:tc>
      </w:tr>
      <w:tr w:rsidR="006E0D32" w:rsidRPr="00E51EBA" w14:paraId="6E99EFB9" w14:textId="77777777" w:rsidTr="00D05291">
        <w:tc>
          <w:tcPr>
            <w:tcW w:w="4815" w:type="dxa"/>
            <w:shd w:val="clear" w:color="auto" w:fill="auto"/>
          </w:tcPr>
          <w:p w14:paraId="062A813D" w14:textId="71346917" w:rsidR="006E0D32" w:rsidRPr="00E51EBA" w:rsidRDefault="006E0D32" w:rsidP="008B00F2">
            <w:pPr>
              <w:pStyle w:val="BodyTextIndent"/>
              <w:spacing w:before="120"/>
              <w:ind w:left="0"/>
              <w:jc w:val="both"/>
              <w:rPr>
                <w:color w:val="000000"/>
                <w:sz w:val="22"/>
                <w:szCs w:val="22"/>
                <w:lang w:val="sr-Latn-ME"/>
              </w:rPr>
            </w:pPr>
            <w:r w:rsidRPr="00E51EBA">
              <w:rPr>
                <w:color w:val="000000"/>
                <w:sz w:val="22"/>
                <w:szCs w:val="22"/>
                <w:lang w:val="sr-Latn-ME"/>
              </w:rPr>
              <w:t>Granice nezavisne od soja</w:t>
            </w:r>
            <w:r w:rsidR="00F11E4B" w:rsidRPr="00E51EBA">
              <w:rPr>
                <w:color w:val="000000"/>
                <w:sz w:val="22"/>
                <w:szCs w:val="22"/>
                <w:lang w:val="sr-Latn-ME"/>
              </w:rPr>
              <w:t>*</w:t>
            </w:r>
          </w:p>
        </w:tc>
        <w:tc>
          <w:tcPr>
            <w:tcW w:w="2551" w:type="dxa"/>
            <w:shd w:val="clear" w:color="auto" w:fill="auto"/>
          </w:tcPr>
          <w:p w14:paraId="27ACAF3E" w14:textId="58C6A499"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 2 mg/</w:t>
            </w:r>
            <w:r w:rsidR="00F11E4B" w:rsidRPr="00E51EBA">
              <w:rPr>
                <w:sz w:val="22"/>
                <w:szCs w:val="22"/>
                <w:lang w:val="sr-Latn-ME"/>
              </w:rPr>
              <w:t>l</w:t>
            </w:r>
          </w:p>
        </w:tc>
        <w:tc>
          <w:tcPr>
            <w:tcW w:w="2591" w:type="dxa"/>
            <w:shd w:val="clear" w:color="auto" w:fill="auto"/>
          </w:tcPr>
          <w:p w14:paraId="26CBAC33" w14:textId="2D0650EB" w:rsidR="006E0D32" w:rsidRPr="00E51EBA" w:rsidRDefault="006E0D32" w:rsidP="008B00F2">
            <w:pPr>
              <w:pStyle w:val="BodyTextIndent"/>
              <w:spacing w:before="120"/>
              <w:ind w:left="0"/>
              <w:jc w:val="both"/>
              <w:rPr>
                <w:sz w:val="22"/>
                <w:szCs w:val="22"/>
                <w:lang w:val="sr-Latn-ME"/>
              </w:rPr>
            </w:pPr>
            <w:r w:rsidRPr="00E51EBA">
              <w:rPr>
                <w:sz w:val="22"/>
                <w:szCs w:val="22"/>
                <w:lang w:val="sr-Latn-ME"/>
              </w:rPr>
              <w:t>&gt; 4 mg/L</w:t>
            </w:r>
            <w:r w:rsidR="00F11E4B" w:rsidRPr="00E51EBA">
              <w:rPr>
                <w:sz w:val="22"/>
                <w:szCs w:val="22"/>
                <w:lang w:val="sr-Latn-ME"/>
              </w:rPr>
              <w:t>l</w:t>
            </w:r>
          </w:p>
        </w:tc>
      </w:tr>
    </w:tbl>
    <w:p w14:paraId="228E8C30" w14:textId="31109B9E" w:rsidR="006E0D32" w:rsidRPr="00E51EBA" w:rsidRDefault="00F11E4B" w:rsidP="008B00F2">
      <w:pPr>
        <w:pStyle w:val="BodyTextIndent"/>
        <w:ind w:left="0"/>
        <w:jc w:val="both"/>
        <w:rPr>
          <w:sz w:val="22"/>
          <w:szCs w:val="22"/>
          <w:lang w:val="sr-Latn-ME"/>
        </w:rPr>
      </w:pPr>
      <w:r w:rsidRPr="00E51EBA">
        <w:rPr>
          <w:sz w:val="22"/>
          <w:szCs w:val="22"/>
          <w:lang w:val="sr-Latn-ME"/>
        </w:rPr>
        <w:t>*zasnovane uglavnom na farmakokinetici u serumu</w:t>
      </w:r>
    </w:p>
    <w:p w14:paraId="51A4CA34" w14:textId="70BD5CB2" w:rsidR="006E0D32" w:rsidRPr="00E51EBA" w:rsidRDefault="006E0D32" w:rsidP="00A51629">
      <w:pPr>
        <w:pStyle w:val="BodyTextIndent"/>
        <w:ind w:left="0"/>
        <w:jc w:val="both"/>
        <w:rPr>
          <w:sz w:val="22"/>
          <w:szCs w:val="22"/>
          <w:lang w:val="sr-Latn-ME"/>
        </w:rPr>
      </w:pPr>
      <w:r w:rsidRPr="00E51EBA">
        <w:rPr>
          <w:sz w:val="22"/>
          <w:szCs w:val="22"/>
          <w:lang w:val="sr-Latn-ME"/>
        </w:rPr>
        <w:t>Podaci su uglavnom zasnovani na stvarno postignutim farmakokinetičkim vrijednostima u serumu. Međutim, ove granične vrijednosti prema EUCAST-u ni</w:t>
      </w:r>
      <w:r w:rsidR="003D6A49" w:rsidRPr="00E51EBA">
        <w:rPr>
          <w:sz w:val="22"/>
          <w:szCs w:val="22"/>
          <w:lang w:val="sr-Latn-ME"/>
        </w:rPr>
        <w:t>je</w:t>
      </w:r>
      <w:r w:rsidRPr="00E51EBA">
        <w:rPr>
          <w:sz w:val="22"/>
          <w:szCs w:val="22"/>
          <w:lang w:val="sr-Latn-ME"/>
        </w:rPr>
        <w:t xml:space="preserve">su važne za lokalno primijenjen gentamicin, s obzirom na to da je primjena krema/masti dovela do lokalnih koncentracija antibiotika koje su bile 250 do 500 puta veće od ovih graničnih vrijednosti. </w:t>
      </w:r>
    </w:p>
    <w:p w14:paraId="39EE12A5" w14:textId="7E9425B0" w:rsidR="006E0D32" w:rsidRPr="00E51EBA" w:rsidRDefault="006E0D32" w:rsidP="00A51629">
      <w:pPr>
        <w:pStyle w:val="BodyTextIndent"/>
        <w:ind w:left="0"/>
        <w:jc w:val="both"/>
        <w:rPr>
          <w:b/>
          <w:bCs/>
          <w:sz w:val="22"/>
          <w:szCs w:val="22"/>
          <w:lang w:val="sr-Latn-ME"/>
        </w:rPr>
      </w:pPr>
      <w:r w:rsidRPr="00E51EBA">
        <w:rPr>
          <w:sz w:val="22"/>
          <w:szCs w:val="22"/>
          <w:lang w:val="sr-Latn-ME"/>
        </w:rPr>
        <w:t xml:space="preserve">Zbog velike koncentracije antibiotika na ciljnom mjestu, rezistencija kod lokalne primjene lijeka Belogent, krem se vjerovatno neće razviti. U </w:t>
      </w:r>
      <w:r w:rsidRPr="00E51EBA">
        <w:rPr>
          <w:i/>
          <w:iCs/>
          <w:sz w:val="22"/>
          <w:szCs w:val="22"/>
          <w:lang w:val="sr-Latn-ME"/>
        </w:rPr>
        <w:t xml:space="preserve">in vitro </w:t>
      </w:r>
      <w:r w:rsidRPr="00E51EBA">
        <w:rPr>
          <w:sz w:val="22"/>
          <w:szCs w:val="22"/>
          <w:lang w:val="sr-Latn-ME"/>
        </w:rPr>
        <w:t xml:space="preserve">multicentričnom ispitivanju rezistencije na gentamicin kod mikroorganizama na koži, ustanovljeno je da su svi ispitani izolati </w:t>
      </w:r>
      <w:r w:rsidRPr="00E51EBA">
        <w:rPr>
          <w:i/>
          <w:iCs/>
          <w:sz w:val="22"/>
          <w:szCs w:val="22"/>
          <w:lang w:val="sr-Latn-ME"/>
        </w:rPr>
        <w:t xml:space="preserve">S. aureus </w:t>
      </w:r>
      <w:r w:rsidRPr="00E51EBA">
        <w:rPr>
          <w:sz w:val="22"/>
          <w:szCs w:val="22"/>
          <w:lang w:val="sr-Latn-ME"/>
        </w:rPr>
        <w:t xml:space="preserve">i izolati </w:t>
      </w:r>
      <w:r w:rsidRPr="00E51EBA">
        <w:rPr>
          <w:i/>
          <w:iCs/>
          <w:sz w:val="22"/>
          <w:szCs w:val="22"/>
          <w:lang w:val="sr-Latn-ME"/>
        </w:rPr>
        <w:t xml:space="preserve">S. pyogenes </w:t>
      </w:r>
      <w:r w:rsidRPr="00E51EBA">
        <w:rPr>
          <w:sz w:val="22"/>
          <w:szCs w:val="22"/>
          <w:lang w:val="sr-Latn-ME"/>
        </w:rPr>
        <w:t>osjetljivi već pri koncentraciji od 128 mg/</w:t>
      </w:r>
      <w:r w:rsidR="00F11E4B" w:rsidRPr="00E51EBA">
        <w:rPr>
          <w:sz w:val="22"/>
          <w:szCs w:val="22"/>
          <w:lang w:val="sr-Latn-ME"/>
        </w:rPr>
        <w:t>l</w:t>
      </w:r>
      <w:r w:rsidRPr="00E51EBA">
        <w:rPr>
          <w:sz w:val="22"/>
          <w:szCs w:val="22"/>
          <w:lang w:val="sr-Latn-ME"/>
        </w:rPr>
        <w:t>. Budući da se formulacijom u obliku krema/masti postižu koncentracije od čak 1000 mg/</w:t>
      </w:r>
      <w:r w:rsidR="00F11E4B" w:rsidRPr="00E51EBA">
        <w:rPr>
          <w:sz w:val="22"/>
          <w:szCs w:val="22"/>
          <w:lang w:val="sr-Latn-ME"/>
        </w:rPr>
        <w:t>l</w:t>
      </w:r>
      <w:r w:rsidRPr="00E51EBA">
        <w:rPr>
          <w:sz w:val="22"/>
          <w:szCs w:val="22"/>
          <w:lang w:val="sr-Latn-ME"/>
        </w:rPr>
        <w:t>, ni</w:t>
      </w:r>
      <w:r w:rsidR="00CA3DB1" w:rsidRPr="00E51EBA">
        <w:rPr>
          <w:sz w:val="22"/>
          <w:szCs w:val="22"/>
          <w:lang w:val="sr-Latn-ME"/>
        </w:rPr>
        <w:t>je</w:t>
      </w:r>
      <w:r w:rsidRPr="00E51EBA">
        <w:rPr>
          <w:sz w:val="22"/>
          <w:szCs w:val="22"/>
          <w:lang w:val="sr-Latn-ME"/>
        </w:rPr>
        <w:t xml:space="preserve">su pronađeni sojevi </w:t>
      </w:r>
      <w:r w:rsidRPr="00E51EBA">
        <w:rPr>
          <w:i/>
          <w:iCs/>
          <w:sz w:val="22"/>
          <w:szCs w:val="22"/>
          <w:lang w:val="sr-Latn-ME"/>
        </w:rPr>
        <w:t xml:space="preserve">S. aureus </w:t>
      </w:r>
      <w:r w:rsidRPr="00E51EBA">
        <w:rPr>
          <w:sz w:val="22"/>
          <w:szCs w:val="22"/>
          <w:lang w:val="sr-Latn-ME"/>
        </w:rPr>
        <w:t xml:space="preserve">i </w:t>
      </w:r>
      <w:r w:rsidRPr="00E51EBA">
        <w:rPr>
          <w:i/>
          <w:iCs/>
          <w:sz w:val="22"/>
          <w:szCs w:val="22"/>
          <w:lang w:val="sr-Latn-ME"/>
        </w:rPr>
        <w:t xml:space="preserve">S. pyogenes </w:t>
      </w:r>
      <w:r w:rsidRPr="00E51EBA">
        <w:rPr>
          <w:sz w:val="22"/>
          <w:szCs w:val="22"/>
          <w:lang w:val="sr-Latn-ME"/>
        </w:rPr>
        <w:t>koji bi bili rezistentni na gentamicin.</w:t>
      </w:r>
    </w:p>
    <w:p w14:paraId="0E031021" w14:textId="1476BE09" w:rsidR="00F11E4B" w:rsidRPr="00E51EBA" w:rsidRDefault="00F11E4B" w:rsidP="008B00F2">
      <w:pPr>
        <w:tabs>
          <w:tab w:val="left" w:pos="540"/>
          <w:tab w:val="left" w:pos="569"/>
        </w:tabs>
        <w:jc w:val="both"/>
        <w:rPr>
          <w:sz w:val="22"/>
          <w:szCs w:val="22"/>
          <w:lang w:val="sr-Latn-ME"/>
        </w:rPr>
      </w:pPr>
      <w:r w:rsidRPr="00E51EBA">
        <w:rPr>
          <w:sz w:val="22"/>
          <w:szCs w:val="22"/>
          <w:lang w:val="sr-Latn-ME"/>
        </w:rPr>
        <w:t>Prevalenca stečene rezistencije vremenski može varirati u zavisnosti od geografskog područja i bakterijskog soja. Preporučuje se uvid u lokalne podatke o rezistenciji, naročito u svrhu liječenja teških infekcija. Ako je upitna efikasnost gentamicina zbog uočene rezistencije u određenom području, naročito u slučaju teških infekcija ili neuspješnog liječenja, potrebno je uključiti mikrobiološku službu i sprovesti mikrobiološku dijagnostiku s utvrđivanjem uzročnika i njegove osjetljivosti na gentamicin.</w:t>
      </w:r>
    </w:p>
    <w:p w14:paraId="5FDFD5CA" w14:textId="77777777" w:rsidR="004638E5" w:rsidRPr="00E51EBA" w:rsidRDefault="004638E5" w:rsidP="008B00F2">
      <w:pPr>
        <w:tabs>
          <w:tab w:val="left" w:pos="540"/>
          <w:tab w:val="left" w:pos="569"/>
        </w:tabs>
        <w:jc w:val="both"/>
        <w:rPr>
          <w:b/>
          <w:bCs/>
          <w:sz w:val="22"/>
          <w:szCs w:val="22"/>
          <w:lang w:val="sr-Latn-ME"/>
        </w:rPr>
      </w:pPr>
    </w:p>
    <w:p w14:paraId="3D5EE9B2" w14:textId="311CA737" w:rsidR="0072020E"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5.2. </w:t>
      </w:r>
      <w:r w:rsidR="00480FB1" w:rsidRPr="00E51EBA">
        <w:rPr>
          <w:b/>
          <w:bCs/>
          <w:sz w:val="22"/>
          <w:szCs w:val="22"/>
          <w:lang w:val="sr-Latn-ME"/>
        </w:rPr>
        <w:tab/>
      </w:r>
      <w:r w:rsidRPr="00E51EBA">
        <w:rPr>
          <w:b/>
          <w:bCs/>
          <w:sz w:val="22"/>
          <w:szCs w:val="22"/>
          <w:lang w:val="sr-Latn-ME"/>
        </w:rPr>
        <w:t>Farmakokinetički podaci</w:t>
      </w:r>
      <w:r w:rsidR="003A7059" w:rsidRPr="00E51EBA">
        <w:rPr>
          <w:b/>
          <w:bCs/>
          <w:sz w:val="22"/>
          <w:szCs w:val="22"/>
          <w:lang w:val="sr-Latn-ME"/>
        </w:rPr>
        <w:t xml:space="preserve"> </w:t>
      </w:r>
    </w:p>
    <w:p w14:paraId="3347AEAA" w14:textId="600486BF" w:rsidR="004638E5" w:rsidRPr="00E51EBA" w:rsidRDefault="004638E5" w:rsidP="008B00F2">
      <w:pPr>
        <w:tabs>
          <w:tab w:val="left" w:pos="540"/>
          <w:tab w:val="left" w:pos="569"/>
        </w:tabs>
        <w:jc w:val="both"/>
        <w:rPr>
          <w:b/>
          <w:bCs/>
          <w:sz w:val="22"/>
          <w:szCs w:val="22"/>
          <w:lang w:val="sr-Latn-ME"/>
        </w:rPr>
      </w:pPr>
    </w:p>
    <w:p w14:paraId="2E55E246" w14:textId="194F2DA1" w:rsidR="005D43C6" w:rsidRPr="00E51EBA" w:rsidRDefault="004638E5" w:rsidP="00A51629">
      <w:pPr>
        <w:pStyle w:val="Default"/>
        <w:jc w:val="both"/>
        <w:rPr>
          <w:sz w:val="22"/>
          <w:szCs w:val="22"/>
          <w:lang w:val="sr-Latn-ME"/>
        </w:rPr>
      </w:pPr>
      <w:r w:rsidRPr="00E51EBA">
        <w:rPr>
          <w:sz w:val="22"/>
          <w:szCs w:val="22"/>
          <w:u w:val="single"/>
          <w:lang w:val="sr-Latn-ME"/>
        </w:rPr>
        <w:t>Resorpcija</w:t>
      </w:r>
    </w:p>
    <w:p w14:paraId="2FD665BB" w14:textId="77777777" w:rsidR="005D43C6" w:rsidRPr="00E51EBA" w:rsidRDefault="005D43C6" w:rsidP="008B00F2">
      <w:pPr>
        <w:pStyle w:val="Header"/>
        <w:tabs>
          <w:tab w:val="left" w:pos="284"/>
        </w:tabs>
        <w:spacing w:before="80" w:after="80"/>
        <w:jc w:val="both"/>
        <w:rPr>
          <w:sz w:val="22"/>
          <w:szCs w:val="22"/>
          <w:lang w:val="sr-Latn-ME"/>
        </w:rPr>
      </w:pPr>
      <w:r w:rsidRPr="00E51EBA">
        <w:rPr>
          <w:kern w:val="24"/>
          <w:sz w:val="22"/>
          <w:szCs w:val="22"/>
          <w:lang w:val="sr-Latn-ME"/>
        </w:rPr>
        <w:t xml:space="preserve">Nakon penetracije kroz kožu, lokalno primijenjeni glukokortikoidi pokazuju sličan farmakokinetički profil kao i sistemski primijenjeni kortikosteroidi. </w:t>
      </w:r>
    </w:p>
    <w:p w14:paraId="4F0989A7" w14:textId="11B1BEA6" w:rsidR="005D43C6" w:rsidRPr="00E51EBA" w:rsidRDefault="005D43C6" w:rsidP="00A51629">
      <w:pPr>
        <w:jc w:val="both"/>
        <w:rPr>
          <w:color w:val="222222"/>
          <w:sz w:val="22"/>
          <w:szCs w:val="22"/>
          <w:lang w:val="sr-Latn-ME"/>
        </w:rPr>
      </w:pPr>
      <w:r w:rsidRPr="00E51EBA">
        <w:rPr>
          <w:color w:val="222222"/>
          <w:sz w:val="22"/>
          <w:szCs w:val="22"/>
          <w:lang w:val="sr-Latn-ME"/>
        </w:rPr>
        <w:t>Rezultati ispitivanja kod ljudi sa psorijazom ili atopijskim dermatitisom pokazali su da isključivo lokalna primjena kombinacije betametazon</w:t>
      </w:r>
      <w:r w:rsidR="00F83409" w:rsidRPr="00E51EBA">
        <w:rPr>
          <w:color w:val="222222"/>
          <w:sz w:val="22"/>
          <w:szCs w:val="22"/>
          <w:lang w:val="sr-Latn-ME"/>
        </w:rPr>
        <w:t xml:space="preserve"> </w:t>
      </w:r>
      <w:r w:rsidRPr="00E51EBA">
        <w:rPr>
          <w:color w:val="222222"/>
          <w:sz w:val="22"/>
          <w:szCs w:val="22"/>
          <w:lang w:val="sr-Latn-ME"/>
        </w:rPr>
        <w:t>dipropionata i gentamicina, u dozi od 60 g dnevno na velikoj površini tijela tokom 4 nedjelje, može izazvati prolazan pad nivoa kortizola u plazmi.</w:t>
      </w:r>
    </w:p>
    <w:p w14:paraId="3BF2B9E3" w14:textId="77777777" w:rsidR="005D43C6" w:rsidRPr="00E51EBA" w:rsidRDefault="005D43C6" w:rsidP="00A51629">
      <w:pPr>
        <w:jc w:val="both"/>
        <w:rPr>
          <w:color w:val="222222"/>
          <w:sz w:val="22"/>
          <w:szCs w:val="22"/>
          <w:highlight w:val="lightGray"/>
          <w:lang w:val="sr-Latn-ME"/>
        </w:rPr>
      </w:pPr>
    </w:p>
    <w:p w14:paraId="69D21AB8" w14:textId="578B8D99" w:rsidR="005D43C6" w:rsidRPr="00E51EBA" w:rsidRDefault="005D43C6" w:rsidP="00A51629">
      <w:pPr>
        <w:jc w:val="both"/>
        <w:rPr>
          <w:color w:val="222222"/>
          <w:sz w:val="22"/>
          <w:szCs w:val="22"/>
          <w:lang w:val="sr-Latn-ME"/>
        </w:rPr>
      </w:pPr>
      <w:r w:rsidRPr="00E51EBA">
        <w:rPr>
          <w:color w:val="222222"/>
          <w:sz w:val="22"/>
          <w:szCs w:val="22"/>
          <w:lang w:val="sr-Latn-ME"/>
        </w:rPr>
        <w:t xml:space="preserve">Gentamicin se kao aktivna supstanca može koristiti parenteralno ili lokalno. Za oralne </w:t>
      </w:r>
      <w:r w:rsidR="00F11E4B" w:rsidRPr="00E51EBA">
        <w:rPr>
          <w:color w:val="222222"/>
          <w:sz w:val="22"/>
          <w:szCs w:val="22"/>
          <w:lang w:val="sr-Latn-ME"/>
        </w:rPr>
        <w:t>farmaceutske oblike</w:t>
      </w:r>
      <w:r w:rsidRPr="00E51EBA">
        <w:rPr>
          <w:color w:val="222222"/>
          <w:sz w:val="22"/>
          <w:szCs w:val="22"/>
          <w:lang w:val="sr-Latn-ME"/>
        </w:rPr>
        <w:t xml:space="preserve"> nema podataka o  minimalnoj crijevnoj </w:t>
      </w:r>
      <w:r w:rsidR="00F11E4B" w:rsidRPr="00E51EBA">
        <w:rPr>
          <w:color w:val="222222"/>
          <w:sz w:val="22"/>
          <w:szCs w:val="22"/>
          <w:lang w:val="sr-Latn-ME"/>
        </w:rPr>
        <w:t>re</w:t>
      </w:r>
      <w:r w:rsidRPr="00E51EBA">
        <w:rPr>
          <w:color w:val="222222"/>
          <w:sz w:val="22"/>
          <w:szCs w:val="22"/>
          <w:lang w:val="sr-Latn-ME"/>
        </w:rPr>
        <w:t xml:space="preserve">sorpciji. Generalno, metabolizam lokalno primjenjivanih antibiotika nakon </w:t>
      </w:r>
      <w:r w:rsidR="00F11E4B" w:rsidRPr="00E51EBA">
        <w:rPr>
          <w:color w:val="222222"/>
          <w:sz w:val="22"/>
          <w:szCs w:val="22"/>
          <w:lang w:val="sr-Latn-ME"/>
        </w:rPr>
        <w:t>re</w:t>
      </w:r>
      <w:r w:rsidRPr="00E51EBA">
        <w:rPr>
          <w:color w:val="222222"/>
          <w:sz w:val="22"/>
          <w:szCs w:val="22"/>
          <w:lang w:val="sr-Latn-ME"/>
        </w:rPr>
        <w:t>sorpcije kroz kožu prati isti obrazac kao i kod parenteralnih preparata.</w:t>
      </w:r>
    </w:p>
    <w:p w14:paraId="3C57FC34" w14:textId="77777777" w:rsidR="005D43C6" w:rsidRPr="00E51EBA" w:rsidRDefault="005D43C6">
      <w:pPr>
        <w:jc w:val="both"/>
        <w:rPr>
          <w:color w:val="222222"/>
          <w:sz w:val="22"/>
          <w:szCs w:val="22"/>
          <w:highlight w:val="lightGray"/>
          <w:lang w:val="sr-Latn-ME"/>
        </w:rPr>
      </w:pPr>
    </w:p>
    <w:p w14:paraId="1EFA9DF4" w14:textId="1EBB09DB" w:rsidR="00F11E4B" w:rsidRPr="00E51EBA" w:rsidRDefault="00F11E4B">
      <w:pPr>
        <w:jc w:val="both"/>
        <w:rPr>
          <w:sz w:val="22"/>
          <w:szCs w:val="22"/>
          <w:lang w:val="sr-Latn-ME"/>
        </w:rPr>
      </w:pPr>
      <w:r w:rsidRPr="00E51EBA">
        <w:rPr>
          <w:sz w:val="22"/>
          <w:szCs w:val="22"/>
          <w:lang w:val="sr-Latn-ME"/>
        </w:rPr>
        <w:t>U slučaju primjene gentamicina na rane, prosječno se iz masti resorbuje 1,5 μg/cm</w:t>
      </w:r>
      <w:r w:rsidRPr="00E51EBA">
        <w:rPr>
          <w:sz w:val="22"/>
          <w:szCs w:val="22"/>
          <w:vertAlign w:val="superscript"/>
          <w:lang w:val="sr-Latn-ME"/>
        </w:rPr>
        <w:t>2</w:t>
      </w:r>
      <w:r w:rsidRPr="00E51EBA">
        <w:rPr>
          <w:sz w:val="22"/>
          <w:szCs w:val="22"/>
          <w:lang w:val="sr-Latn-ME"/>
        </w:rPr>
        <w:t xml:space="preserve"> površine rane. S ovim preparatom koncentracija u krvi nije veća od 1 μg/ml, što je otprilike 10% minimalne toksične doze. Kod opekotina, u serumu zabilježene koncentracije lokalno primijenjenog gentamicina iznose od 3-4,3 μg/ml. </w:t>
      </w:r>
    </w:p>
    <w:p w14:paraId="5E299032" w14:textId="77777777" w:rsidR="005D43C6" w:rsidRPr="00E51EBA" w:rsidRDefault="005D43C6" w:rsidP="008B00F2">
      <w:pPr>
        <w:jc w:val="both"/>
        <w:rPr>
          <w:sz w:val="22"/>
          <w:szCs w:val="22"/>
          <w:lang w:val="sr-Latn-ME"/>
        </w:rPr>
      </w:pPr>
    </w:p>
    <w:p w14:paraId="7B8DBCE8" w14:textId="77777777" w:rsidR="005D43C6" w:rsidRPr="00E51EBA" w:rsidRDefault="005D43C6">
      <w:pPr>
        <w:autoSpaceDE w:val="0"/>
        <w:autoSpaceDN w:val="0"/>
        <w:adjustRightInd w:val="0"/>
        <w:jc w:val="both"/>
        <w:rPr>
          <w:color w:val="000000"/>
          <w:sz w:val="22"/>
          <w:szCs w:val="22"/>
          <w:u w:val="single"/>
          <w:lang w:val="sr-Latn-ME"/>
        </w:rPr>
      </w:pPr>
      <w:r w:rsidRPr="00E51EBA">
        <w:rPr>
          <w:color w:val="000000"/>
          <w:sz w:val="22"/>
          <w:szCs w:val="22"/>
          <w:u w:val="single"/>
          <w:lang w:val="sr-Latn-ME"/>
        </w:rPr>
        <w:t>Distribucija</w:t>
      </w:r>
    </w:p>
    <w:p w14:paraId="0794FBF5" w14:textId="77777777" w:rsidR="005D43C6" w:rsidRPr="00E51EBA" w:rsidRDefault="005D43C6">
      <w:pPr>
        <w:tabs>
          <w:tab w:val="left" w:pos="284"/>
        </w:tabs>
        <w:jc w:val="both"/>
        <w:rPr>
          <w:sz w:val="22"/>
          <w:szCs w:val="22"/>
          <w:lang w:val="sr-Latn-ME"/>
        </w:rPr>
      </w:pPr>
      <w:r w:rsidRPr="00E51EBA">
        <w:rPr>
          <w:sz w:val="22"/>
          <w:szCs w:val="22"/>
          <w:lang w:val="sr-Latn-ME"/>
        </w:rPr>
        <w:t>Glukokortikoidi se u različitom stepenu vezuju za proteine plazme.</w:t>
      </w:r>
    </w:p>
    <w:p w14:paraId="79929A3A" w14:textId="77777777" w:rsidR="005D43C6" w:rsidRPr="00E51EBA" w:rsidRDefault="005D43C6">
      <w:pPr>
        <w:autoSpaceDE w:val="0"/>
        <w:autoSpaceDN w:val="0"/>
        <w:adjustRightInd w:val="0"/>
        <w:spacing w:before="120"/>
        <w:jc w:val="both"/>
        <w:rPr>
          <w:color w:val="000000"/>
          <w:sz w:val="22"/>
          <w:szCs w:val="22"/>
          <w:u w:val="single"/>
          <w:lang w:val="sr-Latn-ME"/>
        </w:rPr>
      </w:pPr>
      <w:r w:rsidRPr="00E51EBA">
        <w:rPr>
          <w:color w:val="000000"/>
          <w:sz w:val="22"/>
          <w:szCs w:val="22"/>
          <w:u w:val="single"/>
          <w:lang w:val="sr-Latn-ME"/>
        </w:rPr>
        <w:t>Biotransformacija i eliminacija</w:t>
      </w:r>
    </w:p>
    <w:p w14:paraId="08339411" w14:textId="77777777" w:rsidR="005D43C6" w:rsidRPr="00E51EBA" w:rsidRDefault="005D43C6">
      <w:pPr>
        <w:tabs>
          <w:tab w:val="left" w:pos="284"/>
        </w:tabs>
        <w:spacing w:before="80" w:after="80"/>
        <w:jc w:val="both"/>
        <w:rPr>
          <w:sz w:val="22"/>
          <w:szCs w:val="22"/>
          <w:lang w:val="sr-Latn-ME"/>
        </w:rPr>
      </w:pPr>
      <w:r w:rsidRPr="00E51EBA">
        <w:rPr>
          <w:sz w:val="22"/>
          <w:szCs w:val="22"/>
          <w:lang w:val="sr-Latn-ME"/>
        </w:rPr>
        <w:t xml:space="preserve">Glukokortikoidi se uglavnom metabolišu u jetri </w:t>
      </w:r>
      <w:r w:rsidRPr="00E51EBA">
        <w:rPr>
          <w:color w:val="222222"/>
          <w:sz w:val="22"/>
          <w:szCs w:val="22"/>
          <w:lang w:val="sr-Latn-ME"/>
        </w:rPr>
        <w:t>i izlučuju putem bubrega</w:t>
      </w:r>
      <w:r w:rsidRPr="00E51EBA">
        <w:rPr>
          <w:sz w:val="22"/>
          <w:szCs w:val="22"/>
          <w:lang w:val="sr-Latn-ME"/>
        </w:rPr>
        <w:t xml:space="preserve">. </w:t>
      </w:r>
    </w:p>
    <w:p w14:paraId="3DC4005B" w14:textId="0DF74964" w:rsidR="005D43C6" w:rsidRPr="00E51EBA" w:rsidRDefault="005D43C6">
      <w:pPr>
        <w:tabs>
          <w:tab w:val="left" w:pos="284"/>
        </w:tabs>
        <w:spacing w:before="80" w:after="80"/>
        <w:jc w:val="both"/>
        <w:rPr>
          <w:sz w:val="22"/>
          <w:szCs w:val="22"/>
          <w:lang w:val="sr-Latn-ME"/>
        </w:rPr>
      </w:pPr>
      <w:r w:rsidRPr="00E51EBA">
        <w:rPr>
          <w:sz w:val="22"/>
          <w:szCs w:val="22"/>
          <w:lang w:val="sr-Latn-ME"/>
        </w:rPr>
        <w:t>Kada se betametazon</w:t>
      </w:r>
      <w:r w:rsidR="00F83409" w:rsidRPr="00E51EBA">
        <w:rPr>
          <w:sz w:val="22"/>
          <w:szCs w:val="22"/>
          <w:lang w:val="sr-Latn-ME"/>
        </w:rPr>
        <w:t xml:space="preserve"> </w:t>
      </w:r>
      <w:r w:rsidRPr="00E51EBA">
        <w:rPr>
          <w:sz w:val="22"/>
          <w:szCs w:val="22"/>
          <w:lang w:val="sr-Latn-ME"/>
        </w:rPr>
        <w:t>dipropionat kod glodara primijeni intravenski, izlučuje se, kao i njegovi metaboliti, u stolici, što znači da se metaboliše u jetri i izlučuje putem žuči. Utvrđeno je da su betametazon-17-propionat i 6β- hidroksibetametazon-17-propionat glavni metaboliti.</w:t>
      </w:r>
      <w:r w:rsidR="007972EA" w:rsidRPr="00E51EBA">
        <w:rPr>
          <w:sz w:val="22"/>
          <w:szCs w:val="22"/>
          <w:lang w:val="sr-Latn-ME"/>
        </w:rPr>
        <w:t xml:space="preserve"> </w:t>
      </w:r>
    </w:p>
    <w:p w14:paraId="7DF70E92" w14:textId="0875D979" w:rsidR="00D37765" w:rsidRPr="00E51EBA" w:rsidRDefault="005D43C6" w:rsidP="00D37765">
      <w:pPr>
        <w:tabs>
          <w:tab w:val="center" w:pos="4536"/>
          <w:tab w:val="right" w:pos="9072"/>
        </w:tabs>
        <w:jc w:val="both"/>
        <w:rPr>
          <w:sz w:val="22"/>
          <w:szCs w:val="22"/>
          <w:lang w:val="sr-Latn-ME"/>
        </w:rPr>
      </w:pPr>
      <w:r w:rsidRPr="00E51EBA">
        <w:rPr>
          <w:sz w:val="22"/>
          <w:szCs w:val="22"/>
          <w:lang w:val="sr-Latn-ME"/>
        </w:rPr>
        <w:t>Glukokortikoidi se obično izlučuju putem bubrega. Poluvrijeme eliminacije iznosi približno 2 sata tokom prvih 8 do 12 sati, nakon čega se gentamicin postepeno oslobađa iz dubljih dijelova uz poluvrijeme eliminacije od 100 do 150 sati. Izlučuje se isključivo putem bubrega. Izlučuje se glomerularnom filtracijom u neizmijenjenom i biološki aktivnom obliku.</w:t>
      </w:r>
      <w:r w:rsidR="00D37765" w:rsidRPr="00E51EBA">
        <w:rPr>
          <w:sz w:val="22"/>
          <w:szCs w:val="22"/>
          <w:lang w:val="sr-Latn-ME"/>
        </w:rPr>
        <w:t xml:space="preserve"> Nakon lokalne primjene 0,1%-</w:t>
      </w:r>
      <w:r w:rsidR="00D37765" w:rsidRPr="00E51EBA">
        <w:rPr>
          <w:sz w:val="22"/>
          <w:szCs w:val="22"/>
          <w:lang w:val="sr-Latn-ME"/>
        </w:rPr>
        <w:lastRenderedPageBreak/>
        <w:t>tne masti resorpcija gentamicina kroz neoštećenu kožu iznosi otprilike 0,5% od ukupne primijenjene doze.</w:t>
      </w:r>
    </w:p>
    <w:p w14:paraId="13EC82CF" w14:textId="77777777" w:rsidR="005D43C6" w:rsidRPr="00E51EBA" w:rsidRDefault="005D43C6" w:rsidP="008B00F2">
      <w:pPr>
        <w:tabs>
          <w:tab w:val="center" w:pos="4536"/>
          <w:tab w:val="right" w:pos="9072"/>
        </w:tabs>
        <w:jc w:val="both"/>
        <w:rPr>
          <w:sz w:val="22"/>
          <w:szCs w:val="22"/>
          <w:lang w:val="sr-Latn-ME"/>
        </w:rPr>
      </w:pPr>
      <w:r w:rsidRPr="00E51EBA">
        <w:rPr>
          <w:sz w:val="22"/>
          <w:szCs w:val="22"/>
          <w:lang w:val="sr-Latn-ME"/>
        </w:rPr>
        <w:t>Zbog značajnog enzimskog mehanizma rezistencije na aminoglikozide, postoje brojni primjeri nepotpune, jednostrane i potpune paralelne rezistencije mikroorganizama na razne aminoglikozidne antibiotike.</w:t>
      </w:r>
    </w:p>
    <w:p w14:paraId="7D38377D" w14:textId="77777777" w:rsidR="0072020E" w:rsidRPr="00E51EBA" w:rsidRDefault="0072020E" w:rsidP="008B00F2">
      <w:pPr>
        <w:tabs>
          <w:tab w:val="left" w:pos="540"/>
          <w:tab w:val="left" w:pos="569"/>
        </w:tabs>
        <w:jc w:val="both"/>
        <w:rPr>
          <w:bCs/>
          <w:sz w:val="22"/>
          <w:szCs w:val="22"/>
          <w:lang w:val="sr-Latn-ME"/>
        </w:rPr>
      </w:pPr>
    </w:p>
    <w:p w14:paraId="70B5B0D7" w14:textId="141B2CF7" w:rsidR="0072020E" w:rsidRPr="00E51EBA" w:rsidRDefault="0072020E" w:rsidP="008B00F2">
      <w:pPr>
        <w:tabs>
          <w:tab w:val="left" w:pos="540"/>
          <w:tab w:val="left" w:pos="569"/>
        </w:tabs>
        <w:jc w:val="both"/>
        <w:rPr>
          <w:b/>
          <w:bCs/>
          <w:sz w:val="22"/>
          <w:szCs w:val="22"/>
          <w:lang w:val="sr-Latn-ME"/>
        </w:rPr>
      </w:pPr>
      <w:r w:rsidRPr="00E51EBA">
        <w:rPr>
          <w:b/>
          <w:bCs/>
          <w:sz w:val="22"/>
          <w:szCs w:val="22"/>
          <w:lang w:val="sr-Latn-ME"/>
        </w:rPr>
        <w:t xml:space="preserve">5.3. </w:t>
      </w:r>
      <w:r w:rsidR="00480FB1" w:rsidRPr="00E51EBA">
        <w:rPr>
          <w:b/>
          <w:bCs/>
          <w:sz w:val="22"/>
          <w:szCs w:val="22"/>
          <w:lang w:val="sr-Latn-ME"/>
        </w:rPr>
        <w:tab/>
      </w:r>
      <w:r w:rsidRPr="00E51EBA">
        <w:rPr>
          <w:b/>
          <w:bCs/>
          <w:sz w:val="22"/>
          <w:szCs w:val="22"/>
          <w:lang w:val="sr-Latn-ME"/>
        </w:rPr>
        <w:t xml:space="preserve">Pretklinički podaci o bezbjednosti </w:t>
      </w:r>
    </w:p>
    <w:p w14:paraId="7198AAF6" w14:textId="77777777" w:rsidR="00334E06" w:rsidRPr="00E51EBA" w:rsidRDefault="00334E06" w:rsidP="008B00F2">
      <w:pPr>
        <w:tabs>
          <w:tab w:val="left" w:pos="540"/>
          <w:tab w:val="left" w:pos="569"/>
        </w:tabs>
        <w:jc w:val="both"/>
        <w:rPr>
          <w:b/>
          <w:bCs/>
          <w:sz w:val="22"/>
          <w:szCs w:val="22"/>
          <w:lang w:val="sr-Latn-ME"/>
        </w:rPr>
      </w:pPr>
    </w:p>
    <w:p w14:paraId="7285E6DF" w14:textId="77777777" w:rsidR="004638E5" w:rsidRPr="00E51EBA" w:rsidRDefault="004638E5" w:rsidP="00A51629">
      <w:pPr>
        <w:tabs>
          <w:tab w:val="left" w:pos="284"/>
        </w:tabs>
        <w:jc w:val="both"/>
        <w:rPr>
          <w:sz w:val="22"/>
          <w:szCs w:val="22"/>
          <w:u w:val="single"/>
          <w:lang w:val="sr-Latn-ME"/>
        </w:rPr>
      </w:pPr>
      <w:r w:rsidRPr="00E51EBA">
        <w:rPr>
          <w:sz w:val="22"/>
          <w:szCs w:val="22"/>
          <w:u w:val="single"/>
          <w:lang w:val="sr-Latn-ME"/>
        </w:rPr>
        <w:t>Akutna toksičnost</w:t>
      </w:r>
    </w:p>
    <w:p w14:paraId="56B5CE19" w14:textId="410FAD4E" w:rsidR="00E15BF2" w:rsidRPr="00E51EBA" w:rsidRDefault="00E15BF2" w:rsidP="008B00F2">
      <w:pPr>
        <w:jc w:val="both"/>
        <w:rPr>
          <w:sz w:val="22"/>
          <w:szCs w:val="22"/>
          <w:lang w:val="sr-Latn-ME"/>
        </w:rPr>
      </w:pPr>
      <w:r w:rsidRPr="00E51EBA">
        <w:rPr>
          <w:sz w:val="22"/>
          <w:szCs w:val="22"/>
          <w:lang w:val="sr-Latn-ME"/>
        </w:rPr>
        <w:t>Kao i svi aminoglikozidni antibiotici</w:t>
      </w:r>
      <w:r w:rsidRPr="00E51EBA">
        <w:rPr>
          <w:rStyle w:val="hps"/>
          <w:sz w:val="22"/>
          <w:szCs w:val="22"/>
          <w:lang w:val="sr-Latn-ME"/>
        </w:rPr>
        <w:t xml:space="preserve"> , gentamicin</w:t>
      </w:r>
      <w:r w:rsidRPr="00E51EBA">
        <w:rPr>
          <w:sz w:val="22"/>
          <w:szCs w:val="22"/>
          <w:lang w:val="sr-Latn-ME"/>
        </w:rPr>
        <w:t xml:space="preserve"> </w:t>
      </w:r>
      <w:r w:rsidR="00334E06" w:rsidRPr="00E51EBA">
        <w:rPr>
          <w:sz w:val="22"/>
          <w:szCs w:val="22"/>
          <w:lang w:val="sr-Latn-ME"/>
        </w:rPr>
        <w:t xml:space="preserve">je potencijalno ototoksičan i nefrotoksičan. </w:t>
      </w:r>
      <w:r w:rsidR="005D43C6" w:rsidRPr="00E51EBA">
        <w:rPr>
          <w:sz w:val="22"/>
          <w:szCs w:val="22"/>
          <w:lang w:val="sr-Latn-ME"/>
        </w:rPr>
        <w:t>Pretklinički podaci dobijeni na osnovu standardnih testova akutnog toksičnog potencijala betametazona</w:t>
      </w:r>
      <w:r w:rsidR="00F83409" w:rsidRPr="00E51EBA">
        <w:rPr>
          <w:sz w:val="22"/>
          <w:szCs w:val="22"/>
          <w:lang w:val="sr-Latn-ME"/>
        </w:rPr>
        <w:t xml:space="preserve"> </w:t>
      </w:r>
      <w:r w:rsidR="005D43C6" w:rsidRPr="00E51EBA">
        <w:rPr>
          <w:sz w:val="22"/>
          <w:szCs w:val="22"/>
          <w:lang w:val="sr-Latn-ME"/>
        </w:rPr>
        <w:t xml:space="preserve">dipropionata, upućuju da njegova lokalna primjena u kombinaciji s gentamicinom nije rizična po ljude. </w:t>
      </w:r>
    </w:p>
    <w:p w14:paraId="77356EC7" w14:textId="3C885F1E" w:rsidR="004638E5" w:rsidRPr="00E51EBA" w:rsidRDefault="004638E5" w:rsidP="008B00F2">
      <w:pPr>
        <w:jc w:val="both"/>
        <w:rPr>
          <w:sz w:val="22"/>
          <w:szCs w:val="22"/>
          <w:lang w:val="sr-Latn-ME"/>
        </w:rPr>
      </w:pPr>
      <w:r w:rsidRPr="00E51EBA">
        <w:rPr>
          <w:sz w:val="22"/>
          <w:szCs w:val="22"/>
          <w:lang w:val="sr-Latn-ME"/>
        </w:rPr>
        <w:t>Betametazon</w:t>
      </w:r>
      <w:r w:rsidR="00F83409" w:rsidRPr="00E51EBA">
        <w:rPr>
          <w:sz w:val="22"/>
          <w:szCs w:val="22"/>
          <w:lang w:val="sr-Latn-ME"/>
        </w:rPr>
        <w:t xml:space="preserve"> </w:t>
      </w:r>
      <w:r w:rsidRPr="00E51EBA">
        <w:rPr>
          <w:sz w:val="22"/>
          <w:szCs w:val="22"/>
          <w:lang w:val="sr-Latn-ME"/>
        </w:rPr>
        <w:t>dipropionat</w:t>
      </w:r>
    </w:p>
    <w:p w14:paraId="508FB47F" w14:textId="77777777" w:rsidR="00CA3DB1" w:rsidRPr="00E51EBA" w:rsidRDefault="00CA3DB1" w:rsidP="008B00F2">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4638E5" w:rsidRPr="00E51EBA" w14:paraId="303C0C5F" w14:textId="77777777" w:rsidTr="00D05291">
        <w:tc>
          <w:tcPr>
            <w:tcW w:w="988" w:type="dxa"/>
            <w:shd w:val="clear" w:color="auto" w:fill="auto"/>
          </w:tcPr>
          <w:p w14:paraId="57E7BBFB"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Vrsta</w:t>
            </w:r>
          </w:p>
        </w:tc>
        <w:tc>
          <w:tcPr>
            <w:tcW w:w="2126" w:type="dxa"/>
            <w:shd w:val="clear" w:color="auto" w:fill="auto"/>
          </w:tcPr>
          <w:p w14:paraId="70237767"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Način primjene</w:t>
            </w:r>
          </w:p>
        </w:tc>
        <w:tc>
          <w:tcPr>
            <w:tcW w:w="1559" w:type="dxa"/>
            <w:shd w:val="clear" w:color="auto" w:fill="auto"/>
          </w:tcPr>
          <w:p w14:paraId="1BA8A7DA"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LD</w:t>
            </w:r>
            <w:r w:rsidRPr="00E51EBA">
              <w:rPr>
                <w:sz w:val="22"/>
                <w:szCs w:val="22"/>
                <w:vertAlign w:val="subscript"/>
                <w:lang w:val="sr-Latn-ME"/>
              </w:rPr>
              <w:t>50</w:t>
            </w:r>
            <w:r w:rsidRPr="00E51EBA">
              <w:rPr>
                <w:sz w:val="22"/>
                <w:szCs w:val="22"/>
                <w:lang w:val="sr-Latn-ME"/>
              </w:rPr>
              <w:t>* (mg/kg)</w:t>
            </w:r>
          </w:p>
        </w:tc>
      </w:tr>
      <w:tr w:rsidR="004638E5" w:rsidRPr="00E51EBA" w14:paraId="435AB167" w14:textId="77777777" w:rsidTr="00D05291">
        <w:tc>
          <w:tcPr>
            <w:tcW w:w="988" w:type="dxa"/>
            <w:shd w:val="clear" w:color="auto" w:fill="auto"/>
          </w:tcPr>
          <w:p w14:paraId="0AB35881"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Miš</w:t>
            </w:r>
          </w:p>
        </w:tc>
        <w:tc>
          <w:tcPr>
            <w:tcW w:w="2126" w:type="dxa"/>
            <w:shd w:val="clear" w:color="auto" w:fill="auto"/>
          </w:tcPr>
          <w:p w14:paraId="1D5704FD"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oralno</w:t>
            </w:r>
          </w:p>
        </w:tc>
        <w:tc>
          <w:tcPr>
            <w:tcW w:w="1559" w:type="dxa"/>
            <w:shd w:val="clear" w:color="auto" w:fill="auto"/>
          </w:tcPr>
          <w:p w14:paraId="2E671343"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2000</w:t>
            </w:r>
          </w:p>
        </w:tc>
      </w:tr>
      <w:tr w:rsidR="004638E5" w:rsidRPr="00E51EBA" w14:paraId="09D24A52" w14:textId="77777777" w:rsidTr="00D05291">
        <w:tc>
          <w:tcPr>
            <w:tcW w:w="988" w:type="dxa"/>
            <w:shd w:val="clear" w:color="auto" w:fill="auto"/>
          </w:tcPr>
          <w:p w14:paraId="0954A1E0"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Pacov</w:t>
            </w:r>
          </w:p>
        </w:tc>
        <w:tc>
          <w:tcPr>
            <w:tcW w:w="2126" w:type="dxa"/>
            <w:shd w:val="clear" w:color="auto" w:fill="auto"/>
          </w:tcPr>
          <w:p w14:paraId="0ED2BF9B"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oralno</w:t>
            </w:r>
          </w:p>
        </w:tc>
        <w:tc>
          <w:tcPr>
            <w:tcW w:w="1559" w:type="dxa"/>
            <w:shd w:val="clear" w:color="auto" w:fill="auto"/>
          </w:tcPr>
          <w:p w14:paraId="460D5DBF"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6000</w:t>
            </w:r>
          </w:p>
        </w:tc>
      </w:tr>
    </w:tbl>
    <w:p w14:paraId="00B6B382" w14:textId="11785671" w:rsidR="00334E06" w:rsidRPr="00E51EBA" w:rsidRDefault="004638E5" w:rsidP="00A51629">
      <w:pPr>
        <w:tabs>
          <w:tab w:val="left" w:pos="284"/>
        </w:tabs>
        <w:spacing w:after="120"/>
        <w:jc w:val="both"/>
        <w:rPr>
          <w:sz w:val="22"/>
          <w:szCs w:val="22"/>
          <w:lang w:val="sr-Latn-ME"/>
        </w:rPr>
      </w:pPr>
      <w:r w:rsidRPr="00E51EBA">
        <w:rPr>
          <w:sz w:val="22"/>
          <w:szCs w:val="22"/>
          <w:lang w:val="sr-Latn-ME"/>
        </w:rPr>
        <w:t>* izračunat</w:t>
      </w:r>
      <w:r w:rsidR="00D37765" w:rsidRPr="00E51EBA">
        <w:rPr>
          <w:sz w:val="22"/>
          <w:szCs w:val="22"/>
          <w:lang w:val="sr-Latn-ME"/>
        </w:rPr>
        <w:t>o</w:t>
      </w:r>
      <w:r w:rsidRPr="00E51EBA">
        <w:rPr>
          <w:sz w:val="22"/>
          <w:szCs w:val="22"/>
          <w:lang w:val="sr-Latn-ME"/>
        </w:rPr>
        <w:t xml:space="preserve"> kao slobodni betametazon</w:t>
      </w:r>
    </w:p>
    <w:p w14:paraId="57CA0A9A"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Gentamicin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559"/>
      </w:tblGrid>
      <w:tr w:rsidR="004638E5" w:rsidRPr="00E51EBA" w14:paraId="04109077" w14:textId="77777777" w:rsidTr="00D05291">
        <w:tc>
          <w:tcPr>
            <w:tcW w:w="988" w:type="dxa"/>
            <w:shd w:val="clear" w:color="auto" w:fill="auto"/>
          </w:tcPr>
          <w:p w14:paraId="7D05ACA1" w14:textId="77777777" w:rsidR="004638E5" w:rsidRPr="00E51EBA" w:rsidRDefault="004638E5">
            <w:pPr>
              <w:tabs>
                <w:tab w:val="left" w:pos="284"/>
              </w:tabs>
              <w:spacing w:after="120"/>
              <w:jc w:val="both"/>
              <w:rPr>
                <w:sz w:val="22"/>
                <w:szCs w:val="22"/>
                <w:lang w:val="sr-Latn-ME"/>
              </w:rPr>
            </w:pPr>
            <w:r w:rsidRPr="00E51EBA">
              <w:rPr>
                <w:sz w:val="22"/>
                <w:szCs w:val="22"/>
                <w:lang w:val="sr-Latn-ME"/>
              </w:rPr>
              <w:t>Vrsta</w:t>
            </w:r>
          </w:p>
        </w:tc>
        <w:tc>
          <w:tcPr>
            <w:tcW w:w="2126" w:type="dxa"/>
            <w:shd w:val="clear" w:color="auto" w:fill="auto"/>
          </w:tcPr>
          <w:p w14:paraId="5DBC91E6"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Način primjene</w:t>
            </w:r>
          </w:p>
        </w:tc>
        <w:tc>
          <w:tcPr>
            <w:tcW w:w="1559" w:type="dxa"/>
            <w:shd w:val="clear" w:color="auto" w:fill="auto"/>
          </w:tcPr>
          <w:p w14:paraId="263616AC" w14:textId="77777777" w:rsidR="004638E5" w:rsidRPr="00E51EBA" w:rsidRDefault="004638E5" w:rsidP="008B00F2">
            <w:pPr>
              <w:tabs>
                <w:tab w:val="left" w:pos="284"/>
              </w:tabs>
              <w:spacing w:after="120"/>
              <w:jc w:val="both"/>
              <w:rPr>
                <w:sz w:val="22"/>
                <w:szCs w:val="22"/>
                <w:lang w:val="sr-Latn-ME"/>
              </w:rPr>
            </w:pPr>
            <w:r w:rsidRPr="00E51EBA">
              <w:rPr>
                <w:sz w:val="22"/>
                <w:szCs w:val="22"/>
                <w:lang w:val="sr-Latn-ME"/>
              </w:rPr>
              <w:t>LD</w:t>
            </w:r>
            <w:r w:rsidRPr="00E51EBA">
              <w:rPr>
                <w:sz w:val="22"/>
                <w:szCs w:val="22"/>
                <w:vertAlign w:val="subscript"/>
                <w:lang w:val="sr-Latn-ME"/>
              </w:rPr>
              <w:t>50</w:t>
            </w:r>
            <w:r w:rsidRPr="00E51EBA">
              <w:rPr>
                <w:sz w:val="22"/>
                <w:szCs w:val="22"/>
                <w:lang w:val="sr-Latn-ME"/>
              </w:rPr>
              <w:t>* (mg/kg)</w:t>
            </w:r>
          </w:p>
        </w:tc>
      </w:tr>
      <w:tr w:rsidR="004638E5" w:rsidRPr="00E51EBA" w14:paraId="4FE9B1D1" w14:textId="77777777" w:rsidTr="00D05291">
        <w:tc>
          <w:tcPr>
            <w:tcW w:w="988" w:type="dxa"/>
            <w:shd w:val="clear" w:color="auto" w:fill="auto"/>
            <w:vAlign w:val="center"/>
          </w:tcPr>
          <w:p w14:paraId="0A82DFC1"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Miš</w:t>
            </w:r>
          </w:p>
        </w:tc>
        <w:tc>
          <w:tcPr>
            <w:tcW w:w="2126" w:type="dxa"/>
            <w:shd w:val="clear" w:color="auto" w:fill="auto"/>
          </w:tcPr>
          <w:p w14:paraId="59CE9D45"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supkutano</w:t>
            </w:r>
          </w:p>
          <w:p w14:paraId="667435B5"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oralno</w:t>
            </w:r>
          </w:p>
          <w:p w14:paraId="133D5233"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intraperitonealno</w:t>
            </w:r>
          </w:p>
          <w:p w14:paraId="32872227" w14:textId="77777777" w:rsidR="004638E5" w:rsidRPr="00E51EBA" w:rsidRDefault="004638E5" w:rsidP="008B00F2">
            <w:pPr>
              <w:tabs>
                <w:tab w:val="left" w:pos="284"/>
              </w:tabs>
              <w:jc w:val="both"/>
              <w:rPr>
                <w:sz w:val="22"/>
                <w:szCs w:val="22"/>
                <w:lang w:val="sr-Latn-ME"/>
              </w:rPr>
            </w:pPr>
            <w:r w:rsidRPr="00E51EBA">
              <w:rPr>
                <w:sz w:val="22"/>
                <w:szCs w:val="22"/>
                <w:lang w:val="sr-Latn-ME"/>
              </w:rPr>
              <w:t>intravenski</w:t>
            </w:r>
          </w:p>
        </w:tc>
        <w:tc>
          <w:tcPr>
            <w:tcW w:w="1559" w:type="dxa"/>
            <w:shd w:val="clear" w:color="auto" w:fill="auto"/>
          </w:tcPr>
          <w:p w14:paraId="053611C8"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 xml:space="preserve">485 </w:t>
            </w:r>
          </w:p>
          <w:p w14:paraId="0654D072"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 xml:space="preserve">9050 </w:t>
            </w:r>
          </w:p>
          <w:p w14:paraId="7ECD4E06"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 xml:space="preserve">430 </w:t>
            </w:r>
          </w:p>
          <w:p w14:paraId="25372741" w14:textId="77777777" w:rsidR="004638E5" w:rsidRPr="00E51EBA" w:rsidRDefault="004638E5" w:rsidP="008B00F2">
            <w:pPr>
              <w:tabs>
                <w:tab w:val="left" w:pos="284"/>
              </w:tabs>
              <w:jc w:val="both"/>
              <w:rPr>
                <w:sz w:val="22"/>
                <w:szCs w:val="22"/>
                <w:lang w:val="sr-Latn-ME"/>
              </w:rPr>
            </w:pPr>
            <w:r w:rsidRPr="00E51EBA">
              <w:rPr>
                <w:sz w:val="22"/>
                <w:szCs w:val="22"/>
                <w:lang w:val="sr-Latn-ME"/>
              </w:rPr>
              <w:t>75</w:t>
            </w:r>
          </w:p>
        </w:tc>
      </w:tr>
      <w:tr w:rsidR="004638E5" w:rsidRPr="00E51EBA" w14:paraId="6970F90D" w14:textId="77777777" w:rsidTr="00D05291">
        <w:tc>
          <w:tcPr>
            <w:tcW w:w="988" w:type="dxa"/>
            <w:shd w:val="clear" w:color="auto" w:fill="auto"/>
            <w:vAlign w:val="center"/>
          </w:tcPr>
          <w:p w14:paraId="53578A86"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Pacov</w:t>
            </w:r>
          </w:p>
        </w:tc>
        <w:tc>
          <w:tcPr>
            <w:tcW w:w="2126" w:type="dxa"/>
            <w:shd w:val="clear" w:color="auto" w:fill="auto"/>
          </w:tcPr>
          <w:p w14:paraId="606A0A39"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supkutano</w:t>
            </w:r>
          </w:p>
          <w:p w14:paraId="5F171ADA"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oralno</w:t>
            </w:r>
          </w:p>
          <w:p w14:paraId="146DF77D"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intraperitonealno</w:t>
            </w:r>
          </w:p>
          <w:p w14:paraId="59BC252A" w14:textId="77777777" w:rsidR="004638E5" w:rsidRPr="00E51EBA" w:rsidRDefault="004638E5" w:rsidP="008B00F2">
            <w:pPr>
              <w:tabs>
                <w:tab w:val="left" w:pos="284"/>
              </w:tabs>
              <w:jc w:val="both"/>
              <w:rPr>
                <w:sz w:val="22"/>
                <w:szCs w:val="22"/>
                <w:lang w:val="sr-Latn-ME"/>
              </w:rPr>
            </w:pPr>
            <w:r w:rsidRPr="00E51EBA">
              <w:rPr>
                <w:sz w:val="22"/>
                <w:szCs w:val="22"/>
                <w:lang w:val="sr-Latn-ME"/>
              </w:rPr>
              <w:t>intravenski</w:t>
            </w:r>
          </w:p>
        </w:tc>
        <w:tc>
          <w:tcPr>
            <w:tcW w:w="1559" w:type="dxa"/>
            <w:shd w:val="clear" w:color="auto" w:fill="auto"/>
          </w:tcPr>
          <w:p w14:paraId="21EAA349" w14:textId="77777777" w:rsidR="004638E5" w:rsidRPr="00E51EBA" w:rsidRDefault="004638E5" w:rsidP="008B00F2">
            <w:pPr>
              <w:tabs>
                <w:tab w:val="left" w:pos="284"/>
              </w:tabs>
              <w:jc w:val="both"/>
              <w:rPr>
                <w:sz w:val="22"/>
                <w:szCs w:val="22"/>
                <w:lang w:val="sr-Latn-ME"/>
              </w:rPr>
            </w:pPr>
            <w:r w:rsidRPr="00E51EBA">
              <w:rPr>
                <w:sz w:val="22"/>
                <w:szCs w:val="22"/>
                <w:lang w:val="sr-Latn-ME"/>
              </w:rPr>
              <w:t>850</w:t>
            </w:r>
          </w:p>
          <w:p w14:paraId="4186F7FE" w14:textId="77777777" w:rsidR="004638E5" w:rsidRPr="00E51EBA" w:rsidRDefault="004638E5" w:rsidP="008B00F2">
            <w:pPr>
              <w:tabs>
                <w:tab w:val="left" w:pos="284"/>
              </w:tabs>
              <w:jc w:val="both"/>
              <w:rPr>
                <w:sz w:val="22"/>
                <w:szCs w:val="22"/>
                <w:lang w:val="sr-Latn-ME"/>
              </w:rPr>
            </w:pPr>
            <w:r w:rsidRPr="00E51EBA">
              <w:rPr>
                <w:sz w:val="22"/>
                <w:szCs w:val="22"/>
                <w:lang w:val="sr-Latn-ME"/>
              </w:rPr>
              <w:t>&gt; 20000</w:t>
            </w:r>
          </w:p>
          <w:p w14:paraId="71E4A842" w14:textId="77777777" w:rsidR="004638E5" w:rsidRPr="00E51EBA" w:rsidRDefault="004638E5" w:rsidP="008B00F2">
            <w:pPr>
              <w:tabs>
                <w:tab w:val="left" w:pos="284"/>
              </w:tabs>
              <w:jc w:val="both"/>
              <w:rPr>
                <w:sz w:val="22"/>
                <w:szCs w:val="22"/>
                <w:lang w:val="sr-Latn-ME"/>
              </w:rPr>
            </w:pPr>
            <w:r w:rsidRPr="00E51EBA">
              <w:rPr>
                <w:sz w:val="22"/>
                <w:szCs w:val="22"/>
                <w:lang w:val="sr-Latn-ME"/>
              </w:rPr>
              <w:t>980</w:t>
            </w:r>
          </w:p>
          <w:p w14:paraId="6C17D5C6" w14:textId="77777777" w:rsidR="004638E5" w:rsidRPr="00E51EBA" w:rsidRDefault="004638E5" w:rsidP="008B00F2">
            <w:pPr>
              <w:tabs>
                <w:tab w:val="left" w:pos="284"/>
              </w:tabs>
              <w:jc w:val="both"/>
              <w:rPr>
                <w:sz w:val="22"/>
                <w:szCs w:val="22"/>
                <w:lang w:val="sr-Latn-ME"/>
              </w:rPr>
            </w:pPr>
            <w:r w:rsidRPr="00E51EBA">
              <w:rPr>
                <w:sz w:val="22"/>
                <w:szCs w:val="22"/>
                <w:lang w:val="sr-Latn-ME"/>
              </w:rPr>
              <w:t>19</w:t>
            </w:r>
          </w:p>
        </w:tc>
      </w:tr>
      <w:tr w:rsidR="004638E5" w:rsidRPr="00E51EBA" w14:paraId="19D9D1EA" w14:textId="77777777" w:rsidTr="00D05291">
        <w:tc>
          <w:tcPr>
            <w:tcW w:w="988" w:type="dxa"/>
            <w:shd w:val="clear" w:color="auto" w:fill="auto"/>
            <w:vAlign w:val="center"/>
          </w:tcPr>
          <w:p w14:paraId="2E0F45C2" w14:textId="77777777" w:rsidR="004638E5" w:rsidRPr="00E51EBA" w:rsidRDefault="004638E5" w:rsidP="00A51629">
            <w:pPr>
              <w:tabs>
                <w:tab w:val="left" w:pos="284"/>
              </w:tabs>
              <w:spacing w:after="120"/>
              <w:jc w:val="both"/>
              <w:rPr>
                <w:sz w:val="22"/>
                <w:szCs w:val="22"/>
                <w:lang w:val="sr-Latn-ME"/>
              </w:rPr>
            </w:pPr>
            <w:r w:rsidRPr="00E51EBA">
              <w:rPr>
                <w:sz w:val="22"/>
                <w:szCs w:val="22"/>
                <w:lang w:val="sr-Latn-ME"/>
              </w:rPr>
              <w:t>Kunić</w:t>
            </w:r>
          </w:p>
        </w:tc>
        <w:tc>
          <w:tcPr>
            <w:tcW w:w="2126" w:type="dxa"/>
            <w:shd w:val="clear" w:color="auto" w:fill="auto"/>
          </w:tcPr>
          <w:p w14:paraId="1AF3FBBF"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supkutano</w:t>
            </w:r>
          </w:p>
          <w:p w14:paraId="1D0D80D1" w14:textId="77777777" w:rsidR="004638E5" w:rsidRPr="00E51EBA" w:rsidRDefault="004638E5" w:rsidP="008B00F2">
            <w:pPr>
              <w:autoSpaceDE w:val="0"/>
              <w:autoSpaceDN w:val="0"/>
              <w:adjustRightInd w:val="0"/>
              <w:jc w:val="both"/>
              <w:rPr>
                <w:color w:val="000000"/>
                <w:sz w:val="22"/>
                <w:szCs w:val="22"/>
                <w:lang w:val="sr-Latn-ME"/>
              </w:rPr>
            </w:pPr>
            <w:r w:rsidRPr="00E51EBA">
              <w:rPr>
                <w:color w:val="000000"/>
                <w:sz w:val="22"/>
                <w:szCs w:val="22"/>
                <w:lang w:val="sr-Latn-ME"/>
              </w:rPr>
              <w:t>intraperitonealno</w:t>
            </w:r>
          </w:p>
          <w:p w14:paraId="2A138EC5" w14:textId="77777777" w:rsidR="004638E5" w:rsidRPr="00E51EBA" w:rsidRDefault="004638E5" w:rsidP="008B00F2">
            <w:pPr>
              <w:tabs>
                <w:tab w:val="left" w:pos="284"/>
              </w:tabs>
              <w:jc w:val="both"/>
              <w:rPr>
                <w:sz w:val="22"/>
                <w:szCs w:val="22"/>
                <w:lang w:val="sr-Latn-ME"/>
              </w:rPr>
            </w:pPr>
            <w:r w:rsidRPr="00E51EBA">
              <w:rPr>
                <w:sz w:val="22"/>
                <w:szCs w:val="22"/>
                <w:lang w:val="sr-Latn-ME"/>
              </w:rPr>
              <w:t>intravenski</w:t>
            </w:r>
          </w:p>
        </w:tc>
        <w:tc>
          <w:tcPr>
            <w:tcW w:w="1559" w:type="dxa"/>
            <w:shd w:val="clear" w:color="auto" w:fill="auto"/>
          </w:tcPr>
          <w:p w14:paraId="4B58E1EC" w14:textId="77777777" w:rsidR="004638E5" w:rsidRPr="00E51EBA" w:rsidRDefault="004638E5" w:rsidP="008B00F2">
            <w:pPr>
              <w:tabs>
                <w:tab w:val="left" w:pos="284"/>
              </w:tabs>
              <w:jc w:val="both"/>
              <w:rPr>
                <w:sz w:val="22"/>
                <w:szCs w:val="22"/>
                <w:lang w:val="sr-Latn-ME"/>
              </w:rPr>
            </w:pPr>
            <w:r w:rsidRPr="00E51EBA">
              <w:rPr>
                <w:sz w:val="22"/>
                <w:szCs w:val="22"/>
                <w:lang w:val="sr-Latn-ME"/>
              </w:rPr>
              <w:t>1230</w:t>
            </w:r>
          </w:p>
          <w:p w14:paraId="2BE00A14" w14:textId="77777777" w:rsidR="004638E5" w:rsidRPr="00E51EBA" w:rsidRDefault="004638E5" w:rsidP="008B00F2">
            <w:pPr>
              <w:tabs>
                <w:tab w:val="left" w:pos="284"/>
              </w:tabs>
              <w:jc w:val="both"/>
              <w:rPr>
                <w:sz w:val="22"/>
                <w:szCs w:val="22"/>
                <w:lang w:val="sr-Latn-ME"/>
              </w:rPr>
            </w:pPr>
            <w:r w:rsidRPr="00E51EBA">
              <w:rPr>
                <w:sz w:val="22"/>
                <w:szCs w:val="22"/>
                <w:lang w:val="sr-Latn-ME"/>
              </w:rPr>
              <w:t>1350</w:t>
            </w:r>
          </w:p>
          <w:p w14:paraId="4CEF77F5" w14:textId="77777777" w:rsidR="004638E5" w:rsidRPr="00E51EBA" w:rsidRDefault="004638E5" w:rsidP="008B00F2">
            <w:pPr>
              <w:tabs>
                <w:tab w:val="left" w:pos="284"/>
              </w:tabs>
              <w:jc w:val="both"/>
              <w:rPr>
                <w:sz w:val="22"/>
                <w:szCs w:val="22"/>
                <w:lang w:val="sr-Latn-ME"/>
              </w:rPr>
            </w:pPr>
            <w:r w:rsidRPr="00E51EBA">
              <w:rPr>
                <w:sz w:val="22"/>
                <w:szCs w:val="22"/>
                <w:lang w:val="sr-Latn-ME"/>
              </w:rPr>
              <w:t>81</w:t>
            </w:r>
          </w:p>
        </w:tc>
      </w:tr>
    </w:tbl>
    <w:p w14:paraId="30B1D02F" w14:textId="77777777" w:rsidR="00334E06" w:rsidRPr="00E51EBA" w:rsidRDefault="00334E06" w:rsidP="00A51629">
      <w:pPr>
        <w:tabs>
          <w:tab w:val="left" w:pos="284"/>
        </w:tabs>
        <w:spacing w:after="120"/>
        <w:jc w:val="both"/>
        <w:rPr>
          <w:sz w:val="22"/>
          <w:szCs w:val="22"/>
          <w:u w:val="single"/>
          <w:lang w:val="sr-Latn-ME"/>
        </w:rPr>
      </w:pPr>
    </w:p>
    <w:p w14:paraId="3CD2BA38" w14:textId="308C5EBC" w:rsidR="00334E06" w:rsidRPr="00E51EBA" w:rsidRDefault="004638E5" w:rsidP="00A51629">
      <w:pPr>
        <w:tabs>
          <w:tab w:val="left" w:pos="284"/>
        </w:tabs>
        <w:spacing w:after="120"/>
        <w:jc w:val="both"/>
        <w:rPr>
          <w:sz w:val="22"/>
          <w:szCs w:val="22"/>
          <w:u w:val="single"/>
          <w:lang w:val="sr-Latn-ME"/>
        </w:rPr>
      </w:pPr>
      <w:r w:rsidRPr="00E51EBA">
        <w:rPr>
          <w:sz w:val="22"/>
          <w:szCs w:val="22"/>
          <w:u w:val="single"/>
          <w:lang w:val="sr-Latn-ME"/>
        </w:rPr>
        <w:t>Hronična toksičnost</w:t>
      </w:r>
    </w:p>
    <w:p w14:paraId="1FC3929D" w14:textId="76E48AC0" w:rsidR="004638E5" w:rsidRPr="00E51EBA" w:rsidRDefault="004638E5" w:rsidP="00A51629">
      <w:pPr>
        <w:tabs>
          <w:tab w:val="left" w:pos="284"/>
        </w:tabs>
        <w:jc w:val="both"/>
        <w:rPr>
          <w:sz w:val="22"/>
          <w:szCs w:val="22"/>
          <w:lang w:val="sr-Latn-ME"/>
        </w:rPr>
      </w:pPr>
      <w:r w:rsidRPr="00E51EBA">
        <w:rPr>
          <w:sz w:val="22"/>
          <w:szCs w:val="22"/>
          <w:lang w:val="sr-Latn-ME"/>
        </w:rPr>
        <w:t>Betametazon</w:t>
      </w:r>
      <w:r w:rsidR="00F83409" w:rsidRPr="00E51EBA">
        <w:rPr>
          <w:sz w:val="22"/>
          <w:szCs w:val="22"/>
          <w:lang w:val="sr-Latn-ME"/>
        </w:rPr>
        <w:t xml:space="preserve"> </w:t>
      </w:r>
      <w:r w:rsidRPr="00E51EBA">
        <w:rPr>
          <w:sz w:val="22"/>
          <w:szCs w:val="22"/>
          <w:lang w:val="sr-Latn-ME"/>
        </w:rPr>
        <w:t>dipropionat</w:t>
      </w:r>
    </w:p>
    <w:p w14:paraId="2CDC573F" w14:textId="75754154" w:rsidR="004638E5" w:rsidRPr="00E51EBA" w:rsidRDefault="004638E5">
      <w:pPr>
        <w:tabs>
          <w:tab w:val="left" w:pos="284"/>
        </w:tabs>
        <w:jc w:val="both"/>
        <w:rPr>
          <w:sz w:val="22"/>
          <w:szCs w:val="22"/>
          <w:lang w:val="sr-Latn-ME"/>
        </w:rPr>
      </w:pPr>
      <w:r w:rsidRPr="00E51EBA">
        <w:rPr>
          <w:sz w:val="22"/>
          <w:szCs w:val="22"/>
          <w:lang w:val="sr-Latn-ME"/>
        </w:rPr>
        <w:t>Ispitivanja hronične i subhronične toksičnosti betametazon</w:t>
      </w:r>
      <w:r w:rsidR="00F83409" w:rsidRPr="00E51EBA">
        <w:rPr>
          <w:sz w:val="22"/>
          <w:szCs w:val="22"/>
          <w:lang w:val="sr-Latn-ME"/>
        </w:rPr>
        <w:t xml:space="preserve"> </w:t>
      </w:r>
      <w:r w:rsidRPr="00E51EBA">
        <w:rPr>
          <w:sz w:val="22"/>
          <w:szCs w:val="22"/>
          <w:lang w:val="sr-Latn-ME"/>
        </w:rPr>
        <w:t>dipropionata pokazala su znake predoziranja glukokortikoidima koji su dozno zavisni, nakon oralne ili dermalne upotrebe (npr. povećane vrijednosti glukoze i holesterola u serumu, smanjenje broja limfocita u perifernoj krvi, depresija koštane srži, atrofične promjene slezine, timusa i nadbubrežne žlijezde i smanjenje dobijanja na tjelesnoj masi).</w:t>
      </w:r>
    </w:p>
    <w:p w14:paraId="6719B9A2" w14:textId="5098DD01" w:rsidR="004638E5" w:rsidRPr="00E51EBA" w:rsidRDefault="004638E5" w:rsidP="00A51629">
      <w:pPr>
        <w:tabs>
          <w:tab w:val="left" w:pos="284"/>
        </w:tabs>
        <w:spacing w:before="120"/>
        <w:jc w:val="both"/>
        <w:rPr>
          <w:sz w:val="22"/>
          <w:szCs w:val="22"/>
          <w:lang w:val="sr-Latn-ME"/>
        </w:rPr>
      </w:pPr>
      <w:r w:rsidRPr="00E51EBA">
        <w:rPr>
          <w:sz w:val="22"/>
          <w:szCs w:val="22"/>
          <w:lang w:val="sr-Latn-ME"/>
        </w:rPr>
        <w:t>Gentamicin</w:t>
      </w:r>
      <w:r w:rsidR="00D37765" w:rsidRPr="00E51EBA">
        <w:rPr>
          <w:sz w:val="22"/>
          <w:szCs w:val="22"/>
          <w:lang w:val="sr-Latn-ME"/>
        </w:rPr>
        <w:t xml:space="preserve"> </w:t>
      </w:r>
      <w:r w:rsidRPr="00E51EBA">
        <w:rPr>
          <w:sz w:val="22"/>
          <w:szCs w:val="22"/>
          <w:lang w:val="sr-Latn-ME"/>
        </w:rPr>
        <w:t>sulfat</w:t>
      </w:r>
    </w:p>
    <w:p w14:paraId="60F3650D" w14:textId="77777777" w:rsidR="004638E5" w:rsidRPr="00E51EBA" w:rsidRDefault="004638E5" w:rsidP="00A51629">
      <w:pPr>
        <w:tabs>
          <w:tab w:val="left" w:pos="284"/>
        </w:tabs>
        <w:jc w:val="both"/>
        <w:rPr>
          <w:sz w:val="22"/>
          <w:szCs w:val="22"/>
          <w:lang w:val="sr-Latn-ME"/>
        </w:rPr>
      </w:pPr>
      <w:r w:rsidRPr="00E51EBA">
        <w:rPr>
          <w:sz w:val="22"/>
          <w:szCs w:val="22"/>
          <w:lang w:val="sr-Latn-ME"/>
        </w:rPr>
        <w:t xml:space="preserve">Dostupan je veliki broj podataka o subakutnoj i hroničnoj sistemskoj toksičnosti gentamicina. Kao i svi aminoglikozidni antibiotici, gentamicin je potencijalno ototoksičan i nefrotoksičan. U do sada sprovedenim </w:t>
      </w:r>
      <w:r w:rsidRPr="00E51EBA">
        <w:rPr>
          <w:i/>
          <w:sz w:val="22"/>
          <w:szCs w:val="22"/>
          <w:lang w:val="sr-Latn-ME"/>
        </w:rPr>
        <w:t>in vitro</w:t>
      </w:r>
      <w:r w:rsidRPr="00E51EBA">
        <w:rPr>
          <w:sz w:val="22"/>
          <w:szCs w:val="22"/>
          <w:lang w:val="sr-Latn-ME"/>
        </w:rPr>
        <w:t xml:space="preserve"> ispitivanjima gentamicina nije otkriven dokaz o klinički značajnom genotoksičnom potencijalu.</w:t>
      </w:r>
    </w:p>
    <w:p w14:paraId="61A07550" w14:textId="34526392" w:rsidR="006B79BF" w:rsidRPr="00E51EBA" w:rsidRDefault="004638E5" w:rsidP="00A51629">
      <w:pPr>
        <w:tabs>
          <w:tab w:val="left" w:pos="284"/>
        </w:tabs>
        <w:jc w:val="both"/>
        <w:rPr>
          <w:sz w:val="22"/>
          <w:szCs w:val="22"/>
          <w:lang w:val="sr-Latn-ME"/>
        </w:rPr>
      </w:pPr>
      <w:r w:rsidRPr="00E51EBA">
        <w:rPr>
          <w:sz w:val="22"/>
          <w:szCs w:val="22"/>
          <w:lang w:val="sr-Latn-ME"/>
        </w:rPr>
        <w:t xml:space="preserve">S obzirom na prethodna iskustva, generalno se ne očekuju sistemska neželjena dejstva uz ispravnu lokalnu primjenu gentamicina. </w:t>
      </w:r>
      <w:r w:rsidR="00E15BF2" w:rsidRPr="00E51EBA">
        <w:rPr>
          <w:sz w:val="22"/>
          <w:szCs w:val="22"/>
          <w:lang w:val="sr-Latn-ME"/>
        </w:rPr>
        <w:t>Primjena na ranama velikih površina i dugotrajna primjena povezana je sa rizikom od pojave toksičnih koncentracija u serumu usljed povećane resorpcije,</w:t>
      </w:r>
      <w:r w:rsidR="006B79BF" w:rsidRPr="00E51EBA">
        <w:rPr>
          <w:rStyle w:val="hps"/>
          <w:sz w:val="22"/>
          <w:szCs w:val="22"/>
          <w:lang w:val="sr-Latn-ME"/>
        </w:rPr>
        <w:t xml:space="preserve"> naročito</w:t>
      </w:r>
      <w:r w:rsidR="006B79BF" w:rsidRPr="00E51EBA">
        <w:rPr>
          <w:sz w:val="22"/>
          <w:szCs w:val="22"/>
          <w:lang w:val="sr-Latn-ME"/>
        </w:rPr>
        <w:t xml:space="preserve"> kod osoba koje istovremeno primaju sistemsku terapiju i kod pacijenata sa insuficijencijom bubrega.</w:t>
      </w:r>
    </w:p>
    <w:p w14:paraId="66DF69C6" w14:textId="57C2AD62" w:rsidR="004638E5" w:rsidRPr="00E51EBA" w:rsidRDefault="004638E5" w:rsidP="008B00F2">
      <w:pPr>
        <w:pStyle w:val="BodyText"/>
        <w:spacing w:before="120"/>
        <w:jc w:val="both"/>
        <w:rPr>
          <w:b/>
          <w:sz w:val="22"/>
          <w:szCs w:val="22"/>
          <w:u w:val="single"/>
          <w:lang w:val="sr-Latn-ME"/>
        </w:rPr>
      </w:pPr>
      <w:r w:rsidRPr="00E51EBA">
        <w:rPr>
          <w:sz w:val="22"/>
          <w:szCs w:val="22"/>
          <w:u w:val="single"/>
          <w:lang w:val="sr-Latn-ME"/>
        </w:rPr>
        <w:t>Mutagenost</w:t>
      </w:r>
    </w:p>
    <w:p w14:paraId="23E9B197" w14:textId="33BC7130" w:rsidR="004638E5" w:rsidRPr="00E51EBA" w:rsidRDefault="004638E5" w:rsidP="008B00F2">
      <w:pPr>
        <w:pStyle w:val="BodyTextIndent"/>
        <w:spacing w:after="0"/>
        <w:ind w:left="0"/>
        <w:jc w:val="both"/>
        <w:rPr>
          <w:sz w:val="22"/>
          <w:szCs w:val="22"/>
          <w:lang w:val="sr-Latn-ME"/>
        </w:rPr>
      </w:pPr>
      <w:r w:rsidRPr="00E51EBA">
        <w:rPr>
          <w:sz w:val="22"/>
          <w:szCs w:val="22"/>
          <w:lang w:val="sr-Latn-ME"/>
        </w:rPr>
        <w:t>U prethodnim ispitivanjima, gentamicin i glukokortikoidi ni</w:t>
      </w:r>
      <w:r w:rsidR="001F57E7" w:rsidRPr="00E51EBA">
        <w:rPr>
          <w:sz w:val="22"/>
          <w:szCs w:val="22"/>
          <w:lang w:val="sr-Latn-ME"/>
        </w:rPr>
        <w:t>je</w:t>
      </w:r>
      <w:r w:rsidRPr="00E51EBA">
        <w:rPr>
          <w:sz w:val="22"/>
          <w:szCs w:val="22"/>
          <w:lang w:val="sr-Latn-ME"/>
        </w:rPr>
        <w:t>su pokazali mutagena dejstva.</w:t>
      </w:r>
    </w:p>
    <w:p w14:paraId="574EAD78" w14:textId="610FF9D0" w:rsidR="004638E5" w:rsidRDefault="004638E5" w:rsidP="008B00F2">
      <w:pPr>
        <w:pStyle w:val="BodyTextIndent"/>
        <w:spacing w:after="0"/>
        <w:ind w:left="0"/>
        <w:jc w:val="both"/>
        <w:rPr>
          <w:sz w:val="22"/>
          <w:szCs w:val="22"/>
          <w:lang w:val="sr-Latn-ME"/>
        </w:rPr>
      </w:pPr>
      <w:r w:rsidRPr="00E51EBA">
        <w:rPr>
          <w:sz w:val="22"/>
          <w:szCs w:val="22"/>
          <w:lang w:val="sr-Latn-ME"/>
        </w:rPr>
        <w:t>Ni</w:t>
      </w:r>
      <w:r w:rsidR="001F57E7" w:rsidRPr="00E51EBA">
        <w:rPr>
          <w:sz w:val="22"/>
          <w:szCs w:val="22"/>
          <w:lang w:val="sr-Latn-ME"/>
        </w:rPr>
        <w:t>je</w:t>
      </w:r>
      <w:r w:rsidRPr="00E51EBA">
        <w:rPr>
          <w:sz w:val="22"/>
          <w:szCs w:val="22"/>
          <w:lang w:val="sr-Latn-ME"/>
        </w:rPr>
        <w:t xml:space="preserve">su dostupni podaci iz dugotrajnih studija o karcinogenom potencijalu. </w:t>
      </w:r>
    </w:p>
    <w:p w14:paraId="3CEF77DB" w14:textId="77777777" w:rsidR="00E51EBA" w:rsidRPr="00E51EBA" w:rsidRDefault="00E51EBA" w:rsidP="008B00F2">
      <w:pPr>
        <w:pStyle w:val="BodyTextIndent"/>
        <w:spacing w:after="0"/>
        <w:ind w:left="0"/>
        <w:jc w:val="both"/>
        <w:rPr>
          <w:sz w:val="22"/>
          <w:szCs w:val="22"/>
          <w:lang w:val="sr-Latn-ME"/>
        </w:rPr>
      </w:pPr>
    </w:p>
    <w:p w14:paraId="0061B69B" w14:textId="77777777" w:rsidR="004638E5" w:rsidRPr="00E51EBA" w:rsidRDefault="004638E5" w:rsidP="00A51629">
      <w:pPr>
        <w:tabs>
          <w:tab w:val="left" w:pos="284"/>
        </w:tabs>
        <w:spacing w:before="120" w:after="120"/>
        <w:jc w:val="both"/>
        <w:rPr>
          <w:sz w:val="22"/>
          <w:szCs w:val="22"/>
          <w:u w:val="single"/>
          <w:lang w:val="sr-Latn-ME"/>
        </w:rPr>
      </w:pPr>
      <w:r w:rsidRPr="00E51EBA">
        <w:rPr>
          <w:sz w:val="22"/>
          <w:szCs w:val="22"/>
          <w:u w:val="single"/>
          <w:lang w:val="sr-Latn-ME"/>
        </w:rPr>
        <w:lastRenderedPageBreak/>
        <w:t>Reproduktivna toksičnost</w:t>
      </w:r>
    </w:p>
    <w:p w14:paraId="3FA6FBE6" w14:textId="7A464756" w:rsidR="004638E5" w:rsidRPr="00E51EBA" w:rsidRDefault="004638E5" w:rsidP="00A51629">
      <w:pPr>
        <w:autoSpaceDE w:val="0"/>
        <w:autoSpaceDN w:val="0"/>
        <w:adjustRightInd w:val="0"/>
        <w:jc w:val="both"/>
        <w:rPr>
          <w:color w:val="000000"/>
          <w:sz w:val="22"/>
          <w:szCs w:val="22"/>
          <w:lang w:val="sr-Latn-ME"/>
        </w:rPr>
      </w:pPr>
      <w:r w:rsidRPr="00E51EBA">
        <w:rPr>
          <w:color w:val="000000"/>
          <w:sz w:val="22"/>
          <w:szCs w:val="22"/>
          <w:lang w:val="sr-Latn-ME"/>
        </w:rPr>
        <w:t>U ispitivanjima na životinjama, betametazon</w:t>
      </w:r>
      <w:r w:rsidR="00F83409" w:rsidRPr="00E51EBA">
        <w:rPr>
          <w:color w:val="000000"/>
          <w:sz w:val="22"/>
          <w:szCs w:val="22"/>
          <w:lang w:val="sr-Latn-ME"/>
        </w:rPr>
        <w:t xml:space="preserve"> </w:t>
      </w:r>
      <w:r w:rsidRPr="00E51EBA">
        <w:rPr>
          <w:color w:val="000000"/>
          <w:sz w:val="22"/>
          <w:szCs w:val="22"/>
          <w:lang w:val="sr-Latn-ME"/>
        </w:rPr>
        <w:t>dipropionat pokazao je teratogenost (npr. rascjep nepca, deformiteti skeleta, mala tjelesna masa, embriotoksičnost). Ni</w:t>
      </w:r>
      <w:r w:rsidR="001F57E7" w:rsidRPr="00E51EBA">
        <w:rPr>
          <w:color w:val="000000"/>
          <w:sz w:val="22"/>
          <w:szCs w:val="22"/>
          <w:lang w:val="sr-Latn-ME"/>
        </w:rPr>
        <w:t>je</w:t>
      </w:r>
      <w:r w:rsidRPr="00E51EBA">
        <w:rPr>
          <w:color w:val="000000"/>
          <w:sz w:val="22"/>
          <w:szCs w:val="22"/>
          <w:lang w:val="sr-Latn-ME"/>
        </w:rPr>
        <w:t xml:space="preserve">su sprovedena ispitivanja perinatalne i postnatalne toksičnosti i ispitivanja uticaja na plodnost. </w:t>
      </w:r>
    </w:p>
    <w:p w14:paraId="041A8B1D" w14:textId="62825E2B" w:rsidR="004638E5" w:rsidRPr="00E51EBA" w:rsidRDefault="004638E5" w:rsidP="00A51629">
      <w:pPr>
        <w:tabs>
          <w:tab w:val="left" w:pos="284"/>
        </w:tabs>
        <w:jc w:val="both"/>
        <w:rPr>
          <w:sz w:val="22"/>
          <w:szCs w:val="22"/>
          <w:lang w:val="sr-Latn-ME"/>
        </w:rPr>
      </w:pPr>
      <w:r w:rsidRPr="00E51EBA">
        <w:rPr>
          <w:color w:val="000000"/>
          <w:sz w:val="22"/>
          <w:szCs w:val="22"/>
          <w:lang w:val="sr-Latn-ME"/>
        </w:rPr>
        <w:t>Kod pacova, nakon intramuskularne primjene u veoma velikim dozama (75 mg/kg tjelesne mase) u različitim periodima gestacije, gentamicin je pokazao transplacenta</w:t>
      </w:r>
      <w:r w:rsidR="00B060EB" w:rsidRPr="00E51EBA">
        <w:rPr>
          <w:color w:val="000000"/>
          <w:sz w:val="22"/>
          <w:szCs w:val="22"/>
          <w:lang w:val="sr-Latn-ME"/>
        </w:rPr>
        <w:t>r</w:t>
      </w:r>
      <w:r w:rsidRPr="00E51EBA">
        <w:rPr>
          <w:color w:val="000000"/>
          <w:sz w:val="22"/>
          <w:szCs w:val="22"/>
          <w:lang w:val="sr-Latn-ME"/>
        </w:rPr>
        <w:t>nu nefrotoksičnost. Svakodnevna intramuskularna primjena gentamicina u dozi od 4 mg/kg tjelesne mase od 48. do 54. dana gestacije prouzrokovala je privremenu transplacentalnu nefrotoksičnost kod zamorčića. Poznato je da drugi aminoglikozidi mogu prouzrokovati oštećenje unutrašnjeg uha kod fetusa.</w:t>
      </w:r>
    </w:p>
    <w:p w14:paraId="214DBD61" w14:textId="05175809" w:rsidR="00396DFD" w:rsidRPr="00E51EBA" w:rsidRDefault="00396DFD" w:rsidP="00480FB1">
      <w:pPr>
        <w:tabs>
          <w:tab w:val="left" w:pos="540"/>
          <w:tab w:val="left" w:pos="569"/>
        </w:tabs>
        <w:rPr>
          <w:b/>
          <w:bCs/>
          <w:sz w:val="22"/>
          <w:szCs w:val="22"/>
          <w:lang w:val="sr-Latn-ME"/>
        </w:rPr>
      </w:pPr>
    </w:p>
    <w:p w14:paraId="6B99153A" w14:textId="77777777" w:rsidR="000A57FA" w:rsidRPr="00E51EBA" w:rsidRDefault="000A57FA" w:rsidP="00480FB1">
      <w:pPr>
        <w:tabs>
          <w:tab w:val="left" w:pos="540"/>
          <w:tab w:val="left" w:pos="569"/>
        </w:tabs>
        <w:rPr>
          <w:b/>
          <w:bCs/>
          <w:sz w:val="22"/>
          <w:szCs w:val="22"/>
          <w:lang w:val="sr-Latn-ME"/>
        </w:rPr>
      </w:pPr>
    </w:p>
    <w:p w14:paraId="3E6708B5" w14:textId="77777777" w:rsidR="0072020E" w:rsidRPr="00E51EBA" w:rsidRDefault="0072020E" w:rsidP="00480FB1">
      <w:pPr>
        <w:tabs>
          <w:tab w:val="left" w:pos="540"/>
          <w:tab w:val="left" w:pos="569"/>
        </w:tabs>
        <w:rPr>
          <w:b/>
          <w:bCs/>
          <w:sz w:val="22"/>
          <w:szCs w:val="22"/>
          <w:lang w:val="sr-Latn-ME"/>
        </w:rPr>
      </w:pPr>
      <w:r w:rsidRPr="00E51EBA">
        <w:rPr>
          <w:b/>
          <w:bCs/>
          <w:sz w:val="22"/>
          <w:szCs w:val="22"/>
          <w:lang w:val="sr-Latn-ME"/>
        </w:rPr>
        <w:t xml:space="preserve">6. </w:t>
      </w:r>
      <w:r w:rsidR="00480FB1" w:rsidRPr="00E51EBA">
        <w:rPr>
          <w:b/>
          <w:bCs/>
          <w:sz w:val="22"/>
          <w:szCs w:val="22"/>
          <w:lang w:val="sr-Latn-ME"/>
        </w:rPr>
        <w:tab/>
      </w:r>
      <w:r w:rsidRPr="00E51EBA">
        <w:rPr>
          <w:b/>
          <w:bCs/>
          <w:sz w:val="22"/>
          <w:szCs w:val="22"/>
          <w:lang w:val="sr-Latn-ME"/>
        </w:rPr>
        <w:t>FARMACEUTSKI PODACI</w:t>
      </w:r>
    </w:p>
    <w:p w14:paraId="11C5D2C3" w14:textId="77777777" w:rsidR="00836B35" w:rsidRPr="00E51EBA" w:rsidRDefault="00836B35" w:rsidP="00480FB1">
      <w:pPr>
        <w:tabs>
          <w:tab w:val="left" w:pos="540"/>
          <w:tab w:val="left" w:pos="569"/>
        </w:tabs>
        <w:rPr>
          <w:bCs/>
          <w:sz w:val="22"/>
          <w:szCs w:val="22"/>
          <w:lang w:val="sr-Latn-ME"/>
        </w:rPr>
      </w:pPr>
    </w:p>
    <w:p w14:paraId="6D332F7F" w14:textId="77777777" w:rsidR="0072020E" w:rsidRPr="00E51EBA" w:rsidRDefault="0072020E" w:rsidP="00480FB1">
      <w:pPr>
        <w:tabs>
          <w:tab w:val="left" w:pos="540"/>
          <w:tab w:val="left" w:pos="569"/>
        </w:tabs>
        <w:rPr>
          <w:b/>
          <w:bCs/>
          <w:sz w:val="22"/>
          <w:szCs w:val="22"/>
          <w:lang w:val="sr-Latn-ME"/>
        </w:rPr>
      </w:pPr>
      <w:r w:rsidRPr="00E51EBA">
        <w:rPr>
          <w:b/>
          <w:bCs/>
          <w:sz w:val="22"/>
          <w:szCs w:val="22"/>
          <w:lang w:val="sr-Latn-ME"/>
        </w:rPr>
        <w:t xml:space="preserve">6.1. </w:t>
      </w:r>
      <w:r w:rsidR="00480FB1" w:rsidRPr="00E51EBA">
        <w:rPr>
          <w:b/>
          <w:bCs/>
          <w:sz w:val="22"/>
          <w:szCs w:val="22"/>
          <w:lang w:val="sr-Latn-ME"/>
        </w:rPr>
        <w:tab/>
      </w:r>
      <w:r w:rsidRPr="00E51EBA">
        <w:rPr>
          <w:b/>
          <w:bCs/>
          <w:sz w:val="22"/>
          <w:szCs w:val="22"/>
          <w:lang w:val="sr-Latn-ME"/>
        </w:rPr>
        <w:t>Lista pomoćnih supstanci</w:t>
      </w:r>
      <w:r w:rsidR="002E0135" w:rsidRPr="00E51EBA">
        <w:rPr>
          <w:b/>
          <w:bCs/>
          <w:sz w:val="22"/>
          <w:szCs w:val="22"/>
          <w:lang w:val="sr-Latn-ME"/>
        </w:rPr>
        <w:t xml:space="preserve"> (ekscipijenasa)</w:t>
      </w:r>
    </w:p>
    <w:p w14:paraId="32D30883" w14:textId="77777777" w:rsidR="000A57FA" w:rsidRPr="00E51EBA" w:rsidRDefault="000A57FA" w:rsidP="00F1371E">
      <w:pPr>
        <w:jc w:val="both"/>
        <w:rPr>
          <w:sz w:val="22"/>
          <w:szCs w:val="22"/>
          <w:lang w:val="sr-Latn-ME"/>
        </w:rPr>
      </w:pPr>
    </w:p>
    <w:p w14:paraId="16494D27" w14:textId="03ECE9D3" w:rsidR="004638E5" w:rsidRPr="00E51EBA" w:rsidRDefault="004638E5" w:rsidP="00F1371E">
      <w:pPr>
        <w:jc w:val="both"/>
        <w:rPr>
          <w:sz w:val="22"/>
          <w:szCs w:val="22"/>
          <w:lang w:val="sr-Latn-ME"/>
        </w:rPr>
      </w:pPr>
      <w:r w:rsidRPr="00E51EBA">
        <w:rPr>
          <w:sz w:val="22"/>
          <w:szCs w:val="22"/>
          <w:lang w:val="sr-Latn-ME"/>
        </w:rPr>
        <w:t>Parafin, tečni</w:t>
      </w:r>
    </w:p>
    <w:p w14:paraId="5FB1FEDD" w14:textId="3E638218" w:rsidR="0072020E" w:rsidRPr="00E51EBA" w:rsidRDefault="002B6131" w:rsidP="00F1371E">
      <w:pPr>
        <w:tabs>
          <w:tab w:val="left" w:pos="540"/>
          <w:tab w:val="left" w:pos="569"/>
        </w:tabs>
        <w:jc w:val="both"/>
        <w:rPr>
          <w:sz w:val="22"/>
          <w:szCs w:val="22"/>
          <w:lang w:val="sr-Latn-ME"/>
        </w:rPr>
      </w:pPr>
      <w:r w:rsidRPr="00E51EBA">
        <w:rPr>
          <w:sz w:val="22"/>
          <w:szCs w:val="22"/>
          <w:lang w:val="sr-Latn-ME"/>
        </w:rPr>
        <w:t>Parafin</w:t>
      </w:r>
      <w:r w:rsidR="00C70184" w:rsidRPr="00E51EBA">
        <w:rPr>
          <w:sz w:val="22"/>
          <w:szCs w:val="22"/>
          <w:lang w:val="sr-Latn-ME"/>
        </w:rPr>
        <w:t>, bijeli</w:t>
      </w:r>
      <w:r w:rsidRPr="00E51EBA">
        <w:rPr>
          <w:sz w:val="22"/>
          <w:szCs w:val="22"/>
          <w:lang w:val="sr-Latn-ME"/>
        </w:rPr>
        <w:t>, meki</w:t>
      </w:r>
    </w:p>
    <w:p w14:paraId="796F7DDF" w14:textId="77777777" w:rsidR="004638E5" w:rsidRPr="00E51EBA" w:rsidRDefault="004638E5" w:rsidP="00F1371E">
      <w:pPr>
        <w:tabs>
          <w:tab w:val="left" w:pos="540"/>
          <w:tab w:val="left" w:pos="569"/>
        </w:tabs>
        <w:jc w:val="both"/>
        <w:rPr>
          <w:bCs/>
          <w:sz w:val="22"/>
          <w:szCs w:val="22"/>
          <w:lang w:val="sr-Latn-ME"/>
        </w:rPr>
      </w:pPr>
    </w:p>
    <w:p w14:paraId="4A8B5B7F" w14:textId="2F1AD1E1" w:rsidR="0072020E" w:rsidRPr="00E51EBA" w:rsidRDefault="0072020E" w:rsidP="00F1371E">
      <w:pPr>
        <w:tabs>
          <w:tab w:val="left" w:pos="540"/>
          <w:tab w:val="left" w:pos="569"/>
        </w:tabs>
        <w:jc w:val="both"/>
        <w:rPr>
          <w:b/>
          <w:bCs/>
          <w:sz w:val="22"/>
          <w:szCs w:val="22"/>
          <w:lang w:val="sr-Latn-ME"/>
        </w:rPr>
      </w:pPr>
      <w:r w:rsidRPr="00E51EBA">
        <w:rPr>
          <w:b/>
          <w:bCs/>
          <w:sz w:val="22"/>
          <w:szCs w:val="22"/>
          <w:lang w:val="sr-Latn-ME"/>
        </w:rPr>
        <w:t xml:space="preserve">6.2. </w:t>
      </w:r>
      <w:r w:rsidR="00480FB1" w:rsidRPr="00E51EBA">
        <w:rPr>
          <w:b/>
          <w:bCs/>
          <w:sz w:val="22"/>
          <w:szCs w:val="22"/>
          <w:lang w:val="sr-Latn-ME"/>
        </w:rPr>
        <w:tab/>
      </w:r>
      <w:r w:rsidRPr="00E51EBA">
        <w:rPr>
          <w:b/>
          <w:bCs/>
          <w:sz w:val="22"/>
          <w:szCs w:val="22"/>
          <w:lang w:val="sr-Latn-ME"/>
        </w:rPr>
        <w:t>Inkompatibilnost</w:t>
      </w:r>
      <w:r w:rsidR="002846DB" w:rsidRPr="00E51EBA">
        <w:rPr>
          <w:b/>
          <w:bCs/>
          <w:sz w:val="22"/>
          <w:szCs w:val="22"/>
          <w:lang w:val="sr-Latn-ME"/>
        </w:rPr>
        <w:t>i</w:t>
      </w:r>
    </w:p>
    <w:p w14:paraId="32F25F2F" w14:textId="173A5BA1" w:rsidR="004638E5" w:rsidRPr="00E51EBA" w:rsidRDefault="004638E5" w:rsidP="00F1371E">
      <w:pPr>
        <w:tabs>
          <w:tab w:val="left" w:pos="540"/>
          <w:tab w:val="left" w:pos="569"/>
        </w:tabs>
        <w:jc w:val="both"/>
        <w:rPr>
          <w:b/>
          <w:bCs/>
          <w:sz w:val="22"/>
          <w:szCs w:val="22"/>
          <w:lang w:val="sr-Latn-ME"/>
        </w:rPr>
      </w:pPr>
    </w:p>
    <w:p w14:paraId="34D9E2E4" w14:textId="0A82B0D5" w:rsidR="004638E5" w:rsidRPr="00E51EBA" w:rsidRDefault="004638E5" w:rsidP="00F1371E">
      <w:pPr>
        <w:tabs>
          <w:tab w:val="left" w:pos="540"/>
          <w:tab w:val="left" w:pos="569"/>
        </w:tabs>
        <w:jc w:val="both"/>
        <w:rPr>
          <w:b/>
          <w:bCs/>
          <w:sz w:val="22"/>
          <w:szCs w:val="22"/>
          <w:lang w:val="sr-Latn-ME"/>
        </w:rPr>
      </w:pPr>
      <w:r w:rsidRPr="00E51EBA">
        <w:rPr>
          <w:sz w:val="22"/>
          <w:szCs w:val="22"/>
          <w:lang w:val="sr-Latn-ME"/>
        </w:rPr>
        <w:t>Ni</w:t>
      </w:r>
      <w:r w:rsidR="001F57E7" w:rsidRPr="00E51EBA">
        <w:rPr>
          <w:sz w:val="22"/>
          <w:szCs w:val="22"/>
          <w:lang w:val="sr-Latn-ME"/>
        </w:rPr>
        <w:t>je</w:t>
      </w:r>
      <w:r w:rsidR="002B6131" w:rsidRPr="00E51EBA">
        <w:rPr>
          <w:sz w:val="22"/>
          <w:szCs w:val="22"/>
          <w:lang w:val="sr-Latn-ME"/>
        </w:rPr>
        <w:t xml:space="preserve"> primjenljivo</w:t>
      </w:r>
      <w:r w:rsidRPr="00E51EBA">
        <w:rPr>
          <w:sz w:val="22"/>
          <w:szCs w:val="22"/>
          <w:lang w:val="sr-Latn-ME"/>
        </w:rPr>
        <w:t>.</w:t>
      </w:r>
    </w:p>
    <w:p w14:paraId="5F41F099" w14:textId="77777777" w:rsidR="0072020E" w:rsidRPr="00E51EBA" w:rsidRDefault="0072020E" w:rsidP="00F1371E">
      <w:pPr>
        <w:tabs>
          <w:tab w:val="left" w:pos="540"/>
          <w:tab w:val="left" w:pos="569"/>
        </w:tabs>
        <w:jc w:val="both"/>
        <w:rPr>
          <w:bCs/>
          <w:sz w:val="22"/>
          <w:szCs w:val="22"/>
          <w:lang w:val="sr-Latn-ME"/>
        </w:rPr>
      </w:pPr>
    </w:p>
    <w:p w14:paraId="7FB81923" w14:textId="70E4F19E" w:rsidR="0072020E" w:rsidRPr="00E51EBA" w:rsidRDefault="0072020E" w:rsidP="00F1371E">
      <w:pPr>
        <w:tabs>
          <w:tab w:val="left" w:pos="540"/>
          <w:tab w:val="left" w:pos="569"/>
        </w:tabs>
        <w:jc w:val="both"/>
        <w:rPr>
          <w:b/>
          <w:bCs/>
          <w:sz w:val="22"/>
          <w:szCs w:val="22"/>
          <w:lang w:val="sr-Latn-ME"/>
        </w:rPr>
      </w:pPr>
      <w:r w:rsidRPr="00E51EBA">
        <w:rPr>
          <w:b/>
          <w:bCs/>
          <w:sz w:val="22"/>
          <w:szCs w:val="22"/>
          <w:lang w:val="sr-Latn-ME"/>
        </w:rPr>
        <w:t>6.3.</w:t>
      </w:r>
      <w:r w:rsidR="00C05DF8" w:rsidRPr="00E51EBA">
        <w:rPr>
          <w:b/>
          <w:bCs/>
          <w:sz w:val="22"/>
          <w:szCs w:val="22"/>
          <w:lang w:val="sr-Latn-ME"/>
        </w:rPr>
        <w:t xml:space="preserve"> </w:t>
      </w:r>
      <w:r w:rsidR="00480FB1" w:rsidRPr="00E51EBA">
        <w:rPr>
          <w:b/>
          <w:bCs/>
          <w:sz w:val="22"/>
          <w:szCs w:val="22"/>
          <w:lang w:val="sr-Latn-ME"/>
        </w:rPr>
        <w:tab/>
      </w:r>
      <w:r w:rsidRPr="00E51EBA">
        <w:rPr>
          <w:b/>
          <w:bCs/>
          <w:sz w:val="22"/>
          <w:szCs w:val="22"/>
          <w:lang w:val="sr-Latn-ME"/>
        </w:rPr>
        <w:t>Rok upotrebe</w:t>
      </w:r>
    </w:p>
    <w:p w14:paraId="1A162A58" w14:textId="5F6333D4" w:rsidR="004638E5" w:rsidRPr="00E51EBA" w:rsidRDefault="004638E5" w:rsidP="00F1371E">
      <w:pPr>
        <w:tabs>
          <w:tab w:val="left" w:pos="540"/>
          <w:tab w:val="left" w:pos="569"/>
        </w:tabs>
        <w:jc w:val="both"/>
        <w:rPr>
          <w:b/>
          <w:bCs/>
          <w:sz w:val="22"/>
          <w:szCs w:val="22"/>
          <w:lang w:val="sr-Latn-ME"/>
        </w:rPr>
      </w:pPr>
    </w:p>
    <w:p w14:paraId="1C19EF79" w14:textId="77777777" w:rsidR="004638E5" w:rsidRPr="00E51EBA" w:rsidRDefault="004638E5">
      <w:pPr>
        <w:tabs>
          <w:tab w:val="left" w:pos="284"/>
        </w:tabs>
        <w:jc w:val="both"/>
        <w:rPr>
          <w:sz w:val="22"/>
          <w:szCs w:val="22"/>
          <w:lang w:val="sr-Latn-ME"/>
        </w:rPr>
      </w:pPr>
      <w:r w:rsidRPr="00E51EBA">
        <w:rPr>
          <w:sz w:val="22"/>
          <w:szCs w:val="22"/>
          <w:lang w:val="sr-Latn-ME"/>
        </w:rPr>
        <w:t>Rok upotrebe neotvorenog lijeka: 4 godine.</w:t>
      </w:r>
    </w:p>
    <w:p w14:paraId="7BC83F41" w14:textId="58AD7D22" w:rsidR="004638E5" w:rsidRPr="00E51EBA" w:rsidRDefault="004638E5" w:rsidP="00F1371E">
      <w:pPr>
        <w:tabs>
          <w:tab w:val="left" w:pos="284"/>
        </w:tabs>
        <w:jc w:val="both"/>
        <w:rPr>
          <w:sz w:val="22"/>
          <w:szCs w:val="22"/>
          <w:lang w:val="sr-Latn-ME"/>
        </w:rPr>
      </w:pPr>
      <w:r w:rsidRPr="00E51EBA">
        <w:rPr>
          <w:sz w:val="22"/>
          <w:szCs w:val="22"/>
          <w:lang w:val="sr-Latn-ME"/>
        </w:rPr>
        <w:t>Rok upotrebe nakon prvog otvaranja: 6 mjeseci, na temperaturi do 25</w:t>
      </w:r>
      <w:r w:rsidRPr="00E51EBA">
        <w:rPr>
          <w:sz w:val="22"/>
          <w:szCs w:val="22"/>
          <w:lang w:val="sr-Latn-ME"/>
        </w:rPr>
        <w:sym w:font="Symbol" w:char="F0B0"/>
      </w:r>
      <w:r w:rsidRPr="00E51EBA">
        <w:rPr>
          <w:sz w:val="22"/>
          <w:szCs w:val="22"/>
          <w:lang w:val="sr-Latn-ME"/>
        </w:rPr>
        <w:t>C.</w:t>
      </w:r>
    </w:p>
    <w:p w14:paraId="54A941B5" w14:textId="77777777" w:rsidR="0072020E" w:rsidRPr="00E51EBA" w:rsidRDefault="0072020E" w:rsidP="00F1371E">
      <w:pPr>
        <w:tabs>
          <w:tab w:val="left" w:pos="540"/>
          <w:tab w:val="left" w:pos="569"/>
        </w:tabs>
        <w:jc w:val="both"/>
        <w:rPr>
          <w:bCs/>
          <w:sz w:val="22"/>
          <w:szCs w:val="22"/>
          <w:lang w:val="sr-Latn-ME"/>
        </w:rPr>
      </w:pPr>
    </w:p>
    <w:p w14:paraId="7C4AAF77" w14:textId="77777777" w:rsidR="0072020E" w:rsidRPr="00E51EBA" w:rsidRDefault="0072020E" w:rsidP="00F1371E">
      <w:pPr>
        <w:tabs>
          <w:tab w:val="left" w:pos="540"/>
          <w:tab w:val="left" w:pos="569"/>
        </w:tabs>
        <w:jc w:val="both"/>
        <w:rPr>
          <w:b/>
          <w:bCs/>
          <w:sz w:val="22"/>
          <w:szCs w:val="22"/>
          <w:lang w:val="sr-Latn-ME"/>
        </w:rPr>
      </w:pPr>
      <w:r w:rsidRPr="00E51EBA">
        <w:rPr>
          <w:b/>
          <w:bCs/>
          <w:sz w:val="22"/>
          <w:szCs w:val="22"/>
          <w:lang w:val="sr-Latn-ME"/>
        </w:rPr>
        <w:t xml:space="preserve">6.4. </w:t>
      </w:r>
      <w:r w:rsidR="00480FB1" w:rsidRPr="00E51EBA">
        <w:rPr>
          <w:b/>
          <w:bCs/>
          <w:sz w:val="22"/>
          <w:szCs w:val="22"/>
          <w:lang w:val="sr-Latn-ME"/>
        </w:rPr>
        <w:tab/>
      </w:r>
      <w:r w:rsidRPr="00E51EBA">
        <w:rPr>
          <w:b/>
          <w:bCs/>
          <w:sz w:val="22"/>
          <w:szCs w:val="22"/>
          <w:lang w:val="sr-Latn-ME"/>
        </w:rPr>
        <w:t>Posebne mjere upozorenja pri čuvanju</w:t>
      </w:r>
      <w:r w:rsidR="00F8570A" w:rsidRPr="00E51EBA">
        <w:rPr>
          <w:b/>
          <w:bCs/>
          <w:sz w:val="22"/>
          <w:szCs w:val="22"/>
          <w:lang w:val="sr-Latn-ME"/>
        </w:rPr>
        <w:t xml:space="preserve"> lijeka</w:t>
      </w:r>
    </w:p>
    <w:p w14:paraId="583A6BF4" w14:textId="12671F97" w:rsidR="00EC2532" w:rsidRPr="00E51EBA" w:rsidRDefault="00EC2532" w:rsidP="00F1371E">
      <w:pPr>
        <w:tabs>
          <w:tab w:val="left" w:pos="540"/>
          <w:tab w:val="left" w:pos="569"/>
        </w:tabs>
        <w:jc w:val="both"/>
        <w:rPr>
          <w:bCs/>
          <w:sz w:val="22"/>
          <w:szCs w:val="22"/>
          <w:lang w:val="sr-Latn-ME"/>
        </w:rPr>
      </w:pPr>
    </w:p>
    <w:p w14:paraId="1933935D" w14:textId="321EECF7" w:rsidR="004638E5" w:rsidRPr="00E51EBA" w:rsidRDefault="004638E5" w:rsidP="00F1371E">
      <w:pPr>
        <w:tabs>
          <w:tab w:val="left" w:pos="540"/>
          <w:tab w:val="left" w:pos="569"/>
        </w:tabs>
        <w:jc w:val="both"/>
        <w:rPr>
          <w:sz w:val="22"/>
          <w:szCs w:val="22"/>
          <w:lang w:val="sr-Latn-ME"/>
        </w:rPr>
      </w:pPr>
      <w:r w:rsidRPr="00E51EBA">
        <w:rPr>
          <w:sz w:val="22"/>
          <w:szCs w:val="22"/>
          <w:lang w:val="sr-Latn-ME"/>
        </w:rPr>
        <w:t>Čuvati na temperaturi do 25</w:t>
      </w:r>
      <w:r w:rsidRPr="00E51EBA">
        <w:rPr>
          <w:sz w:val="22"/>
          <w:szCs w:val="22"/>
          <w:lang w:val="sr-Latn-ME"/>
        </w:rPr>
        <w:sym w:font="Courier New" w:char="00B0"/>
      </w:r>
      <w:r w:rsidRPr="00E51EBA">
        <w:rPr>
          <w:sz w:val="22"/>
          <w:szCs w:val="22"/>
          <w:lang w:val="sr-Latn-ME"/>
        </w:rPr>
        <w:t>C.</w:t>
      </w:r>
    </w:p>
    <w:p w14:paraId="67759EE3" w14:textId="77777777" w:rsidR="004638E5" w:rsidRPr="00E51EBA" w:rsidRDefault="004638E5" w:rsidP="00F1371E">
      <w:pPr>
        <w:tabs>
          <w:tab w:val="left" w:pos="540"/>
          <w:tab w:val="left" w:pos="569"/>
        </w:tabs>
        <w:jc w:val="both"/>
        <w:rPr>
          <w:bCs/>
          <w:sz w:val="22"/>
          <w:szCs w:val="22"/>
          <w:lang w:val="sr-Latn-ME"/>
        </w:rPr>
      </w:pPr>
    </w:p>
    <w:p w14:paraId="544C5611" w14:textId="77777777" w:rsidR="0072020E" w:rsidRPr="00E51EBA" w:rsidRDefault="0072020E" w:rsidP="00F1371E">
      <w:pPr>
        <w:tabs>
          <w:tab w:val="left" w:pos="540"/>
          <w:tab w:val="left" w:pos="569"/>
        </w:tabs>
        <w:jc w:val="both"/>
        <w:rPr>
          <w:b/>
          <w:bCs/>
          <w:sz w:val="22"/>
          <w:szCs w:val="22"/>
          <w:lang w:val="sr-Latn-ME"/>
        </w:rPr>
      </w:pPr>
      <w:r w:rsidRPr="00E51EBA">
        <w:rPr>
          <w:b/>
          <w:bCs/>
          <w:sz w:val="22"/>
          <w:szCs w:val="22"/>
          <w:lang w:val="sr-Latn-ME"/>
        </w:rPr>
        <w:t xml:space="preserve">6.5. </w:t>
      </w:r>
      <w:r w:rsidR="00480FB1" w:rsidRPr="00E51EBA">
        <w:rPr>
          <w:b/>
          <w:bCs/>
          <w:sz w:val="22"/>
          <w:szCs w:val="22"/>
          <w:lang w:val="sr-Latn-ME"/>
        </w:rPr>
        <w:tab/>
      </w:r>
      <w:r w:rsidR="002846DB" w:rsidRPr="00E51EBA">
        <w:rPr>
          <w:b/>
          <w:bCs/>
          <w:sz w:val="22"/>
          <w:szCs w:val="22"/>
          <w:lang w:val="sr-Latn-ME"/>
        </w:rPr>
        <w:t xml:space="preserve">Vrsta i sadržaj </w:t>
      </w:r>
      <w:r w:rsidR="00F8570A" w:rsidRPr="00E51EBA">
        <w:rPr>
          <w:b/>
          <w:bCs/>
          <w:sz w:val="22"/>
          <w:szCs w:val="22"/>
          <w:lang w:val="sr-Latn-ME"/>
        </w:rPr>
        <w:t>pakovanja</w:t>
      </w:r>
      <w:r w:rsidR="00C06864" w:rsidRPr="00E51EBA">
        <w:rPr>
          <w:b/>
          <w:bCs/>
          <w:sz w:val="22"/>
          <w:szCs w:val="22"/>
          <w:lang w:val="sr-Latn-ME"/>
        </w:rPr>
        <w:t xml:space="preserve"> </w:t>
      </w:r>
    </w:p>
    <w:p w14:paraId="0F8EAFA2" w14:textId="69FC2817" w:rsidR="0072020E" w:rsidRPr="00E51EBA" w:rsidRDefault="0072020E" w:rsidP="00F1371E">
      <w:pPr>
        <w:tabs>
          <w:tab w:val="left" w:pos="540"/>
          <w:tab w:val="left" w:pos="569"/>
        </w:tabs>
        <w:jc w:val="both"/>
        <w:rPr>
          <w:bCs/>
          <w:sz w:val="22"/>
          <w:szCs w:val="22"/>
          <w:lang w:val="sr-Latn-ME"/>
        </w:rPr>
      </w:pPr>
    </w:p>
    <w:p w14:paraId="16B0F279" w14:textId="77777777" w:rsidR="004638E5" w:rsidRPr="00E51EBA" w:rsidRDefault="004638E5">
      <w:pPr>
        <w:tabs>
          <w:tab w:val="left" w:pos="284"/>
        </w:tabs>
        <w:jc w:val="both"/>
        <w:rPr>
          <w:sz w:val="22"/>
          <w:szCs w:val="22"/>
          <w:lang w:val="sr-Latn-ME"/>
        </w:rPr>
      </w:pPr>
      <w:r w:rsidRPr="00E51EBA">
        <w:rPr>
          <w:sz w:val="22"/>
          <w:szCs w:val="22"/>
          <w:lang w:val="sr-Latn-ME"/>
        </w:rPr>
        <w:t>Unutrašnje pakovanje lijeka je aluminijumska tuba sa plastičnim zatvaračem.</w:t>
      </w:r>
    </w:p>
    <w:p w14:paraId="099AE788" w14:textId="4E6A87FE" w:rsidR="004638E5" w:rsidRPr="00E51EBA" w:rsidRDefault="004638E5" w:rsidP="00F1371E">
      <w:pPr>
        <w:tabs>
          <w:tab w:val="left" w:pos="540"/>
          <w:tab w:val="left" w:pos="569"/>
        </w:tabs>
        <w:jc w:val="both"/>
        <w:rPr>
          <w:sz w:val="22"/>
          <w:szCs w:val="22"/>
          <w:lang w:val="sr-Latn-ME"/>
        </w:rPr>
      </w:pPr>
      <w:r w:rsidRPr="00E51EBA">
        <w:rPr>
          <w:sz w:val="22"/>
          <w:szCs w:val="22"/>
          <w:lang w:val="sr-Latn-ME"/>
        </w:rPr>
        <w:t xml:space="preserve">Spoljašnje pakovanje lijeka je složiva kartonska kutija u kojoj se nalazi 1 tuba sa 15 g masti i Uputstvo za </w:t>
      </w:r>
      <w:r w:rsidR="00C70184" w:rsidRPr="00E51EBA">
        <w:rPr>
          <w:sz w:val="22"/>
          <w:szCs w:val="22"/>
          <w:lang w:val="sr-Latn-ME"/>
        </w:rPr>
        <w:t>lijek</w:t>
      </w:r>
      <w:r w:rsidRPr="00E51EBA">
        <w:rPr>
          <w:sz w:val="22"/>
          <w:szCs w:val="22"/>
          <w:lang w:val="sr-Latn-ME"/>
        </w:rPr>
        <w:t>.</w:t>
      </w:r>
    </w:p>
    <w:p w14:paraId="01FF7CEF" w14:textId="77777777" w:rsidR="004638E5" w:rsidRPr="00E51EBA" w:rsidRDefault="004638E5" w:rsidP="00F1371E">
      <w:pPr>
        <w:tabs>
          <w:tab w:val="left" w:pos="540"/>
          <w:tab w:val="left" w:pos="569"/>
        </w:tabs>
        <w:jc w:val="both"/>
        <w:rPr>
          <w:bCs/>
          <w:sz w:val="22"/>
          <w:szCs w:val="22"/>
          <w:lang w:val="sr-Latn-ME"/>
        </w:rPr>
      </w:pPr>
    </w:p>
    <w:p w14:paraId="6FF48B14" w14:textId="77777777" w:rsidR="002846DB" w:rsidRPr="00E51EBA" w:rsidRDefault="0072020E" w:rsidP="00F1371E">
      <w:pPr>
        <w:tabs>
          <w:tab w:val="left" w:pos="540"/>
          <w:tab w:val="left" w:pos="569"/>
        </w:tabs>
        <w:jc w:val="both"/>
        <w:rPr>
          <w:b/>
          <w:bCs/>
          <w:sz w:val="22"/>
          <w:szCs w:val="22"/>
          <w:lang w:val="sr-Latn-ME"/>
        </w:rPr>
      </w:pPr>
      <w:r w:rsidRPr="00E51EBA">
        <w:rPr>
          <w:b/>
          <w:bCs/>
          <w:sz w:val="22"/>
          <w:szCs w:val="22"/>
          <w:lang w:val="sr-Latn-ME"/>
        </w:rPr>
        <w:t xml:space="preserve">6.6. </w:t>
      </w:r>
      <w:r w:rsidR="00480FB1" w:rsidRPr="00E51EBA">
        <w:rPr>
          <w:b/>
          <w:bCs/>
          <w:sz w:val="22"/>
          <w:szCs w:val="22"/>
          <w:lang w:val="sr-Latn-ME"/>
        </w:rPr>
        <w:tab/>
      </w:r>
      <w:r w:rsidRPr="00E51EBA">
        <w:rPr>
          <w:b/>
          <w:bCs/>
          <w:color w:val="000000"/>
          <w:sz w:val="22"/>
          <w:szCs w:val="22"/>
          <w:lang w:val="sr-Latn-ME"/>
        </w:rPr>
        <w:t>Posebne mjere opreza pri odlaganju materijala koji treba odbaciti nakon primjene lijeka</w:t>
      </w:r>
      <w:r w:rsidRPr="00E51EBA">
        <w:rPr>
          <w:b/>
          <w:bCs/>
          <w:sz w:val="22"/>
          <w:szCs w:val="22"/>
          <w:lang w:val="sr-Latn-ME"/>
        </w:rPr>
        <w:t xml:space="preserve"> </w:t>
      </w:r>
      <w:r w:rsidR="00310F03" w:rsidRPr="00E51EBA">
        <w:rPr>
          <w:b/>
          <w:bCs/>
          <w:sz w:val="22"/>
          <w:szCs w:val="22"/>
          <w:lang w:val="sr-Latn-ME"/>
        </w:rPr>
        <w:t>(i druga uputs</w:t>
      </w:r>
      <w:r w:rsidR="004109FA" w:rsidRPr="00E51EBA">
        <w:rPr>
          <w:b/>
          <w:bCs/>
          <w:sz w:val="22"/>
          <w:szCs w:val="22"/>
          <w:lang w:val="sr-Latn-ME"/>
        </w:rPr>
        <w:t>t</w:t>
      </w:r>
      <w:r w:rsidR="00310F03" w:rsidRPr="00E51EBA">
        <w:rPr>
          <w:b/>
          <w:bCs/>
          <w:sz w:val="22"/>
          <w:szCs w:val="22"/>
          <w:lang w:val="sr-Latn-ME"/>
        </w:rPr>
        <w:t xml:space="preserve">va za rukovanje lijekom) </w:t>
      </w:r>
    </w:p>
    <w:p w14:paraId="13886512" w14:textId="77777777" w:rsidR="00B66A70" w:rsidRPr="00E51EBA" w:rsidRDefault="00B66A70" w:rsidP="00F1371E">
      <w:pPr>
        <w:tabs>
          <w:tab w:val="left" w:pos="540"/>
          <w:tab w:val="left" w:pos="569"/>
        </w:tabs>
        <w:jc w:val="both"/>
        <w:rPr>
          <w:b/>
          <w:bCs/>
          <w:sz w:val="22"/>
          <w:szCs w:val="22"/>
          <w:lang w:val="sr-Latn-ME"/>
        </w:rPr>
      </w:pPr>
    </w:p>
    <w:p w14:paraId="4FA83CD2" w14:textId="77777777" w:rsidR="004638E5" w:rsidRPr="00E51EBA" w:rsidRDefault="004638E5" w:rsidP="00F1371E">
      <w:pPr>
        <w:tabs>
          <w:tab w:val="left" w:pos="284"/>
        </w:tabs>
        <w:spacing w:before="80" w:after="80"/>
        <w:jc w:val="both"/>
        <w:rPr>
          <w:bCs/>
          <w:sz w:val="22"/>
          <w:szCs w:val="22"/>
          <w:lang w:val="sr-Latn-ME"/>
        </w:rPr>
      </w:pPr>
      <w:r w:rsidRPr="00E51EBA">
        <w:rPr>
          <w:bCs/>
          <w:sz w:val="22"/>
          <w:szCs w:val="22"/>
          <w:lang w:val="sr-Latn-ME"/>
        </w:rPr>
        <w:t>Svu neiskorišćenu količinu lijeka ili otpadnog materijala nakon njegove upotrebe treba ukloniti, u skladu sa važećim propisima.</w:t>
      </w:r>
    </w:p>
    <w:p w14:paraId="729A1F1B" w14:textId="4E2EF9D9" w:rsidR="0072020E" w:rsidRPr="00E51EBA" w:rsidRDefault="0072020E" w:rsidP="00F1371E">
      <w:pPr>
        <w:tabs>
          <w:tab w:val="left" w:pos="540"/>
          <w:tab w:val="left" w:pos="569"/>
        </w:tabs>
        <w:jc w:val="both"/>
        <w:rPr>
          <w:bCs/>
          <w:sz w:val="22"/>
          <w:szCs w:val="22"/>
          <w:lang w:val="sr-Latn-ME"/>
        </w:rPr>
      </w:pPr>
    </w:p>
    <w:p w14:paraId="7B33DE02" w14:textId="77777777" w:rsidR="002B6131" w:rsidRPr="00E51EBA" w:rsidRDefault="002B6131" w:rsidP="00F1371E">
      <w:pPr>
        <w:tabs>
          <w:tab w:val="left" w:pos="540"/>
          <w:tab w:val="left" w:pos="569"/>
        </w:tabs>
        <w:jc w:val="both"/>
        <w:rPr>
          <w:bCs/>
          <w:sz w:val="22"/>
          <w:szCs w:val="22"/>
          <w:lang w:val="sr-Latn-ME"/>
        </w:rPr>
      </w:pPr>
    </w:p>
    <w:p w14:paraId="1DA83829" w14:textId="1D3C2665" w:rsidR="00F8570A" w:rsidRPr="00E51EBA" w:rsidRDefault="0072020E" w:rsidP="00F1371E">
      <w:pPr>
        <w:tabs>
          <w:tab w:val="left" w:pos="540"/>
          <w:tab w:val="left" w:pos="569"/>
        </w:tabs>
        <w:jc w:val="both"/>
        <w:rPr>
          <w:b/>
          <w:bCs/>
          <w:sz w:val="22"/>
          <w:szCs w:val="22"/>
          <w:lang w:val="sr-Latn-ME"/>
        </w:rPr>
      </w:pPr>
      <w:r w:rsidRPr="00E51EBA">
        <w:rPr>
          <w:b/>
          <w:bCs/>
          <w:sz w:val="22"/>
          <w:szCs w:val="22"/>
          <w:lang w:val="sr-Latn-ME"/>
        </w:rPr>
        <w:t xml:space="preserve">7. </w:t>
      </w:r>
      <w:r w:rsidR="00480FB1" w:rsidRPr="00E51EBA">
        <w:rPr>
          <w:b/>
          <w:bCs/>
          <w:sz w:val="22"/>
          <w:szCs w:val="22"/>
          <w:lang w:val="sr-Latn-ME"/>
        </w:rPr>
        <w:tab/>
      </w:r>
      <w:r w:rsidRPr="00E51EBA">
        <w:rPr>
          <w:b/>
          <w:bCs/>
          <w:sz w:val="22"/>
          <w:szCs w:val="22"/>
          <w:lang w:val="sr-Latn-ME"/>
        </w:rPr>
        <w:t>NOSILAC DOZVOLE</w:t>
      </w:r>
      <w:r w:rsidR="00483928" w:rsidRPr="00E51EBA">
        <w:rPr>
          <w:b/>
          <w:bCs/>
          <w:sz w:val="22"/>
          <w:szCs w:val="22"/>
          <w:lang w:val="sr-Latn-ME"/>
        </w:rPr>
        <w:t xml:space="preserve"> </w:t>
      </w:r>
    </w:p>
    <w:p w14:paraId="2799A85D" w14:textId="77777777" w:rsidR="004638E5" w:rsidRPr="00E51EBA" w:rsidRDefault="004638E5" w:rsidP="00F1371E">
      <w:pPr>
        <w:tabs>
          <w:tab w:val="left" w:pos="540"/>
          <w:tab w:val="left" w:pos="569"/>
        </w:tabs>
        <w:jc w:val="both"/>
        <w:rPr>
          <w:b/>
          <w:bCs/>
          <w:sz w:val="22"/>
          <w:szCs w:val="22"/>
          <w:lang w:val="sr-Latn-ME"/>
        </w:rPr>
      </w:pPr>
    </w:p>
    <w:p w14:paraId="1B0BBD52" w14:textId="4D755686" w:rsidR="004638E5" w:rsidRPr="00E51EBA" w:rsidRDefault="00BA7E72" w:rsidP="00F1371E">
      <w:pPr>
        <w:jc w:val="both"/>
        <w:rPr>
          <w:sz w:val="22"/>
          <w:szCs w:val="22"/>
          <w:lang w:val="sr-Latn-ME"/>
        </w:rPr>
      </w:pPr>
      <w:r>
        <w:rPr>
          <w:sz w:val="22"/>
          <w:szCs w:val="22"/>
          <w:lang w:val="sr-Latn-ME"/>
        </w:rPr>
        <w:t>Glosarij d.o.o.,</w:t>
      </w:r>
    </w:p>
    <w:p w14:paraId="2C6AA18C" w14:textId="3DE11010" w:rsidR="004638E5" w:rsidRDefault="00BA7E72" w:rsidP="00F1371E">
      <w:pPr>
        <w:pStyle w:val="Header"/>
        <w:tabs>
          <w:tab w:val="left" w:pos="284"/>
        </w:tabs>
        <w:jc w:val="both"/>
        <w:rPr>
          <w:sz w:val="22"/>
          <w:szCs w:val="22"/>
          <w:lang w:val="sr-Latn-ME"/>
        </w:rPr>
      </w:pPr>
      <w:r>
        <w:rPr>
          <w:sz w:val="22"/>
          <w:szCs w:val="22"/>
          <w:lang w:val="sr-Latn-ME"/>
        </w:rPr>
        <w:t>Vojislavljevića 76</w:t>
      </w:r>
      <w:r w:rsidR="004638E5" w:rsidRPr="00E51EBA">
        <w:rPr>
          <w:sz w:val="22"/>
          <w:szCs w:val="22"/>
          <w:lang w:val="sr-Latn-ME"/>
        </w:rPr>
        <w:t>, 81</w:t>
      </w:r>
      <w:r>
        <w:rPr>
          <w:sz w:val="22"/>
          <w:szCs w:val="22"/>
          <w:lang w:val="sr-Latn-ME"/>
        </w:rPr>
        <w:t xml:space="preserve"> </w:t>
      </w:r>
      <w:bookmarkStart w:id="0" w:name="_GoBack"/>
      <w:bookmarkEnd w:id="0"/>
      <w:r w:rsidR="004638E5" w:rsidRPr="00E51EBA">
        <w:rPr>
          <w:sz w:val="22"/>
          <w:szCs w:val="22"/>
          <w:lang w:val="sr-Latn-ME"/>
        </w:rPr>
        <w:t>000 Podgorica, Crna Gora</w:t>
      </w:r>
    </w:p>
    <w:p w14:paraId="23B0CFF9" w14:textId="20A375D0" w:rsidR="00E51EBA" w:rsidRDefault="00E51EBA" w:rsidP="00F1371E">
      <w:pPr>
        <w:pStyle w:val="Header"/>
        <w:tabs>
          <w:tab w:val="left" w:pos="284"/>
        </w:tabs>
        <w:jc w:val="both"/>
        <w:rPr>
          <w:sz w:val="22"/>
          <w:szCs w:val="22"/>
          <w:lang w:val="sr-Latn-ME"/>
        </w:rPr>
      </w:pPr>
    </w:p>
    <w:p w14:paraId="39EB7D56" w14:textId="77777777" w:rsidR="00E51EBA" w:rsidRPr="00E51EBA" w:rsidRDefault="00E51EBA" w:rsidP="00F1371E">
      <w:pPr>
        <w:pStyle w:val="Header"/>
        <w:tabs>
          <w:tab w:val="left" w:pos="284"/>
        </w:tabs>
        <w:jc w:val="both"/>
        <w:rPr>
          <w:sz w:val="22"/>
          <w:szCs w:val="22"/>
          <w:lang w:val="sr-Latn-ME"/>
        </w:rPr>
      </w:pPr>
    </w:p>
    <w:p w14:paraId="1A4B6499" w14:textId="77777777" w:rsidR="0072020E" w:rsidRPr="00E51EBA" w:rsidRDefault="0072020E" w:rsidP="00480FB1">
      <w:pPr>
        <w:tabs>
          <w:tab w:val="left" w:pos="540"/>
          <w:tab w:val="left" w:pos="569"/>
        </w:tabs>
        <w:rPr>
          <w:b/>
          <w:bCs/>
          <w:sz w:val="22"/>
          <w:szCs w:val="22"/>
          <w:lang w:val="sr-Latn-ME"/>
        </w:rPr>
      </w:pPr>
      <w:r w:rsidRPr="00E51EBA">
        <w:rPr>
          <w:b/>
          <w:bCs/>
          <w:sz w:val="22"/>
          <w:szCs w:val="22"/>
          <w:lang w:val="sr-Latn-ME"/>
        </w:rPr>
        <w:t xml:space="preserve">8. </w:t>
      </w:r>
      <w:r w:rsidR="00480FB1" w:rsidRPr="00E51EBA">
        <w:rPr>
          <w:b/>
          <w:bCs/>
          <w:sz w:val="22"/>
          <w:szCs w:val="22"/>
          <w:lang w:val="sr-Latn-ME"/>
        </w:rPr>
        <w:tab/>
      </w:r>
      <w:r w:rsidRPr="00E51EBA">
        <w:rPr>
          <w:b/>
          <w:bCs/>
          <w:sz w:val="22"/>
          <w:szCs w:val="22"/>
          <w:lang w:val="sr-Latn-ME"/>
        </w:rPr>
        <w:t>BROJ DOZVOLE</w:t>
      </w:r>
      <w:r w:rsidR="008A6D43" w:rsidRPr="00E51EBA">
        <w:rPr>
          <w:b/>
          <w:bCs/>
          <w:sz w:val="22"/>
          <w:szCs w:val="22"/>
          <w:lang w:val="sr-Latn-ME"/>
        </w:rPr>
        <w:t xml:space="preserve"> ZA STAVLJANJE LIJEKA U PROMET</w:t>
      </w:r>
    </w:p>
    <w:p w14:paraId="595F0E03" w14:textId="77777777" w:rsidR="0072020E" w:rsidRPr="00E51EBA" w:rsidRDefault="0072020E" w:rsidP="00480FB1">
      <w:pPr>
        <w:tabs>
          <w:tab w:val="left" w:pos="540"/>
          <w:tab w:val="left" w:pos="569"/>
        </w:tabs>
        <w:rPr>
          <w:bCs/>
          <w:sz w:val="22"/>
          <w:szCs w:val="22"/>
          <w:lang w:val="sr-Latn-ME"/>
        </w:rPr>
      </w:pPr>
    </w:p>
    <w:p w14:paraId="3B3FE9D1" w14:textId="5EC397A3" w:rsidR="004638E5" w:rsidRDefault="00E51EBA" w:rsidP="00480FB1">
      <w:pPr>
        <w:tabs>
          <w:tab w:val="left" w:pos="540"/>
          <w:tab w:val="left" w:pos="569"/>
        </w:tabs>
        <w:rPr>
          <w:bCs/>
          <w:sz w:val="22"/>
          <w:szCs w:val="22"/>
          <w:lang w:val="sr-Latn-ME"/>
        </w:rPr>
      </w:pPr>
      <w:r>
        <w:rPr>
          <w:sz w:val="22"/>
          <w:szCs w:val="22"/>
        </w:rPr>
        <w:t>2030/24/1617 - 7537</w:t>
      </w:r>
    </w:p>
    <w:p w14:paraId="613E9E51" w14:textId="260A072E" w:rsidR="00E51EBA" w:rsidRDefault="00E51EBA" w:rsidP="00480FB1">
      <w:pPr>
        <w:tabs>
          <w:tab w:val="left" w:pos="540"/>
          <w:tab w:val="left" w:pos="569"/>
        </w:tabs>
        <w:rPr>
          <w:bCs/>
          <w:sz w:val="22"/>
          <w:szCs w:val="22"/>
          <w:lang w:val="sr-Latn-ME"/>
        </w:rPr>
      </w:pPr>
    </w:p>
    <w:p w14:paraId="69C2468D" w14:textId="77777777" w:rsidR="00E51EBA" w:rsidRPr="00E51EBA" w:rsidRDefault="00E51EBA" w:rsidP="00480FB1">
      <w:pPr>
        <w:tabs>
          <w:tab w:val="left" w:pos="540"/>
          <w:tab w:val="left" w:pos="569"/>
        </w:tabs>
        <w:rPr>
          <w:bCs/>
          <w:sz w:val="22"/>
          <w:szCs w:val="22"/>
          <w:lang w:val="sr-Latn-ME"/>
        </w:rPr>
      </w:pPr>
    </w:p>
    <w:p w14:paraId="328A3E8A" w14:textId="77777777" w:rsidR="0072020E" w:rsidRPr="00E51EBA" w:rsidRDefault="0072020E" w:rsidP="00480FB1">
      <w:pPr>
        <w:tabs>
          <w:tab w:val="left" w:pos="540"/>
          <w:tab w:val="left" w:pos="569"/>
        </w:tabs>
        <w:rPr>
          <w:b/>
          <w:bCs/>
          <w:sz w:val="22"/>
          <w:szCs w:val="22"/>
          <w:lang w:val="sr-Latn-ME"/>
        </w:rPr>
      </w:pPr>
      <w:r w:rsidRPr="00E51EBA">
        <w:rPr>
          <w:b/>
          <w:bCs/>
          <w:sz w:val="22"/>
          <w:szCs w:val="22"/>
          <w:lang w:val="sr-Latn-ME"/>
        </w:rPr>
        <w:lastRenderedPageBreak/>
        <w:t xml:space="preserve">9. </w:t>
      </w:r>
      <w:r w:rsidR="00480FB1" w:rsidRPr="00E51EBA">
        <w:rPr>
          <w:b/>
          <w:bCs/>
          <w:sz w:val="22"/>
          <w:szCs w:val="22"/>
          <w:lang w:val="sr-Latn-ME"/>
        </w:rPr>
        <w:tab/>
      </w:r>
      <w:r w:rsidRPr="00E51EBA">
        <w:rPr>
          <w:b/>
          <w:bCs/>
          <w:sz w:val="22"/>
          <w:szCs w:val="22"/>
          <w:lang w:val="sr-Latn-ME"/>
        </w:rPr>
        <w:t xml:space="preserve">DATUM </w:t>
      </w:r>
      <w:r w:rsidR="00C05DF8" w:rsidRPr="00E51EBA">
        <w:rPr>
          <w:b/>
          <w:bCs/>
          <w:sz w:val="22"/>
          <w:szCs w:val="22"/>
          <w:lang w:val="sr-Latn-ME"/>
        </w:rPr>
        <w:t xml:space="preserve">PRVE </w:t>
      </w:r>
      <w:r w:rsidR="008A6D43" w:rsidRPr="00E51EBA">
        <w:rPr>
          <w:b/>
          <w:bCs/>
          <w:sz w:val="22"/>
          <w:szCs w:val="22"/>
          <w:lang w:val="sr-Latn-ME"/>
        </w:rPr>
        <w:t>DOZVOLE</w:t>
      </w:r>
      <w:r w:rsidR="00C05DF8" w:rsidRPr="00E51EBA">
        <w:rPr>
          <w:b/>
          <w:bCs/>
          <w:sz w:val="22"/>
          <w:szCs w:val="22"/>
          <w:lang w:val="sr-Latn-ME"/>
        </w:rPr>
        <w:t>/OBNOVE DOZVOLE</w:t>
      </w:r>
      <w:r w:rsidR="008A6D43" w:rsidRPr="00E51EBA">
        <w:rPr>
          <w:b/>
          <w:bCs/>
          <w:sz w:val="22"/>
          <w:szCs w:val="22"/>
          <w:lang w:val="sr-Latn-ME"/>
        </w:rPr>
        <w:t xml:space="preserve"> ZA STAVLJANJE LIJEKA U PROMET</w:t>
      </w:r>
    </w:p>
    <w:p w14:paraId="7C8E0CD8" w14:textId="77777777" w:rsidR="0072020E" w:rsidRPr="00E51EBA" w:rsidRDefault="0072020E" w:rsidP="00480FB1">
      <w:pPr>
        <w:tabs>
          <w:tab w:val="left" w:pos="540"/>
          <w:tab w:val="left" w:pos="569"/>
        </w:tabs>
        <w:rPr>
          <w:bCs/>
          <w:sz w:val="22"/>
          <w:szCs w:val="22"/>
          <w:lang w:val="sr-Latn-ME"/>
        </w:rPr>
      </w:pPr>
    </w:p>
    <w:p w14:paraId="143B92FC" w14:textId="21831D2B" w:rsidR="004638E5" w:rsidRPr="00E51EBA" w:rsidRDefault="002B6131" w:rsidP="004638E5">
      <w:pPr>
        <w:pStyle w:val="Header"/>
        <w:tabs>
          <w:tab w:val="left" w:pos="284"/>
        </w:tabs>
        <w:rPr>
          <w:sz w:val="22"/>
          <w:szCs w:val="22"/>
          <w:lang w:val="sr-Latn-ME" w:eastAsia="sr-Latn-ME"/>
        </w:rPr>
      </w:pPr>
      <w:r w:rsidRPr="00E51EBA">
        <w:rPr>
          <w:bCs/>
          <w:sz w:val="22"/>
          <w:szCs w:val="22"/>
          <w:lang w:val="sr-Latn-ME"/>
        </w:rPr>
        <w:t>Datum prve dozvole</w:t>
      </w:r>
      <w:r w:rsidR="004638E5" w:rsidRPr="00E51EBA">
        <w:rPr>
          <w:sz w:val="22"/>
          <w:szCs w:val="22"/>
          <w:lang w:val="sr-Latn-ME"/>
        </w:rPr>
        <w:t xml:space="preserve">: </w:t>
      </w:r>
      <w:r w:rsidR="004638E5" w:rsidRPr="00E51EBA">
        <w:rPr>
          <w:sz w:val="22"/>
          <w:szCs w:val="22"/>
          <w:lang w:val="sr-Latn-ME" w:eastAsia="sr-Latn-ME"/>
        </w:rPr>
        <w:t>24.04.2014. godine</w:t>
      </w:r>
    </w:p>
    <w:p w14:paraId="25A95C8C" w14:textId="449AAE39" w:rsidR="002B6131" w:rsidRPr="00E51EBA" w:rsidRDefault="002B6131" w:rsidP="004638E5">
      <w:pPr>
        <w:pStyle w:val="Header"/>
        <w:tabs>
          <w:tab w:val="left" w:pos="284"/>
        </w:tabs>
        <w:rPr>
          <w:sz w:val="22"/>
          <w:szCs w:val="22"/>
          <w:lang w:val="sr-Latn-ME" w:eastAsia="sr-Latn-ME"/>
        </w:rPr>
      </w:pPr>
      <w:r w:rsidRPr="00E51EBA">
        <w:rPr>
          <w:sz w:val="22"/>
          <w:szCs w:val="22"/>
          <w:lang w:val="sr-Latn-ME" w:eastAsia="sr-Latn-ME"/>
        </w:rPr>
        <w:t>Datum poslednje obnove dozvole:</w:t>
      </w:r>
      <w:r w:rsidR="00E51EBA">
        <w:rPr>
          <w:sz w:val="22"/>
          <w:szCs w:val="22"/>
          <w:lang w:val="sr-Latn-ME" w:eastAsia="sr-Latn-ME"/>
        </w:rPr>
        <w:t xml:space="preserve"> </w:t>
      </w:r>
      <w:r w:rsidR="00E51EBA">
        <w:rPr>
          <w:sz w:val="22"/>
          <w:szCs w:val="22"/>
        </w:rPr>
        <w:t xml:space="preserve">25.03.2024. </w:t>
      </w:r>
      <w:proofErr w:type="spellStart"/>
      <w:proofErr w:type="gramStart"/>
      <w:r w:rsidR="00E51EBA">
        <w:rPr>
          <w:sz w:val="22"/>
          <w:szCs w:val="22"/>
        </w:rPr>
        <w:t>godine</w:t>
      </w:r>
      <w:proofErr w:type="spellEnd"/>
      <w:proofErr w:type="gramEnd"/>
    </w:p>
    <w:p w14:paraId="6C34B79F" w14:textId="77777777" w:rsidR="002B6131" w:rsidRPr="00E51EBA" w:rsidRDefault="002B6131" w:rsidP="004638E5">
      <w:pPr>
        <w:pStyle w:val="Header"/>
        <w:tabs>
          <w:tab w:val="left" w:pos="284"/>
        </w:tabs>
        <w:rPr>
          <w:sz w:val="22"/>
          <w:szCs w:val="22"/>
          <w:lang w:val="sr-Latn-ME"/>
        </w:rPr>
      </w:pPr>
    </w:p>
    <w:p w14:paraId="6F7028D4" w14:textId="77777777" w:rsidR="004638E5" w:rsidRPr="00E51EBA" w:rsidRDefault="004638E5" w:rsidP="00480FB1">
      <w:pPr>
        <w:tabs>
          <w:tab w:val="left" w:pos="540"/>
          <w:tab w:val="left" w:pos="569"/>
        </w:tabs>
        <w:rPr>
          <w:bCs/>
          <w:sz w:val="22"/>
          <w:szCs w:val="22"/>
          <w:lang w:val="sr-Latn-ME"/>
        </w:rPr>
      </w:pPr>
    </w:p>
    <w:p w14:paraId="55552617" w14:textId="77777777" w:rsidR="003F6A59" w:rsidRPr="00E51EBA" w:rsidRDefault="0072020E" w:rsidP="00C05DF8">
      <w:pPr>
        <w:tabs>
          <w:tab w:val="left" w:pos="540"/>
          <w:tab w:val="left" w:pos="569"/>
        </w:tabs>
        <w:ind w:left="540" w:hanging="540"/>
        <w:rPr>
          <w:bCs/>
          <w:sz w:val="22"/>
          <w:szCs w:val="22"/>
          <w:lang w:val="sr-Latn-ME"/>
        </w:rPr>
      </w:pPr>
      <w:r w:rsidRPr="00E51EBA">
        <w:rPr>
          <w:b/>
          <w:bCs/>
          <w:sz w:val="22"/>
          <w:szCs w:val="22"/>
          <w:lang w:val="sr-Latn-ME"/>
        </w:rPr>
        <w:t xml:space="preserve">10. </w:t>
      </w:r>
      <w:r w:rsidR="00480FB1" w:rsidRPr="00E51EBA">
        <w:rPr>
          <w:b/>
          <w:bCs/>
          <w:sz w:val="22"/>
          <w:szCs w:val="22"/>
          <w:lang w:val="sr-Latn-ME"/>
        </w:rPr>
        <w:tab/>
      </w:r>
      <w:r w:rsidR="002846DB" w:rsidRPr="00E51EBA">
        <w:rPr>
          <w:b/>
          <w:bCs/>
          <w:sz w:val="22"/>
          <w:szCs w:val="22"/>
          <w:lang w:val="sr-Latn-ME"/>
        </w:rPr>
        <w:t>D</w:t>
      </w:r>
      <w:r w:rsidR="00EC2532" w:rsidRPr="00E51EBA">
        <w:rPr>
          <w:b/>
          <w:bCs/>
          <w:sz w:val="22"/>
          <w:szCs w:val="22"/>
          <w:lang w:val="sr-Latn-ME"/>
        </w:rPr>
        <w:t xml:space="preserve">ATUM REVIZIJE TEKSTA </w:t>
      </w:r>
    </w:p>
    <w:p w14:paraId="3EA3365E" w14:textId="77777777" w:rsidR="003F6A59" w:rsidRPr="00E51EBA" w:rsidRDefault="003F6A59" w:rsidP="00480FB1">
      <w:pPr>
        <w:tabs>
          <w:tab w:val="left" w:pos="540"/>
          <w:tab w:val="left" w:pos="569"/>
        </w:tabs>
        <w:rPr>
          <w:bCs/>
          <w:sz w:val="22"/>
          <w:szCs w:val="22"/>
          <w:lang w:val="sr-Latn-ME"/>
        </w:rPr>
      </w:pPr>
    </w:p>
    <w:p w14:paraId="628ED1B9" w14:textId="3B070C1F" w:rsidR="003F6A59" w:rsidRPr="00E51EBA" w:rsidRDefault="00E51EBA" w:rsidP="00DE3F5C">
      <w:pPr>
        <w:rPr>
          <w:sz w:val="22"/>
          <w:szCs w:val="22"/>
          <w:lang w:val="sr-Latn-ME"/>
        </w:rPr>
      </w:pPr>
      <w:r>
        <w:rPr>
          <w:sz w:val="22"/>
          <w:szCs w:val="22"/>
          <w:lang w:val="sr-Latn-ME"/>
        </w:rPr>
        <w:t>Mart, 2024. godine</w:t>
      </w:r>
    </w:p>
    <w:sectPr w:rsidR="003F6A59" w:rsidRPr="00E51EBA"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2D384" w14:textId="77777777" w:rsidR="00AB2D9A" w:rsidRDefault="00AB2D9A">
      <w:r>
        <w:separator/>
      </w:r>
    </w:p>
  </w:endnote>
  <w:endnote w:type="continuationSeparator" w:id="0">
    <w:p w14:paraId="2C9BC5C0" w14:textId="77777777" w:rsidR="00AB2D9A" w:rsidRDefault="00AB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8D99" w14:textId="6E0A613E" w:rsidR="00C02827" w:rsidRPr="00B23F69" w:rsidRDefault="00C0282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A7E72">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A7E72">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FA132" w14:textId="77777777" w:rsidR="00AB2D9A" w:rsidRDefault="00AB2D9A">
      <w:r>
        <w:separator/>
      </w:r>
    </w:p>
  </w:footnote>
  <w:footnote w:type="continuationSeparator" w:id="0">
    <w:p w14:paraId="693514A3" w14:textId="77777777" w:rsidR="00AB2D9A" w:rsidRDefault="00AB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0E236E"/>
    <w:multiLevelType w:val="hybridMultilevel"/>
    <w:tmpl w:val="D4B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3161410"/>
    <w:multiLevelType w:val="hybridMultilevel"/>
    <w:tmpl w:val="6A4C61CA"/>
    <w:lvl w:ilvl="0" w:tplc="3B9ADE80">
      <w:start w:val="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09E0966"/>
    <w:multiLevelType w:val="hybridMultilevel"/>
    <w:tmpl w:val="5AD06C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0BF4"/>
    <w:rsid w:val="00075E28"/>
    <w:rsid w:val="00076726"/>
    <w:rsid w:val="00080303"/>
    <w:rsid w:val="00083D02"/>
    <w:rsid w:val="000A3F58"/>
    <w:rsid w:val="000A57FA"/>
    <w:rsid w:val="000D2343"/>
    <w:rsid w:val="000D3449"/>
    <w:rsid w:val="000D425A"/>
    <w:rsid w:val="000D60CC"/>
    <w:rsid w:val="000E2084"/>
    <w:rsid w:val="000E6F55"/>
    <w:rsid w:val="000F62BA"/>
    <w:rsid w:val="000F77FA"/>
    <w:rsid w:val="00107BF7"/>
    <w:rsid w:val="00113E96"/>
    <w:rsid w:val="00113FD3"/>
    <w:rsid w:val="001176E2"/>
    <w:rsid w:val="00124D0F"/>
    <w:rsid w:val="00126F53"/>
    <w:rsid w:val="0014766D"/>
    <w:rsid w:val="00147806"/>
    <w:rsid w:val="001536CC"/>
    <w:rsid w:val="001A3FBA"/>
    <w:rsid w:val="001A5518"/>
    <w:rsid w:val="001B1C6A"/>
    <w:rsid w:val="001C1263"/>
    <w:rsid w:val="001C1417"/>
    <w:rsid w:val="001E390B"/>
    <w:rsid w:val="001F42FB"/>
    <w:rsid w:val="001F57E7"/>
    <w:rsid w:val="001F719A"/>
    <w:rsid w:val="002031B3"/>
    <w:rsid w:val="00215931"/>
    <w:rsid w:val="00224C91"/>
    <w:rsid w:val="00227BDB"/>
    <w:rsid w:val="00231F89"/>
    <w:rsid w:val="00234CB1"/>
    <w:rsid w:val="002352F8"/>
    <w:rsid w:val="00241D7C"/>
    <w:rsid w:val="002510A5"/>
    <w:rsid w:val="00254A0A"/>
    <w:rsid w:val="00266046"/>
    <w:rsid w:val="002727EA"/>
    <w:rsid w:val="002846DB"/>
    <w:rsid w:val="00284CCD"/>
    <w:rsid w:val="002B4E98"/>
    <w:rsid w:val="002B6131"/>
    <w:rsid w:val="002C6637"/>
    <w:rsid w:val="002E0135"/>
    <w:rsid w:val="002E37A5"/>
    <w:rsid w:val="002E5BC8"/>
    <w:rsid w:val="002F55F4"/>
    <w:rsid w:val="00310F03"/>
    <w:rsid w:val="00315E91"/>
    <w:rsid w:val="003247D2"/>
    <w:rsid w:val="00333D3D"/>
    <w:rsid w:val="00334E06"/>
    <w:rsid w:val="003445C1"/>
    <w:rsid w:val="00355B61"/>
    <w:rsid w:val="0036231D"/>
    <w:rsid w:val="00362686"/>
    <w:rsid w:val="00371510"/>
    <w:rsid w:val="003811A0"/>
    <w:rsid w:val="00396DFD"/>
    <w:rsid w:val="003A2B1F"/>
    <w:rsid w:val="003A7059"/>
    <w:rsid w:val="003B7A36"/>
    <w:rsid w:val="003C17AB"/>
    <w:rsid w:val="003C7823"/>
    <w:rsid w:val="003D3A21"/>
    <w:rsid w:val="003D6A49"/>
    <w:rsid w:val="003E1DCC"/>
    <w:rsid w:val="003F11A1"/>
    <w:rsid w:val="003F6A59"/>
    <w:rsid w:val="004065C8"/>
    <w:rsid w:val="00406D31"/>
    <w:rsid w:val="004109FA"/>
    <w:rsid w:val="00411B4B"/>
    <w:rsid w:val="00415BEE"/>
    <w:rsid w:val="004200E0"/>
    <w:rsid w:val="004254E9"/>
    <w:rsid w:val="0042665E"/>
    <w:rsid w:val="00427F85"/>
    <w:rsid w:val="00436F42"/>
    <w:rsid w:val="004378B4"/>
    <w:rsid w:val="00451314"/>
    <w:rsid w:val="00452E9D"/>
    <w:rsid w:val="004534C7"/>
    <w:rsid w:val="00460B2E"/>
    <w:rsid w:val="004638E5"/>
    <w:rsid w:val="004671AA"/>
    <w:rsid w:val="00471DF8"/>
    <w:rsid w:val="00480FB1"/>
    <w:rsid w:val="00483928"/>
    <w:rsid w:val="004B62EC"/>
    <w:rsid w:val="004C331F"/>
    <w:rsid w:val="004D6103"/>
    <w:rsid w:val="004E3BCE"/>
    <w:rsid w:val="004E70AD"/>
    <w:rsid w:val="004F0E97"/>
    <w:rsid w:val="004F17E2"/>
    <w:rsid w:val="00501DD1"/>
    <w:rsid w:val="00515C21"/>
    <w:rsid w:val="00527ACA"/>
    <w:rsid w:val="00530BD7"/>
    <w:rsid w:val="005458AC"/>
    <w:rsid w:val="00545CD2"/>
    <w:rsid w:val="005476F3"/>
    <w:rsid w:val="00572527"/>
    <w:rsid w:val="00573E40"/>
    <w:rsid w:val="00576348"/>
    <w:rsid w:val="005A0B2E"/>
    <w:rsid w:val="005A23D2"/>
    <w:rsid w:val="005A36CB"/>
    <w:rsid w:val="005B49B8"/>
    <w:rsid w:val="005C0741"/>
    <w:rsid w:val="005C5EF4"/>
    <w:rsid w:val="005D43C6"/>
    <w:rsid w:val="005E2E0B"/>
    <w:rsid w:val="005E67AD"/>
    <w:rsid w:val="005E7A7D"/>
    <w:rsid w:val="00602457"/>
    <w:rsid w:val="00644FC3"/>
    <w:rsid w:val="00646BD1"/>
    <w:rsid w:val="006561C2"/>
    <w:rsid w:val="00671CB3"/>
    <w:rsid w:val="00674BAF"/>
    <w:rsid w:val="00682200"/>
    <w:rsid w:val="00692BF6"/>
    <w:rsid w:val="00697607"/>
    <w:rsid w:val="006A1351"/>
    <w:rsid w:val="006A1497"/>
    <w:rsid w:val="006B0BD1"/>
    <w:rsid w:val="006B3FBB"/>
    <w:rsid w:val="006B5404"/>
    <w:rsid w:val="006B79BF"/>
    <w:rsid w:val="006D20A5"/>
    <w:rsid w:val="006D37BF"/>
    <w:rsid w:val="006E0D32"/>
    <w:rsid w:val="006E6829"/>
    <w:rsid w:val="00702E22"/>
    <w:rsid w:val="00712116"/>
    <w:rsid w:val="00715296"/>
    <w:rsid w:val="0072020E"/>
    <w:rsid w:val="00754902"/>
    <w:rsid w:val="007571A6"/>
    <w:rsid w:val="00786071"/>
    <w:rsid w:val="0079428F"/>
    <w:rsid w:val="007972EA"/>
    <w:rsid w:val="007A3ECB"/>
    <w:rsid w:val="007B2637"/>
    <w:rsid w:val="007B50F2"/>
    <w:rsid w:val="007D1435"/>
    <w:rsid w:val="007D7BB3"/>
    <w:rsid w:val="007E31E9"/>
    <w:rsid w:val="007F05E3"/>
    <w:rsid w:val="00824AB9"/>
    <w:rsid w:val="00836B35"/>
    <w:rsid w:val="00843BDE"/>
    <w:rsid w:val="0087588C"/>
    <w:rsid w:val="0089705C"/>
    <w:rsid w:val="008A62A4"/>
    <w:rsid w:val="008A6D43"/>
    <w:rsid w:val="008B00F2"/>
    <w:rsid w:val="008B491E"/>
    <w:rsid w:val="008C1A28"/>
    <w:rsid w:val="008C2E98"/>
    <w:rsid w:val="008C6DE9"/>
    <w:rsid w:val="008E49BD"/>
    <w:rsid w:val="008E53E9"/>
    <w:rsid w:val="008E5771"/>
    <w:rsid w:val="008F4ACF"/>
    <w:rsid w:val="00924166"/>
    <w:rsid w:val="00940B9B"/>
    <w:rsid w:val="00944DEF"/>
    <w:rsid w:val="00945BDB"/>
    <w:rsid w:val="00947A6D"/>
    <w:rsid w:val="00953573"/>
    <w:rsid w:val="0095676E"/>
    <w:rsid w:val="00956983"/>
    <w:rsid w:val="00962F83"/>
    <w:rsid w:val="00963CF0"/>
    <w:rsid w:val="00964BB1"/>
    <w:rsid w:val="009775D9"/>
    <w:rsid w:val="00997175"/>
    <w:rsid w:val="009A1847"/>
    <w:rsid w:val="009B062A"/>
    <w:rsid w:val="009E257C"/>
    <w:rsid w:val="009E7C6F"/>
    <w:rsid w:val="009F1793"/>
    <w:rsid w:val="009F2D23"/>
    <w:rsid w:val="00A01D69"/>
    <w:rsid w:val="00A02335"/>
    <w:rsid w:val="00A46C9A"/>
    <w:rsid w:val="00A51629"/>
    <w:rsid w:val="00A619F3"/>
    <w:rsid w:val="00A62A73"/>
    <w:rsid w:val="00A87FF6"/>
    <w:rsid w:val="00AA0A3B"/>
    <w:rsid w:val="00AA2763"/>
    <w:rsid w:val="00AA33B6"/>
    <w:rsid w:val="00AB2D9A"/>
    <w:rsid w:val="00AB50CA"/>
    <w:rsid w:val="00AB6D64"/>
    <w:rsid w:val="00AC53CE"/>
    <w:rsid w:val="00AD2193"/>
    <w:rsid w:val="00AD21DE"/>
    <w:rsid w:val="00AE3210"/>
    <w:rsid w:val="00AF19F4"/>
    <w:rsid w:val="00AF2AC7"/>
    <w:rsid w:val="00AF74CE"/>
    <w:rsid w:val="00B060EB"/>
    <w:rsid w:val="00B208DB"/>
    <w:rsid w:val="00B21296"/>
    <w:rsid w:val="00B23F69"/>
    <w:rsid w:val="00B460AC"/>
    <w:rsid w:val="00B60619"/>
    <w:rsid w:val="00B66A70"/>
    <w:rsid w:val="00B67366"/>
    <w:rsid w:val="00B712C4"/>
    <w:rsid w:val="00B73C16"/>
    <w:rsid w:val="00B76DC8"/>
    <w:rsid w:val="00B80EE1"/>
    <w:rsid w:val="00B8278A"/>
    <w:rsid w:val="00B84135"/>
    <w:rsid w:val="00BA7E72"/>
    <w:rsid w:val="00BE5121"/>
    <w:rsid w:val="00C02827"/>
    <w:rsid w:val="00C04D34"/>
    <w:rsid w:val="00C05DF8"/>
    <w:rsid w:val="00C06864"/>
    <w:rsid w:val="00C10691"/>
    <w:rsid w:val="00C10F54"/>
    <w:rsid w:val="00C1116B"/>
    <w:rsid w:val="00C131B9"/>
    <w:rsid w:val="00C23D8D"/>
    <w:rsid w:val="00C37AA3"/>
    <w:rsid w:val="00C37FD7"/>
    <w:rsid w:val="00C43419"/>
    <w:rsid w:val="00C44CF3"/>
    <w:rsid w:val="00C44F8D"/>
    <w:rsid w:val="00C57D54"/>
    <w:rsid w:val="00C61BE0"/>
    <w:rsid w:val="00C6707E"/>
    <w:rsid w:val="00C70184"/>
    <w:rsid w:val="00C70B0E"/>
    <w:rsid w:val="00C773CA"/>
    <w:rsid w:val="00C83785"/>
    <w:rsid w:val="00C87FA8"/>
    <w:rsid w:val="00C94C0D"/>
    <w:rsid w:val="00CA1FEB"/>
    <w:rsid w:val="00CA3DB1"/>
    <w:rsid w:val="00CC36ED"/>
    <w:rsid w:val="00CC5B3A"/>
    <w:rsid w:val="00CD409F"/>
    <w:rsid w:val="00CD4F85"/>
    <w:rsid w:val="00CD5673"/>
    <w:rsid w:val="00CD6F02"/>
    <w:rsid w:val="00CE246D"/>
    <w:rsid w:val="00CF07A0"/>
    <w:rsid w:val="00CF3E03"/>
    <w:rsid w:val="00D0082A"/>
    <w:rsid w:val="00D05291"/>
    <w:rsid w:val="00D21455"/>
    <w:rsid w:val="00D3536F"/>
    <w:rsid w:val="00D37765"/>
    <w:rsid w:val="00D47634"/>
    <w:rsid w:val="00D57AF2"/>
    <w:rsid w:val="00D601FA"/>
    <w:rsid w:val="00D709B3"/>
    <w:rsid w:val="00D74CD2"/>
    <w:rsid w:val="00D9611F"/>
    <w:rsid w:val="00DA2ED6"/>
    <w:rsid w:val="00DB1D55"/>
    <w:rsid w:val="00DB76B8"/>
    <w:rsid w:val="00DC2EA1"/>
    <w:rsid w:val="00DD67A0"/>
    <w:rsid w:val="00DD6AAF"/>
    <w:rsid w:val="00DE3F5C"/>
    <w:rsid w:val="00DE68F2"/>
    <w:rsid w:val="00DF1D20"/>
    <w:rsid w:val="00E045CC"/>
    <w:rsid w:val="00E1216A"/>
    <w:rsid w:val="00E15BF2"/>
    <w:rsid w:val="00E21324"/>
    <w:rsid w:val="00E21BA2"/>
    <w:rsid w:val="00E246B9"/>
    <w:rsid w:val="00E25DF6"/>
    <w:rsid w:val="00E31FEA"/>
    <w:rsid w:val="00E44CE8"/>
    <w:rsid w:val="00E45169"/>
    <w:rsid w:val="00E47787"/>
    <w:rsid w:val="00E51C30"/>
    <w:rsid w:val="00E51EBA"/>
    <w:rsid w:val="00E61C0F"/>
    <w:rsid w:val="00E64180"/>
    <w:rsid w:val="00E72111"/>
    <w:rsid w:val="00E7235D"/>
    <w:rsid w:val="00E74AEE"/>
    <w:rsid w:val="00E868E5"/>
    <w:rsid w:val="00E9237A"/>
    <w:rsid w:val="00E939FA"/>
    <w:rsid w:val="00EA5765"/>
    <w:rsid w:val="00EC2532"/>
    <w:rsid w:val="00ED7812"/>
    <w:rsid w:val="00EF3B86"/>
    <w:rsid w:val="00F11E4B"/>
    <w:rsid w:val="00F1371E"/>
    <w:rsid w:val="00F317E9"/>
    <w:rsid w:val="00F34554"/>
    <w:rsid w:val="00F35B68"/>
    <w:rsid w:val="00F45F77"/>
    <w:rsid w:val="00F5167F"/>
    <w:rsid w:val="00F52258"/>
    <w:rsid w:val="00F83409"/>
    <w:rsid w:val="00F8570A"/>
    <w:rsid w:val="00F91C7B"/>
    <w:rsid w:val="00F9209F"/>
    <w:rsid w:val="00FB18C6"/>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39A8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B460AC"/>
    <w:rPr>
      <w:sz w:val="24"/>
      <w:szCs w:val="24"/>
      <w:lang w:val="en-US" w:eastAsia="en-US"/>
    </w:rPr>
  </w:style>
  <w:style w:type="paragraph" w:customStyle="1" w:styleId="Default">
    <w:name w:val="Default"/>
    <w:rsid w:val="00B460AC"/>
    <w:pPr>
      <w:autoSpaceDE w:val="0"/>
      <w:autoSpaceDN w:val="0"/>
      <w:adjustRightInd w:val="0"/>
    </w:pPr>
    <w:rPr>
      <w:rFonts w:eastAsia="MS Mincho"/>
      <w:color w:val="000000"/>
      <w:sz w:val="24"/>
      <w:szCs w:val="24"/>
      <w:lang w:val="sr-Latn-CS" w:eastAsia="ja-JP"/>
    </w:rPr>
  </w:style>
  <w:style w:type="paragraph" w:styleId="ListParagraph">
    <w:name w:val="List Paragraph"/>
    <w:basedOn w:val="Normal"/>
    <w:uiPriority w:val="34"/>
    <w:qFormat/>
    <w:rsid w:val="00B460AC"/>
    <w:pPr>
      <w:ind w:left="720"/>
      <w:contextualSpacing/>
    </w:pPr>
  </w:style>
  <w:style w:type="paragraph" w:styleId="BodyTextIndent">
    <w:name w:val="Body Text Indent"/>
    <w:basedOn w:val="Normal"/>
    <w:link w:val="BodyTextIndentChar"/>
    <w:rsid w:val="00E61C0F"/>
    <w:pPr>
      <w:spacing w:after="120"/>
      <w:ind w:left="360"/>
    </w:pPr>
    <w:rPr>
      <w:sz w:val="20"/>
      <w:szCs w:val="20"/>
    </w:rPr>
  </w:style>
  <w:style w:type="character" w:customStyle="1" w:styleId="BodyTextIndentChar">
    <w:name w:val="Body Text Indent Char"/>
    <w:basedOn w:val="DefaultParagraphFont"/>
    <w:link w:val="BodyTextIndent"/>
    <w:rsid w:val="00E61C0F"/>
    <w:rPr>
      <w:lang w:val="en-US" w:eastAsia="en-US"/>
    </w:rPr>
  </w:style>
  <w:style w:type="paragraph" w:styleId="BodyText">
    <w:name w:val="Body Text"/>
    <w:basedOn w:val="Normal"/>
    <w:link w:val="BodyTextChar"/>
    <w:qFormat/>
    <w:rsid w:val="004638E5"/>
    <w:pPr>
      <w:spacing w:after="120"/>
    </w:pPr>
    <w:rPr>
      <w:sz w:val="20"/>
      <w:szCs w:val="20"/>
    </w:rPr>
  </w:style>
  <w:style w:type="character" w:customStyle="1" w:styleId="BodyTextChar">
    <w:name w:val="Body Text Char"/>
    <w:basedOn w:val="DefaultParagraphFont"/>
    <w:link w:val="BodyText"/>
    <w:rsid w:val="004638E5"/>
    <w:rPr>
      <w:lang w:val="en-US" w:eastAsia="en-US"/>
    </w:rPr>
  </w:style>
  <w:style w:type="character" w:customStyle="1" w:styleId="hps">
    <w:name w:val="hps"/>
    <w:rsid w:val="00DD67A0"/>
  </w:style>
  <w:style w:type="paragraph" w:styleId="Revision">
    <w:name w:val="Revision"/>
    <w:hidden/>
    <w:uiPriority w:val="99"/>
    <w:semiHidden/>
    <w:rsid w:val="008B00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8898">
      <w:bodyDiv w:val="1"/>
      <w:marLeft w:val="0"/>
      <w:marRight w:val="0"/>
      <w:marTop w:val="0"/>
      <w:marBottom w:val="0"/>
      <w:divBdr>
        <w:top w:val="none" w:sz="0" w:space="0" w:color="auto"/>
        <w:left w:val="none" w:sz="0" w:space="0" w:color="auto"/>
        <w:bottom w:val="none" w:sz="0" w:space="0" w:color="auto"/>
        <w:right w:val="none" w:sz="0" w:space="0" w:color="auto"/>
      </w:divBdr>
    </w:div>
    <w:div w:id="879317263">
      <w:bodyDiv w:val="1"/>
      <w:marLeft w:val="0"/>
      <w:marRight w:val="0"/>
      <w:marTop w:val="0"/>
      <w:marBottom w:val="0"/>
      <w:divBdr>
        <w:top w:val="none" w:sz="0" w:space="0" w:color="auto"/>
        <w:left w:val="none" w:sz="0" w:space="0" w:color="auto"/>
        <w:bottom w:val="none" w:sz="0" w:space="0" w:color="auto"/>
        <w:right w:val="none" w:sz="0" w:space="0" w:color="auto"/>
      </w:divBdr>
    </w:div>
    <w:div w:id="1243220508">
      <w:bodyDiv w:val="1"/>
      <w:marLeft w:val="0"/>
      <w:marRight w:val="0"/>
      <w:marTop w:val="0"/>
      <w:marBottom w:val="0"/>
      <w:divBdr>
        <w:top w:val="none" w:sz="0" w:space="0" w:color="auto"/>
        <w:left w:val="none" w:sz="0" w:space="0" w:color="auto"/>
        <w:bottom w:val="none" w:sz="0" w:space="0" w:color="auto"/>
        <w:right w:val="none" w:sz="0" w:space="0" w:color="auto"/>
      </w:divBdr>
    </w:div>
    <w:div w:id="1318611866">
      <w:bodyDiv w:val="1"/>
      <w:marLeft w:val="0"/>
      <w:marRight w:val="0"/>
      <w:marTop w:val="0"/>
      <w:marBottom w:val="0"/>
      <w:divBdr>
        <w:top w:val="none" w:sz="0" w:space="0" w:color="auto"/>
        <w:left w:val="none" w:sz="0" w:space="0" w:color="auto"/>
        <w:bottom w:val="none" w:sz="0" w:space="0" w:color="auto"/>
        <w:right w:val="none" w:sz="0" w:space="0" w:color="auto"/>
      </w:divBdr>
    </w:div>
    <w:div w:id="1421948411">
      <w:bodyDiv w:val="1"/>
      <w:marLeft w:val="0"/>
      <w:marRight w:val="0"/>
      <w:marTop w:val="0"/>
      <w:marBottom w:val="0"/>
      <w:divBdr>
        <w:top w:val="none" w:sz="0" w:space="0" w:color="auto"/>
        <w:left w:val="none" w:sz="0" w:space="0" w:color="auto"/>
        <w:bottom w:val="none" w:sz="0" w:space="0" w:color="auto"/>
        <w:right w:val="none" w:sz="0" w:space="0" w:color="auto"/>
      </w:divBdr>
    </w:div>
    <w:div w:id="20637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7B97-D106-4515-BA90-57785891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25974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5</cp:revision>
  <cp:lastPrinted>2023-02-09T08:16:00Z</cp:lastPrinted>
  <dcterms:created xsi:type="dcterms:W3CDTF">2024-03-25T11:38:00Z</dcterms:created>
  <dcterms:modified xsi:type="dcterms:W3CDTF">2025-07-23T11:03:00Z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