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0A5" w:rsidRPr="002510A5" w:rsidRDefault="002510A5" w:rsidP="002510A5">
      <w:pPr>
        <w:jc w:val="center"/>
        <w:rPr>
          <w:b/>
          <w:bCs/>
          <w:iCs/>
          <w:sz w:val="22"/>
          <w:szCs w:val="22"/>
          <w:u w:val="single"/>
        </w:rPr>
      </w:pPr>
      <w:r w:rsidRPr="002510A5">
        <w:rPr>
          <w:b/>
          <w:bCs/>
          <w:iCs/>
          <w:sz w:val="22"/>
          <w:szCs w:val="22"/>
          <w:u w:val="single"/>
        </w:rPr>
        <w:t>SAŽETAK KARAKTERISTIKA LIJEKA</w:t>
      </w:r>
    </w:p>
    <w:p w:rsidR="002510A5" w:rsidRPr="002510A5" w:rsidRDefault="002510A5" w:rsidP="002510A5">
      <w:pPr>
        <w:rPr>
          <w:b/>
          <w:bCs/>
          <w:i/>
          <w:iCs/>
          <w:sz w:val="22"/>
          <w:szCs w:val="22"/>
          <w:u w:val="single"/>
        </w:rPr>
      </w:pPr>
    </w:p>
    <w:p w:rsidR="003C17AB" w:rsidRDefault="003C17AB" w:rsidP="00F5167F">
      <w:pPr>
        <w:tabs>
          <w:tab w:val="left" w:pos="540"/>
          <w:tab w:val="left" w:pos="569"/>
        </w:tabs>
        <w:rPr>
          <w:noProof/>
          <w:sz w:val="22"/>
          <w:szCs w:val="22"/>
          <w:lang w:val="hr-HR"/>
        </w:rPr>
      </w:pPr>
    </w:p>
    <w:p w:rsidR="00411B4B" w:rsidRPr="00786071" w:rsidRDefault="00411B4B" w:rsidP="00F5167F">
      <w:pPr>
        <w:tabs>
          <w:tab w:val="left" w:pos="540"/>
          <w:tab w:val="left" w:pos="569"/>
        </w:tabs>
        <w:rPr>
          <w:b/>
          <w:bCs/>
          <w:sz w:val="22"/>
          <w:szCs w:val="22"/>
        </w:rPr>
      </w:pPr>
      <w:r w:rsidRPr="00786071">
        <w:rPr>
          <w:b/>
          <w:bCs/>
          <w:sz w:val="22"/>
          <w:szCs w:val="22"/>
        </w:rPr>
        <w:t>1.</w:t>
      </w:r>
      <w:r w:rsidR="00F5167F" w:rsidRPr="00786071">
        <w:rPr>
          <w:b/>
          <w:bCs/>
          <w:sz w:val="22"/>
          <w:szCs w:val="22"/>
        </w:rPr>
        <w:tab/>
      </w:r>
      <w:r w:rsidR="002846DB" w:rsidRPr="00786071">
        <w:rPr>
          <w:b/>
          <w:bCs/>
          <w:sz w:val="22"/>
          <w:szCs w:val="22"/>
        </w:rPr>
        <w:t xml:space="preserve">NAZIV </w:t>
      </w:r>
      <w:r w:rsidRPr="00786071">
        <w:rPr>
          <w:b/>
          <w:bCs/>
          <w:sz w:val="22"/>
          <w:szCs w:val="22"/>
        </w:rPr>
        <w:t>LIJEKA</w:t>
      </w:r>
    </w:p>
    <w:p w:rsidR="00EC2532" w:rsidRPr="00786071" w:rsidRDefault="00EC2532">
      <w:pPr>
        <w:rPr>
          <w:sz w:val="22"/>
          <w:szCs w:val="22"/>
          <w:lang w:val="pl-PL"/>
        </w:rPr>
      </w:pPr>
    </w:p>
    <w:p w:rsidR="006E7380" w:rsidRPr="006E7380" w:rsidRDefault="006E7380" w:rsidP="006E7380">
      <w:pPr>
        <w:rPr>
          <w:b/>
          <w:sz w:val="22"/>
          <w:szCs w:val="22"/>
        </w:rPr>
      </w:pPr>
      <w:r w:rsidRPr="00D205CF">
        <w:rPr>
          <w:b/>
          <w:sz w:val="22"/>
          <w:szCs w:val="22"/>
          <w:lang w:val="hr-HR"/>
        </w:rPr>
        <w:t>Calixta, 30 mg, film tableta</w:t>
      </w:r>
    </w:p>
    <w:p w:rsidR="006E7380" w:rsidRPr="00D205CF" w:rsidRDefault="006E7380" w:rsidP="006E7380">
      <w:pPr>
        <w:tabs>
          <w:tab w:val="left" w:pos="936"/>
        </w:tabs>
        <w:rPr>
          <w:sz w:val="22"/>
          <w:szCs w:val="22"/>
          <w:lang w:val="sr-Latn-CS"/>
        </w:rPr>
      </w:pPr>
      <w:r w:rsidRPr="00D205CF">
        <w:rPr>
          <w:sz w:val="22"/>
          <w:szCs w:val="22"/>
        </w:rPr>
        <w:t>INN:</w:t>
      </w:r>
      <w:r w:rsidRPr="00D205CF">
        <w:rPr>
          <w:sz w:val="22"/>
          <w:szCs w:val="22"/>
        </w:rPr>
        <w:tab/>
        <w:t>mirta</w:t>
      </w:r>
      <w:r w:rsidRPr="00D205CF">
        <w:rPr>
          <w:sz w:val="22"/>
          <w:szCs w:val="22"/>
          <w:lang w:val="sr-Latn-CS"/>
        </w:rPr>
        <w:t>zapin</w:t>
      </w:r>
    </w:p>
    <w:p w:rsidR="006D20A5" w:rsidRPr="00786071" w:rsidRDefault="006D20A5">
      <w:pPr>
        <w:rPr>
          <w:bCs/>
          <w:sz w:val="22"/>
          <w:szCs w:val="22"/>
          <w:lang w:val="sv-SE"/>
        </w:rPr>
      </w:pPr>
    </w:p>
    <w:p w:rsidR="00530BD7" w:rsidRPr="00786071" w:rsidRDefault="00530BD7">
      <w:pPr>
        <w:rPr>
          <w:bCs/>
          <w:sz w:val="22"/>
          <w:szCs w:val="22"/>
          <w:lang w:val="sv-SE"/>
        </w:rPr>
      </w:pPr>
    </w:p>
    <w:p w:rsidR="00411B4B" w:rsidRPr="00786071" w:rsidRDefault="00411B4B" w:rsidP="00F5167F">
      <w:pPr>
        <w:tabs>
          <w:tab w:val="left" w:pos="540"/>
          <w:tab w:val="left" w:pos="569"/>
        </w:tabs>
        <w:rPr>
          <w:b/>
          <w:bCs/>
          <w:sz w:val="22"/>
          <w:szCs w:val="22"/>
        </w:rPr>
      </w:pPr>
      <w:r w:rsidRPr="00786071">
        <w:rPr>
          <w:b/>
          <w:bCs/>
          <w:sz w:val="22"/>
          <w:szCs w:val="22"/>
        </w:rPr>
        <w:t xml:space="preserve">2. </w:t>
      </w:r>
      <w:r w:rsidR="00F5167F" w:rsidRPr="00786071">
        <w:rPr>
          <w:b/>
          <w:bCs/>
          <w:sz w:val="22"/>
          <w:szCs w:val="22"/>
        </w:rPr>
        <w:tab/>
      </w:r>
      <w:r w:rsidRPr="00786071">
        <w:rPr>
          <w:b/>
          <w:bCs/>
          <w:sz w:val="22"/>
          <w:szCs w:val="22"/>
        </w:rPr>
        <w:t>KVALITATIVNI I KVANTITATIVNI SASTAV</w:t>
      </w:r>
    </w:p>
    <w:p w:rsidR="005A0B2E" w:rsidRPr="00786071" w:rsidRDefault="005A0B2E">
      <w:pPr>
        <w:rPr>
          <w:sz w:val="22"/>
          <w:szCs w:val="22"/>
          <w:lang w:val="sr-Latn-CS"/>
        </w:rPr>
      </w:pPr>
    </w:p>
    <w:p w:rsidR="00D205CF" w:rsidRDefault="00D205CF" w:rsidP="00D205CF">
      <w:pPr>
        <w:jc w:val="both"/>
        <w:rPr>
          <w:sz w:val="22"/>
          <w:szCs w:val="22"/>
          <w:lang w:val="sr-Latn-CS"/>
        </w:rPr>
      </w:pPr>
      <w:r w:rsidRPr="00D205CF">
        <w:rPr>
          <w:sz w:val="22"/>
          <w:szCs w:val="22"/>
          <w:lang w:val="sr-Latn-CS"/>
        </w:rPr>
        <w:t>Jedna film tableta sadrži 30 mg mirtazapina.</w:t>
      </w:r>
    </w:p>
    <w:p w:rsidR="006E7380" w:rsidRPr="00D205CF" w:rsidRDefault="006E7380" w:rsidP="00D205CF">
      <w:pPr>
        <w:jc w:val="both"/>
        <w:rPr>
          <w:sz w:val="22"/>
          <w:szCs w:val="22"/>
          <w:lang w:val="sr-Latn-CS"/>
        </w:rPr>
      </w:pPr>
    </w:p>
    <w:p w:rsidR="00D205CF" w:rsidRPr="00D205CF" w:rsidRDefault="00D205CF" w:rsidP="00D205CF">
      <w:pPr>
        <w:jc w:val="both"/>
        <w:rPr>
          <w:sz w:val="22"/>
          <w:szCs w:val="22"/>
          <w:lang w:val="sr-Latn-CS"/>
        </w:rPr>
      </w:pPr>
      <w:r w:rsidRPr="00D205CF">
        <w:rPr>
          <w:sz w:val="22"/>
          <w:szCs w:val="22"/>
          <w:lang w:val="sr-Latn-CS"/>
        </w:rPr>
        <w:t>Pomoćna supstanca sa potvrđenim dejstvom je laktoza, monohidrat. Jedna film tableta sadrži 88,8 mg laktoze, monohidrat.</w:t>
      </w:r>
    </w:p>
    <w:p w:rsidR="00D205CF" w:rsidRPr="00D205CF" w:rsidRDefault="00D205CF" w:rsidP="00D205CF">
      <w:pPr>
        <w:jc w:val="both"/>
        <w:rPr>
          <w:sz w:val="22"/>
          <w:szCs w:val="22"/>
          <w:lang w:val="sr-Latn-CS"/>
        </w:rPr>
      </w:pPr>
    </w:p>
    <w:p w:rsidR="0003793F" w:rsidRPr="00786071" w:rsidRDefault="0003793F" w:rsidP="00D205CF">
      <w:pPr>
        <w:jc w:val="both"/>
        <w:rPr>
          <w:sz w:val="22"/>
          <w:szCs w:val="22"/>
          <w:lang w:val="sr-Latn-CS"/>
        </w:rPr>
      </w:pPr>
      <w:r w:rsidRPr="00786071">
        <w:rPr>
          <w:sz w:val="22"/>
          <w:szCs w:val="22"/>
          <w:lang w:val="sr-Latn-CS"/>
        </w:rPr>
        <w:t>Za spisak svih ekscipijenasa, pogledati dio 6.1.</w:t>
      </w:r>
    </w:p>
    <w:p w:rsidR="0003793F" w:rsidRDefault="0003793F">
      <w:pPr>
        <w:rPr>
          <w:sz w:val="22"/>
          <w:szCs w:val="22"/>
          <w:lang w:val="sr-Latn-CS"/>
        </w:rPr>
      </w:pPr>
    </w:p>
    <w:p w:rsidR="00C37FD7" w:rsidRPr="00786071" w:rsidRDefault="00C37FD7">
      <w:pPr>
        <w:rPr>
          <w:sz w:val="22"/>
          <w:szCs w:val="22"/>
          <w:lang w:val="sr-Latn-CS"/>
        </w:rPr>
      </w:pPr>
    </w:p>
    <w:p w:rsidR="00411B4B" w:rsidRPr="00786071" w:rsidRDefault="00411B4B" w:rsidP="00F5167F">
      <w:pPr>
        <w:tabs>
          <w:tab w:val="left" w:pos="540"/>
          <w:tab w:val="left" w:pos="569"/>
        </w:tabs>
        <w:rPr>
          <w:b/>
          <w:bCs/>
          <w:sz w:val="22"/>
          <w:szCs w:val="22"/>
        </w:rPr>
      </w:pPr>
      <w:r w:rsidRPr="00786071">
        <w:rPr>
          <w:b/>
          <w:bCs/>
          <w:sz w:val="22"/>
          <w:szCs w:val="22"/>
        </w:rPr>
        <w:t xml:space="preserve">3. </w:t>
      </w:r>
      <w:r w:rsidR="00F5167F" w:rsidRPr="00786071">
        <w:rPr>
          <w:b/>
          <w:bCs/>
          <w:sz w:val="22"/>
          <w:szCs w:val="22"/>
        </w:rPr>
        <w:tab/>
      </w:r>
      <w:r w:rsidRPr="00786071">
        <w:rPr>
          <w:b/>
          <w:bCs/>
          <w:sz w:val="22"/>
          <w:szCs w:val="22"/>
        </w:rPr>
        <w:t>FARMACEUTSKI OBLIK</w:t>
      </w:r>
      <w:r w:rsidR="009F2D23" w:rsidRPr="00786071">
        <w:rPr>
          <w:b/>
          <w:bCs/>
          <w:sz w:val="22"/>
          <w:szCs w:val="22"/>
        </w:rPr>
        <w:t xml:space="preserve"> </w:t>
      </w:r>
    </w:p>
    <w:p w:rsidR="00D205CF" w:rsidRDefault="00D205CF" w:rsidP="00D205CF">
      <w:pPr>
        <w:jc w:val="both"/>
        <w:rPr>
          <w:bCs/>
          <w:sz w:val="22"/>
          <w:szCs w:val="22"/>
          <w:lang w:val="sr-Latn-CS"/>
        </w:rPr>
      </w:pPr>
    </w:p>
    <w:p w:rsidR="00D205CF" w:rsidRDefault="00D205CF" w:rsidP="00D205CF">
      <w:pPr>
        <w:jc w:val="both"/>
        <w:rPr>
          <w:bCs/>
          <w:sz w:val="22"/>
          <w:szCs w:val="22"/>
          <w:lang w:val="sr-Latn-CS"/>
        </w:rPr>
      </w:pPr>
      <w:r w:rsidRPr="00D205CF">
        <w:rPr>
          <w:bCs/>
          <w:sz w:val="22"/>
          <w:szCs w:val="22"/>
          <w:lang w:val="sr-Latn-CS"/>
        </w:rPr>
        <w:t>Film tableta.</w:t>
      </w:r>
    </w:p>
    <w:p w:rsidR="006E7380" w:rsidRPr="00D205CF" w:rsidRDefault="006E7380" w:rsidP="00D205CF">
      <w:pPr>
        <w:jc w:val="both"/>
        <w:rPr>
          <w:bCs/>
          <w:sz w:val="22"/>
          <w:szCs w:val="22"/>
          <w:lang w:val="sr-Latn-CS"/>
        </w:rPr>
      </w:pPr>
    </w:p>
    <w:p w:rsidR="00D205CF" w:rsidRPr="00D205CF" w:rsidRDefault="00D205CF" w:rsidP="00D205CF">
      <w:pPr>
        <w:jc w:val="both"/>
        <w:rPr>
          <w:bCs/>
          <w:sz w:val="22"/>
          <w:szCs w:val="22"/>
          <w:lang w:val="sr-Latn-CS"/>
        </w:rPr>
      </w:pPr>
      <w:r w:rsidRPr="00D205CF">
        <w:rPr>
          <w:bCs/>
          <w:sz w:val="22"/>
          <w:szCs w:val="22"/>
          <w:lang w:val="sr-Latn-CS"/>
        </w:rPr>
        <w:t>Calixta 30 mg film tablete su crveno-braon boje, elipsaste, bikonveksne, sa podionom crtom na jednoj strani, dužine 12,1 mm i širine 6,1 mm.</w:t>
      </w:r>
    </w:p>
    <w:p w:rsidR="00411B4B" w:rsidRPr="00786071" w:rsidRDefault="00D205CF" w:rsidP="00D205CF">
      <w:pPr>
        <w:jc w:val="both"/>
        <w:rPr>
          <w:bCs/>
          <w:sz w:val="22"/>
          <w:szCs w:val="22"/>
          <w:lang w:val="sr-Latn-CS"/>
        </w:rPr>
      </w:pPr>
      <w:r w:rsidRPr="00D205CF">
        <w:rPr>
          <w:bCs/>
          <w:sz w:val="22"/>
          <w:szCs w:val="22"/>
          <w:lang w:val="sr-Latn-CS"/>
        </w:rPr>
        <w:t>Tableta se može podijeliti na dvije jednake doze.</w:t>
      </w:r>
    </w:p>
    <w:p w:rsidR="00EC2532" w:rsidRDefault="00EC2532">
      <w:pPr>
        <w:rPr>
          <w:bCs/>
          <w:sz w:val="22"/>
          <w:szCs w:val="22"/>
          <w:lang w:val="sr-Latn-CS"/>
        </w:rPr>
      </w:pPr>
    </w:p>
    <w:p w:rsidR="006E7380" w:rsidRPr="00786071" w:rsidRDefault="006E7380">
      <w:pPr>
        <w:rPr>
          <w:bCs/>
          <w:sz w:val="22"/>
          <w:szCs w:val="22"/>
          <w:lang w:val="sr-Latn-CS"/>
        </w:rPr>
      </w:pPr>
    </w:p>
    <w:p w:rsidR="00411B4B" w:rsidRPr="00786071" w:rsidRDefault="00411B4B" w:rsidP="00F5167F">
      <w:pPr>
        <w:tabs>
          <w:tab w:val="left" w:pos="540"/>
          <w:tab w:val="left" w:pos="569"/>
        </w:tabs>
        <w:rPr>
          <w:b/>
          <w:bCs/>
          <w:sz w:val="22"/>
          <w:szCs w:val="22"/>
        </w:rPr>
      </w:pPr>
      <w:r w:rsidRPr="00786071">
        <w:rPr>
          <w:b/>
          <w:bCs/>
          <w:sz w:val="22"/>
          <w:szCs w:val="22"/>
        </w:rPr>
        <w:t xml:space="preserve">4. </w:t>
      </w:r>
      <w:r w:rsidR="00480FB1" w:rsidRPr="00786071">
        <w:rPr>
          <w:b/>
          <w:bCs/>
          <w:sz w:val="22"/>
          <w:szCs w:val="22"/>
        </w:rPr>
        <w:tab/>
      </w:r>
      <w:r w:rsidRPr="00786071">
        <w:rPr>
          <w:b/>
          <w:bCs/>
          <w:sz w:val="22"/>
          <w:szCs w:val="22"/>
        </w:rPr>
        <w:t>KLINIČKI PODACI</w:t>
      </w:r>
    </w:p>
    <w:p w:rsidR="00CD6F02" w:rsidRPr="00786071" w:rsidRDefault="00CD6F02"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4.1. </w:t>
      </w:r>
      <w:r w:rsidR="00480FB1" w:rsidRPr="00786071">
        <w:rPr>
          <w:b/>
          <w:bCs/>
          <w:sz w:val="22"/>
          <w:szCs w:val="22"/>
        </w:rPr>
        <w:tab/>
      </w:r>
      <w:r w:rsidRPr="00786071">
        <w:rPr>
          <w:b/>
          <w:bCs/>
          <w:sz w:val="22"/>
          <w:szCs w:val="22"/>
        </w:rPr>
        <w:t>Terapijske indikacije</w:t>
      </w:r>
    </w:p>
    <w:p w:rsidR="00D205CF" w:rsidRDefault="00D205CF" w:rsidP="00480FB1">
      <w:pPr>
        <w:tabs>
          <w:tab w:val="left" w:pos="540"/>
          <w:tab w:val="left" w:pos="569"/>
        </w:tabs>
        <w:rPr>
          <w:bCs/>
          <w:sz w:val="22"/>
          <w:szCs w:val="22"/>
        </w:rPr>
      </w:pPr>
    </w:p>
    <w:p w:rsidR="00411B4B" w:rsidRDefault="00D205CF" w:rsidP="00D205CF">
      <w:pPr>
        <w:tabs>
          <w:tab w:val="left" w:pos="540"/>
          <w:tab w:val="left" w:pos="569"/>
        </w:tabs>
        <w:jc w:val="both"/>
        <w:rPr>
          <w:bCs/>
          <w:sz w:val="22"/>
          <w:szCs w:val="22"/>
        </w:rPr>
      </w:pPr>
      <w:r w:rsidRPr="00D205CF">
        <w:rPr>
          <w:bCs/>
          <w:sz w:val="22"/>
          <w:szCs w:val="22"/>
        </w:rPr>
        <w:t>Mirtazapin je indikovan za liječenje epizoda teške depresije kod odraslih osoba.</w:t>
      </w:r>
    </w:p>
    <w:p w:rsidR="00D205CF" w:rsidRPr="00786071" w:rsidRDefault="00D205CF"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4.2. </w:t>
      </w:r>
      <w:r w:rsidR="00480FB1" w:rsidRPr="00786071">
        <w:rPr>
          <w:b/>
          <w:bCs/>
          <w:sz w:val="22"/>
          <w:szCs w:val="22"/>
        </w:rPr>
        <w:tab/>
      </w:r>
      <w:r w:rsidRPr="00786071">
        <w:rPr>
          <w:b/>
          <w:bCs/>
          <w:sz w:val="22"/>
          <w:szCs w:val="22"/>
        </w:rPr>
        <w:t>Doziranje i način primjene</w:t>
      </w:r>
    </w:p>
    <w:p w:rsidR="0072020E" w:rsidRPr="00786071" w:rsidRDefault="0072020E" w:rsidP="00480FB1">
      <w:pPr>
        <w:tabs>
          <w:tab w:val="left" w:pos="540"/>
          <w:tab w:val="left" w:pos="569"/>
        </w:tabs>
        <w:rPr>
          <w:bCs/>
          <w:sz w:val="22"/>
          <w:szCs w:val="22"/>
        </w:rPr>
      </w:pPr>
    </w:p>
    <w:p w:rsidR="00452E9D" w:rsidRDefault="00452E9D" w:rsidP="00480FB1">
      <w:pPr>
        <w:tabs>
          <w:tab w:val="left" w:pos="540"/>
          <w:tab w:val="left" w:pos="569"/>
        </w:tabs>
        <w:rPr>
          <w:bCs/>
          <w:sz w:val="22"/>
          <w:szCs w:val="22"/>
          <w:u w:val="single"/>
        </w:rPr>
      </w:pPr>
      <w:r w:rsidRPr="00786071">
        <w:rPr>
          <w:bCs/>
          <w:sz w:val="22"/>
          <w:szCs w:val="22"/>
          <w:u w:val="single"/>
        </w:rPr>
        <w:t>Doziranje</w:t>
      </w:r>
    </w:p>
    <w:p w:rsidR="00D205CF" w:rsidRPr="00D205CF" w:rsidRDefault="00D205CF" w:rsidP="00D205CF">
      <w:pPr>
        <w:jc w:val="both"/>
        <w:rPr>
          <w:color w:val="000000"/>
          <w:sz w:val="22"/>
          <w:szCs w:val="22"/>
          <w:u w:val="single"/>
          <w:lang w:val="it-IT"/>
        </w:rPr>
      </w:pPr>
    </w:p>
    <w:p w:rsidR="00D205CF" w:rsidRPr="00D205CF" w:rsidRDefault="00D205CF" w:rsidP="00D205CF">
      <w:pPr>
        <w:ind w:left="720" w:hanging="720"/>
        <w:jc w:val="both"/>
        <w:rPr>
          <w:i/>
          <w:color w:val="000000"/>
          <w:sz w:val="22"/>
          <w:szCs w:val="22"/>
          <w:lang w:val="it-IT"/>
        </w:rPr>
      </w:pPr>
      <w:r w:rsidRPr="00D205CF">
        <w:rPr>
          <w:i/>
          <w:color w:val="000000"/>
          <w:sz w:val="22"/>
          <w:szCs w:val="22"/>
          <w:lang w:val="it-IT"/>
        </w:rPr>
        <w:t>Odrasli</w:t>
      </w:r>
    </w:p>
    <w:p w:rsidR="00D205CF" w:rsidRPr="00D205CF" w:rsidRDefault="00D205CF" w:rsidP="00D205CF">
      <w:pPr>
        <w:ind w:left="720" w:hanging="720"/>
        <w:jc w:val="both"/>
        <w:rPr>
          <w:color w:val="000000"/>
          <w:sz w:val="22"/>
          <w:szCs w:val="22"/>
          <w:lang w:val="it-IT"/>
        </w:rPr>
      </w:pPr>
      <w:r w:rsidRPr="00D205CF">
        <w:rPr>
          <w:color w:val="000000"/>
          <w:sz w:val="22"/>
          <w:szCs w:val="22"/>
          <w:lang w:val="it-IT"/>
        </w:rPr>
        <w:t xml:space="preserve">Uobičajena efikasna dnevna doza iznosi između 15 i 45 mg. </w:t>
      </w:r>
    </w:p>
    <w:p w:rsidR="00D205CF" w:rsidRPr="00D205CF" w:rsidRDefault="00D205CF" w:rsidP="00D205CF">
      <w:pPr>
        <w:ind w:left="720" w:hanging="720"/>
        <w:jc w:val="both"/>
        <w:rPr>
          <w:color w:val="000000"/>
          <w:sz w:val="22"/>
          <w:szCs w:val="22"/>
          <w:lang w:val="it-IT"/>
        </w:rPr>
      </w:pPr>
      <w:r w:rsidRPr="00D205CF">
        <w:rPr>
          <w:color w:val="000000"/>
          <w:sz w:val="22"/>
          <w:szCs w:val="22"/>
          <w:lang w:val="it-IT"/>
        </w:rPr>
        <w:t xml:space="preserve">Liječenje se započinje dozom od 15 ili 30 mg. </w:t>
      </w:r>
    </w:p>
    <w:p w:rsidR="006E7380" w:rsidRDefault="006E7380" w:rsidP="006E7380">
      <w:pPr>
        <w:jc w:val="both"/>
        <w:rPr>
          <w:color w:val="000000"/>
          <w:sz w:val="22"/>
          <w:szCs w:val="22"/>
          <w:lang w:val="it-IT"/>
        </w:rPr>
      </w:pPr>
    </w:p>
    <w:p w:rsidR="00D205CF" w:rsidRDefault="00D205CF" w:rsidP="006E7380">
      <w:pPr>
        <w:jc w:val="both"/>
        <w:rPr>
          <w:sz w:val="22"/>
          <w:szCs w:val="22"/>
          <w:lang w:val="it-IT"/>
        </w:rPr>
      </w:pPr>
      <w:r w:rsidRPr="00D205CF">
        <w:rPr>
          <w:color w:val="000000"/>
          <w:sz w:val="22"/>
          <w:szCs w:val="22"/>
          <w:lang w:val="it-IT"/>
        </w:rPr>
        <w:t>Mirtazapin počinje pokazivati svoj efekat uglavnom poslije 1 - 2 nedjelje od početka liječenja. Liječenje odgovarajućom dozom trebalo bi da pokaže pozitivan odgovor u roku od 2 - 4 nedjelje.</w:t>
      </w:r>
      <w:r w:rsidRPr="00D205CF">
        <w:rPr>
          <w:sz w:val="22"/>
          <w:szCs w:val="22"/>
          <w:lang w:val="it-IT"/>
        </w:rPr>
        <w:t xml:space="preserve"> Ako rezultat liječenja nije zadovoljavajući, tada se doza može povećati do maksimalne preporučene doze. Ukoliko nema odgovarajućeg efekta u naredne 2-4 nedjelje, liječenje treba prekinuti.</w:t>
      </w:r>
    </w:p>
    <w:p w:rsidR="006E7380" w:rsidRPr="00D205CF" w:rsidRDefault="006E7380" w:rsidP="006E7380">
      <w:pPr>
        <w:jc w:val="both"/>
        <w:rPr>
          <w:sz w:val="22"/>
          <w:szCs w:val="22"/>
          <w:lang w:val="it-IT"/>
        </w:rPr>
      </w:pPr>
    </w:p>
    <w:p w:rsidR="00D205CF" w:rsidRDefault="00D205CF" w:rsidP="00D205CF">
      <w:pPr>
        <w:contextualSpacing/>
        <w:jc w:val="both"/>
        <w:rPr>
          <w:sz w:val="22"/>
          <w:szCs w:val="22"/>
          <w:lang w:val="hr-HR" w:eastAsia="hr-HR"/>
        </w:rPr>
      </w:pPr>
      <w:r w:rsidRPr="00D205CF">
        <w:rPr>
          <w:sz w:val="22"/>
          <w:szCs w:val="22"/>
          <w:lang w:val="hr-HR" w:eastAsia="hr-HR"/>
        </w:rPr>
        <w:t>Pacijenti sa depresijom moraju se liječiti kroz period od barem 6 mjeseci kako bi se obezbjedilo da više nemaju nikakvih simptoma bolesti.</w:t>
      </w:r>
    </w:p>
    <w:p w:rsidR="006E7380" w:rsidRPr="00D205CF" w:rsidRDefault="006E7380" w:rsidP="00D205CF">
      <w:pPr>
        <w:contextualSpacing/>
        <w:jc w:val="both"/>
        <w:rPr>
          <w:sz w:val="22"/>
          <w:szCs w:val="22"/>
          <w:lang w:val="hr-HR" w:eastAsia="hr-HR"/>
        </w:rPr>
      </w:pPr>
    </w:p>
    <w:p w:rsidR="00D205CF" w:rsidRPr="00D205CF" w:rsidRDefault="00D205CF" w:rsidP="00D205CF">
      <w:pPr>
        <w:contextualSpacing/>
        <w:jc w:val="both"/>
        <w:rPr>
          <w:sz w:val="22"/>
          <w:szCs w:val="22"/>
          <w:lang w:val="hr-HR" w:eastAsia="hr-HR"/>
        </w:rPr>
      </w:pPr>
      <w:r w:rsidRPr="00D205CF">
        <w:rPr>
          <w:sz w:val="22"/>
          <w:szCs w:val="22"/>
          <w:lang w:val="hr-HR" w:eastAsia="hr-HR"/>
        </w:rPr>
        <w:t>Preporučuje se postupan prekid liječenja sa mirtazapinom kako bi se izbjegli simptomi odvikavanja (vidjeti dio 4.4).</w:t>
      </w:r>
    </w:p>
    <w:p w:rsidR="00D205CF" w:rsidRPr="00D205CF" w:rsidRDefault="00D205CF" w:rsidP="00D205CF">
      <w:pPr>
        <w:contextualSpacing/>
        <w:jc w:val="both"/>
        <w:rPr>
          <w:color w:val="000000"/>
          <w:sz w:val="22"/>
          <w:szCs w:val="22"/>
          <w:lang w:val="it-IT"/>
        </w:rPr>
      </w:pPr>
    </w:p>
    <w:p w:rsidR="00D205CF" w:rsidRPr="00D205CF" w:rsidRDefault="00D205CF" w:rsidP="00D205CF">
      <w:pPr>
        <w:autoSpaceDE w:val="0"/>
        <w:autoSpaceDN w:val="0"/>
        <w:adjustRightInd w:val="0"/>
        <w:jc w:val="both"/>
        <w:rPr>
          <w:iCs/>
          <w:sz w:val="22"/>
          <w:szCs w:val="22"/>
          <w:u w:val="single"/>
          <w:lang w:val="it-IT"/>
        </w:rPr>
      </w:pPr>
      <w:r w:rsidRPr="00D205CF">
        <w:rPr>
          <w:iCs/>
          <w:sz w:val="22"/>
          <w:szCs w:val="22"/>
          <w:u w:val="single"/>
          <w:lang w:val="it-IT"/>
        </w:rPr>
        <w:t>Stariji pacijenti</w:t>
      </w:r>
    </w:p>
    <w:p w:rsidR="00D205CF" w:rsidRDefault="00D205CF" w:rsidP="00D205CF">
      <w:pPr>
        <w:autoSpaceDE w:val="0"/>
        <w:autoSpaceDN w:val="0"/>
        <w:adjustRightInd w:val="0"/>
        <w:jc w:val="both"/>
        <w:rPr>
          <w:sz w:val="22"/>
          <w:szCs w:val="22"/>
          <w:lang w:val="sv-SE"/>
        </w:rPr>
      </w:pPr>
      <w:r w:rsidRPr="00D205CF">
        <w:rPr>
          <w:sz w:val="22"/>
          <w:szCs w:val="22"/>
          <w:lang w:val="sv-SE"/>
        </w:rPr>
        <w:t>Preporučena doza je ista kao i za odrasle. Kod starijih pacijenata dozu treba povećavati pod strogom kontrolom, do zadovoljavajućeg i bezbjednog kliničkog odgovora.</w:t>
      </w:r>
    </w:p>
    <w:p w:rsidR="006E7380" w:rsidRPr="00D205CF" w:rsidRDefault="006E7380" w:rsidP="00D205CF">
      <w:pPr>
        <w:autoSpaceDE w:val="0"/>
        <w:autoSpaceDN w:val="0"/>
        <w:adjustRightInd w:val="0"/>
        <w:jc w:val="both"/>
        <w:rPr>
          <w:sz w:val="22"/>
          <w:szCs w:val="22"/>
          <w:lang w:val="sv-SE"/>
        </w:rPr>
      </w:pPr>
    </w:p>
    <w:p w:rsidR="00D205CF" w:rsidRPr="00D205CF" w:rsidRDefault="00D205CF" w:rsidP="00D205CF">
      <w:pPr>
        <w:autoSpaceDE w:val="0"/>
        <w:autoSpaceDN w:val="0"/>
        <w:adjustRightInd w:val="0"/>
        <w:jc w:val="both"/>
        <w:rPr>
          <w:iCs/>
          <w:sz w:val="22"/>
          <w:szCs w:val="22"/>
          <w:u w:val="single"/>
          <w:lang w:val="sv-SE"/>
        </w:rPr>
      </w:pPr>
      <w:r w:rsidRPr="00D205CF">
        <w:rPr>
          <w:iCs/>
          <w:sz w:val="22"/>
          <w:szCs w:val="22"/>
          <w:u w:val="single"/>
          <w:lang w:val="sv-SE"/>
        </w:rPr>
        <w:lastRenderedPageBreak/>
        <w:t>Pacijenti sa poremećenom funkcijom bubrega</w:t>
      </w:r>
    </w:p>
    <w:p w:rsidR="00D205CF" w:rsidRPr="00D205CF" w:rsidRDefault="00D205CF" w:rsidP="00D205CF">
      <w:pPr>
        <w:autoSpaceDE w:val="0"/>
        <w:autoSpaceDN w:val="0"/>
        <w:adjustRightInd w:val="0"/>
        <w:jc w:val="both"/>
        <w:rPr>
          <w:sz w:val="22"/>
          <w:szCs w:val="22"/>
          <w:lang w:val="sv-SE"/>
        </w:rPr>
      </w:pPr>
      <w:r w:rsidRPr="00D205CF">
        <w:rPr>
          <w:sz w:val="22"/>
          <w:szCs w:val="22"/>
          <w:lang w:val="sv-SE"/>
        </w:rPr>
        <w:t xml:space="preserve">Kod pacijenata sa umjerenom do teškom bubrežnom insuficijencijom (klirens kreatinina &lt; 40 ml/min), izlučivanje mirtazapina može biti smanjeno. To treba uzeti u obzir kod propisivanja mirtazapina ovoj grupi pacijenata (vidjeti dio </w:t>
      </w:r>
      <w:r w:rsidRPr="00D205CF">
        <w:rPr>
          <w:iCs/>
          <w:sz w:val="22"/>
          <w:szCs w:val="22"/>
          <w:lang w:val="sv-SE"/>
        </w:rPr>
        <w:t>4.4</w:t>
      </w:r>
      <w:r w:rsidRPr="00D205CF">
        <w:rPr>
          <w:sz w:val="22"/>
          <w:szCs w:val="22"/>
          <w:lang w:val="sv-SE"/>
        </w:rPr>
        <w:t>).</w:t>
      </w:r>
    </w:p>
    <w:p w:rsidR="00D205CF" w:rsidRPr="00D205CF" w:rsidRDefault="00D205CF" w:rsidP="00D205CF">
      <w:pPr>
        <w:autoSpaceDE w:val="0"/>
        <w:autoSpaceDN w:val="0"/>
        <w:adjustRightInd w:val="0"/>
        <w:jc w:val="both"/>
        <w:rPr>
          <w:sz w:val="22"/>
          <w:szCs w:val="22"/>
          <w:lang w:val="sv-SE"/>
        </w:rPr>
      </w:pPr>
    </w:p>
    <w:p w:rsidR="00D205CF" w:rsidRPr="00D205CF" w:rsidRDefault="00D205CF" w:rsidP="00D205CF">
      <w:pPr>
        <w:autoSpaceDE w:val="0"/>
        <w:autoSpaceDN w:val="0"/>
        <w:adjustRightInd w:val="0"/>
        <w:jc w:val="both"/>
        <w:rPr>
          <w:iCs/>
          <w:sz w:val="22"/>
          <w:szCs w:val="22"/>
          <w:u w:val="single"/>
          <w:lang w:val="sv-SE"/>
        </w:rPr>
      </w:pPr>
      <w:r w:rsidRPr="00D205CF">
        <w:rPr>
          <w:iCs/>
          <w:sz w:val="22"/>
          <w:szCs w:val="22"/>
          <w:u w:val="single"/>
          <w:lang w:val="sv-SE"/>
        </w:rPr>
        <w:t>Pacijenti sa poremećenom funkcijom jetre</w:t>
      </w:r>
    </w:p>
    <w:p w:rsidR="00D205CF" w:rsidRPr="00D205CF" w:rsidRDefault="00D205CF" w:rsidP="00D205CF">
      <w:pPr>
        <w:autoSpaceDE w:val="0"/>
        <w:autoSpaceDN w:val="0"/>
        <w:adjustRightInd w:val="0"/>
        <w:jc w:val="both"/>
        <w:rPr>
          <w:iCs/>
          <w:sz w:val="22"/>
          <w:szCs w:val="22"/>
          <w:u w:val="single"/>
          <w:lang w:val="sv-SE"/>
        </w:rPr>
      </w:pPr>
      <w:r w:rsidRPr="00D205CF">
        <w:rPr>
          <w:iCs/>
          <w:sz w:val="22"/>
          <w:szCs w:val="22"/>
          <w:lang w:val="sv-SE"/>
        </w:rPr>
        <w:t xml:space="preserve">Kod </w:t>
      </w:r>
      <w:r w:rsidRPr="00D205CF">
        <w:rPr>
          <w:sz w:val="22"/>
          <w:szCs w:val="22"/>
          <w:lang w:val="sv-SE"/>
        </w:rPr>
        <w:t xml:space="preserve">pacijenata sa poremećenom funkcijom jetre izlučivanje mirtazapina može biti smanjeno. To treba uzeti u obizir kada se mirtazapin propisuje ovoj grupi pacijenata, a naročito kod pacijenata sa teškim oštećenjem jetre, jer ne postoje klinička ispitivanja u ovoj grupi pacijenata (vidjeti dio </w:t>
      </w:r>
      <w:r w:rsidRPr="00D205CF">
        <w:rPr>
          <w:iCs/>
          <w:sz w:val="22"/>
          <w:szCs w:val="22"/>
          <w:lang w:val="sv-SE"/>
        </w:rPr>
        <w:t xml:space="preserve">4.4 </w:t>
      </w:r>
      <w:r w:rsidRPr="00D205CF">
        <w:rPr>
          <w:sz w:val="22"/>
          <w:szCs w:val="22"/>
          <w:lang w:val="sv-SE"/>
        </w:rPr>
        <w:t>).</w:t>
      </w:r>
    </w:p>
    <w:p w:rsidR="00D205CF" w:rsidRPr="00D205CF" w:rsidRDefault="00D205CF" w:rsidP="00D205CF">
      <w:pPr>
        <w:autoSpaceDE w:val="0"/>
        <w:autoSpaceDN w:val="0"/>
        <w:adjustRightInd w:val="0"/>
        <w:jc w:val="both"/>
        <w:rPr>
          <w:color w:val="000000"/>
          <w:sz w:val="22"/>
          <w:szCs w:val="22"/>
          <w:lang w:val="sv-SE"/>
        </w:rPr>
      </w:pPr>
    </w:p>
    <w:p w:rsidR="00D205CF" w:rsidRPr="00D205CF" w:rsidRDefault="00D205CF" w:rsidP="00D205CF">
      <w:pPr>
        <w:autoSpaceDE w:val="0"/>
        <w:autoSpaceDN w:val="0"/>
        <w:adjustRightInd w:val="0"/>
        <w:ind w:right="113"/>
        <w:jc w:val="both"/>
        <w:rPr>
          <w:iCs/>
          <w:sz w:val="22"/>
          <w:szCs w:val="22"/>
          <w:lang w:val="hr-HR"/>
        </w:rPr>
      </w:pPr>
      <w:r w:rsidRPr="00D205CF">
        <w:rPr>
          <w:iCs/>
          <w:sz w:val="22"/>
          <w:szCs w:val="22"/>
          <w:u w:val="single"/>
          <w:lang w:val="hr-HR"/>
        </w:rPr>
        <w:t>Pedijatrijska populacija</w:t>
      </w:r>
    </w:p>
    <w:p w:rsidR="00D205CF" w:rsidRPr="00D205CF" w:rsidRDefault="00D205CF" w:rsidP="00D205CF">
      <w:pPr>
        <w:autoSpaceDE w:val="0"/>
        <w:autoSpaceDN w:val="0"/>
        <w:adjustRightInd w:val="0"/>
        <w:ind w:right="113"/>
        <w:jc w:val="both"/>
        <w:rPr>
          <w:iCs/>
          <w:sz w:val="22"/>
          <w:szCs w:val="22"/>
          <w:lang w:val="hr-HR"/>
        </w:rPr>
      </w:pPr>
      <w:r w:rsidRPr="00D205CF">
        <w:rPr>
          <w:iCs/>
          <w:sz w:val="22"/>
          <w:szCs w:val="22"/>
          <w:lang w:val="hr-HR"/>
        </w:rPr>
        <w:t xml:space="preserve">Mirtazapin se ne smije primjenjivati kod djece i adolescenata mlađih od 18 godina, zato što efikasnost nije bila dokazana u dva kratkotrajna klinička ispitivanja (vidjeti dio 5.1) i zbog bezbjednosnih razloga (vidjeti djelove 4.4, 4.8 i 5.1). </w:t>
      </w:r>
    </w:p>
    <w:p w:rsidR="00452E9D" w:rsidRPr="00786071" w:rsidRDefault="00452E9D" w:rsidP="00480FB1">
      <w:pPr>
        <w:tabs>
          <w:tab w:val="left" w:pos="540"/>
          <w:tab w:val="left" w:pos="569"/>
        </w:tabs>
        <w:rPr>
          <w:bCs/>
          <w:sz w:val="22"/>
          <w:szCs w:val="22"/>
          <w:u w:val="single"/>
        </w:rPr>
      </w:pPr>
    </w:p>
    <w:p w:rsidR="00452E9D" w:rsidRPr="00786071" w:rsidRDefault="00452E9D" w:rsidP="00480FB1">
      <w:pPr>
        <w:tabs>
          <w:tab w:val="left" w:pos="540"/>
          <w:tab w:val="left" w:pos="569"/>
        </w:tabs>
        <w:rPr>
          <w:bCs/>
          <w:sz w:val="22"/>
          <w:szCs w:val="22"/>
          <w:u w:val="single"/>
        </w:rPr>
      </w:pPr>
      <w:r w:rsidRPr="00786071">
        <w:rPr>
          <w:bCs/>
          <w:sz w:val="22"/>
          <w:szCs w:val="22"/>
          <w:u w:val="single"/>
        </w:rPr>
        <w:t>Način primjene</w:t>
      </w:r>
    </w:p>
    <w:p w:rsidR="00D205CF" w:rsidRPr="00D205CF" w:rsidRDefault="00D205CF" w:rsidP="00D205CF">
      <w:pPr>
        <w:autoSpaceDE w:val="0"/>
        <w:autoSpaceDN w:val="0"/>
        <w:adjustRightInd w:val="0"/>
        <w:jc w:val="both"/>
        <w:rPr>
          <w:color w:val="000000"/>
          <w:sz w:val="22"/>
          <w:szCs w:val="22"/>
          <w:lang w:val="sv-SE"/>
        </w:rPr>
      </w:pPr>
      <w:r w:rsidRPr="00D205CF">
        <w:rPr>
          <w:color w:val="000000"/>
          <w:sz w:val="22"/>
          <w:szCs w:val="22"/>
          <w:lang w:val="sv-SE"/>
        </w:rPr>
        <w:t>Mirtazapin ima poluvrijeme eliminacije od 20-40 sati i zbog toga je lijek Calixta</w:t>
      </w:r>
      <w:r w:rsidRPr="00D205CF">
        <w:rPr>
          <w:color w:val="000000"/>
          <w:sz w:val="22"/>
          <w:szCs w:val="22"/>
          <w:vertAlign w:val="superscript"/>
          <w:lang w:val="sv-SE"/>
        </w:rPr>
        <w:t>®</w:t>
      </w:r>
      <w:r w:rsidRPr="00D205CF">
        <w:rPr>
          <w:color w:val="000000"/>
          <w:sz w:val="22"/>
          <w:szCs w:val="22"/>
          <w:lang w:val="sv-SE"/>
        </w:rPr>
        <w:t xml:space="preserve"> pogodan za primjenu jednom dnevno. Lijek treba uzimati kao pojedinačnu dozu prije odlaska na spavanje. Lijek Calixta</w:t>
      </w:r>
      <w:r w:rsidRPr="00D205CF">
        <w:rPr>
          <w:color w:val="000000"/>
          <w:sz w:val="22"/>
          <w:szCs w:val="22"/>
          <w:vertAlign w:val="superscript"/>
          <w:lang w:val="sv-SE"/>
        </w:rPr>
        <w:t>®</w:t>
      </w:r>
      <w:r w:rsidRPr="00D205CF">
        <w:rPr>
          <w:color w:val="000000"/>
          <w:sz w:val="22"/>
          <w:szCs w:val="22"/>
          <w:lang w:val="sv-SE"/>
        </w:rPr>
        <w:t xml:space="preserve"> se takođe može primijeniti u dvije podijeljene doze (jedna ujutru i jedna uveče, s tim da se veća doza uzme uveče).</w:t>
      </w:r>
    </w:p>
    <w:p w:rsidR="00D205CF" w:rsidRPr="00D205CF" w:rsidRDefault="00D205CF" w:rsidP="00D205CF">
      <w:pPr>
        <w:autoSpaceDE w:val="0"/>
        <w:autoSpaceDN w:val="0"/>
        <w:adjustRightInd w:val="0"/>
        <w:jc w:val="both"/>
        <w:rPr>
          <w:color w:val="000000"/>
          <w:sz w:val="22"/>
          <w:szCs w:val="22"/>
          <w:lang w:val="sv-SE"/>
        </w:rPr>
      </w:pPr>
      <w:r w:rsidRPr="00D205CF">
        <w:rPr>
          <w:color w:val="000000"/>
          <w:sz w:val="22"/>
          <w:szCs w:val="22"/>
          <w:lang w:val="sv-SE"/>
        </w:rPr>
        <w:t>Lijek se uzima oralnim putem</w:t>
      </w:r>
      <w:r w:rsidRPr="00D205CF">
        <w:rPr>
          <w:sz w:val="22"/>
          <w:szCs w:val="22"/>
          <w:lang w:val="es-ES"/>
        </w:rPr>
        <w:t xml:space="preserve"> </w:t>
      </w:r>
      <w:r w:rsidRPr="00D205CF">
        <w:rPr>
          <w:color w:val="000000"/>
          <w:sz w:val="22"/>
          <w:szCs w:val="22"/>
          <w:lang w:val="sv-SE"/>
        </w:rPr>
        <w:t>sa tečnošću, tako da se tablete progutaju bez žvakanja.</w:t>
      </w:r>
    </w:p>
    <w:p w:rsidR="00452E9D" w:rsidRPr="00786071" w:rsidRDefault="00452E9D" w:rsidP="00480FB1">
      <w:pPr>
        <w:tabs>
          <w:tab w:val="left" w:pos="540"/>
          <w:tab w:val="left" w:pos="569"/>
        </w:tabs>
        <w:rPr>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4.3. </w:t>
      </w:r>
      <w:r w:rsidR="00480FB1" w:rsidRPr="00786071">
        <w:rPr>
          <w:b/>
          <w:bCs/>
          <w:sz w:val="22"/>
          <w:szCs w:val="22"/>
        </w:rPr>
        <w:tab/>
      </w:r>
      <w:r w:rsidRPr="00786071">
        <w:rPr>
          <w:b/>
          <w:bCs/>
          <w:sz w:val="22"/>
          <w:szCs w:val="22"/>
        </w:rPr>
        <w:t>Kontraindikacije</w:t>
      </w:r>
    </w:p>
    <w:p w:rsidR="00D205CF" w:rsidRDefault="00D205CF" w:rsidP="00D205CF">
      <w:pPr>
        <w:jc w:val="both"/>
        <w:rPr>
          <w:color w:val="000000"/>
          <w:sz w:val="22"/>
          <w:szCs w:val="22"/>
          <w:lang w:val="it-IT"/>
        </w:rPr>
      </w:pPr>
    </w:p>
    <w:p w:rsidR="00D205CF" w:rsidRPr="00D205CF" w:rsidRDefault="00D205CF" w:rsidP="00D205CF">
      <w:pPr>
        <w:jc w:val="both"/>
        <w:rPr>
          <w:bCs/>
          <w:sz w:val="22"/>
          <w:szCs w:val="22"/>
        </w:rPr>
      </w:pPr>
      <w:r w:rsidRPr="00D205CF">
        <w:rPr>
          <w:bCs/>
          <w:sz w:val="22"/>
          <w:szCs w:val="22"/>
        </w:rPr>
        <w:t>Preosjetljivost na aktivnu supstancu ili na neku od ostalih pomoćnih supstanci lijeka navedenih u dijelu 6.1.</w:t>
      </w:r>
    </w:p>
    <w:p w:rsidR="0072020E" w:rsidRPr="00786071" w:rsidRDefault="00D205CF" w:rsidP="00D205CF">
      <w:pPr>
        <w:tabs>
          <w:tab w:val="left" w:pos="540"/>
          <w:tab w:val="left" w:pos="569"/>
        </w:tabs>
        <w:jc w:val="both"/>
        <w:rPr>
          <w:bCs/>
          <w:sz w:val="22"/>
          <w:szCs w:val="22"/>
        </w:rPr>
      </w:pPr>
      <w:r w:rsidRPr="00D205CF">
        <w:rPr>
          <w:bCs/>
          <w:sz w:val="22"/>
          <w:szCs w:val="22"/>
        </w:rPr>
        <w:t>Kontraindikovana je istovremena primjena sa inhibitorima monoamino oksidaze (MAO) (vidjeti dio 4.5).</w:t>
      </w:r>
    </w:p>
    <w:p w:rsidR="00D205CF" w:rsidRDefault="00D205CF" w:rsidP="00480FB1">
      <w:pPr>
        <w:tabs>
          <w:tab w:val="left" w:pos="540"/>
          <w:tab w:val="left" w:pos="569"/>
        </w:tabs>
        <w:rPr>
          <w:b/>
          <w:bCs/>
          <w:sz w:val="22"/>
          <w:szCs w:val="22"/>
        </w:rPr>
      </w:pPr>
    </w:p>
    <w:p w:rsidR="00411B4B" w:rsidRPr="00786071" w:rsidRDefault="00411B4B" w:rsidP="00480FB1">
      <w:pPr>
        <w:tabs>
          <w:tab w:val="left" w:pos="540"/>
          <w:tab w:val="left" w:pos="569"/>
        </w:tabs>
        <w:rPr>
          <w:b/>
          <w:bCs/>
          <w:sz w:val="22"/>
          <w:szCs w:val="22"/>
        </w:rPr>
      </w:pPr>
      <w:r w:rsidRPr="00786071">
        <w:rPr>
          <w:b/>
          <w:bCs/>
          <w:sz w:val="22"/>
          <w:szCs w:val="22"/>
        </w:rPr>
        <w:t xml:space="preserve">4.4. </w:t>
      </w:r>
      <w:r w:rsidR="00480FB1" w:rsidRPr="00786071">
        <w:rPr>
          <w:b/>
          <w:bCs/>
          <w:sz w:val="22"/>
          <w:szCs w:val="22"/>
        </w:rPr>
        <w:tab/>
      </w:r>
      <w:r w:rsidRPr="00786071">
        <w:rPr>
          <w:b/>
          <w:bCs/>
          <w:sz w:val="22"/>
          <w:szCs w:val="22"/>
        </w:rPr>
        <w:t>Posebna upozorenja i mjere opreza pri upotrebi lijeka</w:t>
      </w:r>
    </w:p>
    <w:p w:rsidR="0072020E" w:rsidRPr="00786071" w:rsidRDefault="0072020E" w:rsidP="00480FB1">
      <w:pPr>
        <w:tabs>
          <w:tab w:val="left" w:pos="540"/>
          <w:tab w:val="left" w:pos="569"/>
        </w:tabs>
        <w:rPr>
          <w:bCs/>
          <w:sz w:val="22"/>
          <w:szCs w:val="22"/>
        </w:rPr>
      </w:pPr>
    </w:p>
    <w:p w:rsidR="00057E35" w:rsidRPr="00786071" w:rsidRDefault="00057E35" w:rsidP="00480FB1">
      <w:pPr>
        <w:tabs>
          <w:tab w:val="left" w:pos="540"/>
          <w:tab w:val="left" w:pos="569"/>
        </w:tabs>
        <w:rPr>
          <w:sz w:val="22"/>
          <w:szCs w:val="22"/>
          <w:u w:val="single"/>
        </w:rPr>
      </w:pPr>
      <w:r w:rsidRPr="00786071">
        <w:rPr>
          <w:sz w:val="22"/>
          <w:szCs w:val="22"/>
          <w:u w:val="single"/>
        </w:rPr>
        <w:t>Pedijatrijska populacija</w:t>
      </w:r>
    </w:p>
    <w:p w:rsidR="00057E35" w:rsidRDefault="00057E35" w:rsidP="00480FB1">
      <w:pPr>
        <w:tabs>
          <w:tab w:val="left" w:pos="540"/>
          <w:tab w:val="left" w:pos="569"/>
        </w:tabs>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Mirtazapin se ne smije primjenjivati za liječenje djece i adolescenata uzrasta do 18 godina. Suicidalno ponašanje (pokušaj samoubistva i suicidalne misli) kao i neprijateljstvo prema drugima (izražena agresivnost, otpor i bijes) su češće uočeni u kliničkim ispitivanjima kod djece i adolescenata koji su dobijali antidepresive u odnosu na djecu i adolescente koji su dobijali placebo. Ako se ljekar u slučaju kliničke potrebe, ipak odluči za liječenje mirtazapinom, pacijenata je potrebno pažljivo pratiti u smislu detekcije pojave suicidalnih simptoma. Dosadašnjim kliničkim ispitivanjima nije dokazana efikasnost i dugotrajna bezbjednost primjene mirtazapina kod djece i adolescenata uzrasta do 18 godina u pogledu rasta, razvoja i sazrijevanja.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Suicid/suicidalne misli ili kliničko pogoršanje</w:t>
      </w:r>
    </w:p>
    <w:p w:rsidR="006E363B" w:rsidRDefault="006E363B" w:rsidP="006E363B">
      <w:pPr>
        <w:tabs>
          <w:tab w:val="left" w:pos="540"/>
          <w:tab w:val="left" w:pos="569"/>
        </w:tabs>
        <w:jc w:val="both"/>
        <w:rPr>
          <w:bCs/>
          <w:sz w:val="22"/>
          <w:szCs w:val="22"/>
        </w:rPr>
      </w:pPr>
      <w:r w:rsidRPr="006E363B">
        <w:rPr>
          <w:bCs/>
          <w:sz w:val="22"/>
          <w:szCs w:val="22"/>
        </w:rPr>
        <w:t xml:space="preserve">Depresija je povezana sa povećanim rizikom od pojave suicidalnih misli, samopovrijeđivanja i suicida (samoubistvom povezani događaji). Taj rizik postoji dok ne dođe do značajne remisije bolesti. Kako do poboljšanja ne mora doći tokom prvih nekoliko nedjelja liječenja, ili duže, pacijente treba pažljivo pratiti dok ne dođe do poboljšanja. Opšte kliničko iskustvo ukazuje da rizik </w:t>
      </w:r>
      <w:proofErr w:type="gramStart"/>
      <w:r w:rsidRPr="006E363B">
        <w:rPr>
          <w:bCs/>
          <w:sz w:val="22"/>
          <w:szCs w:val="22"/>
        </w:rPr>
        <w:t>od</w:t>
      </w:r>
      <w:proofErr w:type="gramEnd"/>
      <w:r w:rsidRPr="006E363B">
        <w:rPr>
          <w:bCs/>
          <w:sz w:val="22"/>
          <w:szCs w:val="22"/>
        </w:rPr>
        <w:t xml:space="preserve"> suicida raste u ranim fazama oporavka.</w:t>
      </w:r>
    </w:p>
    <w:p w:rsidR="006E7380" w:rsidRPr="006E363B" w:rsidRDefault="006E7380"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 xml:space="preserve">Pacijenti </w:t>
      </w:r>
      <w:proofErr w:type="gramStart"/>
      <w:r w:rsidRPr="006E363B">
        <w:rPr>
          <w:bCs/>
          <w:sz w:val="22"/>
          <w:szCs w:val="22"/>
        </w:rPr>
        <w:t>sa</w:t>
      </w:r>
      <w:proofErr w:type="gramEnd"/>
      <w:r w:rsidRPr="006E363B">
        <w:rPr>
          <w:bCs/>
          <w:sz w:val="22"/>
          <w:szCs w:val="22"/>
        </w:rPr>
        <w:t xml:space="preserve"> suicidalnim događajima u anamnezi, ili oni koji pokazuju značajan stepen suicidalnih ideja prije početka liječenja, obično imaju veći rizik od pojave suicidalnih misli ili pokušaja, pa ih je tokom liječenja potrebno pažljivo pratiti. Meta-analiza placebom kontrolisanih kliničkih ispitivanja antidepresiva kod odraslih pacijenata sa psihijatrijskim poremećajima, pokazala je veći rizik suicidalnog ponašanja kod pacijenata mlađih od 25 godina koji su bili na terapiji antidepresivima u odnosu na one koji su dobijali placebo.</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lastRenderedPageBreak/>
        <w:t>Potrebno je stalno pratiti pacijente na terapiji antidepresivima, naročito onih sa visokim rizikom, i to posebno na početku terapije i nakon promjena doze. Pacijente (i osobe koje o njima brinu) treba upozoriti na potrebu praćenja pojave bilo kakvog kliničkog pogoršanja, suicidalnog ponašanja ili razmišljanja, kao i neobičnih promjena u ponašanju, i odmah potražiti savjet ljekara u slučaju pojave takvih simptoma.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S obzirom na mogućnost suicida, naročito na početku liječenja, pacijentu treba dati samo ograničen broj tableta mirtazapina kako bi se smanjio rizik od predoziranja.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Supresija koštane srži</w:t>
      </w:r>
    </w:p>
    <w:p w:rsidR="006E363B" w:rsidRPr="006E363B" w:rsidRDefault="006E363B" w:rsidP="006E363B">
      <w:pPr>
        <w:tabs>
          <w:tab w:val="left" w:pos="540"/>
          <w:tab w:val="left" w:pos="569"/>
        </w:tabs>
        <w:jc w:val="both"/>
        <w:rPr>
          <w:bCs/>
          <w:sz w:val="22"/>
          <w:szCs w:val="22"/>
        </w:rPr>
      </w:pPr>
      <w:r w:rsidRPr="006E363B">
        <w:rPr>
          <w:bCs/>
          <w:sz w:val="22"/>
          <w:szCs w:val="22"/>
        </w:rPr>
        <w:t xml:space="preserve">Zabilježena je supresija koštane srži prilikom primjene mirtazapina i često se manifestuje kao granulocitopenija ili agranulocitoza. U kliničkim ispitivanjima mirtazapina, reverzibilna agranulozitoza se rijetko javljala. U postmarketinškom periodu vrlo rijetko su uočeni slučajevi agranulocitoze sa mirtazapinom, uglavnom reverzibilne prirode, ali u nekim slučajevima i fatalni. Fatalni slučajevi uglavnom su se desili kod pacijenata starijih od 65 godina. Ljekar mora obratiti pažnju na simptome, kao što su povišena tjelesna temperatura, bol u grlu, stomatitis ili druge znake infekcije. Kad se takvi simptomi pojave, liječenje treba prekinuti i provjeriti krvnu sliku. </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Žutica</w:t>
      </w:r>
    </w:p>
    <w:p w:rsidR="006E363B" w:rsidRPr="006E363B" w:rsidRDefault="006E363B" w:rsidP="006E363B">
      <w:pPr>
        <w:tabs>
          <w:tab w:val="left" w:pos="540"/>
          <w:tab w:val="left" w:pos="569"/>
        </w:tabs>
        <w:jc w:val="both"/>
        <w:rPr>
          <w:bCs/>
          <w:sz w:val="22"/>
          <w:szCs w:val="22"/>
        </w:rPr>
      </w:pPr>
      <w:r w:rsidRPr="006E363B">
        <w:rPr>
          <w:bCs/>
          <w:sz w:val="22"/>
          <w:szCs w:val="22"/>
        </w:rPr>
        <w:t>U slučaju pojave žutice, liječenje mirtazapinom treba prekinuti.</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Stanja kod kojih je potreban nadzor</w:t>
      </w:r>
    </w:p>
    <w:p w:rsidR="006E363B" w:rsidRPr="006E363B" w:rsidRDefault="006E363B" w:rsidP="006E363B">
      <w:pPr>
        <w:tabs>
          <w:tab w:val="left" w:pos="540"/>
          <w:tab w:val="left" w:pos="569"/>
        </w:tabs>
        <w:jc w:val="both"/>
        <w:rPr>
          <w:bCs/>
          <w:sz w:val="22"/>
          <w:szCs w:val="22"/>
        </w:rPr>
      </w:pPr>
      <w:r w:rsidRPr="006E363B">
        <w:rPr>
          <w:bCs/>
          <w:sz w:val="22"/>
          <w:szCs w:val="22"/>
        </w:rPr>
        <w:t>Pažljivo doziranje, kao i redovna i stroga kontrola je potrebna kod pacijenata sa:</w:t>
      </w:r>
    </w:p>
    <w:p w:rsidR="006E363B" w:rsidRPr="006E363B" w:rsidRDefault="006E363B" w:rsidP="006E363B">
      <w:pPr>
        <w:tabs>
          <w:tab w:val="left" w:pos="540"/>
          <w:tab w:val="left" w:pos="569"/>
        </w:tabs>
        <w:jc w:val="both"/>
        <w:rPr>
          <w:bCs/>
          <w:sz w:val="22"/>
          <w:szCs w:val="22"/>
        </w:rPr>
      </w:pPr>
      <w:r w:rsidRPr="006E363B">
        <w:rPr>
          <w:bCs/>
          <w:sz w:val="22"/>
          <w:szCs w:val="22"/>
        </w:rPr>
        <w:t>-</w:t>
      </w:r>
      <w:r w:rsidRPr="006E363B">
        <w:rPr>
          <w:bCs/>
          <w:sz w:val="22"/>
          <w:szCs w:val="22"/>
        </w:rPr>
        <w:tab/>
        <w:t>epilepsijom i organskim sindromom mozga. Iako kliničko iskustvo pokazuje da su epileptički napadi rijetki tokom liječenja mirtazapinom, liječenje treba, kao i sa ostalim antidepresivima, započeti oprezno kod pacijenata sa epilepsijom u anamnezi. Liječenje treba prekinuti kod svih pacijenata kod kojih se jave napadi, ili se poveća njihova učestalost.</w:t>
      </w:r>
    </w:p>
    <w:p w:rsidR="006E363B" w:rsidRPr="006E363B" w:rsidRDefault="006E363B" w:rsidP="006E363B">
      <w:pPr>
        <w:tabs>
          <w:tab w:val="left" w:pos="540"/>
          <w:tab w:val="left" w:pos="569"/>
        </w:tabs>
        <w:jc w:val="both"/>
        <w:rPr>
          <w:bCs/>
          <w:sz w:val="22"/>
          <w:szCs w:val="22"/>
        </w:rPr>
      </w:pPr>
      <w:r w:rsidRPr="006E363B">
        <w:rPr>
          <w:bCs/>
          <w:sz w:val="22"/>
          <w:szCs w:val="22"/>
        </w:rPr>
        <w:t>-</w:t>
      </w:r>
      <w:r w:rsidRPr="006E363B">
        <w:rPr>
          <w:bCs/>
          <w:sz w:val="22"/>
          <w:szCs w:val="22"/>
        </w:rPr>
        <w:tab/>
        <w:t>poremećenom funkcijom jetre: nakon pojedinačne oralne doze od 15 mg mirtazapina, izlučivanje mirtazapina je smanjeno za oko 35% kod pacijenata sa blagim do srednje teškim oštećenjem jetre, u poređenju sa osobama čija je funkcija jetre normalna. Prosječna koncentracija mirtazapina u plazmi bila je povišena za oko 55%.</w:t>
      </w:r>
    </w:p>
    <w:p w:rsidR="006E363B" w:rsidRPr="006E363B" w:rsidRDefault="006E363B" w:rsidP="006E363B">
      <w:pPr>
        <w:tabs>
          <w:tab w:val="left" w:pos="540"/>
          <w:tab w:val="left" w:pos="569"/>
        </w:tabs>
        <w:jc w:val="both"/>
        <w:rPr>
          <w:bCs/>
          <w:sz w:val="22"/>
          <w:szCs w:val="22"/>
        </w:rPr>
      </w:pPr>
      <w:r w:rsidRPr="006E363B">
        <w:rPr>
          <w:bCs/>
          <w:sz w:val="22"/>
          <w:szCs w:val="22"/>
        </w:rPr>
        <w:t>-</w:t>
      </w:r>
      <w:r w:rsidRPr="006E363B">
        <w:rPr>
          <w:bCs/>
          <w:sz w:val="22"/>
          <w:szCs w:val="22"/>
        </w:rPr>
        <w:tab/>
        <w:t>poremećenom funkcijom bubrega: nakon pojedinačne oralne doze od 15 mg mirtazapina kod pacijenata sa srednje teškim (klirens kreatinina &lt; 40 ml/min) i teškim (klirens kreatinina ≤ 10 ml/min) oštećenjem funkcije bubrega, izlučivanje mirtazapina je bilo smanjeno za oko 30%, odnosno 50%, u poređenju sa zdravim osobama. Prosječna koncentracija mirtazapina u plazmi bila je povišena za oko 55%, odnosno za 115%. Kod pacijenata sa blagim oštećenjem bubrežne funkcije (klirens kreatinina &lt; 80 ml/min) nijesu uočene značajne razlike u poređenju sa kontrolnom grupom.</w:t>
      </w:r>
    </w:p>
    <w:p w:rsidR="006E363B" w:rsidRPr="006E363B" w:rsidRDefault="006E363B" w:rsidP="006E363B">
      <w:pPr>
        <w:tabs>
          <w:tab w:val="left" w:pos="540"/>
          <w:tab w:val="left" w:pos="569"/>
        </w:tabs>
        <w:jc w:val="both"/>
        <w:rPr>
          <w:bCs/>
          <w:sz w:val="22"/>
          <w:szCs w:val="22"/>
        </w:rPr>
      </w:pPr>
      <w:r w:rsidRPr="006E363B">
        <w:rPr>
          <w:bCs/>
          <w:sz w:val="22"/>
          <w:szCs w:val="22"/>
        </w:rPr>
        <w:t>-</w:t>
      </w:r>
      <w:r w:rsidRPr="006E363B">
        <w:rPr>
          <w:bCs/>
          <w:sz w:val="22"/>
          <w:szCs w:val="22"/>
        </w:rPr>
        <w:tab/>
        <w:t>bolestima srca, npr. smetnjama sprovođenja, anginom pektoris i svježim infarktom miokarda, kod kojih su potrebne uobičajene mjere opreza i pažljiva primjena ostalih ljekova.</w:t>
      </w:r>
    </w:p>
    <w:p w:rsidR="006E363B" w:rsidRPr="006E363B" w:rsidRDefault="006E363B" w:rsidP="006E363B">
      <w:pPr>
        <w:tabs>
          <w:tab w:val="left" w:pos="540"/>
          <w:tab w:val="left" w:pos="569"/>
        </w:tabs>
        <w:jc w:val="both"/>
        <w:rPr>
          <w:bCs/>
          <w:sz w:val="22"/>
          <w:szCs w:val="22"/>
        </w:rPr>
      </w:pPr>
      <w:r w:rsidRPr="006E363B">
        <w:rPr>
          <w:bCs/>
          <w:sz w:val="22"/>
          <w:szCs w:val="22"/>
        </w:rPr>
        <w:t>-</w:t>
      </w:r>
      <w:r w:rsidRPr="006E363B">
        <w:rPr>
          <w:bCs/>
          <w:sz w:val="22"/>
          <w:szCs w:val="22"/>
        </w:rPr>
        <w:tab/>
        <w:t>niskim krvnim pritiskom.</w:t>
      </w:r>
    </w:p>
    <w:p w:rsidR="006E363B" w:rsidRPr="006E363B" w:rsidRDefault="006E363B" w:rsidP="006E363B">
      <w:pPr>
        <w:tabs>
          <w:tab w:val="left" w:pos="540"/>
          <w:tab w:val="left" w:pos="569"/>
        </w:tabs>
        <w:jc w:val="both"/>
        <w:rPr>
          <w:bCs/>
          <w:sz w:val="22"/>
          <w:szCs w:val="22"/>
        </w:rPr>
      </w:pPr>
      <w:r w:rsidRPr="006E363B">
        <w:rPr>
          <w:bCs/>
          <w:sz w:val="22"/>
          <w:szCs w:val="22"/>
        </w:rPr>
        <w:t>-</w:t>
      </w:r>
      <w:r w:rsidRPr="006E363B">
        <w:rPr>
          <w:bCs/>
          <w:sz w:val="22"/>
          <w:szCs w:val="22"/>
        </w:rPr>
        <w:tab/>
        <w:t>- dijabetesom; kod pacijenata sa dijabetesom, antidepresivi mogu poremetiti kontrolu glikemije. Potrebno je pažljivo praćenje i po potrebi prilagođavanje doze insulina i/ili oralnih hipoglikemika.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Kao i kod drugih antidepresiva, treba paziti na sljedeće:</w:t>
      </w:r>
    </w:p>
    <w:p w:rsidR="006E363B" w:rsidRPr="006E363B" w:rsidRDefault="006E363B" w:rsidP="006E363B">
      <w:pPr>
        <w:tabs>
          <w:tab w:val="left" w:pos="540"/>
          <w:tab w:val="left" w:pos="569"/>
        </w:tabs>
        <w:jc w:val="both"/>
        <w:rPr>
          <w:bCs/>
          <w:sz w:val="22"/>
          <w:szCs w:val="22"/>
        </w:rPr>
      </w:pPr>
      <w:r w:rsidRPr="006E363B">
        <w:rPr>
          <w:bCs/>
          <w:sz w:val="22"/>
          <w:szCs w:val="22"/>
        </w:rPr>
        <w:t>-</w:t>
      </w:r>
      <w:r w:rsidRPr="006E363B">
        <w:rPr>
          <w:bCs/>
          <w:sz w:val="22"/>
          <w:szCs w:val="22"/>
        </w:rPr>
        <w:tab/>
        <w:t>kad primjenjujemo antidepresive kod pacijenata sa shizofrenijom ili drugim psihotičnim poremećajima, jer može doći do pogoršanja psihotičnih simptoma; paranoidne misli se mogu pojačati;</w:t>
      </w:r>
    </w:p>
    <w:p w:rsidR="006E363B" w:rsidRPr="006E363B" w:rsidRDefault="006E363B" w:rsidP="006E363B">
      <w:pPr>
        <w:tabs>
          <w:tab w:val="left" w:pos="540"/>
          <w:tab w:val="left" w:pos="569"/>
        </w:tabs>
        <w:jc w:val="both"/>
        <w:rPr>
          <w:bCs/>
          <w:sz w:val="22"/>
          <w:szCs w:val="22"/>
        </w:rPr>
      </w:pPr>
      <w:r w:rsidRPr="006E363B">
        <w:rPr>
          <w:bCs/>
          <w:sz w:val="22"/>
          <w:szCs w:val="22"/>
        </w:rPr>
        <w:t>-</w:t>
      </w:r>
      <w:r w:rsidRPr="006E363B">
        <w:rPr>
          <w:bCs/>
          <w:sz w:val="22"/>
          <w:szCs w:val="22"/>
        </w:rPr>
        <w:tab/>
        <w:t>tokom liječenja depresivne faze bipolarnog poremećaja (manično-depresivne psihoze) jer može preći u maničnu fazu. Pacijente sa anamnezom manije/hipomanije treba stalno pratiti. Terapiju mirtazapinom treba prekinuti ako pacijent uđe u maničnu fazu;</w:t>
      </w:r>
    </w:p>
    <w:p w:rsidR="006E363B" w:rsidRPr="006E363B" w:rsidRDefault="006E363B" w:rsidP="006E363B">
      <w:pPr>
        <w:tabs>
          <w:tab w:val="left" w:pos="540"/>
          <w:tab w:val="left" w:pos="569"/>
        </w:tabs>
        <w:jc w:val="both"/>
        <w:rPr>
          <w:bCs/>
          <w:sz w:val="22"/>
          <w:szCs w:val="22"/>
        </w:rPr>
      </w:pPr>
      <w:r w:rsidRPr="006E363B">
        <w:rPr>
          <w:bCs/>
          <w:sz w:val="22"/>
          <w:szCs w:val="22"/>
        </w:rPr>
        <w:t>-</w:t>
      </w:r>
      <w:r w:rsidRPr="006E363B">
        <w:rPr>
          <w:bCs/>
          <w:sz w:val="22"/>
          <w:szCs w:val="22"/>
        </w:rPr>
        <w:tab/>
        <w:t>iako primjena mirtazapina ne izaziva zavisnost, postmarketinško iskustvo pokazuje da nagli prekid nakon dugotrajne primjene može ponekad prouzrokovati simptome zavisnosti. Većina tih reakcija su blage i prolazne. Među najčešće prijavljenim simptomima zavisnosti su: vrtoglavica, agitacija, anksioznost, mučnina i glavobolja. Iako su navedeni kao simptomi zavisnosti, treba uzeti u obzir da ti simptomi mogu proizlaziti i iz osnovne bolesti. Kao što je navedeno u dijelu 4.2, preporučuje se postepeni prekid terapije mirtazapinom;</w:t>
      </w:r>
    </w:p>
    <w:p w:rsidR="006E363B" w:rsidRPr="006E363B" w:rsidRDefault="006E363B" w:rsidP="006E363B">
      <w:pPr>
        <w:tabs>
          <w:tab w:val="left" w:pos="540"/>
          <w:tab w:val="left" w:pos="569"/>
        </w:tabs>
        <w:jc w:val="both"/>
        <w:rPr>
          <w:bCs/>
          <w:sz w:val="22"/>
          <w:szCs w:val="22"/>
        </w:rPr>
      </w:pPr>
      <w:r w:rsidRPr="006E363B">
        <w:rPr>
          <w:bCs/>
          <w:sz w:val="22"/>
          <w:szCs w:val="22"/>
        </w:rPr>
        <w:t>-</w:t>
      </w:r>
      <w:r w:rsidRPr="006E363B">
        <w:rPr>
          <w:bCs/>
          <w:sz w:val="22"/>
          <w:szCs w:val="22"/>
        </w:rPr>
        <w:tab/>
        <w:t>potreban je oprez kod pacijenata sa smetnjama pri mokrenju, npr. hipertrofiji prostate i kod pacijenata sa akutnim glaukomom uskog ugla i povišenim intra-okularnim pritiskom (iako ne bi trebalo očekivati smetnje, jer lijek ima vrlo slabo antiholinergičko dejstvo);</w:t>
      </w:r>
    </w:p>
    <w:p w:rsidR="006E363B" w:rsidRPr="006E363B" w:rsidRDefault="006E363B" w:rsidP="006E363B">
      <w:pPr>
        <w:tabs>
          <w:tab w:val="left" w:pos="540"/>
          <w:tab w:val="left" w:pos="569"/>
        </w:tabs>
        <w:jc w:val="both"/>
        <w:rPr>
          <w:bCs/>
          <w:sz w:val="22"/>
          <w:szCs w:val="22"/>
        </w:rPr>
      </w:pPr>
      <w:r w:rsidRPr="006E363B">
        <w:rPr>
          <w:bCs/>
          <w:sz w:val="22"/>
          <w:szCs w:val="22"/>
        </w:rPr>
        <w:lastRenderedPageBreak/>
        <w:t>-</w:t>
      </w:r>
      <w:r w:rsidRPr="006E363B">
        <w:rPr>
          <w:bCs/>
          <w:sz w:val="22"/>
          <w:szCs w:val="22"/>
        </w:rPr>
        <w:tab/>
        <w:t>kod pacijenata sa akatizijom/psihomotornim nemirom: upotreba antidepresiva povezuje se sa razvojem akatizije koju karakteriše subjektivno neprijatni ili stresni nemir i potreba za kretanjem, često praćen nemogućnošću mirnog sjedenja ili stajanja. Vjerovatnoća pojave takvih simptoma veća je u prvih nekoliko nedjelja liječenja. Kod pacijenata kod kojih se razviju takvi simptomi, povećanje doze moglo bi biti štetno.</w:t>
      </w:r>
    </w:p>
    <w:p w:rsidR="006E363B" w:rsidRPr="006E363B" w:rsidRDefault="006E363B" w:rsidP="006E363B">
      <w:pPr>
        <w:tabs>
          <w:tab w:val="left" w:pos="540"/>
          <w:tab w:val="left" w:pos="569"/>
        </w:tabs>
        <w:jc w:val="both"/>
        <w:rPr>
          <w:bCs/>
          <w:sz w:val="22"/>
          <w:szCs w:val="22"/>
        </w:rPr>
      </w:pPr>
      <w:r w:rsidRPr="006E363B">
        <w:rPr>
          <w:bCs/>
          <w:sz w:val="22"/>
          <w:szCs w:val="22"/>
        </w:rPr>
        <w:t>-</w:t>
      </w:r>
      <w:r w:rsidRPr="006E363B">
        <w:rPr>
          <w:bCs/>
          <w:sz w:val="22"/>
          <w:szCs w:val="22"/>
        </w:rPr>
        <w:tab/>
        <w:t xml:space="preserve">slučajevi produženja QT intervala, torsades de pointes, ventrikularne tahikardije i iznenadne smrti, zabilježeni su tokom post-marketinškog korištenja mirtazapina. Većina slučajeva koja se pojavila je povezana sa predoziranjem ili kod pacijenata koji imaju druge faktore rizika za produženje QT intervala, uključujući istovremenu upotrebu ljekova koji produžuju korigovani QT interval (QTc) (vidjeti dijelove 4.5 i 4.9). Potreban je oprez kod propisivanja mirtazapina kod pacijenatra sa  poznatom kardiovaskularnom bolešću ili produženjem QT intervala u istoriji bolesti, kao i kod istovremenog uzimanja drugih ljekova koji produžavaju korigovani QT interval (QTc). </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Hiponatremija</w:t>
      </w:r>
    </w:p>
    <w:p w:rsidR="006E363B" w:rsidRPr="006E363B" w:rsidRDefault="006E363B" w:rsidP="006E363B">
      <w:pPr>
        <w:tabs>
          <w:tab w:val="left" w:pos="540"/>
          <w:tab w:val="left" w:pos="569"/>
        </w:tabs>
        <w:jc w:val="both"/>
        <w:rPr>
          <w:bCs/>
          <w:sz w:val="22"/>
          <w:szCs w:val="22"/>
        </w:rPr>
      </w:pPr>
      <w:r w:rsidRPr="006E363B">
        <w:rPr>
          <w:bCs/>
          <w:sz w:val="22"/>
          <w:szCs w:val="22"/>
        </w:rPr>
        <w:t>Hiponatrijemija, vjerovatno izazvana neadekvatnim lučenjem antidiuretskog hormona (SIADH), vrlo je rijetko zabilježena tokom primjene mirtazapina. Neophodan je oprez kod rizičnih pacijenata kao što su stariji pacijenti, ili pacijenti koji se istovremeno liječe preparatima za koje je poznato da izazivaju hiponatrijemiju.</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Serotoninski sindrom</w:t>
      </w:r>
    </w:p>
    <w:p w:rsidR="006E363B" w:rsidRPr="006E363B" w:rsidRDefault="006E363B" w:rsidP="006E363B">
      <w:pPr>
        <w:tabs>
          <w:tab w:val="left" w:pos="540"/>
          <w:tab w:val="left" w:pos="569"/>
        </w:tabs>
        <w:jc w:val="both"/>
        <w:rPr>
          <w:bCs/>
          <w:sz w:val="22"/>
          <w:szCs w:val="22"/>
        </w:rPr>
      </w:pPr>
      <w:r w:rsidRPr="006E363B">
        <w:rPr>
          <w:bCs/>
          <w:sz w:val="22"/>
          <w:szCs w:val="22"/>
        </w:rPr>
        <w:t>Interakcija sa serotonergičkim aktivnim supstancama: serotoninski sindrom može se javiti kada se selektivni inhibitori ponovnog preuzimanja serotonina (SSRI) istovremeno koriste sa drugim serotonergičkim aktivnim supstancama (vidjeti dio 4.5). Simptomi serotoninskog sindroma mogu biti hipertermija, mišićna rigidnost, mioklonus, nestabilnost autonomnog nervnog sistema sa mogućom brzom fluktuacijom vitalnih znakova, promjene mentalnog statusa koje uključuju konfuziju, razdražljivost, i krajnju agitaciju koja može napredovati do delirijuma i kome. Potreban je oprez i pažljivije praćenje stanja pacijenta kada se ove aktivne supstance primjenjuju u kombinaciji sa mirtazapinom. Liječenje sa mirtazapinom mora se prekinuti ako dođe do pojave navedenih simptoma i mora se započeti sa simptomatskim liječenjem. Iz postmarketinškog iskustva se vidi da se serotoninski sindrom javlja vrlo rijetko kod pacijenata koji se liječe samo sa mirtazapinom (vidjeti dio 4.8 ).</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Teške kožne neželjene reakcije</w:t>
      </w:r>
    </w:p>
    <w:p w:rsidR="006E363B" w:rsidRPr="006E363B" w:rsidRDefault="006E363B" w:rsidP="006E363B">
      <w:pPr>
        <w:tabs>
          <w:tab w:val="left" w:pos="540"/>
          <w:tab w:val="left" w:pos="569"/>
        </w:tabs>
        <w:jc w:val="both"/>
        <w:rPr>
          <w:bCs/>
          <w:sz w:val="22"/>
          <w:szCs w:val="22"/>
        </w:rPr>
      </w:pPr>
      <w:r w:rsidRPr="006E363B">
        <w:rPr>
          <w:bCs/>
          <w:sz w:val="22"/>
          <w:szCs w:val="22"/>
        </w:rPr>
        <w:t xml:space="preserve">Teške kožne neželjene reakcije (eng.severe cutaneous adverse reactions, SCARs), uključujući Stevens Johnsonov sindrom (SJS), toksičnu epidermalnu nekrolizu (TEN), reakciju na lijek sa eozinofilijom i sistemskim simptomima (DRESS), bulozni dermatitis i multiformni eritem, koje mogu biti opasne po život ili smrtonosne, prijavljene su u vezi sa liječenjem mirtazapinom. </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Ako se pojave znaci i simptomi koji upućuju na ove reakcije, primjenu lijeka mirtazapin treba odmah prekinuti.</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Ako je pacijent razvio neku od ovih reakcija uz primjenu mirtazapina, kod tog pacijenta se ni u kojem trenutku ne smije ponovo započeti liječenje mirtazapinom.</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Stariji pacijenti</w:t>
      </w:r>
    </w:p>
    <w:p w:rsidR="006E363B" w:rsidRPr="006E363B" w:rsidRDefault="006E363B" w:rsidP="006E363B">
      <w:pPr>
        <w:tabs>
          <w:tab w:val="left" w:pos="540"/>
          <w:tab w:val="left" w:pos="569"/>
        </w:tabs>
        <w:jc w:val="both"/>
        <w:rPr>
          <w:bCs/>
          <w:sz w:val="22"/>
          <w:szCs w:val="22"/>
        </w:rPr>
      </w:pPr>
      <w:r w:rsidRPr="006E363B">
        <w:rPr>
          <w:bCs/>
          <w:sz w:val="22"/>
          <w:szCs w:val="22"/>
        </w:rPr>
        <w:t>Stariji pacijenti su često osjetljiviji, što se posebno odnosi na neželjena dejstva antidepresiva. Za vrijeme kliničkih ispitivanja sa mirtazapinom, neželjena dejstva nijesu zabilježena sa većom učestalošću kod starijih pacijenata nego u drugim starosnim grupama.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Pomoćne supstance sa poznatim dejstvom</w:t>
      </w:r>
    </w:p>
    <w:p w:rsidR="006E363B" w:rsidRPr="006E363B" w:rsidRDefault="006E363B" w:rsidP="006E363B">
      <w:pPr>
        <w:tabs>
          <w:tab w:val="left" w:pos="540"/>
          <w:tab w:val="left" w:pos="569"/>
        </w:tabs>
        <w:jc w:val="both"/>
        <w:rPr>
          <w:bCs/>
          <w:sz w:val="22"/>
          <w:szCs w:val="22"/>
        </w:rPr>
      </w:pPr>
      <w:r w:rsidRPr="006E363B">
        <w:rPr>
          <w:bCs/>
          <w:sz w:val="22"/>
          <w:szCs w:val="22"/>
        </w:rPr>
        <w:t>Ovaj lijek sadrži laktozu. Pacijenti sa rijetkim nasljednim poremećajima nepodnošenja galaktoze, Lapp deficitom laktaze, ili malapsorpcijom glukoze-galaktoze, ne bi smjeli da uzimaju ovaj lijek.</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
          <w:bCs/>
          <w:sz w:val="22"/>
          <w:szCs w:val="22"/>
        </w:rPr>
      </w:pPr>
      <w:r w:rsidRPr="006E363B">
        <w:rPr>
          <w:b/>
          <w:bCs/>
          <w:sz w:val="22"/>
          <w:szCs w:val="22"/>
        </w:rPr>
        <w:t>4. 5. Interakcije sa drugim ljekovima i drugi oblici interkcija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Farmakodinamske interakcije</w:t>
      </w:r>
    </w:p>
    <w:p w:rsidR="006E363B" w:rsidRPr="006E363B" w:rsidRDefault="006E363B" w:rsidP="006E363B">
      <w:pPr>
        <w:tabs>
          <w:tab w:val="left" w:pos="540"/>
          <w:tab w:val="left" w:pos="569"/>
        </w:tabs>
        <w:jc w:val="both"/>
        <w:rPr>
          <w:bCs/>
          <w:sz w:val="22"/>
          <w:szCs w:val="22"/>
        </w:rPr>
      </w:pPr>
      <w:r w:rsidRPr="006E363B">
        <w:rPr>
          <w:bCs/>
          <w:sz w:val="22"/>
          <w:szCs w:val="22"/>
        </w:rPr>
        <w:lastRenderedPageBreak/>
        <w:t>Mirtazapin se ne smije primjenjivati istovremeno sa MAO inhibitorima niti u toku 2 nedjelje po  prestanku njihove primjene. U obrnutom smjeru, potrebno je da prođu oko dvije nedjelje prije nego što pacijenti liječeni mirtazapinom, mogu biti liječeni MAO inhibitorima (vidjeti dio 4.3).</w:t>
      </w:r>
    </w:p>
    <w:p w:rsidR="006E363B" w:rsidRPr="006E363B" w:rsidRDefault="006E363B" w:rsidP="006E363B">
      <w:pPr>
        <w:tabs>
          <w:tab w:val="left" w:pos="540"/>
          <w:tab w:val="left" w:pos="569"/>
        </w:tabs>
        <w:jc w:val="both"/>
        <w:rPr>
          <w:bCs/>
          <w:sz w:val="22"/>
          <w:szCs w:val="22"/>
        </w:rPr>
      </w:pPr>
      <w:r w:rsidRPr="006E363B">
        <w:rPr>
          <w:bCs/>
          <w:sz w:val="22"/>
          <w:szCs w:val="22"/>
        </w:rPr>
        <w:t>Osim toga, kao i sa SSRI, istovremena primjena sa drugim serotonergičkim aktivnim supstancama (L-triptofan, triptani, tramadol, linezolid, SSRI, venlafaksin, litijum, kantarion ili Hypericum perforatum i buprenorfin), može izazvati neželjeno dejstvo serotonina (serotoninski sindrom: vidjeti dio 4.4). Potrebno je savjetovati oprez i stalno kliničko praćenje kada se te aktivne supstance kombinuju sa mirtazapinom.</w:t>
      </w:r>
    </w:p>
    <w:p w:rsidR="006E363B" w:rsidRPr="006E363B" w:rsidRDefault="006E363B" w:rsidP="006E363B">
      <w:pPr>
        <w:tabs>
          <w:tab w:val="left" w:pos="540"/>
          <w:tab w:val="left" w:pos="569"/>
        </w:tabs>
        <w:jc w:val="both"/>
        <w:rPr>
          <w:bCs/>
          <w:sz w:val="22"/>
          <w:szCs w:val="22"/>
        </w:rPr>
      </w:pPr>
      <w:r w:rsidRPr="006E363B">
        <w:rPr>
          <w:bCs/>
          <w:sz w:val="22"/>
          <w:szCs w:val="22"/>
        </w:rPr>
        <w:t>Mirtazapin može povećati sedativni efekat benzodiazepina i drugih sedativa (većine antipsihotika, antihistaminskih H1 antagonista, opioida). Treba biti oprezan kod istovremene primjene ovih ljekova.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Mirtazapin može povećati depresivno djelovanje alkohola na CNS. Pacijentima treba preporučiti izbjegavanje konzumiranja alkohola za vrijeme liječenja mirtazapinom.</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Mirtazapin je u dozi od 30 mg jednom dnevno prouzrokovao mali, ali statistički značajan porast internacionalno normalizovanog odnosa (INR) kod osoba liječenih varfarinom. Pošto se kod većih doza mirtazapina ne može isključiti naglašeniji efekat, preporučuje se praćenje INRa u slučaju istovremenog liječenja varfarinom i mirtazapinom.</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Rizik od produženja QT intervala i/ili ventrikularnih aritmija (npr. torsades de pointes) može se  povećati istovremenom primjenom ljekova koji produžavaju korigovani QT interval (QTc) (npr. neki antipsihotici i antibiotici).</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Farmakokinetičke interakcije</w:t>
      </w:r>
    </w:p>
    <w:p w:rsidR="006E363B" w:rsidRPr="006E363B" w:rsidRDefault="006E363B" w:rsidP="006E363B">
      <w:pPr>
        <w:tabs>
          <w:tab w:val="left" w:pos="540"/>
          <w:tab w:val="left" w:pos="569"/>
        </w:tabs>
        <w:jc w:val="both"/>
        <w:rPr>
          <w:bCs/>
          <w:sz w:val="22"/>
          <w:szCs w:val="22"/>
        </w:rPr>
      </w:pPr>
      <w:r w:rsidRPr="006E363B">
        <w:rPr>
          <w:bCs/>
          <w:sz w:val="22"/>
          <w:szCs w:val="22"/>
        </w:rPr>
        <w:t>Karbamazepin i fenitoin, induktori CYP3A4, dvostruko su povećali klirens mirtazapina što je prouzrokovalo smanjenje prosječne koncentracije mirtazapina u plazmi za 60%, odnosno za 45%.  Kada se karbamazepin, ili bilo koji induktor metabolizma jetre (npr. rifampicin) doda terapiji mirtazapinom, može se javiti potreba za povećanjem doze mirtazapina. Ako se pak liječenje takvim lijekom prekine, može se ukazati potreba za smanjenjem doze mirtazapina.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 xml:space="preserve">Istovremena primjena ketokonazola, jakog inhibitora CYP3A4, povećala je maksimalne koncentracije u plazmi za oko 40%, a površinu ispod krive (PIC) mirtazapina za oko 50%. </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Kada se cimetidin (slabi inhibitor CYP1A2, CYP2D6 i CYP3A4) primjeni istovremeno sa mirtazapinom, srednja vrijednost koncentracije mirtazapina u plazmi se može povećati za  &gt;50 %. Potreban je oprez i eventualno sniženje doza kad se primjenjuje istovremeno mirtazapin sa jakim CYP3A4 inhibitorima, inhibitorima HIV proteaze, azolnim antimikoticima, eritromicinom, cimetidinom, ili nefazodonom.</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Ispitivanja interakcija nijesu otkrila nikakve relevantne farmakokinetičke efekte pri istovremenoj primjeni mirtazapina sa paroksetinom, amitriptilinom, risperidonom ili litijumom.</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Pedijatrijska populacija</w:t>
      </w:r>
      <w:r w:rsidRPr="006E363B">
        <w:rPr>
          <w:sz w:val="22"/>
          <w:szCs w:val="22"/>
          <w:u w:val="single"/>
        </w:rPr>
        <w:tab/>
      </w:r>
    </w:p>
    <w:p w:rsidR="006E363B" w:rsidRPr="006E363B" w:rsidRDefault="006E363B" w:rsidP="006E363B">
      <w:pPr>
        <w:tabs>
          <w:tab w:val="left" w:pos="540"/>
          <w:tab w:val="left" w:pos="569"/>
        </w:tabs>
        <w:jc w:val="both"/>
        <w:rPr>
          <w:bCs/>
          <w:sz w:val="22"/>
          <w:szCs w:val="22"/>
        </w:rPr>
      </w:pPr>
      <w:r w:rsidRPr="006E363B">
        <w:rPr>
          <w:bCs/>
          <w:sz w:val="22"/>
          <w:szCs w:val="22"/>
        </w:rPr>
        <w:t>Ispitivanja interakcija sprovedena su samo na odraslim osobama.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
          <w:sz w:val="22"/>
          <w:szCs w:val="22"/>
          <w:lang w:val="sr-Latn-CS"/>
        </w:rPr>
      </w:pPr>
      <w:r w:rsidRPr="006E363B">
        <w:rPr>
          <w:b/>
          <w:sz w:val="22"/>
          <w:szCs w:val="22"/>
          <w:lang w:val="sr-Latn-CS"/>
        </w:rPr>
        <w:t>4.6 Plodnost,  trudnoća i dojenje</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Trudnoća</w:t>
      </w:r>
    </w:p>
    <w:p w:rsidR="006E363B" w:rsidRPr="006E363B" w:rsidRDefault="006E363B" w:rsidP="006E363B">
      <w:pPr>
        <w:tabs>
          <w:tab w:val="left" w:pos="540"/>
          <w:tab w:val="left" w:pos="569"/>
        </w:tabs>
        <w:jc w:val="both"/>
        <w:rPr>
          <w:bCs/>
          <w:sz w:val="22"/>
          <w:szCs w:val="22"/>
        </w:rPr>
      </w:pPr>
      <w:r w:rsidRPr="006E363B">
        <w:rPr>
          <w:bCs/>
          <w:sz w:val="22"/>
          <w:szCs w:val="22"/>
        </w:rPr>
        <w:t xml:space="preserve">Ograničeni podaci o upotrebi mirtazapina kod trudnica ne ukazuju na povećani rizik od pojave kongenitalnih malformacija. Ispitivanja na životinjama nijesu pokazala ni jedan teratogeni efekat koji bi bio klinički relevantan, međutim uočena je toksičnost u razvoju potomstva (vidjeti dio 5.3). </w:t>
      </w:r>
    </w:p>
    <w:p w:rsidR="006E363B" w:rsidRPr="006E363B" w:rsidRDefault="006E363B" w:rsidP="006E363B">
      <w:pPr>
        <w:tabs>
          <w:tab w:val="left" w:pos="540"/>
          <w:tab w:val="left" w:pos="569"/>
        </w:tabs>
        <w:jc w:val="both"/>
        <w:rPr>
          <w:bCs/>
          <w:sz w:val="22"/>
          <w:szCs w:val="22"/>
        </w:rPr>
      </w:pPr>
      <w:r w:rsidRPr="006E363B">
        <w:rPr>
          <w:bCs/>
          <w:sz w:val="22"/>
          <w:szCs w:val="22"/>
        </w:rPr>
        <w:t>Epidemiološki podaci pokazuju da primjena inhibitora ponovnog preuzimanja serotonina (SSRI) u trudnoći, a naročito u kasnoj trudnoći, može povećati rizik od perzistentne plućne hipertenzije kod novorođenčadi (PPHN). Iako, ni jedna studija nije proučavala povezanost PPHN i liječenja sa mirtazapinom, treba uzeti u obzir da postoji potencijalni rizik u odnosu na mehanizam reakcije (povišene vrijednosti serotonina).</w:t>
      </w:r>
    </w:p>
    <w:p w:rsidR="006E363B" w:rsidRPr="006E363B" w:rsidRDefault="006E363B" w:rsidP="006E363B">
      <w:pPr>
        <w:tabs>
          <w:tab w:val="left" w:pos="540"/>
          <w:tab w:val="left" w:pos="569"/>
        </w:tabs>
        <w:jc w:val="both"/>
        <w:rPr>
          <w:bCs/>
          <w:sz w:val="22"/>
          <w:szCs w:val="22"/>
        </w:rPr>
      </w:pPr>
      <w:r w:rsidRPr="006E363B">
        <w:rPr>
          <w:bCs/>
          <w:sz w:val="22"/>
          <w:szCs w:val="22"/>
        </w:rPr>
        <w:lastRenderedPageBreak/>
        <w:t>Potreban je oprez kod propisivanja ovog lijeka trudnicama. Ako se tablete mirtazapina primjenjuju do ili nedugo prije rođenja, tada se preporučuje postnatalno praćenje novorođenčeta kako bi se na vrijeme uočili mogući efekti  zbog prekida terapije.</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Dojenje</w:t>
      </w:r>
    </w:p>
    <w:p w:rsidR="006E363B" w:rsidRPr="006E363B" w:rsidRDefault="006E363B" w:rsidP="006E363B">
      <w:pPr>
        <w:tabs>
          <w:tab w:val="left" w:pos="540"/>
          <w:tab w:val="left" w:pos="569"/>
        </w:tabs>
        <w:jc w:val="both"/>
        <w:rPr>
          <w:bCs/>
          <w:sz w:val="22"/>
          <w:szCs w:val="22"/>
        </w:rPr>
      </w:pPr>
      <w:r w:rsidRPr="006E363B">
        <w:rPr>
          <w:bCs/>
          <w:sz w:val="22"/>
          <w:szCs w:val="22"/>
        </w:rPr>
        <w:t>Ispitivanja na životinjama i ograničeni podaci ispitivanja kod ljudi ukazuju da do izlučivanja mirtazapina u majčino mlijeko dolazi u vrlo malim količinama. Odluku o tome nastaviti ili prekinuti dojenje, ili nastaviti ili prekinuti terapiju sa mirtazapinom treba donijeti uzimajući u obzir dobrobit dojenja za dijete ili korist terapije mirtazapinom za majku.</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sz w:val="22"/>
          <w:szCs w:val="22"/>
          <w:u w:val="single"/>
        </w:rPr>
      </w:pPr>
      <w:r w:rsidRPr="006E363B">
        <w:rPr>
          <w:sz w:val="22"/>
          <w:szCs w:val="22"/>
          <w:u w:val="single"/>
        </w:rPr>
        <w:t>Plodnost</w:t>
      </w:r>
    </w:p>
    <w:p w:rsidR="006E363B" w:rsidRPr="006E363B" w:rsidRDefault="006E363B" w:rsidP="006E363B">
      <w:pPr>
        <w:tabs>
          <w:tab w:val="left" w:pos="540"/>
          <w:tab w:val="left" w:pos="569"/>
        </w:tabs>
        <w:jc w:val="both"/>
        <w:rPr>
          <w:bCs/>
          <w:sz w:val="22"/>
          <w:szCs w:val="22"/>
        </w:rPr>
      </w:pPr>
      <w:r w:rsidRPr="006E363B">
        <w:rPr>
          <w:bCs/>
          <w:sz w:val="22"/>
          <w:szCs w:val="22"/>
        </w:rPr>
        <w:t>Pretkliničke studije reproduktivne toksičnosti na životinjama nijesu pokazale bilo kakve efekte na plodnost.</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ind w:left="540" w:hanging="540"/>
        <w:rPr>
          <w:b/>
          <w:bCs/>
          <w:sz w:val="22"/>
          <w:szCs w:val="22"/>
        </w:rPr>
      </w:pPr>
      <w:r w:rsidRPr="006E363B">
        <w:rPr>
          <w:b/>
          <w:bCs/>
          <w:sz w:val="22"/>
          <w:szCs w:val="22"/>
        </w:rPr>
        <w:t>4.7 Uticaj na psihofizičke sposobnost upravljanja vozilima i  rukovanje mašinama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Tablete mirtazapina imaju mali ili umjereni uticaj na sposobnost upravljanja vozilima i rukovanja mašinama. Mirtazapin može narušiti koncentraciju i budnost (naročito na početku terapije). Pacijenti bi trebalo da izbjegavaju izvođenje potencijalno opasnih radnji, koje zahtijevaju budnost i dobru koncetraciju, kao što su upravljanje motornim vozilom ili rukovanje mašinama.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rPr>
          <w:b/>
          <w:bCs/>
          <w:sz w:val="22"/>
          <w:szCs w:val="22"/>
        </w:rPr>
      </w:pPr>
      <w:r w:rsidRPr="006E363B">
        <w:rPr>
          <w:b/>
          <w:bCs/>
          <w:sz w:val="22"/>
          <w:szCs w:val="22"/>
        </w:rPr>
        <w:t>4.8 Neželjena dejstva</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Pacijenti koji pate od depresije opisuju brojne simptome koji su povezani sa njihovom osnovnom bolesti. Zbog toga je ponekad teško ustanoviti, koji simptomi su posljedica bolesti, a koji su posljedica liječenja mirtazapinom.</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u w:val="single"/>
        </w:rPr>
      </w:pPr>
      <w:r w:rsidRPr="006E363B">
        <w:rPr>
          <w:bCs/>
          <w:sz w:val="22"/>
          <w:szCs w:val="22"/>
          <w:u w:val="single"/>
        </w:rPr>
        <w:t>Sažetak bezbjednosnog profila</w:t>
      </w:r>
    </w:p>
    <w:p w:rsidR="006E363B" w:rsidRPr="006E363B" w:rsidRDefault="006E363B" w:rsidP="006E363B">
      <w:pPr>
        <w:tabs>
          <w:tab w:val="left" w:pos="540"/>
          <w:tab w:val="left" w:pos="569"/>
        </w:tabs>
        <w:jc w:val="both"/>
        <w:rPr>
          <w:bCs/>
          <w:sz w:val="22"/>
          <w:szCs w:val="22"/>
        </w:rPr>
      </w:pPr>
      <w:r w:rsidRPr="006E363B">
        <w:rPr>
          <w:bCs/>
          <w:sz w:val="22"/>
          <w:szCs w:val="22"/>
        </w:rPr>
        <w:t>Najčešće zabilježena neželjena dejstva, koja se javljaju kod više od 5% pacijenata liječenih mirtazapinom, u randomiziranim, placebom kontrolisanim ispitivanima (vidjeti Tabelu 1) su: somnolencija, sedacija, suva usta,  povećanje tjelesne mase, povećanje apetita, vrtoglavica i umor.</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Izvršena je analiza svih randomiziranih, placebo-kontrolisanih studija kod pacijenata liječenih mirtazapinom (uključujući uz depresiju i druge indikacije) radi evaluacije neželjenih dejstava. Meta-analiza je obuhvatila 20 studija sa planiranim trajanjem liječenja do 12 nedjelja, sa 1.501 pacijentom (134 bolesničke godine) koji su dobijali doze mirtazapina do 60 mg, i 850 pacijenata (79 bolesničkih godina) koji su dobijali placebo. Produžene faze tih ispitivanja isključene su kako bi se održala uporedivost sa placebom.</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Teške kožne neželjene reakcije (SCARs), uključujući Stevens-Johnsonov sindrom (SJS), toksičnu epidermalnu nekrolizu (TEN), reakciju na lijek sa eozinofilijom i sistemskim simptomima (DRESS), bulozni dermatitis i multiformni eritem prijavljene su u vezi sa liječenjem mirtazapinom. (vidjeti dio 4.4)</w:t>
      </w:r>
    </w:p>
    <w:p w:rsidR="006E363B" w:rsidRP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t>Tabela 1 pokazuje kategorizovanu incidencu neželjenih dejstava koje su se u kliničkim ispitivanjima pojavile statistički značajno češće tokom liječenja mirtazapinom nego sa placebom uz dodatak neželjenih dejstava iz spontanog prijavljivanja. Učestalost neželjenih dejstava iz spontanog prijavljivanja zasnovana je na vrijednostima prijavljivanja tih neželjenih dejstava u kliničkim ispitivanjima. Učestalost neželjenih dejstava iz spontanog prijavljivanja za koje nije bilo prijava u randomiziranom, placebo-kontrolisanom ispitivanju kod pacijenata na mirtazapinu, označena je kao "nepoznata".</w:t>
      </w:r>
    </w:p>
    <w:p w:rsidR="006E363B" w:rsidRDefault="006E363B" w:rsidP="006E363B">
      <w:pPr>
        <w:tabs>
          <w:tab w:val="left" w:pos="540"/>
          <w:tab w:val="left" w:pos="569"/>
        </w:tabs>
        <w:jc w:val="both"/>
        <w:rPr>
          <w:bCs/>
          <w:sz w:val="22"/>
          <w:szCs w:val="22"/>
        </w:rPr>
      </w:pPr>
    </w:p>
    <w:p w:rsidR="006E363B" w:rsidRDefault="006E363B" w:rsidP="006E363B">
      <w:pPr>
        <w:tabs>
          <w:tab w:val="left" w:pos="540"/>
          <w:tab w:val="left" w:pos="569"/>
        </w:tabs>
        <w:jc w:val="both"/>
        <w:rPr>
          <w:bCs/>
          <w:sz w:val="22"/>
          <w:szCs w:val="22"/>
        </w:rPr>
      </w:pPr>
    </w:p>
    <w:p w:rsidR="006E363B" w:rsidRDefault="006E363B" w:rsidP="006E363B">
      <w:pPr>
        <w:tabs>
          <w:tab w:val="left" w:pos="540"/>
          <w:tab w:val="left" w:pos="569"/>
        </w:tabs>
        <w:jc w:val="both"/>
        <w:rPr>
          <w:bCs/>
          <w:sz w:val="22"/>
          <w:szCs w:val="22"/>
        </w:rPr>
      </w:pPr>
    </w:p>
    <w:p w:rsidR="006E363B" w:rsidRDefault="006E363B" w:rsidP="006E363B">
      <w:pPr>
        <w:tabs>
          <w:tab w:val="left" w:pos="540"/>
          <w:tab w:val="left" w:pos="569"/>
        </w:tabs>
        <w:jc w:val="both"/>
        <w:rPr>
          <w:bCs/>
          <w:sz w:val="22"/>
          <w:szCs w:val="22"/>
        </w:rPr>
      </w:pPr>
    </w:p>
    <w:p w:rsidR="006E363B" w:rsidRDefault="006E363B" w:rsidP="006E363B">
      <w:pPr>
        <w:tabs>
          <w:tab w:val="left" w:pos="540"/>
          <w:tab w:val="left" w:pos="569"/>
        </w:tabs>
        <w:jc w:val="both"/>
        <w:rPr>
          <w:bCs/>
          <w:sz w:val="22"/>
          <w:szCs w:val="22"/>
        </w:rPr>
      </w:pPr>
    </w:p>
    <w:p w:rsidR="006E363B" w:rsidRDefault="006E363B" w:rsidP="006E363B">
      <w:pPr>
        <w:tabs>
          <w:tab w:val="left" w:pos="540"/>
          <w:tab w:val="left" w:pos="569"/>
        </w:tabs>
        <w:jc w:val="both"/>
        <w:rPr>
          <w:bCs/>
          <w:sz w:val="22"/>
          <w:szCs w:val="22"/>
        </w:rPr>
      </w:pPr>
    </w:p>
    <w:p w:rsidR="006E363B" w:rsidRPr="006E363B" w:rsidRDefault="006E363B" w:rsidP="006E363B">
      <w:pPr>
        <w:tabs>
          <w:tab w:val="left" w:pos="540"/>
          <w:tab w:val="left" w:pos="569"/>
        </w:tabs>
        <w:jc w:val="both"/>
        <w:rPr>
          <w:bCs/>
          <w:sz w:val="22"/>
          <w:szCs w:val="22"/>
        </w:rPr>
      </w:pPr>
      <w:r w:rsidRPr="006E363B">
        <w:rPr>
          <w:bCs/>
          <w:sz w:val="22"/>
          <w:szCs w:val="22"/>
        </w:rPr>
        <w:lastRenderedPageBreak/>
        <w:t>Tabela 1. Neželjena dejstva mirtazapina</w:t>
      </w:r>
    </w:p>
    <w:p w:rsidR="006E363B" w:rsidRDefault="006E363B" w:rsidP="006E363B">
      <w:pPr>
        <w:tabs>
          <w:tab w:val="left" w:pos="540"/>
          <w:tab w:val="left" w:pos="569"/>
        </w:tabs>
        <w:jc w:val="both"/>
        <w:rPr>
          <w:bCs/>
          <w:sz w:val="22"/>
          <w:szCs w:val="22"/>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418"/>
        <w:gridCol w:w="1378"/>
        <w:gridCol w:w="1241"/>
        <w:gridCol w:w="1279"/>
        <w:gridCol w:w="2441"/>
      </w:tblGrid>
      <w:tr w:rsidR="006E363B" w:rsidRPr="006E363B" w:rsidTr="0038134A">
        <w:trPr>
          <w:trHeight w:val="805"/>
        </w:trPr>
        <w:tc>
          <w:tcPr>
            <w:tcW w:w="1843" w:type="dxa"/>
          </w:tcPr>
          <w:p w:rsidR="006E363B" w:rsidRPr="006E363B" w:rsidRDefault="006E363B" w:rsidP="006E363B">
            <w:pPr>
              <w:widowControl w:val="0"/>
              <w:rPr>
                <w:b/>
                <w:bCs/>
                <w:sz w:val="22"/>
                <w:szCs w:val="22"/>
              </w:rPr>
            </w:pPr>
            <w:r w:rsidRPr="006E363B">
              <w:rPr>
                <w:b/>
                <w:bCs/>
                <w:sz w:val="22"/>
                <w:szCs w:val="22"/>
              </w:rPr>
              <w:t>Sistem organa</w:t>
            </w:r>
          </w:p>
        </w:tc>
        <w:tc>
          <w:tcPr>
            <w:tcW w:w="1418" w:type="dxa"/>
          </w:tcPr>
          <w:p w:rsidR="006E363B" w:rsidRPr="006E363B" w:rsidRDefault="006E363B" w:rsidP="006E363B">
            <w:pPr>
              <w:widowControl w:val="0"/>
              <w:rPr>
                <w:b/>
                <w:bCs/>
                <w:sz w:val="22"/>
                <w:szCs w:val="22"/>
              </w:rPr>
            </w:pPr>
            <w:r w:rsidRPr="006E363B">
              <w:rPr>
                <w:b/>
                <w:bCs/>
                <w:sz w:val="22"/>
                <w:szCs w:val="22"/>
              </w:rPr>
              <w:t>Vrlo često (≥1/10)</w:t>
            </w:r>
          </w:p>
        </w:tc>
        <w:tc>
          <w:tcPr>
            <w:tcW w:w="1378" w:type="dxa"/>
          </w:tcPr>
          <w:p w:rsidR="006E363B" w:rsidRPr="006E363B" w:rsidRDefault="006E363B" w:rsidP="006E363B">
            <w:pPr>
              <w:widowControl w:val="0"/>
              <w:rPr>
                <w:b/>
                <w:bCs/>
                <w:sz w:val="22"/>
                <w:szCs w:val="22"/>
              </w:rPr>
            </w:pPr>
            <w:r w:rsidRPr="006E363B">
              <w:rPr>
                <w:b/>
                <w:sz w:val="22"/>
                <w:szCs w:val="22"/>
              </w:rPr>
              <w:t>Č</w:t>
            </w:r>
            <w:r w:rsidRPr="006E363B">
              <w:rPr>
                <w:b/>
                <w:bCs/>
                <w:sz w:val="22"/>
                <w:szCs w:val="22"/>
              </w:rPr>
              <w:t>esto (≥1/100 i &lt;1/10)</w:t>
            </w:r>
          </w:p>
        </w:tc>
        <w:tc>
          <w:tcPr>
            <w:tcW w:w="1241" w:type="dxa"/>
          </w:tcPr>
          <w:p w:rsidR="006E363B" w:rsidRPr="006E363B" w:rsidRDefault="006E363B" w:rsidP="006E363B">
            <w:pPr>
              <w:widowControl w:val="0"/>
              <w:rPr>
                <w:b/>
                <w:bCs/>
                <w:sz w:val="22"/>
                <w:szCs w:val="22"/>
              </w:rPr>
            </w:pPr>
            <w:r w:rsidRPr="006E363B">
              <w:rPr>
                <w:b/>
                <w:bCs/>
                <w:sz w:val="22"/>
                <w:szCs w:val="22"/>
              </w:rPr>
              <w:t>Povremeno (≥1/1 000 i &lt;1/100)</w:t>
            </w:r>
          </w:p>
        </w:tc>
        <w:tc>
          <w:tcPr>
            <w:tcW w:w="1279" w:type="dxa"/>
          </w:tcPr>
          <w:p w:rsidR="006E363B" w:rsidRPr="006E363B" w:rsidRDefault="006E363B" w:rsidP="006E363B">
            <w:pPr>
              <w:widowControl w:val="0"/>
              <w:rPr>
                <w:b/>
                <w:bCs/>
                <w:sz w:val="22"/>
                <w:szCs w:val="22"/>
              </w:rPr>
            </w:pPr>
            <w:r w:rsidRPr="006E363B">
              <w:rPr>
                <w:b/>
                <w:bCs/>
                <w:sz w:val="22"/>
                <w:szCs w:val="22"/>
              </w:rPr>
              <w:t>Rijetko (≥1/10 000 to &lt;1/1 000)</w:t>
            </w:r>
          </w:p>
        </w:tc>
        <w:tc>
          <w:tcPr>
            <w:tcW w:w="2441" w:type="dxa"/>
          </w:tcPr>
          <w:p w:rsidR="006E363B" w:rsidRPr="006E363B" w:rsidRDefault="006E363B" w:rsidP="006E363B">
            <w:pPr>
              <w:widowControl w:val="0"/>
              <w:rPr>
                <w:b/>
                <w:bCs/>
                <w:sz w:val="22"/>
                <w:szCs w:val="22"/>
                <w:lang w:val="es-ES"/>
              </w:rPr>
            </w:pPr>
            <w:r w:rsidRPr="006E363B">
              <w:rPr>
                <w:b/>
                <w:bCs/>
                <w:sz w:val="22"/>
                <w:szCs w:val="22"/>
                <w:lang w:val="es-ES"/>
              </w:rPr>
              <w:t>Učestalost nepoznata (ne može se procijeniti iz dostupnih podataka)</w:t>
            </w:r>
          </w:p>
          <w:p w:rsidR="006E363B" w:rsidRPr="006E363B" w:rsidRDefault="006E363B" w:rsidP="006E363B">
            <w:pPr>
              <w:widowControl w:val="0"/>
              <w:rPr>
                <w:b/>
                <w:bCs/>
                <w:sz w:val="22"/>
                <w:szCs w:val="22"/>
                <w:lang w:val="es-ES"/>
              </w:rPr>
            </w:pPr>
          </w:p>
        </w:tc>
      </w:tr>
      <w:tr w:rsidR="006E363B" w:rsidRPr="006E363B" w:rsidTr="0038134A">
        <w:trPr>
          <w:trHeight w:val="551"/>
        </w:trPr>
        <w:tc>
          <w:tcPr>
            <w:tcW w:w="1843" w:type="dxa"/>
          </w:tcPr>
          <w:p w:rsidR="006E363B" w:rsidRPr="006E363B" w:rsidRDefault="006E363B" w:rsidP="006E363B">
            <w:pPr>
              <w:widowControl w:val="0"/>
              <w:rPr>
                <w:b/>
                <w:bCs/>
                <w:sz w:val="22"/>
                <w:szCs w:val="22"/>
              </w:rPr>
            </w:pPr>
            <w:r w:rsidRPr="006E363B">
              <w:rPr>
                <w:b/>
                <w:bCs/>
                <w:iCs/>
                <w:sz w:val="22"/>
                <w:szCs w:val="22"/>
              </w:rPr>
              <w:t xml:space="preserve">Poremećaji krvi i limfnog sistema </w:t>
            </w:r>
          </w:p>
        </w:tc>
        <w:tc>
          <w:tcPr>
            <w:tcW w:w="1418" w:type="dxa"/>
          </w:tcPr>
          <w:p w:rsidR="006E363B" w:rsidRPr="006E363B" w:rsidRDefault="006E363B" w:rsidP="006E363B">
            <w:pPr>
              <w:widowControl w:val="0"/>
              <w:rPr>
                <w:b/>
                <w:bCs/>
                <w:sz w:val="22"/>
                <w:szCs w:val="22"/>
              </w:rPr>
            </w:pPr>
          </w:p>
        </w:tc>
        <w:tc>
          <w:tcPr>
            <w:tcW w:w="1378" w:type="dxa"/>
          </w:tcPr>
          <w:p w:rsidR="006E363B" w:rsidRPr="006E363B" w:rsidRDefault="006E363B" w:rsidP="006E363B">
            <w:pPr>
              <w:widowControl w:val="0"/>
              <w:rPr>
                <w:b/>
                <w:bCs/>
                <w:sz w:val="22"/>
                <w:szCs w:val="22"/>
              </w:rPr>
            </w:pPr>
          </w:p>
        </w:tc>
        <w:tc>
          <w:tcPr>
            <w:tcW w:w="1241" w:type="dxa"/>
          </w:tcPr>
          <w:p w:rsidR="006E363B" w:rsidRPr="006E363B" w:rsidRDefault="006E363B" w:rsidP="006E363B">
            <w:pPr>
              <w:widowControl w:val="0"/>
              <w:rPr>
                <w:b/>
                <w:bCs/>
                <w:sz w:val="22"/>
                <w:szCs w:val="22"/>
              </w:rPr>
            </w:pPr>
          </w:p>
        </w:tc>
        <w:tc>
          <w:tcPr>
            <w:tcW w:w="1279" w:type="dxa"/>
          </w:tcPr>
          <w:p w:rsidR="006E363B" w:rsidRPr="006E363B" w:rsidRDefault="006E363B" w:rsidP="006E363B">
            <w:pPr>
              <w:widowControl w:val="0"/>
              <w:rPr>
                <w:b/>
                <w:bCs/>
                <w:sz w:val="22"/>
                <w:szCs w:val="22"/>
              </w:rPr>
            </w:pPr>
          </w:p>
        </w:tc>
        <w:tc>
          <w:tcPr>
            <w:tcW w:w="2441" w:type="dxa"/>
          </w:tcPr>
          <w:p w:rsidR="006E363B" w:rsidRPr="006E363B" w:rsidRDefault="006E363B" w:rsidP="006E363B">
            <w:pPr>
              <w:widowControl w:val="0"/>
              <w:rPr>
                <w:sz w:val="22"/>
                <w:szCs w:val="22"/>
                <w:lang w:val="es-ES"/>
              </w:rPr>
            </w:pPr>
            <w:r w:rsidRPr="006E363B">
              <w:rPr>
                <w:sz w:val="22"/>
                <w:szCs w:val="22"/>
                <w:lang w:val="es-ES"/>
              </w:rPr>
              <w:t>Supresija koštane srži</w:t>
            </w:r>
          </w:p>
          <w:p w:rsidR="006E363B" w:rsidRPr="006E363B" w:rsidRDefault="006E363B" w:rsidP="006E363B">
            <w:pPr>
              <w:widowControl w:val="0"/>
              <w:rPr>
                <w:sz w:val="22"/>
                <w:szCs w:val="22"/>
                <w:lang w:val="es-ES"/>
              </w:rPr>
            </w:pPr>
            <w:r w:rsidRPr="006E363B">
              <w:rPr>
                <w:sz w:val="22"/>
                <w:szCs w:val="22"/>
                <w:lang w:val="es-ES"/>
              </w:rPr>
              <w:t>(granulocitopenija, agranulocitoza, aplastična anemija, trombocitopenija),</w:t>
            </w:r>
          </w:p>
          <w:p w:rsidR="006E363B" w:rsidRPr="006E363B" w:rsidRDefault="006E363B" w:rsidP="006E363B">
            <w:pPr>
              <w:widowControl w:val="0"/>
              <w:rPr>
                <w:b/>
                <w:bCs/>
                <w:sz w:val="22"/>
                <w:szCs w:val="22"/>
              </w:rPr>
            </w:pPr>
            <w:r w:rsidRPr="006E363B">
              <w:rPr>
                <w:sz w:val="22"/>
                <w:szCs w:val="22"/>
              </w:rPr>
              <w:t>eozinofilija</w:t>
            </w:r>
          </w:p>
        </w:tc>
      </w:tr>
      <w:tr w:rsidR="006E363B" w:rsidRPr="006E363B" w:rsidTr="0038134A">
        <w:trPr>
          <w:trHeight w:val="1344"/>
        </w:trPr>
        <w:tc>
          <w:tcPr>
            <w:tcW w:w="1843" w:type="dxa"/>
          </w:tcPr>
          <w:p w:rsidR="006E363B" w:rsidRPr="006E363B" w:rsidRDefault="006E363B" w:rsidP="006E363B">
            <w:pPr>
              <w:widowControl w:val="0"/>
              <w:rPr>
                <w:b/>
                <w:bCs/>
                <w:sz w:val="22"/>
                <w:szCs w:val="22"/>
              </w:rPr>
            </w:pPr>
            <w:r w:rsidRPr="006E363B">
              <w:rPr>
                <w:b/>
                <w:bCs/>
                <w:iCs/>
                <w:sz w:val="22"/>
                <w:szCs w:val="22"/>
              </w:rPr>
              <w:t>Endokrini poremećaji</w:t>
            </w:r>
          </w:p>
        </w:tc>
        <w:tc>
          <w:tcPr>
            <w:tcW w:w="1418" w:type="dxa"/>
          </w:tcPr>
          <w:p w:rsidR="006E363B" w:rsidRPr="006E363B" w:rsidRDefault="006E363B" w:rsidP="006E363B">
            <w:pPr>
              <w:widowControl w:val="0"/>
              <w:rPr>
                <w:b/>
                <w:bCs/>
                <w:sz w:val="22"/>
                <w:szCs w:val="22"/>
              </w:rPr>
            </w:pPr>
          </w:p>
        </w:tc>
        <w:tc>
          <w:tcPr>
            <w:tcW w:w="1378" w:type="dxa"/>
          </w:tcPr>
          <w:p w:rsidR="006E363B" w:rsidRPr="006E363B" w:rsidRDefault="006E363B" w:rsidP="006E363B">
            <w:pPr>
              <w:widowControl w:val="0"/>
              <w:rPr>
                <w:b/>
                <w:bCs/>
                <w:sz w:val="22"/>
                <w:szCs w:val="22"/>
              </w:rPr>
            </w:pPr>
          </w:p>
        </w:tc>
        <w:tc>
          <w:tcPr>
            <w:tcW w:w="1241" w:type="dxa"/>
          </w:tcPr>
          <w:p w:rsidR="006E363B" w:rsidRPr="006E363B" w:rsidRDefault="006E363B" w:rsidP="006E363B">
            <w:pPr>
              <w:widowControl w:val="0"/>
              <w:rPr>
                <w:b/>
                <w:bCs/>
                <w:sz w:val="22"/>
                <w:szCs w:val="22"/>
              </w:rPr>
            </w:pPr>
          </w:p>
        </w:tc>
        <w:tc>
          <w:tcPr>
            <w:tcW w:w="1279" w:type="dxa"/>
          </w:tcPr>
          <w:p w:rsidR="006E363B" w:rsidRPr="006E363B" w:rsidRDefault="006E363B" w:rsidP="006E363B">
            <w:pPr>
              <w:widowControl w:val="0"/>
              <w:rPr>
                <w:b/>
                <w:bCs/>
                <w:sz w:val="22"/>
                <w:szCs w:val="22"/>
              </w:rPr>
            </w:pPr>
          </w:p>
        </w:tc>
        <w:tc>
          <w:tcPr>
            <w:tcW w:w="2441" w:type="dxa"/>
          </w:tcPr>
          <w:p w:rsidR="006E363B" w:rsidRPr="006E363B" w:rsidRDefault="006E363B" w:rsidP="006E363B">
            <w:pPr>
              <w:widowControl w:val="0"/>
              <w:rPr>
                <w:sz w:val="22"/>
                <w:szCs w:val="22"/>
              </w:rPr>
            </w:pPr>
            <w:r w:rsidRPr="006E363B">
              <w:rPr>
                <w:sz w:val="22"/>
                <w:szCs w:val="22"/>
              </w:rPr>
              <w:t>Neadekvatno lučenje antidiuretskog hormona, hiperprolaktinemija (i povezani simptomi galaktoreja i ginekomastija)</w:t>
            </w:r>
          </w:p>
        </w:tc>
      </w:tr>
      <w:tr w:rsidR="006E363B" w:rsidRPr="006E363B" w:rsidTr="0038134A">
        <w:trPr>
          <w:trHeight w:val="1344"/>
        </w:trPr>
        <w:tc>
          <w:tcPr>
            <w:tcW w:w="1843" w:type="dxa"/>
          </w:tcPr>
          <w:p w:rsidR="006E363B" w:rsidRPr="006E363B" w:rsidRDefault="006E363B" w:rsidP="006E363B">
            <w:pPr>
              <w:widowControl w:val="0"/>
              <w:rPr>
                <w:b/>
                <w:bCs/>
                <w:iCs/>
                <w:sz w:val="22"/>
                <w:szCs w:val="22"/>
              </w:rPr>
            </w:pPr>
            <w:r w:rsidRPr="006E363B">
              <w:rPr>
                <w:b/>
                <w:bCs/>
                <w:iCs/>
                <w:sz w:val="22"/>
                <w:szCs w:val="22"/>
              </w:rPr>
              <w:t>Poremećaji metabolizma i prehrane</w:t>
            </w:r>
          </w:p>
        </w:tc>
        <w:tc>
          <w:tcPr>
            <w:tcW w:w="1418" w:type="dxa"/>
          </w:tcPr>
          <w:p w:rsidR="006E363B" w:rsidRPr="006E363B" w:rsidRDefault="006E363B" w:rsidP="006E363B">
            <w:pPr>
              <w:widowControl w:val="0"/>
              <w:rPr>
                <w:bCs/>
                <w:sz w:val="22"/>
                <w:szCs w:val="22"/>
                <w:vertAlign w:val="superscript"/>
              </w:rPr>
            </w:pPr>
            <w:r w:rsidRPr="006E363B">
              <w:rPr>
                <w:bCs/>
                <w:sz w:val="22"/>
                <w:szCs w:val="22"/>
              </w:rPr>
              <w:t>Povećanje tjelesne mase</w:t>
            </w:r>
            <w:r w:rsidRPr="006E363B">
              <w:rPr>
                <w:bCs/>
                <w:sz w:val="22"/>
                <w:szCs w:val="22"/>
                <w:vertAlign w:val="superscript"/>
              </w:rPr>
              <w:t>1</w:t>
            </w:r>
          </w:p>
          <w:p w:rsidR="006E363B" w:rsidRPr="006E363B" w:rsidRDefault="006E363B" w:rsidP="006E363B">
            <w:pPr>
              <w:widowControl w:val="0"/>
              <w:rPr>
                <w:bCs/>
                <w:sz w:val="22"/>
                <w:szCs w:val="22"/>
                <w:vertAlign w:val="superscript"/>
              </w:rPr>
            </w:pPr>
            <w:r w:rsidRPr="006E363B">
              <w:rPr>
                <w:bCs/>
                <w:sz w:val="22"/>
                <w:szCs w:val="22"/>
              </w:rPr>
              <w:t>Povećani apetit</w:t>
            </w:r>
            <w:r w:rsidRPr="006E363B">
              <w:rPr>
                <w:bCs/>
                <w:sz w:val="22"/>
                <w:szCs w:val="22"/>
                <w:vertAlign w:val="superscript"/>
              </w:rPr>
              <w:t>1</w:t>
            </w:r>
          </w:p>
          <w:p w:rsidR="006E363B" w:rsidRPr="006E363B" w:rsidRDefault="006E363B" w:rsidP="006E363B">
            <w:pPr>
              <w:widowControl w:val="0"/>
              <w:rPr>
                <w:b/>
                <w:bCs/>
                <w:sz w:val="22"/>
                <w:szCs w:val="22"/>
              </w:rPr>
            </w:pPr>
          </w:p>
        </w:tc>
        <w:tc>
          <w:tcPr>
            <w:tcW w:w="1378" w:type="dxa"/>
          </w:tcPr>
          <w:p w:rsidR="006E363B" w:rsidRPr="006E363B" w:rsidRDefault="006E363B" w:rsidP="006E363B">
            <w:pPr>
              <w:widowControl w:val="0"/>
              <w:rPr>
                <w:b/>
                <w:bCs/>
                <w:sz w:val="22"/>
                <w:szCs w:val="22"/>
              </w:rPr>
            </w:pPr>
          </w:p>
        </w:tc>
        <w:tc>
          <w:tcPr>
            <w:tcW w:w="1241" w:type="dxa"/>
          </w:tcPr>
          <w:p w:rsidR="006E363B" w:rsidRPr="006E363B" w:rsidRDefault="006E363B" w:rsidP="006E363B">
            <w:pPr>
              <w:widowControl w:val="0"/>
              <w:rPr>
                <w:b/>
                <w:bCs/>
                <w:sz w:val="22"/>
                <w:szCs w:val="22"/>
              </w:rPr>
            </w:pPr>
          </w:p>
        </w:tc>
        <w:tc>
          <w:tcPr>
            <w:tcW w:w="1279" w:type="dxa"/>
          </w:tcPr>
          <w:p w:rsidR="006E363B" w:rsidRPr="006E363B" w:rsidRDefault="006E363B" w:rsidP="006E363B">
            <w:pPr>
              <w:widowControl w:val="0"/>
              <w:rPr>
                <w:b/>
                <w:bCs/>
                <w:sz w:val="22"/>
                <w:szCs w:val="22"/>
              </w:rPr>
            </w:pPr>
          </w:p>
        </w:tc>
        <w:tc>
          <w:tcPr>
            <w:tcW w:w="2441" w:type="dxa"/>
          </w:tcPr>
          <w:p w:rsidR="006E363B" w:rsidRPr="006E363B" w:rsidRDefault="006E363B" w:rsidP="006E363B">
            <w:pPr>
              <w:widowControl w:val="0"/>
              <w:rPr>
                <w:sz w:val="22"/>
                <w:szCs w:val="22"/>
              </w:rPr>
            </w:pPr>
            <w:r w:rsidRPr="006E363B">
              <w:rPr>
                <w:sz w:val="22"/>
                <w:szCs w:val="22"/>
              </w:rPr>
              <w:t>Hiponatrijemija</w:t>
            </w:r>
          </w:p>
        </w:tc>
      </w:tr>
      <w:tr w:rsidR="006E363B" w:rsidRPr="006E363B" w:rsidTr="0038134A">
        <w:trPr>
          <w:trHeight w:val="1344"/>
        </w:trPr>
        <w:tc>
          <w:tcPr>
            <w:tcW w:w="1843" w:type="dxa"/>
          </w:tcPr>
          <w:p w:rsidR="006E363B" w:rsidRPr="006E363B" w:rsidRDefault="006E363B" w:rsidP="006E363B">
            <w:pPr>
              <w:widowControl w:val="0"/>
              <w:rPr>
                <w:b/>
                <w:bCs/>
                <w:iCs/>
                <w:sz w:val="22"/>
                <w:szCs w:val="22"/>
              </w:rPr>
            </w:pPr>
            <w:r w:rsidRPr="006E363B">
              <w:rPr>
                <w:b/>
                <w:bCs/>
                <w:iCs/>
                <w:sz w:val="22"/>
                <w:szCs w:val="22"/>
              </w:rPr>
              <w:t>Psihijatrijski poremećaji</w:t>
            </w:r>
          </w:p>
          <w:p w:rsidR="006E363B" w:rsidRPr="006E363B" w:rsidRDefault="006E363B" w:rsidP="006E363B">
            <w:pPr>
              <w:widowControl w:val="0"/>
              <w:rPr>
                <w:b/>
                <w:bCs/>
                <w:iCs/>
                <w:sz w:val="22"/>
                <w:szCs w:val="22"/>
              </w:rPr>
            </w:pPr>
          </w:p>
        </w:tc>
        <w:tc>
          <w:tcPr>
            <w:tcW w:w="1418" w:type="dxa"/>
          </w:tcPr>
          <w:p w:rsidR="006E363B" w:rsidRPr="006E363B" w:rsidRDefault="006E363B" w:rsidP="006E363B">
            <w:pPr>
              <w:widowControl w:val="0"/>
              <w:rPr>
                <w:bCs/>
                <w:sz w:val="22"/>
                <w:szCs w:val="22"/>
              </w:rPr>
            </w:pPr>
          </w:p>
        </w:tc>
        <w:tc>
          <w:tcPr>
            <w:tcW w:w="1378" w:type="dxa"/>
          </w:tcPr>
          <w:p w:rsidR="006E363B" w:rsidRPr="006E363B" w:rsidRDefault="006E363B" w:rsidP="006E363B">
            <w:pPr>
              <w:widowControl w:val="0"/>
              <w:rPr>
                <w:sz w:val="22"/>
                <w:szCs w:val="22"/>
                <w:lang w:val="es-ES"/>
              </w:rPr>
            </w:pPr>
            <w:r w:rsidRPr="006E363B">
              <w:rPr>
                <w:sz w:val="22"/>
                <w:szCs w:val="22"/>
                <w:lang w:val="es-ES"/>
              </w:rPr>
              <w:t>Abnormalni snovi</w:t>
            </w:r>
          </w:p>
          <w:p w:rsidR="006E363B" w:rsidRPr="006E363B" w:rsidRDefault="006E363B" w:rsidP="006E363B">
            <w:pPr>
              <w:widowControl w:val="0"/>
              <w:rPr>
                <w:sz w:val="22"/>
                <w:szCs w:val="22"/>
                <w:lang w:val="es-ES"/>
              </w:rPr>
            </w:pPr>
            <w:r w:rsidRPr="006E363B">
              <w:rPr>
                <w:sz w:val="22"/>
                <w:szCs w:val="22"/>
                <w:lang w:val="es-ES"/>
              </w:rPr>
              <w:t>Konfuzija</w:t>
            </w:r>
          </w:p>
          <w:p w:rsidR="006E363B" w:rsidRPr="006E363B" w:rsidRDefault="006E363B" w:rsidP="006E363B">
            <w:pPr>
              <w:widowControl w:val="0"/>
              <w:rPr>
                <w:sz w:val="22"/>
                <w:szCs w:val="22"/>
                <w:vertAlign w:val="superscript"/>
                <w:lang w:val="es-ES"/>
              </w:rPr>
            </w:pPr>
            <w:r w:rsidRPr="006E363B">
              <w:rPr>
                <w:sz w:val="22"/>
                <w:szCs w:val="22"/>
                <w:lang w:val="es-ES"/>
              </w:rPr>
              <w:t>Anksioznost</w:t>
            </w:r>
            <w:r w:rsidRPr="006E363B">
              <w:rPr>
                <w:sz w:val="22"/>
                <w:szCs w:val="22"/>
                <w:vertAlign w:val="superscript"/>
                <w:lang w:val="es-ES"/>
              </w:rPr>
              <w:t>2, 5</w:t>
            </w:r>
          </w:p>
          <w:p w:rsidR="006E363B" w:rsidRPr="006E363B" w:rsidRDefault="006E363B" w:rsidP="006E363B">
            <w:pPr>
              <w:widowControl w:val="0"/>
              <w:rPr>
                <w:sz w:val="22"/>
                <w:szCs w:val="22"/>
                <w:lang w:val="es-ES"/>
              </w:rPr>
            </w:pPr>
            <w:r w:rsidRPr="006E363B">
              <w:rPr>
                <w:sz w:val="22"/>
                <w:szCs w:val="22"/>
                <w:lang w:val="es-ES"/>
              </w:rPr>
              <w:t>Nesanica</w:t>
            </w:r>
            <w:r w:rsidRPr="006E363B">
              <w:rPr>
                <w:sz w:val="22"/>
                <w:szCs w:val="22"/>
                <w:vertAlign w:val="superscript"/>
                <w:lang w:val="es-ES"/>
              </w:rPr>
              <w:t>3, 5</w:t>
            </w:r>
          </w:p>
          <w:p w:rsidR="006E363B" w:rsidRPr="006E363B" w:rsidRDefault="006E363B" w:rsidP="006E363B">
            <w:pPr>
              <w:widowControl w:val="0"/>
              <w:rPr>
                <w:bCs/>
                <w:sz w:val="22"/>
                <w:szCs w:val="22"/>
                <w:vertAlign w:val="superscript"/>
                <w:lang w:val="es-ES"/>
              </w:rPr>
            </w:pPr>
          </w:p>
        </w:tc>
        <w:tc>
          <w:tcPr>
            <w:tcW w:w="1241" w:type="dxa"/>
          </w:tcPr>
          <w:p w:rsidR="006E363B" w:rsidRPr="006E363B" w:rsidRDefault="006E363B" w:rsidP="006E363B">
            <w:pPr>
              <w:widowControl w:val="0"/>
              <w:rPr>
                <w:sz w:val="22"/>
                <w:szCs w:val="22"/>
                <w:lang w:val="es-ES"/>
              </w:rPr>
            </w:pPr>
            <w:r w:rsidRPr="006E363B">
              <w:rPr>
                <w:sz w:val="22"/>
                <w:szCs w:val="22"/>
                <w:lang w:val="es-ES"/>
              </w:rPr>
              <w:t>Noćne more</w:t>
            </w:r>
            <w:r w:rsidRPr="006E363B">
              <w:rPr>
                <w:sz w:val="22"/>
                <w:szCs w:val="22"/>
                <w:vertAlign w:val="superscript"/>
                <w:lang w:val="es-ES"/>
              </w:rPr>
              <w:t>2</w:t>
            </w:r>
            <w:r w:rsidRPr="006E363B">
              <w:rPr>
                <w:sz w:val="22"/>
                <w:szCs w:val="22"/>
                <w:lang w:val="es-ES"/>
              </w:rPr>
              <w:t>,</w:t>
            </w:r>
          </w:p>
          <w:p w:rsidR="006E363B" w:rsidRPr="006E363B" w:rsidRDefault="006E363B" w:rsidP="006E363B">
            <w:pPr>
              <w:widowControl w:val="0"/>
              <w:rPr>
                <w:sz w:val="22"/>
                <w:szCs w:val="22"/>
                <w:lang w:val="es-ES"/>
              </w:rPr>
            </w:pPr>
            <w:r w:rsidRPr="006E363B">
              <w:rPr>
                <w:sz w:val="22"/>
                <w:szCs w:val="22"/>
                <w:lang w:val="es-ES"/>
              </w:rPr>
              <w:t>Manija,</w:t>
            </w:r>
          </w:p>
          <w:p w:rsidR="006E363B" w:rsidRPr="006E363B" w:rsidRDefault="006E363B" w:rsidP="006E363B">
            <w:pPr>
              <w:widowControl w:val="0"/>
              <w:rPr>
                <w:sz w:val="22"/>
                <w:szCs w:val="22"/>
                <w:lang w:val="es-ES"/>
              </w:rPr>
            </w:pPr>
            <w:r w:rsidRPr="006E363B">
              <w:rPr>
                <w:sz w:val="22"/>
                <w:szCs w:val="22"/>
                <w:lang w:val="es-ES"/>
              </w:rPr>
              <w:t>Agitacija</w:t>
            </w:r>
            <w:r w:rsidRPr="006E363B">
              <w:rPr>
                <w:sz w:val="22"/>
                <w:szCs w:val="22"/>
                <w:vertAlign w:val="superscript"/>
                <w:lang w:val="es-ES"/>
              </w:rPr>
              <w:t>2</w:t>
            </w:r>
            <w:r w:rsidRPr="006E363B">
              <w:rPr>
                <w:sz w:val="22"/>
                <w:szCs w:val="22"/>
                <w:lang w:val="es-ES"/>
              </w:rPr>
              <w:t>,</w:t>
            </w:r>
          </w:p>
          <w:p w:rsidR="006E363B" w:rsidRPr="006E363B" w:rsidRDefault="006E363B" w:rsidP="006E363B">
            <w:pPr>
              <w:widowControl w:val="0"/>
              <w:rPr>
                <w:sz w:val="22"/>
                <w:szCs w:val="22"/>
                <w:lang w:val="es-ES"/>
              </w:rPr>
            </w:pPr>
            <w:r w:rsidRPr="006E363B">
              <w:rPr>
                <w:sz w:val="22"/>
                <w:szCs w:val="22"/>
                <w:lang w:val="es-ES"/>
              </w:rPr>
              <w:t>Halucinacije,</w:t>
            </w:r>
          </w:p>
          <w:p w:rsidR="006E363B" w:rsidRPr="006E363B" w:rsidRDefault="006E363B" w:rsidP="006E363B">
            <w:pPr>
              <w:widowControl w:val="0"/>
              <w:rPr>
                <w:b/>
                <w:bCs/>
                <w:sz w:val="22"/>
                <w:szCs w:val="22"/>
                <w:lang w:val="es-ES"/>
              </w:rPr>
            </w:pPr>
            <w:r w:rsidRPr="006E363B">
              <w:rPr>
                <w:sz w:val="22"/>
                <w:szCs w:val="22"/>
                <w:lang w:val="es-ES"/>
              </w:rPr>
              <w:t>Psihomotorni nemir (uklj. akatiziju, hiperkineziju)</w:t>
            </w:r>
          </w:p>
        </w:tc>
        <w:tc>
          <w:tcPr>
            <w:tcW w:w="1279" w:type="dxa"/>
          </w:tcPr>
          <w:p w:rsidR="006E363B" w:rsidRPr="006E363B" w:rsidRDefault="006E363B" w:rsidP="006E363B">
            <w:pPr>
              <w:widowControl w:val="0"/>
              <w:rPr>
                <w:bCs/>
                <w:sz w:val="22"/>
                <w:szCs w:val="22"/>
              </w:rPr>
            </w:pPr>
            <w:r w:rsidRPr="006E363B">
              <w:rPr>
                <w:bCs/>
                <w:sz w:val="22"/>
                <w:szCs w:val="22"/>
              </w:rPr>
              <w:t>Agresivnost</w:t>
            </w:r>
          </w:p>
        </w:tc>
        <w:tc>
          <w:tcPr>
            <w:tcW w:w="2441" w:type="dxa"/>
          </w:tcPr>
          <w:p w:rsidR="006E363B" w:rsidRPr="006E363B" w:rsidRDefault="006E363B" w:rsidP="006E363B">
            <w:pPr>
              <w:widowControl w:val="0"/>
              <w:rPr>
                <w:sz w:val="22"/>
                <w:szCs w:val="22"/>
                <w:lang w:val="es-ES"/>
              </w:rPr>
            </w:pPr>
            <w:r w:rsidRPr="006E363B">
              <w:rPr>
                <w:sz w:val="22"/>
                <w:szCs w:val="22"/>
                <w:lang w:val="es-ES"/>
              </w:rPr>
              <w:t>Suicidalna razmišljanja</w:t>
            </w:r>
            <w:r w:rsidRPr="006E363B">
              <w:rPr>
                <w:sz w:val="22"/>
                <w:szCs w:val="22"/>
                <w:vertAlign w:val="superscript"/>
                <w:lang w:val="es-ES"/>
              </w:rPr>
              <w:t>6</w:t>
            </w:r>
          </w:p>
          <w:p w:rsidR="006E363B" w:rsidRPr="006E363B" w:rsidRDefault="006E363B" w:rsidP="006E363B">
            <w:pPr>
              <w:widowControl w:val="0"/>
              <w:rPr>
                <w:sz w:val="22"/>
                <w:szCs w:val="22"/>
                <w:lang w:val="es-ES"/>
              </w:rPr>
            </w:pPr>
            <w:r w:rsidRPr="006E363B">
              <w:rPr>
                <w:sz w:val="22"/>
                <w:szCs w:val="22"/>
                <w:lang w:val="es-ES"/>
              </w:rPr>
              <w:t>Suicidalno ponašanje</w:t>
            </w:r>
            <w:r w:rsidRPr="006E363B">
              <w:rPr>
                <w:sz w:val="22"/>
                <w:szCs w:val="22"/>
                <w:vertAlign w:val="superscript"/>
                <w:lang w:val="es-ES"/>
              </w:rPr>
              <w:t>6</w:t>
            </w:r>
            <w:r w:rsidRPr="006E363B">
              <w:rPr>
                <w:sz w:val="22"/>
                <w:szCs w:val="22"/>
                <w:lang w:val="es-ES"/>
              </w:rPr>
              <w:t xml:space="preserve"> somnambulizam</w:t>
            </w:r>
          </w:p>
        </w:tc>
      </w:tr>
      <w:tr w:rsidR="006E363B" w:rsidRPr="006E363B" w:rsidTr="0038134A">
        <w:trPr>
          <w:trHeight w:val="1356"/>
        </w:trPr>
        <w:tc>
          <w:tcPr>
            <w:tcW w:w="1843" w:type="dxa"/>
          </w:tcPr>
          <w:p w:rsidR="006E363B" w:rsidRPr="006E363B" w:rsidRDefault="006E363B" w:rsidP="006E363B">
            <w:pPr>
              <w:widowControl w:val="0"/>
              <w:rPr>
                <w:b/>
                <w:bCs/>
                <w:sz w:val="22"/>
                <w:szCs w:val="22"/>
                <w:highlight w:val="yellow"/>
              </w:rPr>
            </w:pPr>
            <w:r w:rsidRPr="006E363B">
              <w:rPr>
                <w:b/>
                <w:bCs/>
                <w:sz w:val="22"/>
                <w:szCs w:val="22"/>
              </w:rPr>
              <w:t xml:space="preserve">Poremećaji nervnog sistema </w:t>
            </w:r>
          </w:p>
        </w:tc>
        <w:tc>
          <w:tcPr>
            <w:tcW w:w="1418" w:type="dxa"/>
          </w:tcPr>
          <w:p w:rsidR="006E363B" w:rsidRPr="006E363B" w:rsidRDefault="006E363B" w:rsidP="006E363B">
            <w:pPr>
              <w:widowControl w:val="0"/>
              <w:rPr>
                <w:sz w:val="22"/>
                <w:szCs w:val="22"/>
              </w:rPr>
            </w:pPr>
            <w:r w:rsidRPr="006E363B">
              <w:rPr>
                <w:sz w:val="22"/>
                <w:szCs w:val="22"/>
              </w:rPr>
              <w:t>Somnolencija</w:t>
            </w:r>
            <w:r w:rsidRPr="006E363B">
              <w:rPr>
                <w:sz w:val="22"/>
                <w:szCs w:val="22"/>
                <w:vertAlign w:val="superscript"/>
              </w:rPr>
              <w:t>1, 4</w:t>
            </w:r>
          </w:p>
          <w:p w:rsidR="006E363B" w:rsidRPr="006E363B" w:rsidRDefault="006E363B" w:rsidP="006E363B">
            <w:pPr>
              <w:widowControl w:val="0"/>
              <w:rPr>
                <w:sz w:val="22"/>
                <w:szCs w:val="22"/>
              </w:rPr>
            </w:pPr>
            <w:r w:rsidRPr="006E363B">
              <w:rPr>
                <w:sz w:val="22"/>
                <w:szCs w:val="22"/>
              </w:rPr>
              <w:t>Sedacija</w:t>
            </w:r>
            <w:r w:rsidRPr="006E363B">
              <w:rPr>
                <w:sz w:val="22"/>
                <w:szCs w:val="22"/>
                <w:vertAlign w:val="superscript"/>
              </w:rPr>
              <w:t>1, 4</w:t>
            </w:r>
          </w:p>
          <w:p w:rsidR="006E363B" w:rsidRPr="006E363B" w:rsidRDefault="006E363B" w:rsidP="006E363B">
            <w:pPr>
              <w:widowControl w:val="0"/>
              <w:rPr>
                <w:b/>
                <w:bCs/>
                <w:sz w:val="22"/>
                <w:szCs w:val="22"/>
              </w:rPr>
            </w:pPr>
            <w:r w:rsidRPr="006E363B">
              <w:rPr>
                <w:sz w:val="22"/>
                <w:szCs w:val="22"/>
              </w:rPr>
              <w:t>Glavobolja</w:t>
            </w:r>
            <w:r w:rsidRPr="006E363B">
              <w:rPr>
                <w:sz w:val="22"/>
                <w:szCs w:val="22"/>
                <w:vertAlign w:val="superscript"/>
              </w:rPr>
              <w:t>2</w:t>
            </w:r>
          </w:p>
        </w:tc>
        <w:tc>
          <w:tcPr>
            <w:tcW w:w="1378" w:type="dxa"/>
          </w:tcPr>
          <w:p w:rsidR="006E363B" w:rsidRPr="006E363B" w:rsidRDefault="006E363B" w:rsidP="006E363B">
            <w:pPr>
              <w:widowControl w:val="0"/>
              <w:rPr>
                <w:sz w:val="22"/>
                <w:szCs w:val="22"/>
              </w:rPr>
            </w:pPr>
            <w:r w:rsidRPr="006E363B">
              <w:rPr>
                <w:sz w:val="22"/>
                <w:szCs w:val="22"/>
              </w:rPr>
              <w:t>Letargija</w:t>
            </w:r>
            <w:r w:rsidRPr="006E363B">
              <w:rPr>
                <w:sz w:val="22"/>
                <w:szCs w:val="22"/>
                <w:vertAlign w:val="superscript"/>
              </w:rPr>
              <w:t>1</w:t>
            </w:r>
            <w:r w:rsidRPr="006E363B">
              <w:rPr>
                <w:sz w:val="22"/>
                <w:szCs w:val="22"/>
              </w:rPr>
              <w:t>,</w:t>
            </w:r>
          </w:p>
          <w:p w:rsidR="006E363B" w:rsidRPr="006E363B" w:rsidRDefault="006E363B" w:rsidP="006E363B">
            <w:pPr>
              <w:widowControl w:val="0"/>
              <w:rPr>
                <w:sz w:val="22"/>
                <w:szCs w:val="22"/>
              </w:rPr>
            </w:pPr>
            <w:r w:rsidRPr="006E363B">
              <w:rPr>
                <w:sz w:val="22"/>
                <w:szCs w:val="22"/>
              </w:rPr>
              <w:t>Vrtoglavica,</w:t>
            </w:r>
          </w:p>
          <w:p w:rsidR="006E363B" w:rsidRPr="006E363B" w:rsidRDefault="006E363B" w:rsidP="006E363B">
            <w:pPr>
              <w:widowControl w:val="0"/>
              <w:rPr>
                <w:sz w:val="22"/>
                <w:szCs w:val="22"/>
              </w:rPr>
            </w:pPr>
            <w:r w:rsidRPr="006E363B">
              <w:rPr>
                <w:sz w:val="22"/>
                <w:szCs w:val="22"/>
              </w:rPr>
              <w:t>Tremor,</w:t>
            </w:r>
          </w:p>
          <w:p w:rsidR="006E363B" w:rsidRPr="006E363B" w:rsidRDefault="006E363B" w:rsidP="006E363B">
            <w:pPr>
              <w:widowControl w:val="0"/>
              <w:rPr>
                <w:b/>
                <w:bCs/>
                <w:sz w:val="22"/>
                <w:szCs w:val="22"/>
                <w:vertAlign w:val="superscript"/>
              </w:rPr>
            </w:pPr>
            <w:r w:rsidRPr="006E363B">
              <w:rPr>
                <w:sz w:val="22"/>
                <w:szCs w:val="22"/>
              </w:rPr>
              <w:t>Amnezija</w:t>
            </w:r>
            <w:r w:rsidRPr="006E363B">
              <w:rPr>
                <w:sz w:val="22"/>
                <w:szCs w:val="22"/>
                <w:vertAlign w:val="superscript"/>
              </w:rPr>
              <w:t>7</w:t>
            </w:r>
          </w:p>
        </w:tc>
        <w:tc>
          <w:tcPr>
            <w:tcW w:w="1241" w:type="dxa"/>
          </w:tcPr>
          <w:p w:rsidR="006E363B" w:rsidRPr="006E363B" w:rsidRDefault="006E363B" w:rsidP="006E363B">
            <w:pPr>
              <w:widowControl w:val="0"/>
              <w:rPr>
                <w:sz w:val="22"/>
                <w:szCs w:val="22"/>
              </w:rPr>
            </w:pPr>
            <w:r w:rsidRPr="006E363B">
              <w:rPr>
                <w:sz w:val="22"/>
                <w:szCs w:val="22"/>
              </w:rPr>
              <w:t>Parestezija</w:t>
            </w:r>
            <w:r w:rsidRPr="006E363B">
              <w:rPr>
                <w:sz w:val="22"/>
                <w:szCs w:val="22"/>
                <w:vertAlign w:val="superscript"/>
              </w:rPr>
              <w:t>2</w:t>
            </w:r>
            <w:r w:rsidRPr="006E363B">
              <w:rPr>
                <w:sz w:val="22"/>
                <w:szCs w:val="22"/>
              </w:rPr>
              <w:t>,</w:t>
            </w:r>
          </w:p>
          <w:p w:rsidR="006E363B" w:rsidRPr="006E363B" w:rsidRDefault="006E363B" w:rsidP="006E363B">
            <w:pPr>
              <w:widowControl w:val="0"/>
              <w:rPr>
                <w:sz w:val="22"/>
                <w:szCs w:val="22"/>
              </w:rPr>
            </w:pPr>
            <w:r w:rsidRPr="006E363B">
              <w:rPr>
                <w:sz w:val="22"/>
                <w:szCs w:val="22"/>
              </w:rPr>
              <w:t>Nemir nogu,</w:t>
            </w:r>
          </w:p>
          <w:p w:rsidR="006E363B" w:rsidRPr="006E363B" w:rsidRDefault="006E363B" w:rsidP="006E363B">
            <w:pPr>
              <w:widowControl w:val="0"/>
              <w:rPr>
                <w:b/>
                <w:bCs/>
                <w:sz w:val="22"/>
                <w:szCs w:val="22"/>
              </w:rPr>
            </w:pPr>
            <w:r w:rsidRPr="006E363B">
              <w:rPr>
                <w:sz w:val="22"/>
                <w:szCs w:val="22"/>
              </w:rPr>
              <w:t>Sinkopa</w:t>
            </w:r>
          </w:p>
        </w:tc>
        <w:tc>
          <w:tcPr>
            <w:tcW w:w="1279" w:type="dxa"/>
          </w:tcPr>
          <w:p w:rsidR="006E363B" w:rsidRPr="006E363B" w:rsidRDefault="006E363B" w:rsidP="006E363B">
            <w:pPr>
              <w:widowControl w:val="0"/>
              <w:rPr>
                <w:b/>
                <w:bCs/>
                <w:sz w:val="22"/>
                <w:szCs w:val="22"/>
              </w:rPr>
            </w:pPr>
            <w:r w:rsidRPr="006E363B">
              <w:rPr>
                <w:sz w:val="22"/>
                <w:szCs w:val="22"/>
              </w:rPr>
              <w:t>Mioklonus</w:t>
            </w:r>
          </w:p>
        </w:tc>
        <w:tc>
          <w:tcPr>
            <w:tcW w:w="2441" w:type="dxa"/>
          </w:tcPr>
          <w:p w:rsidR="006E363B" w:rsidRPr="006E363B" w:rsidRDefault="006E363B" w:rsidP="006E363B">
            <w:pPr>
              <w:widowControl w:val="0"/>
              <w:rPr>
                <w:sz w:val="22"/>
                <w:szCs w:val="22"/>
                <w:lang w:val="es-ES"/>
              </w:rPr>
            </w:pPr>
            <w:r w:rsidRPr="006E363B">
              <w:rPr>
                <w:sz w:val="22"/>
                <w:szCs w:val="22"/>
                <w:lang w:val="es-ES"/>
              </w:rPr>
              <w:t>Konvulzije (insulti),</w:t>
            </w:r>
          </w:p>
          <w:p w:rsidR="006E363B" w:rsidRPr="006E363B" w:rsidRDefault="006E363B" w:rsidP="006E363B">
            <w:pPr>
              <w:widowControl w:val="0"/>
              <w:rPr>
                <w:sz w:val="22"/>
                <w:szCs w:val="22"/>
                <w:lang w:val="es-ES"/>
              </w:rPr>
            </w:pPr>
            <w:r w:rsidRPr="006E363B">
              <w:rPr>
                <w:sz w:val="22"/>
                <w:szCs w:val="22"/>
                <w:lang w:val="es-ES"/>
              </w:rPr>
              <w:t>Serotoninski sindrom,</w:t>
            </w:r>
          </w:p>
          <w:p w:rsidR="006E363B" w:rsidRPr="006E363B" w:rsidRDefault="006E363B" w:rsidP="006E363B">
            <w:pPr>
              <w:widowControl w:val="0"/>
              <w:rPr>
                <w:sz w:val="22"/>
                <w:szCs w:val="22"/>
                <w:lang w:val="es-ES"/>
              </w:rPr>
            </w:pPr>
            <w:r w:rsidRPr="006E363B">
              <w:rPr>
                <w:sz w:val="22"/>
                <w:szCs w:val="22"/>
                <w:lang w:val="es-ES"/>
              </w:rPr>
              <w:t>Oralna parestezija,</w:t>
            </w:r>
          </w:p>
          <w:p w:rsidR="006E363B" w:rsidRPr="006E363B" w:rsidRDefault="006E363B" w:rsidP="006E363B">
            <w:pPr>
              <w:widowControl w:val="0"/>
              <w:rPr>
                <w:sz w:val="22"/>
                <w:szCs w:val="22"/>
              </w:rPr>
            </w:pPr>
            <w:r w:rsidRPr="006E363B">
              <w:rPr>
                <w:sz w:val="22"/>
                <w:szCs w:val="22"/>
              </w:rPr>
              <w:t>Dizartrija</w:t>
            </w:r>
          </w:p>
        </w:tc>
      </w:tr>
      <w:tr w:rsidR="006E363B" w:rsidRPr="006E363B" w:rsidTr="0038134A">
        <w:trPr>
          <w:trHeight w:val="1356"/>
        </w:trPr>
        <w:tc>
          <w:tcPr>
            <w:tcW w:w="1843" w:type="dxa"/>
          </w:tcPr>
          <w:p w:rsidR="006E363B" w:rsidRPr="006E363B" w:rsidRDefault="006E363B" w:rsidP="006E363B">
            <w:pPr>
              <w:widowControl w:val="0"/>
              <w:rPr>
                <w:b/>
                <w:bCs/>
                <w:sz w:val="22"/>
                <w:szCs w:val="22"/>
                <w:highlight w:val="yellow"/>
              </w:rPr>
            </w:pPr>
            <w:r w:rsidRPr="006E363B">
              <w:rPr>
                <w:b/>
                <w:bCs/>
                <w:sz w:val="22"/>
                <w:szCs w:val="22"/>
              </w:rPr>
              <w:t>Poremećaji krvnih sudova</w:t>
            </w:r>
          </w:p>
        </w:tc>
        <w:tc>
          <w:tcPr>
            <w:tcW w:w="1418" w:type="dxa"/>
          </w:tcPr>
          <w:p w:rsidR="006E363B" w:rsidRPr="006E363B" w:rsidRDefault="006E363B" w:rsidP="006E363B">
            <w:pPr>
              <w:widowControl w:val="0"/>
              <w:rPr>
                <w:sz w:val="22"/>
                <w:szCs w:val="22"/>
              </w:rPr>
            </w:pPr>
          </w:p>
        </w:tc>
        <w:tc>
          <w:tcPr>
            <w:tcW w:w="1378" w:type="dxa"/>
          </w:tcPr>
          <w:p w:rsidR="006E363B" w:rsidRPr="006E363B" w:rsidRDefault="006E363B" w:rsidP="006E363B">
            <w:pPr>
              <w:widowControl w:val="0"/>
              <w:rPr>
                <w:sz w:val="22"/>
                <w:szCs w:val="22"/>
              </w:rPr>
            </w:pPr>
            <w:r w:rsidRPr="006E363B">
              <w:rPr>
                <w:sz w:val="22"/>
                <w:szCs w:val="22"/>
              </w:rPr>
              <w:t>Ortostatska hipotenzija</w:t>
            </w:r>
          </w:p>
        </w:tc>
        <w:tc>
          <w:tcPr>
            <w:tcW w:w="1241" w:type="dxa"/>
          </w:tcPr>
          <w:p w:rsidR="006E363B" w:rsidRPr="006E363B" w:rsidRDefault="006E363B" w:rsidP="006E363B">
            <w:pPr>
              <w:widowControl w:val="0"/>
              <w:rPr>
                <w:sz w:val="22"/>
                <w:szCs w:val="22"/>
              </w:rPr>
            </w:pPr>
            <w:r w:rsidRPr="006E363B">
              <w:rPr>
                <w:sz w:val="22"/>
                <w:szCs w:val="22"/>
              </w:rPr>
              <w:t>Hipotenzija</w:t>
            </w:r>
            <w:r w:rsidRPr="006E363B">
              <w:rPr>
                <w:sz w:val="22"/>
                <w:szCs w:val="22"/>
                <w:vertAlign w:val="superscript"/>
              </w:rPr>
              <w:t>2</w:t>
            </w:r>
          </w:p>
        </w:tc>
        <w:tc>
          <w:tcPr>
            <w:tcW w:w="1279" w:type="dxa"/>
          </w:tcPr>
          <w:p w:rsidR="006E363B" w:rsidRPr="006E363B" w:rsidRDefault="006E363B" w:rsidP="006E363B">
            <w:pPr>
              <w:widowControl w:val="0"/>
              <w:rPr>
                <w:sz w:val="22"/>
                <w:szCs w:val="22"/>
              </w:rPr>
            </w:pPr>
          </w:p>
        </w:tc>
        <w:tc>
          <w:tcPr>
            <w:tcW w:w="2441" w:type="dxa"/>
          </w:tcPr>
          <w:p w:rsidR="006E363B" w:rsidRPr="006E363B" w:rsidRDefault="006E363B" w:rsidP="006E363B">
            <w:pPr>
              <w:widowControl w:val="0"/>
              <w:rPr>
                <w:sz w:val="22"/>
                <w:szCs w:val="22"/>
              </w:rPr>
            </w:pPr>
          </w:p>
        </w:tc>
      </w:tr>
      <w:tr w:rsidR="006E363B" w:rsidRPr="006E363B" w:rsidTr="0038134A">
        <w:trPr>
          <w:trHeight w:val="820"/>
        </w:trPr>
        <w:tc>
          <w:tcPr>
            <w:tcW w:w="1843" w:type="dxa"/>
          </w:tcPr>
          <w:p w:rsidR="006E363B" w:rsidRPr="006E363B" w:rsidRDefault="006E363B" w:rsidP="006E363B">
            <w:pPr>
              <w:widowControl w:val="0"/>
              <w:rPr>
                <w:b/>
                <w:bCs/>
                <w:sz w:val="22"/>
                <w:szCs w:val="22"/>
              </w:rPr>
            </w:pPr>
            <w:r w:rsidRPr="006E363B">
              <w:rPr>
                <w:b/>
                <w:bCs/>
                <w:sz w:val="22"/>
                <w:szCs w:val="22"/>
              </w:rPr>
              <w:t>Poremećaji digestivnog sistema</w:t>
            </w:r>
          </w:p>
        </w:tc>
        <w:tc>
          <w:tcPr>
            <w:tcW w:w="1418" w:type="dxa"/>
          </w:tcPr>
          <w:p w:rsidR="006E363B" w:rsidRPr="006E363B" w:rsidRDefault="006E363B" w:rsidP="006E363B">
            <w:pPr>
              <w:widowControl w:val="0"/>
              <w:rPr>
                <w:b/>
                <w:bCs/>
                <w:sz w:val="22"/>
                <w:szCs w:val="22"/>
              </w:rPr>
            </w:pPr>
            <w:r w:rsidRPr="006E363B">
              <w:rPr>
                <w:sz w:val="22"/>
                <w:szCs w:val="22"/>
              </w:rPr>
              <w:t>Suvoća usta</w:t>
            </w:r>
          </w:p>
        </w:tc>
        <w:tc>
          <w:tcPr>
            <w:tcW w:w="1378" w:type="dxa"/>
          </w:tcPr>
          <w:p w:rsidR="006E363B" w:rsidRPr="006E363B" w:rsidRDefault="006E363B" w:rsidP="006E363B">
            <w:pPr>
              <w:widowControl w:val="0"/>
              <w:rPr>
                <w:sz w:val="22"/>
                <w:szCs w:val="22"/>
              </w:rPr>
            </w:pPr>
            <w:r w:rsidRPr="006E363B">
              <w:rPr>
                <w:sz w:val="22"/>
                <w:szCs w:val="22"/>
              </w:rPr>
              <w:t>Mučnina</w:t>
            </w:r>
            <w:r w:rsidRPr="006E363B">
              <w:rPr>
                <w:sz w:val="22"/>
                <w:szCs w:val="22"/>
                <w:vertAlign w:val="superscript"/>
              </w:rPr>
              <w:t>3</w:t>
            </w:r>
            <w:r w:rsidRPr="006E363B">
              <w:rPr>
                <w:sz w:val="22"/>
                <w:szCs w:val="22"/>
              </w:rPr>
              <w:t>,</w:t>
            </w:r>
          </w:p>
          <w:p w:rsidR="006E363B" w:rsidRPr="006E363B" w:rsidRDefault="006E363B" w:rsidP="006E363B">
            <w:pPr>
              <w:widowControl w:val="0"/>
              <w:rPr>
                <w:sz w:val="22"/>
                <w:szCs w:val="22"/>
              </w:rPr>
            </w:pPr>
            <w:r w:rsidRPr="006E363B">
              <w:rPr>
                <w:sz w:val="22"/>
                <w:szCs w:val="22"/>
              </w:rPr>
              <w:t>Proliv</w:t>
            </w:r>
            <w:r w:rsidRPr="006E363B">
              <w:rPr>
                <w:sz w:val="22"/>
                <w:szCs w:val="22"/>
                <w:vertAlign w:val="superscript"/>
              </w:rPr>
              <w:t>2</w:t>
            </w:r>
            <w:r w:rsidRPr="006E363B">
              <w:rPr>
                <w:sz w:val="22"/>
                <w:szCs w:val="22"/>
              </w:rPr>
              <w:t>,</w:t>
            </w:r>
          </w:p>
          <w:p w:rsidR="006E363B" w:rsidRPr="006E363B" w:rsidRDefault="006E363B" w:rsidP="006E363B">
            <w:pPr>
              <w:widowControl w:val="0"/>
              <w:rPr>
                <w:sz w:val="22"/>
                <w:szCs w:val="22"/>
              </w:rPr>
            </w:pPr>
            <w:r w:rsidRPr="006E363B">
              <w:rPr>
                <w:sz w:val="22"/>
                <w:szCs w:val="22"/>
              </w:rPr>
              <w:t>Povraćanje</w:t>
            </w:r>
            <w:r w:rsidRPr="006E363B">
              <w:rPr>
                <w:sz w:val="22"/>
                <w:szCs w:val="22"/>
                <w:vertAlign w:val="superscript"/>
              </w:rPr>
              <w:t>2</w:t>
            </w:r>
            <w:r w:rsidRPr="006E363B">
              <w:rPr>
                <w:sz w:val="22"/>
                <w:szCs w:val="22"/>
              </w:rPr>
              <w:t>,</w:t>
            </w:r>
          </w:p>
          <w:p w:rsidR="006E363B" w:rsidRPr="006E363B" w:rsidRDefault="006E363B" w:rsidP="006E363B">
            <w:pPr>
              <w:widowControl w:val="0"/>
              <w:rPr>
                <w:b/>
                <w:bCs/>
                <w:sz w:val="22"/>
                <w:szCs w:val="22"/>
                <w:vertAlign w:val="superscript"/>
              </w:rPr>
            </w:pPr>
            <w:r w:rsidRPr="006E363B">
              <w:rPr>
                <w:sz w:val="22"/>
                <w:szCs w:val="22"/>
              </w:rPr>
              <w:t>Konstipacija</w:t>
            </w:r>
            <w:r w:rsidRPr="006E363B">
              <w:rPr>
                <w:sz w:val="22"/>
                <w:szCs w:val="22"/>
                <w:vertAlign w:val="superscript"/>
              </w:rPr>
              <w:t>1</w:t>
            </w:r>
          </w:p>
        </w:tc>
        <w:tc>
          <w:tcPr>
            <w:tcW w:w="1241" w:type="dxa"/>
          </w:tcPr>
          <w:p w:rsidR="006E363B" w:rsidRPr="006E363B" w:rsidRDefault="006E363B" w:rsidP="006E363B">
            <w:pPr>
              <w:widowControl w:val="0"/>
              <w:rPr>
                <w:sz w:val="22"/>
                <w:szCs w:val="22"/>
              </w:rPr>
            </w:pPr>
            <w:r w:rsidRPr="006E363B">
              <w:rPr>
                <w:sz w:val="22"/>
                <w:szCs w:val="22"/>
              </w:rPr>
              <w:t>Oralna</w:t>
            </w:r>
          </w:p>
          <w:p w:rsidR="006E363B" w:rsidRPr="006E363B" w:rsidRDefault="006E363B" w:rsidP="006E363B">
            <w:pPr>
              <w:widowControl w:val="0"/>
              <w:rPr>
                <w:sz w:val="22"/>
                <w:szCs w:val="22"/>
              </w:rPr>
            </w:pPr>
            <w:r w:rsidRPr="006E363B">
              <w:rPr>
                <w:sz w:val="22"/>
                <w:szCs w:val="22"/>
              </w:rPr>
              <w:t>hipoestezija</w:t>
            </w:r>
          </w:p>
          <w:p w:rsidR="006E363B" w:rsidRPr="006E363B" w:rsidRDefault="006E363B" w:rsidP="006E363B">
            <w:pPr>
              <w:widowControl w:val="0"/>
              <w:rPr>
                <w:b/>
                <w:bCs/>
                <w:sz w:val="22"/>
                <w:szCs w:val="22"/>
              </w:rPr>
            </w:pPr>
          </w:p>
        </w:tc>
        <w:tc>
          <w:tcPr>
            <w:tcW w:w="1279" w:type="dxa"/>
          </w:tcPr>
          <w:p w:rsidR="006E363B" w:rsidRPr="006E363B" w:rsidRDefault="006E363B" w:rsidP="006E363B">
            <w:pPr>
              <w:widowControl w:val="0"/>
              <w:rPr>
                <w:bCs/>
                <w:sz w:val="22"/>
                <w:szCs w:val="22"/>
              </w:rPr>
            </w:pPr>
            <w:r w:rsidRPr="006E363B">
              <w:rPr>
                <w:bCs/>
                <w:sz w:val="22"/>
                <w:szCs w:val="22"/>
              </w:rPr>
              <w:t>Pankreatitis</w:t>
            </w:r>
          </w:p>
        </w:tc>
        <w:tc>
          <w:tcPr>
            <w:tcW w:w="2441" w:type="dxa"/>
          </w:tcPr>
          <w:p w:rsidR="006E363B" w:rsidRPr="006E363B" w:rsidRDefault="006E363B" w:rsidP="006E363B">
            <w:pPr>
              <w:widowControl w:val="0"/>
              <w:rPr>
                <w:sz w:val="22"/>
                <w:szCs w:val="22"/>
              </w:rPr>
            </w:pPr>
            <w:r w:rsidRPr="006E363B">
              <w:rPr>
                <w:sz w:val="22"/>
                <w:szCs w:val="22"/>
              </w:rPr>
              <w:t>Edem usta,</w:t>
            </w:r>
          </w:p>
          <w:p w:rsidR="006E363B" w:rsidRPr="006E363B" w:rsidRDefault="006E363B" w:rsidP="006E363B">
            <w:pPr>
              <w:widowControl w:val="0"/>
              <w:rPr>
                <w:b/>
                <w:bCs/>
                <w:sz w:val="22"/>
                <w:szCs w:val="22"/>
              </w:rPr>
            </w:pPr>
            <w:r w:rsidRPr="006E363B">
              <w:rPr>
                <w:sz w:val="22"/>
                <w:szCs w:val="22"/>
              </w:rPr>
              <w:t>Pojačana salivacija</w:t>
            </w:r>
          </w:p>
        </w:tc>
      </w:tr>
      <w:tr w:rsidR="006E363B" w:rsidRPr="006E363B" w:rsidTr="0038134A">
        <w:trPr>
          <w:trHeight w:val="820"/>
        </w:trPr>
        <w:tc>
          <w:tcPr>
            <w:tcW w:w="1843" w:type="dxa"/>
          </w:tcPr>
          <w:p w:rsidR="006E363B" w:rsidRPr="006E363B" w:rsidRDefault="006E363B" w:rsidP="006E363B">
            <w:pPr>
              <w:widowControl w:val="0"/>
              <w:rPr>
                <w:b/>
                <w:bCs/>
                <w:sz w:val="22"/>
                <w:szCs w:val="22"/>
              </w:rPr>
            </w:pPr>
            <w:r w:rsidRPr="006E363B">
              <w:rPr>
                <w:b/>
                <w:bCs/>
                <w:sz w:val="22"/>
                <w:szCs w:val="22"/>
              </w:rPr>
              <w:t>Poremećaji jetre i žuči</w:t>
            </w:r>
          </w:p>
        </w:tc>
        <w:tc>
          <w:tcPr>
            <w:tcW w:w="1418" w:type="dxa"/>
          </w:tcPr>
          <w:p w:rsidR="006E363B" w:rsidRPr="006E363B" w:rsidRDefault="006E363B" w:rsidP="006E363B">
            <w:pPr>
              <w:widowControl w:val="0"/>
              <w:rPr>
                <w:sz w:val="22"/>
                <w:szCs w:val="22"/>
              </w:rPr>
            </w:pPr>
          </w:p>
        </w:tc>
        <w:tc>
          <w:tcPr>
            <w:tcW w:w="1378" w:type="dxa"/>
          </w:tcPr>
          <w:p w:rsidR="006E363B" w:rsidRPr="006E363B" w:rsidRDefault="006E363B" w:rsidP="006E363B">
            <w:pPr>
              <w:widowControl w:val="0"/>
              <w:rPr>
                <w:sz w:val="22"/>
                <w:szCs w:val="22"/>
              </w:rPr>
            </w:pPr>
          </w:p>
        </w:tc>
        <w:tc>
          <w:tcPr>
            <w:tcW w:w="1241" w:type="dxa"/>
          </w:tcPr>
          <w:p w:rsidR="006E363B" w:rsidRPr="006E363B" w:rsidRDefault="006E363B" w:rsidP="006E363B">
            <w:pPr>
              <w:widowControl w:val="0"/>
              <w:rPr>
                <w:sz w:val="22"/>
                <w:szCs w:val="22"/>
              </w:rPr>
            </w:pPr>
          </w:p>
        </w:tc>
        <w:tc>
          <w:tcPr>
            <w:tcW w:w="1279" w:type="dxa"/>
          </w:tcPr>
          <w:p w:rsidR="006E363B" w:rsidRPr="006E363B" w:rsidRDefault="006E363B" w:rsidP="006E363B">
            <w:pPr>
              <w:widowControl w:val="0"/>
              <w:rPr>
                <w:b/>
                <w:bCs/>
                <w:sz w:val="22"/>
                <w:szCs w:val="22"/>
              </w:rPr>
            </w:pPr>
            <w:r w:rsidRPr="006E363B">
              <w:rPr>
                <w:sz w:val="22"/>
                <w:szCs w:val="22"/>
              </w:rPr>
              <w:t xml:space="preserve">Povišene aktivnosti serumskih transaminaza </w:t>
            </w:r>
          </w:p>
        </w:tc>
        <w:tc>
          <w:tcPr>
            <w:tcW w:w="2441" w:type="dxa"/>
          </w:tcPr>
          <w:p w:rsidR="006E363B" w:rsidRPr="006E363B" w:rsidRDefault="006E363B" w:rsidP="006E363B">
            <w:pPr>
              <w:widowControl w:val="0"/>
              <w:rPr>
                <w:sz w:val="22"/>
                <w:szCs w:val="22"/>
              </w:rPr>
            </w:pPr>
          </w:p>
        </w:tc>
      </w:tr>
      <w:tr w:rsidR="006E363B" w:rsidRPr="006E363B" w:rsidTr="0038134A">
        <w:trPr>
          <w:trHeight w:val="820"/>
        </w:trPr>
        <w:tc>
          <w:tcPr>
            <w:tcW w:w="1843" w:type="dxa"/>
          </w:tcPr>
          <w:p w:rsidR="006E363B" w:rsidRPr="006E363B" w:rsidRDefault="006E363B" w:rsidP="006E363B">
            <w:pPr>
              <w:widowControl w:val="0"/>
              <w:rPr>
                <w:b/>
                <w:bCs/>
                <w:sz w:val="22"/>
                <w:szCs w:val="22"/>
              </w:rPr>
            </w:pPr>
            <w:r w:rsidRPr="006E363B">
              <w:rPr>
                <w:b/>
                <w:bCs/>
                <w:sz w:val="22"/>
                <w:szCs w:val="22"/>
              </w:rPr>
              <w:lastRenderedPageBreak/>
              <w:t>Poremećaji kože i potkožnog tkiva</w:t>
            </w:r>
          </w:p>
        </w:tc>
        <w:tc>
          <w:tcPr>
            <w:tcW w:w="1418" w:type="dxa"/>
          </w:tcPr>
          <w:p w:rsidR="006E363B" w:rsidRPr="006E363B" w:rsidRDefault="006E363B" w:rsidP="006E363B">
            <w:pPr>
              <w:widowControl w:val="0"/>
              <w:rPr>
                <w:b/>
                <w:bCs/>
                <w:sz w:val="22"/>
                <w:szCs w:val="22"/>
              </w:rPr>
            </w:pPr>
          </w:p>
        </w:tc>
        <w:tc>
          <w:tcPr>
            <w:tcW w:w="1378" w:type="dxa"/>
          </w:tcPr>
          <w:p w:rsidR="006E363B" w:rsidRPr="006E363B" w:rsidRDefault="006E363B" w:rsidP="006E363B">
            <w:pPr>
              <w:widowControl w:val="0"/>
              <w:rPr>
                <w:b/>
                <w:bCs/>
                <w:sz w:val="22"/>
                <w:szCs w:val="22"/>
              </w:rPr>
            </w:pPr>
            <w:r w:rsidRPr="006E363B">
              <w:rPr>
                <w:sz w:val="22"/>
                <w:szCs w:val="22"/>
              </w:rPr>
              <w:t>Egzantem</w:t>
            </w:r>
            <w:r w:rsidRPr="006E363B">
              <w:rPr>
                <w:sz w:val="22"/>
                <w:szCs w:val="22"/>
                <w:vertAlign w:val="superscript"/>
              </w:rPr>
              <w:t>2</w:t>
            </w:r>
          </w:p>
        </w:tc>
        <w:tc>
          <w:tcPr>
            <w:tcW w:w="1241" w:type="dxa"/>
          </w:tcPr>
          <w:p w:rsidR="006E363B" w:rsidRPr="006E363B" w:rsidRDefault="006E363B" w:rsidP="006E363B">
            <w:pPr>
              <w:widowControl w:val="0"/>
              <w:rPr>
                <w:b/>
                <w:bCs/>
                <w:sz w:val="22"/>
                <w:szCs w:val="22"/>
              </w:rPr>
            </w:pPr>
          </w:p>
        </w:tc>
        <w:tc>
          <w:tcPr>
            <w:tcW w:w="1279" w:type="dxa"/>
          </w:tcPr>
          <w:p w:rsidR="006E363B" w:rsidRPr="006E363B" w:rsidRDefault="006E363B" w:rsidP="006E363B">
            <w:pPr>
              <w:widowControl w:val="0"/>
              <w:rPr>
                <w:b/>
                <w:bCs/>
                <w:sz w:val="22"/>
                <w:szCs w:val="22"/>
              </w:rPr>
            </w:pPr>
          </w:p>
        </w:tc>
        <w:tc>
          <w:tcPr>
            <w:tcW w:w="2441" w:type="dxa"/>
          </w:tcPr>
          <w:p w:rsidR="006E363B" w:rsidRPr="006E363B" w:rsidRDefault="006E363B" w:rsidP="006E363B">
            <w:pPr>
              <w:widowControl w:val="0"/>
              <w:rPr>
                <w:bCs/>
                <w:sz w:val="22"/>
                <w:szCs w:val="22"/>
              </w:rPr>
            </w:pPr>
            <w:r w:rsidRPr="006E363B">
              <w:rPr>
                <w:bCs/>
                <w:i/>
                <w:sz w:val="22"/>
                <w:szCs w:val="22"/>
              </w:rPr>
              <w:t>Stevens-Johnson</w:t>
            </w:r>
            <w:r w:rsidRPr="006E363B">
              <w:rPr>
                <w:bCs/>
                <w:sz w:val="22"/>
                <w:szCs w:val="22"/>
              </w:rPr>
              <w:t>ov sindrom,</w:t>
            </w:r>
          </w:p>
          <w:p w:rsidR="006E363B" w:rsidRPr="006E363B" w:rsidRDefault="006E363B" w:rsidP="006E363B">
            <w:pPr>
              <w:widowControl w:val="0"/>
              <w:rPr>
                <w:bCs/>
                <w:sz w:val="22"/>
                <w:szCs w:val="22"/>
              </w:rPr>
            </w:pPr>
            <w:r w:rsidRPr="006E363B">
              <w:rPr>
                <w:bCs/>
                <w:sz w:val="22"/>
                <w:szCs w:val="22"/>
              </w:rPr>
              <w:t>Bulozni dermatitis,</w:t>
            </w:r>
          </w:p>
          <w:p w:rsidR="006E363B" w:rsidRPr="006E363B" w:rsidRDefault="006E363B" w:rsidP="006E363B">
            <w:pPr>
              <w:widowControl w:val="0"/>
              <w:rPr>
                <w:bCs/>
                <w:i/>
                <w:sz w:val="22"/>
                <w:szCs w:val="22"/>
              </w:rPr>
            </w:pPr>
            <w:r w:rsidRPr="006E363B">
              <w:rPr>
                <w:bCs/>
                <w:i/>
                <w:sz w:val="22"/>
                <w:szCs w:val="22"/>
              </w:rPr>
              <w:t>Erythema multiforme,</w:t>
            </w:r>
          </w:p>
          <w:p w:rsidR="006E363B" w:rsidRPr="006E363B" w:rsidRDefault="006E363B" w:rsidP="006E363B">
            <w:pPr>
              <w:widowControl w:val="0"/>
              <w:rPr>
                <w:bCs/>
                <w:sz w:val="22"/>
                <w:szCs w:val="22"/>
              </w:rPr>
            </w:pPr>
            <w:r w:rsidRPr="006E363B">
              <w:rPr>
                <w:bCs/>
                <w:sz w:val="22"/>
                <w:szCs w:val="22"/>
              </w:rPr>
              <w:t>Toksična epidermalna nekroliza,</w:t>
            </w:r>
          </w:p>
          <w:p w:rsidR="006E363B" w:rsidRPr="006E363B" w:rsidRDefault="006E363B" w:rsidP="006E363B">
            <w:pPr>
              <w:widowControl w:val="0"/>
              <w:rPr>
                <w:b/>
                <w:bCs/>
                <w:sz w:val="22"/>
                <w:szCs w:val="22"/>
              </w:rPr>
            </w:pPr>
            <w:r w:rsidRPr="006E363B">
              <w:rPr>
                <w:bCs/>
                <w:sz w:val="22"/>
                <w:szCs w:val="22"/>
              </w:rPr>
              <w:t>Reakcija na lijek sa eozinofilijom i sistemskim simptomima (DRESS)</w:t>
            </w:r>
          </w:p>
        </w:tc>
      </w:tr>
      <w:tr w:rsidR="006E363B" w:rsidRPr="006E363B" w:rsidTr="0038134A">
        <w:trPr>
          <w:trHeight w:val="805"/>
        </w:trPr>
        <w:tc>
          <w:tcPr>
            <w:tcW w:w="1843" w:type="dxa"/>
          </w:tcPr>
          <w:p w:rsidR="006E363B" w:rsidRPr="006E363B" w:rsidRDefault="006E363B" w:rsidP="006E363B">
            <w:pPr>
              <w:widowControl w:val="0"/>
              <w:rPr>
                <w:b/>
                <w:bCs/>
                <w:sz w:val="22"/>
                <w:szCs w:val="22"/>
              </w:rPr>
            </w:pPr>
            <w:r w:rsidRPr="006E363B">
              <w:rPr>
                <w:b/>
                <w:bCs/>
                <w:sz w:val="22"/>
                <w:szCs w:val="22"/>
              </w:rPr>
              <w:t>Poremećaji mišićno-koštanog sistema i vezivnog tkiva</w:t>
            </w:r>
          </w:p>
        </w:tc>
        <w:tc>
          <w:tcPr>
            <w:tcW w:w="1418" w:type="dxa"/>
          </w:tcPr>
          <w:p w:rsidR="006E363B" w:rsidRPr="006E363B" w:rsidRDefault="006E363B" w:rsidP="006E363B">
            <w:pPr>
              <w:widowControl w:val="0"/>
              <w:rPr>
                <w:b/>
                <w:bCs/>
                <w:sz w:val="22"/>
                <w:szCs w:val="22"/>
              </w:rPr>
            </w:pPr>
          </w:p>
        </w:tc>
        <w:tc>
          <w:tcPr>
            <w:tcW w:w="1378" w:type="dxa"/>
          </w:tcPr>
          <w:p w:rsidR="006E363B" w:rsidRPr="006E363B" w:rsidRDefault="006E363B" w:rsidP="006E363B">
            <w:pPr>
              <w:widowControl w:val="0"/>
              <w:rPr>
                <w:sz w:val="22"/>
                <w:szCs w:val="22"/>
                <w:lang w:val="es-ES"/>
              </w:rPr>
            </w:pPr>
            <w:r w:rsidRPr="006E363B">
              <w:rPr>
                <w:sz w:val="22"/>
                <w:szCs w:val="22"/>
                <w:lang w:val="es-ES"/>
              </w:rPr>
              <w:t>Artralgija,</w:t>
            </w:r>
          </w:p>
          <w:p w:rsidR="006E363B" w:rsidRPr="006E363B" w:rsidRDefault="006E363B" w:rsidP="006E363B">
            <w:pPr>
              <w:widowControl w:val="0"/>
              <w:rPr>
                <w:sz w:val="22"/>
                <w:szCs w:val="22"/>
                <w:lang w:val="es-ES"/>
              </w:rPr>
            </w:pPr>
            <w:r w:rsidRPr="006E363B">
              <w:rPr>
                <w:sz w:val="22"/>
                <w:szCs w:val="22"/>
                <w:lang w:val="es-ES"/>
              </w:rPr>
              <w:t>Mijalgija,</w:t>
            </w:r>
          </w:p>
          <w:p w:rsidR="006E363B" w:rsidRPr="006E363B" w:rsidRDefault="006E363B" w:rsidP="006E363B">
            <w:pPr>
              <w:widowControl w:val="0"/>
              <w:rPr>
                <w:b/>
                <w:bCs/>
                <w:sz w:val="22"/>
                <w:szCs w:val="22"/>
                <w:lang w:val="es-ES"/>
              </w:rPr>
            </w:pPr>
            <w:r w:rsidRPr="006E363B">
              <w:rPr>
                <w:sz w:val="22"/>
                <w:szCs w:val="22"/>
                <w:lang w:val="es-ES"/>
              </w:rPr>
              <w:t>Bol u leđima</w:t>
            </w:r>
            <w:r w:rsidRPr="006E363B">
              <w:rPr>
                <w:sz w:val="22"/>
                <w:szCs w:val="22"/>
                <w:vertAlign w:val="superscript"/>
                <w:lang w:val="es-ES"/>
              </w:rPr>
              <w:t>1</w:t>
            </w:r>
          </w:p>
        </w:tc>
        <w:tc>
          <w:tcPr>
            <w:tcW w:w="1241" w:type="dxa"/>
          </w:tcPr>
          <w:p w:rsidR="006E363B" w:rsidRPr="006E363B" w:rsidRDefault="006E363B" w:rsidP="006E363B">
            <w:pPr>
              <w:widowControl w:val="0"/>
              <w:rPr>
                <w:b/>
                <w:bCs/>
                <w:sz w:val="22"/>
                <w:szCs w:val="22"/>
                <w:lang w:val="es-ES"/>
              </w:rPr>
            </w:pPr>
          </w:p>
        </w:tc>
        <w:tc>
          <w:tcPr>
            <w:tcW w:w="1279" w:type="dxa"/>
          </w:tcPr>
          <w:p w:rsidR="006E363B" w:rsidRPr="006E363B" w:rsidRDefault="006E363B" w:rsidP="006E363B">
            <w:pPr>
              <w:widowControl w:val="0"/>
              <w:rPr>
                <w:b/>
                <w:bCs/>
                <w:sz w:val="22"/>
                <w:szCs w:val="22"/>
                <w:lang w:val="es-ES"/>
              </w:rPr>
            </w:pPr>
          </w:p>
        </w:tc>
        <w:tc>
          <w:tcPr>
            <w:tcW w:w="2441" w:type="dxa"/>
          </w:tcPr>
          <w:p w:rsidR="006E363B" w:rsidRPr="006E363B" w:rsidRDefault="006E363B" w:rsidP="006E363B">
            <w:pPr>
              <w:widowControl w:val="0"/>
              <w:rPr>
                <w:b/>
                <w:bCs/>
                <w:sz w:val="22"/>
                <w:szCs w:val="22"/>
                <w:lang w:val="es-ES"/>
              </w:rPr>
            </w:pPr>
            <w:r w:rsidRPr="006E363B">
              <w:rPr>
                <w:bCs/>
                <w:sz w:val="22"/>
                <w:szCs w:val="22"/>
              </w:rPr>
              <w:t>Rabdomioliza</w:t>
            </w:r>
          </w:p>
        </w:tc>
      </w:tr>
      <w:tr w:rsidR="006E363B" w:rsidRPr="006E363B" w:rsidTr="0038134A">
        <w:trPr>
          <w:trHeight w:val="805"/>
        </w:trPr>
        <w:tc>
          <w:tcPr>
            <w:tcW w:w="1843" w:type="dxa"/>
          </w:tcPr>
          <w:p w:rsidR="006E363B" w:rsidRPr="006E363B" w:rsidRDefault="006E363B" w:rsidP="006E363B">
            <w:pPr>
              <w:widowControl w:val="0"/>
              <w:rPr>
                <w:b/>
                <w:bCs/>
                <w:sz w:val="22"/>
                <w:szCs w:val="22"/>
              </w:rPr>
            </w:pPr>
            <w:r w:rsidRPr="006E363B">
              <w:rPr>
                <w:b/>
                <w:sz w:val="22"/>
                <w:szCs w:val="22"/>
              </w:rPr>
              <w:t>Poremećaji bubrega i urinarnog trakta</w:t>
            </w:r>
          </w:p>
        </w:tc>
        <w:tc>
          <w:tcPr>
            <w:tcW w:w="1418" w:type="dxa"/>
          </w:tcPr>
          <w:p w:rsidR="006E363B" w:rsidRPr="006E363B" w:rsidRDefault="006E363B" w:rsidP="006E363B">
            <w:pPr>
              <w:widowControl w:val="0"/>
              <w:rPr>
                <w:b/>
                <w:bCs/>
                <w:sz w:val="22"/>
                <w:szCs w:val="22"/>
              </w:rPr>
            </w:pPr>
          </w:p>
        </w:tc>
        <w:tc>
          <w:tcPr>
            <w:tcW w:w="1378" w:type="dxa"/>
          </w:tcPr>
          <w:p w:rsidR="006E363B" w:rsidRPr="006E363B" w:rsidRDefault="006E363B" w:rsidP="006E363B">
            <w:pPr>
              <w:widowControl w:val="0"/>
              <w:rPr>
                <w:sz w:val="22"/>
                <w:szCs w:val="22"/>
                <w:lang w:val="es-ES"/>
              </w:rPr>
            </w:pPr>
          </w:p>
        </w:tc>
        <w:tc>
          <w:tcPr>
            <w:tcW w:w="1241" w:type="dxa"/>
          </w:tcPr>
          <w:p w:rsidR="006E363B" w:rsidRPr="006E363B" w:rsidRDefault="006E363B" w:rsidP="006E363B">
            <w:pPr>
              <w:widowControl w:val="0"/>
              <w:rPr>
                <w:b/>
                <w:bCs/>
                <w:sz w:val="22"/>
                <w:szCs w:val="22"/>
                <w:lang w:val="es-ES"/>
              </w:rPr>
            </w:pPr>
          </w:p>
        </w:tc>
        <w:tc>
          <w:tcPr>
            <w:tcW w:w="1279" w:type="dxa"/>
          </w:tcPr>
          <w:p w:rsidR="006E363B" w:rsidRPr="006E363B" w:rsidRDefault="006E363B" w:rsidP="006E363B">
            <w:pPr>
              <w:widowControl w:val="0"/>
              <w:rPr>
                <w:b/>
                <w:bCs/>
                <w:sz w:val="22"/>
                <w:szCs w:val="22"/>
                <w:lang w:val="es-ES"/>
              </w:rPr>
            </w:pPr>
          </w:p>
        </w:tc>
        <w:tc>
          <w:tcPr>
            <w:tcW w:w="2441" w:type="dxa"/>
          </w:tcPr>
          <w:p w:rsidR="006E363B" w:rsidRPr="006E363B" w:rsidRDefault="006E363B" w:rsidP="006E363B">
            <w:pPr>
              <w:widowControl w:val="0"/>
              <w:rPr>
                <w:bCs/>
                <w:sz w:val="22"/>
                <w:szCs w:val="22"/>
              </w:rPr>
            </w:pPr>
            <w:r w:rsidRPr="006E363B">
              <w:rPr>
                <w:bCs/>
                <w:sz w:val="22"/>
                <w:szCs w:val="22"/>
              </w:rPr>
              <w:t>Urinarna</w:t>
            </w:r>
          </w:p>
          <w:p w:rsidR="006E363B" w:rsidRPr="006E363B" w:rsidRDefault="006E363B" w:rsidP="006E363B">
            <w:pPr>
              <w:widowControl w:val="0"/>
              <w:rPr>
                <w:bCs/>
                <w:sz w:val="22"/>
                <w:szCs w:val="22"/>
              </w:rPr>
            </w:pPr>
            <w:r w:rsidRPr="006E363B">
              <w:rPr>
                <w:bCs/>
                <w:sz w:val="22"/>
                <w:szCs w:val="22"/>
              </w:rPr>
              <w:t>retencija</w:t>
            </w:r>
          </w:p>
        </w:tc>
      </w:tr>
      <w:tr w:rsidR="006E363B" w:rsidRPr="006E363B" w:rsidTr="0038134A">
        <w:trPr>
          <w:trHeight w:val="805"/>
        </w:trPr>
        <w:tc>
          <w:tcPr>
            <w:tcW w:w="1843" w:type="dxa"/>
          </w:tcPr>
          <w:p w:rsidR="006E363B" w:rsidRPr="006E363B" w:rsidRDefault="006E363B" w:rsidP="006E363B">
            <w:pPr>
              <w:widowControl w:val="0"/>
              <w:rPr>
                <w:b/>
                <w:bCs/>
                <w:sz w:val="22"/>
                <w:szCs w:val="22"/>
                <w:lang w:val="es-ES"/>
              </w:rPr>
            </w:pPr>
            <w:r w:rsidRPr="006E363B">
              <w:rPr>
                <w:b/>
                <w:bCs/>
                <w:sz w:val="22"/>
                <w:szCs w:val="22"/>
                <w:lang w:val="es-ES"/>
              </w:rPr>
              <w:t>Opšti poremećaji i reakcije na mjestu primjene</w:t>
            </w:r>
          </w:p>
        </w:tc>
        <w:tc>
          <w:tcPr>
            <w:tcW w:w="1418" w:type="dxa"/>
          </w:tcPr>
          <w:p w:rsidR="006E363B" w:rsidRPr="006E363B" w:rsidRDefault="006E363B" w:rsidP="006E363B">
            <w:pPr>
              <w:widowControl w:val="0"/>
              <w:rPr>
                <w:b/>
                <w:bCs/>
                <w:sz w:val="22"/>
                <w:szCs w:val="22"/>
                <w:lang w:val="es-ES"/>
              </w:rPr>
            </w:pPr>
          </w:p>
        </w:tc>
        <w:tc>
          <w:tcPr>
            <w:tcW w:w="1378" w:type="dxa"/>
          </w:tcPr>
          <w:p w:rsidR="006E363B" w:rsidRPr="006E363B" w:rsidRDefault="006E363B" w:rsidP="006E363B">
            <w:pPr>
              <w:widowControl w:val="0"/>
              <w:rPr>
                <w:sz w:val="22"/>
                <w:szCs w:val="22"/>
              </w:rPr>
            </w:pPr>
            <w:r w:rsidRPr="006E363B">
              <w:rPr>
                <w:sz w:val="22"/>
                <w:szCs w:val="22"/>
              </w:rPr>
              <w:t>Periferni edem</w:t>
            </w:r>
            <w:r w:rsidRPr="006E363B">
              <w:rPr>
                <w:sz w:val="22"/>
                <w:szCs w:val="22"/>
                <w:vertAlign w:val="superscript"/>
              </w:rPr>
              <w:t>1</w:t>
            </w:r>
            <w:r w:rsidRPr="006E363B">
              <w:rPr>
                <w:sz w:val="22"/>
                <w:szCs w:val="22"/>
              </w:rPr>
              <w:t>,</w:t>
            </w:r>
          </w:p>
          <w:p w:rsidR="006E363B" w:rsidRPr="006E363B" w:rsidDel="00F529B9" w:rsidRDefault="006E363B" w:rsidP="006E363B">
            <w:pPr>
              <w:widowControl w:val="0"/>
              <w:rPr>
                <w:sz w:val="22"/>
                <w:szCs w:val="22"/>
              </w:rPr>
            </w:pPr>
            <w:r w:rsidRPr="006E363B">
              <w:rPr>
                <w:sz w:val="22"/>
                <w:szCs w:val="22"/>
              </w:rPr>
              <w:t>Umor</w:t>
            </w:r>
          </w:p>
        </w:tc>
        <w:tc>
          <w:tcPr>
            <w:tcW w:w="1241" w:type="dxa"/>
          </w:tcPr>
          <w:p w:rsidR="006E363B" w:rsidRPr="006E363B" w:rsidRDefault="006E363B" w:rsidP="006E363B">
            <w:pPr>
              <w:widowControl w:val="0"/>
              <w:rPr>
                <w:b/>
                <w:bCs/>
                <w:sz w:val="22"/>
                <w:szCs w:val="22"/>
              </w:rPr>
            </w:pPr>
          </w:p>
        </w:tc>
        <w:tc>
          <w:tcPr>
            <w:tcW w:w="1279" w:type="dxa"/>
          </w:tcPr>
          <w:p w:rsidR="006E363B" w:rsidRPr="006E363B" w:rsidRDefault="006E363B" w:rsidP="006E363B">
            <w:pPr>
              <w:widowControl w:val="0"/>
              <w:rPr>
                <w:b/>
                <w:bCs/>
                <w:sz w:val="22"/>
                <w:szCs w:val="22"/>
              </w:rPr>
            </w:pPr>
          </w:p>
        </w:tc>
        <w:tc>
          <w:tcPr>
            <w:tcW w:w="2441" w:type="dxa"/>
          </w:tcPr>
          <w:p w:rsidR="006E363B" w:rsidRPr="006E363B" w:rsidRDefault="006E363B" w:rsidP="006E363B">
            <w:pPr>
              <w:widowControl w:val="0"/>
              <w:rPr>
                <w:bCs/>
                <w:sz w:val="22"/>
                <w:szCs w:val="22"/>
                <w:lang w:val="es-ES"/>
              </w:rPr>
            </w:pPr>
            <w:r w:rsidRPr="006E363B">
              <w:rPr>
                <w:bCs/>
                <w:sz w:val="22"/>
                <w:szCs w:val="22"/>
                <w:lang w:val="es-ES"/>
              </w:rPr>
              <w:t>Generalizovani edemi,</w:t>
            </w:r>
          </w:p>
          <w:p w:rsidR="006E363B" w:rsidRPr="006E363B" w:rsidRDefault="006E363B" w:rsidP="006E363B">
            <w:pPr>
              <w:widowControl w:val="0"/>
              <w:rPr>
                <w:b/>
                <w:bCs/>
                <w:sz w:val="22"/>
                <w:szCs w:val="22"/>
                <w:lang w:val="es-ES"/>
              </w:rPr>
            </w:pPr>
            <w:r w:rsidRPr="006E363B">
              <w:rPr>
                <w:bCs/>
                <w:sz w:val="22"/>
                <w:szCs w:val="22"/>
                <w:lang w:val="es-ES"/>
              </w:rPr>
              <w:t>Lokalizovani edemi</w:t>
            </w:r>
          </w:p>
        </w:tc>
      </w:tr>
      <w:tr w:rsidR="006E363B" w:rsidRPr="006E363B" w:rsidTr="0038134A">
        <w:trPr>
          <w:trHeight w:val="805"/>
        </w:trPr>
        <w:tc>
          <w:tcPr>
            <w:tcW w:w="1843" w:type="dxa"/>
          </w:tcPr>
          <w:p w:rsidR="006E363B" w:rsidRPr="006E363B" w:rsidRDefault="006E363B" w:rsidP="006E363B">
            <w:pPr>
              <w:widowControl w:val="0"/>
              <w:rPr>
                <w:b/>
                <w:bCs/>
                <w:sz w:val="22"/>
                <w:szCs w:val="22"/>
                <w:lang w:val="es-ES"/>
              </w:rPr>
            </w:pPr>
            <w:r w:rsidRPr="006E363B">
              <w:rPr>
                <w:b/>
                <w:bCs/>
                <w:sz w:val="22"/>
                <w:szCs w:val="22"/>
                <w:lang w:val="es-ES"/>
              </w:rPr>
              <w:t>Laboratorijska ispitivanja</w:t>
            </w:r>
          </w:p>
        </w:tc>
        <w:tc>
          <w:tcPr>
            <w:tcW w:w="1418" w:type="dxa"/>
          </w:tcPr>
          <w:p w:rsidR="006E363B" w:rsidRPr="006E363B" w:rsidRDefault="006E363B" w:rsidP="006E363B">
            <w:pPr>
              <w:widowControl w:val="0"/>
              <w:rPr>
                <w:b/>
                <w:bCs/>
                <w:sz w:val="22"/>
                <w:szCs w:val="22"/>
                <w:lang w:val="es-ES"/>
              </w:rPr>
            </w:pPr>
          </w:p>
        </w:tc>
        <w:tc>
          <w:tcPr>
            <w:tcW w:w="1378" w:type="dxa"/>
          </w:tcPr>
          <w:p w:rsidR="006E363B" w:rsidRPr="006E363B" w:rsidRDefault="006E363B" w:rsidP="006E363B">
            <w:pPr>
              <w:widowControl w:val="0"/>
              <w:rPr>
                <w:sz w:val="22"/>
                <w:szCs w:val="22"/>
              </w:rPr>
            </w:pPr>
          </w:p>
        </w:tc>
        <w:tc>
          <w:tcPr>
            <w:tcW w:w="1241" w:type="dxa"/>
          </w:tcPr>
          <w:p w:rsidR="006E363B" w:rsidRPr="006E363B" w:rsidRDefault="006E363B" w:rsidP="006E363B">
            <w:pPr>
              <w:widowControl w:val="0"/>
              <w:rPr>
                <w:b/>
                <w:bCs/>
                <w:sz w:val="22"/>
                <w:szCs w:val="22"/>
              </w:rPr>
            </w:pPr>
          </w:p>
        </w:tc>
        <w:tc>
          <w:tcPr>
            <w:tcW w:w="1279" w:type="dxa"/>
          </w:tcPr>
          <w:p w:rsidR="006E363B" w:rsidRPr="006E363B" w:rsidRDefault="006E363B" w:rsidP="006E363B">
            <w:pPr>
              <w:widowControl w:val="0"/>
              <w:rPr>
                <w:b/>
                <w:bCs/>
                <w:sz w:val="22"/>
                <w:szCs w:val="22"/>
              </w:rPr>
            </w:pPr>
          </w:p>
        </w:tc>
        <w:tc>
          <w:tcPr>
            <w:tcW w:w="2441" w:type="dxa"/>
          </w:tcPr>
          <w:p w:rsidR="006E363B" w:rsidRPr="006E363B" w:rsidRDefault="006E363B" w:rsidP="006E363B">
            <w:pPr>
              <w:widowControl w:val="0"/>
              <w:rPr>
                <w:bCs/>
                <w:sz w:val="22"/>
                <w:szCs w:val="22"/>
                <w:lang w:val="es-ES"/>
              </w:rPr>
            </w:pPr>
            <w:r w:rsidRPr="006E363B">
              <w:rPr>
                <w:bCs/>
                <w:sz w:val="22"/>
                <w:szCs w:val="22"/>
                <w:lang w:val="es-ES"/>
              </w:rPr>
              <w:t>Povećanje vrijednosti kreatin kinaze</w:t>
            </w:r>
          </w:p>
        </w:tc>
      </w:tr>
    </w:tbl>
    <w:p w:rsidR="0072020E" w:rsidRPr="00786071" w:rsidRDefault="0072020E" w:rsidP="006E363B">
      <w:pPr>
        <w:tabs>
          <w:tab w:val="left" w:pos="540"/>
          <w:tab w:val="left" w:pos="569"/>
        </w:tabs>
        <w:jc w:val="both"/>
        <w:rPr>
          <w:bCs/>
          <w:sz w:val="22"/>
          <w:szCs w:val="22"/>
        </w:rPr>
      </w:pPr>
    </w:p>
    <w:p w:rsidR="006E363B" w:rsidRPr="006E363B" w:rsidRDefault="006E363B" w:rsidP="006E363B">
      <w:pPr>
        <w:autoSpaceDE w:val="0"/>
        <w:autoSpaceDN w:val="0"/>
        <w:adjustRightInd w:val="0"/>
        <w:jc w:val="both"/>
        <w:rPr>
          <w:sz w:val="18"/>
          <w:szCs w:val="18"/>
          <w:lang w:val="it-IT"/>
        </w:rPr>
      </w:pPr>
      <w:r w:rsidRPr="006E363B">
        <w:rPr>
          <w:sz w:val="18"/>
          <w:szCs w:val="18"/>
          <w:vertAlign w:val="superscript"/>
          <w:lang w:val="it-IT"/>
        </w:rPr>
        <w:t xml:space="preserve">1 </w:t>
      </w:r>
      <w:r w:rsidRPr="006E363B">
        <w:rPr>
          <w:sz w:val="18"/>
          <w:szCs w:val="18"/>
          <w:lang w:val="it-IT"/>
        </w:rPr>
        <w:t>U kliničkim ispitivanjima ta su neželjena dejstva bila statistički značajno učestalija tokom liječenja mirtazapinom nego uz placebo.</w:t>
      </w:r>
    </w:p>
    <w:p w:rsidR="006E363B" w:rsidRPr="006E363B" w:rsidRDefault="006E363B" w:rsidP="006E363B">
      <w:pPr>
        <w:autoSpaceDE w:val="0"/>
        <w:autoSpaceDN w:val="0"/>
        <w:adjustRightInd w:val="0"/>
        <w:jc w:val="both"/>
        <w:rPr>
          <w:sz w:val="18"/>
          <w:szCs w:val="18"/>
          <w:lang w:val="it-IT"/>
        </w:rPr>
      </w:pPr>
      <w:r w:rsidRPr="006E363B">
        <w:rPr>
          <w:sz w:val="18"/>
          <w:szCs w:val="18"/>
          <w:vertAlign w:val="superscript"/>
          <w:lang w:val="it-IT"/>
        </w:rPr>
        <w:t xml:space="preserve">2 </w:t>
      </w:r>
      <w:r w:rsidRPr="006E363B">
        <w:rPr>
          <w:sz w:val="18"/>
          <w:szCs w:val="18"/>
          <w:lang w:val="it-IT"/>
        </w:rPr>
        <w:t>U kliničkim ispitivanjima ta su neželjena dejstva bila učestalija tokom primjene placeba nego tokom liječenja mirtazapinom, ali ne i statistički značajno učestalija.</w:t>
      </w:r>
    </w:p>
    <w:p w:rsidR="006E363B" w:rsidRPr="006E363B" w:rsidRDefault="006E363B" w:rsidP="006E363B">
      <w:pPr>
        <w:autoSpaceDE w:val="0"/>
        <w:autoSpaceDN w:val="0"/>
        <w:adjustRightInd w:val="0"/>
        <w:jc w:val="both"/>
        <w:rPr>
          <w:sz w:val="18"/>
          <w:szCs w:val="18"/>
          <w:lang w:val="it-IT"/>
        </w:rPr>
      </w:pPr>
      <w:r w:rsidRPr="006E363B">
        <w:rPr>
          <w:sz w:val="18"/>
          <w:szCs w:val="18"/>
          <w:vertAlign w:val="superscript"/>
          <w:lang w:val="it-IT"/>
        </w:rPr>
        <w:t xml:space="preserve">3 </w:t>
      </w:r>
      <w:r w:rsidRPr="006E363B">
        <w:rPr>
          <w:sz w:val="18"/>
          <w:szCs w:val="18"/>
          <w:lang w:val="it-IT"/>
        </w:rPr>
        <w:t>U kliničkim ispitivanjima ta su neželjena dejstva bila statistički značajno učestalija tokom liječenja placebom nego mirtazapinom.</w:t>
      </w:r>
    </w:p>
    <w:p w:rsidR="006E363B" w:rsidRPr="006E363B" w:rsidRDefault="006E363B" w:rsidP="006E363B">
      <w:pPr>
        <w:autoSpaceDE w:val="0"/>
        <w:autoSpaceDN w:val="0"/>
        <w:adjustRightInd w:val="0"/>
        <w:jc w:val="both"/>
        <w:rPr>
          <w:sz w:val="18"/>
          <w:szCs w:val="18"/>
          <w:lang w:val="it-IT"/>
        </w:rPr>
      </w:pPr>
      <w:r w:rsidRPr="006E363B">
        <w:rPr>
          <w:sz w:val="18"/>
          <w:szCs w:val="18"/>
          <w:vertAlign w:val="superscript"/>
          <w:lang w:val="it-IT"/>
        </w:rPr>
        <w:t xml:space="preserve">4 </w:t>
      </w:r>
      <w:r w:rsidRPr="006E363B">
        <w:rPr>
          <w:sz w:val="18"/>
          <w:szCs w:val="18"/>
          <w:lang w:val="it-IT"/>
        </w:rPr>
        <w:t>Smanjenje doze generalno ne dovodi do smanjenja somnolencije/sedacije ali može ugroziti antidepresivni efekat.</w:t>
      </w:r>
    </w:p>
    <w:p w:rsidR="006E363B" w:rsidRPr="006E363B" w:rsidRDefault="006E363B" w:rsidP="006E363B">
      <w:pPr>
        <w:autoSpaceDE w:val="0"/>
        <w:autoSpaceDN w:val="0"/>
        <w:adjustRightInd w:val="0"/>
        <w:jc w:val="both"/>
        <w:rPr>
          <w:sz w:val="18"/>
          <w:szCs w:val="18"/>
          <w:lang w:val="it-IT"/>
        </w:rPr>
      </w:pPr>
      <w:r w:rsidRPr="006E363B">
        <w:rPr>
          <w:sz w:val="18"/>
          <w:szCs w:val="18"/>
          <w:vertAlign w:val="superscript"/>
          <w:lang w:val="it-IT"/>
        </w:rPr>
        <w:t xml:space="preserve">5 </w:t>
      </w:r>
      <w:r w:rsidRPr="006E363B">
        <w:rPr>
          <w:sz w:val="18"/>
          <w:szCs w:val="18"/>
          <w:lang w:val="it-IT"/>
        </w:rPr>
        <w:t>Generalno, nakon liječenja antidepresivima, mogu se razviti, ili postati teži, nemir i nesanica (koji mogu biti simptomi depresije). Tokom liječenja mirtazapinom, zabilježen je razvoj, ili pogoršanje nemira i nesanice.</w:t>
      </w:r>
    </w:p>
    <w:p w:rsidR="006E363B" w:rsidRPr="006E363B" w:rsidRDefault="006E363B" w:rsidP="006E363B">
      <w:pPr>
        <w:autoSpaceDE w:val="0"/>
        <w:autoSpaceDN w:val="0"/>
        <w:adjustRightInd w:val="0"/>
        <w:jc w:val="both"/>
        <w:rPr>
          <w:sz w:val="18"/>
          <w:szCs w:val="18"/>
          <w:lang w:val="it-IT"/>
        </w:rPr>
      </w:pPr>
      <w:r w:rsidRPr="006E363B">
        <w:rPr>
          <w:sz w:val="18"/>
          <w:szCs w:val="18"/>
          <w:vertAlign w:val="superscript"/>
          <w:lang w:val="it-IT"/>
        </w:rPr>
        <w:t xml:space="preserve">6 </w:t>
      </w:r>
      <w:r w:rsidRPr="006E363B">
        <w:rPr>
          <w:sz w:val="18"/>
          <w:szCs w:val="18"/>
          <w:lang w:val="it-IT"/>
        </w:rPr>
        <w:t>Zabilježeni su slučajevi suicidalnih misli i suicidalnog ponašanja tokom liječenja mirtazapinom, ili brzo poslije prekida liječenja (vidjeti dio 4.4).</w:t>
      </w:r>
    </w:p>
    <w:p w:rsidR="0072020E" w:rsidRPr="00786071" w:rsidRDefault="006E363B" w:rsidP="006E363B">
      <w:pPr>
        <w:tabs>
          <w:tab w:val="left" w:pos="540"/>
          <w:tab w:val="left" w:pos="569"/>
        </w:tabs>
        <w:rPr>
          <w:b/>
          <w:bCs/>
          <w:sz w:val="22"/>
          <w:szCs w:val="22"/>
        </w:rPr>
      </w:pPr>
      <w:r w:rsidRPr="006E363B">
        <w:rPr>
          <w:sz w:val="18"/>
          <w:szCs w:val="18"/>
          <w:vertAlign w:val="superscript"/>
          <w:lang w:val="it-IT"/>
        </w:rPr>
        <w:t>7</w:t>
      </w:r>
      <w:r w:rsidRPr="006E363B">
        <w:rPr>
          <w:sz w:val="18"/>
          <w:szCs w:val="18"/>
          <w:lang w:val="it-IT"/>
        </w:rPr>
        <w:t>U većini slučajeva pacijenti su se oporavili nakon prestanka uzimanja lijeka</w:t>
      </w:r>
    </w:p>
    <w:p w:rsidR="004E70AD" w:rsidRDefault="004E70AD" w:rsidP="00480FB1">
      <w:pPr>
        <w:tabs>
          <w:tab w:val="left" w:pos="540"/>
          <w:tab w:val="left" w:pos="569"/>
        </w:tabs>
        <w:rPr>
          <w:b/>
          <w:bCs/>
          <w:sz w:val="22"/>
          <w:szCs w:val="22"/>
        </w:rPr>
      </w:pPr>
    </w:p>
    <w:p w:rsidR="006E363B" w:rsidRPr="006E363B" w:rsidRDefault="006E363B" w:rsidP="006E363B">
      <w:pPr>
        <w:tabs>
          <w:tab w:val="left" w:pos="284"/>
          <w:tab w:val="center" w:pos="4320"/>
          <w:tab w:val="right" w:pos="8640"/>
        </w:tabs>
        <w:jc w:val="both"/>
        <w:rPr>
          <w:bCs/>
          <w:sz w:val="22"/>
          <w:szCs w:val="22"/>
          <w:lang w:val="pl-PL"/>
        </w:rPr>
      </w:pPr>
      <w:r w:rsidRPr="006E363B">
        <w:rPr>
          <w:bCs/>
          <w:sz w:val="22"/>
          <w:szCs w:val="22"/>
          <w:lang w:val="pl-PL"/>
        </w:rPr>
        <w:t xml:space="preserve">U laboratorijskim analizama tokom kliničkih studija uočeno je prolazno povećanje transaminaza i gamaglutamil transferaze (ipak, pridružena neželjena dejstva nijesu prijavljivana statistički značajno češće sa mirtazapinom u odnosu na palcebo). </w:t>
      </w:r>
    </w:p>
    <w:p w:rsidR="006E363B" w:rsidRPr="006E363B" w:rsidRDefault="006E363B" w:rsidP="006E363B">
      <w:pPr>
        <w:tabs>
          <w:tab w:val="left" w:pos="284"/>
          <w:tab w:val="center" w:pos="4320"/>
          <w:tab w:val="right" w:pos="8640"/>
        </w:tabs>
        <w:jc w:val="both"/>
        <w:rPr>
          <w:bCs/>
          <w:sz w:val="22"/>
          <w:szCs w:val="22"/>
          <w:lang w:val="pl-PL"/>
        </w:rPr>
      </w:pPr>
    </w:p>
    <w:p w:rsidR="006E363B" w:rsidRPr="006E363B" w:rsidRDefault="006E363B" w:rsidP="006E363B">
      <w:pPr>
        <w:jc w:val="both"/>
        <w:rPr>
          <w:bCs/>
          <w:sz w:val="22"/>
          <w:szCs w:val="22"/>
          <w:u w:val="single"/>
          <w:lang w:val="hr-HR" w:eastAsia="hr-HR"/>
        </w:rPr>
      </w:pPr>
      <w:r w:rsidRPr="006E363B">
        <w:rPr>
          <w:bCs/>
          <w:sz w:val="22"/>
          <w:szCs w:val="22"/>
          <w:u w:val="single"/>
          <w:lang w:val="hr-HR" w:eastAsia="hr-HR"/>
        </w:rPr>
        <w:t>Pedijatrijska populacija</w:t>
      </w:r>
    </w:p>
    <w:p w:rsidR="006E363B" w:rsidRDefault="006E363B" w:rsidP="00343C3B">
      <w:pPr>
        <w:jc w:val="both"/>
        <w:rPr>
          <w:bCs/>
          <w:sz w:val="22"/>
          <w:szCs w:val="22"/>
          <w:lang w:val="hr-HR" w:eastAsia="hr-HR"/>
        </w:rPr>
      </w:pPr>
      <w:r w:rsidRPr="006E363B">
        <w:rPr>
          <w:bCs/>
          <w:sz w:val="22"/>
          <w:szCs w:val="22"/>
          <w:lang w:val="hr-HR" w:eastAsia="hr-HR"/>
        </w:rPr>
        <w:t>Sljedeća neželjena dejstva  su često zabilježena u kliničkim ispitivanjima kod djece: porast tjelesne mase, urtikarija i hipertrigliceridemija (takođe vidjeti dio 5.1.).</w:t>
      </w:r>
    </w:p>
    <w:p w:rsidR="00343C3B" w:rsidRPr="00343C3B" w:rsidRDefault="00343C3B" w:rsidP="00343C3B">
      <w:pPr>
        <w:jc w:val="both"/>
        <w:rPr>
          <w:bCs/>
          <w:sz w:val="22"/>
          <w:szCs w:val="22"/>
          <w:lang w:val="hr-HR" w:eastAsia="hr-HR"/>
        </w:rPr>
      </w:pPr>
    </w:p>
    <w:p w:rsidR="005A23D2" w:rsidRPr="00786071" w:rsidRDefault="005A23D2" w:rsidP="00A46C9A">
      <w:pPr>
        <w:spacing w:after="200" w:line="276" w:lineRule="auto"/>
        <w:rPr>
          <w:rFonts w:eastAsia="Calibri"/>
          <w:sz w:val="22"/>
          <w:szCs w:val="22"/>
          <w:u w:val="single"/>
          <w:lang w:val="sr-Latn-RS"/>
        </w:rPr>
      </w:pPr>
      <w:r w:rsidRPr="00786071">
        <w:rPr>
          <w:rFonts w:eastAsia="Calibri"/>
          <w:sz w:val="22"/>
          <w:szCs w:val="22"/>
          <w:u w:val="single"/>
          <w:lang w:val="sr-Latn-RS"/>
        </w:rPr>
        <w:t>Prijavljivanje sumnji na neželjena dejstva</w:t>
      </w:r>
    </w:p>
    <w:p w:rsidR="005A23D2" w:rsidRPr="00786071" w:rsidRDefault="005A23D2" w:rsidP="00A46C9A">
      <w:pPr>
        <w:spacing w:after="200"/>
        <w:jc w:val="both"/>
        <w:rPr>
          <w:rFonts w:eastAsia="Calibri"/>
          <w:sz w:val="22"/>
          <w:szCs w:val="22"/>
          <w:lang w:val="sr-Latn-RS"/>
        </w:rPr>
      </w:pPr>
      <w:r w:rsidRPr="00786071">
        <w:rPr>
          <w:rFonts w:eastAsia="Calibri"/>
          <w:sz w:val="22"/>
          <w:szCs w:val="22"/>
          <w:lang w:val="sr-Latn-RS"/>
        </w:rPr>
        <w:t>Prijavljivanje neželjenih dejstava nakon dobijanja dozvole je od velikog značaja jer obezbjeđuje kont</w:t>
      </w:r>
      <w:r w:rsidR="00EA5765" w:rsidRPr="00786071">
        <w:rPr>
          <w:rFonts w:eastAsia="Calibri"/>
          <w:sz w:val="22"/>
          <w:szCs w:val="22"/>
          <w:lang w:val="sr-Latn-RS"/>
        </w:rPr>
        <w:t>inuirano praćenje odnosa korist</w:t>
      </w:r>
      <w:r w:rsidRPr="00786071">
        <w:rPr>
          <w:rFonts w:eastAsia="Calibri"/>
          <w:sz w:val="22"/>
          <w:szCs w:val="22"/>
          <w:lang w:val="sr-Latn-RS"/>
        </w:rPr>
        <w:t>/rizik primjene lijeka. Zdravstveni radnici treba da prijave svaku sumnju na neželjeno</w:t>
      </w:r>
      <w:r w:rsidR="009B062A" w:rsidRPr="00786071">
        <w:rPr>
          <w:rFonts w:eastAsia="Calibri"/>
          <w:sz w:val="22"/>
          <w:szCs w:val="22"/>
          <w:lang w:val="sr-Latn-RS"/>
        </w:rPr>
        <w:t xml:space="preserve"> </w:t>
      </w:r>
      <w:r w:rsidRPr="00786071">
        <w:rPr>
          <w:rFonts w:eastAsia="Calibri"/>
          <w:sz w:val="22"/>
          <w:szCs w:val="22"/>
          <w:lang w:val="sr-Latn-RS"/>
        </w:rPr>
        <w:t xml:space="preserve">dejstvo ovog lijeka </w:t>
      </w:r>
      <w:r w:rsidR="004E70AD">
        <w:rPr>
          <w:rFonts w:eastAsia="Calibri"/>
          <w:sz w:val="22"/>
          <w:szCs w:val="22"/>
          <w:lang w:val="sr-Latn-RS"/>
        </w:rPr>
        <w:t>Institutu</w:t>
      </w:r>
      <w:r w:rsidRPr="00786071">
        <w:rPr>
          <w:rFonts w:eastAsia="Calibri"/>
          <w:sz w:val="22"/>
          <w:szCs w:val="22"/>
          <w:lang w:val="sr-Latn-RS"/>
        </w:rPr>
        <w:t xml:space="preserve"> za ljekove i medicinska sredstva</w:t>
      </w:r>
      <w:r w:rsidR="004E70AD">
        <w:rPr>
          <w:rFonts w:eastAsia="Calibri"/>
          <w:sz w:val="22"/>
          <w:szCs w:val="22"/>
          <w:lang w:val="sr-Latn-RS"/>
        </w:rPr>
        <w:t xml:space="preserve"> </w:t>
      </w:r>
      <w:r w:rsidRPr="00786071">
        <w:rPr>
          <w:rFonts w:eastAsia="Calibri"/>
          <w:sz w:val="22"/>
          <w:szCs w:val="22"/>
          <w:lang w:val="sr-Latn-RS"/>
        </w:rPr>
        <w:t>(</w:t>
      </w:r>
      <w:r w:rsidR="004E70AD" w:rsidRPr="00786071">
        <w:rPr>
          <w:rFonts w:eastAsia="Calibri"/>
          <w:sz w:val="22"/>
          <w:szCs w:val="22"/>
          <w:lang w:val="sr-Latn-RS"/>
        </w:rPr>
        <w:t>C</w:t>
      </w:r>
      <w:r w:rsidR="004E70AD">
        <w:rPr>
          <w:rFonts w:eastAsia="Calibri"/>
          <w:sz w:val="22"/>
          <w:szCs w:val="22"/>
          <w:lang w:val="sr-Latn-RS"/>
        </w:rPr>
        <w:t>InMED</w:t>
      </w:r>
      <w:r w:rsidRPr="00786071">
        <w:rPr>
          <w:rFonts w:eastAsia="Calibri"/>
          <w:sz w:val="22"/>
          <w:szCs w:val="22"/>
          <w:lang w:val="sr-Latn-RS"/>
        </w:rPr>
        <w:t>):</w:t>
      </w:r>
    </w:p>
    <w:p w:rsidR="005A23D2" w:rsidRPr="00786071" w:rsidRDefault="004E70AD" w:rsidP="00A46C9A">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w:t>
      </w:r>
      <w:r w:rsidR="005A23D2" w:rsidRPr="00786071">
        <w:rPr>
          <w:rFonts w:eastAsia="Calibri"/>
          <w:sz w:val="22"/>
          <w:szCs w:val="22"/>
          <w:lang w:val="sr-Latn-RS"/>
        </w:rPr>
        <w:t xml:space="preserve">za ljekove i medicinska sredstva </w:t>
      </w:r>
    </w:p>
    <w:p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Odjeljenje za farmakovigilancu</w:t>
      </w:r>
    </w:p>
    <w:p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rsidR="00EA5765" w:rsidRPr="00786071" w:rsidRDefault="00EA5765" w:rsidP="00A46C9A">
      <w:pPr>
        <w:pStyle w:val="NoSpacing"/>
        <w:rPr>
          <w:rFonts w:eastAsia="Calibri"/>
          <w:sz w:val="22"/>
          <w:szCs w:val="22"/>
          <w:lang w:val="sr-Latn-RS"/>
        </w:rPr>
      </w:pPr>
    </w:p>
    <w:p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t>tel: +382 (0) 20 310 280</w:t>
      </w:r>
    </w:p>
    <w:p w:rsidR="00EA5765" w:rsidRPr="00786071" w:rsidRDefault="005A23D2" w:rsidP="00A46C9A">
      <w:pPr>
        <w:pStyle w:val="NoSpacing"/>
        <w:jc w:val="both"/>
        <w:rPr>
          <w:rFonts w:eastAsia="Calibri"/>
          <w:sz w:val="22"/>
          <w:szCs w:val="22"/>
          <w:lang w:val="sr-Latn-RS"/>
        </w:rPr>
      </w:pPr>
      <w:r w:rsidRPr="00786071">
        <w:rPr>
          <w:rFonts w:eastAsia="Calibri"/>
          <w:sz w:val="22"/>
          <w:szCs w:val="22"/>
          <w:lang w:val="sr-Latn-RS"/>
        </w:rPr>
        <w:t>fax:</w:t>
      </w:r>
      <w:r w:rsidR="00EA5765" w:rsidRPr="00786071">
        <w:rPr>
          <w:rFonts w:eastAsia="Calibri"/>
          <w:sz w:val="22"/>
          <w:szCs w:val="22"/>
          <w:lang w:val="sr-Latn-RS"/>
        </w:rPr>
        <w:t xml:space="preserve"> </w:t>
      </w:r>
      <w:r w:rsidRPr="00786071">
        <w:rPr>
          <w:rFonts w:eastAsia="Calibri"/>
          <w:sz w:val="22"/>
          <w:szCs w:val="22"/>
          <w:lang w:val="sr-Latn-RS"/>
        </w:rPr>
        <w:t>+382 (0) 20 310 581</w:t>
      </w:r>
    </w:p>
    <w:p w:rsidR="005A23D2" w:rsidRPr="00786071" w:rsidRDefault="00F855C9" w:rsidP="00A46C9A">
      <w:pPr>
        <w:pStyle w:val="NoSpacing"/>
        <w:jc w:val="both"/>
        <w:rPr>
          <w:rFonts w:eastAsia="Calibri"/>
          <w:sz w:val="22"/>
          <w:szCs w:val="22"/>
          <w:lang w:val="sr-Latn-RS"/>
        </w:rPr>
      </w:pPr>
      <w:hyperlink r:id="rId8" w:history="1">
        <w:r w:rsidR="004E70AD" w:rsidRPr="00B664A0">
          <w:rPr>
            <w:rStyle w:val="Hyperlink"/>
            <w:rFonts w:eastAsia="Calibri"/>
            <w:sz w:val="22"/>
            <w:szCs w:val="22"/>
            <w:lang w:val="sr-Latn-RS"/>
          </w:rPr>
          <w:t>www.cinmed.me</w:t>
        </w:r>
      </w:hyperlink>
    </w:p>
    <w:p w:rsidR="00EA5765" w:rsidRPr="00786071" w:rsidRDefault="00F855C9" w:rsidP="00A46C9A">
      <w:pPr>
        <w:pStyle w:val="NoSpacing"/>
        <w:jc w:val="both"/>
        <w:rPr>
          <w:rFonts w:eastAsia="Calibri"/>
          <w:color w:val="0000FF"/>
          <w:sz w:val="22"/>
          <w:szCs w:val="22"/>
          <w:u w:val="single"/>
          <w:lang w:val="sr-Latn-RS"/>
        </w:rPr>
      </w:pPr>
      <w:hyperlink r:id="rId9" w:history="1">
        <w:r w:rsidR="004E70AD" w:rsidRPr="00B664A0">
          <w:rPr>
            <w:rStyle w:val="Hyperlink"/>
            <w:rFonts w:eastAsia="Calibri"/>
            <w:sz w:val="22"/>
            <w:szCs w:val="22"/>
            <w:lang w:val="sr-Latn-RS"/>
          </w:rPr>
          <w:t>nezeljenadejstva@cinmed.me</w:t>
        </w:r>
      </w:hyperlink>
    </w:p>
    <w:p w:rsidR="005A23D2" w:rsidRPr="00786071" w:rsidRDefault="005A23D2" w:rsidP="00A46C9A">
      <w:pPr>
        <w:pStyle w:val="NoSpacing"/>
        <w:jc w:val="both"/>
        <w:rPr>
          <w:rFonts w:eastAsia="Calibri"/>
          <w:sz w:val="22"/>
          <w:szCs w:val="22"/>
          <w:lang w:val="sr-Latn-RS"/>
        </w:rPr>
      </w:pPr>
      <w:r w:rsidRPr="00786071">
        <w:rPr>
          <w:rFonts w:eastAsia="Calibri"/>
          <w:sz w:val="22"/>
          <w:szCs w:val="22"/>
          <w:lang w:val="sr-Latn-RS"/>
        </w:rPr>
        <w:lastRenderedPageBreak/>
        <w:t>putem IS zdravstvene zaštite</w:t>
      </w:r>
    </w:p>
    <w:p w:rsidR="00836B35" w:rsidRPr="00786071" w:rsidRDefault="00836B35" w:rsidP="00480FB1">
      <w:pPr>
        <w:tabs>
          <w:tab w:val="left" w:pos="540"/>
          <w:tab w:val="left" w:pos="569"/>
        </w:tabs>
        <w:rPr>
          <w:b/>
          <w:bCs/>
          <w:sz w:val="22"/>
          <w:szCs w:val="22"/>
        </w:rPr>
      </w:pPr>
    </w:p>
    <w:p w:rsidR="00CD6F02" w:rsidRPr="00786071" w:rsidRDefault="0072020E" w:rsidP="00480FB1">
      <w:pPr>
        <w:tabs>
          <w:tab w:val="left" w:pos="540"/>
          <w:tab w:val="left" w:pos="569"/>
        </w:tabs>
        <w:rPr>
          <w:b/>
          <w:bCs/>
          <w:sz w:val="22"/>
          <w:szCs w:val="22"/>
        </w:rPr>
      </w:pPr>
      <w:r w:rsidRPr="00786071">
        <w:rPr>
          <w:b/>
          <w:bCs/>
          <w:sz w:val="22"/>
          <w:szCs w:val="22"/>
        </w:rPr>
        <w:t xml:space="preserve">4.9. </w:t>
      </w:r>
      <w:r w:rsidR="00480FB1" w:rsidRPr="00786071">
        <w:rPr>
          <w:b/>
          <w:bCs/>
          <w:sz w:val="22"/>
          <w:szCs w:val="22"/>
        </w:rPr>
        <w:tab/>
      </w:r>
      <w:r w:rsidRPr="00786071">
        <w:rPr>
          <w:b/>
          <w:bCs/>
          <w:sz w:val="22"/>
          <w:szCs w:val="22"/>
        </w:rPr>
        <w:t>Predoziranje</w:t>
      </w:r>
      <w:r w:rsidR="002846DB" w:rsidRPr="00786071">
        <w:rPr>
          <w:b/>
          <w:bCs/>
          <w:sz w:val="22"/>
          <w:szCs w:val="22"/>
        </w:rPr>
        <w:t xml:space="preserve"> </w:t>
      </w:r>
    </w:p>
    <w:p w:rsidR="00CD6F02" w:rsidRDefault="00CD6F02" w:rsidP="00480FB1">
      <w:pPr>
        <w:tabs>
          <w:tab w:val="left" w:pos="540"/>
          <w:tab w:val="left" w:pos="569"/>
        </w:tabs>
        <w:rPr>
          <w:b/>
          <w:bCs/>
          <w:sz w:val="22"/>
          <w:szCs w:val="22"/>
        </w:rPr>
      </w:pPr>
    </w:p>
    <w:p w:rsidR="006E363B" w:rsidRPr="006E363B" w:rsidRDefault="006E363B" w:rsidP="006E363B">
      <w:pPr>
        <w:autoSpaceDE w:val="0"/>
        <w:autoSpaceDN w:val="0"/>
        <w:adjustRightInd w:val="0"/>
        <w:jc w:val="both"/>
        <w:rPr>
          <w:sz w:val="22"/>
          <w:szCs w:val="22"/>
          <w:lang w:val="es-ES"/>
        </w:rPr>
      </w:pPr>
      <w:r w:rsidRPr="006E363B">
        <w:rPr>
          <w:sz w:val="22"/>
          <w:szCs w:val="22"/>
          <w:lang w:val="es-ES"/>
        </w:rPr>
        <w:t xml:space="preserve">Dosadašnje iskustvo koje se tiče predoziranja mirtazapinom pokazuje da su simptomi obično blagi. Zabilježeni su depresija centralnog nervnog sistema sa dezorijentacijom i produženom sedacijom, tahikardija kao i blaga hiper ili hipotenzija. Međutim, postoji mogućnost pojave mnogo ozbiljnijih ishoda (uključujući i fatalne) ukoliko je primjenjena doza mirtazapina mnogo veća od terapijske, posebno u kombinovanom predoziranju sa drugim ljekovima. U ovim slučajevima produženje QT intervala i </w:t>
      </w:r>
      <w:r w:rsidRPr="006E363B">
        <w:rPr>
          <w:i/>
          <w:sz w:val="22"/>
          <w:szCs w:val="22"/>
          <w:lang w:val="es-ES"/>
        </w:rPr>
        <w:t>torsade de pointes</w:t>
      </w:r>
      <w:r w:rsidRPr="006E363B">
        <w:rPr>
          <w:sz w:val="22"/>
          <w:szCs w:val="22"/>
          <w:lang w:val="es-ES"/>
        </w:rPr>
        <w:t xml:space="preserve"> su takođe prijavljivani.</w:t>
      </w:r>
    </w:p>
    <w:p w:rsidR="006E363B" w:rsidRPr="006E363B" w:rsidRDefault="006E363B" w:rsidP="006E363B">
      <w:pPr>
        <w:autoSpaceDE w:val="0"/>
        <w:autoSpaceDN w:val="0"/>
        <w:adjustRightInd w:val="0"/>
        <w:jc w:val="both"/>
        <w:rPr>
          <w:sz w:val="22"/>
          <w:szCs w:val="22"/>
          <w:lang w:val="es-ES"/>
        </w:rPr>
      </w:pPr>
    </w:p>
    <w:p w:rsidR="006E363B" w:rsidRPr="006E363B" w:rsidRDefault="006E363B" w:rsidP="006E363B">
      <w:pPr>
        <w:autoSpaceDE w:val="0"/>
        <w:autoSpaceDN w:val="0"/>
        <w:adjustRightInd w:val="0"/>
        <w:jc w:val="both"/>
        <w:rPr>
          <w:sz w:val="22"/>
          <w:szCs w:val="22"/>
          <w:lang w:val="es-ES"/>
        </w:rPr>
      </w:pPr>
      <w:r w:rsidRPr="006E363B">
        <w:rPr>
          <w:sz w:val="22"/>
          <w:szCs w:val="22"/>
          <w:lang w:val="es-ES"/>
        </w:rPr>
        <w:t xml:space="preserve">U slučaju predoziranja treba primijeniti odgovarajuću simptomatsku terapiju i terapiju za održavanje </w:t>
      </w:r>
      <w:r w:rsidR="00343C3B" w:rsidRPr="006E363B">
        <w:rPr>
          <w:sz w:val="22"/>
          <w:szCs w:val="22"/>
          <w:lang w:val="es-ES"/>
        </w:rPr>
        <w:t>životnih funkcija</w:t>
      </w:r>
      <w:r w:rsidRPr="006E363B">
        <w:rPr>
          <w:sz w:val="22"/>
          <w:szCs w:val="22"/>
          <w:lang w:val="es-ES"/>
        </w:rPr>
        <w:t>. Potrebno je praćenje EKG-a.</w:t>
      </w:r>
      <w:r w:rsidRPr="006E363B">
        <w:rPr>
          <w:sz w:val="20"/>
          <w:szCs w:val="20"/>
          <w:lang w:val="es-ES"/>
        </w:rPr>
        <w:t xml:space="preserve"> </w:t>
      </w:r>
      <w:r w:rsidR="00343C3B" w:rsidRPr="006E363B">
        <w:rPr>
          <w:sz w:val="20"/>
          <w:szCs w:val="20"/>
          <w:lang w:val="es-ES"/>
        </w:rPr>
        <w:t>T</w:t>
      </w:r>
      <w:r w:rsidR="00343C3B" w:rsidRPr="006E363B">
        <w:rPr>
          <w:sz w:val="22"/>
          <w:szCs w:val="22"/>
          <w:lang w:val="es-ES"/>
        </w:rPr>
        <w:t>akođe, treba</w:t>
      </w:r>
      <w:r w:rsidRPr="006E363B">
        <w:rPr>
          <w:sz w:val="22"/>
          <w:szCs w:val="22"/>
          <w:lang w:val="es-ES"/>
        </w:rPr>
        <w:t xml:space="preserve"> razmotriti primjenu aktivnog uglja ili ispiranje želuca.</w:t>
      </w:r>
    </w:p>
    <w:p w:rsidR="006E363B" w:rsidRPr="006E363B" w:rsidRDefault="006E363B" w:rsidP="006E363B">
      <w:pPr>
        <w:jc w:val="both"/>
        <w:rPr>
          <w:sz w:val="22"/>
          <w:szCs w:val="22"/>
          <w:lang w:val="hr-HR" w:eastAsia="hr-HR"/>
        </w:rPr>
      </w:pPr>
    </w:p>
    <w:p w:rsidR="006E363B" w:rsidRPr="006E363B" w:rsidRDefault="006E363B" w:rsidP="006E363B">
      <w:pPr>
        <w:jc w:val="both"/>
        <w:rPr>
          <w:sz w:val="22"/>
          <w:szCs w:val="22"/>
          <w:u w:val="single"/>
          <w:lang w:val="hr-HR" w:eastAsia="hr-HR"/>
        </w:rPr>
      </w:pPr>
      <w:r w:rsidRPr="006E363B">
        <w:rPr>
          <w:sz w:val="22"/>
          <w:szCs w:val="22"/>
          <w:u w:val="single"/>
          <w:lang w:val="hr-HR" w:eastAsia="hr-HR"/>
        </w:rPr>
        <w:t>Pedijatrijska populacija</w:t>
      </w:r>
    </w:p>
    <w:p w:rsidR="006E363B" w:rsidRPr="006E363B" w:rsidRDefault="006E363B" w:rsidP="006E363B">
      <w:pPr>
        <w:jc w:val="both"/>
        <w:rPr>
          <w:sz w:val="22"/>
          <w:szCs w:val="22"/>
          <w:lang w:val="hr-HR" w:eastAsia="hr-HR"/>
        </w:rPr>
      </w:pPr>
      <w:r w:rsidRPr="006E363B">
        <w:rPr>
          <w:sz w:val="22"/>
          <w:szCs w:val="22"/>
          <w:lang w:val="hr-HR" w:eastAsia="hr-HR"/>
        </w:rPr>
        <w:t>U slučaju predoziranja kod pedijatrijske populacije potrebno je primijeniti odgovarajuće mjere kao što su propisane za odrasle osobe.</w:t>
      </w:r>
    </w:p>
    <w:p w:rsidR="00227BDB" w:rsidRDefault="00227BDB" w:rsidP="00480FB1">
      <w:pPr>
        <w:tabs>
          <w:tab w:val="left" w:pos="540"/>
          <w:tab w:val="left" w:pos="569"/>
        </w:tabs>
        <w:rPr>
          <w:b/>
          <w:bCs/>
          <w:sz w:val="22"/>
          <w:szCs w:val="22"/>
        </w:rPr>
      </w:pPr>
    </w:p>
    <w:p w:rsidR="006E7380" w:rsidRPr="00786071" w:rsidRDefault="006E7380"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5. </w:t>
      </w:r>
      <w:r w:rsidR="00480FB1" w:rsidRPr="00786071">
        <w:rPr>
          <w:b/>
          <w:bCs/>
          <w:sz w:val="22"/>
          <w:szCs w:val="22"/>
        </w:rPr>
        <w:tab/>
      </w:r>
      <w:r w:rsidRPr="00786071">
        <w:rPr>
          <w:b/>
          <w:bCs/>
          <w:sz w:val="22"/>
          <w:szCs w:val="22"/>
        </w:rPr>
        <w:t>FARMAKOLOŠK</w:t>
      </w:r>
      <w:r w:rsidR="000D425A" w:rsidRPr="00786071">
        <w:rPr>
          <w:b/>
          <w:bCs/>
          <w:sz w:val="22"/>
          <w:szCs w:val="22"/>
        </w:rPr>
        <w:t>I</w:t>
      </w:r>
      <w:r w:rsidRPr="00786071">
        <w:rPr>
          <w:b/>
          <w:bCs/>
          <w:sz w:val="22"/>
          <w:szCs w:val="22"/>
        </w:rPr>
        <w:t xml:space="preserve"> PODACI</w:t>
      </w:r>
    </w:p>
    <w:p w:rsidR="0072020E" w:rsidRPr="00786071" w:rsidRDefault="0072020E"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5.1. </w:t>
      </w:r>
      <w:r w:rsidR="00480FB1" w:rsidRPr="00786071">
        <w:rPr>
          <w:b/>
          <w:bCs/>
          <w:sz w:val="22"/>
          <w:szCs w:val="22"/>
        </w:rPr>
        <w:tab/>
      </w:r>
      <w:r w:rsidRPr="00786071">
        <w:rPr>
          <w:b/>
          <w:bCs/>
          <w:sz w:val="22"/>
          <w:szCs w:val="22"/>
        </w:rPr>
        <w:t>Farmakodinamski podaci</w:t>
      </w:r>
      <w:r w:rsidR="003A7059" w:rsidRPr="00786071">
        <w:rPr>
          <w:b/>
          <w:bCs/>
          <w:sz w:val="22"/>
          <w:szCs w:val="22"/>
        </w:rPr>
        <w:t xml:space="preserve"> </w:t>
      </w:r>
    </w:p>
    <w:p w:rsidR="00F45F77" w:rsidRPr="00786071" w:rsidRDefault="00F45F77" w:rsidP="00480FB1">
      <w:pPr>
        <w:tabs>
          <w:tab w:val="left" w:pos="540"/>
          <w:tab w:val="left" w:pos="569"/>
        </w:tabs>
        <w:rPr>
          <w:b/>
          <w:bCs/>
          <w:sz w:val="22"/>
          <w:szCs w:val="22"/>
        </w:rPr>
      </w:pPr>
    </w:p>
    <w:p w:rsidR="0072020E" w:rsidRPr="00786071" w:rsidRDefault="0072020E" w:rsidP="00480FB1">
      <w:pPr>
        <w:tabs>
          <w:tab w:val="left" w:pos="540"/>
          <w:tab w:val="left" w:pos="569"/>
        </w:tabs>
        <w:rPr>
          <w:bCs/>
          <w:sz w:val="22"/>
          <w:szCs w:val="22"/>
        </w:rPr>
      </w:pPr>
      <w:r w:rsidRPr="00786071">
        <w:rPr>
          <w:bCs/>
          <w:sz w:val="22"/>
          <w:szCs w:val="22"/>
        </w:rPr>
        <w:t>Farmakoterapijska grupa:</w:t>
      </w:r>
      <w:r w:rsidR="006E363B" w:rsidRPr="006E363B">
        <w:rPr>
          <w:sz w:val="22"/>
          <w:szCs w:val="22"/>
        </w:rPr>
        <w:t xml:space="preserve"> Psihoanaleptici, </w:t>
      </w:r>
      <w:r w:rsidR="00343C3B" w:rsidRPr="006E363B">
        <w:rPr>
          <w:sz w:val="22"/>
          <w:szCs w:val="22"/>
        </w:rPr>
        <w:t>ostali antidepresivi</w:t>
      </w:r>
    </w:p>
    <w:p w:rsidR="0072020E" w:rsidRPr="00786071" w:rsidRDefault="0072020E" w:rsidP="00480FB1">
      <w:pPr>
        <w:tabs>
          <w:tab w:val="left" w:pos="540"/>
          <w:tab w:val="left" w:pos="569"/>
        </w:tabs>
        <w:rPr>
          <w:bCs/>
          <w:sz w:val="22"/>
          <w:szCs w:val="22"/>
        </w:rPr>
      </w:pPr>
    </w:p>
    <w:p w:rsidR="0072020E" w:rsidRDefault="0072020E" w:rsidP="00480FB1">
      <w:pPr>
        <w:tabs>
          <w:tab w:val="left" w:pos="540"/>
          <w:tab w:val="left" w:pos="569"/>
        </w:tabs>
        <w:rPr>
          <w:sz w:val="22"/>
          <w:szCs w:val="22"/>
          <w:lang w:val="it-IT"/>
        </w:rPr>
      </w:pPr>
      <w:r w:rsidRPr="00786071">
        <w:rPr>
          <w:bCs/>
          <w:sz w:val="22"/>
          <w:szCs w:val="22"/>
        </w:rPr>
        <w:t>ATC kod:</w:t>
      </w:r>
      <w:r w:rsidR="006E363B" w:rsidRPr="006E363B">
        <w:rPr>
          <w:sz w:val="22"/>
          <w:szCs w:val="22"/>
          <w:lang w:val="it-IT"/>
        </w:rPr>
        <w:t xml:space="preserve"> N06AX11</w:t>
      </w:r>
    </w:p>
    <w:p w:rsidR="006E363B" w:rsidRDefault="006E363B" w:rsidP="00480FB1">
      <w:pPr>
        <w:tabs>
          <w:tab w:val="left" w:pos="540"/>
          <w:tab w:val="left" w:pos="569"/>
        </w:tabs>
        <w:rPr>
          <w:sz w:val="22"/>
          <w:szCs w:val="22"/>
          <w:lang w:val="it-IT"/>
        </w:rPr>
      </w:pPr>
    </w:p>
    <w:p w:rsidR="006E363B" w:rsidRPr="006E363B" w:rsidRDefault="006E363B" w:rsidP="006E363B">
      <w:pPr>
        <w:jc w:val="both"/>
        <w:rPr>
          <w:sz w:val="22"/>
          <w:szCs w:val="22"/>
          <w:u w:val="single"/>
          <w:lang w:val="hr-HR" w:eastAsia="hr-HR"/>
        </w:rPr>
      </w:pPr>
      <w:r w:rsidRPr="006E363B">
        <w:rPr>
          <w:sz w:val="22"/>
          <w:szCs w:val="22"/>
          <w:u w:val="single"/>
          <w:lang w:val="hr-HR" w:eastAsia="hr-HR"/>
        </w:rPr>
        <w:t>Mehanizam djelovanja/farmakodinamski efekti</w:t>
      </w:r>
    </w:p>
    <w:p w:rsidR="006E363B" w:rsidRPr="006E363B" w:rsidRDefault="006E363B" w:rsidP="006E363B">
      <w:pPr>
        <w:autoSpaceDE w:val="0"/>
        <w:autoSpaceDN w:val="0"/>
        <w:adjustRightInd w:val="0"/>
        <w:jc w:val="both"/>
        <w:rPr>
          <w:sz w:val="22"/>
          <w:szCs w:val="22"/>
          <w:lang w:val="es-ES"/>
        </w:rPr>
      </w:pPr>
      <w:r w:rsidRPr="006E363B">
        <w:rPr>
          <w:sz w:val="22"/>
          <w:szCs w:val="22"/>
        </w:rPr>
        <w:t>Mirtazapin je centralno djelujući presinaptički antagonista α</w:t>
      </w:r>
      <w:r w:rsidRPr="006E363B">
        <w:rPr>
          <w:sz w:val="22"/>
          <w:szCs w:val="22"/>
          <w:vertAlign w:val="subscript"/>
        </w:rPr>
        <w:t>2</w:t>
      </w:r>
      <w:r w:rsidRPr="006E363B">
        <w:rPr>
          <w:sz w:val="22"/>
          <w:szCs w:val="22"/>
        </w:rPr>
        <w:t xml:space="preserve">-receptora, koji povećava centralnu noradrenergičku i serotoninergičku neurotransmisiju. </w:t>
      </w:r>
      <w:r w:rsidRPr="006E363B">
        <w:rPr>
          <w:sz w:val="22"/>
          <w:szCs w:val="22"/>
          <w:lang w:val="es-ES"/>
        </w:rPr>
        <w:t>Poboljšanje serotoninergičke neurotransmisije odvija se specifično preko 5-HT</w:t>
      </w:r>
      <w:r w:rsidRPr="006E363B">
        <w:rPr>
          <w:sz w:val="22"/>
          <w:szCs w:val="22"/>
          <w:vertAlign w:val="subscript"/>
          <w:lang w:val="es-ES"/>
        </w:rPr>
        <w:t>1</w:t>
      </w:r>
      <w:r w:rsidRPr="006E363B">
        <w:rPr>
          <w:sz w:val="22"/>
          <w:szCs w:val="22"/>
          <w:lang w:val="es-ES"/>
        </w:rPr>
        <w:t xml:space="preserve"> receptora, jer su 5-HT</w:t>
      </w:r>
      <w:r w:rsidRPr="006E363B">
        <w:rPr>
          <w:sz w:val="22"/>
          <w:szCs w:val="22"/>
          <w:vertAlign w:val="subscript"/>
          <w:lang w:val="es-ES"/>
        </w:rPr>
        <w:t>2</w:t>
      </w:r>
      <w:r w:rsidRPr="006E363B">
        <w:rPr>
          <w:sz w:val="22"/>
          <w:szCs w:val="22"/>
          <w:lang w:val="es-ES"/>
        </w:rPr>
        <w:t xml:space="preserve"> i 5-HT</w:t>
      </w:r>
      <w:r w:rsidRPr="006E363B">
        <w:rPr>
          <w:sz w:val="22"/>
          <w:szCs w:val="22"/>
          <w:vertAlign w:val="subscript"/>
          <w:lang w:val="es-ES"/>
        </w:rPr>
        <w:t>3</w:t>
      </w:r>
      <w:r w:rsidRPr="006E363B">
        <w:rPr>
          <w:sz w:val="22"/>
          <w:szCs w:val="22"/>
          <w:lang w:val="es-ES"/>
        </w:rPr>
        <w:t xml:space="preserve"> receptori blokirani mirtazapinom. Smatra se da oba enantiomera mirtazapina doprinose njegovom antidepresivnom dejstvu, S(+) enantiomer blokiranjem </w:t>
      </w:r>
      <w:r w:rsidRPr="006E363B">
        <w:rPr>
          <w:sz w:val="22"/>
          <w:szCs w:val="22"/>
        </w:rPr>
        <w:t>α</w:t>
      </w:r>
      <w:r w:rsidRPr="006E363B">
        <w:rPr>
          <w:sz w:val="22"/>
          <w:szCs w:val="22"/>
          <w:vertAlign w:val="subscript"/>
          <w:lang w:val="es-ES"/>
        </w:rPr>
        <w:t>2</w:t>
      </w:r>
      <w:r w:rsidRPr="006E363B">
        <w:rPr>
          <w:sz w:val="22"/>
          <w:szCs w:val="22"/>
          <w:lang w:val="es-ES"/>
        </w:rPr>
        <w:t>- i 5-HT</w:t>
      </w:r>
      <w:r w:rsidRPr="006E363B">
        <w:rPr>
          <w:sz w:val="22"/>
          <w:szCs w:val="22"/>
          <w:vertAlign w:val="subscript"/>
          <w:lang w:val="es-ES"/>
        </w:rPr>
        <w:t>2</w:t>
      </w:r>
      <w:r w:rsidRPr="006E363B">
        <w:rPr>
          <w:sz w:val="22"/>
          <w:szCs w:val="22"/>
          <w:lang w:val="es-ES"/>
        </w:rPr>
        <w:t xml:space="preserve"> receptora, a enantiomer R(-) blokiranjem 5-HT</w:t>
      </w:r>
      <w:r w:rsidRPr="006E363B">
        <w:rPr>
          <w:sz w:val="22"/>
          <w:szCs w:val="22"/>
          <w:vertAlign w:val="subscript"/>
          <w:lang w:val="es-ES"/>
        </w:rPr>
        <w:t>3</w:t>
      </w:r>
      <w:r w:rsidRPr="006E363B">
        <w:rPr>
          <w:sz w:val="22"/>
          <w:szCs w:val="22"/>
          <w:lang w:val="es-ES"/>
        </w:rPr>
        <w:t xml:space="preserve"> receptora.</w:t>
      </w:r>
    </w:p>
    <w:p w:rsidR="006E363B" w:rsidRPr="006E363B" w:rsidRDefault="006E363B" w:rsidP="006E363B">
      <w:pPr>
        <w:jc w:val="both"/>
        <w:rPr>
          <w:b/>
          <w:sz w:val="22"/>
          <w:szCs w:val="22"/>
          <w:lang w:val="hr-HR" w:eastAsia="hr-HR"/>
        </w:rPr>
      </w:pPr>
    </w:p>
    <w:p w:rsidR="006E363B" w:rsidRPr="006E363B" w:rsidRDefault="006E363B" w:rsidP="006E363B">
      <w:pPr>
        <w:jc w:val="both"/>
        <w:rPr>
          <w:sz w:val="22"/>
          <w:szCs w:val="22"/>
          <w:u w:val="single"/>
          <w:lang w:val="hr-HR" w:eastAsia="hr-HR"/>
        </w:rPr>
      </w:pPr>
      <w:r w:rsidRPr="006E363B">
        <w:rPr>
          <w:sz w:val="22"/>
          <w:szCs w:val="22"/>
          <w:u w:val="single"/>
          <w:lang w:val="hr-HR" w:eastAsia="hr-HR"/>
        </w:rPr>
        <w:t>Klinička efikasnost i bezbjednost</w:t>
      </w:r>
    </w:p>
    <w:p w:rsidR="006E363B" w:rsidRPr="006E363B" w:rsidRDefault="006E363B" w:rsidP="006E363B">
      <w:pPr>
        <w:autoSpaceDE w:val="0"/>
        <w:autoSpaceDN w:val="0"/>
        <w:adjustRightInd w:val="0"/>
        <w:jc w:val="both"/>
        <w:rPr>
          <w:sz w:val="22"/>
          <w:szCs w:val="22"/>
          <w:lang w:val="hr-HR"/>
        </w:rPr>
      </w:pPr>
      <w:r w:rsidRPr="006E363B">
        <w:rPr>
          <w:sz w:val="22"/>
          <w:szCs w:val="22"/>
          <w:lang w:val="hr-HR"/>
        </w:rPr>
        <w:t>Za sedativni efekat odgovorno je antagonističko dejstvo mirtazapina na histaminske  H</w:t>
      </w:r>
      <w:r w:rsidRPr="006E363B">
        <w:rPr>
          <w:sz w:val="22"/>
          <w:szCs w:val="22"/>
          <w:vertAlign w:val="subscript"/>
          <w:lang w:val="hr-HR"/>
        </w:rPr>
        <w:t>1</w:t>
      </w:r>
      <w:r w:rsidRPr="006E363B">
        <w:rPr>
          <w:sz w:val="22"/>
          <w:szCs w:val="22"/>
          <w:lang w:val="hr-HR"/>
        </w:rPr>
        <w:t xml:space="preserve">-receptore. </w:t>
      </w:r>
    </w:p>
    <w:p w:rsidR="006E363B" w:rsidRPr="006E363B" w:rsidRDefault="006E363B" w:rsidP="006E363B">
      <w:pPr>
        <w:autoSpaceDE w:val="0"/>
        <w:autoSpaceDN w:val="0"/>
        <w:adjustRightInd w:val="0"/>
        <w:jc w:val="both"/>
        <w:rPr>
          <w:sz w:val="22"/>
          <w:szCs w:val="22"/>
          <w:lang w:val="hr-HR"/>
        </w:rPr>
      </w:pPr>
      <w:r w:rsidRPr="006E363B">
        <w:rPr>
          <w:sz w:val="22"/>
          <w:szCs w:val="22"/>
          <w:lang w:val="hr-HR"/>
        </w:rPr>
        <w:t>Mirtazapin nema gotovo nikakav antiholinergički efekat, a u terapijskim dozama ima samo ograničeni efekat (npr.ortostatska hipotenzija) na kardiovaskularni sistem.</w:t>
      </w:r>
    </w:p>
    <w:p w:rsidR="006E363B" w:rsidRPr="006E363B" w:rsidRDefault="006E363B" w:rsidP="006E363B">
      <w:pPr>
        <w:autoSpaceDE w:val="0"/>
        <w:autoSpaceDN w:val="0"/>
        <w:adjustRightInd w:val="0"/>
        <w:jc w:val="both"/>
        <w:rPr>
          <w:sz w:val="22"/>
          <w:szCs w:val="22"/>
          <w:lang w:val="hr-HR"/>
        </w:rPr>
      </w:pPr>
    </w:p>
    <w:p w:rsidR="006E363B" w:rsidRPr="006E363B" w:rsidRDefault="006E363B" w:rsidP="006E363B">
      <w:pPr>
        <w:jc w:val="both"/>
        <w:rPr>
          <w:sz w:val="22"/>
          <w:szCs w:val="22"/>
          <w:lang w:val="es-ES"/>
        </w:rPr>
      </w:pPr>
      <w:r w:rsidRPr="006E363B">
        <w:rPr>
          <w:sz w:val="22"/>
          <w:szCs w:val="22"/>
          <w:lang w:val="hr-HR"/>
        </w:rPr>
        <w:t xml:space="preserve">Efekat mirtazapina na QTc interval ispitivan je primjenom uobičajene doze od 45 mg i supraterapijske doze od 75 mg u randomiziranoj, placebom i moksifloksacinom kontrolisanoj kliničkoj studiji, koja je uključivala 54 zdrava dobrovoljca. </w:t>
      </w:r>
      <w:r w:rsidRPr="006E363B">
        <w:rPr>
          <w:sz w:val="22"/>
          <w:szCs w:val="22"/>
          <w:lang w:val="es-ES"/>
        </w:rPr>
        <w:t>Linearno modelovanje e-maxa pokazalo je da je produženje QTc intervala ostalo ispod praga koji se smatra klinički značajnim (vidjeti dio 4.4.).</w:t>
      </w:r>
    </w:p>
    <w:p w:rsidR="006E363B" w:rsidRPr="006E363B" w:rsidRDefault="006E363B" w:rsidP="006E363B">
      <w:pPr>
        <w:jc w:val="both"/>
        <w:rPr>
          <w:b/>
          <w:sz w:val="22"/>
          <w:szCs w:val="22"/>
          <w:lang w:val="hr-HR"/>
        </w:rPr>
      </w:pPr>
    </w:p>
    <w:p w:rsidR="006E363B" w:rsidRPr="006E363B" w:rsidRDefault="006E363B" w:rsidP="006E363B">
      <w:pPr>
        <w:jc w:val="both"/>
        <w:rPr>
          <w:sz w:val="22"/>
          <w:szCs w:val="22"/>
          <w:u w:val="single"/>
          <w:lang w:val="hr-HR"/>
        </w:rPr>
      </w:pPr>
      <w:r w:rsidRPr="006E363B">
        <w:rPr>
          <w:sz w:val="22"/>
          <w:szCs w:val="22"/>
          <w:u w:val="single"/>
          <w:lang w:val="hr-HR"/>
        </w:rPr>
        <w:t>Pedijatrijska populacija</w:t>
      </w:r>
    </w:p>
    <w:p w:rsidR="006E363B" w:rsidRDefault="006E363B" w:rsidP="006E363B">
      <w:pPr>
        <w:tabs>
          <w:tab w:val="left" w:pos="540"/>
          <w:tab w:val="left" w:pos="569"/>
        </w:tabs>
        <w:jc w:val="both"/>
        <w:rPr>
          <w:sz w:val="22"/>
          <w:szCs w:val="22"/>
          <w:lang w:val="it-IT"/>
        </w:rPr>
      </w:pPr>
      <w:r w:rsidRPr="006E363B">
        <w:rPr>
          <w:sz w:val="22"/>
          <w:szCs w:val="22"/>
          <w:lang w:val="hr-HR"/>
        </w:rPr>
        <w:t>Dva randomizirana, dvostruko slijepa, placebom kontrolisana ispitivanja kod djece između 7 i 18 godina starosti koja boluju od teške depresije (n=259), primjenom fleksibilnog doziranja tokom prve 4 nedjelje (15 do 45 mg mirtazapina), nakon koje je slijedilo fiksno doziranje (15, 30 ili 45 mg mirtazapina) kroz iduće 4 nedjelje nijesu pokazala značajne razlike između mirtazapina i placeba u odnosu na primaran i sekundaran ishod liječenja. Značajan porast tjelesne mase (≥7%) zabilježen je u 48,8% ispitanika koji su primali mirtazapin prema 5,7% ispitanika koji su primali placebo. Takođe su često zabilježene i urtikarija (11,8% naspram 6,8%) i hipertrigliceridiemija (2,9% naspram 0%).</w:t>
      </w:r>
    </w:p>
    <w:p w:rsidR="006E363B" w:rsidRPr="00786071" w:rsidRDefault="006E363B" w:rsidP="00480FB1">
      <w:pPr>
        <w:tabs>
          <w:tab w:val="left" w:pos="540"/>
          <w:tab w:val="left" w:pos="569"/>
        </w:tabs>
        <w:rPr>
          <w:bCs/>
          <w:sz w:val="22"/>
          <w:szCs w:val="22"/>
        </w:rPr>
      </w:pPr>
    </w:p>
    <w:p w:rsidR="002E37A5" w:rsidRPr="00786071" w:rsidRDefault="002E37A5" w:rsidP="00480FB1">
      <w:pPr>
        <w:tabs>
          <w:tab w:val="left" w:pos="540"/>
          <w:tab w:val="left" w:pos="569"/>
        </w:tabs>
        <w:rPr>
          <w:b/>
          <w:bCs/>
          <w:sz w:val="22"/>
          <w:szCs w:val="22"/>
        </w:rPr>
      </w:pPr>
    </w:p>
    <w:p w:rsidR="00343C3B" w:rsidRDefault="00343C3B" w:rsidP="00480FB1">
      <w:pPr>
        <w:tabs>
          <w:tab w:val="left" w:pos="540"/>
          <w:tab w:val="left" w:pos="569"/>
        </w:tabs>
        <w:rPr>
          <w:b/>
          <w:bCs/>
          <w:sz w:val="22"/>
          <w:szCs w:val="22"/>
        </w:rPr>
      </w:pPr>
    </w:p>
    <w:p w:rsidR="00343C3B" w:rsidRDefault="00343C3B"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lastRenderedPageBreak/>
        <w:t xml:space="preserve">5.2. </w:t>
      </w:r>
      <w:r w:rsidR="00480FB1" w:rsidRPr="00786071">
        <w:rPr>
          <w:b/>
          <w:bCs/>
          <w:sz w:val="22"/>
          <w:szCs w:val="22"/>
        </w:rPr>
        <w:tab/>
      </w:r>
      <w:r w:rsidRPr="00786071">
        <w:rPr>
          <w:b/>
          <w:bCs/>
          <w:sz w:val="22"/>
          <w:szCs w:val="22"/>
        </w:rPr>
        <w:t>Farmakokinetički podaci</w:t>
      </w:r>
      <w:r w:rsidR="003A7059" w:rsidRPr="00786071">
        <w:rPr>
          <w:b/>
          <w:bCs/>
          <w:sz w:val="22"/>
          <w:szCs w:val="22"/>
        </w:rPr>
        <w:t xml:space="preserve"> </w:t>
      </w:r>
    </w:p>
    <w:p w:rsidR="0072020E" w:rsidRDefault="0072020E" w:rsidP="00480FB1">
      <w:pPr>
        <w:tabs>
          <w:tab w:val="left" w:pos="540"/>
          <w:tab w:val="left" w:pos="569"/>
        </w:tabs>
        <w:rPr>
          <w:bCs/>
          <w:sz w:val="22"/>
          <w:szCs w:val="22"/>
        </w:rPr>
      </w:pPr>
    </w:p>
    <w:p w:rsidR="006E363B" w:rsidRPr="006E363B" w:rsidRDefault="006E363B" w:rsidP="006E363B">
      <w:pPr>
        <w:tabs>
          <w:tab w:val="num" w:pos="1152"/>
        </w:tabs>
        <w:ind w:left="1152" w:hanging="1152"/>
        <w:jc w:val="both"/>
        <w:outlineLvl w:val="5"/>
        <w:rPr>
          <w:bCs/>
          <w:sz w:val="22"/>
          <w:szCs w:val="22"/>
          <w:u w:val="single"/>
          <w:lang w:val="en-AU"/>
        </w:rPr>
      </w:pPr>
      <w:r w:rsidRPr="006E363B">
        <w:rPr>
          <w:bCs/>
          <w:sz w:val="22"/>
          <w:szCs w:val="22"/>
          <w:u w:val="single"/>
          <w:lang w:val="en-AU"/>
        </w:rPr>
        <w:t xml:space="preserve">Resorpcija </w:t>
      </w:r>
    </w:p>
    <w:p w:rsidR="006E363B" w:rsidRPr="006E363B" w:rsidRDefault="006E363B" w:rsidP="006E363B">
      <w:pPr>
        <w:autoSpaceDE w:val="0"/>
        <w:autoSpaceDN w:val="0"/>
        <w:adjustRightInd w:val="0"/>
        <w:jc w:val="both"/>
        <w:rPr>
          <w:sz w:val="22"/>
          <w:szCs w:val="22"/>
          <w:lang w:val="hr-HR"/>
        </w:rPr>
      </w:pPr>
      <w:r w:rsidRPr="006E363B">
        <w:rPr>
          <w:sz w:val="22"/>
          <w:szCs w:val="22"/>
        </w:rPr>
        <w:t>Nakon oralne primjene mirtazapin se brzo i dobro resorbuje (bioraspoloživost je oko 50%), maksimalne koncentracije u plazmi postiže za oko 2 sata poslije primjene.</w:t>
      </w:r>
      <w:r w:rsidRPr="006E363B">
        <w:rPr>
          <w:szCs w:val="20"/>
          <w:lang w:val="hr-HR" w:eastAsia="hr-HR"/>
        </w:rPr>
        <w:t xml:space="preserve"> </w:t>
      </w:r>
      <w:r w:rsidRPr="006E363B">
        <w:rPr>
          <w:sz w:val="22"/>
          <w:szCs w:val="22"/>
          <w:lang w:val="hr-HR"/>
        </w:rPr>
        <w:t>Unos hrane nema nikakav efekat na farmakokinetiku mirtazapina.</w:t>
      </w:r>
    </w:p>
    <w:p w:rsidR="006E363B" w:rsidRPr="006E363B" w:rsidRDefault="006E363B" w:rsidP="006E363B">
      <w:pPr>
        <w:autoSpaceDE w:val="0"/>
        <w:autoSpaceDN w:val="0"/>
        <w:adjustRightInd w:val="0"/>
        <w:jc w:val="both"/>
        <w:rPr>
          <w:sz w:val="22"/>
          <w:szCs w:val="22"/>
          <w:lang w:val="es-ES"/>
        </w:rPr>
      </w:pPr>
    </w:p>
    <w:p w:rsidR="006E363B" w:rsidRPr="006E363B" w:rsidRDefault="006E363B" w:rsidP="006E363B">
      <w:pPr>
        <w:tabs>
          <w:tab w:val="num" w:pos="1152"/>
        </w:tabs>
        <w:ind w:left="1152" w:hanging="1152"/>
        <w:jc w:val="both"/>
        <w:outlineLvl w:val="5"/>
        <w:rPr>
          <w:bCs/>
          <w:sz w:val="22"/>
          <w:szCs w:val="22"/>
          <w:u w:val="single"/>
          <w:lang w:val="pl-PL"/>
        </w:rPr>
      </w:pPr>
      <w:r w:rsidRPr="006E363B">
        <w:rPr>
          <w:bCs/>
          <w:sz w:val="22"/>
          <w:szCs w:val="22"/>
          <w:u w:val="single"/>
          <w:lang w:val="pl-PL"/>
        </w:rPr>
        <w:t>Distribucija</w:t>
      </w:r>
    </w:p>
    <w:p w:rsidR="006E363B" w:rsidRPr="006E363B" w:rsidRDefault="006E363B" w:rsidP="006E363B">
      <w:pPr>
        <w:autoSpaceDE w:val="0"/>
        <w:autoSpaceDN w:val="0"/>
        <w:adjustRightInd w:val="0"/>
        <w:jc w:val="both"/>
        <w:rPr>
          <w:sz w:val="22"/>
          <w:szCs w:val="22"/>
          <w:lang w:val="es-ES"/>
        </w:rPr>
      </w:pPr>
      <w:r w:rsidRPr="006E363B">
        <w:rPr>
          <w:sz w:val="22"/>
          <w:szCs w:val="22"/>
          <w:lang w:val="es-ES"/>
        </w:rPr>
        <w:t>Oko 85% mirtazapina se vezuje za proteine plazme.</w:t>
      </w:r>
    </w:p>
    <w:p w:rsidR="006E363B" w:rsidRPr="006E363B" w:rsidRDefault="006E363B" w:rsidP="006E363B">
      <w:pPr>
        <w:autoSpaceDE w:val="0"/>
        <w:autoSpaceDN w:val="0"/>
        <w:adjustRightInd w:val="0"/>
        <w:jc w:val="both"/>
        <w:rPr>
          <w:b/>
          <w:sz w:val="22"/>
          <w:szCs w:val="22"/>
          <w:lang w:val="pl-PL"/>
        </w:rPr>
      </w:pPr>
    </w:p>
    <w:p w:rsidR="006E363B" w:rsidRPr="006E363B" w:rsidRDefault="006E363B" w:rsidP="006E363B">
      <w:pPr>
        <w:autoSpaceDE w:val="0"/>
        <w:autoSpaceDN w:val="0"/>
        <w:adjustRightInd w:val="0"/>
        <w:jc w:val="both"/>
        <w:rPr>
          <w:sz w:val="22"/>
          <w:szCs w:val="22"/>
          <w:u w:val="single"/>
          <w:lang w:val="pl-PL"/>
        </w:rPr>
      </w:pPr>
      <w:r w:rsidRPr="006E363B">
        <w:rPr>
          <w:sz w:val="22"/>
          <w:szCs w:val="22"/>
          <w:u w:val="single"/>
          <w:lang w:val="pl-PL"/>
        </w:rPr>
        <w:t xml:space="preserve">Metabolizam </w:t>
      </w:r>
    </w:p>
    <w:p w:rsidR="006E363B" w:rsidRPr="006E363B" w:rsidRDefault="006E363B" w:rsidP="006E363B">
      <w:pPr>
        <w:autoSpaceDE w:val="0"/>
        <w:autoSpaceDN w:val="0"/>
        <w:adjustRightInd w:val="0"/>
        <w:jc w:val="both"/>
        <w:rPr>
          <w:b/>
          <w:sz w:val="22"/>
          <w:szCs w:val="22"/>
          <w:lang w:val="pl-PL"/>
        </w:rPr>
      </w:pPr>
      <w:r w:rsidRPr="006E363B">
        <w:rPr>
          <w:sz w:val="22"/>
          <w:szCs w:val="22"/>
          <w:lang w:val="es-ES"/>
        </w:rPr>
        <w:t xml:space="preserve">Glavni putevi biotransformacije su demetilacija i oksidacija, poslije čega slijedi konjugacija. U </w:t>
      </w:r>
      <w:r w:rsidRPr="006E363B">
        <w:rPr>
          <w:i/>
          <w:sz w:val="22"/>
          <w:szCs w:val="22"/>
          <w:lang w:val="es-ES"/>
        </w:rPr>
        <w:t>in vitro</w:t>
      </w:r>
      <w:r w:rsidRPr="006E363B">
        <w:rPr>
          <w:sz w:val="22"/>
          <w:szCs w:val="22"/>
          <w:lang w:val="es-ES"/>
        </w:rPr>
        <w:t xml:space="preserve"> uslovima dokazano je da su u metabolizam mirtazapina uključeni mikrozomalni enzimi jetre ljudi citohrom P450 i to CYP2D6 i CYP1A2 koji učestvuju u formiranju 8-hidroksimetabolita mirtazapina gde se smatra da je enzim CYP3A4 odgovoran za formiranje N-demetil i N-oksid metabolita. Demetilirani metabolit je farmakološki aktivan i ima isti farmakokinetički profil kao aktivna supstanca.</w:t>
      </w:r>
    </w:p>
    <w:p w:rsidR="006E363B" w:rsidRPr="006E363B" w:rsidRDefault="006E363B" w:rsidP="006E363B">
      <w:pPr>
        <w:autoSpaceDE w:val="0"/>
        <w:autoSpaceDN w:val="0"/>
        <w:adjustRightInd w:val="0"/>
        <w:jc w:val="both"/>
        <w:rPr>
          <w:b/>
          <w:sz w:val="22"/>
          <w:szCs w:val="22"/>
          <w:lang w:val="pl-PL"/>
        </w:rPr>
      </w:pPr>
    </w:p>
    <w:p w:rsidR="006E363B" w:rsidRPr="006E363B" w:rsidRDefault="006E363B" w:rsidP="006E363B">
      <w:pPr>
        <w:autoSpaceDE w:val="0"/>
        <w:autoSpaceDN w:val="0"/>
        <w:adjustRightInd w:val="0"/>
        <w:jc w:val="both"/>
        <w:rPr>
          <w:sz w:val="22"/>
          <w:szCs w:val="22"/>
          <w:u w:val="single"/>
          <w:lang w:val="pl-PL"/>
        </w:rPr>
      </w:pPr>
      <w:r w:rsidRPr="006E363B">
        <w:rPr>
          <w:sz w:val="22"/>
          <w:szCs w:val="22"/>
          <w:u w:val="single"/>
          <w:lang w:val="pl-PL"/>
        </w:rPr>
        <w:t xml:space="preserve">Izlučivanje </w:t>
      </w:r>
    </w:p>
    <w:p w:rsidR="006E363B" w:rsidRPr="006E363B" w:rsidRDefault="006E363B" w:rsidP="006E363B">
      <w:pPr>
        <w:autoSpaceDE w:val="0"/>
        <w:autoSpaceDN w:val="0"/>
        <w:adjustRightInd w:val="0"/>
        <w:jc w:val="both"/>
        <w:rPr>
          <w:sz w:val="22"/>
          <w:szCs w:val="22"/>
          <w:lang w:val="es-ES"/>
        </w:rPr>
      </w:pPr>
      <w:r w:rsidRPr="006E363B">
        <w:rPr>
          <w:sz w:val="22"/>
          <w:szCs w:val="22"/>
          <w:lang w:val="es-ES"/>
        </w:rPr>
        <w:t>Mirtazapin se najvećim dijelom metaboliše i eliminiše u obliku metabolita urinom i fecesom. Prosječno poluvrijeme eliminacije je 20-40 sati, što omogućava doziranje jednom dnevno. Zabilježeno je i duže poluvrijeme eliminacije do 65 sati, a ono može biti i kraće kod mlađih muškaraca. Poluvrijeme eliminacije mirtazapina je dovoljno kako bi se omogućilapojedinačna primjena na dan. Stanje dinamičke ravnoteže postiže se nakon 3 do 4 dana, nakon čega nema više dalje akumulacije.</w:t>
      </w:r>
    </w:p>
    <w:p w:rsidR="006E363B" w:rsidRDefault="006E363B" w:rsidP="006E363B">
      <w:pPr>
        <w:jc w:val="both"/>
        <w:rPr>
          <w:sz w:val="22"/>
          <w:szCs w:val="22"/>
          <w:u w:val="single"/>
          <w:lang w:val="hr-HR" w:eastAsia="hr-HR"/>
        </w:rPr>
      </w:pPr>
    </w:p>
    <w:p w:rsidR="006E363B" w:rsidRPr="006E363B" w:rsidRDefault="006E363B" w:rsidP="006E363B">
      <w:pPr>
        <w:jc w:val="both"/>
        <w:rPr>
          <w:sz w:val="22"/>
          <w:szCs w:val="22"/>
          <w:u w:val="single"/>
          <w:lang w:val="hr-HR" w:eastAsia="hr-HR"/>
        </w:rPr>
      </w:pPr>
      <w:r w:rsidRPr="006E363B">
        <w:rPr>
          <w:sz w:val="22"/>
          <w:szCs w:val="22"/>
          <w:u w:val="single"/>
          <w:lang w:val="hr-HR" w:eastAsia="hr-HR"/>
        </w:rPr>
        <w:t>Linearnost/nelinearnost</w:t>
      </w:r>
    </w:p>
    <w:p w:rsidR="006E363B" w:rsidRPr="006E363B" w:rsidRDefault="006E363B" w:rsidP="006E363B">
      <w:pPr>
        <w:jc w:val="both"/>
        <w:rPr>
          <w:sz w:val="22"/>
          <w:szCs w:val="22"/>
          <w:lang w:val="hr-HR" w:eastAsia="hr-HR"/>
        </w:rPr>
      </w:pPr>
      <w:r w:rsidRPr="006E363B">
        <w:rPr>
          <w:sz w:val="22"/>
          <w:szCs w:val="22"/>
          <w:lang w:val="hr-HR" w:eastAsia="hr-HR"/>
        </w:rPr>
        <w:t>Mirtazapin pokazuje linearnu farmakokinetiku unutar preporučenih doza.</w:t>
      </w:r>
    </w:p>
    <w:p w:rsidR="006E363B" w:rsidRPr="006E363B" w:rsidRDefault="006E363B" w:rsidP="006E363B">
      <w:pPr>
        <w:tabs>
          <w:tab w:val="left" w:pos="3690"/>
        </w:tabs>
        <w:ind w:left="720"/>
        <w:jc w:val="both"/>
        <w:rPr>
          <w:sz w:val="22"/>
          <w:szCs w:val="22"/>
          <w:lang w:val="hr-HR" w:eastAsia="hr-HR"/>
        </w:rPr>
      </w:pPr>
      <w:r w:rsidRPr="006E363B">
        <w:rPr>
          <w:sz w:val="22"/>
          <w:szCs w:val="22"/>
          <w:lang w:val="hr-HR" w:eastAsia="hr-HR"/>
        </w:rPr>
        <w:tab/>
      </w:r>
    </w:p>
    <w:p w:rsidR="006E363B" w:rsidRPr="006E363B" w:rsidRDefault="006E363B" w:rsidP="006E363B">
      <w:pPr>
        <w:jc w:val="both"/>
        <w:rPr>
          <w:sz w:val="22"/>
          <w:szCs w:val="22"/>
          <w:u w:val="single"/>
          <w:lang w:val="hr-HR" w:eastAsia="hr-HR"/>
        </w:rPr>
      </w:pPr>
      <w:r w:rsidRPr="006E363B">
        <w:rPr>
          <w:sz w:val="22"/>
          <w:szCs w:val="22"/>
          <w:u w:val="single"/>
          <w:lang w:val="hr-HR" w:eastAsia="hr-HR"/>
        </w:rPr>
        <w:t>Posebne populacije pacijenata</w:t>
      </w:r>
    </w:p>
    <w:p w:rsidR="006E363B" w:rsidRPr="006E7380" w:rsidRDefault="006E363B" w:rsidP="006E7380">
      <w:pPr>
        <w:jc w:val="both"/>
        <w:rPr>
          <w:sz w:val="22"/>
          <w:szCs w:val="22"/>
          <w:lang w:val="hr-HR" w:eastAsia="hr-HR"/>
        </w:rPr>
      </w:pPr>
      <w:r w:rsidRPr="006E363B">
        <w:rPr>
          <w:sz w:val="22"/>
          <w:szCs w:val="22"/>
          <w:lang w:val="hr-HR" w:eastAsia="hr-HR"/>
        </w:rPr>
        <w:t>Klirens mirtazapina može biti smanjen kao posljedica oštećenja funkcije bubrega ili jetre</w:t>
      </w:r>
      <w:r>
        <w:rPr>
          <w:sz w:val="22"/>
          <w:szCs w:val="22"/>
          <w:lang w:val="hr-HR" w:eastAsia="hr-HR"/>
        </w:rPr>
        <w:t>.</w:t>
      </w:r>
    </w:p>
    <w:p w:rsidR="006E363B" w:rsidRPr="00786071" w:rsidRDefault="006E363B"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5.3. </w:t>
      </w:r>
      <w:r w:rsidR="00480FB1" w:rsidRPr="00786071">
        <w:rPr>
          <w:b/>
          <w:bCs/>
          <w:sz w:val="22"/>
          <w:szCs w:val="22"/>
        </w:rPr>
        <w:tab/>
      </w:r>
      <w:r w:rsidRPr="00786071">
        <w:rPr>
          <w:b/>
          <w:bCs/>
          <w:sz w:val="22"/>
          <w:szCs w:val="22"/>
        </w:rPr>
        <w:t xml:space="preserve">Pretklinički podaci o bezbjednosti </w:t>
      </w:r>
    </w:p>
    <w:p w:rsidR="00836B35" w:rsidRPr="00786071" w:rsidRDefault="00836B35" w:rsidP="00480FB1">
      <w:pPr>
        <w:tabs>
          <w:tab w:val="left" w:pos="540"/>
          <w:tab w:val="left" w:pos="569"/>
        </w:tabs>
        <w:rPr>
          <w:bCs/>
          <w:sz w:val="22"/>
          <w:szCs w:val="22"/>
        </w:rPr>
      </w:pPr>
    </w:p>
    <w:p w:rsidR="006E363B" w:rsidRPr="006E363B" w:rsidRDefault="006E363B" w:rsidP="006E363B">
      <w:pPr>
        <w:jc w:val="both"/>
        <w:rPr>
          <w:sz w:val="22"/>
          <w:szCs w:val="22"/>
          <w:lang w:val="hr-HR" w:eastAsia="hr-HR"/>
        </w:rPr>
      </w:pPr>
      <w:r w:rsidRPr="006E363B">
        <w:rPr>
          <w:sz w:val="22"/>
          <w:szCs w:val="22"/>
          <w:lang w:val="hr-HR" w:eastAsia="hr-HR"/>
        </w:rPr>
        <w:t xml:space="preserve">Pretklinički podaci, zasnovani na uobičajenim farmakološkim ispitivanjima bezbjednosti primjene, toksičnosti ponovljenih doza, genotoksičnosti, kancerogenog potencijala, reproduktivne i razvojne toksičnosti ne ukazuju na rizik primjene kod ljudi. </w:t>
      </w:r>
    </w:p>
    <w:p w:rsidR="006E363B" w:rsidRPr="006E363B" w:rsidRDefault="006E363B" w:rsidP="006E363B">
      <w:pPr>
        <w:autoSpaceDE w:val="0"/>
        <w:autoSpaceDN w:val="0"/>
        <w:adjustRightInd w:val="0"/>
        <w:jc w:val="both"/>
        <w:rPr>
          <w:sz w:val="22"/>
          <w:szCs w:val="22"/>
          <w:lang w:val="it-IT"/>
        </w:rPr>
      </w:pPr>
    </w:p>
    <w:p w:rsidR="006E363B" w:rsidRPr="006E363B" w:rsidRDefault="006E363B" w:rsidP="006E363B">
      <w:pPr>
        <w:autoSpaceDE w:val="0"/>
        <w:autoSpaceDN w:val="0"/>
        <w:adjustRightInd w:val="0"/>
        <w:jc w:val="both"/>
        <w:rPr>
          <w:sz w:val="22"/>
          <w:szCs w:val="22"/>
          <w:lang w:val="it-IT"/>
        </w:rPr>
      </w:pPr>
      <w:r w:rsidRPr="006E363B">
        <w:rPr>
          <w:sz w:val="22"/>
          <w:szCs w:val="22"/>
          <w:lang w:val="it-IT"/>
        </w:rPr>
        <w:t>U reproduktivnim studijama toksičnosti na pacovima i kunićima, nije uočeno teratogeno dejstvo mirtazapina. U dva sistemska izlaganja u poređenju sa maksimalnom terapijskom dozom kod ljudi, došlo je do povećanja spontanih pobačaja, smanjenja mase mladunčadi i smanjenja preživljavanja tokom prva tri dana laktacije kod pacova.</w:t>
      </w:r>
    </w:p>
    <w:p w:rsidR="006E363B" w:rsidRPr="006E363B" w:rsidRDefault="006E363B" w:rsidP="006E363B">
      <w:pPr>
        <w:autoSpaceDE w:val="0"/>
        <w:autoSpaceDN w:val="0"/>
        <w:adjustRightInd w:val="0"/>
        <w:jc w:val="both"/>
        <w:rPr>
          <w:sz w:val="22"/>
          <w:szCs w:val="22"/>
          <w:lang w:val="it-IT"/>
        </w:rPr>
      </w:pPr>
      <w:r w:rsidRPr="006E363B">
        <w:rPr>
          <w:sz w:val="22"/>
          <w:szCs w:val="22"/>
          <w:lang w:val="it-IT"/>
        </w:rPr>
        <w:t>U seriji ispitivanja genske mutacije, oštećenja hromozoma i DNK pokazano je da mirtazapin nije genotoksičan. U ispitivanjima karcinogenosti mirtazapina primijećena je veća učestalost tumora štitaste žlijezde kod pacova, kao i hepatocelularnih tumora kod miševa. Analiza rezultata pokazala je da se radi o promjenama specifičnim za vrstu i negenotoksičnim odgovorima na dugotrajnu primjenu visokih doza induktora enzima jetre.</w:t>
      </w:r>
    </w:p>
    <w:p w:rsidR="00396DFD" w:rsidRDefault="00396DFD" w:rsidP="00480FB1">
      <w:pPr>
        <w:tabs>
          <w:tab w:val="left" w:pos="540"/>
          <w:tab w:val="left" w:pos="569"/>
        </w:tabs>
        <w:rPr>
          <w:b/>
          <w:bCs/>
          <w:sz w:val="22"/>
          <w:szCs w:val="22"/>
        </w:rPr>
      </w:pPr>
    </w:p>
    <w:p w:rsidR="006E7380" w:rsidRPr="00786071" w:rsidRDefault="006E7380" w:rsidP="00480FB1">
      <w:pPr>
        <w:tabs>
          <w:tab w:val="left" w:pos="540"/>
          <w:tab w:val="left" w:pos="569"/>
        </w:tabs>
        <w:rPr>
          <w:b/>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 </w:t>
      </w:r>
      <w:r w:rsidR="00480FB1" w:rsidRPr="00786071">
        <w:rPr>
          <w:b/>
          <w:bCs/>
          <w:sz w:val="22"/>
          <w:szCs w:val="22"/>
        </w:rPr>
        <w:tab/>
      </w:r>
      <w:r w:rsidRPr="00786071">
        <w:rPr>
          <w:b/>
          <w:bCs/>
          <w:sz w:val="22"/>
          <w:szCs w:val="22"/>
        </w:rPr>
        <w:t>FARMACEUTSKI PODACI</w:t>
      </w:r>
    </w:p>
    <w:p w:rsidR="00836B35" w:rsidRPr="00786071" w:rsidRDefault="00836B35"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6.1. </w:t>
      </w:r>
      <w:r w:rsidR="00480FB1" w:rsidRPr="00786071">
        <w:rPr>
          <w:b/>
          <w:bCs/>
          <w:sz w:val="22"/>
          <w:szCs w:val="22"/>
        </w:rPr>
        <w:tab/>
      </w:r>
      <w:r w:rsidRPr="00786071">
        <w:rPr>
          <w:b/>
          <w:bCs/>
          <w:sz w:val="22"/>
          <w:szCs w:val="22"/>
        </w:rPr>
        <w:t>Lista pomoćnih supstanci</w:t>
      </w:r>
      <w:r w:rsidR="002E0135" w:rsidRPr="00786071">
        <w:rPr>
          <w:b/>
          <w:bCs/>
          <w:sz w:val="22"/>
          <w:szCs w:val="22"/>
        </w:rPr>
        <w:t xml:space="preserve"> (ekscipijenasa)</w:t>
      </w:r>
    </w:p>
    <w:p w:rsidR="00D07BC6" w:rsidRDefault="00D07BC6" w:rsidP="00D07BC6">
      <w:pPr>
        <w:rPr>
          <w:b/>
          <w:sz w:val="22"/>
          <w:szCs w:val="22"/>
        </w:rPr>
      </w:pPr>
    </w:p>
    <w:p w:rsidR="00D07BC6" w:rsidRPr="00D07BC6" w:rsidRDefault="00D07BC6" w:rsidP="00D07BC6">
      <w:pPr>
        <w:rPr>
          <w:b/>
          <w:sz w:val="22"/>
          <w:szCs w:val="22"/>
        </w:rPr>
      </w:pPr>
      <w:r w:rsidRPr="00D07BC6">
        <w:rPr>
          <w:b/>
          <w:sz w:val="22"/>
          <w:szCs w:val="22"/>
        </w:rPr>
        <w:t>Calixta 30 mg film tablete</w:t>
      </w:r>
    </w:p>
    <w:p w:rsidR="00D07BC6" w:rsidRPr="00D07BC6" w:rsidRDefault="00D07BC6" w:rsidP="00D07BC6">
      <w:pPr>
        <w:autoSpaceDE w:val="0"/>
        <w:autoSpaceDN w:val="0"/>
        <w:adjustRightInd w:val="0"/>
        <w:spacing w:before="120"/>
        <w:jc w:val="both"/>
        <w:rPr>
          <w:sz w:val="22"/>
          <w:szCs w:val="22"/>
        </w:rPr>
      </w:pPr>
      <w:r w:rsidRPr="00D07BC6">
        <w:rPr>
          <w:i/>
          <w:sz w:val="22"/>
          <w:szCs w:val="22"/>
        </w:rPr>
        <w:t>Tabletno jezgro:</w:t>
      </w:r>
      <w:r w:rsidRPr="00D07BC6">
        <w:rPr>
          <w:sz w:val="22"/>
          <w:szCs w:val="22"/>
        </w:rPr>
        <w:t xml:space="preserve"> laktoza, monohidrat; celuloza, mikrokristalna; hidroksipropil celuloza; kukuruzni skrob; preželatinirani skrob; silicijumdioksid, koloidni, bezvodni; talk; magnezijumstearat.</w:t>
      </w:r>
    </w:p>
    <w:p w:rsidR="0072020E" w:rsidRDefault="00D07BC6" w:rsidP="00D07BC6">
      <w:pPr>
        <w:tabs>
          <w:tab w:val="left" w:pos="540"/>
          <w:tab w:val="left" w:pos="569"/>
        </w:tabs>
        <w:jc w:val="both"/>
        <w:rPr>
          <w:bCs/>
          <w:sz w:val="22"/>
          <w:szCs w:val="22"/>
        </w:rPr>
      </w:pPr>
      <w:r w:rsidRPr="00D07BC6">
        <w:rPr>
          <w:bCs/>
          <w:i/>
          <w:iCs/>
          <w:sz w:val="22"/>
          <w:szCs w:val="22"/>
        </w:rPr>
        <w:t>Film omotač</w:t>
      </w:r>
      <w:r w:rsidRPr="00D07BC6">
        <w:rPr>
          <w:bCs/>
          <w:sz w:val="22"/>
          <w:szCs w:val="22"/>
        </w:rPr>
        <w:t>:</w:t>
      </w:r>
      <w:r w:rsidRPr="00D07BC6">
        <w:rPr>
          <w:b/>
          <w:bCs/>
          <w:sz w:val="22"/>
          <w:szCs w:val="22"/>
        </w:rPr>
        <w:t xml:space="preserve"> </w:t>
      </w:r>
      <w:r w:rsidRPr="00D07BC6">
        <w:rPr>
          <w:sz w:val="22"/>
          <w:szCs w:val="22"/>
        </w:rPr>
        <w:t>hipromeloza; makrogol 6000; titandioksid (E171); talk; gvožđe (III) oksid, crveni (E172)  i gvožđe (III) oksid, žuti (E172).</w:t>
      </w:r>
    </w:p>
    <w:p w:rsidR="00D07BC6" w:rsidRDefault="00D07BC6"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lastRenderedPageBreak/>
        <w:t xml:space="preserve">6.2. </w:t>
      </w:r>
      <w:r w:rsidR="00480FB1" w:rsidRPr="00786071">
        <w:rPr>
          <w:b/>
          <w:bCs/>
          <w:sz w:val="22"/>
          <w:szCs w:val="22"/>
        </w:rPr>
        <w:tab/>
      </w:r>
      <w:r w:rsidRPr="00786071">
        <w:rPr>
          <w:b/>
          <w:bCs/>
          <w:sz w:val="22"/>
          <w:szCs w:val="22"/>
        </w:rPr>
        <w:t>Inkompatibilnost</w:t>
      </w:r>
      <w:r w:rsidR="002846DB" w:rsidRPr="00786071">
        <w:rPr>
          <w:b/>
          <w:bCs/>
          <w:sz w:val="22"/>
          <w:szCs w:val="22"/>
        </w:rPr>
        <w:t>i</w:t>
      </w:r>
    </w:p>
    <w:p w:rsidR="00D07BC6" w:rsidRDefault="00D07BC6" w:rsidP="00480FB1">
      <w:pPr>
        <w:tabs>
          <w:tab w:val="left" w:pos="540"/>
          <w:tab w:val="left" w:pos="569"/>
        </w:tabs>
        <w:rPr>
          <w:sz w:val="22"/>
          <w:szCs w:val="22"/>
        </w:rPr>
      </w:pPr>
    </w:p>
    <w:p w:rsidR="0072020E" w:rsidRDefault="00D07BC6" w:rsidP="00480FB1">
      <w:pPr>
        <w:tabs>
          <w:tab w:val="left" w:pos="540"/>
          <w:tab w:val="left" w:pos="569"/>
        </w:tabs>
        <w:rPr>
          <w:sz w:val="22"/>
          <w:szCs w:val="22"/>
        </w:rPr>
      </w:pPr>
      <w:r w:rsidRPr="00D07BC6">
        <w:rPr>
          <w:sz w:val="22"/>
          <w:szCs w:val="22"/>
        </w:rPr>
        <w:t>Nije primjenljivo.</w:t>
      </w:r>
    </w:p>
    <w:p w:rsidR="00D07BC6" w:rsidRPr="00786071" w:rsidRDefault="00D07BC6"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6.3.</w:t>
      </w:r>
      <w:r w:rsidR="00C05DF8">
        <w:rPr>
          <w:b/>
          <w:bCs/>
          <w:sz w:val="22"/>
          <w:szCs w:val="22"/>
        </w:rPr>
        <w:t xml:space="preserve"> </w:t>
      </w:r>
      <w:r w:rsidR="00480FB1" w:rsidRPr="00786071">
        <w:rPr>
          <w:b/>
          <w:bCs/>
          <w:sz w:val="22"/>
          <w:szCs w:val="22"/>
        </w:rPr>
        <w:tab/>
      </w:r>
      <w:r w:rsidRPr="00786071">
        <w:rPr>
          <w:b/>
          <w:bCs/>
          <w:sz w:val="22"/>
          <w:szCs w:val="22"/>
        </w:rPr>
        <w:t>Rok upotrebe</w:t>
      </w:r>
    </w:p>
    <w:p w:rsidR="00D07BC6" w:rsidRDefault="00D07BC6" w:rsidP="00480FB1">
      <w:pPr>
        <w:tabs>
          <w:tab w:val="left" w:pos="540"/>
          <w:tab w:val="left" w:pos="569"/>
        </w:tabs>
        <w:rPr>
          <w:sz w:val="22"/>
          <w:szCs w:val="22"/>
        </w:rPr>
      </w:pPr>
    </w:p>
    <w:p w:rsidR="0072020E" w:rsidRDefault="00D07BC6" w:rsidP="00480FB1">
      <w:pPr>
        <w:tabs>
          <w:tab w:val="left" w:pos="540"/>
          <w:tab w:val="left" w:pos="569"/>
        </w:tabs>
        <w:rPr>
          <w:sz w:val="22"/>
          <w:szCs w:val="22"/>
        </w:rPr>
      </w:pPr>
      <w:r w:rsidRPr="00D07BC6">
        <w:rPr>
          <w:sz w:val="22"/>
          <w:szCs w:val="22"/>
        </w:rPr>
        <w:t>2 godine.</w:t>
      </w:r>
    </w:p>
    <w:p w:rsidR="00D07BC6" w:rsidRPr="00786071" w:rsidRDefault="00D07BC6"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6.4. </w:t>
      </w:r>
      <w:r w:rsidR="00480FB1" w:rsidRPr="00786071">
        <w:rPr>
          <w:b/>
          <w:bCs/>
          <w:sz w:val="22"/>
          <w:szCs w:val="22"/>
        </w:rPr>
        <w:tab/>
      </w:r>
      <w:r w:rsidRPr="00786071">
        <w:rPr>
          <w:b/>
          <w:bCs/>
          <w:sz w:val="22"/>
          <w:szCs w:val="22"/>
        </w:rPr>
        <w:t>Posebne mjere upozorenja pri čuvanju</w:t>
      </w:r>
      <w:r w:rsidR="00F8570A" w:rsidRPr="00786071">
        <w:rPr>
          <w:b/>
          <w:bCs/>
          <w:sz w:val="22"/>
          <w:szCs w:val="22"/>
        </w:rPr>
        <w:t xml:space="preserve"> lijeka</w:t>
      </w:r>
    </w:p>
    <w:p w:rsidR="00EC2532" w:rsidRDefault="00EC2532" w:rsidP="00480FB1">
      <w:pPr>
        <w:tabs>
          <w:tab w:val="left" w:pos="540"/>
          <w:tab w:val="left" w:pos="569"/>
        </w:tabs>
        <w:rPr>
          <w:bCs/>
          <w:sz w:val="22"/>
          <w:szCs w:val="22"/>
        </w:rPr>
      </w:pPr>
    </w:p>
    <w:p w:rsidR="00D07BC6" w:rsidRPr="00D07BC6" w:rsidRDefault="00D07BC6" w:rsidP="00D07BC6">
      <w:pPr>
        <w:tabs>
          <w:tab w:val="left" w:pos="540"/>
          <w:tab w:val="left" w:pos="569"/>
        </w:tabs>
        <w:jc w:val="both"/>
        <w:rPr>
          <w:bCs/>
          <w:sz w:val="22"/>
          <w:szCs w:val="22"/>
        </w:rPr>
      </w:pPr>
      <w:r w:rsidRPr="00D07BC6">
        <w:rPr>
          <w:bCs/>
          <w:sz w:val="22"/>
          <w:szCs w:val="22"/>
        </w:rPr>
        <w:t>Čuvati na temperaturi do 25°C.</w:t>
      </w:r>
    </w:p>
    <w:p w:rsidR="00D07BC6" w:rsidRDefault="00D07BC6" w:rsidP="00D07BC6">
      <w:pPr>
        <w:tabs>
          <w:tab w:val="left" w:pos="540"/>
          <w:tab w:val="left" w:pos="569"/>
        </w:tabs>
        <w:jc w:val="both"/>
        <w:rPr>
          <w:bCs/>
          <w:sz w:val="22"/>
          <w:szCs w:val="22"/>
        </w:rPr>
      </w:pPr>
      <w:r w:rsidRPr="00D07BC6">
        <w:rPr>
          <w:bCs/>
          <w:sz w:val="22"/>
          <w:szCs w:val="22"/>
        </w:rPr>
        <w:t>Čuvati u originalnom pakovanju, u cilju zaštite od vlage.</w:t>
      </w:r>
    </w:p>
    <w:p w:rsidR="00D07BC6" w:rsidRPr="00786071" w:rsidRDefault="00D07BC6"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6.5. </w:t>
      </w:r>
      <w:r w:rsidR="00480FB1" w:rsidRPr="00786071">
        <w:rPr>
          <w:b/>
          <w:bCs/>
          <w:sz w:val="22"/>
          <w:szCs w:val="22"/>
        </w:rPr>
        <w:tab/>
      </w:r>
      <w:r w:rsidR="002846DB" w:rsidRPr="00786071">
        <w:rPr>
          <w:b/>
          <w:bCs/>
          <w:sz w:val="22"/>
          <w:szCs w:val="22"/>
        </w:rPr>
        <w:t xml:space="preserve">Vrsta i sadržaj </w:t>
      </w:r>
      <w:r w:rsidR="00F8570A" w:rsidRPr="00786071">
        <w:rPr>
          <w:b/>
          <w:bCs/>
          <w:sz w:val="22"/>
          <w:szCs w:val="22"/>
        </w:rPr>
        <w:t>pakovanja</w:t>
      </w:r>
      <w:r w:rsidR="00C06864" w:rsidRPr="00786071">
        <w:rPr>
          <w:b/>
          <w:bCs/>
          <w:sz w:val="22"/>
          <w:szCs w:val="22"/>
        </w:rPr>
        <w:t xml:space="preserve"> </w:t>
      </w:r>
    </w:p>
    <w:p w:rsidR="00D07BC6" w:rsidRDefault="00D07BC6" w:rsidP="00480FB1">
      <w:pPr>
        <w:tabs>
          <w:tab w:val="left" w:pos="540"/>
          <w:tab w:val="left" w:pos="569"/>
        </w:tabs>
        <w:rPr>
          <w:bCs/>
          <w:sz w:val="22"/>
          <w:szCs w:val="22"/>
        </w:rPr>
      </w:pPr>
    </w:p>
    <w:p w:rsidR="0072020E" w:rsidRDefault="00D07BC6" w:rsidP="00480FB1">
      <w:pPr>
        <w:tabs>
          <w:tab w:val="left" w:pos="540"/>
          <w:tab w:val="left" w:pos="569"/>
        </w:tabs>
        <w:rPr>
          <w:bCs/>
          <w:sz w:val="22"/>
          <w:szCs w:val="22"/>
        </w:rPr>
      </w:pPr>
      <w:r w:rsidRPr="00D07BC6">
        <w:rPr>
          <w:bCs/>
          <w:sz w:val="22"/>
          <w:szCs w:val="22"/>
        </w:rPr>
        <w:t>30 film tableta (2x15) u PVC/PVDC/Al blisteru, u kartonskoj kutiji.</w:t>
      </w:r>
    </w:p>
    <w:p w:rsidR="00D07BC6" w:rsidRPr="00786071" w:rsidRDefault="00D07BC6" w:rsidP="00480FB1">
      <w:pPr>
        <w:tabs>
          <w:tab w:val="left" w:pos="540"/>
          <w:tab w:val="left" w:pos="569"/>
        </w:tabs>
        <w:rPr>
          <w:bCs/>
          <w:sz w:val="22"/>
          <w:szCs w:val="22"/>
        </w:rPr>
      </w:pPr>
    </w:p>
    <w:p w:rsidR="002846DB" w:rsidRDefault="0072020E" w:rsidP="00480FB1">
      <w:pPr>
        <w:tabs>
          <w:tab w:val="left" w:pos="540"/>
          <w:tab w:val="left" w:pos="569"/>
        </w:tabs>
        <w:rPr>
          <w:b/>
          <w:bCs/>
          <w:sz w:val="22"/>
          <w:szCs w:val="22"/>
        </w:rPr>
      </w:pPr>
      <w:r w:rsidRPr="00786071">
        <w:rPr>
          <w:b/>
          <w:bCs/>
          <w:sz w:val="22"/>
          <w:szCs w:val="22"/>
        </w:rPr>
        <w:t xml:space="preserve">6.6. </w:t>
      </w:r>
      <w:r w:rsidR="00480FB1" w:rsidRPr="00786071">
        <w:rPr>
          <w:b/>
          <w:bCs/>
          <w:sz w:val="22"/>
          <w:szCs w:val="22"/>
        </w:rPr>
        <w:tab/>
      </w:r>
      <w:r w:rsidRPr="00D47634">
        <w:rPr>
          <w:b/>
          <w:bCs/>
          <w:color w:val="000000"/>
          <w:sz w:val="22"/>
          <w:szCs w:val="22"/>
        </w:rPr>
        <w:t>Posebne mjere opreza pri odlaganju materijala koji treba odbaciti nakon primjene lijeka</w:t>
      </w:r>
      <w:r w:rsidRPr="00786071">
        <w:rPr>
          <w:b/>
          <w:bCs/>
          <w:sz w:val="22"/>
          <w:szCs w:val="22"/>
        </w:rPr>
        <w:t xml:space="preserve"> </w:t>
      </w:r>
      <w:r w:rsidR="00310F03">
        <w:rPr>
          <w:b/>
          <w:bCs/>
          <w:sz w:val="22"/>
          <w:szCs w:val="22"/>
        </w:rPr>
        <w:t>(i druga uputs</w:t>
      </w:r>
      <w:r w:rsidR="004109FA">
        <w:rPr>
          <w:b/>
          <w:bCs/>
          <w:sz w:val="22"/>
          <w:szCs w:val="22"/>
        </w:rPr>
        <w:t>t</w:t>
      </w:r>
      <w:r w:rsidR="00310F03">
        <w:rPr>
          <w:b/>
          <w:bCs/>
          <w:sz w:val="22"/>
          <w:szCs w:val="22"/>
        </w:rPr>
        <w:t xml:space="preserve">va za rukovanje lijekom) </w:t>
      </w:r>
    </w:p>
    <w:p w:rsidR="00D07BC6" w:rsidRDefault="00D07BC6" w:rsidP="00D07BC6">
      <w:pPr>
        <w:tabs>
          <w:tab w:val="left" w:pos="284"/>
          <w:tab w:val="center" w:pos="4320"/>
          <w:tab w:val="right" w:pos="8640"/>
        </w:tabs>
        <w:rPr>
          <w:noProof/>
          <w:sz w:val="22"/>
          <w:szCs w:val="22"/>
          <w:lang w:val="sr-Latn-ME" w:eastAsia="x-none"/>
        </w:rPr>
      </w:pPr>
    </w:p>
    <w:p w:rsidR="00D07BC6" w:rsidRPr="00D07BC6" w:rsidRDefault="00D07BC6" w:rsidP="00D07BC6">
      <w:pPr>
        <w:tabs>
          <w:tab w:val="left" w:pos="284"/>
          <w:tab w:val="center" w:pos="4320"/>
          <w:tab w:val="right" w:pos="8640"/>
        </w:tabs>
        <w:rPr>
          <w:noProof/>
          <w:sz w:val="22"/>
          <w:szCs w:val="22"/>
          <w:lang w:val="sr-Latn-ME" w:eastAsia="x-none"/>
        </w:rPr>
      </w:pPr>
      <w:r w:rsidRPr="00D07BC6">
        <w:rPr>
          <w:noProof/>
          <w:sz w:val="22"/>
          <w:szCs w:val="22"/>
          <w:lang w:val="sr-Latn-ME" w:eastAsia="x-none"/>
        </w:rPr>
        <w:t>Neupotrijebljeni lijek se uništava u skladu sa važećim propisima.</w:t>
      </w:r>
    </w:p>
    <w:p w:rsidR="0072020E" w:rsidRDefault="0072020E" w:rsidP="00480FB1">
      <w:pPr>
        <w:tabs>
          <w:tab w:val="left" w:pos="540"/>
          <w:tab w:val="left" w:pos="569"/>
        </w:tabs>
        <w:rPr>
          <w:bCs/>
          <w:sz w:val="22"/>
          <w:szCs w:val="22"/>
        </w:rPr>
      </w:pPr>
    </w:p>
    <w:p w:rsidR="006E7380" w:rsidRPr="00786071" w:rsidRDefault="006E7380" w:rsidP="00480FB1">
      <w:pPr>
        <w:tabs>
          <w:tab w:val="left" w:pos="540"/>
          <w:tab w:val="left" w:pos="569"/>
        </w:tabs>
        <w:rPr>
          <w:bCs/>
          <w:sz w:val="22"/>
          <w:szCs w:val="22"/>
        </w:rPr>
      </w:pPr>
    </w:p>
    <w:p w:rsidR="00F8570A" w:rsidRPr="00786071" w:rsidRDefault="0072020E" w:rsidP="00480FB1">
      <w:pPr>
        <w:tabs>
          <w:tab w:val="left" w:pos="540"/>
          <w:tab w:val="left" w:pos="569"/>
        </w:tabs>
        <w:rPr>
          <w:b/>
          <w:bCs/>
          <w:sz w:val="22"/>
          <w:szCs w:val="22"/>
        </w:rPr>
      </w:pPr>
      <w:r w:rsidRPr="00786071">
        <w:rPr>
          <w:b/>
          <w:bCs/>
          <w:sz w:val="22"/>
          <w:szCs w:val="22"/>
        </w:rPr>
        <w:t xml:space="preserve">7. </w:t>
      </w:r>
      <w:r w:rsidR="00480FB1" w:rsidRPr="00786071">
        <w:rPr>
          <w:b/>
          <w:bCs/>
          <w:sz w:val="22"/>
          <w:szCs w:val="22"/>
        </w:rPr>
        <w:tab/>
      </w:r>
      <w:r w:rsidRPr="00786071">
        <w:rPr>
          <w:b/>
          <w:bCs/>
          <w:sz w:val="22"/>
          <w:szCs w:val="22"/>
        </w:rPr>
        <w:t>NOSILAC DOZVOLE</w:t>
      </w:r>
      <w:r w:rsidR="00483928" w:rsidRPr="00786071">
        <w:rPr>
          <w:b/>
          <w:bCs/>
          <w:sz w:val="22"/>
          <w:szCs w:val="22"/>
        </w:rPr>
        <w:t xml:space="preserve"> </w:t>
      </w:r>
    </w:p>
    <w:p w:rsidR="00C61BE0" w:rsidRDefault="00C61BE0" w:rsidP="00480FB1">
      <w:pPr>
        <w:tabs>
          <w:tab w:val="left" w:pos="540"/>
          <w:tab w:val="left" w:pos="569"/>
        </w:tabs>
        <w:rPr>
          <w:bCs/>
          <w:sz w:val="22"/>
          <w:szCs w:val="22"/>
        </w:rPr>
      </w:pPr>
    </w:p>
    <w:p w:rsidR="00D07BC6" w:rsidRPr="00D07BC6" w:rsidRDefault="00F67C0B" w:rsidP="00D07BC6">
      <w:pPr>
        <w:tabs>
          <w:tab w:val="left" w:pos="540"/>
          <w:tab w:val="left" w:pos="569"/>
        </w:tabs>
        <w:rPr>
          <w:bCs/>
          <w:sz w:val="22"/>
          <w:szCs w:val="22"/>
        </w:rPr>
      </w:pPr>
      <w:r>
        <w:rPr>
          <w:bCs/>
          <w:sz w:val="22"/>
          <w:szCs w:val="22"/>
        </w:rPr>
        <w:t>Glosarij d.o.o</w:t>
      </w:r>
      <w:proofErr w:type="gramStart"/>
      <w:r>
        <w:rPr>
          <w:bCs/>
          <w:sz w:val="22"/>
          <w:szCs w:val="22"/>
        </w:rPr>
        <w:t>.,</w:t>
      </w:r>
      <w:proofErr w:type="gramEnd"/>
    </w:p>
    <w:p w:rsidR="00C37FD7" w:rsidRDefault="00F67C0B" w:rsidP="00D07BC6">
      <w:pPr>
        <w:tabs>
          <w:tab w:val="left" w:pos="540"/>
          <w:tab w:val="left" w:pos="569"/>
        </w:tabs>
        <w:rPr>
          <w:bCs/>
          <w:sz w:val="22"/>
          <w:szCs w:val="22"/>
        </w:rPr>
      </w:pPr>
      <w:r>
        <w:rPr>
          <w:bCs/>
          <w:sz w:val="22"/>
          <w:szCs w:val="22"/>
        </w:rPr>
        <w:t>Vojislavljevića 76</w:t>
      </w:r>
      <w:r w:rsidR="00D07BC6" w:rsidRPr="00D07BC6">
        <w:rPr>
          <w:bCs/>
          <w:sz w:val="22"/>
          <w:szCs w:val="22"/>
        </w:rPr>
        <w:t>, 81</w:t>
      </w:r>
      <w:r>
        <w:rPr>
          <w:bCs/>
          <w:sz w:val="22"/>
          <w:szCs w:val="22"/>
        </w:rPr>
        <w:t xml:space="preserve"> </w:t>
      </w:r>
      <w:bookmarkStart w:id="0" w:name="_GoBack"/>
      <w:bookmarkEnd w:id="0"/>
      <w:r w:rsidR="00D07BC6" w:rsidRPr="00D07BC6">
        <w:rPr>
          <w:bCs/>
          <w:sz w:val="22"/>
          <w:szCs w:val="22"/>
        </w:rPr>
        <w:t>000 Podgorica, Crna Gora</w:t>
      </w:r>
    </w:p>
    <w:p w:rsidR="00D07BC6" w:rsidRDefault="00D07BC6" w:rsidP="00D07BC6">
      <w:pPr>
        <w:tabs>
          <w:tab w:val="left" w:pos="540"/>
          <w:tab w:val="left" w:pos="569"/>
        </w:tabs>
        <w:rPr>
          <w:bCs/>
          <w:sz w:val="22"/>
          <w:szCs w:val="22"/>
        </w:rPr>
      </w:pPr>
    </w:p>
    <w:p w:rsidR="006E7380" w:rsidRPr="00786071" w:rsidRDefault="006E7380" w:rsidP="00D07BC6">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8. </w:t>
      </w:r>
      <w:r w:rsidR="00480FB1" w:rsidRPr="00786071">
        <w:rPr>
          <w:b/>
          <w:bCs/>
          <w:sz w:val="22"/>
          <w:szCs w:val="22"/>
        </w:rPr>
        <w:tab/>
      </w:r>
      <w:r w:rsidRPr="00786071">
        <w:rPr>
          <w:b/>
          <w:bCs/>
          <w:sz w:val="22"/>
          <w:szCs w:val="22"/>
        </w:rPr>
        <w:t>BROJ DOZVOLE</w:t>
      </w:r>
      <w:r w:rsidR="008A6D43">
        <w:rPr>
          <w:b/>
          <w:bCs/>
          <w:sz w:val="22"/>
          <w:szCs w:val="22"/>
        </w:rPr>
        <w:t xml:space="preserve"> ZA STAVLJANJE LIJEKA U PROMET</w:t>
      </w:r>
    </w:p>
    <w:p w:rsidR="0072020E" w:rsidRDefault="0072020E" w:rsidP="00480FB1">
      <w:pPr>
        <w:tabs>
          <w:tab w:val="left" w:pos="540"/>
          <w:tab w:val="left" w:pos="569"/>
        </w:tabs>
        <w:rPr>
          <w:bCs/>
          <w:sz w:val="22"/>
          <w:szCs w:val="22"/>
        </w:rPr>
      </w:pPr>
    </w:p>
    <w:p w:rsidR="001E5D97" w:rsidRDefault="001E5D97" w:rsidP="00480FB1">
      <w:pPr>
        <w:tabs>
          <w:tab w:val="left" w:pos="540"/>
          <w:tab w:val="left" w:pos="569"/>
        </w:tabs>
        <w:rPr>
          <w:bCs/>
          <w:sz w:val="22"/>
          <w:szCs w:val="22"/>
        </w:rPr>
      </w:pPr>
      <w:r w:rsidRPr="001E5D97">
        <w:rPr>
          <w:bCs/>
          <w:sz w:val="22"/>
          <w:szCs w:val="22"/>
        </w:rPr>
        <w:t>2030/22/3563 - 3586</w:t>
      </w:r>
    </w:p>
    <w:p w:rsidR="001E5D97" w:rsidRPr="00786071" w:rsidRDefault="001E5D97" w:rsidP="00480FB1">
      <w:pPr>
        <w:tabs>
          <w:tab w:val="left" w:pos="540"/>
          <w:tab w:val="left" w:pos="569"/>
        </w:tabs>
        <w:rPr>
          <w:bCs/>
          <w:sz w:val="22"/>
          <w:szCs w:val="22"/>
        </w:rPr>
      </w:pPr>
    </w:p>
    <w:p w:rsidR="00F45F77" w:rsidRPr="00786071" w:rsidRDefault="00F45F77" w:rsidP="00480FB1">
      <w:pPr>
        <w:tabs>
          <w:tab w:val="left" w:pos="540"/>
          <w:tab w:val="left" w:pos="569"/>
        </w:tabs>
        <w:rPr>
          <w:bCs/>
          <w:sz w:val="22"/>
          <w:szCs w:val="22"/>
        </w:rPr>
      </w:pPr>
    </w:p>
    <w:p w:rsidR="0072020E" w:rsidRPr="00786071" w:rsidRDefault="0072020E" w:rsidP="00480FB1">
      <w:pPr>
        <w:tabs>
          <w:tab w:val="left" w:pos="540"/>
          <w:tab w:val="left" w:pos="569"/>
        </w:tabs>
        <w:rPr>
          <w:b/>
          <w:bCs/>
          <w:sz w:val="22"/>
          <w:szCs w:val="22"/>
        </w:rPr>
      </w:pPr>
      <w:r w:rsidRPr="00786071">
        <w:rPr>
          <w:b/>
          <w:bCs/>
          <w:sz w:val="22"/>
          <w:szCs w:val="22"/>
        </w:rPr>
        <w:t xml:space="preserve">9. </w:t>
      </w:r>
      <w:r w:rsidR="00480FB1" w:rsidRPr="00786071">
        <w:rPr>
          <w:b/>
          <w:bCs/>
          <w:sz w:val="22"/>
          <w:szCs w:val="22"/>
        </w:rPr>
        <w:tab/>
      </w:r>
      <w:r w:rsidRPr="00786071">
        <w:rPr>
          <w:b/>
          <w:bCs/>
          <w:sz w:val="22"/>
          <w:szCs w:val="22"/>
        </w:rPr>
        <w:t xml:space="preserve">DATUM </w:t>
      </w:r>
      <w:r w:rsidR="00C05DF8">
        <w:rPr>
          <w:b/>
          <w:bCs/>
          <w:sz w:val="22"/>
          <w:szCs w:val="22"/>
        </w:rPr>
        <w:t xml:space="preserve">PRVE </w:t>
      </w:r>
      <w:r w:rsidR="008A6D43" w:rsidRPr="00786071">
        <w:rPr>
          <w:b/>
          <w:bCs/>
          <w:sz w:val="22"/>
          <w:szCs w:val="22"/>
        </w:rPr>
        <w:t>DOZVOLE</w:t>
      </w:r>
      <w:r w:rsidR="00C05DF8">
        <w:rPr>
          <w:b/>
          <w:bCs/>
          <w:sz w:val="22"/>
          <w:szCs w:val="22"/>
        </w:rPr>
        <w:t>/OBNOVE DOZVOLE</w:t>
      </w:r>
      <w:r w:rsidR="008A6D43">
        <w:rPr>
          <w:b/>
          <w:bCs/>
          <w:sz w:val="22"/>
          <w:szCs w:val="22"/>
        </w:rPr>
        <w:t xml:space="preserve"> ZA STAVLJANJE LIJEKA U PROMET</w:t>
      </w:r>
    </w:p>
    <w:p w:rsidR="0072020E" w:rsidRDefault="0072020E" w:rsidP="00480FB1">
      <w:pPr>
        <w:tabs>
          <w:tab w:val="left" w:pos="540"/>
          <w:tab w:val="left" w:pos="569"/>
        </w:tabs>
        <w:rPr>
          <w:bCs/>
          <w:sz w:val="22"/>
          <w:szCs w:val="22"/>
        </w:rPr>
      </w:pPr>
    </w:p>
    <w:p w:rsidR="001E5D97" w:rsidRDefault="001E5D97" w:rsidP="00480FB1">
      <w:pPr>
        <w:tabs>
          <w:tab w:val="left" w:pos="540"/>
          <w:tab w:val="left" w:pos="569"/>
        </w:tabs>
        <w:rPr>
          <w:bCs/>
          <w:sz w:val="22"/>
          <w:szCs w:val="22"/>
        </w:rPr>
      </w:pPr>
      <w:r>
        <w:rPr>
          <w:bCs/>
          <w:sz w:val="22"/>
          <w:szCs w:val="22"/>
        </w:rPr>
        <w:t>Datum prve dozvole: 15.06.2011. godine</w:t>
      </w:r>
    </w:p>
    <w:p w:rsidR="001E5D97" w:rsidRDefault="001E5D97" w:rsidP="00480FB1">
      <w:pPr>
        <w:tabs>
          <w:tab w:val="left" w:pos="540"/>
          <w:tab w:val="left" w:pos="569"/>
        </w:tabs>
        <w:rPr>
          <w:bCs/>
          <w:sz w:val="22"/>
          <w:szCs w:val="22"/>
        </w:rPr>
      </w:pPr>
      <w:r>
        <w:rPr>
          <w:bCs/>
          <w:sz w:val="22"/>
          <w:szCs w:val="22"/>
        </w:rPr>
        <w:t xml:space="preserve">Datum poslednje obnove dozvole: 02.12.2022. </w:t>
      </w:r>
      <w:proofErr w:type="gramStart"/>
      <w:r>
        <w:rPr>
          <w:bCs/>
          <w:sz w:val="22"/>
          <w:szCs w:val="22"/>
        </w:rPr>
        <w:t>godine</w:t>
      </w:r>
      <w:proofErr w:type="gramEnd"/>
    </w:p>
    <w:p w:rsidR="001E5D97" w:rsidRPr="00786071" w:rsidRDefault="001E5D97" w:rsidP="00480FB1">
      <w:pPr>
        <w:tabs>
          <w:tab w:val="left" w:pos="540"/>
          <w:tab w:val="left" w:pos="569"/>
        </w:tabs>
        <w:rPr>
          <w:bCs/>
          <w:sz w:val="22"/>
          <w:szCs w:val="22"/>
        </w:rPr>
      </w:pPr>
    </w:p>
    <w:p w:rsidR="00836B35" w:rsidRPr="00786071" w:rsidRDefault="00836B35" w:rsidP="00480FB1">
      <w:pPr>
        <w:tabs>
          <w:tab w:val="left" w:pos="540"/>
          <w:tab w:val="left" w:pos="569"/>
        </w:tabs>
        <w:rPr>
          <w:bCs/>
          <w:sz w:val="22"/>
          <w:szCs w:val="22"/>
        </w:rPr>
      </w:pPr>
    </w:p>
    <w:p w:rsidR="003F6A59" w:rsidRPr="00786071" w:rsidRDefault="0072020E" w:rsidP="00C05DF8">
      <w:pPr>
        <w:tabs>
          <w:tab w:val="left" w:pos="540"/>
          <w:tab w:val="left" w:pos="569"/>
        </w:tabs>
        <w:ind w:left="540" w:hanging="540"/>
        <w:rPr>
          <w:bCs/>
          <w:sz w:val="22"/>
          <w:szCs w:val="22"/>
        </w:rPr>
      </w:pPr>
      <w:r w:rsidRPr="00786071">
        <w:rPr>
          <w:b/>
          <w:bCs/>
          <w:sz w:val="22"/>
          <w:szCs w:val="22"/>
        </w:rPr>
        <w:t xml:space="preserve">10. </w:t>
      </w:r>
      <w:r w:rsidR="00480FB1" w:rsidRPr="00786071">
        <w:rPr>
          <w:b/>
          <w:bCs/>
          <w:sz w:val="22"/>
          <w:szCs w:val="22"/>
        </w:rPr>
        <w:tab/>
      </w:r>
      <w:r w:rsidR="002846DB" w:rsidRPr="00786071">
        <w:rPr>
          <w:b/>
          <w:bCs/>
          <w:sz w:val="22"/>
          <w:szCs w:val="22"/>
        </w:rPr>
        <w:t>D</w:t>
      </w:r>
      <w:r w:rsidR="00EC2532" w:rsidRPr="00786071">
        <w:rPr>
          <w:b/>
          <w:bCs/>
          <w:sz w:val="22"/>
          <w:szCs w:val="22"/>
        </w:rPr>
        <w:t xml:space="preserve">ATUM REVIZIJE TEKSTA </w:t>
      </w:r>
    </w:p>
    <w:p w:rsidR="003F6A59" w:rsidRDefault="003F6A59" w:rsidP="00480FB1">
      <w:pPr>
        <w:tabs>
          <w:tab w:val="left" w:pos="540"/>
          <w:tab w:val="left" w:pos="569"/>
        </w:tabs>
        <w:rPr>
          <w:bCs/>
          <w:sz w:val="22"/>
          <w:szCs w:val="22"/>
        </w:rPr>
      </w:pPr>
    </w:p>
    <w:p w:rsidR="003F6A59" w:rsidRPr="00786071" w:rsidRDefault="001E5D97" w:rsidP="00DE3F5C">
      <w:pPr>
        <w:rPr>
          <w:sz w:val="22"/>
          <w:szCs w:val="22"/>
          <w:lang w:val="pl-PL"/>
        </w:rPr>
      </w:pPr>
      <w:r>
        <w:rPr>
          <w:sz w:val="22"/>
          <w:szCs w:val="22"/>
          <w:lang w:val="pl-PL"/>
        </w:rPr>
        <w:t>Decembar, 2022. godine</w:t>
      </w:r>
    </w:p>
    <w:sectPr w:rsidR="003F6A59" w:rsidRPr="00786071" w:rsidSect="006B540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5C9" w:rsidRDefault="00F855C9">
      <w:r>
        <w:separator/>
      </w:r>
    </w:p>
  </w:endnote>
  <w:endnote w:type="continuationSeparator" w:id="0">
    <w:p w:rsidR="00F855C9" w:rsidRDefault="00F85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67C0B">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67C0B">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5C9" w:rsidRDefault="00F855C9">
      <w:r>
        <w:separator/>
      </w:r>
    </w:p>
  </w:footnote>
  <w:footnote w:type="continuationSeparator" w:id="0">
    <w:p w:rsidR="00F855C9" w:rsidRDefault="00F855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5.5pt;height:13.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76CA"/>
    <w:rsid w:val="00036FA0"/>
    <w:rsid w:val="0003793F"/>
    <w:rsid w:val="00057E35"/>
    <w:rsid w:val="00076726"/>
    <w:rsid w:val="00080303"/>
    <w:rsid w:val="000A3F58"/>
    <w:rsid w:val="000D2343"/>
    <w:rsid w:val="000D3449"/>
    <w:rsid w:val="000D425A"/>
    <w:rsid w:val="000D60CC"/>
    <w:rsid w:val="000E2084"/>
    <w:rsid w:val="000E6F55"/>
    <w:rsid w:val="000F77FA"/>
    <w:rsid w:val="00107BF7"/>
    <w:rsid w:val="00126F53"/>
    <w:rsid w:val="0014766D"/>
    <w:rsid w:val="001536CC"/>
    <w:rsid w:val="001A3FBA"/>
    <w:rsid w:val="001A5518"/>
    <w:rsid w:val="001B1C6A"/>
    <w:rsid w:val="001C1263"/>
    <w:rsid w:val="001C1417"/>
    <w:rsid w:val="001E390B"/>
    <w:rsid w:val="001E5D97"/>
    <w:rsid w:val="001F42FB"/>
    <w:rsid w:val="001F719A"/>
    <w:rsid w:val="002031B3"/>
    <w:rsid w:val="00215931"/>
    <w:rsid w:val="00224C91"/>
    <w:rsid w:val="00227BDB"/>
    <w:rsid w:val="00234CB1"/>
    <w:rsid w:val="002352F8"/>
    <w:rsid w:val="002510A5"/>
    <w:rsid w:val="00254A0A"/>
    <w:rsid w:val="00266046"/>
    <w:rsid w:val="002846DB"/>
    <w:rsid w:val="00284CCD"/>
    <w:rsid w:val="002C6637"/>
    <w:rsid w:val="002E0135"/>
    <w:rsid w:val="002E37A5"/>
    <w:rsid w:val="00310F03"/>
    <w:rsid w:val="003247D2"/>
    <w:rsid w:val="00343C3B"/>
    <w:rsid w:val="003445C1"/>
    <w:rsid w:val="00355B61"/>
    <w:rsid w:val="00362686"/>
    <w:rsid w:val="00371510"/>
    <w:rsid w:val="00396DFD"/>
    <w:rsid w:val="003A7059"/>
    <w:rsid w:val="003B7A36"/>
    <w:rsid w:val="003C17AB"/>
    <w:rsid w:val="003C7823"/>
    <w:rsid w:val="003E1DCC"/>
    <w:rsid w:val="003F11A1"/>
    <w:rsid w:val="003F6A59"/>
    <w:rsid w:val="004065C8"/>
    <w:rsid w:val="004109FA"/>
    <w:rsid w:val="00411B4B"/>
    <w:rsid w:val="00415BEE"/>
    <w:rsid w:val="00427F85"/>
    <w:rsid w:val="00436F42"/>
    <w:rsid w:val="004378B4"/>
    <w:rsid w:val="00451314"/>
    <w:rsid w:val="00452E9D"/>
    <w:rsid w:val="004534C7"/>
    <w:rsid w:val="004671AA"/>
    <w:rsid w:val="00480FB1"/>
    <w:rsid w:val="00483928"/>
    <w:rsid w:val="00487FC7"/>
    <w:rsid w:val="004C331F"/>
    <w:rsid w:val="004D6103"/>
    <w:rsid w:val="004E3BCE"/>
    <w:rsid w:val="004E70AD"/>
    <w:rsid w:val="004F0E97"/>
    <w:rsid w:val="00501DD1"/>
    <w:rsid w:val="00515C21"/>
    <w:rsid w:val="00530BD7"/>
    <w:rsid w:val="00545CD2"/>
    <w:rsid w:val="005476F3"/>
    <w:rsid w:val="00572527"/>
    <w:rsid w:val="00573E40"/>
    <w:rsid w:val="00576348"/>
    <w:rsid w:val="005A0B2E"/>
    <w:rsid w:val="005A23D2"/>
    <w:rsid w:val="005A36CB"/>
    <w:rsid w:val="005B49B8"/>
    <w:rsid w:val="005C0741"/>
    <w:rsid w:val="005C5EF4"/>
    <w:rsid w:val="005E2E0B"/>
    <w:rsid w:val="005E7A7D"/>
    <w:rsid w:val="00602457"/>
    <w:rsid w:val="00644FC3"/>
    <w:rsid w:val="00646BD1"/>
    <w:rsid w:val="006561C2"/>
    <w:rsid w:val="00671CB3"/>
    <w:rsid w:val="00674BAF"/>
    <w:rsid w:val="00682200"/>
    <w:rsid w:val="006878B9"/>
    <w:rsid w:val="00692BF6"/>
    <w:rsid w:val="006A1497"/>
    <w:rsid w:val="006B0BD1"/>
    <w:rsid w:val="006B5404"/>
    <w:rsid w:val="006D20A5"/>
    <w:rsid w:val="006D37BF"/>
    <w:rsid w:val="006E363B"/>
    <w:rsid w:val="006E7380"/>
    <w:rsid w:val="00702E22"/>
    <w:rsid w:val="0072020E"/>
    <w:rsid w:val="00786071"/>
    <w:rsid w:val="007A3ECB"/>
    <w:rsid w:val="007D7BB3"/>
    <w:rsid w:val="00824AB9"/>
    <w:rsid w:val="00836B35"/>
    <w:rsid w:val="00843BDE"/>
    <w:rsid w:val="0087588C"/>
    <w:rsid w:val="0089705C"/>
    <w:rsid w:val="008A6D43"/>
    <w:rsid w:val="008B491E"/>
    <w:rsid w:val="008C1A28"/>
    <w:rsid w:val="008C2E98"/>
    <w:rsid w:val="008E49BD"/>
    <w:rsid w:val="008E53E9"/>
    <w:rsid w:val="008E5771"/>
    <w:rsid w:val="008F4ACF"/>
    <w:rsid w:val="00924166"/>
    <w:rsid w:val="00940B9B"/>
    <w:rsid w:val="0095676E"/>
    <w:rsid w:val="00956983"/>
    <w:rsid w:val="00963CF0"/>
    <w:rsid w:val="00964BB1"/>
    <w:rsid w:val="009775D9"/>
    <w:rsid w:val="00997175"/>
    <w:rsid w:val="009A1847"/>
    <w:rsid w:val="009B062A"/>
    <w:rsid w:val="009E7C6F"/>
    <w:rsid w:val="009F1793"/>
    <w:rsid w:val="009F2D23"/>
    <w:rsid w:val="00A01D69"/>
    <w:rsid w:val="00A02335"/>
    <w:rsid w:val="00A46C9A"/>
    <w:rsid w:val="00A619F3"/>
    <w:rsid w:val="00A62A73"/>
    <w:rsid w:val="00A87FF6"/>
    <w:rsid w:val="00AA0A3B"/>
    <w:rsid w:val="00AA2763"/>
    <w:rsid w:val="00AA33B6"/>
    <w:rsid w:val="00AB50CA"/>
    <w:rsid w:val="00AB6D64"/>
    <w:rsid w:val="00AC53CE"/>
    <w:rsid w:val="00AD2193"/>
    <w:rsid w:val="00AF2AC7"/>
    <w:rsid w:val="00AF74CE"/>
    <w:rsid w:val="00B208DB"/>
    <w:rsid w:val="00B23F69"/>
    <w:rsid w:val="00B60619"/>
    <w:rsid w:val="00B66A70"/>
    <w:rsid w:val="00B67366"/>
    <w:rsid w:val="00B80EE1"/>
    <w:rsid w:val="00B84135"/>
    <w:rsid w:val="00C04D34"/>
    <w:rsid w:val="00C05DF8"/>
    <w:rsid w:val="00C06864"/>
    <w:rsid w:val="00C10F54"/>
    <w:rsid w:val="00C23D8D"/>
    <w:rsid w:val="00C37AA3"/>
    <w:rsid w:val="00C37FD7"/>
    <w:rsid w:val="00C43419"/>
    <w:rsid w:val="00C44CF3"/>
    <w:rsid w:val="00C61BE0"/>
    <w:rsid w:val="00C6707E"/>
    <w:rsid w:val="00C70B0E"/>
    <w:rsid w:val="00C773CA"/>
    <w:rsid w:val="00C83785"/>
    <w:rsid w:val="00C94C0D"/>
    <w:rsid w:val="00CA1FEB"/>
    <w:rsid w:val="00CD4F85"/>
    <w:rsid w:val="00CD6F02"/>
    <w:rsid w:val="00CE246D"/>
    <w:rsid w:val="00CF07A0"/>
    <w:rsid w:val="00CF3E03"/>
    <w:rsid w:val="00D0082A"/>
    <w:rsid w:val="00D07BC6"/>
    <w:rsid w:val="00D205CF"/>
    <w:rsid w:val="00D21455"/>
    <w:rsid w:val="00D47634"/>
    <w:rsid w:val="00D709B3"/>
    <w:rsid w:val="00DA2ED6"/>
    <w:rsid w:val="00DB76B8"/>
    <w:rsid w:val="00DC2EA1"/>
    <w:rsid w:val="00DD6AAF"/>
    <w:rsid w:val="00DE3F5C"/>
    <w:rsid w:val="00DF1D20"/>
    <w:rsid w:val="00E21324"/>
    <w:rsid w:val="00E246B9"/>
    <w:rsid w:val="00E31FEA"/>
    <w:rsid w:val="00E45169"/>
    <w:rsid w:val="00E47787"/>
    <w:rsid w:val="00E51C30"/>
    <w:rsid w:val="00E64180"/>
    <w:rsid w:val="00E74AEE"/>
    <w:rsid w:val="00E868E5"/>
    <w:rsid w:val="00E9237A"/>
    <w:rsid w:val="00E939FA"/>
    <w:rsid w:val="00EA5765"/>
    <w:rsid w:val="00EC2532"/>
    <w:rsid w:val="00ED7812"/>
    <w:rsid w:val="00EF3B86"/>
    <w:rsid w:val="00F317E9"/>
    <w:rsid w:val="00F34554"/>
    <w:rsid w:val="00F45F77"/>
    <w:rsid w:val="00F5167F"/>
    <w:rsid w:val="00F52258"/>
    <w:rsid w:val="00F67C0B"/>
    <w:rsid w:val="00F855C9"/>
    <w:rsid w:val="00F8570A"/>
    <w:rsid w:val="00F91C7B"/>
    <w:rsid w:val="00FB57D0"/>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A39A3"/>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6">
    <w:name w:val="heading 6"/>
    <w:basedOn w:val="Normal"/>
    <w:next w:val="Normal"/>
    <w:link w:val="Heading6Char"/>
    <w:semiHidden/>
    <w:unhideWhenUsed/>
    <w:qFormat/>
    <w:rsid w:val="006E363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6Char">
    <w:name w:val="Heading 6 Char"/>
    <w:basedOn w:val="DefaultParagraphFont"/>
    <w:link w:val="Heading6"/>
    <w:semiHidden/>
    <w:rsid w:val="006E363B"/>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E0328-F66F-4233-B48B-453C81F4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4641</Words>
  <Characters>26455</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31034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Dušanka Blečić</cp:lastModifiedBy>
  <cp:revision>5</cp:revision>
  <dcterms:created xsi:type="dcterms:W3CDTF">2022-12-02T06:22:00Z</dcterms:created>
  <dcterms:modified xsi:type="dcterms:W3CDTF">2025-07-23T11:43:00Z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