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240C9" w14:textId="77777777" w:rsidR="001A5518" w:rsidRPr="00CB6AFC" w:rsidRDefault="001A5518" w:rsidP="00AC6887">
      <w:pPr>
        <w:jc w:val="both"/>
        <w:rPr>
          <w:b/>
          <w:bCs/>
          <w:i/>
          <w:iCs/>
          <w:sz w:val="22"/>
          <w:szCs w:val="22"/>
          <w:u w:val="single"/>
          <w:lang w:val="sr-Latn-ME"/>
        </w:rPr>
      </w:pPr>
    </w:p>
    <w:p w14:paraId="165240CB" w14:textId="77777777" w:rsidR="002510A5" w:rsidRPr="00CB6AFC" w:rsidRDefault="002510A5" w:rsidP="00180081">
      <w:pPr>
        <w:jc w:val="center"/>
        <w:rPr>
          <w:b/>
          <w:bCs/>
          <w:iCs/>
          <w:sz w:val="22"/>
          <w:szCs w:val="22"/>
          <w:u w:val="single"/>
          <w:lang w:val="sr-Latn-ME"/>
        </w:rPr>
      </w:pPr>
      <w:r w:rsidRPr="00CB6AFC">
        <w:rPr>
          <w:b/>
          <w:bCs/>
          <w:iCs/>
          <w:sz w:val="22"/>
          <w:szCs w:val="22"/>
          <w:u w:val="single"/>
          <w:lang w:val="sr-Latn-ME"/>
        </w:rPr>
        <w:t>SAŽETAK KARAKTERISTIKA LIJEKA</w:t>
      </w:r>
    </w:p>
    <w:p w14:paraId="165240CC" w14:textId="77777777" w:rsidR="002510A5" w:rsidRPr="00CB6AFC" w:rsidRDefault="002510A5" w:rsidP="00AC6887">
      <w:pPr>
        <w:jc w:val="both"/>
        <w:rPr>
          <w:b/>
          <w:bCs/>
          <w:i/>
          <w:iCs/>
          <w:sz w:val="22"/>
          <w:szCs w:val="22"/>
          <w:u w:val="single"/>
          <w:lang w:val="sr-Latn-ME"/>
        </w:rPr>
      </w:pPr>
    </w:p>
    <w:p w14:paraId="165240D0" w14:textId="77777777" w:rsidR="00C37FD7" w:rsidRPr="00CB6AFC" w:rsidRDefault="00C37FD7" w:rsidP="00AC6887">
      <w:pPr>
        <w:tabs>
          <w:tab w:val="left" w:pos="540"/>
          <w:tab w:val="left" w:pos="569"/>
        </w:tabs>
        <w:jc w:val="both"/>
        <w:rPr>
          <w:bCs/>
          <w:sz w:val="22"/>
          <w:szCs w:val="22"/>
          <w:lang w:val="sr-Latn-ME"/>
        </w:rPr>
      </w:pPr>
    </w:p>
    <w:p w14:paraId="165240D1" w14:textId="77777777" w:rsidR="00411B4B" w:rsidRPr="00CB6AFC" w:rsidRDefault="00411B4B" w:rsidP="00AC6887">
      <w:pPr>
        <w:tabs>
          <w:tab w:val="left" w:pos="540"/>
          <w:tab w:val="left" w:pos="569"/>
        </w:tabs>
        <w:jc w:val="both"/>
        <w:rPr>
          <w:b/>
          <w:bCs/>
          <w:sz w:val="22"/>
          <w:szCs w:val="22"/>
          <w:lang w:val="sr-Latn-ME"/>
        </w:rPr>
      </w:pPr>
      <w:r w:rsidRPr="00CB6AFC">
        <w:rPr>
          <w:b/>
          <w:bCs/>
          <w:sz w:val="22"/>
          <w:szCs w:val="22"/>
          <w:lang w:val="sr-Latn-ME"/>
        </w:rPr>
        <w:t>1.</w:t>
      </w:r>
      <w:r w:rsidR="00F5167F" w:rsidRPr="00CB6AFC">
        <w:rPr>
          <w:b/>
          <w:bCs/>
          <w:sz w:val="22"/>
          <w:szCs w:val="22"/>
          <w:lang w:val="sr-Latn-ME"/>
        </w:rPr>
        <w:tab/>
      </w:r>
      <w:r w:rsidR="002846DB" w:rsidRPr="00CB6AFC">
        <w:rPr>
          <w:b/>
          <w:bCs/>
          <w:sz w:val="22"/>
          <w:szCs w:val="22"/>
          <w:lang w:val="sr-Latn-ME"/>
        </w:rPr>
        <w:t xml:space="preserve">NAZIV </w:t>
      </w:r>
      <w:r w:rsidRPr="00CB6AFC">
        <w:rPr>
          <w:b/>
          <w:bCs/>
          <w:sz w:val="22"/>
          <w:szCs w:val="22"/>
          <w:lang w:val="sr-Latn-ME"/>
        </w:rPr>
        <w:t>LIJEKA</w:t>
      </w:r>
    </w:p>
    <w:p w14:paraId="165240D2" w14:textId="77777777" w:rsidR="00EC2532" w:rsidRPr="00CB6AFC" w:rsidRDefault="00EC2532" w:rsidP="00AC6887">
      <w:pPr>
        <w:jc w:val="both"/>
        <w:rPr>
          <w:sz w:val="22"/>
          <w:szCs w:val="22"/>
          <w:lang w:val="sr-Latn-ME"/>
        </w:rPr>
      </w:pPr>
    </w:p>
    <w:p w14:paraId="22729A6F" w14:textId="42F0B6BB" w:rsidR="00657F89" w:rsidRPr="00CB6AFC" w:rsidRDefault="00657F89" w:rsidP="00AC6887">
      <w:pPr>
        <w:tabs>
          <w:tab w:val="left" w:pos="540"/>
          <w:tab w:val="left" w:pos="569"/>
        </w:tabs>
        <w:jc w:val="both"/>
        <w:rPr>
          <w:sz w:val="22"/>
          <w:szCs w:val="22"/>
          <w:lang w:val="sr-Latn-ME"/>
        </w:rPr>
      </w:pPr>
      <w:r w:rsidRPr="00CB6AFC">
        <w:rPr>
          <w:sz w:val="22"/>
          <w:szCs w:val="22"/>
          <w:lang w:val="sr-Latn-ME"/>
        </w:rPr>
        <w:t>Comboval</w:t>
      </w:r>
      <w:r w:rsidR="00CE4247" w:rsidRPr="00CB6AFC">
        <w:rPr>
          <w:sz w:val="22"/>
          <w:szCs w:val="22"/>
          <w:lang w:val="sr-Latn-ME"/>
        </w:rPr>
        <w:t>,</w:t>
      </w:r>
      <w:r w:rsidRPr="00CB6AFC">
        <w:rPr>
          <w:sz w:val="22"/>
          <w:szCs w:val="22"/>
          <w:lang w:val="sr-Latn-ME"/>
        </w:rPr>
        <w:t xml:space="preserve"> 10 mg/ml + 3 mg/ml</w:t>
      </w:r>
      <w:r w:rsidR="00CE4247" w:rsidRPr="00CB6AFC">
        <w:rPr>
          <w:sz w:val="22"/>
          <w:szCs w:val="22"/>
          <w:lang w:val="sr-Latn-ME"/>
        </w:rPr>
        <w:t>,</w:t>
      </w:r>
      <w:r w:rsidRPr="00CB6AFC">
        <w:rPr>
          <w:sz w:val="22"/>
          <w:szCs w:val="22"/>
          <w:lang w:val="sr-Latn-ME"/>
        </w:rPr>
        <w:t> rastvor za infuziju</w:t>
      </w:r>
    </w:p>
    <w:p w14:paraId="219B5B35" w14:textId="77777777" w:rsidR="00657F89" w:rsidRPr="00CB6AFC" w:rsidRDefault="00657F89" w:rsidP="00AC6887">
      <w:pPr>
        <w:tabs>
          <w:tab w:val="left" w:pos="540"/>
          <w:tab w:val="left" w:pos="569"/>
        </w:tabs>
        <w:jc w:val="both"/>
        <w:rPr>
          <w:sz w:val="22"/>
          <w:szCs w:val="22"/>
          <w:lang w:val="sr-Latn-ME"/>
        </w:rPr>
      </w:pPr>
    </w:p>
    <w:p w14:paraId="6006D3A6" w14:textId="6F514DF1" w:rsidR="00657F89" w:rsidRPr="00CB6AFC" w:rsidRDefault="00657F89" w:rsidP="00AC6887">
      <w:pPr>
        <w:tabs>
          <w:tab w:val="left" w:pos="540"/>
          <w:tab w:val="left" w:pos="569"/>
        </w:tabs>
        <w:jc w:val="both"/>
        <w:rPr>
          <w:sz w:val="22"/>
          <w:szCs w:val="22"/>
          <w:lang w:val="sr-Latn-ME"/>
        </w:rPr>
      </w:pPr>
      <w:r w:rsidRPr="00CB6AFC">
        <w:rPr>
          <w:sz w:val="22"/>
          <w:szCs w:val="22"/>
          <w:lang w:val="sr-Latn-ME"/>
        </w:rPr>
        <w:t>INN: paracetamol</w:t>
      </w:r>
      <w:r w:rsidR="00180081" w:rsidRPr="00CB6AFC">
        <w:rPr>
          <w:sz w:val="22"/>
          <w:szCs w:val="22"/>
          <w:lang w:val="sr-Latn-ME"/>
        </w:rPr>
        <w:t xml:space="preserve">, </w:t>
      </w:r>
      <w:r w:rsidRPr="00CB6AFC">
        <w:rPr>
          <w:sz w:val="22"/>
          <w:szCs w:val="22"/>
          <w:lang w:val="sr-Latn-ME"/>
        </w:rPr>
        <w:t>ibuprofen</w:t>
      </w:r>
    </w:p>
    <w:p w14:paraId="165240D6" w14:textId="77777777" w:rsidR="006D20A5" w:rsidRPr="00CB6AFC" w:rsidRDefault="006D20A5" w:rsidP="00AC6887">
      <w:pPr>
        <w:jc w:val="both"/>
        <w:rPr>
          <w:bCs/>
          <w:sz w:val="22"/>
          <w:szCs w:val="22"/>
          <w:lang w:val="sr-Latn-ME"/>
        </w:rPr>
      </w:pPr>
    </w:p>
    <w:p w14:paraId="165240D7" w14:textId="77777777" w:rsidR="00530BD7" w:rsidRPr="00CB6AFC" w:rsidRDefault="00530BD7" w:rsidP="00AC6887">
      <w:pPr>
        <w:jc w:val="both"/>
        <w:rPr>
          <w:bCs/>
          <w:sz w:val="22"/>
          <w:szCs w:val="22"/>
          <w:lang w:val="sr-Latn-ME"/>
        </w:rPr>
      </w:pPr>
    </w:p>
    <w:p w14:paraId="165240D8" w14:textId="77777777" w:rsidR="00411B4B" w:rsidRPr="00CB6AFC" w:rsidRDefault="00411B4B" w:rsidP="00AC6887">
      <w:pPr>
        <w:tabs>
          <w:tab w:val="left" w:pos="540"/>
          <w:tab w:val="left" w:pos="569"/>
        </w:tabs>
        <w:jc w:val="both"/>
        <w:rPr>
          <w:b/>
          <w:bCs/>
          <w:sz w:val="22"/>
          <w:szCs w:val="22"/>
          <w:lang w:val="sr-Latn-ME"/>
        </w:rPr>
      </w:pPr>
      <w:r w:rsidRPr="00CB6AFC">
        <w:rPr>
          <w:b/>
          <w:bCs/>
          <w:sz w:val="22"/>
          <w:szCs w:val="22"/>
          <w:lang w:val="sr-Latn-ME"/>
        </w:rPr>
        <w:t xml:space="preserve">2. </w:t>
      </w:r>
      <w:r w:rsidR="00F5167F" w:rsidRPr="00CB6AFC">
        <w:rPr>
          <w:b/>
          <w:bCs/>
          <w:sz w:val="22"/>
          <w:szCs w:val="22"/>
          <w:lang w:val="sr-Latn-ME"/>
        </w:rPr>
        <w:tab/>
      </w:r>
      <w:r w:rsidRPr="00CB6AFC">
        <w:rPr>
          <w:b/>
          <w:bCs/>
          <w:sz w:val="22"/>
          <w:szCs w:val="22"/>
          <w:lang w:val="sr-Latn-ME"/>
        </w:rPr>
        <w:t>KVALITATIVNI I KVANTITATIVNI SASTAV</w:t>
      </w:r>
    </w:p>
    <w:p w14:paraId="165240D9" w14:textId="77777777" w:rsidR="005A0B2E" w:rsidRPr="00CB6AFC" w:rsidRDefault="005A0B2E" w:rsidP="00AC6887">
      <w:pPr>
        <w:jc w:val="both"/>
        <w:rPr>
          <w:sz w:val="22"/>
          <w:szCs w:val="22"/>
          <w:lang w:val="sr-Latn-ME"/>
        </w:rPr>
      </w:pPr>
    </w:p>
    <w:p w14:paraId="5B8AC937" w14:textId="5B4C8801" w:rsidR="00B04C55" w:rsidRPr="00CB6AFC" w:rsidRDefault="00B04C55" w:rsidP="00AC6887">
      <w:pPr>
        <w:tabs>
          <w:tab w:val="left" w:pos="540"/>
          <w:tab w:val="left" w:pos="569"/>
        </w:tabs>
        <w:jc w:val="both"/>
        <w:rPr>
          <w:sz w:val="22"/>
          <w:szCs w:val="22"/>
          <w:lang w:val="sr-Latn-ME"/>
        </w:rPr>
      </w:pPr>
      <w:r w:rsidRPr="00CB6AFC">
        <w:rPr>
          <w:sz w:val="22"/>
          <w:szCs w:val="22"/>
          <w:lang w:val="sr-Latn-ME"/>
        </w:rPr>
        <w:t xml:space="preserve">Jedan ml </w:t>
      </w:r>
      <w:r w:rsidR="00180081" w:rsidRPr="00CB6AFC">
        <w:rPr>
          <w:sz w:val="22"/>
          <w:szCs w:val="22"/>
          <w:lang w:val="sr-Latn-ME"/>
        </w:rPr>
        <w:t xml:space="preserve">rastvora za infuziju </w:t>
      </w:r>
      <w:r w:rsidRPr="00CB6AFC">
        <w:rPr>
          <w:sz w:val="22"/>
          <w:szCs w:val="22"/>
          <w:lang w:val="sr-Latn-ME"/>
        </w:rPr>
        <w:t>sadrži 10 mg paracetamola i 3 mg ibuprofena (u obliku ibuprofen</w:t>
      </w:r>
      <w:r w:rsidR="00180081" w:rsidRPr="00CB6AFC">
        <w:rPr>
          <w:sz w:val="22"/>
          <w:szCs w:val="22"/>
          <w:lang w:val="sr-Latn-ME"/>
        </w:rPr>
        <w:t xml:space="preserve"> </w:t>
      </w:r>
      <w:r w:rsidRPr="00CB6AFC">
        <w:rPr>
          <w:sz w:val="22"/>
          <w:szCs w:val="22"/>
          <w:lang w:val="sr-Latn-ME"/>
        </w:rPr>
        <w:t>natrijum</w:t>
      </w:r>
      <w:r w:rsidR="00180081" w:rsidRPr="00CB6AFC">
        <w:rPr>
          <w:sz w:val="22"/>
          <w:szCs w:val="22"/>
          <w:lang w:val="sr-Latn-ME"/>
        </w:rPr>
        <w:t xml:space="preserve"> </w:t>
      </w:r>
      <w:r w:rsidRPr="00CB6AFC">
        <w:rPr>
          <w:sz w:val="22"/>
          <w:szCs w:val="22"/>
          <w:lang w:val="sr-Latn-ME"/>
        </w:rPr>
        <w:t>dihidrata).</w:t>
      </w:r>
    </w:p>
    <w:p w14:paraId="1739CB48" w14:textId="6B23ACF9" w:rsidR="00CE4247" w:rsidRPr="00CB6AFC" w:rsidRDefault="00CE4247" w:rsidP="00AC6887">
      <w:pPr>
        <w:tabs>
          <w:tab w:val="left" w:pos="540"/>
          <w:tab w:val="left" w:pos="569"/>
        </w:tabs>
        <w:jc w:val="both"/>
        <w:rPr>
          <w:sz w:val="22"/>
          <w:szCs w:val="22"/>
          <w:lang w:val="sr-Latn-ME"/>
        </w:rPr>
      </w:pPr>
      <w:r w:rsidRPr="00CB6AFC">
        <w:rPr>
          <w:sz w:val="22"/>
          <w:szCs w:val="22"/>
          <w:lang w:val="sr-Latn-ME"/>
        </w:rPr>
        <w:t>Jedna bočica od 100 ml sadrži 1000 mg paracetamola i 300 mg ibuprofena (u obliku ibuprofen natrijum dihidrata).</w:t>
      </w:r>
    </w:p>
    <w:p w14:paraId="76562C40" w14:textId="77777777" w:rsidR="00B04C55" w:rsidRPr="00CB6AFC" w:rsidRDefault="00B04C55" w:rsidP="00AC6887">
      <w:pPr>
        <w:jc w:val="both"/>
        <w:rPr>
          <w:sz w:val="22"/>
          <w:szCs w:val="22"/>
          <w:lang w:val="sr-Latn-ME"/>
        </w:rPr>
      </w:pPr>
    </w:p>
    <w:p w14:paraId="62EC9B51" w14:textId="77777777" w:rsidR="00B04C55" w:rsidRPr="00CB6AFC" w:rsidRDefault="00B04C55" w:rsidP="00AC6887">
      <w:pPr>
        <w:autoSpaceDE w:val="0"/>
        <w:autoSpaceDN w:val="0"/>
        <w:adjustRightInd w:val="0"/>
        <w:jc w:val="both"/>
        <w:rPr>
          <w:sz w:val="22"/>
          <w:szCs w:val="22"/>
          <w:u w:val="single"/>
          <w:lang w:val="sr-Latn-ME"/>
        </w:rPr>
      </w:pPr>
      <w:r w:rsidRPr="00CB6AFC">
        <w:rPr>
          <w:sz w:val="22"/>
          <w:szCs w:val="22"/>
          <w:u w:val="single"/>
          <w:lang w:val="sr-Latn-ME"/>
        </w:rPr>
        <w:t>Pomoćna supstanca sa potvrđenim dejstvom:</w:t>
      </w:r>
    </w:p>
    <w:p w14:paraId="5B3D2469" w14:textId="54819FC4" w:rsidR="00CE4247" w:rsidRPr="00CB6AFC" w:rsidRDefault="00B04C55" w:rsidP="00180081">
      <w:pPr>
        <w:pStyle w:val="EMEAEnBodyText"/>
        <w:autoSpaceDE w:val="0"/>
        <w:autoSpaceDN w:val="0"/>
        <w:adjustRightInd w:val="0"/>
        <w:spacing w:before="0" w:after="0"/>
        <w:rPr>
          <w:bCs/>
          <w:noProof/>
          <w:szCs w:val="22"/>
          <w:lang w:val="sr-Latn-ME"/>
        </w:rPr>
      </w:pPr>
      <w:r w:rsidRPr="00CB6AFC">
        <w:rPr>
          <w:bCs/>
          <w:noProof/>
          <w:szCs w:val="22"/>
          <w:lang w:val="sr-Latn-ME"/>
        </w:rPr>
        <w:t>35 mg natrij</w:t>
      </w:r>
      <w:r w:rsidR="006B4D12" w:rsidRPr="00CB6AFC">
        <w:rPr>
          <w:bCs/>
          <w:noProof/>
          <w:szCs w:val="22"/>
          <w:lang w:val="sr-Latn-ME"/>
        </w:rPr>
        <w:t>u</w:t>
      </w:r>
      <w:r w:rsidRPr="00CB6AFC">
        <w:rPr>
          <w:bCs/>
          <w:noProof/>
          <w:szCs w:val="22"/>
          <w:lang w:val="sr-Latn-ME"/>
        </w:rPr>
        <w:t>ma u 100 ml (0</w:t>
      </w:r>
      <w:r w:rsidR="00A73227" w:rsidRPr="00CB6AFC">
        <w:rPr>
          <w:bCs/>
          <w:noProof/>
          <w:szCs w:val="22"/>
          <w:lang w:val="sr-Latn-ME"/>
        </w:rPr>
        <w:t>.</w:t>
      </w:r>
      <w:r w:rsidRPr="00CB6AFC">
        <w:rPr>
          <w:bCs/>
          <w:noProof/>
          <w:szCs w:val="22"/>
          <w:lang w:val="sr-Latn-ME"/>
        </w:rPr>
        <w:t>35 mg/ml).</w:t>
      </w:r>
    </w:p>
    <w:p w14:paraId="3144087D" w14:textId="77777777" w:rsidR="00B04C55" w:rsidRPr="00CB6AFC" w:rsidRDefault="00B04C55" w:rsidP="00180081">
      <w:pPr>
        <w:pStyle w:val="EMEAEnBodyText"/>
        <w:autoSpaceDE w:val="0"/>
        <w:autoSpaceDN w:val="0"/>
        <w:adjustRightInd w:val="0"/>
        <w:spacing w:before="0" w:after="0"/>
        <w:rPr>
          <w:bCs/>
          <w:noProof/>
          <w:szCs w:val="22"/>
          <w:lang w:val="sr-Latn-ME"/>
        </w:rPr>
      </w:pPr>
    </w:p>
    <w:p w14:paraId="165240DA" w14:textId="29F7499F" w:rsidR="0003793F" w:rsidRPr="00CB6AFC" w:rsidRDefault="0003793F" w:rsidP="00AC6887">
      <w:pPr>
        <w:jc w:val="both"/>
        <w:rPr>
          <w:sz w:val="22"/>
          <w:szCs w:val="22"/>
          <w:lang w:val="sr-Latn-ME"/>
        </w:rPr>
      </w:pPr>
      <w:r w:rsidRPr="00CB6AFC">
        <w:rPr>
          <w:sz w:val="22"/>
          <w:szCs w:val="22"/>
          <w:lang w:val="sr-Latn-ME"/>
        </w:rPr>
        <w:t>Za spisak svih ekscipijenasa, pogledati dio 6.1.</w:t>
      </w:r>
    </w:p>
    <w:p w14:paraId="165240DB" w14:textId="77777777" w:rsidR="0003793F" w:rsidRPr="00CB6AFC" w:rsidRDefault="0003793F" w:rsidP="00AC6887">
      <w:pPr>
        <w:jc w:val="both"/>
        <w:rPr>
          <w:sz w:val="22"/>
          <w:szCs w:val="22"/>
          <w:lang w:val="sr-Latn-ME"/>
        </w:rPr>
      </w:pPr>
    </w:p>
    <w:p w14:paraId="165240DC" w14:textId="77777777" w:rsidR="00C37FD7" w:rsidRPr="00CB6AFC" w:rsidRDefault="00C37FD7" w:rsidP="00AC6887">
      <w:pPr>
        <w:jc w:val="both"/>
        <w:rPr>
          <w:sz w:val="22"/>
          <w:szCs w:val="22"/>
          <w:lang w:val="sr-Latn-ME"/>
        </w:rPr>
      </w:pPr>
    </w:p>
    <w:p w14:paraId="165240DD" w14:textId="77777777" w:rsidR="00411B4B" w:rsidRPr="00CB6AFC" w:rsidRDefault="00411B4B" w:rsidP="00AC6887">
      <w:pPr>
        <w:tabs>
          <w:tab w:val="left" w:pos="540"/>
          <w:tab w:val="left" w:pos="569"/>
        </w:tabs>
        <w:jc w:val="both"/>
        <w:rPr>
          <w:b/>
          <w:bCs/>
          <w:sz w:val="22"/>
          <w:szCs w:val="22"/>
          <w:lang w:val="sr-Latn-ME"/>
        </w:rPr>
      </w:pPr>
      <w:r w:rsidRPr="00CB6AFC">
        <w:rPr>
          <w:b/>
          <w:bCs/>
          <w:sz w:val="22"/>
          <w:szCs w:val="22"/>
          <w:lang w:val="sr-Latn-ME"/>
        </w:rPr>
        <w:t xml:space="preserve">3. </w:t>
      </w:r>
      <w:r w:rsidR="00F5167F" w:rsidRPr="00CB6AFC">
        <w:rPr>
          <w:b/>
          <w:bCs/>
          <w:sz w:val="22"/>
          <w:szCs w:val="22"/>
          <w:lang w:val="sr-Latn-ME"/>
        </w:rPr>
        <w:tab/>
      </w:r>
      <w:r w:rsidRPr="00CB6AFC">
        <w:rPr>
          <w:b/>
          <w:bCs/>
          <w:sz w:val="22"/>
          <w:szCs w:val="22"/>
          <w:lang w:val="sr-Latn-ME"/>
        </w:rPr>
        <w:t>FARMACEUTSKI OBLIK</w:t>
      </w:r>
      <w:r w:rsidR="009F2D23" w:rsidRPr="00CB6AFC">
        <w:rPr>
          <w:b/>
          <w:bCs/>
          <w:sz w:val="22"/>
          <w:szCs w:val="22"/>
          <w:lang w:val="sr-Latn-ME"/>
        </w:rPr>
        <w:t xml:space="preserve"> </w:t>
      </w:r>
    </w:p>
    <w:p w14:paraId="165240DE" w14:textId="77777777" w:rsidR="00411B4B" w:rsidRPr="00CB6AFC" w:rsidRDefault="00411B4B" w:rsidP="00AC6887">
      <w:pPr>
        <w:jc w:val="both"/>
        <w:rPr>
          <w:bCs/>
          <w:sz w:val="22"/>
          <w:szCs w:val="22"/>
          <w:lang w:val="sr-Latn-ME"/>
        </w:rPr>
      </w:pPr>
    </w:p>
    <w:p w14:paraId="5EB606D9" w14:textId="77777777" w:rsidR="00B04C55" w:rsidRPr="00CB6AFC" w:rsidRDefault="00B04C55" w:rsidP="00AC6887">
      <w:pPr>
        <w:jc w:val="both"/>
        <w:rPr>
          <w:sz w:val="22"/>
          <w:szCs w:val="22"/>
          <w:lang w:val="sr-Latn-ME"/>
        </w:rPr>
      </w:pPr>
      <w:r w:rsidRPr="00CB6AFC">
        <w:rPr>
          <w:sz w:val="22"/>
          <w:szCs w:val="22"/>
          <w:lang w:val="sr-Latn-ME"/>
        </w:rPr>
        <w:t>Rastvor za infuziju.</w:t>
      </w:r>
    </w:p>
    <w:p w14:paraId="08318C00" w14:textId="248CE5E9" w:rsidR="00B04C55" w:rsidRPr="00CB6AFC" w:rsidRDefault="00B04C55" w:rsidP="00AC6887">
      <w:pPr>
        <w:jc w:val="both"/>
        <w:rPr>
          <w:sz w:val="22"/>
          <w:szCs w:val="22"/>
          <w:lang w:val="sr-Latn-ME"/>
        </w:rPr>
      </w:pPr>
      <w:r w:rsidRPr="00CB6AFC">
        <w:rPr>
          <w:sz w:val="22"/>
          <w:szCs w:val="22"/>
          <w:lang w:val="sr-Latn-ME"/>
        </w:rPr>
        <w:t>Bistar, bezbojan rastvor, bez vidljivih čestica, sa pH 6,3</w:t>
      </w:r>
      <w:r w:rsidR="00CE4247" w:rsidRPr="00CB6AFC">
        <w:rPr>
          <w:sz w:val="22"/>
          <w:szCs w:val="22"/>
          <w:lang w:val="sr-Latn-ME"/>
        </w:rPr>
        <w:t xml:space="preserve"> </w:t>
      </w:r>
      <w:r w:rsidRPr="00CB6AFC">
        <w:rPr>
          <w:sz w:val="22"/>
          <w:szCs w:val="22"/>
          <w:lang w:val="sr-Latn-ME"/>
        </w:rPr>
        <w:t>-</w:t>
      </w:r>
      <w:r w:rsidR="00CE4247" w:rsidRPr="00CB6AFC">
        <w:rPr>
          <w:sz w:val="22"/>
          <w:szCs w:val="22"/>
          <w:lang w:val="sr-Latn-ME"/>
        </w:rPr>
        <w:t xml:space="preserve"> </w:t>
      </w:r>
      <w:r w:rsidRPr="00CB6AFC">
        <w:rPr>
          <w:sz w:val="22"/>
          <w:szCs w:val="22"/>
          <w:lang w:val="sr-Latn-ME"/>
        </w:rPr>
        <w:t>7,3 i osmolalnošću od 285</w:t>
      </w:r>
      <w:r w:rsidR="00CE4247" w:rsidRPr="00CB6AFC">
        <w:rPr>
          <w:sz w:val="22"/>
          <w:szCs w:val="22"/>
          <w:lang w:val="sr-Latn-ME"/>
        </w:rPr>
        <w:t xml:space="preserve"> </w:t>
      </w:r>
      <w:r w:rsidRPr="00CB6AFC">
        <w:rPr>
          <w:sz w:val="22"/>
          <w:szCs w:val="22"/>
          <w:lang w:val="sr-Latn-ME"/>
        </w:rPr>
        <w:t>-</w:t>
      </w:r>
      <w:r w:rsidR="00CE4247" w:rsidRPr="00CB6AFC">
        <w:rPr>
          <w:sz w:val="22"/>
          <w:szCs w:val="22"/>
          <w:lang w:val="sr-Latn-ME"/>
        </w:rPr>
        <w:t xml:space="preserve"> </w:t>
      </w:r>
      <w:r w:rsidRPr="00CB6AFC">
        <w:rPr>
          <w:sz w:val="22"/>
          <w:szCs w:val="22"/>
          <w:lang w:val="sr-Latn-ME"/>
        </w:rPr>
        <w:t>320 mOsmol/kg.</w:t>
      </w:r>
    </w:p>
    <w:p w14:paraId="1410E1BC" w14:textId="77777777" w:rsidR="00ED4B2E" w:rsidRPr="00CB6AFC" w:rsidRDefault="00ED4B2E" w:rsidP="00AC6887">
      <w:pPr>
        <w:jc w:val="both"/>
        <w:rPr>
          <w:sz w:val="22"/>
          <w:szCs w:val="22"/>
          <w:lang w:val="sr-Latn-ME"/>
        </w:rPr>
      </w:pPr>
    </w:p>
    <w:p w14:paraId="165240DF" w14:textId="77777777" w:rsidR="00EC2532" w:rsidRPr="00CB6AFC" w:rsidRDefault="00EC2532" w:rsidP="00AC6887">
      <w:pPr>
        <w:jc w:val="both"/>
        <w:rPr>
          <w:bCs/>
          <w:sz w:val="22"/>
          <w:szCs w:val="22"/>
          <w:lang w:val="sr-Latn-ME"/>
        </w:rPr>
      </w:pPr>
    </w:p>
    <w:p w14:paraId="165240E0" w14:textId="77777777" w:rsidR="00411B4B" w:rsidRPr="00CB6AFC" w:rsidRDefault="00411B4B" w:rsidP="00AC6887">
      <w:pPr>
        <w:tabs>
          <w:tab w:val="left" w:pos="540"/>
          <w:tab w:val="left" w:pos="569"/>
        </w:tabs>
        <w:jc w:val="both"/>
        <w:rPr>
          <w:b/>
          <w:bCs/>
          <w:sz w:val="22"/>
          <w:szCs w:val="22"/>
          <w:lang w:val="sr-Latn-ME"/>
        </w:rPr>
      </w:pPr>
      <w:r w:rsidRPr="00CB6AFC">
        <w:rPr>
          <w:b/>
          <w:bCs/>
          <w:sz w:val="22"/>
          <w:szCs w:val="22"/>
          <w:lang w:val="sr-Latn-ME"/>
        </w:rPr>
        <w:t xml:space="preserve">4. </w:t>
      </w:r>
      <w:r w:rsidR="00480FB1" w:rsidRPr="00CB6AFC">
        <w:rPr>
          <w:b/>
          <w:bCs/>
          <w:sz w:val="22"/>
          <w:szCs w:val="22"/>
          <w:lang w:val="sr-Latn-ME"/>
        </w:rPr>
        <w:tab/>
      </w:r>
      <w:r w:rsidRPr="00CB6AFC">
        <w:rPr>
          <w:b/>
          <w:bCs/>
          <w:sz w:val="22"/>
          <w:szCs w:val="22"/>
          <w:lang w:val="sr-Latn-ME"/>
        </w:rPr>
        <w:t>KLINIČKI PODACI</w:t>
      </w:r>
    </w:p>
    <w:p w14:paraId="165240E1" w14:textId="77777777" w:rsidR="00CD6F02" w:rsidRPr="00CB6AFC" w:rsidRDefault="00CD6F02" w:rsidP="00AC6887">
      <w:pPr>
        <w:tabs>
          <w:tab w:val="left" w:pos="540"/>
          <w:tab w:val="left" w:pos="569"/>
        </w:tabs>
        <w:jc w:val="both"/>
        <w:rPr>
          <w:bCs/>
          <w:sz w:val="22"/>
          <w:szCs w:val="22"/>
          <w:lang w:val="sr-Latn-ME"/>
        </w:rPr>
      </w:pPr>
    </w:p>
    <w:p w14:paraId="165240E2" w14:textId="77777777" w:rsidR="00411B4B" w:rsidRPr="00CB6AFC" w:rsidRDefault="00411B4B" w:rsidP="00AC6887">
      <w:pPr>
        <w:tabs>
          <w:tab w:val="left" w:pos="540"/>
          <w:tab w:val="left" w:pos="569"/>
        </w:tabs>
        <w:jc w:val="both"/>
        <w:rPr>
          <w:b/>
          <w:bCs/>
          <w:sz w:val="22"/>
          <w:szCs w:val="22"/>
          <w:lang w:val="sr-Latn-ME"/>
        </w:rPr>
      </w:pPr>
      <w:r w:rsidRPr="00CB6AFC">
        <w:rPr>
          <w:b/>
          <w:bCs/>
          <w:sz w:val="22"/>
          <w:szCs w:val="22"/>
          <w:lang w:val="sr-Latn-ME"/>
        </w:rPr>
        <w:t xml:space="preserve">4.1. </w:t>
      </w:r>
      <w:r w:rsidR="00480FB1" w:rsidRPr="00CB6AFC">
        <w:rPr>
          <w:b/>
          <w:bCs/>
          <w:sz w:val="22"/>
          <w:szCs w:val="22"/>
          <w:lang w:val="sr-Latn-ME"/>
        </w:rPr>
        <w:tab/>
      </w:r>
      <w:r w:rsidRPr="00CB6AFC">
        <w:rPr>
          <w:b/>
          <w:bCs/>
          <w:sz w:val="22"/>
          <w:szCs w:val="22"/>
          <w:lang w:val="sr-Latn-ME"/>
        </w:rPr>
        <w:t>Terapijske indikacije</w:t>
      </w:r>
    </w:p>
    <w:p w14:paraId="165240E3" w14:textId="77777777" w:rsidR="00411B4B" w:rsidRPr="00CB6AFC" w:rsidRDefault="00411B4B" w:rsidP="00AC6887">
      <w:pPr>
        <w:tabs>
          <w:tab w:val="left" w:pos="540"/>
          <w:tab w:val="left" w:pos="569"/>
        </w:tabs>
        <w:jc w:val="both"/>
        <w:rPr>
          <w:bCs/>
          <w:sz w:val="22"/>
          <w:szCs w:val="22"/>
          <w:lang w:val="sr-Latn-ME"/>
        </w:rPr>
      </w:pPr>
    </w:p>
    <w:p w14:paraId="37B5057C" w14:textId="1E25D0F4" w:rsidR="00B04C55" w:rsidRPr="00CB6AFC" w:rsidRDefault="00180081" w:rsidP="00AC6887">
      <w:pPr>
        <w:jc w:val="both"/>
        <w:rPr>
          <w:sz w:val="22"/>
          <w:szCs w:val="22"/>
          <w:lang w:val="sr-Latn-ME"/>
        </w:rPr>
      </w:pPr>
      <w:r w:rsidRPr="00CB6AFC">
        <w:rPr>
          <w:noProof/>
          <w:sz w:val="22"/>
          <w:szCs w:val="22"/>
          <w:lang w:val="sr-Latn-ME"/>
        </w:rPr>
        <w:t xml:space="preserve">Lijek </w:t>
      </w:r>
      <w:r w:rsidR="00B04C55" w:rsidRPr="00CB6AFC">
        <w:rPr>
          <w:noProof/>
          <w:sz w:val="22"/>
          <w:szCs w:val="22"/>
          <w:lang w:val="sr-Latn-ME"/>
        </w:rPr>
        <w:t>Comboval 10 mg/ml + 3 mg/ml</w:t>
      </w:r>
      <w:r w:rsidR="00B04C55" w:rsidRPr="00CB6AFC">
        <w:rPr>
          <w:sz w:val="22"/>
          <w:szCs w:val="22"/>
          <w:lang w:val="sr-Latn-ME"/>
        </w:rPr>
        <w:t xml:space="preserve"> rastvor za infuziju</w:t>
      </w:r>
      <w:r w:rsidR="00B04C55" w:rsidRPr="00CB6AFC">
        <w:rPr>
          <w:color w:val="000000"/>
          <w:sz w:val="22"/>
          <w:szCs w:val="22"/>
          <w:lang w:val="sr-Latn-ME"/>
        </w:rPr>
        <w:t xml:space="preserve"> je indikovan kod odraslih za kratkotrajno simptomatsko liječenje akutnog bola umjerenog intenziteta, kad se intravenski put primjene smatra klinički potrebnim i/ili kada drugi putevi primjene nijesu mogući</w:t>
      </w:r>
      <w:r w:rsidR="00B04C55" w:rsidRPr="00CB6AFC">
        <w:rPr>
          <w:sz w:val="22"/>
          <w:szCs w:val="22"/>
          <w:lang w:val="sr-Latn-ME"/>
        </w:rPr>
        <w:t>.</w:t>
      </w:r>
    </w:p>
    <w:p w14:paraId="1B9B811D" w14:textId="77777777" w:rsidR="00B04C55" w:rsidRPr="00CB6AFC" w:rsidRDefault="00B04C55" w:rsidP="00AC6887">
      <w:pPr>
        <w:tabs>
          <w:tab w:val="left" w:pos="540"/>
          <w:tab w:val="left" w:pos="569"/>
        </w:tabs>
        <w:jc w:val="both"/>
        <w:rPr>
          <w:bCs/>
          <w:sz w:val="22"/>
          <w:szCs w:val="22"/>
          <w:lang w:val="sr-Latn-ME"/>
        </w:rPr>
      </w:pPr>
    </w:p>
    <w:p w14:paraId="165240E4" w14:textId="77777777" w:rsidR="00411B4B" w:rsidRPr="00CB6AFC" w:rsidRDefault="00411B4B" w:rsidP="00AC6887">
      <w:pPr>
        <w:tabs>
          <w:tab w:val="left" w:pos="540"/>
          <w:tab w:val="left" w:pos="569"/>
        </w:tabs>
        <w:jc w:val="both"/>
        <w:rPr>
          <w:b/>
          <w:bCs/>
          <w:sz w:val="22"/>
          <w:szCs w:val="22"/>
          <w:lang w:val="sr-Latn-ME"/>
        </w:rPr>
      </w:pPr>
      <w:r w:rsidRPr="00CB6AFC">
        <w:rPr>
          <w:b/>
          <w:bCs/>
          <w:sz w:val="22"/>
          <w:szCs w:val="22"/>
          <w:lang w:val="sr-Latn-ME"/>
        </w:rPr>
        <w:t xml:space="preserve">4.2. </w:t>
      </w:r>
      <w:r w:rsidR="00480FB1" w:rsidRPr="00CB6AFC">
        <w:rPr>
          <w:b/>
          <w:bCs/>
          <w:sz w:val="22"/>
          <w:szCs w:val="22"/>
          <w:lang w:val="sr-Latn-ME"/>
        </w:rPr>
        <w:tab/>
      </w:r>
      <w:r w:rsidRPr="00CB6AFC">
        <w:rPr>
          <w:b/>
          <w:bCs/>
          <w:sz w:val="22"/>
          <w:szCs w:val="22"/>
          <w:lang w:val="sr-Latn-ME"/>
        </w:rPr>
        <w:t>Doziranje i način primjene</w:t>
      </w:r>
    </w:p>
    <w:p w14:paraId="165240E5" w14:textId="77777777" w:rsidR="0072020E" w:rsidRPr="00CB6AFC" w:rsidRDefault="0072020E" w:rsidP="00AC6887">
      <w:pPr>
        <w:tabs>
          <w:tab w:val="left" w:pos="540"/>
          <w:tab w:val="left" w:pos="569"/>
        </w:tabs>
        <w:jc w:val="both"/>
        <w:rPr>
          <w:bCs/>
          <w:sz w:val="22"/>
          <w:szCs w:val="22"/>
          <w:lang w:val="sr-Latn-ME"/>
        </w:rPr>
      </w:pPr>
    </w:p>
    <w:p w14:paraId="165240E6" w14:textId="77777777" w:rsidR="00452E9D" w:rsidRPr="00CB6AFC" w:rsidRDefault="00452E9D" w:rsidP="00AC6887">
      <w:pPr>
        <w:tabs>
          <w:tab w:val="left" w:pos="540"/>
          <w:tab w:val="left" w:pos="569"/>
        </w:tabs>
        <w:jc w:val="both"/>
        <w:rPr>
          <w:bCs/>
          <w:sz w:val="22"/>
          <w:szCs w:val="22"/>
          <w:u w:val="single"/>
          <w:lang w:val="sr-Latn-ME"/>
        </w:rPr>
      </w:pPr>
      <w:r w:rsidRPr="00CB6AFC">
        <w:rPr>
          <w:bCs/>
          <w:sz w:val="22"/>
          <w:szCs w:val="22"/>
          <w:u w:val="single"/>
          <w:lang w:val="sr-Latn-ME"/>
        </w:rPr>
        <w:t>Doziranje</w:t>
      </w:r>
    </w:p>
    <w:p w14:paraId="435B0EA7" w14:textId="07F57A68" w:rsidR="000303AC" w:rsidRPr="00CB6AFC" w:rsidRDefault="000303AC" w:rsidP="00AC6887">
      <w:pPr>
        <w:jc w:val="both"/>
        <w:rPr>
          <w:sz w:val="22"/>
          <w:szCs w:val="22"/>
          <w:lang w:val="sr-Latn-ME"/>
        </w:rPr>
      </w:pPr>
      <w:r w:rsidRPr="00CB6AFC">
        <w:rPr>
          <w:sz w:val="22"/>
          <w:szCs w:val="22"/>
          <w:lang w:val="sr-Latn-ME"/>
        </w:rPr>
        <w:t xml:space="preserve">Za intravensku </w:t>
      </w:r>
      <w:r w:rsidRPr="00CB6AFC">
        <w:rPr>
          <w:color w:val="000000"/>
          <w:sz w:val="22"/>
          <w:szCs w:val="22"/>
          <w:lang w:val="sr-Latn-ME" w:eastAsia="hr-HR"/>
        </w:rPr>
        <w:t>i kratkotrajnu primjenu do najduže dva dana. Neželjena dejstva se mogu minimizirati primjenom najniže efikasne doze tokom najkraćeg vremena potrebnog za kontrolu simptoma (</w:t>
      </w:r>
      <w:r w:rsidR="00ED4B2E" w:rsidRPr="00CB6AFC">
        <w:rPr>
          <w:sz w:val="22"/>
          <w:szCs w:val="22"/>
          <w:lang w:val="sr-Latn-ME"/>
        </w:rPr>
        <w:t xml:space="preserve">vidjeti </w:t>
      </w:r>
      <w:r w:rsidR="008C7B4A" w:rsidRPr="00CB6AFC">
        <w:rPr>
          <w:sz w:val="22"/>
          <w:szCs w:val="22"/>
          <w:lang w:val="sr-Latn-ME"/>
        </w:rPr>
        <w:t>dio</w:t>
      </w:r>
      <w:r w:rsidRPr="00CB6AFC">
        <w:rPr>
          <w:color w:val="000000"/>
          <w:sz w:val="22"/>
          <w:szCs w:val="22"/>
          <w:lang w:val="sr-Latn-ME" w:eastAsia="hr-HR"/>
        </w:rPr>
        <w:t xml:space="preserve"> 4.4.).</w:t>
      </w:r>
    </w:p>
    <w:p w14:paraId="174DEB6C" w14:textId="77777777" w:rsidR="000303AC" w:rsidRPr="00CB6AFC" w:rsidRDefault="000303AC" w:rsidP="00AC6887">
      <w:pPr>
        <w:jc w:val="both"/>
        <w:rPr>
          <w:sz w:val="22"/>
          <w:szCs w:val="22"/>
          <w:u w:val="single"/>
          <w:lang w:val="sr-Latn-ME"/>
        </w:rPr>
      </w:pPr>
    </w:p>
    <w:p w14:paraId="234D3E0A" w14:textId="06BCECE5" w:rsidR="000303AC" w:rsidRPr="00CB6AFC" w:rsidRDefault="000303AC" w:rsidP="00AC6887">
      <w:pPr>
        <w:jc w:val="both"/>
        <w:rPr>
          <w:b/>
          <w:bCs/>
          <w:i/>
          <w:iCs/>
          <w:sz w:val="22"/>
          <w:szCs w:val="22"/>
          <w:lang w:val="sr-Latn-ME"/>
        </w:rPr>
      </w:pPr>
      <w:r w:rsidRPr="00CB6AFC">
        <w:rPr>
          <w:b/>
          <w:bCs/>
          <w:i/>
          <w:iCs/>
          <w:sz w:val="22"/>
          <w:szCs w:val="22"/>
          <w:lang w:val="sr-Latn-ME"/>
        </w:rPr>
        <w:t xml:space="preserve">Odrasli (tjelesne </w:t>
      </w:r>
      <w:r w:rsidR="00180081" w:rsidRPr="00CB6AFC">
        <w:rPr>
          <w:b/>
          <w:bCs/>
          <w:i/>
          <w:iCs/>
          <w:sz w:val="22"/>
          <w:szCs w:val="22"/>
          <w:lang w:val="sr-Latn-ME"/>
        </w:rPr>
        <w:t>mase</w:t>
      </w:r>
      <w:r w:rsidRPr="00CB6AFC">
        <w:rPr>
          <w:b/>
          <w:bCs/>
          <w:i/>
          <w:iCs/>
          <w:sz w:val="22"/>
          <w:szCs w:val="22"/>
          <w:lang w:val="sr-Latn-ME"/>
        </w:rPr>
        <w:t xml:space="preserve"> &gt;</w:t>
      </w:r>
      <w:r w:rsidR="00ED4B2E" w:rsidRPr="00CB6AFC">
        <w:rPr>
          <w:b/>
          <w:bCs/>
          <w:i/>
          <w:iCs/>
          <w:sz w:val="22"/>
          <w:szCs w:val="22"/>
          <w:lang w:val="sr-Latn-ME"/>
        </w:rPr>
        <w:t xml:space="preserve"> </w:t>
      </w:r>
      <w:r w:rsidRPr="00CB6AFC">
        <w:rPr>
          <w:b/>
          <w:bCs/>
          <w:i/>
          <w:iCs/>
          <w:sz w:val="22"/>
          <w:szCs w:val="22"/>
          <w:lang w:val="sr-Latn-ME"/>
        </w:rPr>
        <w:t>50 kg)</w:t>
      </w:r>
    </w:p>
    <w:p w14:paraId="6551DB20" w14:textId="24CCDE14" w:rsidR="000303AC" w:rsidRPr="00CB6AFC" w:rsidRDefault="000303AC" w:rsidP="00AC6887">
      <w:pPr>
        <w:jc w:val="both"/>
        <w:rPr>
          <w:color w:val="000000"/>
          <w:sz w:val="22"/>
          <w:szCs w:val="22"/>
          <w:lang w:val="sr-Latn-ME" w:eastAsia="hr-HR"/>
        </w:rPr>
      </w:pPr>
      <w:r w:rsidRPr="00CB6AFC">
        <w:rPr>
          <w:color w:val="000000"/>
          <w:sz w:val="22"/>
          <w:szCs w:val="22"/>
          <w:lang w:val="sr-Latn-ME" w:eastAsia="hr-HR"/>
        </w:rPr>
        <w:t>Prim</w:t>
      </w:r>
      <w:r w:rsidR="00ED4B2E" w:rsidRPr="00CB6AFC">
        <w:rPr>
          <w:color w:val="000000"/>
          <w:sz w:val="22"/>
          <w:szCs w:val="22"/>
          <w:lang w:val="sr-Latn-ME" w:eastAsia="hr-HR"/>
        </w:rPr>
        <w:t>i</w:t>
      </w:r>
      <w:r w:rsidRPr="00CB6AFC">
        <w:rPr>
          <w:color w:val="000000"/>
          <w:sz w:val="22"/>
          <w:szCs w:val="22"/>
          <w:lang w:val="sr-Latn-ME" w:eastAsia="hr-HR"/>
        </w:rPr>
        <w:t xml:space="preserve">jeniti jednu bočicu (100 ml) </w:t>
      </w:r>
      <w:r w:rsidR="00180081" w:rsidRPr="00CB6AFC">
        <w:rPr>
          <w:color w:val="000000"/>
          <w:sz w:val="22"/>
          <w:szCs w:val="22"/>
          <w:lang w:val="sr-Latn-ME" w:eastAsia="hr-HR"/>
        </w:rPr>
        <w:t xml:space="preserve">lijeka </w:t>
      </w:r>
      <w:r w:rsidRPr="00CB6AFC">
        <w:rPr>
          <w:noProof/>
          <w:sz w:val="22"/>
          <w:szCs w:val="22"/>
          <w:lang w:val="sr-Latn-ME"/>
        </w:rPr>
        <w:t>Comboval 10 mg/ml + 3 mg/ml</w:t>
      </w:r>
      <w:r w:rsidRPr="00CB6AFC">
        <w:rPr>
          <w:color w:val="000000"/>
          <w:sz w:val="22"/>
          <w:szCs w:val="22"/>
          <w:lang w:val="sr-Latn-ME" w:eastAsia="hr-HR"/>
        </w:rPr>
        <w:t xml:space="preserve"> rastvor za infuziju u obliku 15-minutne infuzije svakih 6 sati, p</w:t>
      </w:r>
      <w:r w:rsidR="00180081" w:rsidRPr="00CB6AFC">
        <w:rPr>
          <w:color w:val="000000"/>
          <w:sz w:val="22"/>
          <w:szCs w:val="22"/>
          <w:lang w:val="sr-Latn-ME" w:eastAsia="hr-HR"/>
        </w:rPr>
        <w:t>o</w:t>
      </w:r>
      <w:r w:rsidRPr="00CB6AFC">
        <w:rPr>
          <w:color w:val="000000"/>
          <w:sz w:val="22"/>
          <w:szCs w:val="22"/>
          <w:lang w:val="sr-Latn-ME" w:eastAsia="hr-HR"/>
        </w:rPr>
        <w:t xml:space="preserve"> potrebi. Ne smije se prekoračiti ukupna dnevna doza od četiri bočice (400 ml), što je 4000 mg (4 g) paracetamola i 1200 mg ibuprofena.</w:t>
      </w:r>
    </w:p>
    <w:p w14:paraId="10503E22" w14:textId="77777777" w:rsidR="000303AC" w:rsidRPr="00CB6AFC" w:rsidRDefault="000303AC" w:rsidP="00AC6887">
      <w:pPr>
        <w:jc w:val="both"/>
        <w:rPr>
          <w:sz w:val="22"/>
          <w:szCs w:val="22"/>
          <w:u w:val="single"/>
          <w:lang w:val="sr-Latn-ME"/>
        </w:rPr>
      </w:pPr>
    </w:p>
    <w:p w14:paraId="716C5A37" w14:textId="1ECA84C7" w:rsidR="000303AC" w:rsidRPr="00CB6AFC" w:rsidRDefault="000303AC" w:rsidP="00AC6887">
      <w:pPr>
        <w:jc w:val="both"/>
        <w:rPr>
          <w:b/>
          <w:bCs/>
          <w:i/>
          <w:iCs/>
          <w:sz w:val="22"/>
          <w:szCs w:val="22"/>
          <w:lang w:val="sr-Latn-ME"/>
        </w:rPr>
      </w:pPr>
      <w:r w:rsidRPr="00CB6AFC">
        <w:rPr>
          <w:b/>
          <w:bCs/>
          <w:i/>
          <w:iCs/>
          <w:sz w:val="22"/>
          <w:szCs w:val="22"/>
          <w:lang w:val="sr-Latn-ME"/>
        </w:rPr>
        <w:t xml:space="preserve">Odrasli (tjelesne </w:t>
      </w:r>
      <w:r w:rsidR="00180081" w:rsidRPr="00CB6AFC">
        <w:rPr>
          <w:b/>
          <w:bCs/>
          <w:i/>
          <w:iCs/>
          <w:sz w:val="22"/>
          <w:szCs w:val="22"/>
          <w:lang w:val="sr-Latn-ME"/>
        </w:rPr>
        <w:t>mase</w:t>
      </w:r>
      <w:r w:rsidRPr="00CB6AFC">
        <w:rPr>
          <w:b/>
          <w:bCs/>
          <w:i/>
          <w:iCs/>
          <w:sz w:val="22"/>
          <w:szCs w:val="22"/>
          <w:lang w:val="sr-Latn-ME"/>
        </w:rPr>
        <w:t xml:space="preserve"> ≤</w:t>
      </w:r>
      <w:r w:rsidR="00ED4B2E" w:rsidRPr="00CB6AFC">
        <w:rPr>
          <w:b/>
          <w:bCs/>
          <w:i/>
          <w:iCs/>
          <w:sz w:val="22"/>
          <w:szCs w:val="22"/>
          <w:lang w:val="sr-Latn-ME"/>
        </w:rPr>
        <w:t xml:space="preserve"> </w:t>
      </w:r>
      <w:r w:rsidRPr="00CB6AFC">
        <w:rPr>
          <w:b/>
          <w:bCs/>
          <w:i/>
          <w:iCs/>
          <w:sz w:val="22"/>
          <w:szCs w:val="22"/>
          <w:lang w:val="sr-Latn-ME"/>
        </w:rPr>
        <w:t>50 kg)</w:t>
      </w:r>
    </w:p>
    <w:p w14:paraId="64CDF533" w14:textId="50B264F9" w:rsidR="000303AC" w:rsidRPr="00CB6AFC" w:rsidRDefault="000303AC" w:rsidP="00AC6887">
      <w:pPr>
        <w:jc w:val="both"/>
        <w:rPr>
          <w:color w:val="000000"/>
          <w:sz w:val="22"/>
          <w:szCs w:val="22"/>
          <w:lang w:val="sr-Latn-ME" w:eastAsia="hr-HR"/>
        </w:rPr>
      </w:pPr>
      <w:r w:rsidRPr="00CB6AFC">
        <w:rPr>
          <w:color w:val="000000"/>
          <w:sz w:val="22"/>
          <w:szCs w:val="22"/>
          <w:lang w:val="sr-Latn-ME" w:eastAsia="hr-HR"/>
        </w:rPr>
        <w:t>Odrasle osobe t</w:t>
      </w:r>
      <w:r w:rsidR="00180081" w:rsidRPr="00CB6AFC">
        <w:rPr>
          <w:color w:val="000000"/>
          <w:sz w:val="22"/>
          <w:szCs w:val="22"/>
          <w:lang w:val="sr-Latn-ME" w:eastAsia="hr-HR"/>
        </w:rPr>
        <w:t>jelesne mase</w:t>
      </w:r>
      <w:r w:rsidRPr="00CB6AFC">
        <w:rPr>
          <w:color w:val="000000"/>
          <w:sz w:val="22"/>
          <w:szCs w:val="22"/>
          <w:lang w:val="sr-Latn-ME" w:eastAsia="hr-HR"/>
        </w:rPr>
        <w:t xml:space="preserve"> 50 kg ili manje treba dozirati u zavisnosti od tjelesne </w:t>
      </w:r>
      <w:r w:rsidR="00180081" w:rsidRPr="00CB6AFC">
        <w:rPr>
          <w:color w:val="000000"/>
          <w:sz w:val="22"/>
          <w:szCs w:val="22"/>
          <w:lang w:val="sr-Latn-ME" w:eastAsia="hr-HR"/>
        </w:rPr>
        <w:t>mase</w:t>
      </w:r>
      <w:r w:rsidRPr="00CB6AFC">
        <w:rPr>
          <w:color w:val="000000"/>
          <w:sz w:val="22"/>
          <w:szCs w:val="22"/>
          <w:lang w:val="sr-Latn-ME" w:eastAsia="hr-HR"/>
        </w:rPr>
        <w:t>, 1</w:t>
      </w:r>
      <w:r w:rsidR="00180081" w:rsidRPr="00CB6AFC">
        <w:rPr>
          <w:color w:val="000000"/>
          <w:sz w:val="22"/>
          <w:szCs w:val="22"/>
          <w:lang w:val="sr-Latn-ME" w:eastAsia="hr-HR"/>
        </w:rPr>
        <w:t>.</w:t>
      </w:r>
      <w:r w:rsidRPr="00CB6AFC">
        <w:rPr>
          <w:color w:val="000000"/>
          <w:sz w:val="22"/>
          <w:szCs w:val="22"/>
          <w:lang w:val="sr-Latn-ME" w:eastAsia="hr-HR"/>
        </w:rPr>
        <w:t>5 ml/kg u obliku 15-minutne infuzije svakih 6 sati, p</w:t>
      </w:r>
      <w:r w:rsidR="00180081" w:rsidRPr="00CB6AFC">
        <w:rPr>
          <w:color w:val="000000"/>
          <w:sz w:val="22"/>
          <w:szCs w:val="22"/>
          <w:lang w:val="sr-Latn-ME" w:eastAsia="hr-HR"/>
        </w:rPr>
        <w:t>o</w:t>
      </w:r>
      <w:r w:rsidRPr="00CB6AFC">
        <w:rPr>
          <w:color w:val="000000"/>
          <w:sz w:val="22"/>
          <w:szCs w:val="22"/>
          <w:lang w:val="sr-Latn-ME" w:eastAsia="hr-HR"/>
        </w:rPr>
        <w:t xml:space="preserve"> potrebi. To odgovara </w:t>
      </w:r>
      <w:r w:rsidR="00180081" w:rsidRPr="00CB6AFC">
        <w:rPr>
          <w:color w:val="000000"/>
          <w:sz w:val="22"/>
          <w:szCs w:val="22"/>
          <w:lang w:val="sr-Latn-ME" w:eastAsia="hr-HR"/>
        </w:rPr>
        <w:t xml:space="preserve"> </w:t>
      </w:r>
      <w:r w:rsidRPr="00CB6AFC">
        <w:rPr>
          <w:color w:val="000000"/>
          <w:sz w:val="22"/>
          <w:szCs w:val="22"/>
          <w:lang w:val="sr-Latn-ME" w:eastAsia="hr-HR"/>
        </w:rPr>
        <w:t xml:space="preserve">maksimalnoj </w:t>
      </w:r>
      <w:r w:rsidR="00180081" w:rsidRPr="00CB6AFC">
        <w:rPr>
          <w:color w:val="000000"/>
          <w:sz w:val="22"/>
          <w:szCs w:val="22"/>
          <w:lang w:val="sr-Latn-ME" w:eastAsia="hr-HR"/>
        </w:rPr>
        <w:t xml:space="preserve">pojedinačnoj </w:t>
      </w:r>
      <w:r w:rsidRPr="00CB6AFC">
        <w:rPr>
          <w:color w:val="000000"/>
          <w:sz w:val="22"/>
          <w:szCs w:val="22"/>
          <w:lang w:val="sr-Latn-ME" w:eastAsia="hr-HR"/>
        </w:rPr>
        <w:t>dozi od 75 ml (odbaciti preostali lijek u bočici) i ukupnoj dnevnoj dozi od 3000 mg (3 g) paracetamola i 900 mg ibuprofena.</w:t>
      </w:r>
    </w:p>
    <w:p w14:paraId="4C44A43B" w14:textId="4DCA1701" w:rsidR="000303AC" w:rsidRPr="00CB6AFC" w:rsidRDefault="000303AC" w:rsidP="00AC6887">
      <w:pPr>
        <w:jc w:val="both"/>
        <w:rPr>
          <w:sz w:val="22"/>
          <w:szCs w:val="22"/>
          <w:u w:val="single"/>
          <w:lang w:val="sr-Latn-ME"/>
        </w:rPr>
      </w:pPr>
    </w:p>
    <w:p w14:paraId="5CE15668" w14:textId="77777777" w:rsidR="00C21C33" w:rsidRPr="00CB6AFC" w:rsidRDefault="00C21C33" w:rsidP="00AC6887">
      <w:pPr>
        <w:jc w:val="both"/>
        <w:rPr>
          <w:sz w:val="22"/>
          <w:szCs w:val="22"/>
          <w:u w:val="single"/>
          <w:lang w:val="sr-Latn-ME"/>
        </w:rPr>
      </w:pPr>
    </w:p>
    <w:p w14:paraId="005D4B32" w14:textId="77777777" w:rsidR="000303AC" w:rsidRPr="00CB6AFC" w:rsidRDefault="000303AC" w:rsidP="00AC6887">
      <w:pPr>
        <w:jc w:val="both"/>
        <w:rPr>
          <w:b/>
          <w:bCs/>
          <w:i/>
          <w:iCs/>
          <w:sz w:val="22"/>
          <w:szCs w:val="22"/>
          <w:lang w:val="sr-Latn-ME"/>
        </w:rPr>
      </w:pPr>
      <w:r w:rsidRPr="00CB6AFC">
        <w:rPr>
          <w:b/>
          <w:bCs/>
          <w:i/>
          <w:iCs/>
          <w:sz w:val="22"/>
          <w:szCs w:val="22"/>
          <w:lang w:val="sr-Latn-ME"/>
        </w:rPr>
        <w:lastRenderedPageBreak/>
        <w:t>Pedijatrijska populacija</w:t>
      </w:r>
    </w:p>
    <w:p w14:paraId="161A75E3" w14:textId="27D406B8" w:rsidR="000303AC" w:rsidRPr="00CB6AFC" w:rsidRDefault="00180081" w:rsidP="00AC6887">
      <w:pPr>
        <w:autoSpaceDE w:val="0"/>
        <w:autoSpaceDN w:val="0"/>
        <w:adjustRightInd w:val="0"/>
        <w:jc w:val="both"/>
        <w:rPr>
          <w:sz w:val="22"/>
          <w:szCs w:val="22"/>
          <w:lang w:val="sr-Latn-ME"/>
        </w:rPr>
      </w:pPr>
      <w:r w:rsidRPr="00CB6AFC">
        <w:rPr>
          <w:noProof/>
          <w:sz w:val="22"/>
          <w:szCs w:val="22"/>
          <w:lang w:val="sr-Latn-ME"/>
        </w:rPr>
        <w:t xml:space="preserve">Lijek </w:t>
      </w:r>
      <w:r w:rsidR="000303AC" w:rsidRPr="00CB6AFC">
        <w:rPr>
          <w:noProof/>
          <w:sz w:val="22"/>
          <w:szCs w:val="22"/>
          <w:lang w:val="sr-Latn-ME"/>
        </w:rPr>
        <w:t>Comboval 10 mg/ml + 3 mg/ml</w:t>
      </w:r>
      <w:r w:rsidR="000303AC" w:rsidRPr="00CB6AFC">
        <w:rPr>
          <w:sz w:val="22"/>
          <w:szCs w:val="22"/>
          <w:lang w:val="sr-Latn-ME"/>
        </w:rPr>
        <w:t xml:space="preserve"> </w:t>
      </w:r>
      <w:r w:rsidR="000303AC" w:rsidRPr="00CB6AFC">
        <w:rPr>
          <w:color w:val="000000"/>
          <w:sz w:val="22"/>
          <w:szCs w:val="22"/>
          <w:lang w:val="sr-Latn-ME" w:eastAsia="hr-HR"/>
        </w:rPr>
        <w:t xml:space="preserve">rastvor </w:t>
      </w:r>
      <w:r w:rsidR="000303AC" w:rsidRPr="00CB6AFC">
        <w:rPr>
          <w:sz w:val="22"/>
          <w:szCs w:val="22"/>
          <w:lang w:val="sr-Latn-ME"/>
        </w:rPr>
        <w:t>za infuziju je kontraindikovan kod pacijenata mlađih od 18 godina (</w:t>
      </w:r>
      <w:r w:rsidR="00ED4B2E" w:rsidRPr="00CB6AFC">
        <w:rPr>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000303AC" w:rsidRPr="00CB6AFC">
        <w:rPr>
          <w:sz w:val="22"/>
          <w:szCs w:val="22"/>
          <w:lang w:val="sr-Latn-ME"/>
        </w:rPr>
        <w:t>4.3).</w:t>
      </w:r>
    </w:p>
    <w:p w14:paraId="10294C34" w14:textId="77777777" w:rsidR="000303AC" w:rsidRPr="00CB6AFC" w:rsidRDefault="000303AC" w:rsidP="00AC6887">
      <w:pPr>
        <w:autoSpaceDE w:val="0"/>
        <w:autoSpaceDN w:val="0"/>
        <w:adjustRightInd w:val="0"/>
        <w:jc w:val="both"/>
        <w:rPr>
          <w:sz w:val="22"/>
          <w:szCs w:val="22"/>
          <w:lang w:val="sr-Latn-ME"/>
        </w:rPr>
      </w:pPr>
    </w:p>
    <w:p w14:paraId="1B5D145B" w14:textId="77777777" w:rsidR="000303AC" w:rsidRPr="00CB6AFC" w:rsidRDefault="000303AC" w:rsidP="00AC6887">
      <w:pPr>
        <w:jc w:val="both"/>
        <w:rPr>
          <w:b/>
          <w:bCs/>
          <w:i/>
          <w:iCs/>
          <w:sz w:val="22"/>
          <w:szCs w:val="22"/>
          <w:lang w:val="sr-Latn-ME"/>
        </w:rPr>
      </w:pPr>
      <w:r w:rsidRPr="00CB6AFC">
        <w:rPr>
          <w:b/>
          <w:bCs/>
          <w:i/>
          <w:iCs/>
          <w:sz w:val="22"/>
          <w:szCs w:val="22"/>
          <w:lang w:val="sr-Latn-ME"/>
        </w:rPr>
        <w:t>Posebne populacije</w:t>
      </w:r>
    </w:p>
    <w:p w14:paraId="5CE2AC32" w14:textId="77777777" w:rsidR="000303AC" w:rsidRPr="00CB6AFC" w:rsidRDefault="000303AC" w:rsidP="00AC6887">
      <w:pPr>
        <w:autoSpaceDE w:val="0"/>
        <w:autoSpaceDN w:val="0"/>
        <w:adjustRightInd w:val="0"/>
        <w:jc w:val="both"/>
        <w:rPr>
          <w:i/>
          <w:iCs/>
          <w:sz w:val="22"/>
          <w:szCs w:val="22"/>
          <w:lang w:val="sr-Latn-ME"/>
        </w:rPr>
      </w:pPr>
      <w:r w:rsidRPr="00CB6AFC">
        <w:rPr>
          <w:i/>
          <w:iCs/>
          <w:sz w:val="22"/>
          <w:szCs w:val="22"/>
          <w:lang w:val="sr-Latn-ME"/>
        </w:rPr>
        <w:t>Stariji pacijenti</w:t>
      </w:r>
    </w:p>
    <w:p w14:paraId="7EF4F4F8" w14:textId="5362C377" w:rsidR="000303AC" w:rsidRPr="00CB6AFC" w:rsidRDefault="000303AC" w:rsidP="00AC6887">
      <w:pPr>
        <w:jc w:val="both"/>
        <w:rPr>
          <w:sz w:val="22"/>
          <w:szCs w:val="22"/>
          <w:lang w:val="sr-Latn-ME"/>
        </w:rPr>
      </w:pPr>
      <w:r w:rsidRPr="00CB6AFC">
        <w:rPr>
          <w:sz w:val="22"/>
          <w:szCs w:val="22"/>
          <w:lang w:val="sr-Latn-ME"/>
        </w:rPr>
        <w:t xml:space="preserve">Doziranje kod starijih pacijenata treba sprovesti uz oprez, obično započinjući sa </w:t>
      </w:r>
      <w:r w:rsidR="00180081" w:rsidRPr="00CB6AFC">
        <w:rPr>
          <w:sz w:val="22"/>
          <w:szCs w:val="22"/>
          <w:lang w:val="sr-Latn-ME"/>
        </w:rPr>
        <w:t>manjim</w:t>
      </w:r>
      <w:r w:rsidRPr="00CB6AFC">
        <w:rPr>
          <w:sz w:val="22"/>
          <w:szCs w:val="22"/>
          <w:lang w:val="sr-Latn-ME"/>
        </w:rPr>
        <w:t xml:space="preserve"> dozama i imajući na umu veću učestalost smanjene funkcije jetre, bubrega ili srca, kao i pridružene bolesti ili </w:t>
      </w:r>
      <w:r w:rsidR="00180081" w:rsidRPr="00CB6AFC">
        <w:rPr>
          <w:sz w:val="22"/>
          <w:szCs w:val="22"/>
          <w:lang w:val="sr-Latn-ME"/>
        </w:rPr>
        <w:t>terapije drugim ljekovima</w:t>
      </w:r>
      <w:r w:rsidRPr="00CB6AFC">
        <w:rPr>
          <w:sz w:val="22"/>
          <w:szCs w:val="22"/>
          <w:lang w:val="sr-Latn-ME"/>
        </w:rPr>
        <w:t>.</w:t>
      </w:r>
    </w:p>
    <w:p w14:paraId="1666C322" w14:textId="77777777" w:rsidR="000303AC" w:rsidRPr="00CB6AFC" w:rsidRDefault="000303AC" w:rsidP="00AC6887">
      <w:pPr>
        <w:jc w:val="both"/>
        <w:rPr>
          <w:sz w:val="22"/>
          <w:szCs w:val="22"/>
          <w:lang w:val="sr-Latn-ME"/>
        </w:rPr>
      </w:pPr>
    </w:p>
    <w:p w14:paraId="7F58BEB2" w14:textId="0C128F99" w:rsidR="000303AC" w:rsidRPr="00CB6AFC" w:rsidRDefault="000303AC" w:rsidP="00AC6887">
      <w:pPr>
        <w:jc w:val="both"/>
        <w:rPr>
          <w:sz w:val="22"/>
          <w:szCs w:val="22"/>
          <w:lang w:val="sr-Latn-ME"/>
        </w:rPr>
      </w:pPr>
      <w:r w:rsidRPr="00CB6AFC">
        <w:rPr>
          <w:sz w:val="22"/>
          <w:szCs w:val="22"/>
          <w:lang w:val="sr-Latn-ME"/>
        </w:rPr>
        <w:t xml:space="preserve">Kod starijih pacijenata postoji povećan rizik od ozbiljnih posljedica neželjenih dejstava. Ako se smatra da je primjena NSAIL nužna, treba primjenjivati najnižu efikasnu dozu tokom najkraćeg vremena. Liječenje je potrebno revidirati u pravilnim razmacima i, ako se nije pokazalo korisnim ili dođe do razvoja intolerancije, prekinuti. Pacijenta treba redovno </w:t>
      </w:r>
      <w:r w:rsidR="00ED4B2E" w:rsidRPr="00CB6AFC">
        <w:rPr>
          <w:sz w:val="22"/>
          <w:szCs w:val="22"/>
          <w:lang w:val="sr-Latn-ME"/>
        </w:rPr>
        <w:t xml:space="preserve">pratiti </w:t>
      </w:r>
      <w:r w:rsidRPr="00CB6AFC">
        <w:rPr>
          <w:sz w:val="22"/>
          <w:szCs w:val="22"/>
          <w:lang w:val="sr-Latn-ME"/>
        </w:rPr>
        <w:t>zbog mogućnosti gastrointestinalnog krvarenja tokom liječenja sa NSAIL.</w:t>
      </w:r>
    </w:p>
    <w:p w14:paraId="0A98C095" w14:textId="77777777" w:rsidR="000303AC" w:rsidRPr="00CB6AFC" w:rsidRDefault="000303AC" w:rsidP="00AC6887">
      <w:pPr>
        <w:jc w:val="both"/>
        <w:rPr>
          <w:sz w:val="22"/>
          <w:szCs w:val="22"/>
          <w:lang w:val="sr-Latn-ME"/>
        </w:rPr>
      </w:pPr>
    </w:p>
    <w:p w14:paraId="2120C8CE" w14:textId="77777777" w:rsidR="000303AC" w:rsidRPr="00CB6AFC" w:rsidRDefault="000303AC" w:rsidP="00AC6887">
      <w:pPr>
        <w:autoSpaceDE w:val="0"/>
        <w:autoSpaceDN w:val="0"/>
        <w:adjustRightInd w:val="0"/>
        <w:jc w:val="both"/>
        <w:rPr>
          <w:i/>
          <w:iCs/>
          <w:sz w:val="22"/>
          <w:szCs w:val="22"/>
          <w:lang w:val="sr-Latn-ME"/>
        </w:rPr>
      </w:pPr>
      <w:r w:rsidRPr="00CB6AFC">
        <w:rPr>
          <w:i/>
          <w:iCs/>
          <w:sz w:val="22"/>
          <w:szCs w:val="22"/>
          <w:lang w:val="sr-Latn-ME"/>
        </w:rPr>
        <w:t>Oštećenje funkcije bubrega</w:t>
      </w:r>
    </w:p>
    <w:p w14:paraId="01C454EA" w14:textId="1F7EFB76" w:rsidR="000303AC" w:rsidRPr="00CB6AFC" w:rsidRDefault="000303AC" w:rsidP="00AC6887">
      <w:pPr>
        <w:jc w:val="both"/>
        <w:rPr>
          <w:sz w:val="22"/>
          <w:szCs w:val="22"/>
          <w:lang w:val="sr-Latn-ME"/>
        </w:rPr>
      </w:pPr>
      <w:r w:rsidRPr="00CB6AFC">
        <w:rPr>
          <w:sz w:val="22"/>
          <w:szCs w:val="22"/>
          <w:lang w:val="sr-Latn-ME"/>
        </w:rPr>
        <w:t>Potreban je oprez u doziranju ibuprofena kod pacijenata sa oštećenjem funkcije bubrega. Ovaj lijek je kontraindikovan kod pacijenata sa teškom insuficijencijom bubrega (</w:t>
      </w:r>
      <w:r w:rsidR="00ED4B2E" w:rsidRPr="00CB6AFC">
        <w:rPr>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sz w:val="22"/>
          <w:szCs w:val="22"/>
          <w:lang w:val="sr-Latn-ME"/>
        </w:rPr>
        <w:t>4.3).</w:t>
      </w:r>
    </w:p>
    <w:p w14:paraId="63FA52D2" w14:textId="77777777" w:rsidR="000303AC" w:rsidRPr="00CB6AFC" w:rsidRDefault="000303AC" w:rsidP="00AC6887">
      <w:pPr>
        <w:jc w:val="both"/>
        <w:rPr>
          <w:sz w:val="22"/>
          <w:szCs w:val="22"/>
          <w:lang w:val="sr-Latn-ME"/>
        </w:rPr>
      </w:pPr>
    </w:p>
    <w:p w14:paraId="15483CE1" w14:textId="203E3C7A" w:rsidR="000303AC" w:rsidRPr="00CB6AFC" w:rsidRDefault="000303AC" w:rsidP="00AC6887">
      <w:pPr>
        <w:jc w:val="both"/>
        <w:rPr>
          <w:sz w:val="22"/>
          <w:szCs w:val="22"/>
          <w:lang w:val="sr-Latn-ME"/>
        </w:rPr>
      </w:pPr>
      <w:r w:rsidRPr="00CB6AFC">
        <w:rPr>
          <w:sz w:val="22"/>
          <w:szCs w:val="22"/>
          <w:lang w:val="sr-Latn-ME"/>
        </w:rPr>
        <w:t>Doziranje se mora procjenjivati individualno. Početnu dozu treba s</w:t>
      </w:r>
      <w:r w:rsidR="00180081" w:rsidRPr="00CB6AFC">
        <w:rPr>
          <w:sz w:val="22"/>
          <w:szCs w:val="22"/>
          <w:lang w:val="sr-Latn-ME"/>
        </w:rPr>
        <w:t>manjiti</w:t>
      </w:r>
      <w:r w:rsidRPr="00CB6AFC">
        <w:rPr>
          <w:sz w:val="22"/>
          <w:szCs w:val="22"/>
          <w:lang w:val="sr-Latn-ME"/>
        </w:rPr>
        <w:t xml:space="preserve"> kod pacijenata sa blagim do um</w:t>
      </w:r>
      <w:r w:rsidR="00180081" w:rsidRPr="00CB6AFC">
        <w:rPr>
          <w:sz w:val="22"/>
          <w:szCs w:val="22"/>
          <w:lang w:val="sr-Latn-ME"/>
        </w:rPr>
        <w:t>j</w:t>
      </w:r>
      <w:r w:rsidRPr="00CB6AFC">
        <w:rPr>
          <w:sz w:val="22"/>
          <w:szCs w:val="22"/>
          <w:lang w:val="sr-Latn-ME"/>
        </w:rPr>
        <w:t>erenim oštećenjem bubrega. Potrebno je koristiti</w:t>
      </w:r>
      <w:r w:rsidRPr="00CB6AFC">
        <w:rPr>
          <w:color w:val="000000"/>
          <w:sz w:val="22"/>
          <w:szCs w:val="22"/>
          <w:lang w:val="sr-Latn-ME" w:eastAsia="hr-HR"/>
        </w:rPr>
        <w:t xml:space="preserve"> najnižu dozu tokom najkraćeg vremena potrebnog za kontrolu simptoma</w:t>
      </w:r>
      <w:r w:rsidRPr="00CB6AFC">
        <w:rPr>
          <w:sz w:val="22"/>
          <w:szCs w:val="22"/>
          <w:lang w:val="sr-Latn-ME"/>
        </w:rPr>
        <w:t xml:space="preserve">. Bubrežnu funkciju treba </w:t>
      </w:r>
      <w:r w:rsidR="00ED4B2E" w:rsidRPr="00CB6AFC">
        <w:rPr>
          <w:sz w:val="22"/>
          <w:szCs w:val="22"/>
          <w:lang w:val="sr-Latn-ME"/>
        </w:rPr>
        <w:t xml:space="preserve">pratiti </w:t>
      </w:r>
      <w:r w:rsidRPr="00CB6AFC">
        <w:rPr>
          <w:sz w:val="22"/>
          <w:szCs w:val="22"/>
          <w:lang w:val="sr-Latn-ME"/>
        </w:rPr>
        <w:t>(</w:t>
      </w:r>
      <w:r w:rsidR="00ED4B2E" w:rsidRPr="00CB6AFC">
        <w:rPr>
          <w:sz w:val="22"/>
          <w:szCs w:val="22"/>
          <w:lang w:val="sr-Latn-ME"/>
        </w:rPr>
        <w:t xml:space="preserve">vidjeti </w:t>
      </w:r>
      <w:r w:rsidR="008C7B4A" w:rsidRPr="00CB6AFC">
        <w:rPr>
          <w:sz w:val="22"/>
          <w:szCs w:val="22"/>
          <w:lang w:val="sr-Latn-ME"/>
        </w:rPr>
        <w:t>djelove</w:t>
      </w:r>
      <w:r w:rsidRPr="00CB6AFC">
        <w:rPr>
          <w:sz w:val="22"/>
          <w:szCs w:val="22"/>
          <w:lang w:val="sr-Latn-ME"/>
        </w:rPr>
        <w:t xml:space="preserve"> 4.3, 4.4 i 5.2).</w:t>
      </w:r>
    </w:p>
    <w:p w14:paraId="0F542E27" w14:textId="77777777" w:rsidR="000303AC" w:rsidRPr="00CB6AFC" w:rsidRDefault="000303AC" w:rsidP="00AC6887">
      <w:pPr>
        <w:jc w:val="both"/>
        <w:rPr>
          <w:sz w:val="22"/>
          <w:szCs w:val="22"/>
          <w:lang w:val="sr-Latn-ME"/>
        </w:rPr>
      </w:pPr>
    </w:p>
    <w:p w14:paraId="2B7B3A4D" w14:textId="77777777" w:rsidR="000303AC" w:rsidRPr="00CB6AFC" w:rsidRDefault="000303AC" w:rsidP="00AC6887">
      <w:pPr>
        <w:autoSpaceDE w:val="0"/>
        <w:autoSpaceDN w:val="0"/>
        <w:adjustRightInd w:val="0"/>
        <w:jc w:val="both"/>
        <w:rPr>
          <w:i/>
          <w:iCs/>
          <w:sz w:val="22"/>
          <w:szCs w:val="22"/>
          <w:lang w:val="sr-Latn-ME"/>
        </w:rPr>
      </w:pPr>
      <w:r w:rsidRPr="00CB6AFC">
        <w:rPr>
          <w:i/>
          <w:iCs/>
          <w:sz w:val="22"/>
          <w:szCs w:val="22"/>
          <w:lang w:val="sr-Latn-ME"/>
        </w:rPr>
        <w:t>Oštećenje funkcije jetre</w:t>
      </w:r>
    </w:p>
    <w:p w14:paraId="3178754A" w14:textId="4A2FCCE2" w:rsidR="000303AC" w:rsidRPr="00CB6AFC" w:rsidRDefault="000303AC" w:rsidP="00AC6887">
      <w:pPr>
        <w:jc w:val="both"/>
        <w:rPr>
          <w:sz w:val="22"/>
          <w:szCs w:val="22"/>
          <w:lang w:val="sr-Latn-ME"/>
        </w:rPr>
      </w:pPr>
      <w:r w:rsidRPr="00CB6AFC">
        <w:rPr>
          <w:sz w:val="22"/>
          <w:szCs w:val="22"/>
          <w:lang w:val="sr-Latn-ME"/>
        </w:rPr>
        <w:t>Primjena paracetamola u dozama v</w:t>
      </w:r>
      <w:r w:rsidR="00180081" w:rsidRPr="00CB6AFC">
        <w:rPr>
          <w:sz w:val="22"/>
          <w:szCs w:val="22"/>
          <w:lang w:val="sr-Latn-ME"/>
        </w:rPr>
        <w:t>ećim</w:t>
      </w:r>
      <w:r w:rsidRPr="00CB6AFC">
        <w:rPr>
          <w:sz w:val="22"/>
          <w:szCs w:val="22"/>
          <w:lang w:val="sr-Latn-ME"/>
        </w:rPr>
        <w:t xml:space="preserve"> od preporučenih može dovesti do hepatotoksičnosti, pa čak i do insuficijencije jetre i smrti. Kod pacijenata sa dodatnim faktorima rizika za hepatotoksičnost, poput hepatocelularne insuficijencije, hroničnog alkoholizma, hronične pothranjenosti (niske rezerve glutationa u jetri) ili dehidracije, ne smije se prekoračiti ukupna dnevna doza paracetamola od 3000 mg (3 g).</w:t>
      </w:r>
    </w:p>
    <w:p w14:paraId="75385F23" w14:textId="77777777" w:rsidR="000303AC" w:rsidRPr="00CB6AFC" w:rsidRDefault="000303AC" w:rsidP="00AC6887">
      <w:pPr>
        <w:jc w:val="both"/>
        <w:rPr>
          <w:sz w:val="22"/>
          <w:szCs w:val="22"/>
          <w:lang w:val="sr-Latn-ME"/>
        </w:rPr>
      </w:pPr>
    </w:p>
    <w:p w14:paraId="0EA6B7F4" w14:textId="14321036" w:rsidR="000303AC" w:rsidRPr="00CB6AFC" w:rsidRDefault="000303AC" w:rsidP="00AC6887">
      <w:pPr>
        <w:jc w:val="both"/>
        <w:rPr>
          <w:sz w:val="22"/>
          <w:szCs w:val="22"/>
          <w:lang w:val="sr-Latn-ME"/>
        </w:rPr>
      </w:pPr>
      <w:r w:rsidRPr="00CB6AFC">
        <w:rPr>
          <w:sz w:val="22"/>
          <w:szCs w:val="22"/>
          <w:lang w:val="sr-Latn-ME"/>
        </w:rPr>
        <w:t>Ovaj lijek je kontraindikovan kod pacijenata sa teškom insuficijencijom jetre (</w:t>
      </w:r>
      <w:r w:rsidR="00ED4B2E" w:rsidRPr="00CB6AFC">
        <w:rPr>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sz w:val="22"/>
          <w:szCs w:val="22"/>
          <w:lang w:val="sr-Latn-ME"/>
        </w:rPr>
        <w:t>4.3). Pacijente sa simptomima i/ili zna</w:t>
      </w:r>
      <w:r w:rsidR="00FF5039" w:rsidRPr="00CB6AFC">
        <w:rPr>
          <w:sz w:val="22"/>
          <w:szCs w:val="22"/>
          <w:lang w:val="sr-Latn-ME"/>
        </w:rPr>
        <w:t>cima</w:t>
      </w:r>
      <w:r w:rsidRPr="00CB6AFC">
        <w:rPr>
          <w:sz w:val="22"/>
          <w:szCs w:val="22"/>
          <w:lang w:val="sr-Latn-ME"/>
        </w:rPr>
        <w:t xml:space="preserve"> koji upućuju na disfunkciju jetre ili s abnormalnim vrijednostima testova</w:t>
      </w:r>
      <w:r w:rsidR="00FF5039" w:rsidRPr="00CB6AFC">
        <w:rPr>
          <w:sz w:val="22"/>
          <w:szCs w:val="22"/>
          <w:lang w:val="sr-Latn-ME"/>
        </w:rPr>
        <w:t xml:space="preserve"> funkcije</w:t>
      </w:r>
      <w:r w:rsidRPr="00CB6AFC">
        <w:rPr>
          <w:sz w:val="22"/>
          <w:szCs w:val="22"/>
          <w:lang w:val="sr-Latn-ME"/>
        </w:rPr>
        <w:t xml:space="preserve"> jetre treba </w:t>
      </w:r>
      <w:r w:rsidR="00ED4B2E" w:rsidRPr="00CB6AFC">
        <w:rPr>
          <w:sz w:val="22"/>
          <w:szCs w:val="22"/>
          <w:lang w:val="sr-Latn-ME"/>
        </w:rPr>
        <w:t xml:space="preserve">pratiti </w:t>
      </w:r>
      <w:r w:rsidRPr="00CB6AFC">
        <w:rPr>
          <w:sz w:val="22"/>
          <w:szCs w:val="22"/>
          <w:lang w:val="sr-Latn-ME"/>
        </w:rPr>
        <w:t xml:space="preserve">zbog mogućnosti razvoja teže reakcije </w:t>
      </w:r>
      <w:r w:rsidR="00ED4B2E" w:rsidRPr="00CB6AFC">
        <w:rPr>
          <w:sz w:val="22"/>
          <w:szCs w:val="22"/>
          <w:lang w:val="sr-Latn-ME"/>
        </w:rPr>
        <w:t xml:space="preserve">jetre </w:t>
      </w:r>
      <w:r w:rsidRPr="00CB6AFC">
        <w:rPr>
          <w:sz w:val="22"/>
          <w:szCs w:val="22"/>
          <w:lang w:val="sr-Latn-ME"/>
        </w:rPr>
        <w:t>za vr</w:t>
      </w:r>
      <w:r w:rsidR="00FF5039" w:rsidRPr="00CB6AFC">
        <w:rPr>
          <w:sz w:val="22"/>
          <w:szCs w:val="22"/>
          <w:lang w:val="sr-Latn-ME"/>
        </w:rPr>
        <w:t>ij</w:t>
      </w:r>
      <w:r w:rsidRPr="00CB6AFC">
        <w:rPr>
          <w:sz w:val="22"/>
          <w:szCs w:val="22"/>
          <w:lang w:val="sr-Latn-ME"/>
        </w:rPr>
        <w:t>eme liječenja ibuprofenom i prekinuti prim</w:t>
      </w:r>
      <w:r w:rsidR="00FF5039" w:rsidRPr="00CB6AFC">
        <w:rPr>
          <w:sz w:val="22"/>
          <w:szCs w:val="22"/>
          <w:lang w:val="sr-Latn-ME"/>
        </w:rPr>
        <w:t>j</w:t>
      </w:r>
      <w:r w:rsidRPr="00CB6AFC">
        <w:rPr>
          <w:sz w:val="22"/>
          <w:szCs w:val="22"/>
          <w:lang w:val="sr-Latn-ME"/>
        </w:rPr>
        <w:t xml:space="preserve">enu lijeka </w:t>
      </w:r>
      <w:r w:rsidRPr="00CB6AFC">
        <w:rPr>
          <w:noProof/>
          <w:sz w:val="22"/>
          <w:szCs w:val="22"/>
          <w:lang w:val="sr-Latn-ME"/>
        </w:rPr>
        <w:t>Comboval 10 mg/ml + 3 mg/ml</w:t>
      </w:r>
      <w:r w:rsidRPr="00CB6AFC">
        <w:rPr>
          <w:sz w:val="22"/>
          <w:szCs w:val="22"/>
          <w:lang w:val="sr-Latn-ME"/>
        </w:rPr>
        <w:t xml:space="preserve"> mg rastvor za infuziju. Ako se jave klinički zna</w:t>
      </w:r>
      <w:r w:rsidR="00FF5039" w:rsidRPr="00CB6AFC">
        <w:rPr>
          <w:sz w:val="22"/>
          <w:szCs w:val="22"/>
          <w:lang w:val="sr-Latn-ME"/>
        </w:rPr>
        <w:t>ci</w:t>
      </w:r>
      <w:r w:rsidRPr="00CB6AFC">
        <w:rPr>
          <w:sz w:val="22"/>
          <w:szCs w:val="22"/>
          <w:lang w:val="sr-Latn-ME"/>
        </w:rPr>
        <w:t xml:space="preserve"> i simptomi bolesti jetre ili sistemske manifestacije (npr. eozinofilija, osip itd.), prim</w:t>
      </w:r>
      <w:r w:rsidR="00FF5039" w:rsidRPr="00CB6AFC">
        <w:rPr>
          <w:sz w:val="22"/>
          <w:szCs w:val="22"/>
          <w:lang w:val="sr-Latn-ME"/>
        </w:rPr>
        <w:t>j</w:t>
      </w:r>
      <w:r w:rsidRPr="00CB6AFC">
        <w:rPr>
          <w:sz w:val="22"/>
          <w:szCs w:val="22"/>
          <w:lang w:val="sr-Latn-ME"/>
        </w:rPr>
        <w:t xml:space="preserve">enu lijeka </w:t>
      </w:r>
      <w:r w:rsidRPr="00CB6AFC">
        <w:rPr>
          <w:noProof/>
          <w:sz w:val="22"/>
          <w:szCs w:val="22"/>
          <w:lang w:val="sr-Latn-ME"/>
        </w:rPr>
        <w:t>Comboval 10 mg/ml + 3 mg/ml</w:t>
      </w:r>
      <w:r w:rsidRPr="00CB6AFC">
        <w:rPr>
          <w:sz w:val="22"/>
          <w:szCs w:val="22"/>
          <w:lang w:val="sr-Latn-ME"/>
        </w:rPr>
        <w:t xml:space="preserve"> rastvor za infuziju treba prekinuti.</w:t>
      </w:r>
    </w:p>
    <w:p w14:paraId="165240E7" w14:textId="77777777" w:rsidR="00452E9D" w:rsidRPr="00CB6AFC" w:rsidRDefault="00452E9D" w:rsidP="00AC6887">
      <w:pPr>
        <w:tabs>
          <w:tab w:val="left" w:pos="540"/>
          <w:tab w:val="left" w:pos="569"/>
        </w:tabs>
        <w:jc w:val="both"/>
        <w:rPr>
          <w:bCs/>
          <w:sz w:val="22"/>
          <w:szCs w:val="22"/>
          <w:u w:val="single"/>
          <w:lang w:val="sr-Latn-ME"/>
        </w:rPr>
      </w:pPr>
    </w:p>
    <w:p w14:paraId="165240E8" w14:textId="77777777" w:rsidR="00452E9D" w:rsidRPr="00CB6AFC" w:rsidRDefault="00452E9D" w:rsidP="00AC6887">
      <w:pPr>
        <w:tabs>
          <w:tab w:val="left" w:pos="540"/>
          <w:tab w:val="left" w:pos="569"/>
        </w:tabs>
        <w:jc w:val="both"/>
        <w:rPr>
          <w:bCs/>
          <w:sz w:val="22"/>
          <w:szCs w:val="22"/>
          <w:u w:val="single"/>
          <w:lang w:val="sr-Latn-ME"/>
        </w:rPr>
      </w:pPr>
      <w:r w:rsidRPr="00CB6AFC">
        <w:rPr>
          <w:bCs/>
          <w:sz w:val="22"/>
          <w:szCs w:val="22"/>
          <w:u w:val="single"/>
          <w:lang w:val="sr-Latn-ME"/>
        </w:rPr>
        <w:t>Način primjene</w:t>
      </w:r>
    </w:p>
    <w:p w14:paraId="00A424A1" w14:textId="10F9CD62" w:rsidR="000303AC" w:rsidRPr="00CB6AFC" w:rsidRDefault="00FF5039" w:rsidP="00AC6887">
      <w:pPr>
        <w:jc w:val="both"/>
        <w:rPr>
          <w:bCs/>
          <w:sz w:val="22"/>
          <w:szCs w:val="22"/>
          <w:lang w:val="sr-Latn-ME"/>
        </w:rPr>
      </w:pPr>
      <w:bookmarkStart w:id="0" w:name="_Hlk39691335"/>
      <w:r w:rsidRPr="00CB6AFC">
        <w:rPr>
          <w:noProof/>
          <w:sz w:val="22"/>
          <w:szCs w:val="22"/>
          <w:lang w:val="sr-Latn-ME"/>
        </w:rPr>
        <w:t xml:space="preserve">Lijek </w:t>
      </w:r>
      <w:r w:rsidR="000303AC" w:rsidRPr="00CB6AFC">
        <w:rPr>
          <w:noProof/>
          <w:sz w:val="22"/>
          <w:szCs w:val="22"/>
          <w:lang w:val="sr-Latn-ME"/>
        </w:rPr>
        <w:t>Comboval 10 mg/ml + 3 mg/ml</w:t>
      </w:r>
      <w:r w:rsidR="000303AC" w:rsidRPr="00CB6AFC">
        <w:rPr>
          <w:bCs/>
          <w:sz w:val="22"/>
          <w:szCs w:val="22"/>
          <w:lang w:val="sr-Latn-ME"/>
        </w:rPr>
        <w:t xml:space="preserve"> rastvor za infuziju treba primjeniti kao 15-minutnu intravensku infuziju.</w:t>
      </w:r>
    </w:p>
    <w:p w14:paraId="341DF454" w14:textId="77777777" w:rsidR="000303AC" w:rsidRPr="00CB6AFC" w:rsidRDefault="000303AC" w:rsidP="00AC6887">
      <w:pPr>
        <w:jc w:val="both"/>
        <w:rPr>
          <w:bCs/>
          <w:sz w:val="22"/>
          <w:szCs w:val="22"/>
          <w:lang w:val="sr-Latn-ME"/>
        </w:rPr>
      </w:pPr>
    </w:p>
    <w:p w14:paraId="7C330B10" w14:textId="46E0F475" w:rsidR="000303AC" w:rsidRPr="00CB6AFC" w:rsidRDefault="000303AC" w:rsidP="00AC6887">
      <w:pPr>
        <w:jc w:val="both"/>
        <w:rPr>
          <w:iCs/>
          <w:sz w:val="22"/>
          <w:szCs w:val="22"/>
          <w:lang w:val="sr-Latn-ME"/>
        </w:rPr>
      </w:pPr>
      <w:r w:rsidRPr="00CB6AFC">
        <w:rPr>
          <w:iCs/>
          <w:sz w:val="22"/>
          <w:szCs w:val="22"/>
          <w:lang w:val="sr-Latn-ME"/>
        </w:rPr>
        <w:t>Za izvlačenje rastvora iz bočice koristiti iglu od 0</w:t>
      </w:r>
      <w:r w:rsidR="00FF5039" w:rsidRPr="00CB6AFC">
        <w:rPr>
          <w:iCs/>
          <w:sz w:val="22"/>
          <w:szCs w:val="22"/>
          <w:lang w:val="sr-Latn-ME"/>
        </w:rPr>
        <w:t>.</w:t>
      </w:r>
      <w:r w:rsidRPr="00CB6AFC">
        <w:rPr>
          <w:iCs/>
          <w:sz w:val="22"/>
          <w:szCs w:val="22"/>
          <w:lang w:val="sr-Latn-ME"/>
        </w:rPr>
        <w:t>8 mm (igla veličine 21G) i vertikalno probušiti čep na posebno naznačenom mjestu.</w:t>
      </w:r>
    </w:p>
    <w:p w14:paraId="4D3C5445" w14:textId="77777777" w:rsidR="000303AC" w:rsidRPr="00CB6AFC" w:rsidRDefault="000303AC" w:rsidP="00AC6887">
      <w:pPr>
        <w:jc w:val="both"/>
        <w:rPr>
          <w:iCs/>
          <w:sz w:val="22"/>
          <w:szCs w:val="22"/>
          <w:lang w:val="sr-Latn-ME"/>
        </w:rPr>
      </w:pPr>
    </w:p>
    <w:p w14:paraId="1E79A912" w14:textId="487FDDA8" w:rsidR="000303AC" w:rsidRPr="00CB6AFC" w:rsidRDefault="000303AC" w:rsidP="00AC6887">
      <w:pPr>
        <w:jc w:val="both"/>
        <w:rPr>
          <w:bCs/>
          <w:iCs/>
          <w:sz w:val="22"/>
          <w:szCs w:val="22"/>
          <w:lang w:val="sr-Latn-ME"/>
        </w:rPr>
      </w:pPr>
      <w:r w:rsidRPr="00CB6AFC">
        <w:rPr>
          <w:bCs/>
          <w:iCs/>
          <w:sz w:val="22"/>
          <w:szCs w:val="22"/>
          <w:lang w:val="sr-Latn-ME"/>
        </w:rPr>
        <w:t xml:space="preserve">Kod pacijenata tjelesne </w:t>
      </w:r>
      <w:r w:rsidR="00FF5039" w:rsidRPr="00CB6AFC">
        <w:rPr>
          <w:bCs/>
          <w:iCs/>
          <w:sz w:val="22"/>
          <w:szCs w:val="22"/>
          <w:lang w:val="sr-Latn-ME"/>
        </w:rPr>
        <w:t>mase</w:t>
      </w:r>
      <w:r w:rsidRPr="00CB6AFC">
        <w:rPr>
          <w:bCs/>
          <w:iCs/>
          <w:sz w:val="22"/>
          <w:szCs w:val="22"/>
          <w:lang w:val="sr-Latn-ME"/>
        </w:rPr>
        <w:t xml:space="preserve"> manje od 50 kg kojima nije potrebna cijela bočica (100 ml), treba primjeniti odgovarajuću količinu, a preostali rastvor odbaciti  (takođe </w:t>
      </w:r>
      <w:r w:rsidR="00ED4B2E" w:rsidRPr="00CB6AFC">
        <w:rPr>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bCs/>
          <w:iCs/>
          <w:sz w:val="22"/>
          <w:szCs w:val="22"/>
          <w:lang w:val="sr-Latn-ME"/>
        </w:rPr>
        <w:t>6.6).</w:t>
      </w:r>
    </w:p>
    <w:p w14:paraId="3C57CE63" w14:textId="77777777" w:rsidR="000303AC" w:rsidRPr="00CB6AFC" w:rsidRDefault="000303AC" w:rsidP="00AC6887">
      <w:pPr>
        <w:jc w:val="both"/>
        <w:rPr>
          <w:bCs/>
          <w:iCs/>
          <w:sz w:val="22"/>
          <w:szCs w:val="22"/>
          <w:lang w:val="sr-Latn-ME"/>
        </w:rPr>
      </w:pPr>
    </w:p>
    <w:p w14:paraId="0F95844F" w14:textId="77777777" w:rsidR="000303AC" w:rsidRPr="00CB6AFC" w:rsidRDefault="000303AC" w:rsidP="00AC6887">
      <w:pPr>
        <w:jc w:val="both"/>
        <w:rPr>
          <w:bCs/>
          <w:iCs/>
          <w:sz w:val="22"/>
          <w:szCs w:val="22"/>
          <w:lang w:val="sr-Latn-ME"/>
        </w:rPr>
      </w:pPr>
      <w:r w:rsidRPr="00CB6AFC">
        <w:rPr>
          <w:bCs/>
          <w:iCs/>
          <w:sz w:val="22"/>
          <w:szCs w:val="22"/>
          <w:lang w:val="sr-Latn-ME"/>
        </w:rPr>
        <w:t>Kao i kod svih rastvora koji dolaze u staklenim bočicama, potreban je strogi nadzor, naročito pri kraju infuzije, nezavisno od puta primjene. Nadzor pri kraju infuzije naročito se odnosi na centralni put primjene infuzija kako bi se izbjegla vazdušna embolija.</w:t>
      </w:r>
    </w:p>
    <w:bookmarkEnd w:id="0"/>
    <w:p w14:paraId="165240E9" w14:textId="77777777" w:rsidR="00452E9D" w:rsidRPr="00CB6AFC" w:rsidRDefault="00452E9D" w:rsidP="00AC6887">
      <w:pPr>
        <w:tabs>
          <w:tab w:val="left" w:pos="540"/>
          <w:tab w:val="left" w:pos="569"/>
        </w:tabs>
        <w:jc w:val="both"/>
        <w:rPr>
          <w:bCs/>
          <w:sz w:val="22"/>
          <w:szCs w:val="22"/>
          <w:lang w:val="sr-Latn-ME"/>
        </w:rPr>
      </w:pPr>
    </w:p>
    <w:p w14:paraId="165240EA" w14:textId="77777777" w:rsidR="00411B4B" w:rsidRPr="00CB6AFC" w:rsidRDefault="00411B4B" w:rsidP="00AC6887">
      <w:pPr>
        <w:tabs>
          <w:tab w:val="left" w:pos="540"/>
          <w:tab w:val="left" w:pos="569"/>
        </w:tabs>
        <w:jc w:val="both"/>
        <w:rPr>
          <w:b/>
          <w:bCs/>
          <w:sz w:val="22"/>
          <w:szCs w:val="22"/>
          <w:lang w:val="sr-Latn-ME"/>
        </w:rPr>
      </w:pPr>
      <w:r w:rsidRPr="00CB6AFC">
        <w:rPr>
          <w:b/>
          <w:bCs/>
          <w:sz w:val="22"/>
          <w:szCs w:val="22"/>
          <w:lang w:val="sr-Latn-ME"/>
        </w:rPr>
        <w:t xml:space="preserve">4.3. </w:t>
      </w:r>
      <w:r w:rsidR="00480FB1" w:rsidRPr="00CB6AFC">
        <w:rPr>
          <w:b/>
          <w:bCs/>
          <w:sz w:val="22"/>
          <w:szCs w:val="22"/>
          <w:lang w:val="sr-Latn-ME"/>
        </w:rPr>
        <w:tab/>
      </w:r>
      <w:r w:rsidRPr="00CB6AFC">
        <w:rPr>
          <w:b/>
          <w:bCs/>
          <w:sz w:val="22"/>
          <w:szCs w:val="22"/>
          <w:lang w:val="sr-Latn-ME"/>
        </w:rPr>
        <w:t>Kontraindikacije</w:t>
      </w:r>
    </w:p>
    <w:p w14:paraId="165240EB" w14:textId="77777777" w:rsidR="0072020E" w:rsidRPr="00CB6AFC" w:rsidRDefault="0072020E" w:rsidP="00AC6887">
      <w:pPr>
        <w:tabs>
          <w:tab w:val="left" w:pos="540"/>
          <w:tab w:val="left" w:pos="569"/>
        </w:tabs>
        <w:jc w:val="both"/>
        <w:rPr>
          <w:bCs/>
          <w:sz w:val="22"/>
          <w:szCs w:val="22"/>
          <w:lang w:val="sr-Latn-ME"/>
        </w:rPr>
      </w:pPr>
    </w:p>
    <w:p w14:paraId="2767992E" w14:textId="77777777" w:rsidR="00AB31CA" w:rsidRPr="00CB6AFC" w:rsidRDefault="00AB31CA" w:rsidP="00AC6887">
      <w:pPr>
        <w:jc w:val="both"/>
        <w:rPr>
          <w:noProof/>
          <w:sz w:val="22"/>
          <w:szCs w:val="22"/>
          <w:lang w:val="sr-Latn-ME"/>
        </w:rPr>
      </w:pPr>
      <w:r w:rsidRPr="00CB6AFC">
        <w:rPr>
          <w:noProof/>
          <w:sz w:val="22"/>
          <w:szCs w:val="22"/>
          <w:lang w:val="sr-Latn-ME"/>
        </w:rPr>
        <w:t>Ovaj lijek je kontraindikovan za primjenu:</w:t>
      </w:r>
    </w:p>
    <w:p w14:paraId="4C6C2FA9" w14:textId="3F3FDC2B" w:rsidR="00AB31CA" w:rsidRPr="00CB6AFC" w:rsidRDefault="00AB31CA" w:rsidP="00AC6887">
      <w:pPr>
        <w:numPr>
          <w:ilvl w:val="0"/>
          <w:numId w:val="12"/>
        </w:numPr>
        <w:ind w:left="426" w:hanging="426"/>
        <w:jc w:val="both"/>
        <w:rPr>
          <w:noProof/>
          <w:sz w:val="22"/>
          <w:szCs w:val="22"/>
          <w:lang w:val="sr-Latn-ME"/>
        </w:rPr>
      </w:pPr>
      <w:r w:rsidRPr="00CB6AFC">
        <w:rPr>
          <w:noProof/>
          <w:sz w:val="22"/>
          <w:szCs w:val="22"/>
          <w:lang w:val="sr-Latn-ME"/>
        </w:rPr>
        <w:t xml:space="preserve">kod pacijenata sa poznatom reakcijom preosjetljivosti na paracetamol, ibuprofen, druge NSAIL </w:t>
      </w:r>
      <w:r w:rsidRPr="00CB6AFC">
        <w:rPr>
          <w:sz w:val="22"/>
          <w:szCs w:val="22"/>
          <w:lang w:val="sr-Latn-ME"/>
        </w:rPr>
        <w:t xml:space="preserve">ili na bilo koju od pomoćnih supstanci navedenih u </w:t>
      </w:r>
      <w:r w:rsidR="00D460A8" w:rsidRPr="00CB6AFC">
        <w:rPr>
          <w:sz w:val="22"/>
          <w:szCs w:val="22"/>
          <w:lang w:val="sr-Latn-ME"/>
        </w:rPr>
        <w:t>dijelu</w:t>
      </w:r>
      <w:r w:rsidRPr="00CB6AFC">
        <w:rPr>
          <w:sz w:val="22"/>
          <w:szCs w:val="22"/>
          <w:lang w:val="sr-Latn-ME"/>
        </w:rPr>
        <w:t xml:space="preserve"> 6.1</w:t>
      </w:r>
      <w:r w:rsidRPr="00CB6AFC">
        <w:rPr>
          <w:noProof/>
          <w:sz w:val="22"/>
          <w:szCs w:val="22"/>
          <w:lang w:val="sr-Latn-ME"/>
        </w:rPr>
        <w:t>,</w:t>
      </w:r>
    </w:p>
    <w:p w14:paraId="6D6D37D7" w14:textId="77777777" w:rsidR="00AB31CA" w:rsidRPr="00CB6AFC" w:rsidRDefault="00AB31CA" w:rsidP="00AC6887">
      <w:pPr>
        <w:numPr>
          <w:ilvl w:val="0"/>
          <w:numId w:val="12"/>
        </w:numPr>
        <w:ind w:left="426" w:hanging="426"/>
        <w:jc w:val="both"/>
        <w:rPr>
          <w:noProof/>
          <w:sz w:val="22"/>
          <w:szCs w:val="22"/>
          <w:lang w:val="sr-Latn-ME"/>
        </w:rPr>
      </w:pPr>
      <w:r w:rsidRPr="00CB6AFC">
        <w:rPr>
          <w:noProof/>
          <w:sz w:val="22"/>
          <w:szCs w:val="22"/>
          <w:lang w:val="sr-Latn-ME"/>
        </w:rPr>
        <w:lastRenderedPageBreak/>
        <w:t>kod pacijenata sa teškom insuficijencijom srca (NYHA klasa IV),</w:t>
      </w:r>
    </w:p>
    <w:p w14:paraId="12041DF5" w14:textId="7FE74EA3" w:rsidR="00AB31CA" w:rsidRPr="00CB6AFC" w:rsidRDefault="00AB31CA" w:rsidP="00AC6887">
      <w:pPr>
        <w:numPr>
          <w:ilvl w:val="0"/>
          <w:numId w:val="12"/>
        </w:numPr>
        <w:ind w:left="426" w:hanging="426"/>
        <w:jc w:val="both"/>
        <w:rPr>
          <w:noProof/>
          <w:sz w:val="22"/>
          <w:szCs w:val="22"/>
          <w:lang w:val="sr-Latn-ME"/>
        </w:rPr>
      </w:pPr>
      <w:r w:rsidRPr="00CB6AFC">
        <w:rPr>
          <w:noProof/>
          <w:sz w:val="22"/>
          <w:szCs w:val="22"/>
          <w:lang w:val="sr-Latn-ME"/>
        </w:rPr>
        <w:t xml:space="preserve">kod pacijenata </w:t>
      </w:r>
      <w:r w:rsidR="00A40DFF" w:rsidRPr="00CB6AFC">
        <w:rPr>
          <w:noProof/>
          <w:sz w:val="22"/>
          <w:szCs w:val="22"/>
          <w:lang w:val="sr-Latn-ME"/>
        </w:rPr>
        <w:t>alkoholičara</w:t>
      </w:r>
      <w:r w:rsidRPr="00CB6AFC">
        <w:rPr>
          <w:noProof/>
          <w:sz w:val="22"/>
          <w:szCs w:val="22"/>
          <w:lang w:val="sr-Latn-ME"/>
        </w:rPr>
        <w:t>, jer hronično</w:t>
      </w:r>
      <w:r w:rsidR="00FF5039" w:rsidRPr="00CB6AFC">
        <w:rPr>
          <w:noProof/>
          <w:sz w:val="22"/>
          <w:szCs w:val="22"/>
          <w:lang w:val="sr-Latn-ME"/>
        </w:rPr>
        <w:t>,</w:t>
      </w:r>
      <w:r w:rsidRPr="00CB6AFC">
        <w:rPr>
          <w:noProof/>
          <w:sz w:val="22"/>
          <w:szCs w:val="22"/>
          <w:lang w:val="sr-Latn-ME"/>
        </w:rPr>
        <w:t xml:space="preserve"> prekomjerno unošenje alkohola može povećati opasnost od oštećenja jetre paracetamol</w:t>
      </w:r>
      <w:r w:rsidR="00A40DFF" w:rsidRPr="00CB6AFC">
        <w:rPr>
          <w:noProof/>
          <w:sz w:val="22"/>
          <w:szCs w:val="22"/>
          <w:lang w:val="sr-Latn-ME"/>
        </w:rPr>
        <w:t>om</w:t>
      </w:r>
      <w:r w:rsidRPr="00CB6AFC">
        <w:rPr>
          <w:noProof/>
          <w:sz w:val="22"/>
          <w:szCs w:val="22"/>
          <w:lang w:val="sr-Latn-ME"/>
        </w:rPr>
        <w:t>,</w:t>
      </w:r>
    </w:p>
    <w:p w14:paraId="42FDF461" w14:textId="77777777" w:rsidR="00AB31CA" w:rsidRPr="00CB6AFC" w:rsidRDefault="00AB31CA" w:rsidP="00AC6887">
      <w:pPr>
        <w:numPr>
          <w:ilvl w:val="0"/>
          <w:numId w:val="12"/>
        </w:numPr>
        <w:ind w:left="426" w:hanging="426"/>
        <w:jc w:val="both"/>
        <w:rPr>
          <w:noProof/>
          <w:sz w:val="22"/>
          <w:szCs w:val="22"/>
          <w:lang w:val="sr-Latn-ME"/>
        </w:rPr>
      </w:pPr>
      <w:r w:rsidRPr="00CB6AFC">
        <w:rPr>
          <w:noProof/>
          <w:sz w:val="22"/>
          <w:szCs w:val="22"/>
          <w:lang w:val="sr-Latn-ME"/>
        </w:rPr>
        <w:t>kod pacijenata koji u istoriji bolesti imaju astmu, urtikarije ili alergijske reakcije nakon uzimanja acetilsalicilne kiseline ili drugih NSAIL,</w:t>
      </w:r>
    </w:p>
    <w:p w14:paraId="239505CE" w14:textId="584BBFDC" w:rsidR="00AB31CA" w:rsidRPr="00CB6AFC" w:rsidRDefault="00AB31CA" w:rsidP="00AC6887">
      <w:pPr>
        <w:numPr>
          <w:ilvl w:val="0"/>
          <w:numId w:val="12"/>
        </w:numPr>
        <w:ind w:left="426" w:hanging="426"/>
        <w:jc w:val="both"/>
        <w:rPr>
          <w:noProof/>
          <w:sz w:val="22"/>
          <w:szCs w:val="22"/>
          <w:lang w:val="sr-Latn-ME"/>
        </w:rPr>
      </w:pPr>
      <w:r w:rsidRPr="00CB6AFC">
        <w:rPr>
          <w:noProof/>
          <w:sz w:val="22"/>
          <w:szCs w:val="22"/>
          <w:lang w:val="sr-Latn-ME"/>
        </w:rPr>
        <w:t>kod pacijenata sa anamnezom gastrointestinalnog krvarenja ili perforacij</w:t>
      </w:r>
      <w:r w:rsidR="00FF5039" w:rsidRPr="00CB6AFC">
        <w:rPr>
          <w:noProof/>
          <w:sz w:val="22"/>
          <w:szCs w:val="22"/>
          <w:lang w:val="sr-Latn-ME"/>
        </w:rPr>
        <w:t>a u gastrointestinalnom traktu</w:t>
      </w:r>
      <w:r w:rsidRPr="00CB6AFC">
        <w:rPr>
          <w:noProof/>
          <w:sz w:val="22"/>
          <w:szCs w:val="22"/>
          <w:lang w:val="sr-Latn-ME"/>
        </w:rPr>
        <w:t xml:space="preserve"> povezanih sa prethodnim NSAIL l</w:t>
      </w:r>
      <w:r w:rsidR="00FF5039" w:rsidRPr="00CB6AFC">
        <w:rPr>
          <w:noProof/>
          <w:sz w:val="22"/>
          <w:szCs w:val="22"/>
          <w:lang w:val="sr-Latn-ME"/>
        </w:rPr>
        <w:t>ij</w:t>
      </w:r>
      <w:r w:rsidRPr="00CB6AFC">
        <w:rPr>
          <w:noProof/>
          <w:sz w:val="22"/>
          <w:szCs w:val="22"/>
          <w:lang w:val="sr-Latn-ME"/>
        </w:rPr>
        <w:t>ečenjem,</w:t>
      </w:r>
    </w:p>
    <w:p w14:paraId="270C7E23" w14:textId="77777777" w:rsidR="00AB31CA" w:rsidRPr="00CB6AFC" w:rsidRDefault="00AB31CA" w:rsidP="00AC6887">
      <w:pPr>
        <w:numPr>
          <w:ilvl w:val="0"/>
          <w:numId w:val="12"/>
        </w:numPr>
        <w:ind w:left="426" w:hanging="426"/>
        <w:jc w:val="both"/>
        <w:rPr>
          <w:noProof/>
          <w:sz w:val="22"/>
          <w:szCs w:val="22"/>
          <w:lang w:val="sr-Latn-ME"/>
        </w:rPr>
      </w:pPr>
      <w:r w:rsidRPr="00CB6AFC">
        <w:rPr>
          <w:noProof/>
          <w:sz w:val="22"/>
          <w:szCs w:val="22"/>
          <w:lang w:val="sr-Latn-ME"/>
        </w:rPr>
        <w:t>kod pacijenata sa aktivnim peptičkim ukusom/krvarenjem, odnosno recidivirajućim peptičkim ulkusom/krvarenjem u istoriji bolesti (dvije ili više dokazanih epizoda ulceracija ili krvarenja),</w:t>
      </w:r>
    </w:p>
    <w:p w14:paraId="254FD770" w14:textId="6A9F7FD3" w:rsidR="00AB31CA" w:rsidRPr="00CB6AFC" w:rsidRDefault="00AB31CA" w:rsidP="00AC6887">
      <w:pPr>
        <w:numPr>
          <w:ilvl w:val="0"/>
          <w:numId w:val="12"/>
        </w:numPr>
        <w:ind w:left="426" w:hanging="426"/>
        <w:jc w:val="both"/>
        <w:rPr>
          <w:noProof/>
          <w:sz w:val="22"/>
          <w:szCs w:val="22"/>
          <w:lang w:val="sr-Latn-ME"/>
        </w:rPr>
      </w:pPr>
      <w:r w:rsidRPr="00CB6AFC">
        <w:rPr>
          <w:noProof/>
          <w:sz w:val="22"/>
          <w:szCs w:val="22"/>
          <w:lang w:val="sr-Latn-ME"/>
        </w:rPr>
        <w:t>kod pacijenata sa teškom insuficijencijom jetre ili teškom insuficijencijom bubrega (</w:t>
      </w:r>
      <w:r w:rsidR="00A40DFF" w:rsidRPr="00CB6AFC">
        <w:rPr>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noProof/>
          <w:sz w:val="22"/>
          <w:szCs w:val="22"/>
          <w:lang w:val="sr-Latn-ME"/>
        </w:rPr>
        <w:t>4.4),</w:t>
      </w:r>
    </w:p>
    <w:p w14:paraId="0308AB8C" w14:textId="77777777" w:rsidR="00AB31CA" w:rsidRPr="00CB6AFC" w:rsidRDefault="00AB31CA" w:rsidP="00AC6887">
      <w:pPr>
        <w:numPr>
          <w:ilvl w:val="0"/>
          <w:numId w:val="12"/>
        </w:numPr>
        <w:ind w:left="426" w:hanging="426"/>
        <w:jc w:val="both"/>
        <w:rPr>
          <w:noProof/>
          <w:sz w:val="22"/>
          <w:szCs w:val="22"/>
          <w:lang w:val="sr-Latn-ME"/>
        </w:rPr>
      </w:pPr>
      <w:r w:rsidRPr="00CB6AFC">
        <w:rPr>
          <w:noProof/>
          <w:sz w:val="22"/>
          <w:szCs w:val="22"/>
          <w:lang w:val="sr-Latn-ME"/>
        </w:rPr>
        <w:t>kod pacijenata sa cerebrovaskularnim ili drugim aktivnim krvarenjem,</w:t>
      </w:r>
    </w:p>
    <w:p w14:paraId="7EA9D4C0" w14:textId="77777777" w:rsidR="00AB31CA" w:rsidRPr="00CB6AFC" w:rsidRDefault="00AB31CA" w:rsidP="00AC6887">
      <w:pPr>
        <w:numPr>
          <w:ilvl w:val="0"/>
          <w:numId w:val="12"/>
        </w:numPr>
        <w:ind w:left="426" w:hanging="426"/>
        <w:jc w:val="both"/>
        <w:rPr>
          <w:noProof/>
          <w:sz w:val="22"/>
          <w:szCs w:val="22"/>
          <w:lang w:val="sr-Latn-ME"/>
        </w:rPr>
      </w:pPr>
      <w:r w:rsidRPr="00CB6AFC">
        <w:rPr>
          <w:noProof/>
          <w:sz w:val="22"/>
          <w:szCs w:val="22"/>
          <w:lang w:val="sr-Latn-ME"/>
        </w:rPr>
        <w:t>kod pacijenata sa poremećajima koagulacije i stanjima koja uključuju povećanu sklonost krvarenju,</w:t>
      </w:r>
    </w:p>
    <w:p w14:paraId="5453C11D" w14:textId="77777777" w:rsidR="00AB31CA" w:rsidRPr="00CB6AFC" w:rsidRDefault="00AB31CA" w:rsidP="00AC6887">
      <w:pPr>
        <w:numPr>
          <w:ilvl w:val="0"/>
          <w:numId w:val="12"/>
        </w:numPr>
        <w:ind w:left="426" w:hanging="426"/>
        <w:jc w:val="both"/>
        <w:rPr>
          <w:noProof/>
          <w:sz w:val="22"/>
          <w:szCs w:val="22"/>
          <w:lang w:val="sr-Latn-ME"/>
        </w:rPr>
      </w:pPr>
      <w:r w:rsidRPr="00CB6AFC">
        <w:rPr>
          <w:noProof/>
          <w:sz w:val="22"/>
          <w:szCs w:val="22"/>
          <w:lang w:val="sr-Latn-ME"/>
        </w:rPr>
        <w:t>kod pacijenata sa teškom dehidracijom (uzrokovanom povraćanjem, dijarejom ili nedovoljnim unosom tečnosti),</w:t>
      </w:r>
    </w:p>
    <w:p w14:paraId="2C244D94" w14:textId="4EA49078" w:rsidR="00AB31CA" w:rsidRPr="00CB6AFC" w:rsidRDefault="00AB31CA" w:rsidP="00180081">
      <w:pPr>
        <w:numPr>
          <w:ilvl w:val="0"/>
          <w:numId w:val="12"/>
        </w:numPr>
        <w:ind w:left="426" w:hanging="426"/>
        <w:jc w:val="both"/>
        <w:rPr>
          <w:noProof/>
          <w:sz w:val="22"/>
          <w:szCs w:val="22"/>
          <w:lang w:val="sr-Latn-ME"/>
        </w:rPr>
      </w:pPr>
      <w:r w:rsidRPr="00CB6AFC">
        <w:rPr>
          <w:noProof/>
          <w:sz w:val="22"/>
          <w:szCs w:val="22"/>
          <w:lang w:val="sr-Latn-ME"/>
        </w:rPr>
        <w:t>tokom trećeg tromjesečja trudnoće (</w:t>
      </w:r>
      <w:r w:rsidR="00A40DFF" w:rsidRPr="00CB6AFC">
        <w:rPr>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noProof/>
          <w:sz w:val="22"/>
          <w:szCs w:val="22"/>
          <w:lang w:val="sr-Latn-ME"/>
        </w:rPr>
        <w:t>4.6),</w:t>
      </w:r>
    </w:p>
    <w:p w14:paraId="07C0EAA8" w14:textId="77777777" w:rsidR="00AB31CA" w:rsidRPr="00CB6AFC" w:rsidRDefault="00AB31CA" w:rsidP="00180081">
      <w:pPr>
        <w:numPr>
          <w:ilvl w:val="0"/>
          <w:numId w:val="12"/>
        </w:numPr>
        <w:ind w:left="426" w:hanging="426"/>
        <w:jc w:val="both"/>
        <w:rPr>
          <w:noProof/>
          <w:sz w:val="22"/>
          <w:szCs w:val="22"/>
          <w:lang w:val="sr-Latn-ME"/>
        </w:rPr>
      </w:pPr>
      <w:r w:rsidRPr="00CB6AFC">
        <w:rPr>
          <w:noProof/>
          <w:sz w:val="22"/>
          <w:szCs w:val="22"/>
          <w:lang w:val="sr-Latn-ME"/>
        </w:rPr>
        <w:t>kod pacijenata mlađih od 18 godina.</w:t>
      </w:r>
    </w:p>
    <w:p w14:paraId="37DFFFDD" w14:textId="77777777" w:rsidR="00AB31CA" w:rsidRPr="00CB6AFC" w:rsidRDefault="00AB31CA" w:rsidP="00DB62C3">
      <w:pPr>
        <w:tabs>
          <w:tab w:val="left" w:pos="540"/>
          <w:tab w:val="left" w:pos="569"/>
        </w:tabs>
        <w:jc w:val="both"/>
        <w:rPr>
          <w:bCs/>
          <w:sz w:val="22"/>
          <w:szCs w:val="22"/>
          <w:lang w:val="sr-Latn-ME"/>
        </w:rPr>
      </w:pPr>
    </w:p>
    <w:p w14:paraId="165240EC" w14:textId="77777777" w:rsidR="00411B4B" w:rsidRPr="00CB6AFC" w:rsidRDefault="00411B4B" w:rsidP="00DB62C3">
      <w:pPr>
        <w:tabs>
          <w:tab w:val="left" w:pos="540"/>
          <w:tab w:val="left" w:pos="569"/>
        </w:tabs>
        <w:jc w:val="both"/>
        <w:rPr>
          <w:b/>
          <w:bCs/>
          <w:sz w:val="22"/>
          <w:szCs w:val="22"/>
          <w:lang w:val="sr-Latn-ME"/>
        </w:rPr>
      </w:pPr>
      <w:r w:rsidRPr="00CB6AFC">
        <w:rPr>
          <w:b/>
          <w:bCs/>
          <w:sz w:val="22"/>
          <w:szCs w:val="22"/>
          <w:lang w:val="sr-Latn-ME"/>
        </w:rPr>
        <w:t xml:space="preserve">4.4. </w:t>
      </w:r>
      <w:r w:rsidR="00480FB1" w:rsidRPr="00CB6AFC">
        <w:rPr>
          <w:b/>
          <w:bCs/>
          <w:sz w:val="22"/>
          <w:szCs w:val="22"/>
          <w:lang w:val="sr-Latn-ME"/>
        </w:rPr>
        <w:tab/>
      </w:r>
      <w:r w:rsidRPr="00CB6AFC">
        <w:rPr>
          <w:b/>
          <w:bCs/>
          <w:sz w:val="22"/>
          <w:szCs w:val="22"/>
          <w:lang w:val="sr-Latn-ME"/>
        </w:rPr>
        <w:t>Posebna upozorenja i mjere opreza pri upotrebi lijeka</w:t>
      </w:r>
    </w:p>
    <w:p w14:paraId="165240ED" w14:textId="77777777" w:rsidR="0072020E" w:rsidRPr="00CB6AFC" w:rsidRDefault="0072020E" w:rsidP="00DB62C3">
      <w:pPr>
        <w:tabs>
          <w:tab w:val="left" w:pos="540"/>
          <w:tab w:val="left" w:pos="569"/>
        </w:tabs>
        <w:jc w:val="both"/>
        <w:rPr>
          <w:bCs/>
          <w:sz w:val="22"/>
          <w:szCs w:val="22"/>
          <w:lang w:val="sr-Latn-ME"/>
        </w:rPr>
      </w:pPr>
    </w:p>
    <w:p w14:paraId="7C556D3A" w14:textId="65C239D7" w:rsidR="00AB31CA" w:rsidRPr="00CB6AFC" w:rsidRDefault="00AB31CA" w:rsidP="00DB62C3">
      <w:pPr>
        <w:jc w:val="both"/>
        <w:outlineLvl w:val="0"/>
        <w:rPr>
          <w:sz w:val="22"/>
          <w:szCs w:val="22"/>
          <w:lang w:val="sr-Latn-ME"/>
        </w:rPr>
      </w:pPr>
      <w:r w:rsidRPr="00CB6AFC">
        <w:rPr>
          <w:sz w:val="22"/>
          <w:szCs w:val="22"/>
          <w:lang w:val="sr-Latn-ME"/>
        </w:rPr>
        <w:t>Neželjena dejstva se mogu minimizirati primjenom najniže efikasne doze tokom najkraćeg vremena potrebnog za kontrolu simptoma. Ovaj lijek nam</w:t>
      </w:r>
      <w:r w:rsidR="0097366E" w:rsidRPr="00CB6AFC">
        <w:rPr>
          <w:sz w:val="22"/>
          <w:szCs w:val="22"/>
          <w:lang w:val="sr-Latn-ME"/>
        </w:rPr>
        <w:t>i</w:t>
      </w:r>
      <w:r w:rsidRPr="00CB6AFC">
        <w:rPr>
          <w:sz w:val="22"/>
          <w:szCs w:val="22"/>
          <w:lang w:val="sr-Latn-ME"/>
        </w:rPr>
        <w:t>jenjen je za kratkotrajnu primjenu i ne preporučuje se upotreba duže od 2 dana.</w:t>
      </w:r>
    </w:p>
    <w:p w14:paraId="744C53C9" w14:textId="77777777" w:rsidR="00AB31CA" w:rsidRPr="00CB6AFC" w:rsidRDefault="00AB31CA" w:rsidP="00DB62C3">
      <w:pPr>
        <w:jc w:val="both"/>
        <w:outlineLvl w:val="0"/>
        <w:rPr>
          <w:sz w:val="22"/>
          <w:szCs w:val="22"/>
          <w:lang w:val="sr-Latn-ME"/>
        </w:rPr>
      </w:pPr>
    </w:p>
    <w:p w14:paraId="2F3740D4" w14:textId="77777777" w:rsidR="00AB31CA" w:rsidRPr="00CB6AFC" w:rsidRDefault="00AB31CA" w:rsidP="00DB62C3">
      <w:pPr>
        <w:jc w:val="both"/>
        <w:outlineLvl w:val="0"/>
        <w:rPr>
          <w:sz w:val="22"/>
          <w:szCs w:val="22"/>
          <w:lang w:val="sr-Latn-ME"/>
        </w:rPr>
      </w:pPr>
      <w:r w:rsidRPr="00CB6AFC">
        <w:rPr>
          <w:sz w:val="22"/>
          <w:szCs w:val="22"/>
          <w:lang w:val="sr-Latn-ME"/>
        </w:rPr>
        <w:t xml:space="preserve">Treba izbjegavati istovremenu primjenu lijeka </w:t>
      </w:r>
      <w:r w:rsidRPr="00CB6AFC">
        <w:rPr>
          <w:noProof/>
          <w:sz w:val="22"/>
          <w:szCs w:val="22"/>
          <w:lang w:val="sr-Latn-ME"/>
        </w:rPr>
        <w:t>Comboval 10 mg/ml + 3 mg/ml</w:t>
      </w:r>
      <w:r w:rsidRPr="00CB6AFC">
        <w:rPr>
          <w:sz w:val="22"/>
          <w:szCs w:val="22"/>
          <w:lang w:val="sr-Latn-ME"/>
        </w:rPr>
        <w:t xml:space="preserve"> rastvor za infuziju i NSAIL, uključujući selektivne inhibitore ciklooksigenaze-2.</w:t>
      </w:r>
    </w:p>
    <w:p w14:paraId="75BED3C3" w14:textId="77777777" w:rsidR="00AB31CA" w:rsidRPr="00CB6AFC" w:rsidRDefault="00AB31CA" w:rsidP="00DB62C3">
      <w:pPr>
        <w:jc w:val="both"/>
        <w:outlineLvl w:val="0"/>
        <w:rPr>
          <w:sz w:val="22"/>
          <w:szCs w:val="22"/>
          <w:lang w:val="sr-Latn-ME"/>
        </w:rPr>
      </w:pPr>
    </w:p>
    <w:p w14:paraId="34CEDC5F" w14:textId="77777777" w:rsidR="00AB31CA" w:rsidRPr="00CB6AFC" w:rsidRDefault="00AB31CA" w:rsidP="00DB62C3">
      <w:pPr>
        <w:jc w:val="both"/>
        <w:outlineLvl w:val="0"/>
        <w:rPr>
          <w:sz w:val="22"/>
          <w:szCs w:val="22"/>
          <w:lang w:val="sr-Latn-ME"/>
        </w:rPr>
      </w:pPr>
      <w:r w:rsidRPr="00CB6AFC">
        <w:rPr>
          <w:sz w:val="22"/>
          <w:szCs w:val="22"/>
          <w:lang w:val="sr-Latn-ME"/>
        </w:rPr>
        <w:t>Kako bi se izbjegao rizik od predoziranja,</w:t>
      </w:r>
    </w:p>
    <w:p w14:paraId="7EE8FE27" w14:textId="7566255B" w:rsidR="00AB31CA" w:rsidRPr="00CB6AFC" w:rsidRDefault="00AB31CA" w:rsidP="00DB62C3">
      <w:pPr>
        <w:numPr>
          <w:ilvl w:val="0"/>
          <w:numId w:val="13"/>
        </w:numPr>
        <w:ind w:left="426" w:hanging="426"/>
        <w:jc w:val="both"/>
        <w:outlineLvl w:val="0"/>
        <w:rPr>
          <w:sz w:val="22"/>
          <w:szCs w:val="22"/>
          <w:lang w:val="sr-Latn-ME"/>
        </w:rPr>
      </w:pPr>
      <w:r w:rsidRPr="00CB6AFC">
        <w:rPr>
          <w:sz w:val="22"/>
          <w:szCs w:val="22"/>
          <w:lang w:val="sr-Latn-ME"/>
        </w:rPr>
        <w:t xml:space="preserve">provjerite </w:t>
      </w:r>
      <w:r w:rsidR="0097366E" w:rsidRPr="00CB6AFC">
        <w:rPr>
          <w:sz w:val="22"/>
          <w:szCs w:val="22"/>
          <w:lang w:val="sr-Latn-ME"/>
        </w:rPr>
        <w:t>da</w:t>
      </w:r>
      <w:r w:rsidRPr="00CB6AFC">
        <w:rPr>
          <w:sz w:val="22"/>
          <w:szCs w:val="22"/>
          <w:lang w:val="sr-Latn-ME"/>
        </w:rPr>
        <w:t xml:space="preserve"> li drugi ljekovi </w:t>
      </w:r>
      <w:r w:rsidR="0097366E" w:rsidRPr="00CB6AFC">
        <w:rPr>
          <w:sz w:val="22"/>
          <w:szCs w:val="22"/>
          <w:lang w:val="sr-Latn-ME"/>
        </w:rPr>
        <w:t xml:space="preserve">koje uzimate sadrže </w:t>
      </w:r>
      <w:r w:rsidRPr="00CB6AFC">
        <w:rPr>
          <w:sz w:val="22"/>
          <w:szCs w:val="22"/>
          <w:lang w:val="sr-Latn-ME"/>
        </w:rPr>
        <w:t>paracetamol,</w:t>
      </w:r>
    </w:p>
    <w:p w14:paraId="4B6B0F9C" w14:textId="36C7413F" w:rsidR="00AB31CA" w:rsidRPr="00CB6AFC" w:rsidRDefault="00AB31CA" w:rsidP="00DB62C3">
      <w:pPr>
        <w:numPr>
          <w:ilvl w:val="0"/>
          <w:numId w:val="13"/>
        </w:numPr>
        <w:ind w:left="426" w:hanging="426"/>
        <w:jc w:val="both"/>
        <w:outlineLvl w:val="0"/>
        <w:rPr>
          <w:sz w:val="22"/>
          <w:szCs w:val="22"/>
          <w:lang w:val="sr-Latn-ME"/>
        </w:rPr>
      </w:pPr>
      <w:r w:rsidRPr="00CB6AFC">
        <w:rPr>
          <w:sz w:val="22"/>
          <w:szCs w:val="22"/>
          <w:lang w:val="sr-Latn-ME"/>
        </w:rPr>
        <w:t>pridržavajte se maksimalnih preporučenih doza (</w:t>
      </w:r>
      <w:r w:rsidR="00A40DFF" w:rsidRPr="00CB6AFC">
        <w:rPr>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sz w:val="22"/>
          <w:szCs w:val="22"/>
          <w:lang w:val="sr-Latn-ME"/>
        </w:rPr>
        <w:t>4.2).</w:t>
      </w:r>
    </w:p>
    <w:p w14:paraId="6542ADCF" w14:textId="77777777" w:rsidR="00AB31CA" w:rsidRPr="00CB6AFC" w:rsidRDefault="00AB31CA" w:rsidP="00DB62C3">
      <w:pPr>
        <w:jc w:val="both"/>
        <w:outlineLvl w:val="0"/>
        <w:rPr>
          <w:b/>
          <w:bCs/>
          <w:i/>
          <w:iCs/>
          <w:sz w:val="22"/>
          <w:szCs w:val="22"/>
          <w:lang w:val="sr-Latn-ME"/>
        </w:rPr>
      </w:pPr>
    </w:p>
    <w:p w14:paraId="4A12CBBE"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Kardiovaskularni trombotski događaji</w:t>
      </w:r>
    </w:p>
    <w:p w14:paraId="4E1F274B" w14:textId="77777777" w:rsidR="00AB31CA" w:rsidRPr="00CB6AFC" w:rsidRDefault="00AB31CA" w:rsidP="00DB62C3">
      <w:pPr>
        <w:jc w:val="both"/>
        <w:outlineLvl w:val="0"/>
        <w:rPr>
          <w:sz w:val="22"/>
          <w:szCs w:val="22"/>
          <w:lang w:val="sr-Latn-ME"/>
        </w:rPr>
      </w:pPr>
      <w:r w:rsidRPr="00CB6AFC">
        <w:rPr>
          <w:sz w:val="22"/>
          <w:szCs w:val="22"/>
          <w:lang w:val="sr-Latn-ME"/>
        </w:rPr>
        <w:t>Klinička ispitivanja upućuju na to da primjena ibuprofena, naročito u visokoj dozi (2400 mg/dan), može biti povezana sa blago povećanim rizikom od arterijskih trombotičkih događaja (na primjer infarkta miokarda ili moždanog udara). Generalno, epidemiološka ispitivanja ne upućuju na to da bi ibuprofen u niskoj dozi (npr. 1200 mg/dan) bio povezan sa povećanim rizikom od arterijskih trombotičkih događaja.</w:t>
      </w:r>
    </w:p>
    <w:p w14:paraId="1C3337F9" w14:textId="77777777" w:rsidR="00AB31CA" w:rsidRPr="00CB6AFC" w:rsidRDefault="00AB31CA" w:rsidP="00DB62C3">
      <w:pPr>
        <w:jc w:val="both"/>
        <w:outlineLvl w:val="0"/>
        <w:rPr>
          <w:sz w:val="22"/>
          <w:szCs w:val="22"/>
          <w:lang w:val="sr-Latn-ME"/>
        </w:rPr>
      </w:pPr>
    </w:p>
    <w:p w14:paraId="73F7091F" w14:textId="151EE2DC" w:rsidR="00AB31CA" w:rsidRPr="00CB6AFC" w:rsidRDefault="00AB31CA" w:rsidP="00DB62C3">
      <w:pPr>
        <w:jc w:val="both"/>
        <w:outlineLvl w:val="0"/>
        <w:rPr>
          <w:sz w:val="22"/>
          <w:szCs w:val="22"/>
          <w:lang w:val="sr-Latn-ME"/>
        </w:rPr>
      </w:pPr>
      <w:r w:rsidRPr="00CB6AFC">
        <w:rPr>
          <w:sz w:val="22"/>
          <w:szCs w:val="22"/>
          <w:lang w:val="sr-Latn-ME"/>
        </w:rPr>
        <w:t>Pacijenti sa nekontrolisanom hipertenzijom, kongestivnom srčanom insuficijencijom (NYHA II-III), utvrđenom ishemijskom bolesti srca, bolešću perifernih arterija i/ili cerebrovaskularnom bolešću se smiju liječiti ibuprofenom samo nakon pažljiv</w:t>
      </w:r>
      <w:r w:rsidR="00A40DFF" w:rsidRPr="00CB6AFC">
        <w:rPr>
          <w:sz w:val="22"/>
          <w:szCs w:val="22"/>
          <w:lang w:val="sr-Latn-ME"/>
        </w:rPr>
        <w:t xml:space="preserve">e procjene </w:t>
      </w:r>
      <w:r w:rsidRPr="00CB6AFC">
        <w:rPr>
          <w:sz w:val="22"/>
          <w:szCs w:val="22"/>
          <w:lang w:val="sr-Latn-ME"/>
        </w:rPr>
        <w:t>i uz izbjegavanje davanja visokih doza (2400 mg/dan).</w:t>
      </w:r>
    </w:p>
    <w:p w14:paraId="6725D6E8" w14:textId="77777777" w:rsidR="00AB31CA" w:rsidRPr="00CB6AFC" w:rsidRDefault="00AB31CA" w:rsidP="00DB62C3">
      <w:pPr>
        <w:jc w:val="both"/>
        <w:outlineLvl w:val="0"/>
        <w:rPr>
          <w:sz w:val="22"/>
          <w:szCs w:val="22"/>
          <w:lang w:val="sr-Latn-ME"/>
        </w:rPr>
      </w:pPr>
    </w:p>
    <w:p w14:paraId="31B26ACF" w14:textId="77777777" w:rsidR="00AB31CA" w:rsidRPr="00CB6AFC" w:rsidRDefault="00AB31CA" w:rsidP="00DB62C3">
      <w:pPr>
        <w:jc w:val="both"/>
        <w:outlineLvl w:val="0"/>
        <w:rPr>
          <w:sz w:val="22"/>
          <w:szCs w:val="22"/>
          <w:lang w:val="sr-Latn-ME"/>
        </w:rPr>
      </w:pPr>
      <w:r w:rsidRPr="00CB6AFC">
        <w:rPr>
          <w:sz w:val="22"/>
          <w:szCs w:val="22"/>
          <w:lang w:val="sr-Latn-ME"/>
        </w:rPr>
        <w:t>Pažljivo razmatranje je takođe potrebno prije započinjanja dugotrajnog liječenja pacijenata koji imaju faktore rizika za kardiovaskularne događaje (na primjer hipertenziju, hiperlipidemiju, šećernu bolest, pušenje), naročito ako su potrebne visoke doze ibuprofena (2400 mg/dan).</w:t>
      </w:r>
    </w:p>
    <w:p w14:paraId="24B84996" w14:textId="77777777" w:rsidR="00AB31CA" w:rsidRPr="00CB6AFC" w:rsidRDefault="00AB31CA" w:rsidP="00DB62C3">
      <w:pPr>
        <w:jc w:val="both"/>
        <w:outlineLvl w:val="0"/>
        <w:rPr>
          <w:sz w:val="22"/>
          <w:szCs w:val="22"/>
          <w:lang w:val="sr-Latn-ME"/>
        </w:rPr>
      </w:pPr>
    </w:p>
    <w:p w14:paraId="4CEBD6C8"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Oštećenje funkcije jetre</w:t>
      </w:r>
    </w:p>
    <w:p w14:paraId="0E9BA7F3" w14:textId="4211ED05" w:rsidR="00AB31CA" w:rsidRPr="00CB6AFC" w:rsidRDefault="00AB31CA" w:rsidP="00DB62C3">
      <w:pPr>
        <w:jc w:val="both"/>
        <w:outlineLvl w:val="0"/>
        <w:rPr>
          <w:sz w:val="22"/>
          <w:szCs w:val="22"/>
          <w:lang w:val="sr-Latn-ME"/>
        </w:rPr>
      </w:pPr>
      <w:r w:rsidRPr="00CB6AFC">
        <w:rPr>
          <w:sz w:val="22"/>
          <w:szCs w:val="22"/>
          <w:lang w:val="sr-Latn-ME"/>
        </w:rPr>
        <w:t xml:space="preserve">Primjena paracetamola </w:t>
      </w:r>
      <w:r w:rsidR="00DB62C3" w:rsidRPr="00CB6AFC">
        <w:rPr>
          <w:sz w:val="22"/>
          <w:szCs w:val="22"/>
          <w:lang w:val="sr-Latn-ME"/>
        </w:rPr>
        <w:t xml:space="preserve">u </w:t>
      </w:r>
      <w:r w:rsidRPr="00CB6AFC">
        <w:rPr>
          <w:sz w:val="22"/>
          <w:szCs w:val="22"/>
          <w:lang w:val="sr-Latn-ME"/>
        </w:rPr>
        <w:t>dozama v</w:t>
      </w:r>
      <w:r w:rsidR="0097366E" w:rsidRPr="00CB6AFC">
        <w:rPr>
          <w:sz w:val="22"/>
          <w:szCs w:val="22"/>
          <w:lang w:val="sr-Latn-ME"/>
        </w:rPr>
        <w:t>ećim</w:t>
      </w:r>
      <w:r w:rsidRPr="00CB6AFC">
        <w:rPr>
          <w:sz w:val="22"/>
          <w:szCs w:val="22"/>
          <w:lang w:val="sr-Latn-ME"/>
        </w:rPr>
        <w:t xml:space="preserve"> od preporučenih</w:t>
      </w:r>
      <w:r w:rsidR="0097366E" w:rsidRPr="00CB6AFC">
        <w:rPr>
          <w:sz w:val="22"/>
          <w:szCs w:val="22"/>
          <w:lang w:val="sr-Latn-ME"/>
        </w:rPr>
        <w:t>,</w:t>
      </w:r>
      <w:r w:rsidRPr="00CB6AFC">
        <w:rPr>
          <w:sz w:val="22"/>
          <w:szCs w:val="22"/>
          <w:lang w:val="sr-Latn-ME"/>
        </w:rPr>
        <w:t xml:space="preserve"> može dovesti do hepatotoksičnosti, pa čak i do insuficijencije jetre i smrti. Takođe, kod pacijenata sa oštećenom funkcijom jetre ili istorijom bolesti jetre, a koji su na dugotrajnom liječenju ibuprofenom ili paracetamolom, treba redovno pratiti funkcije jetre, jer je dokazano da ibuprofen ima mal</w:t>
      </w:r>
      <w:r w:rsidR="0097366E" w:rsidRPr="00CB6AFC">
        <w:rPr>
          <w:sz w:val="22"/>
          <w:szCs w:val="22"/>
          <w:lang w:val="sr-Latn-ME"/>
        </w:rPr>
        <w:t>o</w:t>
      </w:r>
      <w:r w:rsidRPr="00CB6AFC">
        <w:rPr>
          <w:sz w:val="22"/>
          <w:szCs w:val="22"/>
          <w:lang w:val="sr-Latn-ME"/>
        </w:rPr>
        <w:t xml:space="preserve"> i prolazn</w:t>
      </w:r>
      <w:r w:rsidR="0097366E" w:rsidRPr="00CB6AFC">
        <w:rPr>
          <w:sz w:val="22"/>
          <w:szCs w:val="22"/>
          <w:lang w:val="sr-Latn-ME"/>
        </w:rPr>
        <w:t>o</w:t>
      </w:r>
      <w:r w:rsidRPr="00CB6AFC">
        <w:rPr>
          <w:sz w:val="22"/>
          <w:szCs w:val="22"/>
          <w:lang w:val="sr-Latn-ME"/>
        </w:rPr>
        <w:t xml:space="preserve"> </w:t>
      </w:r>
      <w:r w:rsidR="0097366E" w:rsidRPr="00CB6AFC">
        <w:rPr>
          <w:sz w:val="22"/>
          <w:szCs w:val="22"/>
          <w:lang w:val="sr-Latn-ME"/>
        </w:rPr>
        <w:t>dejstvo</w:t>
      </w:r>
      <w:r w:rsidRPr="00CB6AFC">
        <w:rPr>
          <w:sz w:val="22"/>
          <w:szCs w:val="22"/>
          <w:lang w:val="sr-Latn-ME"/>
        </w:rPr>
        <w:t xml:space="preserve"> na enzime</w:t>
      </w:r>
      <w:r w:rsidR="0097366E" w:rsidRPr="00CB6AFC">
        <w:rPr>
          <w:sz w:val="22"/>
          <w:szCs w:val="22"/>
          <w:lang w:val="sr-Latn-ME"/>
        </w:rPr>
        <w:t xml:space="preserve"> jetre</w:t>
      </w:r>
      <w:r w:rsidRPr="00CB6AFC">
        <w:rPr>
          <w:sz w:val="22"/>
          <w:szCs w:val="22"/>
          <w:lang w:val="sr-Latn-ME"/>
        </w:rPr>
        <w:t>. S</w:t>
      </w:r>
      <w:r w:rsidR="0097366E" w:rsidRPr="00CB6AFC">
        <w:rPr>
          <w:sz w:val="22"/>
          <w:szCs w:val="22"/>
          <w:lang w:val="sr-Latn-ME"/>
        </w:rPr>
        <w:t>manjenje</w:t>
      </w:r>
      <w:r w:rsidRPr="00CB6AFC">
        <w:rPr>
          <w:sz w:val="22"/>
          <w:szCs w:val="22"/>
          <w:lang w:val="sr-Latn-ME"/>
        </w:rPr>
        <w:t xml:space="preserve"> doze preporučuje se kod pacijenata koji pokazuju znakove pogoršanja funkcije jetre. Liječenje treba prekinuti kod onih pacijenata koji razviju tešku insuficijenciju jetre (</w:t>
      </w:r>
      <w:r w:rsidR="00A40DFF" w:rsidRPr="00CB6AFC">
        <w:rPr>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sz w:val="22"/>
          <w:szCs w:val="22"/>
          <w:lang w:val="sr-Latn-ME"/>
        </w:rPr>
        <w:t>4.3).</w:t>
      </w:r>
    </w:p>
    <w:p w14:paraId="0486E155" w14:textId="77777777" w:rsidR="00AB31CA" w:rsidRPr="00CB6AFC" w:rsidRDefault="00AB31CA" w:rsidP="00DB62C3">
      <w:pPr>
        <w:jc w:val="both"/>
        <w:outlineLvl w:val="0"/>
        <w:rPr>
          <w:sz w:val="22"/>
          <w:szCs w:val="22"/>
          <w:lang w:val="sr-Latn-ME"/>
        </w:rPr>
      </w:pPr>
    </w:p>
    <w:p w14:paraId="457F3B5E" w14:textId="44BEB50E" w:rsidR="00AB31CA" w:rsidRPr="00CB6AFC" w:rsidRDefault="00AB31CA" w:rsidP="00DB62C3">
      <w:pPr>
        <w:jc w:val="both"/>
        <w:outlineLvl w:val="0"/>
        <w:rPr>
          <w:sz w:val="22"/>
          <w:szCs w:val="22"/>
          <w:lang w:val="sr-Latn-ME"/>
        </w:rPr>
      </w:pPr>
      <w:r w:rsidRPr="00CB6AFC">
        <w:rPr>
          <w:sz w:val="22"/>
          <w:szCs w:val="22"/>
          <w:lang w:val="sr-Latn-ME"/>
        </w:rPr>
        <w:t>Teške jetrene reakcije, uključujući žuticu i slučajeve hepatitisa sa smrtnim ishodom, iako rijetko, zabilježene su sa ibuprofenom kao i kod drugih NSAIL. Ako se abnormalne vrijednosti testova funkcije jetre ponove ili pogoršaju, razviju klinički zna</w:t>
      </w:r>
      <w:r w:rsidR="00A40DFF" w:rsidRPr="00CB6AFC">
        <w:rPr>
          <w:sz w:val="22"/>
          <w:szCs w:val="22"/>
          <w:lang w:val="sr-Latn-ME"/>
        </w:rPr>
        <w:t>ci</w:t>
      </w:r>
      <w:r w:rsidRPr="00CB6AFC">
        <w:rPr>
          <w:sz w:val="22"/>
          <w:szCs w:val="22"/>
          <w:lang w:val="sr-Latn-ME"/>
        </w:rPr>
        <w:t xml:space="preserve"> i simptomi bolesti jetre, ili ako se pojave sistemske </w:t>
      </w:r>
      <w:r w:rsidRPr="00CB6AFC">
        <w:rPr>
          <w:sz w:val="22"/>
          <w:szCs w:val="22"/>
          <w:lang w:val="sr-Latn-ME"/>
        </w:rPr>
        <w:lastRenderedPageBreak/>
        <w:t>manifestacije (npr. eozinofilija, osip itd.), liječenje ibuprofenom treba prekinuti. Za obje aktivne supstance prijavljeno je da izazivaju hepatotoksičnost, pa čak i insuficijenciju jetre, a naročito paracetamol.</w:t>
      </w:r>
    </w:p>
    <w:p w14:paraId="3D15558C" w14:textId="77777777" w:rsidR="00AB31CA" w:rsidRPr="00CB6AFC" w:rsidRDefault="00AB31CA" w:rsidP="00DB62C3">
      <w:pPr>
        <w:jc w:val="both"/>
        <w:outlineLvl w:val="0"/>
        <w:rPr>
          <w:sz w:val="22"/>
          <w:szCs w:val="22"/>
          <w:lang w:val="sr-Latn-ME"/>
        </w:rPr>
      </w:pPr>
    </w:p>
    <w:p w14:paraId="767FB1E0"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Oštećenje funkcije bubrega</w:t>
      </w:r>
    </w:p>
    <w:p w14:paraId="1BD7CC4C" w14:textId="759A1747" w:rsidR="00AB31CA" w:rsidRPr="00CB6AFC" w:rsidRDefault="00AB31CA" w:rsidP="00DB62C3">
      <w:pPr>
        <w:jc w:val="both"/>
        <w:outlineLvl w:val="0"/>
        <w:rPr>
          <w:sz w:val="22"/>
          <w:szCs w:val="22"/>
          <w:lang w:val="sr-Latn-ME"/>
        </w:rPr>
      </w:pPr>
      <w:r w:rsidRPr="00CB6AFC">
        <w:rPr>
          <w:sz w:val="22"/>
          <w:szCs w:val="22"/>
          <w:lang w:val="sr-Latn-ME"/>
        </w:rPr>
        <w:t xml:space="preserve">Paracetamol se može </w:t>
      </w:r>
      <w:r w:rsidR="0097366E" w:rsidRPr="00CB6AFC">
        <w:rPr>
          <w:sz w:val="22"/>
          <w:szCs w:val="22"/>
          <w:lang w:val="sr-Latn-ME"/>
        </w:rPr>
        <w:t>primjenjivati</w:t>
      </w:r>
      <w:r w:rsidRPr="00CB6AFC">
        <w:rPr>
          <w:sz w:val="22"/>
          <w:szCs w:val="22"/>
          <w:lang w:val="sr-Latn-ME"/>
        </w:rPr>
        <w:t xml:space="preserve"> kod pacijenata sa hroničnom bubrežnom bolešću bez prilagođavanja doze. Postoji minimalan rizik od toksičnosti paracetamola kod pacijenata sa umjerenom do teškom insuficijencijom bubrega. Međutim, </w:t>
      </w:r>
      <w:r w:rsidR="0097366E" w:rsidRPr="00CB6AFC">
        <w:rPr>
          <w:sz w:val="22"/>
          <w:szCs w:val="22"/>
          <w:lang w:val="sr-Latn-ME"/>
        </w:rPr>
        <w:t>s obzirom na prisustvo</w:t>
      </w:r>
      <w:r w:rsidRPr="00CB6AFC">
        <w:rPr>
          <w:sz w:val="22"/>
          <w:szCs w:val="22"/>
          <w:lang w:val="sr-Latn-ME"/>
        </w:rPr>
        <w:t xml:space="preserve"> ibuprofen komponent</w:t>
      </w:r>
      <w:r w:rsidR="0097366E" w:rsidRPr="00CB6AFC">
        <w:rPr>
          <w:sz w:val="22"/>
          <w:szCs w:val="22"/>
          <w:lang w:val="sr-Latn-ME"/>
        </w:rPr>
        <w:t>e</w:t>
      </w:r>
      <w:r w:rsidRPr="00CB6AFC">
        <w:rPr>
          <w:sz w:val="22"/>
          <w:szCs w:val="22"/>
          <w:lang w:val="sr-Latn-ME"/>
        </w:rPr>
        <w:t xml:space="preserve"> ovog lijeka treba biti oprezan kod započinjanja liječenja ibuprofenom kod pacijenata sa dehidracijom. Dva glavna metabolita ibuprofena izlučuju se uglavnom urinom, a oštećenje bubrežne funkcije može rezultirati njihovim nakupljanjem. Značaj toga nije poznat. Za NSAIL je prijavljeno da izazivaju nefrotoksičnost u različitim oblicima: intersticij</w:t>
      </w:r>
      <w:r w:rsidR="0097366E" w:rsidRPr="00CB6AFC">
        <w:rPr>
          <w:sz w:val="22"/>
          <w:szCs w:val="22"/>
          <w:lang w:val="sr-Latn-ME"/>
        </w:rPr>
        <w:t>alni</w:t>
      </w:r>
      <w:r w:rsidRPr="00CB6AFC">
        <w:rPr>
          <w:sz w:val="22"/>
          <w:szCs w:val="22"/>
          <w:lang w:val="sr-Latn-ME"/>
        </w:rPr>
        <w:t xml:space="preserve"> nefritis, nefrotski sindrom i insuficijenciju bubrega. Oštećenje bubrega usljed primjene ibuprofena obično je reverzibilno. Kod pacijenata sa oštećenjem bubrega, srca ili jetre, onih koji uzimaju diuretike i ACE inhibitore i starijih pacijenata potreban je oprez, jer primjena NSAIL može dovesti do pogoršanja funkcije bubrega. Kod tih pacijenata dozu treba održavati što je moguće nižom, a bubrežnu funkciju treba pratiti. Kod pacijenata</w:t>
      </w:r>
      <w:r w:rsidR="0097366E" w:rsidRPr="00CB6AFC">
        <w:rPr>
          <w:sz w:val="22"/>
          <w:szCs w:val="22"/>
          <w:lang w:val="sr-Latn-ME"/>
        </w:rPr>
        <w:t xml:space="preserve"> kod</w:t>
      </w:r>
      <w:r w:rsidRPr="00CB6AFC">
        <w:rPr>
          <w:sz w:val="22"/>
          <w:szCs w:val="22"/>
          <w:lang w:val="sr-Latn-ME"/>
        </w:rPr>
        <w:t xml:space="preserve"> koji</w:t>
      </w:r>
      <w:r w:rsidR="0097366E" w:rsidRPr="00CB6AFC">
        <w:rPr>
          <w:sz w:val="22"/>
          <w:szCs w:val="22"/>
          <w:lang w:val="sr-Latn-ME"/>
        </w:rPr>
        <w:t>h se</w:t>
      </w:r>
      <w:r w:rsidRPr="00CB6AFC">
        <w:rPr>
          <w:sz w:val="22"/>
          <w:szCs w:val="22"/>
          <w:lang w:val="sr-Latn-ME"/>
        </w:rPr>
        <w:t xml:space="preserve"> razvij</w:t>
      </w:r>
      <w:r w:rsidR="0097366E" w:rsidRPr="00CB6AFC">
        <w:rPr>
          <w:sz w:val="22"/>
          <w:szCs w:val="22"/>
          <w:lang w:val="sr-Latn-ME"/>
        </w:rPr>
        <w:t>e</w:t>
      </w:r>
      <w:r w:rsidRPr="00CB6AFC">
        <w:rPr>
          <w:sz w:val="22"/>
          <w:szCs w:val="22"/>
          <w:lang w:val="sr-Latn-ME"/>
        </w:rPr>
        <w:t xml:space="preserve"> tešk</w:t>
      </w:r>
      <w:r w:rsidR="0097366E" w:rsidRPr="00CB6AFC">
        <w:rPr>
          <w:sz w:val="22"/>
          <w:szCs w:val="22"/>
          <w:lang w:val="sr-Latn-ME"/>
        </w:rPr>
        <w:t>a</w:t>
      </w:r>
      <w:r w:rsidRPr="00CB6AFC">
        <w:rPr>
          <w:sz w:val="22"/>
          <w:szCs w:val="22"/>
          <w:lang w:val="sr-Latn-ME"/>
        </w:rPr>
        <w:t xml:space="preserve"> insuficijencij</w:t>
      </w:r>
      <w:r w:rsidR="0097366E" w:rsidRPr="00CB6AFC">
        <w:rPr>
          <w:sz w:val="22"/>
          <w:szCs w:val="22"/>
          <w:lang w:val="sr-Latn-ME"/>
        </w:rPr>
        <w:t>a</w:t>
      </w:r>
      <w:r w:rsidRPr="00CB6AFC">
        <w:rPr>
          <w:sz w:val="22"/>
          <w:szCs w:val="22"/>
          <w:lang w:val="sr-Latn-ME"/>
        </w:rPr>
        <w:t xml:space="preserve"> bubrega</w:t>
      </w:r>
      <w:r w:rsidR="0097366E" w:rsidRPr="00CB6AFC">
        <w:rPr>
          <w:sz w:val="22"/>
          <w:szCs w:val="22"/>
          <w:lang w:val="sr-Latn-ME"/>
        </w:rPr>
        <w:t>,</w:t>
      </w:r>
      <w:r w:rsidRPr="00CB6AFC">
        <w:rPr>
          <w:sz w:val="22"/>
          <w:szCs w:val="22"/>
          <w:lang w:val="sr-Latn-ME"/>
        </w:rPr>
        <w:t xml:space="preserve"> liječenje treba prekinuti (</w:t>
      </w:r>
      <w:r w:rsidR="00A40DFF" w:rsidRPr="00CB6AFC">
        <w:rPr>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sz w:val="22"/>
          <w:szCs w:val="22"/>
          <w:lang w:val="sr-Latn-ME"/>
        </w:rPr>
        <w:t>4.3).</w:t>
      </w:r>
    </w:p>
    <w:p w14:paraId="40C54511" w14:textId="77777777" w:rsidR="00AB31CA" w:rsidRPr="00CB6AFC" w:rsidRDefault="00AB31CA" w:rsidP="00DB62C3">
      <w:pPr>
        <w:jc w:val="both"/>
        <w:outlineLvl w:val="0"/>
        <w:rPr>
          <w:sz w:val="22"/>
          <w:szCs w:val="22"/>
          <w:lang w:val="sr-Latn-ME"/>
        </w:rPr>
      </w:pPr>
    </w:p>
    <w:p w14:paraId="6AF785A0" w14:textId="189D1CCC" w:rsidR="00AB31CA" w:rsidRPr="00CB6AFC" w:rsidRDefault="00AB31CA" w:rsidP="00DB62C3">
      <w:pPr>
        <w:jc w:val="both"/>
        <w:outlineLvl w:val="0"/>
        <w:rPr>
          <w:b/>
          <w:bCs/>
          <w:i/>
          <w:iCs/>
          <w:sz w:val="22"/>
          <w:szCs w:val="22"/>
          <w:lang w:val="sr-Latn-ME"/>
        </w:rPr>
      </w:pPr>
      <w:r w:rsidRPr="00CB6AFC">
        <w:rPr>
          <w:b/>
          <w:bCs/>
          <w:i/>
          <w:iCs/>
          <w:sz w:val="22"/>
          <w:szCs w:val="22"/>
          <w:lang w:val="sr-Latn-ME"/>
        </w:rPr>
        <w:t xml:space="preserve">Kombinacija upotrebe ACE inhibitora ili antagonista angiotenzinskih receptora, </w:t>
      </w:r>
      <w:r w:rsidR="0097366E" w:rsidRPr="00CB6AFC">
        <w:rPr>
          <w:b/>
          <w:bCs/>
          <w:i/>
          <w:iCs/>
          <w:sz w:val="22"/>
          <w:szCs w:val="22"/>
          <w:lang w:val="sr-Latn-ME"/>
        </w:rPr>
        <w:t>antiinflamatronih</w:t>
      </w:r>
      <w:r w:rsidRPr="00CB6AFC">
        <w:rPr>
          <w:b/>
          <w:bCs/>
          <w:i/>
          <w:iCs/>
          <w:sz w:val="22"/>
          <w:szCs w:val="22"/>
          <w:lang w:val="sr-Latn-ME"/>
        </w:rPr>
        <w:t xml:space="preserve"> ljekova i tiazidnih diuretika</w:t>
      </w:r>
    </w:p>
    <w:p w14:paraId="34CE2CE8" w14:textId="337BFF5F" w:rsidR="00AB31CA" w:rsidRPr="00CB6AFC" w:rsidRDefault="00AB31CA" w:rsidP="00DB62C3">
      <w:pPr>
        <w:jc w:val="both"/>
        <w:outlineLvl w:val="0"/>
        <w:rPr>
          <w:sz w:val="22"/>
          <w:szCs w:val="22"/>
          <w:lang w:val="sr-Latn-ME"/>
        </w:rPr>
      </w:pPr>
      <w:r w:rsidRPr="00CB6AFC">
        <w:rPr>
          <w:sz w:val="22"/>
          <w:szCs w:val="22"/>
          <w:lang w:val="sr-Latn-ME"/>
        </w:rPr>
        <w:t>Istovremen</w:t>
      </w:r>
      <w:r w:rsidR="0097366E" w:rsidRPr="00CB6AFC">
        <w:rPr>
          <w:sz w:val="22"/>
          <w:szCs w:val="22"/>
          <w:lang w:val="sr-Latn-ME"/>
        </w:rPr>
        <w:t>om</w:t>
      </w:r>
      <w:r w:rsidRPr="00CB6AFC">
        <w:rPr>
          <w:sz w:val="22"/>
          <w:szCs w:val="22"/>
          <w:lang w:val="sr-Latn-ME"/>
        </w:rPr>
        <w:t xml:space="preserve"> prim</w:t>
      </w:r>
      <w:r w:rsidR="0097366E" w:rsidRPr="00CB6AFC">
        <w:rPr>
          <w:sz w:val="22"/>
          <w:szCs w:val="22"/>
          <w:lang w:val="sr-Latn-ME"/>
        </w:rPr>
        <w:t>j</w:t>
      </w:r>
      <w:r w:rsidRPr="00CB6AFC">
        <w:rPr>
          <w:sz w:val="22"/>
          <w:szCs w:val="22"/>
          <w:lang w:val="sr-Latn-ME"/>
        </w:rPr>
        <w:t xml:space="preserve">enom ACE inhibitora (ACE-inhibitor ili antagonist angiotenzinskih receptora), </w:t>
      </w:r>
      <w:r w:rsidR="0097366E" w:rsidRPr="00CB6AFC">
        <w:rPr>
          <w:sz w:val="22"/>
          <w:szCs w:val="22"/>
          <w:lang w:val="sr-Latn-ME"/>
        </w:rPr>
        <w:t>antiinflamatronog</w:t>
      </w:r>
      <w:r w:rsidRPr="00CB6AFC">
        <w:rPr>
          <w:sz w:val="22"/>
          <w:szCs w:val="22"/>
          <w:lang w:val="sr-Latn-ME"/>
        </w:rPr>
        <w:t xml:space="preserve"> lijeka (NSAIL ili COX-2 inhibitora) i tiazidnog diuretika povećava rizik od oštećenja</w:t>
      </w:r>
      <w:r w:rsidR="0097366E" w:rsidRPr="00CB6AFC">
        <w:rPr>
          <w:sz w:val="22"/>
          <w:szCs w:val="22"/>
          <w:lang w:val="sr-Latn-ME"/>
        </w:rPr>
        <w:t xml:space="preserve"> funkcije</w:t>
      </w:r>
      <w:r w:rsidRPr="00CB6AFC">
        <w:rPr>
          <w:sz w:val="22"/>
          <w:szCs w:val="22"/>
          <w:lang w:val="sr-Latn-ME"/>
        </w:rPr>
        <w:t xml:space="preserve"> bubrega. To uključuje primjenu ljekova sa fiksnom kombinacijom aktivnih supstanci iz više od jedne </w:t>
      </w:r>
      <w:r w:rsidR="00A40DFF" w:rsidRPr="00CB6AFC">
        <w:rPr>
          <w:sz w:val="22"/>
          <w:szCs w:val="22"/>
          <w:lang w:val="sr-Latn-ME"/>
        </w:rPr>
        <w:t xml:space="preserve">grupe </w:t>
      </w:r>
      <w:r w:rsidRPr="00CB6AFC">
        <w:rPr>
          <w:sz w:val="22"/>
          <w:szCs w:val="22"/>
          <w:lang w:val="sr-Latn-ME"/>
        </w:rPr>
        <w:t xml:space="preserve">ljekova. Kod kombinovane primjene ovih ljekova potrebno je pojačano praćenje vrijednosti kreatinina u serumu, naročito ako je riječ o fiksnoj kombinaciji. Kombinaciju ljekova iz ove tri grupe treba primjenjivati uz oprez, pogotovo kod starijih pacijenata ili onih sa već postojećim oštećenjem </w:t>
      </w:r>
      <w:r w:rsidR="0097366E" w:rsidRPr="00CB6AFC">
        <w:rPr>
          <w:sz w:val="22"/>
          <w:szCs w:val="22"/>
          <w:lang w:val="sr-Latn-ME"/>
        </w:rPr>
        <w:t xml:space="preserve">funkcije </w:t>
      </w:r>
      <w:r w:rsidRPr="00CB6AFC">
        <w:rPr>
          <w:sz w:val="22"/>
          <w:szCs w:val="22"/>
          <w:lang w:val="sr-Latn-ME"/>
        </w:rPr>
        <w:t>bubrega.</w:t>
      </w:r>
    </w:p>
    <w:p w14:paraId="649D9BC4" w14:textId="77777777" w:rsidR="00AB31CA" w:rsidRPr="00CB6AFC" w:rsidRDefault="00AB31CA" w:rsidP="00DB62C3">
      <w:pPr>
        <w:jc w:val="both"/>
        <w:outlineLvl w:val="0"/>
        <w:rPr>
          <w:sz w:val="22"/>
          <w:szCs w:val="22"/>
          <w:lang w:val="sr-Latn-ME"/>
        </w:rPr>
      </w:pPr>
    </w:p>
    <w:p w14:paraId="0D6DA618"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 xml:space="preserve">Stariji pacijenti </w:t>
      </w:r>
    </w:p>
    <w:p w14:paraId="42898BCF" w14:textId="7C50AC81" w:rsidR="00AB31CA" w:rsidRPr="00CB6AFC" w:rsidRDefault="00AB31CA" w:rsidP="00DB62C3">
      <w:pPr>
        <w:jc w:val="both"/>
        <w:outlineLvl w:val="0"/>
        <w:rPr>
          <w:sz w:val="22"/>
          <w:szCs w:val="22"/>
          <w:lang w:val="sr-Latn-ME"/>
        </w:rPr>
      </w:pPr>
      <w:r w:rsidRPr="00CB6AFC">
        <w:rPr>
          <w:sz w:val="22"/>
          <w:szCs w:val="22"/>
          <w:lang w:val="sr-Latn-ME"/>
        </w:rPr>
        <w:t>Nije potrebno s</w:t>
      </w:r>
      <w:r w:rsidR="00B5472D" w:rsidRPr="00CB6AFC">
        <w:rPr>
          <w:sz w:val="22"/>
          <w:szCs w:val="22"/>
          <w:lang w:val="sr-Latn-ME"/>
        </w:rPr>
        <w:t>manjenje</w:t>
      </w:r>
      <w:r w:rsidRPr="00CB6AFC">
        <w:rPr>
          <w:sz w:val="22"/>
          <w:szCs w:val="22"/>
          <w:lang w:val="sr-Latn-ME"/>
        </w:rPr>
        <w:t xml:space="preserve"> preporučene doze. Međutim, potreban je oprez kod primjene ibuprofena koji zbog povećanog rizika od neželjenih dejstava (pogotovo za</w:t>
      </w:r>
      <w:r w:rsidR="00B5472D" w:rsidRPr="00CB6AFC">
        <w:rPr>
          <w:sz w:val="22"/>
          <w:szCs w:val="22"/>
          <w:lang w:val="sr-Latn-ME"/>
        </w:rPr>
        <w:t>stoja</w:t>
      </w:r>
      <w:r w:rsidRPr="00CB6AFC">
        <w:rPr>
          <w:sz w:val="22"/>
          <w:szCs w:val="22"/>
          <w:lang w:val="sr-Latn-ME"/>
        </w:rPr>
        <w:t xml:space="preserve"> srca, gastrointestinalne ulceracije i oštećenja </w:t>
      </w:r>
      <w:r w:rsidR="00B5472D" w:rsidRPr="00CB6AFC">
        <w:rPr>
          <w:sz w:val="22"/>
          <w:szCs w:val="22"/>
          <w:lang w:val="sr-Latn-ME"/>
        </w:rPr>
        <w:t xml:space="preserve">funkcije </w:t>
      </w:r>
      <w:r w:rsidRPr="00CB6AFC">
        <w:rPr>
          <w:sz w:val="22"/>
          <w:szCs w:val="22"/>
          <w:lang w:val="sr-Latn-ME"/>
        </w:rPr>
        <w:t xml:space="preserve">bubrega), ne bi trebalo da uzimanju odrasle osobe starije od 65 godina bez </w:t>
      </w:r>
      <w:r w:rsidR="00B5472D" w:rsidRPr="00CB6AFC">
        <w:rPr>
          <w:sz w:val="22"/>
          <w:szCs w:val="22"/>
          <w:lang w:val="sr-Latn-ME"/>
        </w:rPr>
        <w:t xml:space="preserve">prethodnog </w:t>
      </w:r>
      <w:r w:rsidRPr="00CB6AFC">
        <w:rPr>
          <w:sz w:val="22"/>
          <w:szCs w:val="22"/>
          <w:lang w:val="sr-Latn-ME"/>
        </w:rPr>
        <w:t>razmatranja komorbiditeta i konkomitantne terapije.</w:t>
      </w:r>
    </w:p>
    <w:p w14:paraId="31C55AAB" w14:textId="77777777" w:rsidR="00AB31CA" w:rsidRPr="00CB6AFC" w:rsidRDefault="00AB31CA" w:rsidP="00DB62C3">
      <w:pPr>
        <w:jc w:val="both"/>
        <w:outlineLvl w:val="0"/>
        <w:rPr>
          <w:sz w:val="22"/>
          <w:szCs w:val="22"/>
          <w:lang w:val="sr-Latn-ME"/>
        </w:rPr>
      </w:pPr>
    </w:p>
    <w:p w14:paraId="7B341D1F"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Hematološki efekti</w:t>
      </w:r>
    </w:p>
    <w:p w14:paraId="194E27A6" w14:textId="6D32249E" w:rsidR="00AB31CA" w:rsidRPr="00CB6AFC" w:rsidRDefault="00AB31CA" w:rsidP="00DB62C3">
      <w:pPr>
        <w:jc w:val="both"/>
        <w:outlineLvl w:val="0"/>
        <w:rPr>
          <w:sz w:val="22"/>
          <w:szCs w:val="22"/>
          <w:lang w:val="sr-Latn-ME"/>
        </w:rPr>
      </w:pPr>
      <w:r w:rsidRPr="00CB6AFC">
        <w:rPr>
          <w:sz w:val="22"/>
          <w:szCs w:val="22"/>
          <w:lang w:val="sr-Latn-ME"/>
        </w:rPr>
        <w:t xml:space="preserve">Krvne diskrazije </w:t>
      </w:r>
      <w:r w:rsidR="00B5472D" w:rsidRPr="00CB6AFC">
        <w:rPr>
          <w:sz w:val="22"/>
          <w:szCs w:val="22"/>
          <w:lang w:val="sr-Latn-ME"/>
        </w:rPr>
        <w:t xml:space="preserve">su </w:t>
      </w:r>
      <w:r w:rsidRPr="00CB6AFC">
        <w:rPr>
          <w:sz w:val="22"/>
          <w:szCs w:val="22"/>
          <w:lang w:val="sr-Latn-ME"/>
        </w:rPr>
        <w:t>zabiljeležene rijetko. Pacijenti na dugotrajnom liječenju ibuprofenom treba da imaju redovan hematološki nadzor.</w:t>
      </w:r>
    </w:p>
    <w:p w14:paraId="6653C8AB" w14:textId="77777777" w:rsidR="00AB31CA" w:rsidRPr="00CB6AFC" w:rsidRDefault="00AB31CA" w:rsidP="00DB62C3">
      <w:pPr>
        <w:jc w:val="both"/>
        <w:outlineLvl w:val="0"/>
        <w:rPr>
          <w:sz w:val="22"/>
          <w:szCs w:val="22"/>
          <w:lang w:val="sr-Latn-ME"/>
        </w:rPr>
      </w:pPr>
    </w:p>
    <w:p w14:paraId="37463F42"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Anafilaktoidne reakcije</w:t>
      </w:r>
    </w:p>
    <w:p w14:paraId="1CF5997A" w14:textId="77777777" w:rsidR="00AB31CA" w:rsidRPr="00CB6AFC" w:rsidRDefault="00AB31CA" w:rsidP="00DB62C3">
      <w:pPr>
        <w:jc w:val="both"/>
        <w:outlineLvl w:val="0"/>
        <w:rPr>
          <w:sz w:val="22"/>
          <w:szCs w:val="22"/>
          <w:lang w:val="sr-Latn-ME"/>
        </w:rPr>
      </w:pPr>
      <w:r w:rsidRPr="00CB6AFC">
        <w:rPr>
          <w:sz w:val="22"/>
          <w:szCs w:val="22"/>
          <w:lang w:val="sr-Latn-ME"/>
        </w:rPr>
        <w:t>Kao uobičajena praksa tokom intravenske infuzije, preporučuje se pažljivo praćenje pacijenta, naročito na početku infuzije, kako bi se otkrila bilo kakva anafilaktička reakcija izazvana aktivnom ili pomoćnim supstancama.</w:t>
      </w:r>
    </w:p>
    <w:p w14:paraId="150D9046" w14:textId="77777777" w:rsidR="00AB31CA" w:rsidRPr="00CB6AFC" w:rsidRDefault="00AB31CA" w:rsidP="00DB62C3">
      <w:pPr>
        <w:jc w:val="both"/>
        <w:outlineLvl w:val="0"/>
        <w:rPr>
          <w:sz w:val="22"/>
          <w:szCs w:val="22"/>
          <w:lang w:val="sr-Latn-ME"/>
        </w:rPr>
      </w:pPr>
    </w:p>
    <w:p w14:paraId="446494B0" w14:textId="05B8270A" w:rsidR="00AB31CA" w:rsidRPr="00CB6AFC" w:rsidRDefault="00B5472D" w:rsidP="00DB62C3">
      <w:pPr>
        <w:jc w:val="both"/>
        <w:outlineLvl w:val="0"/>
        <w:rPr>
          <w:sz w:val="22"/>
          <w:szCs w:val="22"/>
          <w:lang w:val="sr-Latn-ME"/>
        </w:rPr>
      </w:pPr>
      <w:r w:rsidRPr="00CB6AFC">
        <w:rPr>
          <w:sz w:val="22"/>
          <w:szCs w:val="22"/>
          <w:lang w:val="sr-Latn-ME"/>
        </w:rPr>
        <w:t>Teške</w:t>
      </w:r>
      <w:r w:rsidR="00AB31CA" w:rsidRPr="00CB6AFC">
        <w:rPr>
          <w:sz w:val="22"/>
          <w:szCs w:val="22"/>
          <w:lang w:val="sr-Latn-ME"/>
        </w:rPr>
        <w:t xml:space="preserve"> akutne reakcije preosjetljivosti (npr. anafilaktički šok) zabilježene su v</w:t>
      </w:r>
      <w:r w:rsidRPr="00CB6AFC">
        <w:rPr>
          <w:sz w:val="22"/>
          <w:szCs w:val="22"/>
          <w:lang w:val="sr-Latn-ME"/>
        </w:rPr>
        <w:t>eoma</w:t>
      </w:r>
      <w:r w:rsidR="00AB31CA" w:rsidRPr="00CB6AFC">
        <w:rPr>
          <w:sz w:val="22"/>
          <w:szCs w:val="22"/>
          <w:lang w:val="sr-Latn-ME"/>
        </w:rPr>
        <w:t xml:space="preserve"> rijetko. Na prve znake reakcije preosjetljivosti nakon primjene lijeka Comboval </w:t>
      </w:r>
      <w:r w:rsidR="00AB31CA" w:rsidRPr="00CB6AFC">
        <w:rPr>
          <w:noProof/>
          <w:sz w:val="22"/>
          <w:szCs w:val="22"/>
          <w:lang w:val="sr-Latn-ME"/>
        </w:rPr>
        <w:t>10 mg/ml + 3 mg/ml</w:t>
      </w:r>
      <w:r w:rsidR="00AB31CA" w:rsidRPr="00CB6AFC">
        <w:rPr>
          <w:sz w:val="22"/>
          <w:szCs w:val="22"/>
          <w:lang w:val="sr-Latn-ME"/>
        </w:rPr>
        <w:t xml:space="preserve"> rastvor za infuziju, liječenje treba prekinuti i uspostaviti simptomatsko liječenje. Osposobljeno osoblje mora pokrenuti medicinski potrebne mjere, u skladu sa simptomima.</w:t>
      </w:r>
    </w:p>
    <w:p w14:paraId="61A8F3CF" w14:textId="77777777" w:rsidR="00AB31CA" w:rsidRPr="00CB6AFC" w:rsidRDefault="00AB31CA" w:rsidP="00DB62C3">
      <w:pPr>
        <w:jc w:val="both"/>
        <w:outlineLvl w:val="0"/>
        <w:rPr>
          <w:sz w:val="22"/>
          <w:szCs w:val="22"/>
          <w:lang w:val="sr-Latn-ME"/>
        </w:rPr>
      </w:pPr>
    </w:p>
    <w:p w14:paraId="299E3E2B"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Poremećaji koagulacije</w:t>
      </w:r>
    </w:p>
    <w:p w14:paraId="36C3B5AA" w14:textId="0800E000" w:rsidR="00AB31CA" w:rsidRPr="00CB6AFC" w:rsidRDefault="00AB31CA" w:rsidP="00DB62C3">
      <w:pPr>
        <w:jc w:val="both"/>
        <w:outlineLvl w:val="0"/>
        <w:rPr>
          <w:sz w:val="22"/>
          <w:szCs w:val="22"/>
          <w:lang w:val="sr-Latn-ME"/>
        </w:rPr>
      </w:pPr>
      <w:r w:rsidRPr="00CB6AFC">
        <w:rPr>
          <w:sz w:val="22"/>
          <w:szCs w:val="22"/>
          <w:lang w:val="sr-Latn-ME"/>
        </w:rPr>
        <w:t>Kao i drugi NSAIL, ibuprofen može inhibirati agregaciju trombocita. Pokazalo se da ibuprofen produž</w:t>
      </w:r>
      <w:r w:rsidR="00B5472D" w:rsidRPr="00CB6AFC">
        <w:rPr>
          <w:sz w:val="22"/>
          <w:szCs w:val="22"/>
          <w:lang w:val="sr-Latn-ME"/>
        </w:rPr>
        <w:t>ava</w:t>
      </w:r>
      <w:r w:rsidRPr="00CB6AFC">
        <w:rPr>
          <w:sz w:val="22"/>
          <w:szCs w:val="22"/>
          <w:lang w:val="sr-Latn-ME"/>
        </w:rPr>
        <w:t xml:space="preserve"> vrijeme krvarenja (ali u granicama normal</w:t>
      </w:r>
      <w:r w:rsidR="00B5472D" w:rsidRPr="00CB6AFC">
        <w:rPr>
          <w:sz w:val="22"/>
          <w:szCs w:val="22"/>
          <w:lang w:val="sr-Latn-ME"/>
        </w:rPr>
        <w:t>nih vrijednosti</w:t>
      </w:r>
      <w:r w:rsidRPr="00CB6AFC">
        <w:rPr>
          <w:sz w:val="22"/>
          <w:szCs w:val="22"/>
          <w:lang w:val="sr-Latn-ME"/>
        </w:rPr>
        <w:t xml:space="preserve">) kod zdravih ispitanika. Budući da ovaj efekat na produženje krvarenja može biti pretjeran kod pacijenata sa postojećim poremećajima hemostaze, ljekove koji sadrže ibuprofen treba koristiti </w:t>
      </w:r>
      <w:r w:rsidR="00A40DFF" w:rsidRPr="00CB6AFC">
        <w:rPr>
          <w:sz w:val="22"/>
          <w:szCs w:val="22"/>
          <w:lang w:val="sr-Latn-ME"/>
        </w:rPr>
        <w:t>sa</w:t>
      </w:r>
      <w:r w:rsidRPr="00CB6AFC">
        <w:rPr>
          <w:sz w:val="22"/>
          <w:szCs w:val="22"/>
          <w:lang w:val="sr-Latn-ME"/>
        </w:rPr>
        <w:t xml:space="preserve"> oprez</w:t>
      </w:r>
      <w:r w:rsidR="00A40DFF" w:rsidRPr="00CB6AFC">
        <w:rPr>
          <w:sz w:val="22"/>
          <w:szCs w:val="22"/>
          <w:lang w:val="sr-Latn-ME"/>
        </w:rPr>
        <w:t>om</w:t>
      </w:r>
      <w:r w:rsidRPr="00CB6AFC">
        <w:rPr>
          <w:sz w:val="22"/>
          <w:szCs w:val="22"/>
          <w:lang w:val="sr-Latn-ME"/>
        </w:rPr>
        <w:t xml:space="preserve"> kod osoba sa intrinzičkim poremećajima koagulacije i kod onih na antikoagulantnoj terapiji. Pacijente sa poremećajima koagulacije ili one koji su podvrgnuti </w:t>
      </w:r>
      <w:r w:rsidR="00B5472D" w:rsidRPr="00CB6AFC">
        <w:rPr>
          <w:sz w:val="22"/>
          <w:szCs w:val="22"/>
          <w:lang w:val="sr-Latn-ME"/>
        </w:rPr>
        <w:t>hiruškoj intervenciji</w:t>
      </w:r>
      <w:r w:rsidRPr="00CB6AFC">
        <w:rPr>
          <w:sz w:val="22"/>
          <w:szCs w:val="22"/>
          <w:lang w:val="sr-Latn-ME"/>
        </w:rPr>
        <w:t xml:space="preserve"> treba</w:t>
      </w:r>
      <w:r w:rsidR="00B5472D" w:rsidRPr="00CB6AFC">
        <w:rPr>
          <w:sz w:val="22"/>
          <w:szCs w:val="22"/>
          <w:lang w:val="sr-Latn-ME"/>
        </w:rPr>
        <w:t xml:space="preserve"> češće</w:t>
      </w:r>
      <w:r w:rsidRPr="00CB6AFC">
        <w:rPr>
          <w:sz w:val="22"/>
          <w:szCs w:val="22"/>
          <w:lang w:val="sr-Latn-ME"/>
        </w:rPr>
        <w:t xml:space="preserve"> </w:t>
      </w:r>
      <w:r w:rsidR="00A40DFF" w:rsidRPr="00CB6AFC">
        <w:rPr>
          <w:sz w:val="22"/>
          <w:szCs w:val="22"/>
          <w:lang w:val="sr-Latn-ME"/>
        </w:rPr>
        <w:t>pratiti</w:t>
      </w:r>
      <w:r w:rsidRPr="00CB6AFC">
        <w:rPr>
          <w:sz w:val="22"/>
          <w:szCs w:val="22"/>
          <w:lang w:val="sr-Latn-ME"/>
        </w:rPr>
        <w:t>. Poseb</w:t>
      </w:r>
      <w:r w:rsidR="00DE42DD" w:rsidRPr="00CB6AFC">
        <w:rPr>
          <w:sz w:val="22"/>
          <w:szCs w:val="22"/>
          <w:lang w:val="sr-Latn-ME"/>
        </w:rPr>
        <w:t>no</w:t>
      </w:r>
      <w:r w:rsidRPr="00CB6AFC">
        <w:rPr>
          <w:sz w:val="22"/>
          <w:szCs w:val="22"/>
          <w:lang w:val="sr-Latn-ME"/>
        </w:rPr>
        <w:t xml:space="preserve"> medicinsk</w:t>
      </w:r>
      <w:r w:rsidR="00DE42DD" w:rsidRPr="00CB6AFC">
        <w:rPr>
          <w:sz w:val="22"/>
          <w:szCs w:val="22"/>
          <w:lang w:val="sr-Latn-ME"/>
        </w:rPr>
        <w:t>o</w:t>
      </w:r>
      <w:r w:rsidRPr="00CB6AFC">
        <w:rPr>
          <w:sz w:val="22"/>
          <w:szCs w:val="22"/>
          <w:lang w:val="sr-Latn-ME"/>
        </w:rPr>
        <w:t xml:space="preserve"> </w:t>
      </w:r>
      <w:r w:rsidR="00DE42DD" w:rsidRPr="00CB6AFC">
        <w:rPr>
          <w:sz w:val="22"/>
          <w:szCs w:val="22"/>
          <w:lang w:val="sr-Latn-ME"/>
        </w:rPr>
        <w:t xml:space="preserve">praćenje </w:t>
      </w:r>
      <w:r w:rsidRPr="00CB6AFC">
        <w:rPr>
          <w:sz w:val="22"/>
          <w:szCs w:val="22"/>
          <w:lang w:val="sr-Latn-ME"/>
        </w:rPr>
        <w:t>je potreb</w:t>
      </w:r>
      <w:r w:rsidR="00DE42DD" w:rsidRPr="00CB6AFC">
        <w:rPr>
          <w:sz w:val="22"/>
          <w:szCs w:val="22"/>
          <w:lang w:val="sr-Latn-ME"/>
        </w:rPr>
        <w:t>no</w:t>
      </w:r>
      <w:r w:rsidRPr="00CB6AFC">
        <w:rPr>
          <w:sz w:val="22"/>
          <w:szCs w:val="22"/>
          <w:lang w:val="sr-Latn-ME"/>
        </w:rPr>
        <w:t xml:space="preserve"> kod pacijenata neposredno nakon velikih </w:t>
      </w:r>
      <w:r w:rsidR="00B5472D" w:rsidRPr="00CB6AFC">
        <w:rPr>
          <w:sz w:val="22"/>
          <w:szCs w:val="22"/>
          <w:lang w:val="sr-Latn-ME"/>
        </w:rPr>
        <w:t>hiruških intervencija</w:t>
      </w:r>
      <w:r w:rsidRPr="00CB6AFC">
        <w:rPr>
          <w:sz w:val="22"/>
          <w:szCs w:val="22"/>
          <w:lang w:val="sr-Latn-ME"/>
        </w:rPr>
        <w:t>.</w:t>
      </w:r>
    </w:p>
    <w:p w14:paraId="0D1CFD86" w14:textId="77777777" w:rsidR="00AB31CA" w:rsidRPr="00CB6AFC" w:rsidRDefault="00AB31CA" w:rsidP="00DB62C3">
      <w:pPr>
        <w:jc w:val="both"/>
        <w:outlineLvl w:val="0"/>
        <w:rPr>
          <w:sz w:val="22"/>
          <w:szCs w:val="22"/>
          <w:lang w:val="sr-Latn-ME"/>
        </w:rPr>
      </w:pPr>
    </w:p>
    <w:p w14:paraId="2C36AB16"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lastRenderedPageBreak/>
        <w:t>Gastrointestinalni događaji</w:t>
      </w:r>
    </w:p>
    <w:p w14:paraId="484E47AE" w14:textId="29CFD101" w:rsidR="00AB31CA" w:rsidRPr="00CB6AFC" w:rsidRDefault="00AB31CA" w:rsidP="00DB62C3">
      <w:pPr>
        <w:jc w:val="both"/>
        <w:outlineLvl w:val="0"/>
        <w:rPr>
          <w:sz w:val="22"/>
          <w:szCs w:val="22"/>
          <w:lang w:val="sr-Latn-ME"/>
        </w:rPr>
      </w:pPr>
      <w:r w:rsidRPr="00CB6AFC">
        <w:rPr>
          <w:sz w:val="22"/>
          <w:szCs w:val="22"/>
          <w:lang w:val="sr-Latn-ME"/>
        </w:rPr>
        <w:t xml:space="preserve">Gastrointestinalna (GI) krvarenja, ulceracije ili perforacije, koje mogu imati i smrtni ishod, prijavljena su za sve NSAIL i mogući su bilo kada tokom njihove primjene, mogu se javiti sa ili bez upozoravajućih simptoma i bez obzira na prethodne anamnestičke podatke o ozbiljnim </w:t>
      </w:r>
      <w:r w:rsidR="00B5472D" w:rsidRPr="00CB6AFC">
        <w:rPr>
          <w:sz w:val="22"/>
          <w:szCs w:val="22"/>
          <w:lang w:val="sr-Latn-ME"/>
        </w:rPr>
        <w:t>gastrointestinalnim</w:t>
      </w:r>
      <w:r w:rsidRPr="00CB6AFC">
        <w:rPr>
          <w:sz w:val="22"/>
          <w:szCs w:val="22"/>
          <w:lang w:val="sr-Latn-ME"/>
        </w:rPr>
        <w:t xml:space="preserve"> događajima.</w:t>
      </w:r>
    </w:p>
    <w:p w14:paraId="7E20AC22" w14:textId="77777777" w:rsidR="00AB31CA" w:rsidRPr="00CB6AFC" w:rsidRDefault="00AB31CA" w:rsidP="00DB62C3">
      <w:pPr>
        <w:jc w:val="both"/>
        <w:outlineLvl w:val="0"/>
        <w:rPr>
          <w:sz w:val="22"/>
          <w:szCs w:val="22"/>
          <w:lang w:val="sr-Latn-ME"/>
        </w:rPr>
      </w:pPr>
    </w:p>
    <w:p w14:paraId="467890F5" w14:textId="5DEB31AC" w:rsidR="00AB31CA" w:rsidRPr="00CB6AFC" w:rsidRDefault="00AB31CA" w:rsidP="00DB62C3">
      <w:pPr>
        <w:jc w:val="both"/>
        <w:outlineLvl w:val="0"/>
        <w:rPr>
          <w:sz w:val="22"/>
          <w:szCs w:val="22"/>
          <w:lang w:val="sr-Latn-ME"/>
        </w:rPr>
      </w:pPr>
      <w:r w:rsidRPr="00CB6AFC">
        <w:rPr>
          <w:sz w:val="22"/>
          <w:szCs w:val="22"/>
          <w:lang w:val="sr-Latn-ME"/>
        </w:rPr>
        <w:t>Rizik od GI krvarenja, ulceracija ili perforacija raste s</w:t>
      </w:r>
      <w:r w:rsidR="00DE42DD" w:rsidRPr="00CB6AFC">
        <w:rPr>
          <w:sz w:val="22"/>
          <w:szCs w:val="22"/>
          <w:lang w:val="sr-Latn-ME"/>
        </w:rPr>
        <w:t>a</w:t>
      </w:r>
      <w:r w:rsidRPr="00CB6AFC">
        <w:rPr>
          <w:sz w:val="22"/>
          <w:szCs w:val="22"/>
          <w:lang w:val="sr-Latn-ME"/>
        </w:rPr>
        <w:t xml:space="preserve"> povećanjem doze NSAIL, kod pacijenata kod kojih postoje anamnestički podaci o ulkusu, pogotovo sa razvojem komplikacija kao što su krvarenje ili perforacija (</w:t>
      </w:r>
      <w:r w:rsidR="00DE42DD" w:rsidRPr="00CB6AFC">
        <w:rPr>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sz w:val="22"/>
          <w:szCs w:val="22"/>
          <w:lang w:val="sr-Latn-ME"/>
        </w:rPr>
        <w:t>4.3) i kod starijih pacijenata. Takvi pacijenti bi trebalo da započnu liječenje sa najnižom mogućom dozom.</w:t>
      </w:r>
    </w:p>
    <w:p w14:paraId="1A5DE38B" w14:textId="77777777" w:rsidR="00AB31CA" w:rsidRPr="00CB6AFC" w:rsidRDefault="00AB31CA" w:rsidP="00DB62C3">
      <w:pPr>
        <w:jc w:val="both"/>
        <w:outlineLvl w:val="0"/>
        <w:rPr>
          <w:sz w:val="22"/>
          <w:szCs w:val="22"/>
          <w:lang w:val="sr-Latn-ME"/>
        </w:rPr>
      </w:pPr>
    </w:p>
    <w:p w14:paraId="1EEF0B7D" w14:textId="289482D4" w:rsidR="00AB31CA" w:rsidRPr="00CB6AFC" w:rsidRDefault="00AB31CA" w:rsidP="00DB62C3">
      <w:pPr>
        <w:jc w:val="both"/>
        <w:outlineLvl w:val="0"/>
        <w:rPr>
          <w:sz w:val="22"/>
          <w:szCs w:val="22"/>
          <w:lang w:val="sr-Latn-ME"/>
        </w:rPr>
      </w:pPr>
      <w:r w:rsidRPr="00CB6AFC">
        <w:rPr>
          <w:sz w:val="22"/>
          <w:szCs w:val="22"/>
          <w:lang w:val="sr-Latn-ME"/>
        </w:rPr>
        <w:t xml:space="preserve">Kod ovih pacijenata, kao i kod pacijenata kojima je neophodno liječenje acetilsalicilnom kiselinom u </w:t>
      </w:r>
      <w:r w:rsidR="00B5472D" w:rsidRPr="00CB6AFC">
        <w:rPr>
          <w:sz w:val="22"/>
          <w:szCs w:val="22"/>
          <w:lang w:val="sr-Latn-ME"/>
        </w:rPr>
        <w:t>maloj</w:t>
      </w:r>
      <w:r w:rsidRPr="00CB6AFC">
        <w:rPr>
          <w:sz w:val="22"/>
          <w:szCs w:val="22"/>
          <w:lang w:val="sr-Latn-ME"/>
        </w:rPr>
        <w:t xml:space="preserve"> dozi, ili drugim ljekovima koji mogu povećati rizik od gastrointestinalnih neželjenih dejstava (</w:t>
      </w:r>
      <w:r w:rsidR="00DE42DD" w:rsidRPr="00CB6AFC">
        <w:rPr>
          <w:sz w:val="22"/>
          <w:szCs w:val="22"/>
          <w:lang w:val="sr-Latn-ME"/>
        </w:rPr>
        <w:t xml:space="preserve">vidjeti </w:t>
      </w:r>
      <w:r w:rsidRPr="00CB6AFC">
        <w:rPr>
          <w:sz w:val="22"/>
          <w:szCs w:val="22"/>
          <w:lang w:val="sr-Latn-ME"/>
        </w:rPr>
        <w:t xml:space="preserve">u nastavku i </w:t>
      </w:r>
      <w:r w:rsidR="008C7B4A" w:rsidRPr="00CB6AFC">
        <w:rPr>
          <w:sz w:val="22"/>
          <w:szCs w:val="22"/>
          <w:lang w:val="sr-Latn-ME"/>
        </w:rPr>
        <w:t>dio</w:t>
      </w:r>
      <w:r w:rsidR="008C7B4A" w:rsidRPr="00CB6AFC">
        <w:rPr>
          <w:color w:val="000000"/>
          <w:sz w:val="22"/>
          <w:szCs w:val="22"/>
          <w:lang w:val="sr-Latn-ME" w:eastAsia="hr-HR"/>
        </w:rPr>
        <w:t xml:space="preserve"> </w:t>
      </w:r>
      <w:r w:rsidRPr="00CB6AFC">
        <w:rPr>
          <w:sz w:val="22"/>
          <w:szCs w:val="22"/>
          <w:lang w:val="sr-Latn-ME"/>
        </w:rPr>
        <w:t xml:space="preserve">4.5), potrebno je razmotriti kombinovanu terapiju sa zaštitnim ljekovima (npr. misoprostolom ili inhibitorima protonske pumpe). Pacijenti kod kojih postoje anamnestički podaci koji bi upućivali na </w:t>
      </w:r>
      <w:r w:rsidR="00B5472D" w:rsidRPr="00CB6AFC">
        <w:rPr>
          <w:sz w:val="22"/>
          <w:szCs w:val="22"/>
          <w:lang w:val="sr-Latn-ME"/>
        </w:rPr>
        <w:t>oboljenje</w:t>
      </w:r>
      <w:r w:rsidRPr="00CB6AFC">
        <w:rPr>
          <w:sz w:val="22"/>
          <w:szCs w:val="22"/>
          <w:lang w:val="sr-Latn-ME"/>
        </w:rPr>
        <w:t xml:space="preserve"> gastrointestinalnog trakta, pogotovo starije osobe, treba da prijave svaki neuobičajeni abdominalni simptom (naročito </w:t>
      </w:r>
      <w:r w:rsidR="00B5472D" w:rsidRPr="00CB6AFC">
        <w:rPr>
          <w:sz w:val="22"/>
          <w:szCs w:val="22"/>
          <w:lang w:val="sr-Latn-ME"/>
        </w:rPr>
        <w:t>gastrointestinalno</w:t>
      </w:r>
      <w:r w:rsidRPr="00CB6AFC">
        <w:rPr>
          <w:sz w:val="22"/>
          <w:szCs w:val="22"/>
          <w:lang w:val="sr-Latn-ME"/>
        </w:rPr>
        <w:t xml:space="preserve"> krvarenje), posebno na početku liječenja. </w:t>
      </w:r>
    </w:p>
    <w:p w14:paraId="53987288" w14:textId="77777777" w:rsidR="00AB31CA" w:rsidRPr="00CB6AFC" w:rsidRDefault="00AB31CA" w:rsidP="00DB62C3">
      <w:pPr>
        <w:jc w:val="both"/>
        <w:outlineLvl w:val="0"/>
        <w:rPr>
          <w:sz w:val="22"/>
          <w:szCs w:val="22"/>
          <w:lang w:val="sr-Latn-ME"/>
        </w:rPr>
      </w:pPr>
    </w:p>
    <w:p w14:paraId="1A6EA71F" w14:textId="00033B3D" w:rsidR="00AB31CA" w:rsidRPr="00CB6AFC" w:rsidRDefault="00AB31CA" w:rsidP="00DB62C3">
      <w:pPr>
        <w:jc w:val="both"/>
        <w:outlineLvl w:val="0"/>
        <w:rPr>
          <w:sz w:val="22"/>
          <w:szCs w:val="22"/>
          <w:lang w:val="sr-Latn-ME"/>
        </w:rPr>
      </w:pPr>
      <w:r w:rsidRPr="00CB6AFC">
        <w:rPr>
          <w:sz w:val="22"/>
          <w:szCs w:val="22"/>
          <w:lang w:val="sr-Latn-ME"/>
        </w:rPr>
        <w:t>Potreban je oprez kod pacijenata kod kojih se istovremeno primjenjuju ljekovi koji mogu povećati rizik od nastanka ulkusa ili krvarenja, kao što su oralni kortikosteroidi, antikoagulansi kao varfarin, selektivni inhibitori preuzimanja serotonina ili antitrombotici kao acetilsalicilna kiselina (</w:t>
      </w:r>
      <w:r w:rsidR="00DE42DD" w:rsidRPr="00CB6AFC">
        <w:rPr>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sz w:val="22"/>
          <w:szCs w:val="22"/>
          <w:lang w:val="sr-Latn-ME"/>
        </w:rPr>
        <w:t>4.5).</w:t>
      </w:r>
    </w:p>
    <w:p w14:paraId="220E1054" w14:textId="77777777" w:rsidR="00AB31CA" w:rsidRPr="00CB6AFC" w:rsidRDefault="00AB31CA" w:rsidP="00DB62C3">
      <w:pPr>
        <w:jc w:val="both"/>
        <w:outlineLvl w:val="0"/>
        <w:rPr>
          <w:sz w:val="22"/>
          <w:szCs w:val="22"/>
          <w:lang w:val="sr-Latn-ME"/>
        </w:rPr>
      </w:pPr>
    </w:p>
    <w:p w14:paraId="1095259C" w14:textId="5706115A" w:rsidR="00AB31CA" w:rsidRPr="00CB6AFC" w:rsidRDefault="00AB31CA" w:rsidP="00DB62C3">
      <w:pPr>
        <w:jc w:val="both"/>
        <w:outlineLvl w:val="0"/>
        <w:rPr>
          <w:sz w:val="22"/>
          <w:szCs w:val="22"/>
          <w:lang w:val="sr-Latn-ME"/>
        </w:rPr>
      </w:pPr>
      <w:r w:rsidRPr="00CB6AFC">
        <w:rPr>
          <w:sz w:val="22"/>
          <w:szCs w:val="22"/>
          <w:lang w:val="sr-Latn-ME"/>
        </w:rPr>
        <w:t xml:space="preserve">Zbog komponente ibuprofena, </w:t>
      </w:r>
      <w:r w:rsidR="00B5472D" w:rsidRPr="00CB6AFC">
        <w:rPr>
          <w:sz w:val="22"/>
          <w:szCs w:val="22"/>
          <w:lang w:val="sr-Latn-ME"/>
        </w:rPr>
        <w:t xml:space="preserve">lijek </w:t>
      </w:r>
      <w:r w:rsidRPr="00CB6AFC">
        <w:rPr>
          <w:noProof/>
          <w:sz w:val="22"/>
          <w:szCs w:val="22"/>
          <w:lang w:val="sr-Latn-ME"/>
        </w:rPr>
        <w:t>Comboval 10 mg/ml + 3 mg/ml</w:t>
      </w:r>
      <w:r w:rsidRPr="00CB6AFC">
        <w:rPr>
          <w:sz w:val="22"/>
          <w:szCs w:val="22"/>
          <w:lang w:val="sr-Latn-ME"/>
        </w:rPr>
        <w:t xml:space="preserve"> rastvor za infuziju se mora primjenjivati uz oprez kod pacijenata sa anamnezom gastrointestinalnih bolesti (ulcerozni kolitis, </w:t>
      </w:r>
      <w:r w:rsidRPr="00CB6AFC">
        <w:rPr>
          <w:i/>
          <w:iCs/>
          <w:sz w:val="22"/>
          <w:szCs w:val="22"/>
          <w:lang w:val="sr-Latn-ME"/>
        </w:rPr>
        <w:t>Crohn</w:t>
      </w:r>
      <w:r w:rsidR="00B5472D" w:rsidRPr="00CB6AFC">
        <w:rPr>
          <w:sz w:val="22"/>
          <w:szCs w:val="22"/>
          <w:lang w:val="sr-Latn-ME"/>
        </w:rPr>
        <w:t>-</w:t>
      </w:r>
      <w:r w:rsidRPr="00CB6AFC">
        <w:rPr>
          <w:sz w:val="22"/>
          <w:szCs w:val="22"/>
          <w:lang w:val="sr-Latn-ME"/>
        </w:rPr>
        <w:t>ova bolest) kao i kod pacijenata sa porfirijom.</w:t>
      </w:r>
    </w:p>
    <w:p w14:paraId="44D082E6" w14:textId="77777777" w:rsidR="00AB31CA" w:rsidRPr="00CB6AFC" w:rsidRDefault="00AB31CA" w:rsidP="00DB62C3">
      <w:pPr>
        <w:jc w:val="both"/>
        <w:outlineLvl w:val="0"/>
        <w:rPr>
          <w:sz w:val="22"/>
          <w:szCs w:val="22"/>
          <w:lang w:val="sr-Latn-ME"/>
        </w:rPr>
      </w:pPr>
    </w:p>
    <w:p w14:paraId="0E3A985C" w14:textId="1A7E283C" w:rsidR="00AB31CA" w:rsidRPr="00CB6AFC" w:rsidRDefault="00AB31CA" w:rsidP="00DB62C3">
      <w:pPr>
        <w:jc w:val="both"/>
        <w:outlineLvl w:val="0"/>
        <w:rPr>
          <w:sz w:val="22"/>
          <w:szCs w:val="22"/>
          <w:lang w:val="sr-Latn-ME"/>
        </w:rPr>
      </w:pPr>
      <w:r w:rsidRPr="00CB6AFC">
        <w:rPr>
          <w:sz w:val="22"/>
          <w:szCs w:val="22"/>
          <w:lang w:val="sr-Latn-ME"/>
        </w:rPr>
        <w:t xml:space="preserve">Kod starijih </w:t>
      </w:r>
      <w:r w:rsidR="00B5472D" w:rsidRPr="00CB6AFC">
        <w:rPr>
          <w:sz w:val="22"/>
          <w:szCs w:val="22"/>
          <w:lang w:val="sr-Latn-ME"/>
        </w:rPr>
        <w:t>pacijenata</w:t>
      </w:r>
      <w:r w:rsidRPr="00CB6AFC">
        <w:rPr>
          <w:sz w:val="22"/>
          <w:szCs w:val="22"/>
          <w:lang w:val="sr-Latn-ME"/>
        </w:rPr>
        <w:t xml:space="preserve"> postoji povećana učestalost neželjenih dejstava NSAIL, naročito gastrointestinalnih krvarenja i perforacija, koja mogu imati smrtni ishod (</w:t>
      </w:r>
      <w:r w:rsidR="00DE42DD" w:rsidRPr="00CB6AFC">
        <w:rPr>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sz w:val="22"/>
          <w:szCs w:val="22"/>
          <w:lang w:val="sr-Latn-ME"/>
        </w:rPr>
        <w:t>4.2).</w:t>
      </w:r>
    </w:p>
    <w:p w14:paraId="78F3BCFD" w14:textId="77777777" w:rsidR="00AB31CA" w:rsidRPr="00CB6AFC" w:rsidRDefault="00AB31CA" w:rsidP="00DB62C3">
      <w:pPr>
        <w:jc w:val="both"/>
        <w:outlineLvl w:val="0"/>
        <w:rPr>
          <w:sz w:val="22"/>
          <w:szCs w:val="22"/>
          <w:lang w:val="sr-Latn-ME"/>
        </w:rPr>
      </w:pPr>
    </w:p>
    <w:p w14:paraId="39A61F43" w14:textId="58F03371" w:rsidR="00AB31CA" w:rsidRPr="00CB6AFC" w:rsidRDefault="00AB31CA" w:rsidP="00DB62C3">
      <w:pPr>
        <w:jc w:val="both"/>
        <w:outlineLvl w:val="0"/>
        <w:rPr>
          <w:sz w:val="22"/>
          <w:szCs w:val="22"/>
          <w:lang w:val="sr-Latn-ME"/>
        </w:rPr>
      </w:pPr>
      <w:r w:rsidRPr="00CB6AFC">
        <w:rPr>
          <w:sz w:val="22"/>
          <w:szCs w:val="22"/>
          <w:lang w:val="sr-Latn-ME"/>
        </w:rPr>
        <w:t xml:space="preserve">Ako tokom primjene </w:t>
      </w:r>
      <w:r w:rsidRPr="00CB6AFC">
        <w:rPr>
          <w:noProof/>
          <w:sz w:val="22"/>
          <w:szCs w:val="22"/>
          <w:lang w:val="sr-Latn-ME"/>
        </w:rPr>
        <w:t>ovog lijeka</w:t>
      </w:r>
      <w:r w:rsidRPr="00CB6AFC">
        <w:rPr>
          <w:sz w:val="22"/>
          <w:szCs w:val="22"/>
          <w:lang w:val="sr-Latn-ME"/>
        </w:rPr>
        <w:t xml:space="preserve"> dođe do gastrointestinalnog krvarenja ili ulceracija, prim</w:t>
      </w:r>
      <w:r w:rsidR="00B5472D" w:rsidRPr="00CB6AFC">
        <w:rPr>
          <w:sz w:val="22"/>
          <w:szCs w:val="22"/>
          <w:lang w:val="sr-Latn-ME"/>
        </w:rPr>
        <w:t>j</w:t>
      </w:r>
      <w:r w:rsidRPr="00CB6AFC">
        <w:rPr>
          <w:sz w:val="22"/>
          <w:szCs w:val="22"/>
          <w:lang w:val="sr-Latn-ME"/>
        </w:rPr>
        <w:t>enu lijeka treba prekinuti.</w:t>
      </w:r>
    </w:p>
    <w:p w14:paraId="350A0FCD" w14:textId="77777777" w:rsidR="00AB31CA" w:rsidRPr="00CB6AFC" w:rsidRDefault="00AB31CA" w:rsidP="00DB62C3">
      <w:pPr>
        <w:jc w:val="both"/>
        <w:outlineLvl w:val="0"/>
        <w:rPr>
          <w:sz w:val="22"/>
          <w:szCs w:val="22"/>
          <w:lang w:val="sr-Latn-ME"/>
        </w:rPr>
      </w:pPr>
    </w:p>
    <w:p w14:paraId="5E0D09BB"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Hipertenzija</w:t>
      </w:r>
    </w:p>
    <w:p w14:paraId="353B381B" w14:textId="7CFEBE7F" w:rsidR="00AB31CA" w:rsidRPr="00CB6AFC" w:rsidRDefault="00AB31CA" w:rsidP="00DB62C3">
      <w:pPr>
        <w:jc w:val="both"/>
        <w:outlineLvl w:val="0"/>
        <w:rPr>
          <w:sz w:val="22"/>
          <w:szCs w:val="22"/>
          <w:lang w:val="sr-Latn-ME"/>
        </w:rPr>
      </w:pPr>
      <w:r w:rsidRPr="00CB6AFC">
        <w:rPr>
          <w:sz w:val="22"/>
          <w:szCs w:val="22"/>
          <w:lang w:val="sr-Latn-ME"/>
        </w:rPr>
        <w:t>NSAIL mogu dovesti do pojave nove hipertenzije ili pogoršanja postojeće hipertenzije, a pacijenti koji uzimaju antihipertenzivne ljekove sa NSAIL mogu imati oslabljen odgovor na antihipertenzive. Sav</w:t>
      </w:r>
      <w:r w:rsidR="00B5472D" w:rsidRPr="00CB6AFC">
        <w:rPr>
          <w:sz w:val="22"/>
          <w:szCs w:val="22"/>
          <w:lang w:val="sr-Latn-ME"/>
        </w:rPr>
        <w:t>j</w:t>
      </w:r>
      <w:r w:rsidRPr="00CB6AFC">
        <w:rPr>
          <w:sz w:val="22"/>
          <w:szCs w:val="22"/>
          <w:lang w:val="sr-Latn-ME"/>
        </w:rPr>
        <w:t>etuje se oprez pri propisivanju NSAIL pacijentima sa hipertenzijom. Krvni pritisak treba pažljivo pratiti na početku liječenja NSAIL, a kasnije u pravilnim razmacima.</w:t>
      </w:r>
    </w:p>
    <w:p w14:paraId="3BE4303C" w14:textId="77777777" w:rsidR="00AB31CA" w:rsidRPr="00CB6AFC" w:rsidRDefault="00AB31CA" w:rsidP="00DB62C3">
      <w:pPr>
        <w:jc w:val="both"/>
        <w:outlineLvl w:val="0"/>
        <w:rPr>
          <w:sz w:val="22"/>
          <w:szCs w:val="22"/>
          <w:lang w:val="sr-Latn-ME"/>
        </w:rPr>
      </w:pPr>
    </w:p>
    <w:p w14:paraId="3C1B5220"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Srčana insuficijencija</w:t>
      </w:r>
    </w:p>
    <w:p w14:paraId="7F2A77C7" w14:textId="303A3A5A" w:rsidR="00AB31CA" w:rsidRPr="00CB6AFC" w:rsidRDefault="00AB31CA" w:rsidP="00DB62C3">
      <w:pPr>
        <w:jc w:val="both"/>
        <w:outlineLvl w:val="0"/>
        <w:rPr>
          <w:sz w:val="22"/>
          <w:szCs w:val="22"/>
          <w:lang w:val="sr-Latn-ME"/>
        </w:rPr>
      </w:pPr>
      <w:r w:rsidRPr="00CB6AFC">
        <w:rPr>
          <w:sz w:val="22"/>
          <w:szCs w:val="22"/>
          <w:lang w:val="sr-Latn-ME"/>
        </w:rPr>
        <w:t>Kod pacijenata kod kojih postoje zadržavanje tečnosti ili srčana insuficijencija potreban je oprez, pošto je pri primjeni NSAIL ljekova prim</w:t>
      </w:r>
      <w:r w:rsidR="00B5472D" w:rsidRPr="00CB6AFC">
        <w:rPr>
          <w:sz w:val="22"/>
          <w:szCs w:val="22"/>
          <w:lang w:val="sr-Latn-ME"/>
        </w:rPr>
        <w:t>i</w:t>
      </w:r>
      <w:r w:rsidRPr="00CB6AFC">
        <w:rPr>
          <w:sz w:val="22"/>
          <w:szCs w:val="22"/>
          <w:lang w:val="sr-Latn-ME"/>
        </w:rPr>
        <w:t>jećeno zadržavanje tečnosti i nastanak edema.</w:t>
      </w:r>
    </w:p>
    <w:p w14:paraId="1B420B8D" w14:textId="77777777" w:rsidR="00AB31CA" w:rsidRPr="00CB6AFC" w:rsidRDefault="00AB31CA" w:rsidP="00DB62C3">
      <w:pPr>
        <w:jc w:val="both"/>
        <w:outlineLvl w:val="0"/>
        <w:rPr>
          <w:sz w:val="22"/>
          <w:szCs w:val="22"/>
          <w:lang w:val="sr-Latn-ME"/>
        </w:rPr>
      </w:pPr>
    </w:p>
    <w:p w14:paraId="4FC1D63F" w14:textId="1771B41C" w:rsidR="00AB31CA" w:rsidRPr="00CB6AFC" w:rsidRDefault="00A400E2" w:rsidP="00DB62C3">
      <w:pPr>
        <w:jc w:val="both"/>
        <w:outlineLvl w:val="0"/>
        <w:rPr>
          <w:b/>
          <w:bCs/>
          <w:i/>
          <w:iCs/>
          <w:sz w:val="22"/>
          <w:szCs w:val="22"/>
          <w:lang w:val="sr-Latn-ME"/>
        </w:rPr>
      </w:pPr>
      <w:r w:rsidRPr="00CB6AFC">
        <w:rPr>
          <w:b/>
          <w:bCs/>
          <w:i/>
          <w:iCs/>
          <w:sz w:val="22"/>
          <w:szCs w:val="22"/>
          <w:lang w:val="sr-Latn-ME"/>
        </w:rPr>
        <w:t>Teške</w:t>
      </w:r>
      <w:r w:rsidR="00AB31CA" w:rsidRPr="00CB6AFC">
        <w:rPr>
          <w:b/>
          <w:bCs/>
          <w:i/>
          <w:iCs/>
          <w:sz w:val="22"/>
          <w:szCs w:val="22"/>
          <w:lang w:val="sr-Latn-ME"/>
        </w:rPr>
        <w:t xml:space="preserve"> kožne reakcije</w:t>
      </w:r>
    </w:p>
    <w:p w14:paraId="5A45074D" w14:textId="62246859" w:rsidR="00AB31CA" w:rsidRPr="00CB6AFC" w:rsidRDefault="00AB31CA" w:rsidP="00DB62C3">
      <w:pPr>
        <w:jc w:val="both"/>
        <w:outlineLvl w:val="0"/>
        <w:rPr>
          <w:sz w:val="22"/>
          <w:szCs w:val="22"/>
          <w:lang w:val="sr-Latn-ME"/>
        </w:rPr>
      </w:pPr>
      <w:r w:rsidRPr="00CB6AFC">
        <w:rPr>
          <w:sz w:val="22"/>
          <w:szCs w:val="22"/>
          <w:lang w:val="sr-Latn-ME"/>
        </w:rPr>
        <w:t xml:space="preserve">NSAIL mogu veoma rijetko da izazovu ozbiljne kožne reakcije kao što su eksfoliativni dermatitis, toksična epidermalna nekroliza (TEN) i </w:t>
      </w:r>
      <w:r w:rsidRPr="00CB6AFC">
        <w:rPr>
          <w:i/>
          <w:iCs/>
          <w:sz w:val="22"/>
          <w:szCs w:val="22"/>
          <w:lang w:val="sr-Latn-ME"/>
        </w:rPr>
        <w:t>Stevens-Johnson</w:t>
      </w:r>
      <w:r w:rsidR="00A400E2" w:rsidRPr="00CB6AFC">
        <w:rPr>
          <w:sz w:val="22"/>
          <w:szCs w:val="22"/>
          <w:lang w:val="sr-Latn-ME"/>
        </w:rPr>
        <w:t>-</w:t>
      </w:r>
      <w:r w:rsidRPr="00CB6AFC">
        <w:rPr>
          <w:sz w:val="22"/>
          <w:szCs w:val="22"/>
          <w:lang w:val="sr-Latn-ME"/>
        </w:rPr>
        <w:t>ov sindrom (SJS), koji mogu biti i sa smrtnim ishodom i nastati bez upozorenja. Akutna generalizovana egzantematozna pustuloza (AGEP) prijavljena je povezano sa liječenjem ljekovima koji sadrže ibuprofen. Izgleda da su pacijenti izloženi najvećem riziku od ovih reakcija na početku liječenja, jer se one u većini slučajeva javljaju unutar prvog mjeseca primjene</w:t>
      </w:r>
      <w:r w:rsidR="00A400E2" w:rsidRPr="00CB6AFC">
        <w:rPr>
          <w:sz w:val="22"/>
          <w:szCs w:val="22"/>
          <w:lang w:val="sr-Latn-ME"/>
        </w:rPr>
        <w:t xml:space="preserve"> terapije</w:t>
      </w:r>
      <w:r w:rsidRPr="00CB6AFC">
        <w:rPr>
          <w:sz w:val="22"/>
          <w:szCs w:val="22"/>
          <w:lang w:val="sr-Latn-ME"/>
        </w:rPr>
        <w:t xml:space="preserve">. </w:t>
      </w:r>
    </w:p>
    <w:p w14:paraId="2535FBB4" w14:textId="77777777" w:rsidR="00AB31CA" w:rsidRPr="00CB6AFC" w:rsidRDefault="00AB31CA" w:rsidP="00DB62C3">
      <w:pPr>
        <w:jc w:val="both"/>
        <w:outlineLvl w:val="0"/>
        <w:rPr>
          <w:sz w:val="22"/>
          <w:szCs w:val="22"/>
          <w:lang w:val="sr-Latn-ME"/>
        </w:rPr>
      </w:pPr>
    </w:p>
    <w:p w14:paraId="2305DCFE" w14:textId="0267A2DC" w:rsidR="00AB31CA" w:rsidRPr="00CB6AFC" w:rsidRDefault="00AB31CA" w:rsidP="00DB62C3">
      <w:pPr>
        <w:jc w:val="both"/>
        <w:outlineLvl w:val="0"/>
        <w:rPr>
          <w:sz w:val="22"/>
          <w:szCs w:val="22"/>
          <w:lang w:val="sr-Latn-ME"/>
        </w:rPr>
      </w:pPr>
      <w:r w:rsidRPr="00CB6AFC">
        <w:rPr>
          <w:sz w:val="22"/>
          <w:szCs w:val="22"/>
          <w:lang w:val="sr-Latn-ME"/>
        </w:rPr>
        <w:t>Pacijente treba upoznati sa znakovima i simptomima ozbiljnih reakcija na koži i uputiti ih da se kod prve pojave kožnog osipa ili bilo kojeg drugog znaka preosetljivosti posav</w:t>
      </w:r>
      <w:r w:rsidR="00A400E2" w:rsidRPr="00CB6AFC">
        <w:rPr>
          <w:sz w:val="22"/>
          <w:szCs w:val="22"/>
          <w:lang w:val="sr-Latn-ME"/>
        </w:rPr>
        <w:t>j</w:t>
      </w:r>
      <w:r w:rsidRPr="00CB6AFC">
        <w:rPr>
          <w:sz w:val="22"/>
          <w:szCs w:val="22"/>
          <w:lang w:val="sr-Latn-ME"/>
        </w:rPr>
        <w:t>etuju sa ljekarom.</w:t>
      </w:r>
    </w:p>
    <w:p w14:paraId="32FBC362" w14:textId="77777777" w:rsidR="00AB31CA" w:rsidRPr="00CB6AFC" w:rsidRDefault="00AB31CA" w:rsidP="00DB62C3">
      <w:pPr>
        <w:jc w:val="both"/>
        <w:outlineLvl w:val="0"/>
        <w:rPr>
          <w:sz w:val="22"/>
          <w:szCs w:val="22"/>
          <w:lang w:val="sr-Latn-ME"/>
        </w:rPr>
      </w:pPr>
    </w:p>
    <w:p w14:paraId="7F834889" w14:textId="00176467" w:rsidR="00AB31CA" w:rsidRPr="00CB6AFC" w:rsidRDefault="00AB31CA" w:rsidP="00DB62C3">
      <w:pPr>
        <w:jc w:val="both"/>
        <w:outlineLvl w:val="0"/>
        <w:rPr>
          <w:sz w:val="22"/>
          <w:szCs w:val="22"/>
          <w:lang w:val="sr-Latn-ME"/>
        </w:rPr>
      </w:pPr>
      <w:r w:rsidRPr="00CB6AFC">
        <w:rPr>
          <w:sz w:val="22"/>
          <w:szCs w:val="22"/>
          <w:lang w:val="sr-Latn-ME"/>
        </w:rPr>
        <w:t xml:space="preserve">U izuzetnim slučajevima, varičela može biti uzrok ozbiljnim infektivnim komplikacijama kože i mekih tkiva. Do danas se uloga NSAIL u pogoršanju ovih infekcija ne može isključiti. Stoga je preporučljivo izbjegavati primjenu </w:t>
      </w:r>
      <w:r w:rsidR="00A400E2" w:rsidRPr="00CB6AFC">
        <w:rPr>
          <w:sz w:val="22"/>
          <w:szCs w:val="22"/>
          <w:lang w:val="sr-Latn-ME"/>
        </w:rPr>
        <w:t xml:space="preserve">lijeka </w:t>
      </w:r>
      <w:r w:rsidRPr="00CB6AFC">
        <w:rPr>
          <w:noProof/>
          <w:sz w:val="22"/>
          <w:szCs w:val="22"/>
          <w:lang w:val="sr-Latn-ME"/>
        </w:rPr>
        <w:t>Comboval 10 mg/ml + 3 mg/ml</w:t>
      </w:r>
      <w:r w:rsidRPr="00CB6AFC">
        <w:rPr>
          <w:sz w:val="22"/>
          <w:szCs w:val="22"/>
          <w:lang w:val="sr-Latn-ME"/>
        </w:rPr>
        <w:t xml:space="preserve"> rastvor za infuziju u slučaju varičele. </w:t>
      </w:r>
    </w:p>
    <w:p w14:paraId="6A82A9FA" w14:textId="77777777" w:rsidR="00AB31CA" w:rsidRPr="00CB6AFC" w:rsidRDefault="00AB31CA" w:rsidP="00DB62C3">
      <w:pPr>
        <w:jc w:val="both"/>
        <w:outlineLvl w:val="0"/>
        <w:rPr>
          <w:sz w:val="22"/>
          <w:szCs w:val="22"/>
          <w:lang w:val="sr-Latn-ME"/>
        </w:rPr>
      </w:pPr>
    </w:p>
    <w:p w14:paraId="31BFBF8D"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lastRenderedPageBreak/>
        <w:t xml:space="preserve">Astma u anamnezi </w:t>
      </w:r>
    </w:p>
    <w:p w14:paraId="242454FF" w14:textId="3DFE9953" w:rsidR="00AB31CA" w:rsidRPr="00CB6AFC" w:rsidRDefault="00AB31CA" w:rsidP="00DB62C3">
      <w:pPr>
        <w:jc w:val="both"/>
        <w:outlineLvl w:val="0"/>
        <w:rPr>
          <w:sz w:val="22"/>
          <w:szCs w:val="22"/>
          <w:lang w:val="sr-Latn-ME"/>
        </w:rPr>
      </w:pPr>
      <w:r w:rsidRPr="00CB6AFC">
        <w:rPr>
          <w:sz w:val="22"/>
          <w:szCs w:val="22"/>
          <w:lang w:val="sr-Latn-ME"/>
        </w:rPr>
        <w:t>L</w:t>
      </w:r>
      <w:r w:rsidR="00A400E2" w:rsidRPr="00CB6AFC">
        <w:rPr>
          <w:sz w:val="22"/>
          <w:szCs w:val="22"/>
          <w:lang w:val="sr-Latn-ME"/>
        </w:rPr>
        <w:t>j</w:t>
      </w:r>
      <w:r w:rsidRPr="00CB6AFC">
        <w:rPr>
          <w:sz w:val="22"/>
          <w:szCs w:val="22"/>
          <w:lang w:val="sr-Latn-ME"/>
        </w:rPr>
        <w:t>ekovi koji sadrže ibuprofen ne smiju se davati pacijentima sa astmom osjetljivom na acetilsalicilnu kiselinu i treba da se koriste uz oprez kod pacijenata koji već boluju od astme.</w:t>
      </w:r>
    </w:p>
    <w:p w14:paraId="20DD8D23" w14:textId="77777777" w:rsidR="00AB31CA" w:rsidRPr="00CB6AFC" w:rsidRDefault="00AB31CA" w:rsidP="00DB62C3">
      <w:pPr>
        <w:jc w:val="both"/>
        <w:outlineLvl w:val="0"/>
        <w:rPr>
          <w:sz w:val="22"/>
          <w:szCs w:val="22"/>
          <w:lang w:val="sr-Latn-ME"/>
        </w:rPr>
      </w:pPr>
    </w:p>
    <w:p w14:paraId="6E7C2AAA"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Oftalmološki efekti</w:t>
      </w:r>
    </w:p>
    <w:p w14:paraId="2C7DA961" w14:textId="77777777" w:rsidR="00AB31CA" w:rsidRPr="00CB6AFC" w:rsidRDefault="00AB31CA" w:rsidP="00DB62C3">
      <w:pPr>
        <w:jc w:val="both"/>
        <w:outlineLvl w:val="0"/>
        <w:rPr>
          <w:sz w:val="22"/>
          <w:szCs w:val="22"/>
          <w:lang w:val="sr-Latn-ME"/>
        </w:rPr>
      </w:pPr>
      <w:r w:rsidRPr="00CB6AFC">
        <w:rPr>
          <w:sz w:val="22"/>
          <w:szCs w:val="22"/>
          <w:lang w:val="sr-Latn-ME"/>
        </w:rPr>
        <w:t>Uočeni su štetni oftalmološki efekti NSAIL; u skladu sa tim, pacijenti koji razviju poremećaje vida tokom liječenja ljekovima koji sadrže ibuprofen trebali bi obaviti oftalmološki pregled.</w:t>
      </w:r>
    </w:p>
    <w:p w14:paraId="6BD7BE2F" w14:textId="77777777" w:rsidR="00AB31CA" w:rsidRPr="00CB6AFC" w:rsidRDefault="00AB31CA" w:rsidP="00DB62C3">
      <w:pPr>
        <w:jc w:val="both"/>
        <w:outlineLvl w:val="0"/>
        <w:rPr>
          <w:sz w:val="22"/>
          <w:szCs w:val="22"/>
          <w:lang w:val="sr-Latn-ME"/>
        </w:rPr>
      </w:pPr>
    </w:p>
    <w:p w14:paraId="4EA80A02"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Aseptični meningitis</w:t>
      </w:r>
    </w:p>
    <w:p w14:paraId="1F94CF29" w14:textId="77777777" w:rsidR="00AB31CA" w:rsidRPr="00CB6AFC" w:rsidRDefault="00AB31CA" w:rsidP="00DB62C3">
      <w:pPr>
        <w:jc w:val="both"/>
        <w:outlineLvl w:val="0"/>
        <w:rPr>
          <w:sz w:val="22"/>
          <w:szCs w:val="22"/>
          <w:lang w:val="sr-Latn-ME"/>
        </w:rPr>
      </w:pPr>
      <w:r w:rsidRPr="00CB6AFC">
        <w:rPr>
          <w:sz w:val="22"/>
          <w:szCs w:val="22"/>
          <w:lang w:val="sr-Latn-ME"/>
        </w:rPr>
        <w:t>Za ljekove koji sadrže ibuprofen aseptični meningitis je prijavljen rijetko, obično, ali ne uvijek, kod pacijenata sa sistemskim eritematoznim lupusom (SLE) ili drugim poremećajima vezivnog tkiva.</w:t>
      </w:r>
    </w:p>
    <w:p w14:paraId="2ADC28F8" w14:textId="77777777" w:rsidR="00AB31CA" w:rsidRPr="00CB6AFC" w:rsidRDefault="00AB31CA" w:rsidP="00DB62C3">
      <w:pPr>
        <w:jc w:val="both"/>
        <w:outlineLvl w:val="0"/>
        <w:rPr>
          <w:sz w:val="22"/>
          <w:szCs w:val="22"/>
          <w:lang w:val="sr-Latn-ME"/>
        </w:rPr>
      </w:pPr>
    </w:p>
    <w:p w14:paraId="5B1C7A19"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Moguća interferencija sa laboratorijskim testovima</w:t>
      </w:r>
    </w:p>
    <w:p w14:paraId="6E850046" w14:textId="77777777" w:rsidR="00AB31CA" w:rsidRPr="00CB6AFC" w:rsidRDefault="00AB31CA" w:rsidP="00DB62C3">
      <w:pPr>
        <w:jc w:val="both"/>
        <w:outlineLvl w:val="0"/>
        <w:rPr>
          <w:sz w:val="22"/>
          <w:szCs w:val="22"/>
          <w:lang w:val="sr-Latn-ME"/>
        </w:rPr>
      </w:pPr>
      <w:r w:rsidRPr="00CB6AFC">
        <w:rPr>
          <w:sz w:val="22"/>
          <w:szCs w:val="22"/>
          <w:lang w:val="sr-Latn-ME"/>
        </w:rPr>
        <w:t>Koristeći trenutne analitičke sisteme, paracetamol ne uzrokuje smetnje u laboratorijskim testovima. Međutim, postoje određene metode za koje postoji mogućnost laboratorijskih interferencija, kako je opisano u nastavku:</w:t>
      </w:r>
    </w:p>
    <w:p w14:paraId="7F686C8B" w14:textId="77777777" w:rsidR="00AB31CA" w:rsidRPr="00CB6AFC" w:rsidRDefault="00AB31CA" w:rsidP="00DB62C3">
      <w:pPr>
        <w:jc w:val="both"/>
        <w:outlineLvl w:val="0"/>
        <w:rPr>
          <w:sz w:val="22"/>
          <w:szCs w:val="22"/>
          <w:lang w:val="sr-Latn-ME"/>
        </w:rPr>
      </w:pPr>
    </w:p>
    <w:p w14:paraId="64191F15" w14:textId="77777777" w:rsidR="00AB31CA" w:rsidRPr="00CB6AFC" w:rsidRDefault="00AB31CA" w:rsidP="00DB62C3">
      <w:pPr>
        <w:jc w:val="both"/>
        <w:outlineLvl w:val="0"/>
        <w:rPr>
          <w:i/>
          <w:iCs/>
          <w:sz w:val="22"/>
          <w:szCs w:val="22"/>
          <w:lang w:val="sr-Latn-ME"/>
        </w:rPr>
      </w:pPr>
      <w:r w:rsidRPr="00CB6AFC">
        <w:rPr>
          <w:i/>
          <w:iCs/>
          <w:sz w:val="22"/>
          <w:szCs w:val="22"/>
          <w:lang w:val="sr-Latn-ME"/>
        </w:rPr>
        <w:t>Testovi iz urina</w:t>
      </w:r>
    </w:p>
    <w:p w14:paraId="32CA5BF2" w14:textId="77777777" w:rsidR="00AB31CA" w:rsidRPr="00CB6AFC" w:rsidRDefault="00AB31CA" w:rsidP="00DB62C3">
      <w:pPr>
        <w:jc w:val="both"/>
        <w:outlineLvl w:val="0"/>
        <w:rPr>
          <w:sz w:val="22"/>
          <w:szCs w:val="22"/>
          <w:lang w:val="sr-Latn-ME"/>
        </w:rPr>
      </w:pPr>
      <w:r w:rsidRPr="00CB6AFC">
        <w:rPr>
          <w:sz w:val="22"/>
          <w:szCs w:val="22"/>
          <w:lang w:val="sr-Latn-ME"/>
        </w:rPr>
        <w:t>Paracetamol u terapijskim dozama može ometati određivanje 5-hidroksiindol-sirćetne kiseline (5HIAA), uzrokujući lažno pozitivne rezultate. Lažni rezultati se mogu eliminisati izbjegavanjem uzimanja paracetamola nekoliko sati prije i tokom uzimanja uzorka urina.</w:t>
      </w:r>
    </w:p>
    <w:p w14:paraId="18361B4C" w14:textId="77777777" w:rsidR="00AB31CA" w:rsidRPr="00CB6AFC" w:rsidRDefault="00AB31CA" w:rsidP="00DB62C3">
      <w:pPr>
        <w:jc w:val="both"/>
        <w:outlineLvl w:val="0"/>
        <w:rPr>
          <w:sz w:val="22"/>
          <w:szCs w:val="22"/>
          <w:lang w:val="sr-Latn-ME"/>
        </w:rPr>
      </w:pPr>
    </w:p>
    <w:p w14:paraId="6EC1F7EA"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Prikrivanje simptoma infekcije</w:t>
      </w:r>
    </w:p>
    <w:p w14:paraId="2250CCE3" w14:textId="1441D554" w:rsidR="00AB31CA" w:rsidRPr="00CB6AFC" w:rsidRDefault="00A400E2" w:rsidP="00DB62C3">
      <w:pPr>
        <w:jc w:val="both"/>
        <w:outlineLvl w:val="0"/>
        <w:rPr>
          <w:sz w:val="22"/>
          <w:szCs w:val="22"/>
          <w:lang w:val="sr-Latn-ME"/>
        </w:rPr>
      </w:pPr>
      <w:r w:rsidRPr="00CB6AFC">
        <w:rPr>
          <w:noProof/>
          <w:sz w:val="22"/>
          <w:szCs w:val="22"/>
          <w:lang w:val="sr-Latn-ME"/>
        </w:rPr>
        <w:t xml:space="preserve">Lijek </w:t>
      </w:r>
      <w:r w:rsidR="00AB31CA" w:rsidRPr="00CB6AFC">
        <w:rPr>
          <w:noProof/>
          <w:sz w:val="22"/>
          <w:szCs w:val="22"/>
          <w:lang w:val="sr-Latn-ME"/>
        </w:rPr>
        <w:t>Comboval 10 mg/ml + 3 mg/ml</w:t>
      </w:r>
      <w:r w:rsidR="00AB31CA" w:rsidRPr="00CB6AFC">
        <w:rPr>
          <w:sz w:val="22"/>
          <w:szCs w:val="22"/>
          <w:lang w:val="sr-Latn-ME"/>
        </w:rPr>
        <w:t xml:space="preserve"> rastvor za infuziju može prikriti simptome infekcije, što može dovesti do kasnijeg započinjanja odgovarajućeg liječenja i time pogoršati ishod infekcije. Ovo je </w:t>
      </w:r>
      <w:r w:rsidRPr="00CB6AFC">
        <w:rPr>
          <w:sz w:val="22"/>
          <w:szCs w:val="22"/>
          <w:lang w:val="sr-Latn-ME"/>
        </w:rPr>
        <w:t>zabilježeno</w:t>
      </w:r>
      <w:r w:rsidR="00AB31CA" w:rsidRPr="00CB6AFC">
        <w:rPr>
          <w:sz w:val="22"/>
          <w:szCs w:val="22"/>
          <w:lang w:val="sr-Latn-ME"/>
        </w:rPr>
        <w:t xml:space="preserve"> kod bakterijskih upala pluća i kod bakterijskih komplikacija varičele. Kada se </w:t>
      </w:r>
      <w:r w:rsidRPr="00CB6AFC">
        <w:rPr>
          <w:sz w:val="22"/>
          <w:szCs w:val="22"/>
          <w:lang w:val="sr-Latn-ME"/>
        </w:rPr>
        <w:t xml:space="preserve">lijek </w:t>
      </w:r>
      <w:r w:rsidR="00AB31CA" w:rsidRPr="00CB6AFC">
        <w:rPr>
          <w:noProof/>
          <w:sz w:val="22"/>
          <w:szCs w:val="22"/>
          <w:lang w:val="sr-Latn-ME"/>
        </w:rPr>
        <w:t>Comboval 10 mg/ml + 3 mg/ml</w:t>
      </w:r>
      <w:r w:rsidR="00AB31CA" w:rsidRPr="00CB6AFC">
        <w:rPr>
          <w:sz w:val="22"/>
          <w:szCs w:val="22"/>
          <w:lang w:val="sr-Latn-ME"/>
        </w:rPr>
        <w:t xml:space="preserve"> rastvor za infuziju primjenjuje u svrhu liječenja </w:t>
      </w:r>
      <w:r w:rsidRPr="00CB6AFC">
        <w:rPr>
          <w:sz w:val="22"/>
          <w:szCs w:val="22"/>
          <w:lang w:val="sr-Latn-ME"/>
        </w:rPr>
        <w:t>povišene tjelesne temperature</w:t>
      </w:r>
      <w:r w:rsidR="00AB31CA" w:rsidRPr="00CB6AFC">
        <w:rPr>
          <w:sz w:val="22"/>
          <w:szCs w:val="22"/>
          <w:lang w:val="sr-Latn-ME"/>
        </w:rPr>
        <w:t xml:space="preserve"> ili ublažavanja bola povezanih sa infekcijom, savjetuje se praćenje infekcije. U vanbolničkim uslovima pacijent bi trebao da se posavjetuje sa ljekarom ako se simptomi nastave ili pogoršaju.</w:t>
      </w:r>
    </w:p>
    <w:p w14:paraId="10D0E421" w14:textId="77777777" w:rsidR="00AB31CA" w:rsidRPr="00CB6AFC" w:rsidRDefault="00AB31CA" w:rsidP="00DB62C3">
      <w:pPr>
        <w:jc w:val="both"/>
        <w:outlineLvl w:val="0"/>
        <w:rPr>
          <w:sz w:val="22"/>
          <w:szCs w:val="22"/>
          <w:lang w:val="sr-Latn-ME"/>
        </w:rPr>
      </w:pPr>
    </w:p>
    <w:p w14:paraId="38CC7A4A"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Produžena primjena analgetika</w:t>
      </w:r>
    </w:p>
    <w:p w14:paraId="177C3A7C" w14:textId="77777777" w:rsidR="00AB31CA" w:rsidRPr="00CB6AFC" w:rsidRDefault="00AB31CA" w:rsidP="00DB62C3">
      <w:pPr>
        <w:jc w:val="both"/>
        <w:outlineLvl w:val="0"/>
        <w:rPr>
          <w:sz w:val="22"/>
          <w:szCs w:val="22"/>
          <w:lang w:val="sr-Latn-ME"/>
        </w:rPr>
      </w:pPr>
      <w:r w:rsidRPr="00CB6AFC">
        <w:rPr>
          <w:sz w:val="22"/>
          <w:szCs w:val="22"/>
          <w:lang w:val="sr-Latn-ME"/>
        </w:rPr>
        <w:t>Pri produženoj primjeni analgetika može se javiti glavobolja koja se ne smije liječiti povećanjem doze lijeka.</w:t>
      </w:r>
    </w:p>
    <w:p w14:paraId="13DC531C" w14:textId="77777777" w:rsidR="00AB31CA" w:rsidRPr="00CB6AFC" w:rsidRDefault="00AB31CA" w:rsidP="00DB62C3">
      <w:pPr>
        <w:jc w:val="both"/>
        <w:outlineLvl w:val="0"/>
        <w:rPr>
          <w:sz w:val="22"/>
          <w:szCs w:val="22"/>
          <w:lang w:val="sr-Latn-ME"/>
        </w:rPr>
      </w:pPr>
    </w:p>
    <w:p w14:paraId="2E8ED009" w14:textId="77777777" w:rsidR="00D53AA0" w:rsidRPr="00CB6AFC" w:rsidRDefault="00B8031B" w:rsidP="00DB62C3">
      <w:pPr>
        <w:jc w:val="both"/>
        <w:rPr>
          <w:b/>
          <w:bCs/>
          <w:i/>
          <w:iCs/>
          <w:sz w:val="22"/>
          <w:szCs w:val="22"/>
          <w:lang w:val="sr-Latn-ME"/>
        </w:rPr>
      </w:pPr>
      <w:r w:rsidRPr="00CB6AFC">
        <w:rPr>
          <w:b/>
          <w:bCs/>
          <w:i/>
          <w:iCs/>
          <w:sz w:val="22"/>
          <w:szCs w:val="22"/>
          <w:lang w:val="sr-Latn-ME"/>
        </w:rPr>
        <w:t>Metabolička acidoza sa velikim anjonskim zjapom (HAGMA) zbog piroglutaminske acidoze</w:t>
      </w:r>
    </w:p>
    <w:p w14:paraId="226DA7B1" w14:textId="74DA4BBD" w:rsidR="00C2064D" w:rsidRPr="00CB6AFC" w:rsidRDefault="00C2064D" w:rsidP="00DB62C3">
      <w:pPr>
        <w:jc w:val="both"/>
        <w:outlineLvl w:val="0"/>
        <w:rPr>
          <w:sz w:val="22"/>
          <w:szCs w:val="22"/>
          <w:lang w:val="sr-Latn-ME"/>
        </w:rPr>
      </w:pPr>
      <w:r w:rsidRPr="00CB6AFC">
        <w:rPr>
          <w:sz w:val="22"/>
          <w:szCs w:val="22"/>
          <w:lang w:val="sr-Latn-ME"/>
        </w:rPr>
        <w:t xml:space="preserve">Prijavljeni su slučajevi </w:t>
      </w:r>
      <w:r w:rsidR="00AB31CA" w:rsidRPr="00CB6AFC">
        <w:rPr>
          <w:sz w:val="22"/>
          <w:szCs w:val="22"/>
          <w:lang w:val="sr-Latn-ME"/>
        </w:rPr>
        <w:t xml:space="preserve">metaboličke acidoze sa </w:t>
      </w:r>
      <w:r w:rsidRPr="00CB6AFC">
        <w:rPr>
          <w:sz w:val="22"/>
          <w:szCs w:val="22"/>
          <w:lang w:val="sr-Latn-ME"/>
        </w:rPr>
        <w:t xml:space="preserve">velikim </w:t>
      </w:r>
      <w:r w:rsidR="00AB31CA" w:rsidRPr="00CB6AFC">
        <w:rPr>
          <w:sz w:val="22"/>
          <w:szCs w:val="22"/>
          <w:lang w:val="sr-Latn-ME"/>
        </w:rPr>
        <w:t xml:space="preserve">anjonskim zjapom (engl. </w:t>
      </w:r>
      <w:r w:rsidR="00AB31CA" w:rsidRPr="00CB6AFC">
        <w:rPr>
          <w:i/>
          <w:iCs/>
          <w:sz w:val="22"/>
          <w:szCs w:val="22"/>
          <w:lang w:val="sr-Latn-ME"/>
        </w:rPr>
        <w:t>high anion gap metabolic acidosis</w:t>
      </w:r>
      <w:r w:rsidR="00AB31CA" w:rsidRPr="00CB6AFC">
        <w:rPr>
          <w:sz w:val="22"/>
          <w:szCs w:val="22"/>
          <w:lang w:val="sr-Latn-ME"/>
        </w:rPr>
        <w:t xml:space="preserve">, HAGMA), </w:t>
      </w:r>
      <w:r w:rsidRPr="00CB6AFC">
        <w:rPr>
          <w:sz w:val="22"/>
          <w:szCs w:val="22"/>
          <w:lang w:val="sr-Latn-ME"/>
        </w:rPr>
        <w:t>zbog piroglutaminske acidoze</w:t>
      </w:r>
      <w:r w:rsidR="00AB31CA" w:rsidRPr="00CB6AFC">
        <w:rPr>
          <w:sz w:val="22"/>
          <w:szCs w:val="22"/>
          <w:lang w:val="sr-Latn-ME"/>
        </w:rPr>
        <w:t xml:space="preserve"> kod pacijenata sa teškim </w:t>
      </w:r>
      <w:r w:rsidRPr="00CB6AFC">
        <w:rPr>
          <w:sz w:val="22"/>
          <w:szCs w:val="22"/>
          <w:lang w:val="sr-Latn-ME"/>
        </w:rPr>
        <w:t>oboljenjima kao što su teško oštećenje</w:t>
      </w:r>
      <w:r w:rsidR="000101CC" w:rsidRPr="00CB6AFC">
        <w:rPr>
          <w:sz w:val="22"/>
          <w:szCs w:val="22"/>
          <w:lang w:val="sr-Latn-ME"/>
        </w:rPr>
        <w:t xml:space="preserve"> </w:t>
      </w:r>
      <w:r w:rsidR="00AB31CA" w:rsidRPr="00CB6AFC">
        <w:rPr>
          <w:sz w:val="22"/>
          <w:szCs w:val="22"/>
          <w:lang w:val="sr-Latn-ME"/>
        </w:rPr>
        <w:t>funkcije</w:t>
      </w:r>
      <w:r w:rsidR="00E90534" w:rsidRPr="00CB6AFC">
        <w:rPr>
          <w:sz w:val="22"/>
          <w:szCs w:val="22"/>
          <w:lang w:val="sr-Latn-ME"/>
        </w:rPr>
        <w:t xml:space="preserve"> funkcije</w:t>
      </w:r>
      <w:r w:rsidR="00AB31CA" w:rsidRPr="00CB6AFC">
        <w:rPr>
          <w:sz w:val="22"/>
          <w:szCs w:val="22"/>
          <w:lang w:val="sr-Latn-ME"/>
        </w:rPr>
        <w:t xml:space="preserve"> bubrega </w:t>
      </w:r>
      <w:r w:rsidRPr="00CB6AFC">
        <w:rPr>
          <w:sz w:val="22"/>
          <w:szCs w:val="22"/>
          <w:lang w:val="sr-Latn-ME"/>
        </w:rPr>
        <w:t>i sepsa ili kod neuhranjenih pacijenata ili sa drugim uzrocima nedostatka glutationa (kao npr.</w:t>
      </w:r>
      <w:r w:rsidR="00D53AA0" w:rsidRPr="00CB6AFC">
        <w:rPr>
          <w:sz w:val="22"/>
          <w:szCs w:val="22"/>
          <w:lang w:val="sr-Latn-ME"/>
        </w:rPr>
        <w:t xml:space="preserve"> </w:t>
      </w:r>
      <w:r w:rsidRPr="00CB6AFC">
        <w:rPr>
          <w:sz w:val="22"/>
          <w:szCs w:val="22"/>
          <w:lang w:val="sr-Latn-ME"/>
        </w:rPr>
        <w:t>kod pacijenata sa hroničnim alkoholizmom) koji su tokom dužeg vremena l</w:t>
      </w:r>
      <w:r w:rsidR="000101CC" w:rsidRPr="00CB6AFC">
        <w:rPr>
          <w:sz w:val="22"/>
          <w:szCs w:val="22"/>
          <w:lang w:val="sr-Latn-ME"/>
        </w:rPr>
        <w:t>i</w:t>
      </w:r>
      <w:r w:rsidRPr="00CB6AFC">
        <w:rPr>
          <w:sz w:val="22"/>
          <w:szCs w:val="22"/>
          <w:lang w:val="sr-Latn-ME"/>
        </w:rPr>
        <w:t>ječeni paracetamolom u terapijskoj dozi ili kombinacijom paracetamola i flukloksacilina. Ukoliko se sumnja na HAGMA usl</w:t>
      </w:r>
      <w:r w:rsidR="00E90534" w:rsidRPr="00CB6AFC">
        <w:rPr>
          <w:sz w:val="22"/>
          <w:szCs w:val="22"/>
          <w:lang w:val="sr-Latn-ME"/>
        </w:rPr>
        <w:t>j</w:t>
      </w:r>
      <w:r w:rsidRPr="00CB6AFC">
        <w:rPr>
          <w:sz w:val="22"/>
          <w:szCs w:val="22"/>
          <w:lang w:val="sr-Latn-ME"/>
        </w:rPr>
        <w:t>ed piroglutamatne acidoze, preporučuje se hitan prekid terapije paracetamolom uz p</w:t>
      </w:r>
      <w:r w:rsidR="00E90534" w:rsidRPr="00CB6AFC">
        <w:rPr>
          <w:sz w:val="22"/>
          <w:szCs w:val="22"/>
          <w:lang w:val="sr-Latn-ME"/>
        </w:rPr>
        <w:t>ažljivo</w:t>
      </w:r>
      <w:r w:rsidRPr="00CB6AFC">
        <w:rPr>
          <w:sz w:val="22"/>
          <w:szCs w:val="22"/>
          <w:lang w:val="sr-Latn-ME"/>
        </w:rPr>
        <w:t xml:space="preserve"> praćenje.</w:t>
      </w:r>
    </w:p>
    <w:p w14:paraId="63C6F7F5" w14:textId="561F7E03" w:rsidR="00C2064D" w:rsidRPr="00CB6AFC" w:rsidRDefault="00C2064D" w:rsidP="00DB62C3">
      <w:pPr>
        <w:jc w:val="both"/>
        <w:outlineLvl w:val="0"/>
        <w:rPr>
          <w:sz w:val="22"/>
          <w:szCs w:val="22"/>
          <w:lang w:val="sr-Latn-ME"/>
        </w:rPr>
      </w:pPr>
      <w:r w:rsidRPr="00CB6AFC">
        <w:rPr>
          <w:sz w:val="22"/>
          <w:szCs w:val="22"/>
          <w:lang w:val="sr-Latn-ME"/>
        </w:rPr>
        <w:t>M</w:t>
      </w:r>
      <w:r w:rsidR="000101CC" w:rsidRPr="00CB6AFC">
        <w:rPr>
          <w:sz w:val="22"/>
          <w:szCs w:val="22"/>
          <w:lang w:val="sr-Latn-ME"/>
        </w:rPr>
        <w:t>j</w:t>
      </w:r>
      <w:r w:rsidRPr="00CB6AFC">
        <w:rPr>
          <w:sz w:val="22"/>
          <w:szCs w:val="22"/>
          <w:lang w:val="sr-Latn-ME"/>
        </w:rPr>
        <w:t xml:space="preserve">erenje 5-oksoprolina u urinu može biti korisno za utvrđivanje piroglutamatne acidoze kao osnovnog uzroka HAGMA kod pacijenata sa više faktora rizika. </w:t>
      </w:r>
    </w:p>
    <w:p w14:paraId="1332D692" w14:textId="77777777" w:rsidR="00AB31CA" w:rsidRPr="00CB6AFC" w:rsidRDefault="00AB31CA" w:rsidP="00DB62C3">
      <w:pPr>
        <w:jc w:val="both"/>
        <w:outlineLvl w:val="0"/>
        <w:rPr>
          <w:sz w:val="22"/>
          <w:szCs w:val="22"/>
          <w:lang w:val="sr-Latn-ME"/>
        </w:rPr>
      </w:pPr>
    </w:p>
    <w:p w14:paraId="205E4B53" w14:textId="77777777" w:rsidR="00AB31CA" w:rsidRPr="00CB6AFC" w:rsidRDefault="00AB31CA" w:rsidP="00DB62C3">
      <w:pPr>
        <w:jc w:val="both"/>
        <w:outlineLvl w:val="0"/>
        <w:rPr>
          <w:b/>
          <w:bCs/>
          <w:i/>
          <w:iCs/>
          <w:sz w:val="22"/>
          <w:szCs w:val="22"/>
          <w:lang w:val="sr-Latn-ME"/>
        </w:rPr>
      </w:pPr>
      <w:r w:rsidRPr="00CB6AFC">
        <w:rPr>
          <w:b/>
          <w:bCs/>
          <w:i/>
          <w:iCs/>
          <w:sz w:val="22"/>
          <w:szCs w:val="22"/>
          <w:lang w:val="sr-Latn-ME"/>
        </w:rPr>
        <w:t>Posebne mjere opreza</w:t>
      </w:r>
    </w:p>
    <w:p w14:paraId="5C7C700A" w14:textId="4F07A67D" w:rsidR="00AB31CA" w:rsidRPr="00CB6AFC" w:rsidRDefault="00AB31CA" w:rsidP="00DB62C3">
      <w:pPr>
        <w:jc w:val="both"/>
        <w:outlineLvl w:val="0"/>
        <w:rPr>
          <w:sz w:val="22"/>
          <w:szCs w:val="22"/>
          <w:lang w:val="sr-Latn-ME"/>
        </w:rPr>
      </w:pPr>
      <w:r w:rsidRPr="00CB6AFC">
        <w:rPr>
          <w:sz w:val="22"/>
          <w:szCs w:val="22"/>
          <w:lang w:val="sr-Latn-ME"/>
        </w:rPr>
        <w:t>Postoje dokazi da ljekovi koji inhibiraju sintezu ciklooksigenaze/prostaglandina mogu smanjiti plodnost žena d</w:t>
      </w:r>
      <w:r w:rsidR="00262294" w:rsidRPr="00CB6AFC">
        <w:rPr>
          <w:sz w:val="22"/>
          <w:szCs w:val="22"/>
          <w:lang w:val="sr-Latn-ME"/>
        </w:rPr>
        <w:t>j</w:t>
      </w:r>
      <w:r w:rsidRPr="00CB6AFC">
        <w:rPr>
          <w:sz w:val="22"/>
          <w:szCs w:val="22"/>
          <w:lang w:val="sr-Latn-ME"/>
        </w:rPr>
        <w:t>elovanjem na ovulaciju. Efekat se povlači nakon prestanka uzimanja lijeka.</w:t>
      </w:r>
    </w:p>
    <w:p w14:paraId="2CE31503" w14:textId="77777777" w:rsidR="00AB31CA" w:rsidRPr="00CB6AFC" w:rsidRDefault="00AB31CA" w:rsidP="00DB62C3">
      <w:pPr>
        <w:jc w:val="both"/>
        <w:outlineLvl w:val="0"/>
        <w:rPr>
          <w:sz w:val="22"/>
          <w:szCs w:val="22"/>
          <w:lang w:val="sr-Latn-ME"/>
        </w:rPr>
      </w:pPr>
    </w:p>
    <w:p w14:paraId="1EA9E4B7" w14:textId="17F0C47E" w:rsidR="00AB31CA" w:rsidRPr="00CB6AFC" w:rsidRDefault="00AB31CA" w:rsidP="00DB62C3">
      <w:pPr>
        <w:jc w:val="both"/>
        <w:outlineLvl w:val="0"/>
        <w:rPr>
          <w:sz w:val="22"/>
          <w:szCs w:val="22"/>
          <w:lang w:val="sr-Latn-ME"/>
        </w:rPr>
      </w:pPr>
      <w:r w:rsidRPr="00CB6AFC">
        <w:rPr>
          <w:sz w:val="22"/>
          <w:szCs w:val="22"/>
          <w:lang w:val="sr-Latn-ME"/>
        </w:rPr>
        <w:t xml:space="preserve">Ibuprofen treba </w:t>
      </w:r>
      <w:r w:rsidR="00262294" w:rsidRPr="00CB6AFC">
        <w:rPr>
          <w:sz w:val="22"/>
          <w:szCs w:val="22"/>
          <w:lang w:val="sr-Latn-ME"/>
        </w:rPr>
        <w:t>primjenjivati</w:t>
      </w:r>
      <w:r w:rsidRPr="00CB6AFC">
        <w:rPr>
          <w:sz w:val="22"/>
          <w:szCs w:val="22"/>
          <w:lang w:val="sr-Latn-ME"/>
        </w:rPr>
        <w:t xml:space="preserve"> samo nakon pažljivog razmatranja odnosa koristi i rizika kod pacijenata sa kongenitalnim poremećajem metabolizma porfirina (npr. akutna intermitentna porfirija).</w:t>
      </w:r>
    </w:p>
    <w:p w14:paraId="76B80509" w14:textId="77777777" w:rsidR="00AB31CA" w:rsidRPr="00CB6AFC" w:rsidRDefault="00AB31CA" w:rsidP="00DB62C3">
      <w:pPr>
        <w:jc w:val="both"/>
        <w:outlineLvl w:val="0"/>
        <w:rPr>
          <w:sz w:val="22"/>
          <w:szCs w:val="22"/>
          <w:lang w:val="sr-Latn-ME"/>
        </w:rPr>
      </w:pPr>
    </w:p>
    <w:p w14:paraId="0CA63231" w14:textId="77777777" w:rsidR="00AB31CA" w:rsidRPr="00CB6AFC" w:rsidRDefault="00AB31CA" w:rsidP="00DB62C3">
      <w:pPr>
        <w:jc w:val="both"/>
        <w:outlineLvl w:val="0"/>
        <w:rPr>
          <w:sz w:val="22"/>
          <w:szCs w:val="22"/>
          <w:lang w:val="sr-Latn-ME"/>
        </w:rPr>
      </w:pPr>
      <w:r w:rsidRPr="00CB6AFC">
        <w:rPr>
          <w:sz w:val="22"/>
          <w:szCs w:val="22"/>
          <w:lang w:val="sr-Latn-ME"/>
        </w:rPr>
        <w:t>Neželjena dejstva aktivnih supstanci, pogotovo ona koja se odnose na gastrointestinalni trakt ili centralni nervni sistem, mogu biti pojačana istovremenom primjenom NSAIL i alkohola.</w:t>
      </w:r>
    </w:p>
    <w:p w14:paraId="5EE04875" w14:textId="77777777" w:rsidR="00AB31CA" w:rsidRPr="00CB6AFC" w:rsidRDefault="00AB31CA" w:rsidP="00DB62C3">
      <w:pPr>
        <w:jc w:val="both"/>
        <w:outlineLvl w:val="0"/>
        <w:rPr>
          <w:sz w:val="22"/>
          <w:szCs w:val="22"/>
          <w:lang w:val="sr-Latn-ME"/>
        </w:rPr>
      </w:pPr>
    </w:p>
    <w:p w14:paraId="5D48955B" w14:textId="77777777" w:rsidR="00AB31CA" w:rsidRPr="00CB6AFC" w:rsidRDefault="00AB31CA" w:rsidP="00DB62C3">
      <w:pPr>
        <w:jc w:val="both"/>
        <w:outlineLvl w:val="0"/>
        <w:rPr>
          <w:sz w:val="22"/>
          <w:szCs w:val="22"/>
          <w:lang w:val="sr-Latn-ME"/>
        </w:rPr>
      </w:pPr>
      <w:r w:rsidRPr="00CB6AFC">
        <w:rPr>
          <w:sz w:val="22"/>
          <w:szCs w:val="22"/>
          <w:lang w:val="sr-Latn-ME"/>
        </w:rPr>
        <w:t>Potreban je oprez kod pacijenata sa određenim stanjima koja se mogu pogoršati:</w:t>
      </w:r>
    </w:p>
    <w:p w14:paraId="4496B0A1" w14:textId="77777777" w:rsidR="00AB31CA" w:rsidRPr="00CB6AFC" w:rsidRDefault="00AB31CA" w:rsidP="00DB62C3">
      <w:pPr>
        <w:numPr>
          <w:ilvl w:val="0"/>
          <w:numId w:val="14"/>
        </w:numPr>
        <w:ind w:left="426"/>
        <w:jc w:val="both"/>
        <w:outlineLvl w:val="0"/>
        <w:rPr>
          <w:sz w:val="22"/>
          <w:szCs w:val="22"/>
          <w:lang w:val="sr-Latn-ME"/>
        </w:rPr>
      </w:pPr>
      <w:r w:rsidRPr="00CB6AFC">
        <w:rPr>
          <w:sz w:val="22"/>
          <w:szCs w:val="22"/>
          <w:lang w:val="sr-Latn-ME"/>
        </w:rPr>
        <w:lastRenderedPageBreak/>
        <w:t>kod pacijenata koji alergijski reaguju na druge supstance, jer imaju povećani rizik od razvoja reakcija preosjetljivosti za vrijeme primjene ovog lijeka.</w:t>
      </w:r>
    </w:p>
    <w:p w14:paraId="6402F1E5" w14:textId="0AAEC3B5" w:rsidR="00AB31CA" w:rsidRPr="00CB6AFC" w:rsidRDefault="00AB31CA" w:rsidP="00DB62C3">
      <w:pPr>
        <w:numPr>
          <w:ilvl w:val="0"/>
          <w:numId w:val="14"/>
        </w:numPr>
        <w:ind w:left="426"/>
        <w:jc w:val="both"/>
        <w:outlineLvl w:val="0"/>
        <w:rPr>
          <w:sz w:val="22"/>
          <w:szCs w:val="22"/>
          <w:lang w:val="sr-Latn-ME"/>
        </w:rPr>
      </w:pPr>
      <w:r w:rsidRPr="00CB6AFC">
        <w:rPr>
          <w:sz w:val="22"/>
          <w:szCs w:val="22"/>
          <w:lang w:val="sr-Latn-ME"/>
        </w:rPr>
        <w:t xml:space="preserve">kod pacijenata koji boluju od polenske groznice, nosnih polipa ili hroničnih opstruktivnih respiratornih poremećaja, budući da kod njih postoji povećan rizik od pojave alergijske reakcije. </w:t>
      </w:r>
      <w:r w:rsidR="00262294" w:rsidRPr="00CB6AFC">
        <w:rPr>
          <w:sz w:val="22"/>
          <w:szCs w:val="22"/>
          <w:lang w:val="sr-Latn-ME"/>
        </w:rPr>
        <w:t>Mogu se</w:t>
      </w:r>
      <w:r w:rsidRPr="00CB6AFC">
        <w:rPr>
          <w:sz w:val="22"/>
          <w:szCs w:val="22"/>
          <w:lang w:val="sr-Latn-ME"/>
        </w:rPr>
        <w:t xml:space="preserve"> manifestovati kao napadi astme (tzv. analgeticima izazvana astma), </w:t>
      </w:r>
      <w:r w:rsidRPr="00CB6AFC">
        <w:rPr>
          <w:i/>
          <w:iCs/>
          <w:sz w:val="22"/>
          <w:szCs w:val="22"/>
          <w:lang w:val="sr-Latn-ME"/>
        </w:rPr>
        <w:t>Quincke</w:t>
      </w:r>
      <w:r w:rsidRPr="00CB6AFC">
        <w:rPr>
          <w:sz w:val="22"/>
          <w:szCs w:val="22"/>
          <w:lang w:val="sr-Latn-ME"/>
        </w:rPr>
        <w:t>-ov edem ili urtikarija.</w:t>
      </w:r>
    </w:p>
    <w:p w14:paraId="6006BD20" w14:textId="77777777" w:rsidR="00AB31CA" w:rsidRPr="00CB6AFC" w:rsidRDefault="00AB31CA" w:rsidP="00DB62C3">
      <w:pPr>
        <w:jc w:val="both"/>
        <w:outlineLvl w:val="0"/>
        <w:rPr>
          <w:sz w:val="22"/>
          <w:szCs w:val="22"/>
          <w:lang w:val="sr-Latn-ME"/>
        </w:rPr>
      </w:pPr>
    </w:p>
    <w:p w14:paraId="7D9253C8" w14:textId="4A0A3437" w:rsidR="00AB31CA" w:rsidRPr="00CB6AFC" w:rsidRDefault="00AB31CA" w:rsidP="00DB62C3">
      <w:pPr>
        <w:jc w:val="both"/>
        <w:outlineLvl w:val="0"/>
        <w:rPr>
          <w:sz w:val="22"/>
          <w:szCs w:val="22"/>
          <w:lang w:val="sr-Latn-ME"/>
        </w:rPr>
      </w:pPr>
      <w:r w:rsidRPr="00CB6AFC">
        <w:rPr>
          <w:sz w:val="22"/>
          <w:szCs w:val="22"/>
          <w:lang w:val="sr-Latn-ME"/>
        </w:rPr>
        <w:t>Ovaj lijek sadrži 35</w:t>
      </w:r>
      <w:r w:rsidR="00262294" w:rsidRPr="00CB6AFC">
        <w:rPr>
          <w:sz w:val="22"/>
          <w:szCs w:val="22"/>
          <w:lang w:val="sr-Latn-ME"/>
        </w:rPr>
        <w:t>.</w:t>
      </w:r>
      <w:r w:rsidRPr="00CB6AFC">
        <w:rPr>
          <w:sz w:val="22"/>
          <w:szCs w:val="22"/>
          <w:lang w:val="sr-Latn-ME"/>
        </w:rPr>
        <w:t xml:space="preserve">06 mg natrijuma na 100 ml, </w:t>
      </w:r>
      <w:r w:rsidR="00262294" w:rsidRPr="00CB6AFC">
        <w:rPr>
          <w:sz w:val="22"/>
          <w:szCs w:val="22"/>
          <w:lang w:val="sr-Latn-ME"/>
        </w:rPr>
        <w:t xml:space="preserve">rastvora za infuziju </w:t>
      </w:r>
      <w:r w:rsidRPr="00CB6AFC">
        <w:rPr>
          <w:sz w:val="22"/>
          <w:szCs w:val="22"/>
          <w:lang w:val="sr-Latn-ME"/>
        </w:rPr>
        <w:t>što odgovara 1</w:t>
      </w:r>
      <w:r w:rsidR="00262294" w:rsidRPr="00CB6AFC">
        <w:rPr>
          <w:sz w:val="22"/>
          <w:szCs w:val="22"/>
          <w:lang w:val="sr-Latn-ME"/>
        </w:rPr>
        <w:t>.</w:t>
      </w:r>
      <w:r w:rsidRPr="00CB6AFC">
        <w:rPr>
          <w:sz w:val="22"/>
          <w:szCs w:val="22"/>
          <w:lang w:val="sr-Latn-ME"/>
        </w:rPr>
        <w:t>75% maksimalnog dnevnog unosa od 2 g natrijuma prema preporukama SZO za odraslu osobu.</w:t>
      </w:r>
    </w:p>
    <w:p w14:paraId="4DE214CE" w14:textId="77777777" w:rsidR="00AB31CA" w:rsidRPr="00CB6AFC" w:rsidRDefault="00AB31CA" w:rsidP="00DB62C3">
      <w:pPr>
        <w:tabs>
          <w:tab w:val="left" w:pos="540"/>
          <w:tab w:val="left" w:pos="569"/>
        </w:tabs>
        <w:jc w:val="both"/>
        <w:rPr>
          <w:sz w:val="22"/>
          <w:szCs w:val="22"/>
          <w:highlight w:val="yellow"/>
          <w:u w:val="single"/>
          <w:lang w:val="sr-Latn-ME"/>
        </w:rPr>
      </w:pPr>
    </w:p>
    <w:p w14:paraId="165240F0" w14:textId="77777777" w:rsidR="00411B4B" w:rsidRPr="00CB6AFC" w:rsidRDefault="00411B4B" w:rsidP="00DB62C3">
      <w:pPr>
        <w:tabs>
          <w:tab w:val="left" w:pos="540"/>
          <w:tab w:val="left" w:pos="569"/>
        </w:tabs>
        <w:jc w:val="both"/>
        <w:rPr>
          <w:b/>
          <w:bCs/>
          <w:sz w:val="22"/>
          <w:szCs w:val="22"/>
          <w:lang w:val="sr-Latn-ME"/>
        </w:rPr>
      </w:pPr>
      <w:r w:rsidRPr="00CB6AFC">
        <w:rPr>
          <w:b/>
          <w:bCs/>
          <w:sz w:val="22"/>
          <w:szCs w:val="22"/>
          <w:lang w:val="sr-Latn-ME"/>
        </w:rPr>
        <w:t>4.5.</w:t>
      </w:r>
      <w:r w:rsidR="000D60CC" w:rsidRPr="00CB6AFC">
        <w:rPr>
          <w:b/>
          <w:bCs/>
          <w:sz w:val="22"/>
          <w:szCs w:val="22"/>
          <w:lang w:val="sr-Latn-ME"/>
        </w:rPr>
        <w:tab/>
      </w:r>
      <w:r w:rsidRPr="00CB6AFC">
        <w:rPr>
          <w:b/>
          <w:bCs/>
          <w:sz w:val="22"/>
          <w:szCs w:val="22"/>
          <w:lang w:val="sr-Latn-ME"/>
        </w:rPr>
        <w:t>Interakcije sa drugim ljekovima i druge vrste interakcija</w:t>
      </w:r>
    </w:p>
    <w:p w14:paraId="165240F1" w14:textId="77777777" w:rsidR="0072020E" w:rsidRPr="00CB6AFC" w:rsidRDefault="0072020E" w:rsidP="00DB62C3">
      <w:pPr>
        <w:tabs>
          <w:tab w:val="left" w:pos="540"/>
          <w:tab w:val="left" w:pos="569"/>
        </w:tabs>
        <w:jc w:val="both"/>
        <w:rPr>
          <w:bCs/>
          <w:sz w:val="22"/>
          <w:szCs w:val="22"/>
          <w:lang w:val="sr-Latn-ME"/>
        </w:rPr>
      </w:pPr>
    </w:p>
    <w:p w14:paraId="0C7C3265" w14:textId="0983FA84" w:rsidR="0019129A" w:rsidRPr="00CB6AFC" w:rsidRDefault="0019129A" w:rsidP="00DB62C3">
      <w:pPr>
        <w:jc w:val="both"/>
        <w:rPr>
          <w:noProof/>
          <w:sz w:val="22"/>
          <w:szCs w:val="22"/>
          <w:lang w:val="sr-Latn-ME"/>
        </w:rPr>
      </w:pPr>
      <w:r w:rsidRPr="00CB6AFC">
        <w:rPr>
          <w:noProof/>
          <w:sz w:val="22"/>
          <w:szCs w:val="22"/>
          <w:lang w:val="sr-Latn-ME"/>
        </w:rPr>
        <w:t xml:space="preserve">Ovaj lijek </w:t>
      </w:r>
      <w:r w:rsidR="00262294" w:rsidRPr="00CB6AFC">
        <w:rPr>
          <w:noProof/>
          <w:sz w:val="22"/>
          <w:szCs w:val="22"/>
          <w:lang w:val="sr-Latn-ME"/>
        </w:rPr>
        <w:t>je kontraindikovan</w:t>
      </w:r>
      <w:r w:rsidRPr="00CB6AFC">
        <w:rPr>
          <w:noProof/>
          <w:sz w:val="22"/>
          <w:szCs w:val="22"/>
          <w:lang w:val="sr-Latn-ME"/>
        </w:rPr>
        <w:t xml:space="preserve"> u kombinaciji sa drugim ljekovima koji sadrže paracetamol, ibuprofen, acetilsalicilnu kiselinu, salicilate ili sa bilo kojim drugim antiinflamatornim ljekovima (NSAIL), osim po preporuci ljekara.</w:t>
      </w:r>
    </w:p>
    <w:p w14:paraId="13A60411" w14:textId="77777777" w:rsidR="0019129A" w:rsidRPr="00CB6AFC" w:rsidRDefault="0019129A" w:rsidP="00DB62C3">
      <w:pPr>
        <w:jc w:val="both"/>
        <w:rPr>
          <w:noProof/>
          <w:sz w:val="22"/>
          <w:szCs w:val="22"/>
          <w:lang w:val="sr-Latn-ME"/>
        </w:rPr>
      </w:pPr>
    </w:p>
    <w:p w14:paraId="62F6BC91" w14:textId="77777777" w:rsidR="0019129A" w:rsidRPr="00CB6AFC" w:rsidRDefault="0019129A" w:rsidP="00DB62C3">
      <w:pPr>
        <w:jc w:val="both"/>
        <w:rPr>
          <w:noProof/>
          <w:sz w:val="22"/>
          <w:szCs w:val="22"/>
          <w:u w:val="single"/>
          <w:lang w:val="sr-Latn-ME"/>
        </w:rPr>
      </w:pPr>
      <w:r w:rsidRPr="00CB6AFC">
        <w:rPr>
          <w:noProof/>
          <w:sz w:val="22"/>
          <w:szCs w:val="22"/>
          <w:u w:val="single"/>
          <w:lang w:val="sr-Latn-ME"/>
        </w:rPr>
        <w:t>Ibuprofen:</w:t>
      </w:r>
    </w:p>
    <w:p w14:paraId="2EACEFF4" w14:textId="4372A12F" w:rsidR="0019129A" w:rsidRPr="00CB6AFC" w:rsidRDefault="0019129A" w:rsidP="00DB62C3">
      <w:pPr>
        <w:jc w:val="both"/>
        <w:rPr>
          <w:noProof/>
          <w:sz w:val="22"/>
          <w:szCs w:val="22"/>
          <w:lang w:val="sr-Latn-ME"/>
        </w:rPr>
      </w:pPr>
      <w:r w:rsidRPr="00CB6AFC">
        <w:rPr>
          <w:noProof/>
          <w:sz w:val="22"/>
          <w:szCs w:val="22"/>
          <w:lang w:val="sr-Latn-ME"/>
        </w:rPr>
        <w:t xml:space="preserve">Kao i kod drugih ljekova koji sadrže ibuprofen, sljedeće kombinacije sa </w:t>
      </w:r>
      <w:r w:rsidR="00262294" w:rsidRPr="00CB6AFC">
        <w:rPr>
          <w:noProof/>
          <w:sz w:val="22"/>
          <w:szCs w:val="22"/>
          <w:lang w:val="sr-Latn-ME"/>
        </w:rPr>
        <w:t xml:space="preserve">lijekom </w:t>
      </w:r>
      <w:r w:rsidRPr="00CB6AFC">
        <w:rPr>
          <w:noProof/>
          <w:sz w:val="22"/>
          <w:szCs w:val="22"/>
          <w:lang w:val="sr-Latn-ME"/>
        </w:rPr>
        <w:t>Comboval 10 mg/ml + 3 mg/ml rastvor za infuziju treba izbjegavati:</w:t>
      </w:r>
    </w:p>
    <w:p w14:paraId="3B7E1EFC" w14:textId="77777777"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Dikumarolska grupa</w:t>
      </w:r>
      <w:r w:rsidRPr="00CB6AFC">
        <w:rPr>
          <w:noProof/>
          <w:sz w:val="22"/>
          <w:szCs w:val="22"/>
          <w:lang w:val="sr-Latn-ME"/>
        </w:rPr>
        <w:t>: NSAIL mogu pojačati efekat antikoagulanasa poput varfarina. Eksperimentalni podaci pokazuju da ibuprofen pojačava efekat varfarina na vrijeme krvarenja. NSAIL i dikumarolska grupa se metabolišu istim enzimom, CYP2C9.</w:t>
      </w:r>
    </w:p>
    <w:p w14:paraId="70777DFD" w14:textId="797B28FE"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Antitrombotici</w:t>
      </w:r>
      <w:r w:rsidRPr="00CB6AFC">
        <w:rPr>
          <w:noProof/>
          <w:sz w:val="22"/>
          <w:szCs w:val="22"/>
          <w:lang w:val="sr-Latn-ME"/>
        </w:rPr>
        <w:t>: NSAIL se ne smiju kombinovati sa antiagregacijskim supstancama poput tiklopidina zbog aditivne inhibicije funkcije trombocita (</w:t>
      </w:r>
      <w:r w:rsidR="00197CDD" w:rsidRPr="00CB6AFC">
        <w:rPr>
          <w:noProof/>
          <w:sz w:val="22"/>
          <w:szCs w:val="22"/>
          <w:lang w:val="sr-Latn-ME"/>
        </w:rPr>
        <w:t xml:space="preserve">vidjeti </w:t>
      </w:r>
      <w:r w:rsidRPr="00CB6AFC">
        <w:rPr>
          <w:noProof/>
          <w:sz w:val="22"/>
          <w:szCs w:val="22"/>
          <w:lang w:val="sr-Latn-ME"/>
        </w:rPr>
        <w:t>u nastavku).</w:t>
      </w:r>
    </w:p>
    <w:p w14:paraId="332947F3" w14:textId="14912B8B"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Metotreksat</w:t>
      </w:r>
      <w:r w:rsidRPr="00CB6AFC">
        <w:rPr>
          <w:noProof/>
          <w:sz w:val="22"/>
          <w:szCs w:val="22"/>
          <w:lang w:val="sr-Latn-ME"/>
        </w:rPr>
        <w:t>: NSAIL inhibiraju tubularnu sekreciju metotreksata, usljed čega može doći do izvjesne metaboličke interakcije sa smanjenim klirensom metotreksata. Rizik od moguće interakcije NSAIL i metotreksata takođe treba uzeti u obzir kod liječenja niskim dozama metotreksata, pogotovo kod pacijenata sa oštećenjem</w:t>
      </w:r>
      <w:r w:rsidR="00262294" w:rsidRPr="00CB6AFC">
        <w:rPr>
          <w:noProof/>
          <w:sz w:val="22"/>
          <w:szCs w:val="22"/>
          <w:lang w:val="sr-Latn-ME"/>
        </w:rPr>
        <w:t xml:space="preserve"> funkcije</w:t>
      </w:r>
      <w:r w:rsidRPr="00CB6AFC">
        <w:rPr>
          <w:noProof/>
          <w:sz w:val="22"/>
          <w:szCs w:val="22"/>
          <w:lang w:val="sr-Latn-ME"/>
        </w:rPr>
        <w:t xml:space="preserve"> bubrega. Kad god se kombinuje terapija, potrebno je pratiti funkciju bubrega. Ako se NSAIL i metotreksat </w:t>
      </w:r>
      <w:r w:rsidR="00262294" w:rsidRPr="00CB6AFC">
        <w:rPr>
          <w:noProof/>
          <w:sz w:val="22"/>
          <w:szCs w:val="22"/>
          <w:lang w:val="sr-Latn-ME"/>
        </w:rPr>
        <w:t>primjenjuju</w:t>
      </w:r>
      <w:r w:rsidRPr="00CB6AFC">
        <w:rPr>
          <w:noProof/>
          <w:sz w:val="22"/>
          <w:szCs w:val="22"/>
          <w:lang w:val="sr-Latn-ME"/>
        </w:rPr>
        <w:t xml:space="preserve"> u roku od 24 sata potreban je oprez, jer se </w:t>
      </w:r>
      <w:r w:rsidR="00262294" w:rsidRPr="00CB6AFC">
        <w:rPr>
          <w:noProof/>
          <w:sz w:val="22"/>
          <w:szCs w:val="22"/>
          <w:lang w:val="sr-Latn-ME"/>
        </w:rPr>
        <w:t>koncentracija</w:t>
      </w:r>
      <w:r w:rsidRPr="00CB6AFC">
        <w:rPr>
          <w:noProof/>
          <w:sz w:val="22"/>
          <w:szCs w:val="22"/>
          <w:lang w:val="sr-Latn-ME"/>
        </w:rPr>
        <w:t xml:space="preserve"> metotreksata u plazmi mo</w:t>
      </w:r>
      <w:r w:rsidR="00262294" w:rsidRPr="00CB6AFC">
        <w:rPr>
          <w:noProof/>
          <w:sz w:val="22"/>
          <w:szCs w:val="22"/>
          <w:lang w:val="sr-Latn-ME"/>
        </w:rPr>
        <w:t>že</w:t>
      </w:r>
      <w:r w:rsidRPr="00CB6AFC">
        <w:rPr>
          <w:noProof/>
          <w:sz w:val="22"/>
          <w:szCs w:val="22"/>
          <w:lang w:val="sr-Latn-ME"/>
        </w:rPr>
        <w:t xml:space="preserve"> povećati, usljed čega može doći do povećane toksičnosti. Prema tome, kod liječenja visokim dozama metotreksata uvijek treba izbjegavati propisivanje NSAIL.</w:t>
      </w:r>
    </w:p>
    <w:p w14:paraId="51BA04A0" w14:textId="1DA207A0"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Acetilsalicilna kiselina</w:t>
      </w:r>
      <w:r w:rsidRPr="00CB6AFC">
        <w:rPr>
          <w:noProof/>
          <w:sz w:val="22"/>
          <w:szCs w:val="22"/>
          <w:lang w:val="sr-Latn-ME"/>
        </w:rPr>
        <w:t xml:space="preserve">: Istovremena primjena ibuprofena i acetilsalicilne kiseline </w:t>
      </w:r>
      <w:r w:rsidRPr="00CB6AFC">
        <w:rPr>
          <w:sz w:val="22"/>
          <w:szCs w:val="22"/>
          <w:lang w:val="sr-Latn-ME"/>
        </w:rPr>
        <w:t>se generalno ne preporučuje</w:t>
      </w:r>
      <w:r w:rsidRPr="00CB6AFC">
        <w:rPr>
          <w:noProof/>
          <w:sz w:val="22"/>
          <w:szCs w:val="22"/>
          <w:lang w:val="sr-Latn-ME"/>
        </w:rPr>
        <w:t xml:space="preserve"> zbog veće mogućnosti neželjenih dejstava. Eksperimentalni podaci pokazuju da ibuprofen može kompetitivno inhibirati efekat niske doze acetilsalicilne kiseline na agregaciju trombocita, ako se ovi ljekovi uzimaju istovremeno. Iako postoje nesigurnosti oko ekstrapolacije ovih podataka </w:t>
      </w:r>
      <w:r w:rsidR="00197CDD" w:rsidRPr="00CB6AFC">
        <w:rPr>
          <w:noProof/>
          <w:sz w:val="22"/>
          <w:szCs w:val="22"/>
          <w:lang w:val="sr-Latn-ME"/>
        </w:rPr>
        <w:t xml:space="preserve">u </w:t>
      </w:r>
      <w:r w:rsidRPr="00CB6AFC">
        <w:rPr>
          <w:noProof/>
          <w:sz w:val="22"/>
          <w:szCs w:val="22"/>
          <w:lang w:val="sr-Latn-ME"/>
        </w:rPr>
        <w:t>kliničk</w:t>
      </w:r>
      <w:r w:rsidR="00197CDD" w:rsidRPr="00CB6AFC">
        <w:rPr>
          <w:noProof/>
          <w:sz w:val="22"/>
          <w:szCs w:val="22"/>
          <w:lang w:val="sr-Latn-ME"/>
        </w:rPr>
        <w:t>oj</w:t>
      </w:r>
      <w:r w:rsidRPr="00CB6AFC">
        <w:rPr>
          <w:noProof/>
          <w:sz w:val="22"/>
          <w:szCs w:val="22"/>
          <w:lang w:val="sr-Latn-ME"/>
        </w:rPr>
        <w:t xml:space="preserve"> praks</w:t>
      </w:r>
      <w:r w:rsidR="00197CDD" w:rsidRPr="00CB6AFC">
        <w:rPr>
          <w:noProof/>
          <w:sz w:val="22"/>
          <w:szCs w:val="22"/>
          <w:lang w:val="sr-Latn-ME"/>
        </w:rPr>
        <w:t>i</w:t>
      </w:r>
      <w:r w:rsidRPr="00CB6AFC">
        <w:rPr>
          <w:noProof/>
          <w:sz w:val="22"/>
          <w:szCs w:val="22"/>
          <w:lang w:val="sr-Latn-ME"/>
        </w:rPr>
        <w:t>, mogućnost da redovna, dugotrajna primjena ibuprofena može smanjiti kardioprotektivni efekat</w:t>
      </w:r>
      <w:r w:rsidR="00262294" w:rsidRPr="00CB6AFC">
        <w:rPr>
          <w:noProof/>
          <w:sz w:val="22"/>
          <w:szCs w:val="22"/>
          <w:lang w:val="sr-Latn-ME"/>
        </w:rPr>
        <w:t xml:space="preserve"> usljed primjene</w:t>
      </w:r>
      <w:r w:rsidRPr="00CB6AFC">
        <w:rPr>
          <w:noProof/>
          <w:sz w:val="22"/>
          <w:szCs w:val="22"/>
          <w:lang w:val="sr-Latn-ME"/>
        </w:rPr>
        <w:t xml:space="preserve"> niske doze acetilsalicilne kiseline ne može se isključiti. Smatra se da pri povremenom uzimanju ibuprofena klinički značajan efekat nije vjerovatan (</w:t>
      </w:r>
      <w:r w:rsidR="00197CDD" w:rsidRPr="00CB6AFC">
        <w:rPr>
          <w:noProof/>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noProof/>
          <w:sz w:val="22"/>
          <w:szCs w:val="22"/>
          <w:lang w:val="sr-Latn-ME"/>
        </w:rPr>
        <w:t>5.1).</w:t>
      </w:r>
    </w:p>
    <w:p w14:paraId="685055AC" w14:textId="45EA8DEC" w:rsidR="0019129A" w:rsidRPr="00CB6AFC" w:rsidRDefault="0019129A" w:rsidP="00DB62C3">
      <w:pPr>
        <w:numPr>
          <w:ilvl w:val="0"/>
          <w:numId w:val="13"/>
        </w:numPr>
        <w:ind w:left="426" w:hanging="426"/>
        <w:jc w:val="both"/>
        <w:rPr>
          <w:iCs/>
          <w:noProof/>
          <w:sz w:val="22"/>
          <w:szCs w:val="22"/>
          <w:lang w:val="sr-Latn-ME"/>
        </w:rPr>
      </w:pPr>
      <w:r w:rsidRPr="00CB6AFC">
        <w:rPr>
          <w:i/>
          <w:iCs/>
          <w:noProof/>
          <w:sz w:val="22"/>
          <w:szCs w:val="22"/>
          <w:lang w:val="sr-Latn-ME"/>
        </w:rPr>
        <w:t>Litijum</w:t>
      </w:r>
      <w:r w:rsidRPr="00CB6AFC">
        <w:rPr>
          <w:noProof/>
          <w:sz w:val="22"/>
          <w:szCs w:val="22"/>
          <w:lang w:val="sr-Latn-ME"/>
        </w:rPr>
        <w:t xml:space="preserve">: Ibuprofen smanjuje bubrežni klirens litijuma, zbog čega </w:t>
      </w:r>
      <w:r w:rsidR="00262294" w:rsidRPr="00CB6AFC">
        <w:rPr>
          <w:noProof/>
          <w:sz w:val="22"/>
          <w:szCs w:val="22"/>
          <w:lang w:val="sr-Latn-ME"/>
        </w:rPr>
        <w:t>koncentracija</w:t>
      </w:r>
      <w:r w:rsidRPr="00CB6AFC">
        <w:rPr>
          <w:noProof/>
          <w:sz w:val="22"/>
          <w:szCs w:val="22"/>
          <w:lang w:val="sr-Latn-ME"/>
        </w:rPr>
        <w:t xml:space="preserve"> litijuma u serumu može porasti. Kombinaciju treba izbjegavati, osim ako se mogu raditi česte provjere litijuma u serumu i prema potrebi smanjiti doze litijuma. </w:t>
      </w:r>
    </w:p>
    <w:p w14:paraId="6CF3A8BC" w14:textId="52536482"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Srčani glikozidi</w:t>
      </w:r>
      <w:r w:rsidRPr="00CB6AFC">
        <w:rPr>
          <w:noProof/>
          <w:sz w:val="22"/>
          <w:szCs w:val="22"/>
          <w:lang w:val="sr-Latn-ME"/>
        </w:rPr>
        <w:t xml:space="preserve">: NSAIL mogu pogoršati srčanu insuficijenciju, smanjiti glomerularnu filtraciju i povećati </w:t>
      </w:r>
      <w:r w:rsidR="00262294" w:rsidRPr="00CB6AFC">
        <w:rPr>
          <w:noProof/>
          <w:sz w:val="22"/>
          <w:szCs w:val="22"/>
          <w:lang w:val="sr-Latn-ME"/>
        </w:rPr>
        <w:t>koncentraciju</w:t>
      </w:r>
      <w:r w:rsidRPr="00CB6AFC">
        <w:rPr>
          <w:noProof/>
          <w:sz w:val="22"/>
          <w:szCs w:val="22"/>
          <w:lang w:val="sr-Latn-ME"/>
        </w:rPr>
        <w:t xml:space="preserve"> srčanih glikozida u plazmi (npr. digoksin).</w:t>
      </w:r>
    </w:p>
    <w:p w14:paraId="5A9D1ACC" w14:textId="6C0B5944"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Mifepriston</w:t>
      </w:r>
      <w:r w:rsidRPr="00CB6AFC">
        <w:rPr>
          <w:noProof/>
          <w:sz w:val="22"/>
          <w:szCs w:val="22"/>
          <w:lang w:val="sr-Latn-ME"/>
        </w:rPr>
        <w:t xml:space="preserve">: Do smanjenja </w:t>
      </w:r>
      <w:r w:rsidR="00262294" w:rsidRPr="00CB6AFC">
        <w:rPr>
          <w:noProof/>
          <w:sz w:val="22"/>
          <w:szCs w:val="22"/>
          <w:lang w:val="sr-Latn-ME"/>
        </w:rPr>
        <w:t>efikasnosti</w:t>
      </w:r>
      <w:r w:rsidRPr="00CB6AFC">
        <w:rPr>
          <w:noProof/>
          <w:sz w:val="22"/>
          <w:szCs w:val="22"/>
          <w:lang w:val="sr-Latn-ME"/>
        </w:rPr>
        <w:t xml:space="preserve"> lijeka teoretski može doći zbog antiprostaglandinskih svojstava nesteroidnih antiinflamatornih ljekova (NSAIL), uključujući i acetilsalicilnu kiselinu. Ograničeni dokazi upućuju na to da istovremena primjena NSAIL na dan primjene prostaglandina ne utiče negativno na efekte mifepristona ili prostaglandina na dozrijevanje cerviksa ili kontraktilnost materice i ne smanjuje kliničku </w:t>
      </w:r>
      <w:r w:rsidR="00262294" w:rsidRPr="00CB6AFC">
        <w:rPr>
          <w:noProof/>
          <w:sz w:val="22"/>
          <w:szCs w:val="22"/>
          <w:lang w:val="sr-Latn-ME"/>
        </w:rPr>
        <w:t>efikasnost</w:t>
      </w:r>
      <w:r w:rsidRPr="00CB6AFC">
        <w:rPr>
          <w:noProof/>
          <w:sz w:val="22"/>
          <w:szCs w:val="22"/>
          <w:lang w:val="sr-Latn-ME"/>
        </w:rPr>
        <w:t xml:space="preserve"> medicinskog prekida trudnoće.</w:t>
      </w:r>
    </w:p>
    <w:p w14:paraId="5819F088" w14:textId="3389FEC2"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ACE inhibitori i antagonisti angiotenzina II</w:t>
      </w:r>
      <w:r w:rsidRPr="00CB6AFC">
        <w:rPr>
          <w:noProof/>
          <w:sz w:val="22"/>
          <w:szCs w:val="22"/>
          <w:lang w:val="sr-Latn-ME"/>
        </w:rPr>
        <w:t>: Postoji povećan rizik od akutne insuficijencije bubrega, koja je najčešće reverzibilna, kod pacijenata sa oslabljenom funkcijom bubrega (npr. dehidrirani pacijenti i/ili stariji pacijenti) ako se istovremeno prim</w:t>
      </w:r>
      <w:r w:rsidR="00262294" w:rsidRPr="00CB6AFC">
        <w:rPr>
          <w:noProof/>
          <w:sz w:val="22"/>
          <w:szCs w:val="22"/>
          <w:lang w:val="sr-Latn-ME"/>
        </w:rPr>
        <w:t>j</w:t>
      </w:r>
      <w:r w:rsidRPr="00CB6AFC">
        <w:rPr>
          <w:noProof/>
          <w:sz w:val="22"/>
          <w:szCs w:val="22"/>
          <w:lang w:val="sr-Latn-ME"/>
        </w:rPr>
        <w:t xml:space="preserve">ene ACE inhibitori ili antagonisti angiotenzina II sa NSAIL, uključujući selektivne inhibitore ciklooksigenaze-2. Stoga, pri istovremenoj primjeni, potreban je oprez kod pacijenata sa oslabljenom funkcijom bubrega, pogotovo kod starijih pacijenata. Pacijenti treba da budu odgovarajuće hidrirani i potrebno je </w:t>
      </w:r>
      <w:r w:rsidRPr="00CB6AFC">
        <w:rPr>
          <w:noProof/>
          <w:sz w:val="22"/>
          <w:szCs w:val="22"/>
          <w:lang w:val="sr-Latn-ME"/>
        </w:rPr>
        <w:lastRenderedPageBreak/>
        <w:t xml:space="preserve">razmotriti mogućnost praćenja funkcije bubrega na početku </w:t>
      </w:r>
      <w:r w:rsidR="00262294" w:rsidRPr="00CB6AFC">
        <w:rPr>
          <w:noProof/>
          <w:sz w:val="22"/>
          <w:szCs w:val="22"/>
          <w:lang w:val="sr-Latn-ME"/>
        </w:rPr>
        <w:t xml:space="preserve">primjene </w:t>
      </w:r>
      <w:r w:rsidRPr="00CB6AFC">
        <w:rPr>
          <w:noProof/>
          <w:sz w:val="22"/>
          <w:szCs w:val="22"/>
          <w:lang w:val="sr-Latn-ME"/>
        </w:rPr>
        <w:t xml:space="preserve">kombinovanog liječenja </w:t>
      </w:r>
      <w:r w:rsidR="00262294" w:rsidRPr="00CB6AFC">
        <w:rPr>
          <w:noProof/>
          <w:sz w:val="22"/>
          <w:szCs w:val="22"/>
          <w:lang w:val="sr-Latn-ME"/>
        </w:rPr>
        <w:t xml:space="preserve">kao </w:t>
      </w:r>
      <w:r w:rsidRPr="00CB6AFC">
        <w:rPr>
          <w:noProof/>
          <w:sz w:val="22"/>
          <w:szCs w:val="22"/>
          <w:lang w:val="sr-Latn-ME"/>
        </w:rPr>
        <w:t>i redovno tokom liječenja (</w:t>
      </w:r>
      <w:r w:rsidR="00197CDD" w:rsidRPr="00CB6AFC">
        <w:rPr>
          <w:noProof/>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noProof/>
          <w:sz w:val="22"/>
          <w:szCs w:val="22"/>
          <w:lang w:val="sr-Latn-ME"/>
        </w:rPr>
        <w:t>4.4).</w:t>
      </w:r>
    </w:p>
    <w:p w14:paraId="762D64E0" w14:textId="29E10D29"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Beta blokatori</w:t>
      </w:r>
      <w:r w:rsidRPr="00CB6AFC">
        <w:rPr>
          <w:noProof/>
          <w:sz w:val="22"/>
          <w:szCs w:val="22"/>
          <w:lang w:val="sr-Latn-ME"/>
        </w:rPr>
        <w:t xml:space="preserve">: NSAIL </w:t>
      </w:r>
      <w:r w:rsidR="004424F0" w:rsidRPr="00CB6AFC">
        <w:rPr>
          <w:noProof/>
          <w:sz w:val="22"/>
          <w:szCs w:val="22"/>
          <w:lang w:val="sr-Latn-ME"/>
        </w:rPr>
        <w:t>djeluju na</w:t>
      </w:r>
      <w:r w:rsidRPr="00CB6AFC">
        <w:rPr>
          <w:noProof/>
          <w:sz w:val="22"/>
          <w:szCs w:val="22"/>
          <w:lang w:val="sr-Latn-ME"/>
        </w:rPr>
        <w:t xml:space="preserve"> antihipertenzivni efekat ljekova koji blokiraju beta adrenoceptore.</w:t>
      </w:r>
    </w:p>
    <w:p w14:paraId="4683CC8D" w14:textId="77777777"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Sulfonilurea</w:t>
      </w:r>
      <w:r w:rsidRPr="00CB6AFC">
        <w:rPr>
          <w:noProof/>
          <w:sz w:val="22"/>
          <w:szCs w:val="22"/>
          <w:lang w:val="sr-Latn-ME"/>
        </w:rPr>
        <w:t>: Zabiljeleženo je nekoliko slučajeva hipoglikemije kod pacijenata koji uzimaju sulfonilureu i ibuprofen.</w:t>
      </w:r>
    </w:p>
    <w:p w14:paraId="494B1BB5" w14:textId="39C29DBC"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Zidovudin</w:t>
      </w:r>
      <w:r w:rsidRPr="00CB6AFC">
        <w:rPr>
          <w:noProof/>
          <w:sz w:val="22"/>
          <w:szCs w:val="22"/>
          <w:lang w:val="sr-Latn-ME"/>
        </w:rPr>
        <w:t xml:space="preserve">: Dokazano je da kod HIV-pozitivnih pacijenata sa hemofilijom </w:t>
      </w:r>
      <w:r w:rsidR="004424F0" w:rsidRPr="00CB6AFC">
        <w:rPr>
          <w:noProof/>
          <w:sz w:val="22"/>
          <w:szCs w:val="22"/>
          <w:lang w:val="sr-Latn-ME"/>
        </w:rPr>
        <w:t>primjenom</w:t>
      </w:r>
      <w:r w:rsidRPr="00CB6AFC">
        <w:rPr>
          <w:noProof/>
          <w:sz w:val="22"/>
          <w:szCs w:val="22"/>
          <w:lang w:val="sr-Latn-ME"/>
        </w:rPr>
        <w:t xml:space="preserve"> ibuprofena sa zidovudinom dovodi do povećanog rizika od nastanka hemartroza i hematoma.</w:t>
      </w:r>
    </w:p>
    <w:p w14:paraId="6172CA77" w14:textId="5E08FC0F"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Hinolonski antibiotici</w:t>
      </w:r>
      <w:r w:rsidRPr="00CB6AFC">
        <w:rPr>
          <w:noProof/>
          <w:sz w:val="22"/>
          <w:szCs w:val="22"/>
          <w:lang w:val="sr-Latn-ME"/>
        </w:rPr>
        <w:t xml:space="preserve">: Ispitivanja na životinjama pokazala su da NSAIL mogu povećati rizik od konvulzija povezanih sa hinolonskim antibioticima. Pacijenti koji </w:t>
      </w:r>
      <w:r w:rsidR="004424F0" w:rsidRPr="00CB6AFC">
        <w:rPr>
          <w:noProof/>
          <w:sz w:val="22"/>
          <w:szCs w:val="22"/>
          <w:lang w:val="sr-Latn-ME"/>
        </w:rPr>
        <w:t>su na terapiji</w:t>
      </w:r>
      <w:r w:rsidRPr="00CB6AFC">
        <w:rPr>
          <w:noProof/>
          <w:sz w:val="22"/>
          <w:szCs w:val="22"/>
          <w:lang w:val="sr-Latn-ME"/>
        </w:rPr>
        <w:t xml:space="preserve"> NSAIL i hinolonsk</w:t>
      </w:r>
      <w:r w:rsidR="004424F0" w:rsidRPr="00CB6AFC">
        <w:rPr>
          <w:noProof/>
          <w:sz w:val="22"/>
          <w:szCs w:val="22"/>
          <w:lang w:val="sr-Latn-ME"/>
        </w:rPr>
        <w:t>im</w:t>
      </w:r>
      <w:r w:rsidRPr="00CB6AFC">
        <w:rPr>
          <w:noProof/>
          <w:sz w:val="22"/>
          <w:szCs w:val="22"/>
          <w:lang w:val="sr-Latn-ME"/>
        </w:rPr>
        <w:t xml:space="preserve"> antibioti</w:t>
      </w:r>
      <w:r w:rsidR="004424F0" w:rsidRPr="00CB6AFC">
        <w:rPr>
          <w:noProof/>
          <w:sz w:val="22"/>
          <w:szCs w:val="22"/>
          <w:lang w:val="sr-Latn-ME"/>
        </w:rPr>
        <w:t>cima</w:t>
      </w:r>
      <w:r w:rsidRPr="00CB6AFC">
        <w:rPr>
          <w:noProof/>
          <w:sz w:val="22"/>
          <w:szCs w:val="22"/>
          <w:lang w:val="sr-Latn-ME"/>
        </w:rPr>
        <w:t xml:space="preserve"> mogu imati povećan rizik od razvoja konvulzija.  </w:t>
      </w:r>
    </w:p>
    <w:p w14:paraId="0BCE1DA9" w14:textId="77777777"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Tiazidi, tiazidima srodni diuretici i diuretici Henleove petlje</w:t>
      </w:r>
      <w:r w:rsidRPr="00CB6AFC">
        <w:rPr>
          <w:noProof/>
          <w:sz w:val="22"/>
          <w:szCs w:val="22"/>
          <w:lang w:val="sr-Latn-ME"/>
        </w:rPr>
        <w:t>: NSAIL mogu smanjiti diuretički efekat furosemida i bumetanida, vjerovatno inhibicijom sinteze prostaglandina. Takođe mogu smanjiti antihipertenzivni efekat tiazida.</w:t>
      </w:r>
    </w:p>
    <w:p w14:paraId="7D549B7B" w14:textId="77777777"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Diuretici koji štede kalijum</w:t>
      </w:r>
      <w:r w:rsidRPr="00CB6AFC">
        <w:rPr>
          <w:noProof/>
          <w:sz w:val="22"/>
          <w:szCs w:val="22"/>
          <w:lang w:val="sr-Latn-ME"/>
        </w:rPr>
        <w:t>: Istovremena primjena može dovesti do hiperkalijemije.</w:t>
      </w:r>
    </w:p>
    <w:p w14:paraId="31DDBBA4" w14:textId="77777777"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Aminoglikozidi</w:t>
      </w:r>
      <w:r w:rsidRPr="00CB6AFC">
        <w:rPr>
          <w:noProof/>
          <w:sz w:val="22"/>
          <w:szCs w:val="22"/>
          <w:lang w:val="sr-Latn-ME"/>
        </w:rPr>
        <w:t>: NSAIL mogu smanjiti izlučivanje aminoglikozida.</w:t>
      </w:r>
    </w:p>
    <w:p w14:paraId="22744318" w14:textId="08BF1594" w:rsidR="0019129A" w:rsidRPr="00CB6AFC" w:rsidRDefault="0019129A" w:rsidP="00DB62C3">
      <w:pPr>
        <w:numPr>
          <w:ilvl w:val="0"/>
          <w:numId w:val="13"/>
        </w:numPr>
        <w:ind w:left="426" w:hanging="426"/>
        <w:jc w:val="both"/>
        <w:rPr>
          <w:noProof/>
          <w:sz w:val="22"/>
          <w:szCs w:val="22"/>
          <w:lang w:val="sr-Latn-ME"/>
        </w:rPr>
      </w:pPr>
      <w:r w:rsidRPr="00CB6AFC">
        <w:rPr>
          <w:i/>
          <w:noProof/>
          <w:sz w:val="22"/>
          <w:szCs w:val="22"/>
          <w:lang w:val="sr-Latn-ME"/>
        </w:rPr>
        <w:t xml:space="preserve">Selektivni inhibitori </w:t>
      </w:r>
      <w:r w:rsidR="004424F0" w:rsidRPr="00CB6AFC">
        <w:rPr>
          <w:i/>
          <w:noProof/>
          <w:sz w:val="22"/>
          <w:szCs w:val="22"/>
          <w:lang w:val="sr-Latn-ME"/>
        </w:rPr>
        <w:t>ponovnog</w:t>
      </w:r>
      <w:r w:rsidRPr="00CB6AFC">
        <w:rPr>
          <w:i/>
          <w:noProof/>
          <w:sz w:val="22"/>
          <w:szCs w:val="22"/>
          <w:lang w:val="sr-Latn-ME"/>
        </w:rPr>
        <w:t xml:space="preserve"> preuzimanja serotonina (SSRI)</w:t>
      </w:r>
      <w:r w:rsidRPr="00CB6AFC">
        <w:rPr>
          <w:noProof/>
          <w:sz w:val="22"/>
          <w:szCs w:val="22"/>
          <w:lang w:val="sr-Latn-ME"/>
        </w:rPr>
        <w:t xml:space="preserve">: I SSRI i NSAIL uzrokuju povećani rizik od krvarenja, npr. iz gastrointestinalnog trakta. Taj se rizik povećava </w:t>
      </w:r>
      <w:r w:rsidR="004424F0" w:rsidRPr="00CB6AFC">
        <w:rPr>
          <w:noProof/>
          <w:sz w:val="22"/>
          <w:szCs w:val="22"/>
          <w:lang w:val="sr-Latn-ME"/>
        </w:rPr>
        <w:t>primjenom</w:t>
      </w:r>
      <w:r w:rsidRPr="00CB6AFC">
        <w:rPr>
          <w:noProof/>
          <w:sz w:val="22"/>
          <w:szCs w:val="22"/>
          <w:lang w:val="sr-Latn-ME"/>
        </w:rPr>
        <w:t xml:space="preserve"> kombinovane terapije. Mehanizam može biti povezan sa smanjenim preuzimanjem serotonina u trombocite (</w:t>
      </w:r>
      <w:r w:rsidR="00197CDD" w:rsidRPr="00CB6AFC">
        <w:rPr>
          <w:noProof/>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noProof/>
          <w:sz w:val="22"/>
          <w:szCs w:val="22"/>
          <w:lang w:val="sr-Latn-ME"/>
        </w:rPr>
        <w:t>4.4).</w:t>
      </w:r>
    </w:p>
    <w:p w14:paraId="613EB241" w14:textId="644FC2A6"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Ciklosporin</w:t>
      </w:r>
      <w:r w:rsidRPr="00CB6AFC">
        <w:rPr>
          <w:noProof/>
          <w:sz w:val="22"/>
          <w:szCs w:val="22"/>
          <w:lang w:val="sr-Latn-ME"/>
        </w:rPr>
        <w:t>: Smatra se da istovremena primjena NSAIL i ciklosporina može povećati rizik od nefrotoksičnosti usl</w:t>
      </w:r>
      <w:r w:rsidR="004424F0" w:rsidRPr="00CB6AFC">
        <w:rPr>
          <w:noProof/>
          <w:sz w:val="22"/>
          <w:szCs w:val="22"/>
          <w:lang w:val="sr-Latn-ME"/>
        </w:rPr>
        <w:t>j</w:t>
      </w:r>
      <w:r w:rsidRPr="00CB6AFC">
        <w:rPr>
          <w:noProof/>
          <w:sz w:val="22"/>
          <w:szCs w:val="22"/>
          <w:lang w:val="sr-Latn-ME"/>
        </w:rPr>
        <w:t xml:space="preserve">ed smanjene sinteze prostaciklina u bubregu. U skladu s tim, u slučaju </w:t>
      </w:r>
      <w:r w:rsidR="004424F0" w:rsidRPr="00CB6AFC">
        <w:rPr>
          <w:noProof/>
          <w:sz w:val="22"/>
          <w:szCs w:val="22"/>
          <w:lang w:val="sr-Latn-ME"/>
        </w:rPr>
        <w:t xml:space="preserve">primjene </w:t>
      </w:r>
      <w:r w:rsidRPr="00CB6AFC">
        <w:rPr>
          <w:noProof/>
          <w:sz w:val="22"/>
          <w:szCs w:val="22"/>
          <w:lang w:val="sr-Latn-ME"/>
        </w:rPr>
        <w:t>kombinovanog liječenja, bubrežna funkcija mora se pažljivo pratiti.</w:t>
      </w:r>
    </w:p>
    <w:p w14:paraId="3D494CD8" w14:textId="77777777"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Kaptopril</w:t>
      </w:r>
      <w:r w:rsidRPr="00CB6AFC">
        <w:rPr>
          <w:noProof/>
          <w:sz w:val="22"/>
          <w:szCs w:val="22"/>
          <w:lang w:val="sr-Latn-ME"/>
        </w:rPr>
        <w:t>: Eksperimentalni podaci pokazuju da ibuprofen suzbija efekat kaptoprila na izlučivanje natrijuma.</w:t>
      </w:r>
    </w:p>
    <w:p w14:paraId="4015BD28" w14:textId="77777777"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Takrolimus</w:t>
      </w:r>
      <w:r w:rsidRPr="00CB6AFC">
        <w:rPr>
          <w:noProof/>
          <w:sz w:val="22"/>
          <w:szCs w:val="22"/>
          <w:lang w:val="sr-Latn-ME"/>
        </w:rPr>
        <w:t>: Smatra se da istovremena primjena NSAIL i takrolimusa može povećati rizik od nefrotoksičnosti zbog smanjene sinteze prostaciklina u bubregu. U skladu s tim, u slučaju kombinovanog liječenja, bubrežna funkcija mora se pažljivo pratiti.</w:t>
      </w:r>
    </w:p>
    <w:p w14:paraId="1D067456" w14:textId="77777777"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Kortikosteroidi</w:t>
      </w:r>
      <w:r w:rsidRPr="00CB6AFC">
        <w:rPr>
          <w:noProof/>
          <w:sz w:val="22"/>
          <w:szCs w:val="22"/>
          <w:lang w:val="sr-Latn-ME"/>
        </w:rPr>
        <w:t>: Istovremenim liječenjem povećava se rizik od gastrointestinalnih ulceracija ili krvarenja.</w:t>
      </w:r>
    </w:p>
    <w:p w14:paraId="1BA9C1B0" w14:textId="77777777"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CYP2C9 inhibitori</w:t>
      </w:r>
      <w:r w:rsidRPr="00CB6AFC">
        <w:rPr>
          <w:noProof/>
          <w:sz w:val="22"/>
          <w:szCs w:val="22"/>
          <w:lang w:val="sr-Latn-ME"/>
        </w:rPr>
        <w:t>: Istovremena primjena ibuprofena sa inhibitorima CYP2C9 može povećati izloženost ibuprofenu (supstrat CYP2C9). U ispitivanju sa vorikonazolom i flukonazolom (inhibitorima CYP2C9) prikazano je povećano izlaganje S (+) - ibuprofenu za oko 80 do 100%. Smanjivanje doze ibuprofena trebalo bi razmotriti kada se istovremeno primjenjuju snažni inhibitori CYP2C9, naročito ako se ibuprofen u visokoj dozi daje sa vorikonazolom ili flukonazolom.</w:t>
      </w:r>
    </w:p>
    <w:p w14:paraId="5A784A7D" w14:textId="3BC3FBB3"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Fenitoin</w:t>
      </w:r>
      <w:r w:rsidRPr="00CB6AFC">
        <w:rPr>
          <w:noProof/>
          <w:sz w:val="22"/>
          <w:szCs w:val="22"/>
          <w:lang w:val="sr-Latn-ME"/>
        </w:rPr>
        <w:t xml:space="preserve">: </w:t>
      </w:r>
      <w:r w:rsidR="00EE45F4" w:rsidRPr="00CB6AFC">
        <w:rPr>
          <w:noProof/>
          <w:sz w:val="22"/>
          <w:szCs w:val="22"/>
          <w:lang w:val="sr-Latn-ME"/>
        </w:rPr>
        <w:t>Koncentracije</w:t>
      </w:r>
      <w:r w:rsidRPr="00CB6AFC">
        <w:rPr>
          <w:noProof/>
          <w:sz w:val="22"/>
          <w:szCs w:val="22"/>
          <w:lang w:val="sr-Latn-ME"/>
        </w:rPr>
        <w:t xml:space="preserve"> fenitoina u plazmi mogu se povećati tokom istovremenog liječenja ibuprofenom i stoga </w:t>
      </w:r>
      <w:r w:rsidR="00EE45F4" w:rsidRPr="00CB6AFC">
        <w:rPr>
          <w:noProof/>
          <w:sz w:val="22"/>
          <w:szCs w:val="22"/>
          <w:lang w:val="sr-Latn-ME"/>
        </w:rPr>
        <w:t xml:space="preserve">se </w:t>
      </w:r>
      <w:r w:rsidRPr="00CB6AFC">
        <w:rPr>
          <w:noProof/>
          <w:sz w:val="22"/>
          <w:szCs w:val="22"/>
          <w:lang w:val="sr-Latn-ME"/>
        </w:rPr>
        <w:t>rizik od toksičnosti može po</w:t>
      </w:r>
      <w:r w:rsidR="00EE45F4" w:rsidRPr="00CB6AFC">
        <w:rPr>
          <w:noProof/>
          <w:sz w:val="22"/>
          <w:szCs w:val="22"/>
          <w:lang w:val="sr-Latn-ME"/>
        </w:rPr>
        <w:t>većati</w:t>
      </w:r>
      <w:r w:rsidRPr="00CB6AFC">
        <w:rPr>
          <w:noProof/>
          <w:sz w:val="22"/>
          <w:szCs w:val="22"/>
          <w:lang w:val="sr-Latn-ME"/>
        </w:rPr>
        <w:t>.</w:t>
      </w:r>
    </w:p>
    <w:p w14:paraId="53CE772C" w14:textId="77777777"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Probenecid i sulfinpirazon</w:t>
      </w:r>
      <w:r w:rsidRPr="00CB6AFC">
        <w:rPr>
          <w:noProof/>
          <w:sz w:val="22"/>
          <w:szCs w:val="22"/>
          <w:lang w:val="sr-Latn-ME"/>
        </w:rPr>
        <w:t>: Ljekovi koji sadrže probenecid ili sulfinpirazon mogu odložiti izlučivanje ibuprofena.</w:t>
      </w:r>
    </w:p>
    <w:p w14:paraId="32BEC40D" w14:textId="77777777" w:rsidR="0019129A" w:rsidRPr="00CB6AFC" w:rsidRDefault="0019129A" w:rsidP="00DB62C3">
      <w:pPr>
        <w:numPr>
          <w:ilvl w:val="0"/>
          <w:numId w:val="13"/>
        </w:numPr>
        <w:ind w:left="426" w:hanging="426"/>
        <w:jc w:val="both"/>
        <w:rPr>
          <w:noProof/>
          <w:sz w:val="22"/>
          <w:szCs w:val="22"/>
          <w:lang w:val="sr-Latn-ME"/>
        </w:rPr>
      </w:pPr>
      <w:r w:rsidRPr="00CB6AFC">
        <w:rPr>
          <w:i/>
          <w:iCs/>
          <w:noProof/>
          <w:sz w:val="22"/>
          <w:szCs w:val="22"/>
          <w:lang w:val="sr-Latn-ME"/>
        </w:rPr>
        <w:t>Biljni ekstrakti</w:t>
      </w:r>
      <w:r w:rsidRPr="00CB6AFC">
        <w:rPr>
          <w:noProof/>
          <w:sz w:val="22"/>
          <w:szCs w:val="22"/>
          <w:lang w:val="sr-Latn-ME"/>
        </w:rPr>
        <w:t>: Ginkgo biloba može povećati rizik od krvarenja kod istovremene primjene sa NSAIL.</w:t>
      </w:r>
    </w:p>
    <w:p w14:paraId="5B74043B" w14:textId="77777777" w:rsidR="0019129A" w:rsidRPr="00CB6AFC" w:rsidRDefault="0019129A" w:rsidP="00DB62C3">
      <w:pPr>
        <w:jc w:val="both"/>
        <w:rPr>
          <w:noProof/>
          <w:sz w:val="22"/>
          <w:szCs w:val="22"/>
          <w:lang w:val="sr-Latn-ME"/>
        </w:rPr>
      </w:pPr>
    </w:p>
    <w:p w14:paraId="0CD33FA7" w14:textId="77777777" w:rsidR="0019129A" w:rsidRPr="00CB6AFC" w:rsidRDefault="0019129A" w:rsidP="00DB62C3">
      <w:pPr>
        <w:jc w:val="both"/>
        <w:rPr>
          <w:noProof/>
          <w:sz w:val="22"/>
          <w:szCs w:val="22"/>
          <w:u w:val="single"/>
          <w:lang w:val="sr-Latn-ME"/>
        </w:rPr>
      </w:pPr>
      <w:r w:rsidRPr="00CB6AFC">
        <w:rPr>
          <w:noProof/>
          <w:sz w:val="22"/>
          <w:szCs w:val="22"/>
          <w:u w:val="single"/>
          <w:lang w:val="sr-Latn-ME"/>
        </w:rPr>
        <w:t>Paracetamol:</w:t>
      </w:r>
    </w:p>
    <w:p w14:paraId="1F3D9295" w14:textId="689BE2C2" w:rsidR="0019129A" w:rsidRPr="00CB6AFC" w:rsidRDefault="0019129A" w:rsidP="00DB62C3">
      <w:pPr>
        <w:numPr>
          <w:ilvl w:val="0"/>
          <w:numId w:val="15"/>
        </w:numPr>
        <w:ind w:left="426" w:hanging="426"/>
        <w:jc w:val="both"/>
        <w:rPr>
          <w:noProof/>
          <w:sz w:val="22"/>
          <w:szCs w:val="22"/>
          <w:lang w:val="sr-Latn-ME"/>
        </w:rPr>
      </w:pPr>
      <w:r w:rsidRPr="00CB6AFC">
        <w:rPr>
          <w:noProof/>
          <w:sz w:val="22"/>
          <w:szCs w:val="22"/>
          <w:lang w:val="sr-Latn-ME"/>
        </w:rPr>
        <w:t>Probenecid izaziva skoro dvostruko smanjenje klirensa paracetamola tako što inhibira njegovu konjugaciju sa glukuronskom kiselinom. Kod istovremene primjene sa probenecidom, treba</w:t>
      </w:r>
      <w:r w:rsidR="00EE45F4" w:rsidRPr="00CB6AFC">
        <w:rPr>
          <w:noProof/>
          <w:sz w:val="22"/>
          <w:szCs w:val="22"/>
          <w:lang w:val="sr-Latn-ME"/>
        </w:rPr>
        <w:t xml:space="preserve"> razmotriti</w:t>
      </w:r>
      <w:r w:rsidRPr="00CB6AFC">
        <w:rPr>
          <w:noProof/>
          <w:sz w:val="22"/>
          <w:szCs w:val="22"/>
          <w:lang w:val="sr-Latn-ME"/>
        </w:rPr>
        <w:t xml:space="preserve"> smanj</w:t>
      </w:r>
      <w:r w:rsidR="00EE45F4" w:rsidRPr="00CB6AFC">
        <w:rPr>
          <w:noProof/>
          <w:sz w:val="22"/>
          <w:szCs w:val="22"/>
          <w:lang w:val="sr-Latn-ME"/>
        </w:rPr>
        <w:t>enje</w:t>
      </w:r>
      <w:r w:rsidRPr="00CB6AFC">
        <w:rPr>
          <w:noProof/>
          <w:sz w:val="22"/>
          <w:szCs w:val="22"/>
          <w:lang w:val="sr-Latn-ME"/>
        </w:rPr>
        <w:t xml:space="preserve"> doze paracetamola.</w:t>
      </w:r>
    </w:p>
    <w:p w14:paraId="182D185A" w14:textId="3F57196C" w:rsidR="0019129A" w:rsidRPr="00CB6AFC" w:rsidRDefault="0019129A" w:rsidP="00DB62C3">
      <w:pPr>
        <w:numPr>
          <w:ilvl w:val="0"/>
          <w:numId w:val="15"/>
        </w:numPr>
        <w:ind w:left="426" w:hanging="426"/>
        <w:jc w:val="both"/>
        <w:rPr>
          <w:noProof/>
          <w:sz w:val="22"/>
          <w:szCs w:val="22"/>
          <w:lang w:val="sr-Latn-ME"/>
        </w:rPr>
      </w:pPr>
      <w:r w:rsidRPr="00CB6AFC">
        <w:rPr>
          <w:noProof/>
          <w:sz w:val="22"/>
          <w:szCs w:val="22"/>
          <w:lang w:val="sr-Latn-ME"/>
        </w:rPr>
        <w:t xml:space="preserve">Ljekovi koji indukuju enzime, poput određenih antiepileptika (fenitoin, fenobarbital, karbamazepin) smanjuju </w:t>
      </w:r>
      <w:r w:rsidR="00EE45F4" w:rsidRPr="00CB6AFC">
        <w:rPr>
          <w:noProof/>
          <w:sz w:val="22"/>
          <w:szCs w:val="22"/>
          <w:lang w:val="sr-Latn-ME"/>
        </w:rPr>
        <w:t>PIK</w:t>
      </w:r>
      <w:r w:rsidRPr="00CB6AFC">
        <w:rPr>
          <w:noProof/>
          <w:sz w:val="22"/>
          <w:szCs w:val="22"/>
          <w:lang w:val="sr-Latn-ME"/>
        </w:rPr>
        <w:t xml:space="preserve"> paracetamola u plazmi za približno 60% u farmakokinetičkim ispitivanjima. Ostale supstance koje imaju svojstvo indukovanja enzima (tj. rifampicin, </w:t>
      </w:r>
      <w:r w:rsidRPr="00CB6AFC">
        <w:rPr>
          <w:i/>
          <w:iCs/>
          <w:noProof/>
          <w:sz w:val="22"/>
          <w:szCs w:val="22"/>
          <w:lang w:val="sr-Latn-ME"/>
        </w:rPr>
        <w:t>Hypericum</w:t>
      </w:r>
      <w:r w:rsidRPr="00CB6AFC">
        <w:rPr>
          <w:noProof/>
          <w:sz w:val="22"/>
          <w:szCs w:val="22"/>
          <w:lang w:val="sr-Latn-ME"/>
        </w:rPr>
        <w:t xml:space="preserve">) takođe mogu dovesti do smanjenja koncentracija paracetamola. Osim toga, rizik od oštećenja </w:t>
      </w:r>
      <w:r w:rsidR="00EE45F4" w:rsidRPr="00CB6AFC">
        <w:rPr>
          <w:noProof/>
          <w:sz w:val="22"/>
          <w:szCs w:val="22"/>
          <w:lang w:val="sr-Latn-ME"/>
        </w:rPr>
        <w:t xml:space="preserve">funkcije </w:t>
      </w:r>
      <w:r w:rsidRPr="00CB6AFC">
        <w:rPr>
          <w:noProof/>
          <w:sz w:val="22"/>
          <w:szCs w:val="22"/>
          <w:lang w:val="sr-Latn-ME"/>
        </w:rPr>
        <w:t>jetre tokom liječenja najvećom preporučenom dozom paracetamola vjerovatno je veći kod pacijenata koji uzimaju ljekove koji indukuju enzime.</w:t>
      </w:r>
    </w:p>
    <w:p w14:paraId="150BED58" w14:textId="77777777" w:rsidR="0019129A" w:rsidRPr="00CB6AFC" w:rsidRDefault="0019129A" w:rsidP="00DB62C3">
      <w:pPr>
        <w:numPr>
          <w:ilvl w:val="0"/>
          <w:numId w:val="15"/>
        </w:numPr>
        <w:ind w:left="426" w:hanging="426"/>
        <w:jc w:val="both"/>
        <w:rPr>
          <w:noProof/>
          <w:sz w:val="22"/>
          <w:szCs w:val="22"/>
          <w:lang w:val="sr-Latn-ME"/>
        </w:rPr>
      </w:pPr>
      <w:r w:rsidRPr="00CB6AFC">
        <w:rPr>
          <w:noProof/>
          <w:sz w:val="22"/>
          <w:szCs w:val="22"/>
          <w:lang w:val="sr-Latn-ME"/>
        </w:rPr>
        <w:t>Zidovudin može uticati na metabolizam paracetamola i obrnuto, što može povećati toksičnost oba lijeka.</w:t>
      </w:r>
    </w:p>
    <w:p w14:paraId="059D08BD" w14:textId="77777777" w:rsidR="0019129A" w:rsidRPr="00CB6AFC" w:rsidRDefault="0019129A" w:rsidP="00DB62C3">
      <w:pPr>
        <w:numPr>
          <w:ilvl w:val="0"/>
          <w:numId w:val="15"/>
        </w:numPr>
        <w:ind w:left="426" w:hanging="426"/>
        <w:jc w:val="both"/>
        <w:rPr>
          <w:noProof/>
          <w:sz w:val="22"/>
          <w:szCs w:val="22"/>
          <w:lang w:val="sr-Latn-ME"/>
        </w:rPr>
      </w:pPr>
      <w:r w:rsidRPr="00CB6AFC">
        <w:rPr>
          <w:noProof/>
          <w:sz w:val="22"/>
          <w:szCs w:val="22"/>
          <w:lang w:val="sr-Latn-ME"/>
        </w:rPr>
        <w:lastRenderedPageBreak/>
        <w:t>Antikoagulantni ljekovi (varfarin) - može biti potrebno smanjenje doze ako se paracetamol i antikoagulansi uzimaju duže vrijeme.</w:t>
      </w:r>
    </w:p>
    <w:p w14:paraId="7464DDE0" w14:textId="77777777" w:rsidR="0019129A" w:rsidRPr="00CB6AFC" w:rsidRDefault="0019129A" w:rsidP="00DB62C3">
      <w:pPr>
        <w:numPr>
          <w:ilvl w:val="0"/>
          <w:numId w:val="15"/>
        </w:numPr>
        <w:ind w:left="426" w:hanging="426"/>
        <w:jc w:val="both"/>
        <w:rPr>
          <w:noProof/>
          <w:sz w:val="22"/>
          <w:szCs w:val="22"/>
          <w:lang w:val="sr-Latn-ME"/>
        </w:rPr>
      </w:pPr>
      <w:r w:rsidRPr="00CB6AFC">
        <w:rPr>
          <w:noProof/>
          <w:sz w:val="22"/>
          <w:szCs w:val="22"/>
          <w:lang w:val="sr-Latn-ME"/>
        </w:rPr>
        <w:t>Zabilježena je teška hepatotoksičnost uz terapijske doze ili umjereno predoziranje paracetamolom kod pacijenata koji su primali izonijazid sam ili sa drugim ljekovima za tuberkulozu.</w:t>
      </w:r>
    </w:p>
    <w:p w14:paraId="5CA0C273" w14:textId="0B772220" w:rsidR="0019129A" w:rsidRPr="00CB6AFC" w:rsidRDefault="0019129A" w:rsidP="00DB62C3">
      <w:pPr>
        <w:numPr>
          <w:ilvl w:val="0"/>
          <w:numId w:val="15"/>
        </w:numPr>
        <w:ind w:left="426" w:hanging="426"/>
        <w:jc w:val="both"/>
        <w:rPr>
          <w:noProof/>
          <w:sz w:val="22"/>
          <w:szCs w:val="22"/>
          <w:lang w:val="sr-Latn-ME"/>
        </w:rPr>
      </w:pPr>
      <w:r w:rsidRPr="00CB6AFC">
        <w:rPr>
          <w:noProof/>
          <w:sz w:val="22"/>
          <w:szCs w:val="22"/>
          <w:lang w:val="sr-Latn-ME"/>
        </w:rPr>
        <w:t xml:space="preserve">Paracetamol može uticati na farmakokinetiku hloramfenikola. Praćenje nivoa hloramfenikola u plazmi preporučuje se ako se paracetamol </w:t>
      </w:r>
      <w:r w:rsidR="00EE45F4" w:rsidRPr="00CB6AFC">
        <w:rPr>
          <w:noProof/>
          <w:sz w:val="22"/>
          <w:szCs w:val="22"/>
          <w:lang w:val="sr-Latn-ME"/>
        </w:rPr>
        <w:t xml:space="preserve">primjenjuje u </w:t>
      </w:r>
      <w:r w:rsidRPr="00CB6AFC">
        <w:rPr>
          <w:noProof/>
          <w:sz w:val="22"/>
          <w:szCs w:val="22"/>
          <w:lang w:val="sr-Latn-ME"/>
        </w:rPr>
        <w:t>kombin</w:t>
      </w:r>
      <w:r w:rsidR="00EE45F4" w:rsidRPr="00CB6AFC">
        <w:rPr>
          <w:noProof/>
          <w:sz w:val="22"/>
          <w:szCs w:val="22"/>
          <w:lang w:val="sr-Latn-ME"/>
        </w:rPr>
        <w:t>aciji</w:t>
      </w:r>
      <w:r w:rsidRPr="00CB6AFC">
        <w:rPr>
          <w:noProof/>
          <w:sz w:val="22"/>
          <w:szCs w:val="22"/>
          <w:lang w:val="sr-Latn-ME"/>
        </w:rPr>
        <w:t xml:space="preserve"> sa injekcijama hloramfenikola.</w:t>
      </w:r>
    </w:p>
    <w:p w14:paraId="1E509B28" w14:textId="103B2AF7" w:rsidR="0019129A" w:rsidRPr="00CB6AFC" w:rsidRDefault="0019129A" w:rsidP="00DB62C3">
      <w:pPr>
        <w:numPr>
          <w:ilvl w:val="0"/>
          <w:numId w:val="15"/>
        </w:numPr>
        <w:ind w:left="426" w:hanging="426"/>
        <w:jc w:val="both"/>
        <w:rPr>
          <w:noProof/>
          <w:sz w:val="22"/>
          <w:szCs w:val="22"/>
          <w:lang w:val="sr-Latn-ME"/>
        </w:rPr>
      </w:pPr>
      <w:r w:rsidRPr="00CB6AFC">
        <w:rPr>
          <w:noProof/>
          <w:sz w:val="22"/>
          <w:szCs w:val="22"/>
          <w:lang w:val="sr-Latn-ME"/>
        </w:rPr>
        <w:t>Etanol povećava toksičnost paracetamola, vjerovatno indukcijom stvaranja hepatotoksičnih produkata por</w:t>
      </w:r>
      <w:r w:rsidR="00EE45F4" w:rsidRPr="00CB6AFC">
        <w:rPr>
          <w:noProof/>
          <w:sz w:val="22"/>
          <w:szCs w:val="22"/>
          <w:lang w:val="sr-Latn-ME"/>
        </w:rPr>
        <w:t>ij</w:t>
      </w:r>
      <w:r w:rsidRPr="00CB6AFC">
        <w:rPr>
          <w:noProof/>
          <w:sz w:val="22"/>
          <w:szCs w:val="22"/>
          <w:lang w:val="sr-Latn-ME"/>
        </w:rPr>
        <w:t>eklom od paracetamola u jetri.</w:t>
      </w:r>
    </w:p>
    <w:p w14:paraId="155D1E28" w14:textId="40A1CB55" w:rsidR="0019129A" w:rsidRPr="00CB6AFC" w:rsidRDefault="0019129A" w:rsidP="00DB62C3">
      <w:pPr>
        <w:numPr>
          <w:ilvl w:val="0"/>
          <w:numId w:val="15"/>
        </w:numPr>
        <w:ind w:left="425" w:hanging="425"/>
        <w:jc w:val="both"/>
        <w:rPr>
          <w:noProof/>
          <w:sz w:val="22"/>
          <w:szCs w:val="22"/>
          <w:lang w:val="sr-Latn-ME"/>
        </w:rPr>
      </w:pPr>
      <w:r w:rsidRPr="00CB6AFC">
        <w:rPr>
          <w:noProof/>
          <w:sz w:val="22"/>
          <w:szCs w:val="22"/>
          <w:lang w:val="sr-Latn-ME"/>
        </w:rPr>
        <w:t>Potreban je oprez pri istovremenoj primjeni paracetamola i flukloksacilina jer je istovremeno uzimanje tih ljekova povezano sa metaboličkom acidozom sa povišenim anjonskim zjapom</w:t>
      </w:r>
      <w:r w:rsidR="00902843" w:rsidRPr="00CB6AFC">
        <w:rPr>
          <w:noProof/>
          <w:sz w:val="22"/>
          <w:szCs w:val="22"/>
          <w:lang w:val="sr-Latn-ME"/>
        </w:rPr>
        <w:t xml:space="preserve"> </w:t>
      </w:r>
      <w:r w:rsidR="00902843" w:rsidRPr="00CB6AFC">
        <w:rPr>
          <w:sz w:val="22"/>
          <w:szCs w:val="22"/>
          <w:lang w:val="sr-Latn-ME"/>
        </w:rPr>
        <w:t>usl</w:t>
      </w:r>
      <w:r w:rsidR="00EE45F4" w:rsidRPr="00CB6AFC">
        <w:rPr>
          <w:sz w:val="22"/>
          <w:szCs w:val="22"/>
          <w:lang w:val="sr-Latn-ME"/>
        </w:rPr>
        <w:t>j</w:t>
      </w:r>
      <w:r w:rsidR="00902843" w:rsidRPr="00CB6AFC">
        <w:rPr>
          <w:sz w:val="22"/>
          <w:szCs w:val="22"/>
          <w:lang w:val="sr-Latn-ME"/>
        </w:rPr>
        <w:t>ed piroglutamatne acidoze</w:t>
      </w:r>
      <w:r w:rsidRPr="00CB6AFC">
        <w:rPr>
          <w:noProof/>
          <w:sz w:val="22"/>
          <w:szCs w:val="22"/>
          <w:lang w:val="sr-Latn-ME"/>
        </w:rPr>
        <w:t>, posebno kod pacijenata kojih su prisutni faktori rizika (</w:t>
      </w:r>
      <w:r w:rsidR="004277B8" w:rsidRPr="00CB6AFC">
        <w:rPr>
          <w:noProof/>
          <w:sz w:val="22"/>
          <w:szCs w:val="22"/>
          <w:lang w:val="sr-Latn-ME"/>
        </w:rPr>
        <w:t xml:space="preserve">vidjeti </w:t>
      </w:r>
      <w:r w:rsidR="008C7B4A" w:rsidRPr="00CB6AFC">
        <w:rPr>
          <w:sz w:val="22"/>
          <w:szCs w:val="22"/>
          <w:lang w:val="sr-Latn-ME"/>
        </w:rPr>
        <w:t>dio</w:t>
      </w:r>
      <w:r w:rsidR="008C7B4A" w:rsidRPr="00CB6AFC">
        <w:rPr>
          <w:color w:val="000000"/>
          <w:sz w:val="22"/>
          <w:szCs w:val="22"/>
          <w:lang w:val="sr-Latn-ME" w:eastAsia="hr-HR"/>
        </w:rPr>
        <w:t xml:space="preserve"> </w:t>
      </w:r>
      <w:r w:rsidRPr="00CB6AFC">
        <w:rPr>
          <w:noProof/>
          <w:sz w:val="22"/>
          <w:szCs w:val="22"/>
          <w:lang w:val="sr-Latn-ME"/>
        </w:rPr>
        <w:t>4.4).</w:t>
      </w:r>
    </w:p>
    <w:p w14:paraId="305AA918" w14:textId="77777777" w:rsidR="0019129A" w:rsidRPr="00CB6AFC" w:rsidRDefault="0019129A" w:rsidP="00DB62C3">
      <w:pPr>
        <w:jc w:val="both"/>
        <w:rPr>
          <w:noProof/>
          <w:sz w:val="22"/>
          <w:szCs w:val="22"/>
          <w:lang w:val="sr-Latn-ME"/>
        </w:rPr>
      </w:pPr>
    </w:p>
    <w:p w14:paraId="2115B8EA" w14:textId="77777777" w:rsidR="0019129A" w:rsidRPr="00CB6AFC" w:rsidRDefault="0019129A" w:rsidP="00DB62C3">
      <w:pPr>
        <w:jc w:val="both"/>
        <w:rPr>
          <w:noProof/>
          <w:sz w:val="22"/>
          <w:szCs w:val="22"/>
          <w:u w:val="single"/>
          <w:lang w:val="sr-Latn-ME"/>
        </w:rPr>
      </w:pPr>
      <w:r w:rsidRPr="00CB6AFC">
        <w:rPr>
          <w:noProof/>
          <w:sz w:val="22"/>
          <w:szCs w:val="22"/>
          <w:u w:val="single"/>
          <w:lang w:val="sr-Latn-ME"/>
        </w:rPr>
        <w:t>Efekti na laboratorijske testove</w:t>
      </w:r>
    </w:p>
    <w:p w14:paraId="5963AF84" w14:textId="77777777" w:rsidR="0019129A" w:rsidRPr="00CB6AFC" w:rsidRDefault="0019129A" w:rsidP="00DB62C3">
      <w:pPr>
        <w:jc w:val="both"/>
        <w:rPr>
          <w:noProof/>
          <w:sz w:val="22"/>
          <w:szCs w:val="22"/>
          <w:lang w:val="sr-Latn-ME"/>
        </w:rPr>
      </w:pPr>
      <w:r w:rsidRPr="00CB6AFC">
        <w:rPr>
          <w:noProof/>
          <w:sz w:val="22"/>
          <w:szCs w:val="22"/>
          <w:lang w:val="sr-Latn-ME"/>
        </w:rPr>
        <w:t>Primjena paracetamola može uticati na testove za određivanje mokraćne kiseline u krvi metodom fosfotungstične kiseline i na određivanje glukoze u krvi metodom glukoza-oksidaza-peroksidaze.</w:t>
      </w:r>
    </w:p>
    <w:p w14:paraId="605131DE" w14:textId="77777777" w:rsidR="0019129A" w:rsidRPr="00CB6AFC" w:rsidRDefault="0019129A" w:rsidP="00DB62C3">
      <w:pPr>
        <w:jc w:val="both"/>
        <w:rPr>
          <w:noProof/>
          <w:sz w:val="22"/>
          <w:szCs w:val="22"/>
          <w:lang w:val="sr-Latn-ME"/>
        </w:rPr>
      </w:pPr>
    </w:p>
    <w:p w14:paraId="25F30677" w14:textId="77777777" w:rsidR="0019129A" w:rsidRPr="00CB6AFC" w:rsidRDefault="0019129A" w:rsidP="00DB62C3">
      <w:pPr>
        <w:jc w:val="both"/>
        <w:rPr>
          <w:noProof/>
          <w:sz w:val="22"/>
          <w:szCs w:val="22"/>
          <w:u w:val="single"/>
          <w:lang w:val="sr-Latn-ME"/>
        </w:rPr>
      </w:pPr>
      <w:r w:rsidRPr="00CB6AFC">
        <w:rPr>
          <w:noProof/>
          <w:sz w:val="22"/>
          <w:szCs w:val="22"/>
          <w:u w:val="single"/>
          <w:lang w:val="sr-Latn-ME"/>
        </w:rPr>
        <w:t>Pedijatrijska populacija</w:t>
      </w:r>
    </w:p>
    <w:p w14:paraId="774BBD86" w14:textId="77777777" w:rsidR="0019129A" w:rsidRPr="00CB6AFC" w:rsidRDefault="0019129A" w:rsidP="00DB62C3">
      <w:pPr>
        <w:jc w:val="both"/>
        <w:rPr>
          <w:noProof/>
          <w:sz w:val="22"/>
          <w:szCs w:val="22"/>
          <w:lang w:val="sr-Latn-ME"/>
        </w:rPr>
      </w:pPr>
      <w:r w:rsidRPr="00CB6AFC">
        <w:rPr>
          <w:noProof/>
          <w:sz w:val="22"/>
          <w:szCs w:val="22"/>
          <w:lang w:val="sr-Latn-ME"/>
        </w:rPr>
        <w:t>Ispitivanja interakcija sprovedena su samo kod odraslih.</w:t>
      </w:r>
    </w:p>
    <w:p w14:paraId="574EFE3C" w14:textId="77777777" w:rsidR="0019129A" w:rsidRPr="00CB6AFC" w:rsidRDefault="0019129A" w:rsidP="00DB62C3">
      <w:pPr>
        <w:tabs>
          <w:tab w:val="left" w:pos="540"/>
          <w:tab w:val="left" w:pos="569"/>
        </w:tabs>
        <w:jc w:val="both"/>
        <w:rPr>
          <w:bCs/>
          <w:sz w:val="22"/>
          <w:szCs w:val="22"/>
          <w:lang w:val="sr-Latn-ME"/>
        </w:rPr>
      </w:pPr>
    </w:p>
    <w:p w14:paraId="165240F2" w14:textId="77777777" w:rsidR="0072020E" w:rsidRPr="00CB6AFC" w:rsidRDefault="0072020E" w:rsidP="00DB62C3">
      <w:pPr>
        <w:tabs>
          <w:tab w:val="left" w:pos="540"/>
          <w:tab w:val="left" w:pos="569"/>
        </w:tabs>
        <w:jc w:val="both"/>
        <w:rPr>
          <w:b/>
          <w:sz w:val="22"/>
          <w:szCs w:val="22"/>
          <w:lang w:val="sr-Latn-ME"/>
        </w:rPr>
      </w:pPr>
      <w:r w:rsidRPr="00CB6AFC">
        <w:rPr>
          <w:b/>
          <w:bCs/>
          <w:sz w:val="22"/>
          <w:szCs w:val="22"/>
          <w:lang w:val="sr-Latn-ME"/>
        </w:rPr>
        <w:t xml:space="preserve">4.6. </w:t>
      </w:r>
      <w:r w:rsidR="00480FB1" w:rsidRPr="00CB6AFC">
        <w:rPr>
          <w:b/>
          <w:bCs/>
          <w:sz w:val="22"/>
          <w:szCs w:val="22"/>
          <w:lang w:val="sr-Latn-ME"/>
        </w:rPr>
        <w:tab/>
      </w:r>
      <w:r w:rsidR="006D20A5" w:rsidRPr="00CB6AFC">
        <w:rPr>
          <w:b/>
          <w:sz w:val="22"/>
          <w:szCs w:val="22"/>
          <w:lang w:val="sr-Latn-ME"/>
        </w:rPr>
        <w:t>Plodnost, trudnoća i dojenje</w:t>
      </w:r>
    </w:p>
    <w:p w14:paraId="165240F3" w14:textId="77777777" w:rsidR="002031B3" w:rsidRPr="00CB6AFC" w:rsidRDefault="002031B3" w:rsidP="00DB62C3">
      <w:pPr>
        <w:tabs>
          <w:tab w:val="left" w:pos="540"/>
          <w:tab w:val="left" w:pos="569"/>
        </w:tabs>
        <w:jc w:val="both"/>
        <w:rPr>
          <w:sz w:val="22"/>
          <w:szCs w:val="22"/>
          <w:u w:val="single"/>
          <w:lang w:val="sr-Latn-ME"/>
        </w:rPr>
      </w:pPr>
    </w:p>
    <w:p w14:paraId="4B8F5486" w14:textId="77777777" w:rsidR="0019129A" w:rsidRPr="00CB6AFC" w:rsidRDefault="0019129A" w:rsidP="00DB62C3">
      <w:pPr>
        <w:jc w:val="both"/>
        <w:rPr>
          <w:noProof/>
          <w:sz w:val="22"/>
          <w:szCs w:val="22"/>
          <w:u w:val="single"/>
          <w:lang w:val="sr-Latn-ME"/>
        </w:rPr>
      </w:pPr>
      <w:r w:rsidRPr="00CB6AFC">
        <w:rPr>
          <w:noProof/>
          <w:sz w:val="22"/>
          <w:szCs w:val="22"/>
          <w:u w:val="single"/>
          <w:lang w:val="sr-Latn-ME"/>
        </w:rPr>
        <w:t>Trudnoća</w:t>
      </w:r>
    </w:p>
    <w:p w14:paraId="54AA72AB" w14:textId="666B87D7" w:rsidR="0019129A" w:rsidRPr="00CB6AFC" w:rsidRDefault="0019129A" w:rsidP="00DB62C3">
      <w:pPr>
        <w:jc w:val="both"/>
        <w:rPr>
          <w:noProof/>
          <w:sz w:val="22"/>
          <w:szCs w:val="22"/>
          <w:lang w:val="sr-Latn-ME"/>
        </w:rPr>
      </w:pPr>
      <w:r w:rsidRPr="00CB6AFC">
        <w:rPr>
          <w:noProof/>
          <w:sz w:val="22"/>
          <w:szCs w:val="22"/>
          <w:lang w:val="sr-Latn-ME"/>
        </w:rPr>
        <w:t xml:space="preserve">Nema podataka o primjeni ovog lijeka kod ljudi tokom trudnoće. Zbog komponente ibuprofena, </w:t>
      </w:r>
      <w:r w:rsidR="00EE45F4" w:rsidRPr="00CB6AFC">
        <w:rPr>
          <w:noProof/>
          <w:sz w:val="22"/>
          <w:szCs w:val="22"/>
          <w:lang w:val="sr-Latn-ME"/>
        </w:rPr>
        <w:t xml:space="preserve">lijek </w:t>
      </w:r>
      <w:r w:rsidRPr="00CB6AFC">
        <w:rPr>
          <w:noProof/>
          <w:sz w:val="22"/>
          <w:szCs w:val="22"/>
          <w:lang w:val="sr-Latn-ME"/>
        </w:rPr>
        <w:t>Comboval 10 mg/ml + 3 mg/ml rastvor za infuziju je kontraindikovan tokom trećeg trom</w:t>
      </w:r>
      <w:r w:rsidR="004277B8" w:rsidRPr="00CB6AFC">
        <w:rPr>
          <w:noProof/>
          <w:sz w:val="22"/>
          <w:szCs w:val="22"/>
          <w:lang w:val="sr-Latn-ME"/>
        </w:rPr>
        <w:t>j</w:t>
      </w:r>
      <w:r w:rsidRPr="00CB6AFC">
        <w:rPr>
          <w:noProof/>
          <w:sz w:val="22"/>
          <w:szCs w:val="22"/>
          <w:lang w:val="sr-Latn-ME"/>
        </w:rPr>
        <w:t>esečja trudnoće (</w:t>
      </w:r>
      <w:r w:rsidR="004277B8" w:rsidRPr="00CB6AFC">
        <w:rPr>
          <w:noProof/>
          <w:sz w:val="22"/>
          <w:szCs w:val="22"/>
          <w:lang w:val="sr-Latn-ME"/>
        </w:rPr>
        <w:t xml:space="preserve">vidjeti </w:t>
      </w:r>
      <w:r w:rsidRPr="00CB6AFC">
        <w:rPr>
          <w:noProof/>
          <w:sz w:val="22"/>
          <w:szCs w:val="22"/>
          <w:lang w:val="sr-Latn-ME"/>
        </w:rPr>
        <w:t>u nastavku).</w:t>
      </w:r>
    </w:p>
    <w:p w14:paraId="29FDE9BB" w14:textId="77777777" w:rsidR="0019129A" w:rsidRPr="00CB6AFC" w:rsidRDefault="0019129A" w:rsidP="00DB62C3">
      <w:pPr>
        <w:jc w:val="both"/>
        <w:rPr>
          <w:color w:val="000000"/>
          <w:sz w:val="22"/>
          <w:szCs w:val="22"/>
          <w:lang w:val="sr-Latn-ME"/>
        </w:rPr>
      </w:pPr>
    </w:p>
    <w:p w14:paraId="0CFC7C16" w14:textId="77777777" w:rsidR="0019129A" w:rsidRPr="00CB6AFC" w:rsidRDefault="0019129A" w:rsidP="00DB62C3">
      <w:pPr>
        <w:jc w:val="both"/>
        <w:rPr>
          <w:b/>
          <w:bCs/>
          <w:i/>
          <w:iCs/>
          <w:noProof/>
          <w:sz w:val="22"/>
          <w:szCs w:val="22"/>
          <w:lang w:val="sr-Latn-ME"/>
        </w:rPr>
      </w:pPr>
      <w:r w:rsidRPr="00CB6AFC">
        <w:rPr>
          <w:b/>
          <w:bCs/>
          <w:i/>
          <w:iCs/>
          <w:noProof/>
          <w:sz w:val="22"/>
          <w:szCs w:val="22"/>
          <w:lang w:val="sr-Latn-ME"/>
        </w:rPr>
        <w:t>Za ibuprofen</w:t>
      </w:r>
    </w:p>
    <w:p w14:paraId="4D31009A" w14:textId="46474050" w:rsidR="0019129A" w:rsidRPr="00CB6AFC" w:rsidRDefault="0019129A" w:rsidP="00DB62C3">
      <w:pPr>
        <w:jc w:val="both"/>
        <w:rPr>
          <w:noProof/>
          <w:sz w:val="22"/>
          <w:szCs w:val="22"/>
          <w:lang w:val="sr-Latn-ME"/>
        </w:rPr>
      </w:pPr>
      <w:r w:rsidRPr="00CB6AFC">
        <w:rPr>
          <w:noProof/>
          <w:sz w:val="22"/>
          <w:szCs w:val="22"/>
          <w:lang w:val="sr-Latn-ME"/>
        </w:rPr>
        <w:t>Inhibicija sinteze prostaglandina može nepovoljno uticati na trudnoću i/ili embrio/fetalni razvoj. Podaci iz epidemioloških ispitivanja pokazuju povećan rizik od pobačaja, srčanih malformacija i gastroshize nakon primjene inhibitora sinteze prostaglandina u ranoj trudnoći. Apsolutni rizik od razvoja kardiovaskularnih malformacija je povećan sa manje od 1% na približno 1</w:t>
      </w:r>
      <w:r w:rsidR="00EE45F4" w:rsidRPr="00CB6AFC">
        <w:rPr>
          <w:noProof/>
          <w:sz w:val="22"/>
          <w:szCs w:val="22"/>
          <w:lang w:val="sr-Latn-ME"/>
        </w:rPr>
        <w:t>.</w:t>
      </w:r>
      <w:r w:rsidRPr="00CB6AFC">
        <w:rPr>
          <w:noProof/>
          <w:sz w:val="22"/>
          <w:szCs w:val="22"/>
          <w:lang w:val="sr-Latn-ME"/>
        </w:rPr>
        <w:t xml:space="preserve">5%. Pretpostavlja se da se rizik povećava sa dozom i trajanjem liječenja. Kod životinja, rezultati primjene inhibitora sinteze prostaglandina su pokazali veći gubitak ploda i prije i poslije njegove implantacije u matericu te povećanje embrio/fetalne smrtnosti. Osim toga, kod životinja koje su dobijale inhibitore sinteze prostaglandina tokom </w:t>
      </w:r>
      <w:r w:rsidR="004277B8" w:rsidRPr="00CB6AFC">
        <w:rPr>
          <w:noProof/>
          <w:sz w:val="22"/>
          <w:szCs w:val="22"/>
          <w:lang w:val="sr-Latn-ME"/>
        </w:rPr>
        <w:t xml:space="preserve">perioda </w:t>
      </w:r>
      <w:r w:rsidRPr="00CB6AFC">
        <w:rPr>
          <w:noProof/>
          <w:sz w:val="22"/>
          <w:szCs w:val="22"/>
          <w:lang w:val="sr-Latn-ME"/>
        </w:rPr>
        <w:t>organogeneze, zabilježena je povećana učestalost različitih malformacija, uključujući kardiovaskularne. Od dvadesete ned</w:t>
      </w:r>
      <w:r w:rsidR="007522B1" w:rsidRPr="00CB6AFC">
        <w:rPr>
          <w:noProof/>
          <w:sz w:val="22"/>
          <w:szCs w:val="22"/>
          <w:lang w:val="sr-Latn-ME"/>
        </w:rPr>
        <w:t>j</w:t>
      </w:r>
      <w:r w:rsidRPr="00CB6AFC">
        <w:rPr>
          <w:noProof/>
          <w:sz w:val="22"/>
          <w:szCs w:val="22"/>
          <w:lang w:val="sr-Latn-ME"/>
        </w:rPr>
        <w:t xml:space="preserve">elje trudnoće nadalje, primjena </w:t>
      </w:r>
      <w:r w:rsidR="007522B1" w:rsidRPr="00CB6AFC">
        <w:rPr>
          <w:noProof/>
          <w:sz w:val="22"/>
          <w:szCs w:val="22"/>
          <w:lang w:val="sr-Latn-ME"/>
        </w:rPr>
        <w:t xml:space="preserve">lijeka </w:t>
      </w:r>
      <w:r w:rsidRPr="00CB6AFC">
        <w:rPr>
          <w:noProof/>
          <w:sz w:val="22"/>
          <w:szCs w:val="22"/>
          <w:lang w:val="sr-Latn-ME"/>
        </w:rPr>
        <w:t>Comboval 10 mg/ml + 3 mg/ml</w:t>
      </w:r>
      <w:r w:rsidRPr="00CB6AFC">
        <w:rPr>
          <w:iCs/>
          <w:noProof/>
          <w:sz w:val="22"/>
          <w:szCs w:val="22"/>
          <w:lang w:val="sr-Latn-ME"/>
        </w:rPr>
        <w:t xml:space="preserve"> rastvor za infuziju može uzrokovati oligohidramnion</w:t>
      </w:r>
      <w:r w:rsidRPr="00CB6AFC">
        <w:rPr>
          <w:i/>
          <w:noProof/>
          <w:sz w:val="22"/>
          <w:szCs w:val="22"/>
          <w:lang w:val="sr-Latn-ME"/>
        </w:rPr>
        <w:t xml:space="preserve"> </w:t>
      </w:r>
      <w:r w:rsidRPr="00CB6AFC">
        <w:rPr>
          <w:iCs/>
          <w:noProof/>
          <w:sz w:val="22"/>
          <w:szCs w:val="22"/>
          <w:lang w:val="sr-Latn-ME"/>
        </w:rPr>
        <w:t xml:space="preserve">koji je posljedica fetalne bubrežne disfunkcije. </w:t>
      </w:r>
      <w:r w:rsidR="0072412C" w:rsidRPr="00CB6AFC">
        <w:rPr>
          <w:iCs/>
          <w:noProof/>
          <w:sz w:val="22"/>
          <w:szCs w:val="22"/>
          <w:lang w:val="sr-Latn-ME"/>
        </w:rPr>
        <w:t>Ovo se obično događa tokom započinjanja</w:t>
      </w:r>
      <w:r w:rsidRPr="00CB6AFC">
        <w:rPr>
          <w:iCs/>
          <w:noProof/>
          <w:sz w:val="22"/>
          <w:szCs w:val="22"/>
          <w:lang w:val="sr-Latn-ME"/>
        </w:rPr>
        <w:t xml:space="preserve"> liječenja i obično je reverzibilno nakon prekida liječenja. Dodatno, postoje izv</w:t>
      </w:r>
      <w:r w:rsidR="004277B8" w:rsidRPr="00CB6AFC">
        <w:rPr>
          <w:iCs/>
          <w:noProof/>
          <w:sz w:val="22"/>
          <w:szCs w:val="22"/>
          <w:lang w:val="sr-Latn-ME"/>
        </w:rPr>
        <w:t>j</w:t>
      </w:r>
      <w:r w:rsidRPr="00CB6AFC">
        <w:rPr>
          <w:iCs/>
          <w:noProof/>
          <w:sz w:val="22"/>
          <w:szCs w:val="22"/>
          <w:lang w:val="sr-Latn-ME"/>
        </w:rPr>
        <w:t xml:space="preserve">eštaji o suženju </w:t>
      </w:r>
      <w:r w:rsidRPr="00CB6AFC">
        <w:rPr>
          <w:noProof/>
          <w:sz w:val="22"/>
          <w:szCs w:val="22"/>
          <w:lang w:val="sr-Latn-ME"/>
        </w:rPr>
        <w:t xml:space="preserve">duktusa arterioususa </w:t>
      </w:r>
      <w:r w:rsidRPr="00CB6AFC">
        <w:rPr>
          <w:iCs/>
          <w:noProof/>
          <w:sz w:val="22"/>
          <w:szCs w:val="22"/>
          <w:lang w:val="sr-Latn-ME"/>
        </w:rPr>
        <w:t xml:space="preserve">nakon </w:t>
      </w:r>
      <w:r w:rsidR="0072412C" w:rsidRPr="00CB6AFC">
        <w:rPr>
          <w:iCs/>
          <w:noProof/>
          <w:sz w:val="22"/>
          <w:szCs w:val="22"/>
          <w:lang w:val="sr-Latn-ME"/>
        </w:rPr>
        <w:t>primjene ove terapije</w:t>
      </w:r>
      <w:r w:rsidRPr="00CB6AFC">
        <w:rPr>
          <w:iCs/>
          <w:noProof/>
          <w:sz w:val="22"/>
          <w:szCs w:val="22"/>
          <w:lang w:val="sr-Latn-ME"/>
        </w:rPr>
        <w:t xml:space="preserve"> u drugom tromjesečju, od kojih se većina povukla nakon prestanka liječenja. </w:t>
      </w:r>
      <w:r w:rsidRPr="00CB6AFC">
        <w:rPr>
          <w:noProof/>
          <w:sz w:val="22"/>
          <w:szCs w:val="22"/>
          <w:lang w:val="sr-Latn-ME"/>
        </w:rPr>
        <w:t xml:space="preserve">Stoga, tokom prvog i drugog tromjesečja trudnoće </w:t>
      </w:r>
      <w:r w:rsidR="0072412C" w:rsidRPr="00CB6AFC">
        <w:rPr>
          <w:noProof/>
          <w:sz w:val="22"/>
          <w:szCs w:val="22"/>
          <w:lang w:val="sr-Latn-ME"/>
        </w:rPr>
        <w:t xml:space="preserve">lijek </w:t>
      </w:r>
      <w:r w:rsidRPr="00CB6AFC">
        <w:rPr>
          <w:noProof/>
          <w:sz w:val="22"/>
          <w:szCs w:val="22"/>
          <w:lang w:val="sr-Latn-ME"/>
        </w:rPr>
        <w:t>Comboval 10 mg/ml + 3 mg/ml rastvor za infuziju se ne bi trebao primjenjivati, osim ukoliko je to nužno potrebno. Ako</w:t>
      </w:r>
      <w:r w:rsidR="0072412C" w:rsidRPr="00CB6AFC">
        <w:rPr>
          <w:noProof/>
          <w:sz w:val="22"/>
          <w:szCs w:val="22"/>
          <w:lang w:val="sr-Latn-ME"/>
        </w:rPr>
        <w:t xml:space="preserve"> lijek</w:t>
      </w:r>
      <w:r w:rsidRPr="00CB6AFC">
        <w:rPr>
          <w:noProof/>
          <w:sz w:val="22"/>
          <w:szCs w:val="22"/>
          <w:lang w:val="sr-Latn-ME"/>
        </w:rPr>
        <w:t xml:space="preserve"> Comboval 10 mg/ml + 3 mg/ml</w:t>
      </w:r>
      <w:r w:rsidRPr="00CB6AFC">
        <w:rPr>
          <w:iCs/>
          <w:noProof/>
          <w:sz w:val="22"/>
          <w:szCs w:val="22"/>
          <w:lang w:val="sr-Latn-ME"/>
        </w:rPr>
        <w:t xml:space="preserve"> rastvor za infuziju</w:t>
      </w:r>
      <w:r w:rsidRPr="00CB6AFC">
        <w:rPr>
          <w:noProof/>
          <w:sz w:val="22"/>
          <w:szCs w:val="22"/>
          <w:lang w:val="sr-Latn-ME"/>
        </w:rPr>
        <w:t xml:space="preserve"> koristi žena koja pokušava da za</w:t>
      </w:r>
      <w:r w:rsidR="0072412C" w:rsidRPr="00CB6AFC">
        <w:rPr>
          <w:noProof/>
          <w:sz w:val="22"/>
          <w:szCs w:val="22"/>
          <w:lang w:val="sr-Latn-ME"/>
        </w:rPr>
        <w:t>trudni</w:t>
      </w:r>
      <w:r w:rsidRPr="00CB6AFC">
        <w:rPr>
          <w:noProof/>
          <w:sz w:val="22"/>
          <w:szCs w:val="22"/>
          <w:lang w:val="sr-Latn-ME"/>
        </w:rPr>
        <w:t xml:space="preserve"> ili je u prvom i drugom tromjesečju trudnoće, dozu treba održavati što nižom, a trajanje liječenja što kraćim. </w:t>
      </w:r>
    </w:p>
    <w:p w14:paraId="17742BF3" w14:textId="0C57BC09" w:rsidR="0019129A" w:rsidRPr="00CB6AFC" w:rsidRDefault="0019129A" w:rsidP="00DB62C3">
      <w:pPr>
        <w:widowControl w:val="0"/>
        <w:jc w:val="both"/>
        <w:rPr>
          <w:noProof/>
          <w:sz w:val="22"/>
          <w:szCs w:val="22"/>
          <w:lang w:val="sr-Latn-ME"/>
        </w:rPr>
      </w:pPr>
      <w:r w:rsidRPr="00CB6AFC">
        <w:rPr>
          <w:noProof/>
          <w:sz w:val="22"/>
          <w:szCs w:val="22"/>
          <w:lang w:val="sr-Latn-ME"/>
        </w:rPr>
        <w:t xml:space="preserve">Antenatalno praćenje </w:t>
      </w:r>
      <w:r w:rsidRPr="00CB6AFC">
        <w:rPr>
          <w:iCs/>
          <w:noProof/>
          <w:sz w:val="22"/>
          <w:szCs w:val="22"/>
          <w:lang w:val="sr-Latn-ME"/>
        </w:rPr>
        <w:t xml:space="preserve">oligohidramniona </w:t>
      </w:r>
      <w:r w:rsidRPr="00CB6AFC">
        <w:rPr>
          <w:noProof/>
          <w:sz w:val="22"/>
          <w:szCs w:val="22"/>
          <w:lang w:val="sr-Latn-ME"/>
        </w:rPr>
        <w:t xml:space="preserve">i konstrikcije duktusa arterioususa treba razmotriti nakon izlaganja </w:t>
      </w:r>
      <w:r w:rsidR="0072412C" w:rsidRPr="00CB6AFC">
        <w:rPr>
          <w:noProof/>
          <w:sz w:val="22"/>
          <w:szCs w:val="22"/>
          <w:lang w:val="sr-Latn-ME"/>
        </w:rPr>
        <w:t xml:space="preserve">lijeku </w:t>
      </w:r>
      <w:r w:rsidRPr="00CB6AFC">
        <w:rPr>
          <w:noProof/>
          <w:sz w:val="22"/>
          <w:szCs w:val="22"/>
          <w:lang w:val="sr-Latn-ME"/>
        </w:rPr>
        <w:t>Comboval 10 mg/ml + 3 mg/ml</w:t>
      </w:r>
      <w:r w:rsidRPr="00CB6AFC">
        <w:rPr>
          <w:iCs/>
          <w:noProof/>
          <w:sz w:val="22"/>
          <w:szCs w:val="22"/>
          <w:lang w:val="sr-Latn-ME"/>
        </w:rPr>
        <w:t xml:space="preserve"> rastvor za infuziju </w:t>
      </w:r>
      <w:r w:rsidRPr="00CB6AFC">
        <w:rPr>
          <w:noProof/>
          <w:sz w:val="22"/>
          <w:szCs w:val="22"/>
          <w:lang w:val="sr-Latn-ME"/>
        </w:rPr>
        <w:t xml:space="preserve">nekoliko dana od dvadesete nedjelje trudnoće nadalje. Primjenu </w:t>
      </w:r>
      <w:r w:rsidR="0072412C" w:rsidRPr="00CB6AFC">
        <w:rPr>
          <w:noProof/>
          <w:sz w:val="22"/>
          <w:szCs w:val="22"/>
          <w:lang w:val="sr-Latn-ME"/>
        </w:rPr>
        <w:t xml:space="preserve">lijeka </w:t>
      </w:r>
      <w:r w:rsidRPr="00CB6AFC">
        <w:rPr>
          <w:noProof/>
          <w:sz w:val="22"/>
          <w:szCs w:val="22"/>
          <w:lang w:val="sr-Latn-ME"/>
        </w:rPr>
        <w:t>Comboval 10 mg/ml + 3 mg/ml</w:t>
      </w:r>
      <w:r w:rsidRPr="00CB6AFC">
        <w:rPr>
          <w:iCs/>
          <w:noProof/>
          <w:sz w:val="22"/>
          <w:szCs w:val="22"/>
          <w:lang w:val="sr-Latn-ME"/>
        </w:rPr>
        <w:t xml:space="preserve"> rastvor za infuziju </w:t>
      </w:r>
      <w:r w:rsidRPr="00CB6AFC">
        <w:rPr>
          <w:noProof/>
          <w:sz w:val="22"/>
          <w:szCs w:val="22"/>
          <w:lang w:val="sr-Latn-ME"/>
        </w:rPr>
        <w:t xml:space="preserve">treba prekinuti ukoliko se otkrije </w:t>
      </w:r>
      <w:r w:rsidRPr="00CB6AFC">
        <w:rPr>
          <w:iCs/>
          <w:noProof/>
          <w:sz w:val="22"/>
          <w:szCs w:val="22"/>
          <w:lang w:val="sr-Latn-ME"/>
        </w:rPr>
        <w:t xml:space="preserve">oligohidramnion </w:t>
      </w:r>
      <w:r w:rsidRPr="00CB6AFC">
        <w:rPr>
          <w:noProof/>
          <w:sz w:val="22"/>
          <w:szCs w:val="22"/>
          <w:lang w:val="sr-Latn-ME"/>
        </w:rPr>
        <w:t>ili konstrikcija duktusa arterioususa</w:t>
      </w:r>
      <w:r w:rsidRPr="00CB6AFC">
        <w:rPr>
          <w:i/>
          <w:noProof/>
          <w:sz w:val="22"/>
          <w:szCs w:val="22"/>
          <w:lang w:val="sr-Latn-ME"/>
        </w:rPr>
        <w:t>.</w:t>
      </w:r>
    </w:p>
    <w:p w14:paraId="5EC6C78B" w14:textId="77777777" w:rsidR="0019129A" w:rsidRPr="00CB6AFC" w:rsidRDefault="0019129A" w:rsidP="00DB62C3">
      <w:pPr>
        <w:jc w:val="both"/>
        <w:rPr>
          <w:noProof/>
          <w:sz w:val="22"/>
          <w:szCs w:val="22"/>
          <w:lang w:val="sr-Latn-ME"/>
        </w:rPr>
      </w:pPr>
      <w:r w:rsidRPr="00CB6AFC">
        <w:rPr>
          <w:noProof/>
          <w:sz w:val="22"/>
          <w:szCs w:val="22"/>
          <w:lang w:val="sr-Latn-ME"/>
        </w:rPr>
        <w:t>U trećem tromjesečju trudnoće svi inhibitori sinteze prostaglandina fetus mogu izložiti:</w:t>
      </w:r>
    </w:p>
    <w:p w14:paraId="0AE1F72A" w14:textId="52A77EE2" w:rsidR="0019129A" w:rsidRPr="00CB6AFC" w:rsidRDefault="0019129A" w:rsidP="00DB62C3">
      <w:pPr>
        <w:jc w:val="both"/>
        <w:rPr>
          <w:noProof/>
          <w:sz w:val="22"/>
          <w:szCs w:val="22"/>
          <w:lang w:val="sr-Latn-ME"/>
        </w:rPr>
      </w:pPr>
      <w:r w:rsidRPr="00CB6AFC">
        <w:rPr>
          <w:noProof/>
          <w:sz w:val="22"/>
          <w:szCs w:val="22"/>
          <w:lang w:val="sr-Latn-ME"/>
        </w:rPr>
        <w:t>-</w:t>
      </w:r>
      <w:r w:rsidRPr="00CB6AFC">
        <w:rPr>
          <w:noProof/>
          <w:sz w:val="22"/>
          <w:szCs w:val="22"/>
          <w:lang w:val="sr-Latn-ME"/>
        </w:rPr>
        <w:tab/>
        <w:t>kardiopulmonarnoj toksičnosti (pr</w:t>
      </w:r>
      <w:r w:rsidR="004277B8" w:rsidRPr="00CB6AFC">
        <w:rPr>
          <w:noProof/>
          <w:sz w:val="22"/>
          <w:szCs w:val="22"/>
          <w:lang w:val="sr-Latn-ME"/>
        </w:rPr>
        <w:t>ij</w:t>
      </w:r>
      <w:r w:rsidRPr="00CB6AFC">
        <w:rPr>
          <w:noProof/>
          <w:sz w:val="22"/>
          <w:szCs w:val="22"/>
          <w:lang w:val="sr-Latn-ME"/>
        </w:rPr>
        <w:t>evremenoj konstrikciji/zatvaranju duktusa arterioususa i plućnoj hipertenziji);</w:t>
      </w:r>
    </w:p>
    <w:p w14:paraId="19D3CDAB" w14:textId="417AD4E2" w:rsidR="0019129A" w:rsidRPr="00CB6AFC" w:rsidRDefault="0019129A" w:rsidP="00DB62C3">
      <w:pPr>
        <w:jc w:val="both"/>
        <w:rPr>
          <w:noProof/>
          <w:sz w:val="22"/>
          <w:szCs w:val="22"/>
          <w:lang w:val="sr-Latn-ME"/>
        </w:rPr>
      </w:pPr>
      <w:r w:rsidRPr="00CB6AFC">
        <w:rPr>
          <w:noProof/>
          <w:sz w:val="22"/>
          <w:szCs w:val="22"/>
          <w:lang w:val="sr-Latn-ME"/>
        </w:rPr>
        <w:t>-</w:t>
      </w:r>
      <w:r w:rsidRPr="00CB6AFC">
        <w:rPr>
          <w:noProof/>
          <w:sz w:val="22"/>
          <w:szCs w:val="22"/>
          <w:lang w:val="sr-Latn-ME"/>
        </w:rPr>
        <w:tab/>
        <w:t>renalnoj disfunkciji (</w:t>
      </w:r>
      <w:r w:rsidR="004277B8" w:rsidRPr="00CB6AFC">
        <w:rPr>
          <w:noProof/>
          <w:sz w:val="22"/>
          <w:szCs w:val="22"/>
          <w:lang w:val="sr-Latn-ME"/>
        </w:rPr>
        <w:t xml:space="preserve">vidjeti </w:t>
      </w:r>
      <w:r w:rsidRPr="00CB6AFC">
        <w:rPr>
          <w:noProof/>
          <w:sz w:val="22"/>
          <w:szCs w:val="22"/>
          <w:lang w:val="sr-Latn-ME"/>
        </w:rPr>
        <w:t>gore);</w:t>
      </w:r>
    </w:p>
    <w:p w14:paraId="6D85D091" w14:textId="77777777" w:rsidR="0019129A" w:rsidRPr="00CB6AFC" w:rsidRDefault="0019129A" w:rsidP="00DB62C3">
      <w:pPr>
        <w:jc w:val="both"/>
        <w:rPr>
          <w:noProof/>
          <w:sz w:val="22"/>
          <w:szCs w:val="22"/>
          <w:lang w:val="sr-Latn-ME"/>
        </w:rPr>
      </w:pPr>
    </w:p>
    <w:p w14:paraId="419F3466" w14:textId="77777777" w:rsidR="0019129A" w:rsidRPr="00CB6AFC" w:rsidRDefault="0019129A" w:rsidP="00DB62C3">
      <w:pPr>
        <w:jc w:val="both"/>
        <w:rPr>
          <w:noProof/>
          <w:sz w:val="22"/>
          <w:szCs w:val="22"/>
          <w:lang w:val="sr-Latn-ME"/>
        </w:rPr>
      </w:pPr>
      <w:r w:rsidRPr="00CB6AFC">
        <w:rPr>
          <w:noProof/>
          <w:sz w:val="22"/>
          <w:szCs w:val="22"/>
          <w:lang w:val="sr-Latn-ME"/>
        </w:rPr>
        <w:t>majku i novorođenče, na kraju trudnoće, izložiti:</w:t>
      </w:r>
    </w:p>
    <w:p w14:paraId="13AA1249" w14:textId="642CD51D" w:rsidR="0019129A" w:rsidRPr="00CB6AFC" w:rsidRDefault="0019129A" w:rsidP="00DB62C3">
      <w:pPr>
        <w:jc w:val="both"/>
        <w:rPr>
          <w:noProof/>
          <w:sz w:val="22"/>
          <w:szCs w:val="22"/>
          <w:lang w:val="sr-Latn-ME"/>
        </w:rPr>
      </w:pPr>
      <w:r w:rsidRPr="00CB6AFC">
        <w:rPr>
          <w:noProof/>
          <w:sz w:val="22"/>
          <w:szCs w:val="22"/>
          <w:lang w:val="sr-Latn-ME"/>
        </w:rPr>
        <w:t>-</w:t>
      </w:r>
      <w:r w:rsidRPr="00CB6AFC">
        <w:rPr>
          <w:noProof/>
          <w:sz w:val="22"/>
          <w:szCs w:val="22"/>
          <w:lang w:val="sr-Latn-ME"/>
        </w:rPr>
        <w:tab/>
        <w:t>mogućem produženju vremena krvarenja, antiagregacijskom efektu koji se može pojaviti i u v</w:t>
      </w:r>
      <w:r w:rsidR="0072412C" w:rsidRPr="00CB6AFC">
        <w:rPr>
          <w:noProof/>
          <w:sz w:val="22"/>
          <w:szCs w:val="22"/>
          <w:lang w:val="sr-Latn-ME"/>
        </w:rPr>
        <w:t>eoma</w:t>
      </w:r>
      <w:r w:rsidRPr="00CB6AFC">
        <w:rPr>
          <w:noProof/>
          <w:sz w:val="22"/>
          <w:szCs w:val="22"/>
          <w:lang w:val="sr-Latn-ME"/>
        </w:rPr>
        <w:t xml:space="preserve"> niskim dozama,</w:t>
      </w:r>
    </w:p>
    <w:p w14:paraId="6514E70E" w14:textId="2B2E273C" w:rsidR="0019129A" w:rsidRPr="00CB6AFC" w:rsidRDefault="0019129A" w:rsidP="00DB62C3">
      <w:pPr>
        <w:jc w:val="both"/>
        <w:rPr>
          <w:noProof/>
          <w:sz w:val="22"/>
          <w:szCs w:val="22"/>
          <w:lang w:val="sr-Latn-ME"/>
        </w:rPr>
      </w:pPr>
      <w:r w:rsidRPr="00CB6AFC">
        <w:rPr>
          <w:noProof/>
          <w:sz w:val="22"/>
          <w:szCs w:val="22"/>
          <w:lang w:val="sr-Latn-ME"/>
        </w:rPr>
        <w:t>-</w:t>
      </w:r>
      <w:r w:rsidRPr="00CB6AFC">
        <w:rPr>
          <w:noProof/>
          <w:sz w:val="22"/>
          <w:szCs w:val="22"/>
          <w:lang w:val="sr-Latn-ME"/>
        </w:rPr>
        <w:tab/>
        <w:t>inhibiciji kontrakcije materice koja uzrokuje odložene ili produžene trudove.</w:t>
      </w:r>
    </w:p>
    <w:p w14:paraId="6DF0E4F7" w14:textId="41E0C614" w:rsidR="0019129A" w:rsidRPr="00CB6AFC" w:rsidRDefault="0019129A" w:rsidP="00DB62C3">
      <w:pPr>
        <w:jc w:val="both"/>
        <w:rPr>
          <w:noProof/>
          <w:sz w:val="22"/>
          <w:szCs w:val="22"/>
          <w:lang w:val="sr-Latn-ME"/>
        </w:rPr>
      </w:pPr>
      <w:r w:rsidRPr="00CB6AFC">
        <w:rPr>
          <w:noProof/>
          <w:sz w:val="22"/>
          <w:szCs w:val="22"/>
          <w:lang w:val="sr-Latn-ME"/>
        </w:rPr>
        <w:lastRenderedPageBreak/>
        <w:t xml:space="preserve">Shodno navedenom, </w:t>
      </w:r>
      <w:r w:rsidR="0072412C" w:rsidRPr="00CB6AFC">
        <w:rPr>
          <w:noProof/>
          <w:sz w:val="22"/>
          <w:szCs w:val="22"/>
          <w:lang w:val="sr-Latn-ME"/>
        </w:rPr>
        <w:t xml:space="preserve">lijek </w:t>
      </w:r>
      <w:r w:rsidRPr="00CB6AFC">
        <w:rPr>
          <w:noProof/>
          <w:sz w:val="22"/>
          <w:szCs w:val="22"/>
          <w:lang w:val="sr-Latn-ME"/>
        </w:rPr>
        <w:t>Comboval 10 mg/ml + 3 mg/ml rastvor za infuziju je kontraindikovan u trećem tromjesečju trudnoće (</w:t>
      </w:r>
      <w:r w:rsidR="004277B8" w:rsidRPr="00CB6AFC">
        <w:rPr>
          <w:noProof/>
          <w:sz w:val="22"/>
          <w:szCs w:val="22"/>
          <w:lang w:val="sr-Latn-ME"/>
        </w:rPr>
        <w:t xml:space="preserve">vidjeti </w:t>
      </w:r>
      <w:r w:rsidRPr="00CB6AFC">
        <w:rPr>
          <w:noProof/>
          <w:sz w:val="22"/>
          <w:szCs w:val="22"/>
          <w:lang w:val="sr-Latn-ME"/>
        </w:rPr>
        <w:t>d</w:t>
      </w:r>
      <w:r w:rsidR="0072412C" w:rsidRPr="00CB6AFC">
        <w:rPr>
          <w:noProof/>
          <w:sz w:val="22"/>
          <w:szCs w:val="22"/>
          <w:lang w:val="sr-Latn-ME"/>
        </w:rPr>
        <w:t>jelove</w:t>
      </w:r>
      <w:r w:rsidRPr="00CB6AFC">
        <w:rPr>
          <w:noProof/>
          <w:sz w:val="22"/>
          <w:szCs w:val="22"/>
          <w:lang w:val="sr-Latn-ME"/>
        </w:rPr>
        <w:t xml:space="preserve"> 4.3 i 5.3).</w:t>
      </w:r>
    </w:p>
    <w:p w14:paraId="4D8CD29D" w14:textId="77777777" w:rsidR="0019129A" w:rsidRPr="00CB6AFC" w:rsidRDefault="0019129A" w:rsidP="00DB62C3">
      <w:pPr>
        <w:jc w:val="both"/>
        <w:rPr>
          <w:noProof/>
          <w:sz w:val="22"/>
          <w:szCs w:val="22"/>
          <w:lang w:val="sr-Latn-ME"/>
        </w:rPr>
      </w:pPr>
    </w:p>
    <w:p w14:paraId="2672ECE0" w14:textId="77777777" w:rsidR="0019129A" w:rsidRPr="00CB6AFC" w:rsidRDefault="0019129A" w:rsidP="00DB62C3">
      <w:pPr>
        <w:jc w:val="both"/>
        <w:rPr>
          <w:b/>
          <w:bCs/>
          <w:i/>
          <w:iCs/>
          <w:noProof/>
          <w:sz w:val="22"/>
          <w:szCs w:val="22"/>
          <w:lang w:val="sr-Latn-ME"/>
        </w:rPr>
      </w:pPr>
      <w:r w:rsidRPr="00CB6AFC">
        <w:rPr>
          <w:b/>
          <w:bCs/>
          <w:i/>
          <w:iCs/>
          <w:noProof/>
          <w:sz w:val="22"/>
          <w:szCs w:val="22"/>
          <w:lang w:val="sr-Latn-ME"/>
        </w:rPr>
        <w:t>Za paracetamol</w:t>
      </w:r>
    </w:p>
    <w:p w14:paraId="21F6069F" w14:textId="77777777" w:rsidR="0019129A" w:rsidRPr="00CB6AFC" w:rsidRDefault="0019129A" w:rsidP="00DB62C3">
      <w:pPr>
        <w:jc w:val="both"/>
        <w:rPr>
          <w:b/>
          <w:bCs/>
          <w:i/>
          <w:iCs/>
          <w:noProof/>
          <w:sz w:val="22"/>
          <w:szCs w:val="22"/>
          <w:lang w:val="sr-Latn-ME"/>
        </w:rPr>
      </w:pPr>
    </w:p>
    <w:p w14:paraId="7668D2E8" w14:textId="671BC501" w:rsidR="0019129A" w:rsidRPr="00CB6AFC" w:rsidRDefault="0019129A" w:rsidP="00DB62C3">
      <w:pPr>
        <w:jc w:val="both"/>
        <w:rPr>
          <w:noProof/>
          <w:sz w:val="22"/>
          <w:szCs w:val="22"/>
          <w:lang w:val="sr-Latn-ME"/>
        </w:rPr>
      </w:pPr>
      <w:r w:rsidRPr="00CB6AFC">
        <w:rPr>
          <w:noProof/>
          <w:sz w:val="22"/>
          <w:szCs w:val="22"/>
          <w:lang w:val="sr-Latn-ME"/>
        </w:rPr>
        <w:t xml:space="preserve">Velika količina podataka kod trudnica koje koriste paracetamol ne ukazuje na pojavu malformacija niti feto/neonatalnu toksičnost. Epidemiološka ispitivanja neurološkog razvoja kod djece izložene paracetamolu </w:t>
      </w:r>
      <w:r w:rsidRPr="00CB6AFC">
        <w:rPr>
          <w:i/>
          <w:iCs/>
          <w:noProof/>
          <w:sz w:val="22"/>
          <w:szCs w:val="22"/>
          <w:lang w:val="sr-Latn-ME"/>
        </w:rPr>
        <w:t>in utero</w:t>
      </w:r>
      <w:r w:rsidRPr="00CB6AFC">
        <w:rPr>
          <w:noProof/>
          <w:sz w:val="22"/>
          <w:szCs w:val="22"/>
          <w:lang w:val="sr-Latn-ME"/>
        </w:rPr>
        <w:t xml:space="preserve"> pokazuju nejasne rezultate. U slučaju kliničke potrebe paracetamol se može prim</w:t>
      </w:r>
      <w:r w:rsidR="004277B8" w:rsidRPr="00CB6AFC">
        <w:rPr>
          <w:noProof/>
          <w:sz w:val="22"/>
          <w:szCs w:val="22"/>
          <w:lang w:val="sr-Latn-ME"/>
        </w:rPr>
        <w:t>i</w:t>
      </w:r>
      <w:r w:rsidRPr="00CB6AFC">
        <w:rPr>
          <w:noProof/>
          <w:sz w:val="22"/>
          <w:szCs w:val="22"/>
          <w:lang w:val="sr-Latn-ME"/>
        </w:rPr>
        <w:t>jeniti tokom trudnoće, ali treba primj</w:t>
      </w:r>
      <w:r w:rsidR="0072412C" w:rsidRPr="00CB6AFC">
        <w:rPr>
          <w:noProof/>
          <w:sz w:val="22"/>
          <w:szCs w:val="22"/>
          <w:lang w:val="sr-Latn-ME"/>
        </w:rPr>
        <w:t>e</w:t>
      </w:r>
      <w:r w:rsidRPr="00CB6AFC">
        <w:rPr>
          <w:noProof/>
          <w:sz w:val="22"/>
          <w:szCs w:val="22"/>
          <w:lang w:val="sr-Latn-ME"/>
        </w:rPr>
        <w:t xml:space="preserve">njivati najnižu efikasnu dozu </w:t>
      </w:r>
      <w:r w:rsidR="0072412C" w:rsidRPr="00CB6AFC">
        <w:rPr>
          <w:noProof/>
          <w:sz w:val="22"/>
          <w:szCs w:val="22"/>
          <w:lang w:val="sr-Latn-ME"/>
        </w:rPr>
        <w:t>u</w:t>
      </w:r>
      <w:r w:rsidRPr="00CB6AFC">
        <w:rPr>
          <w:noProof/>
          <w:sz w:val="22"/>
          <w:szCs w:val="22"/>
          <w:lang w:val="sr-Latn-ME"/>
        </w:rPr>
        <w:t xml:space="preserve"> najkraće</w:t>
      </w:r>
      <w:r w:rsidR="0072412C" w:rsidRPr="00CB6AFC">
        <w:rPr>
          <w:noProof/>
          <w:sz w:val="22"/>
          <w:szCs w:val="22"/>
          <w:lang w:val="sr-Latn-ME"/>
        </w:rPr>
        <w:t>m</w:t>
      </w:r>
      <w:r w:rsidRPr="00CB6AFC">
        <w:rPr>
          <w:noProof/>
          <w:sz w:val="22"/>
          <w:szCs w:val="22"/>
          <w:lang w:val="sr-Latn-ME"/>
        </w:rPr>
        <w:t xml:space="preserve"> moguće</w:t>
      </w:r>
      <w:r w:rsidR="0072412C" w:rsidRPr="00CB6AFC">
        <w:rPr>
          <w:noProof/>
          <w:sz w:val="22"/>
          <w:szCs w:val="22"/>
          <w:lang w:val="sr-Latn-ME"/>
        </w:rPr>
        <w:t>m</w:t>
      </w:r>
      <w:r w:rsidRPr="00CB6AFC">
        <w:rPr>
          <w:noProof/>
          <w:sz w:val="22"/>
          <w:szCs w:val="22"/>
          <w:lang w:val="sr-Latn-ME"/>
        </w:rPr>
        <w:t xml:space="preserve"> vreme</w:t>
      </w:r>
      <w:r w:rsidR="0072412C" w:rsidRPr="00CB6AFC">
        <w:rPr>
          <w:noProof/>
          <w:sz w:val="22"/>
          <w:szCs w:val="22"/>
          <w:lang w:val="sr-Latn-ME"/>
        </w:rPr>
        <w:t>nu</w:t>
      </w:r>
      <w:r w:rsidRPr="00CB6AFC">
        <w:rPr>
          <w:noProof/>
          <w:sz w:val="22"/>
          <w:szCs w:val="22"/>
          <w:lang w:val="sr-Latn-ME"/>
        </w:rPr>
        <w:t xml:space="preserve"> i sa naj</w:t>
      </w:r>
      <w:r w:rsidR="0072412C" w:rsidRPr="00CB6AFC">
        <w:rPr>
          <w:noProof/>
          <w:sz w:val="22"/>
          <w:szCs w:val="22"/>
          <w:lang w:val="sr-Latn-ME"/>
        </w:rPr>
        <w:t>manjom</w:t>
      </w:r>
      <w:r w:rsidRPr="00CB6AFC">
        <w:rPr>
          <w:noProof/>
          <w:sz w:val="22"/>
          <w:szCs w:val="22"/>
          <w:lang w:val="sr-Latn-ME"/>
        </w:rPr>
        <w:t xml:space="preserve"> mogućom učestalošću primjene.</w:t>
      </w:r>
    </w:p>
    <w:p w14:paraId="2E70039F" w14:textId="77777777" w:rsidR="0019129A" w:rsidRPr="00CB6AFC" w:rsidRDefault="0019129A" w:rsidP="00DB62C3">
      <w:pPr>
        <w:jc w:val="both"/>
        <w:rPr>
          <w:noProof/>
          <w:sz w:val="22"/>
          <w:szCs w:val="22"/>
          <w:u w:val="single"/>
          <w:lang w:val="sr-Latn-ME"/>
        </w:rPr>
      </w:pPr>
    </w:p>
    <w:p w14:paraId="1A47AFA0" w14:textId="77777777" w:rsidR="0019129A" w:rsidRPr="00CB6AFC" w:rsidRDefault="0019129A" w:rsidP="00DB62C3">
      <w:pPr>
        <w:jc w:val="both"/>
        <w:rPr>
          <w:noProof/>
          <w:sz w:val="22"/>
          <w:szCs w:val="22"/>
          <w:u w:val="single"/>
          <w:lang w:val="sr-Latn-ME"/>
        </w:rPr>
      </w:pPr>
      <w:r w:rsidRPr="00CB6AFC">
        <w:rPr>
          <w:noProof/>
          <w:sz w:val="22"/>
          <w:szCs w:val="22"/>
          <w:u w:val="single"/>
          <w:lang w:val="sr-Latn-ME"/>
        </w:rPr>
        <w:t>Dojenje</w:t>
      </w:r>
    </w:p>
    <w:p w14:paraId="4B293DD4" w14:textId="77777777" w:rsidR="0019129A" w:rsidRPr="00CB6AFC" w:rsidRDefault="0019129A" w:rsidP="00DB62C3">
      <w:pPr>
        <w:jc w:val="both"/>
        <w:rPr>
          <w:noProof/>
          <w:sz w:val="22"/>
          <w:szCs w:val="22"/>
          <w:lang w:val="sr-Latn-ME"/>
        </w:rPr>
      </w:pPr>
      <w:r w:rsidRPr="00CB6AFC">
        <w:rPr>
          <w:noProof/>
          <w:sz w:val="22"/>
          <w:szCs w:val="22"/>
          <w:lang w:val="sr-Latn-ME"/>
        </w:rPr>
        <w:t>Paracetamol se izlučuje u majčino mlijeko, ali u količini koja nije klinički značajna i prema dostupnim objavljenim podacima dojenje nije kontraindikovano, sve dok se ne prekorači preporučena doza.</w:t>
      </w:r>
    </w:p>
    <w:p w14:paraId="0835CA68" w14:textId="77777777" w:rsidR="0019129A" w:rsidRPr="00CB6AFC" w:rsidRDefault="0019129A" w:rsidP="00DB62C3">
      <w:pPr>
        <w:jc w:val="both"/>
        <w:rPr>
          <w:noProof/>
          <w:sz w:val="22"/>
          <w:szCs w:val="22"/>
          <w:lang w:val="sr-Latn-ME"/>
        </w:rPr>
      </w:pPr>
    </w:p>
    <w:p w14:paraId="12A2A9D6" w14:textId="77777777" w:rsidR="0019129A" w:rsidRPr="00CB6AFC" w:rsidRDefault="0019129A" w:rsidP="00DB62C3">
      <w:pPr>
        <w:jc w:val="both"/>
        <w:rPr>
          <w:noProof/>
          <w:sz w:val="22"/>
          <w:szCs w:val="22"/>
          <w:lang w:val="sr-Latn-ME"/>
        </w:rPr>
      </w:pPr>
      <w:r w:rsidRPr="00CB6AFC">
        <w:rPr>
          <w:noProof/>
          <w:sz w:val="22"/>
          <w:szCs w:val="22"/>
          <w:lang w:val="sr-Latn-ME"/>
        </w:rPr>
        <w:t>Ibuprofen i njegovi metaboliti mogu proći u majčino mlijeko samo u malim količinama. Sa terapijskim dozama tokom kratkotrajnog liječenja, rizik od uticaja na novorođenče čini se malo vjerovatnim.</w:t>
      </w:r>
    </w:p>
    <w:p w14:paraId="055A371C" w14:textId="77777777" w:rsidR="0019129A" w:rsidRPr="00CB6AFC" w:rsidRDefault="0019129A" w:rsidP="00DB62C3">
      <w:pPr>
        <w:jc w:val="both"/>
        <w:rPr>
          <w:noProof/>
          <w:sz w:val="22"/>
          <w:szCs w:val="22"/>
          <w:lang w:val="sr-Latn-ME"/>
        </w:rPr>
      </w:pPr>
    </w:p>
    <w:p w14:paraId="7100E1C5" w14:textId="77777777" w:rsidR="0019129A" w:rsidRPr="00CB6AFC" w:rsidRDefault="0019129A" w:rsidP="00DB62C3">
      <w:pPr>
        <w:jc w:val="both"/>
        <w:rPr>
          <w:noProof/>
          <w:sz w:val="22"/>
          <w:szCs w:val="22"/>
          <w:lang w:val="sr-Latn-ME"/>
        </w:rPr>
      </w:pPr>
      <w:r w:rsidRPr="00CB6AFC">
        <w:rPr>
          <w:noProof/>
          <w:sz w:val="22"/>
          <w:szCs w:val="22"/>
          <w:lang w:val="sr-Latn-ME"/>
        </w:rPr>
        <w:t>Imajući gore navedeno u vidu, prekid dojenja nije potreban kod kratkotrajne primjene ovog lijeka u preporučenim dozama.</w:t>
      </w:r>
    </w:p>
    <w:p w14:paraId="49E23009" w14:textId="77777777" w:rsidR="0019129A" w:rsidRPr="00CB6AFC" w:rsidRDefault="0019129A" w:rsidP="00DB62C3">
      <w:pPr>
        <w:jc w:val="both"/>
        <w:rPr>
          <w:noProof/>
          <w:sz w:val="22"/>
          <w:szCs w:val="22"/>
          <w:u w:val="single"/>
          <w:lang w:val="sr-Latn-ME"/>
        </w:rPr>
      </w:pPr>
    </w:p>
    <w:p w14:paraId="0559B1A6" w14:textId="77777777" w:rsidR="0019129A" w:rsidRPr="00CB6AFC" w:rsidRDefault="0019129A" w:rsidP="00DB62C3">
      <w:pPr>
        <w:jc w:val="both"/>
        <w:rPr>
          <w:noProof/>
          <w:sz w:val="22"/>
          <w:szCs w:val="22"/>
          <w:u w:val="single"/>
          <w:lang w:val="sr-Latn-ME"/>
        </w:rPr>
      </w:pPr>
      <w:r w:rsidRPr="00CB6AFC">
        <w:rPr>
          <w:noProof/>
          <w:sz w:val="22"/>
          <w:szCs w:val="22"/>
          <w:u w:val="single"/>
          <w:lang w:val="sr-Latn-ME"/>
        </w:rPr>
        <w:t>Plodnost</w:t>
      </w:r>
    </w:p>
    <w:p w14:paraId="5D00E1C1" w14:textId="37C654BC" w:rsidR="0019129A" w:rsidRPr="00CB6AFC" w:rsidRDefault="0019129A" w:rsidP="00DB62C3">
      <w:pPr>
        <w:jc w:val="both"/>
        <w:rPr>
          <w:noProof/>
          <w:sz w:val="22"/>
          <w:szCs w:val="22"/>
          <w:lang w:val="sr-Latn-ME"/>
        </w:rPr>
      </w:pPr>
      <w:r w:rsidRPr="00CB6AFC">
        <w:rPr>
          <w:noProof/>
          <w:sz w:val="22"/>
          <w:szCs w:val="22"/>
          <w:lang w:val="sr-Latn-ME"/>
        </w:rPr>
        <w:t>Primjena lijeka može smanjiti plodnost žena i ne preporučuje se ženama koje pokušavaju začeti. Kod žena koje imaju problema sa začećem ili koje prolaze testove utvrđivanja neplodnosti treba razmotriti prekid uzimanja l</w:t>
      </w:r>
      <w:r w:rsidR="0072412C" w:rsidRPr="00CB6AFC">
        <w:rPr>
          <w:noProof/>
          <w:sz w:val="22"/>
          <w:szCs w:val="22"/>
          <w:lang w:val="sr-Latn-ME"/>
        </w:rPr>
        <w:t>ij</w:t>
      </w:r>
      <w:r w:rsidRPr="00CB6AFC">
        <w:rPr>
          <w:noProof/>
          <w:sz w:val="22"/>
          <w:szCs w:val="22"/>
          <w:lang w:val="sr-Latn-ME"/>
        </w:rPr>
        <w:t>eka.</w:t>
      </w:r>
    </w:p>
    <w:p w14:paraId="165240F5" w14:textId="77777777" w:rsidR="002031B3" w:rsidRPr="00CB6AFC" w:rsidRDefault="002031B3" w:rsidP="00DB62C3">
      <w:pPr>
        <w:tabs>
          <w:tab w:val="left" w:pos="540"/>
          <w:tab w:val="left" w:pos="569"/>
        </w:tabs>
        <w:jc w:val="both"/>
        <w:rPr>
          <w:sz w:val="22"/>
          <w:szCs w:val="22"/>
          <w:u w:val="single"/>
          <w:lang w:val="sr-Latn-ME"/>
        </w:rPr>
      </w:pPr>
    </w:p>
    <w:p w14:paraId="165240FA" w14:textId="77777777" w:rsidR="0072020E" w:rsidRPr="00CB6AFC" w:rsidRDefault="0072020E" w:rsidP="00DB62C3">
      <w:pPr>
        <w:tabs>
          <w:tab w:val="left" w:pos="540"/>
          <w:tab w:val="left" w:pos="569"/>
        </w:tabs>
        <w:ind w:left="540" w:hanging="540"/>
        <w:jc w:val="both"/>
        <w:rPr>
          <w:b/>
          <w:bCs/>
          <w:sz w:val="22"/>
          <w:szCs w:val="22"/>
          <w:lang w:val="sr-Latn-ME"/>
        </w:rPr>
      </w:pPr>
      <w:r w:rsidRPr="00CB6AFC">
        <w:rPr>
          <w:b/>
          <w:bCs/>
          <w:sz w:val="22"/>
          <w:szCs w:val="22"/>
          <w:lang w:val="sr-Latn-ME"/>
        </w:rPr>
        <w:t xml:space="preserve">4.7. </w:t>
      </w:r>
      <w:r w:rsidR="00480FB1" w:rsidRPr="00CB6AFC">
        <w:rPr>
          <w:b/>
          <w:bCs/>
          <w:sz w:val="22"/>
          <w:szCs w:val="22"/>
          <w:lang w:val="sr-Latn-ME"/>
        </w:rPr>
        <w:tab/>
      </w:r>
      <w:r w:rsidRPr="00CB6AFC">
        <w:rPr>
          <w:b/>
          <w:bCs/>
          <w:sz w:val="22"/>
          <w:szCs w:val="22"/>
          <w:lang w:val="sr-Latn-ME"/>
        </w:rPr>
        <w:t xml:space="preserve">Uticaj na </w:t>
      </w:r>
      <w:r w:rsidR="002031B3" w:rsidRPr="00CB6AFC">
        <w:rPr>
          <w:b/>
          <w:bCs/>
          <w:sz w:val="22"/>
          <w:szCs w:val="22"/>
          <w:lang w:val="sr-Latn-ME"/>
        </w:rPr>
        <w:t xml:space="preserve">sposobnost </w:t>
      </w:r>
      <w:r w:rsidR="00F34554" w:rsidRPr="00CB6AFC">
        <w:rPr>
          <w:b/>
          <w:bCs/>
          <w:sz w:val="22"/>
          <w:szCs w:val="22"/>
          <w:lang w:val="sr-Latn-ME"/>
        </w:rPr>
        <w:t>upravljanja vozili</w:t>
      </w:r>
      <w:r w:rsidRPr="00CB6AFC">
        <w:rPr>
          <w:b/>
          <w:bCs/>
          <w:sz w:val="22"/>
          <w:szCs w:val="22"/>
          <w:lang w:val="sr-Latn-ME"/>
        </w:rPr>
        <w:t>m</w:t>
      </w:r>
      <w:r w:rsidR="00F34554" w:rsidRPr="00CB6AFC">
        <w:rPr>
          <w:b/>
          <w:bCs/>
          <w:sz w:val="22"/>
          <w:szCs w:val="22"/>
          <w:lang w:val="sr-Latn-ME"/>
        </w:rPr>
        <w:t>a</w:t>
      </w:r>
      <w:r w:rsidRPr="00CB6AFC">
        <w:rPr>
          <w:b/>
          <w:bCs/>
          <w:sz w:val="22"/>
          <w:szCs w:val="22"/>
          <w:lang w:val="sr-Latn-ME"/>
        </w:rPr>
        <w:t xml:space="preserve"> i </w:t>
      </w:r>
      <w:r w:rsidR="000D3449" w:rsidRPr="00CB6AFC">
        <w:rPr>
          <w:b/>
          <w:bCs/>
          <w:sz w:val="22"/>
          <w:szCs w:val="22"/>
          <w:lang w:val="sr-Latn-ME"/>
        </w:rPr>
        <w:t xml:space="preserve">rukovanje </w:t>
      </w:r>
      <w:r w:rsidRPr="00CB6AFC">
        <w:rPr>
          <w:b/>
          <w:bCs/>
          <w:sz w:val="22"/>
          <w:szCs w:val="22"/>
          <w:lang w:val="sr-Latn-ME"/>
        </w:rPr>
        <w:t>mašinama</w:t>
      </w:r>
    </w:p>
    <w:p w14:paraId="165240FB" w14:textId="77777777" w:rsidR="0072020E" w:rsidRPr="00CB6AFC" w:rsidRDefault="0072020E" w:rsidP="00DB62C3">
      <w:pPr>
        <w:tabs>
          <w:tab w:val="left" w:pos="540"/>
          <w:tab w:val="left" w:pos="569"/>
        </w:tabs>
        <w:jc w:val="both"/>
        <w:rPr>
          <w:b/>
          <w:bCs/>
          <w:sz w:val="22"/>
          <w:szCs w:val="22"/>
          <w:lang w:val="sr-Latn-ME"/>
        </w:rPr>
      </w:pPr>
    </w:p>
    <w:p w14:paraId="54C764A4" w14:textId="77777777" w:rsidR="00D34293" w:rsidRPr="00CB6AFC" w:rsidRDefault="00D34293" w:rsidP="00DB62C3">
      <w:pPr>
        <w:jc w:val="both"/>
        <w:rPr>
          <w:noProof/>
          <w:sz w:val="22"/>
          <w:szCs w:val="22"/>
          <w:lang w:val="sr-Latn-ME"/>
        </w:rPr>
      </w:pPr>
      <w:r w:rsidRPr="00CB6AFC">
        <w:rPr>
          <w:noProof/>
          <w:sz w:val="22"/>
          <w:szCs w:val="22"/>
          <w:lang w:val="sr-Latn-ME"/>
        </w:rPr>
        <w:t>Nakon uzimanja NSAIL moguća su neželjena dejstva poput vrtoglavice, pospanosti, umora i smetnji vida. Pacijenti kod kojih se razviju ta neželjena dejstva ne smiju voziti ni rukovati mašinama.</w:t>
      </w:r>
    </w:p>
    <w:p w14:paraId="7280DDBC" w14:textId="77777777" w:rsidR="00D34293" w:rsidRPr="00CB6AFC" w:rsidRDefault="00D34293" w:rsidP="00DB62C3">
      <w:pPr>
        <w:tabs>
          <w:tab w:val="left" w:pos="540"/>
          <w:tab w:val="left" w:pos="569"/>
        </w:tabs>
        <w:jc w:val="both"/>
        <w:rPr>
          <w:b/>
          <w:bCs/>
          <w:sz w:val="22"/>
          <w:szCs w:val="22"/>
          <w:lang w:val="sr-Latn-ME"/>
        </w:rPr>
      </w:pPr>
    </w:p>
    <w:p w14:paraId="165240FC" w14:textId="77777777" w:rsidR="0072020E" w:rsidRPr="00CB6AFC" w:rsidRDefault="0072020E" w:rsidP="00DB62C3">
      <w:pPr>
        <w:tabs>
          <w:tab w:val="left" w:pos="540"/>
          <w:tab w:val="left" w:pos="569"/>
        </w:tabs>
        <w:jc w:val="both"/>
        <w:rPr>
          <w:b/>
          <w:bCs/>
          <w:sz w:val="22"/>
          <w:szCs w:val="22"/>
          <w:lang w:val="sr-Latn-ME"/>
        </w:rPr>
      </w:pPr>
      <w:r w:rsidRPr="00CB6AFC">
        <w:rPr>
          <w:b/>
          <w:bCs/>
          <w:sz w:val="22"/>
          <w:szCs w:val="22"/>
          <w:lang w:val="sr-Latn-ME"/>
        </w:rPr>
        <w:t xml:space="preserve">4.8. </w:t>
      </w:r>
      <w:r w:rsidR="00480FB1" w:rsidRPr="00CB6AFC">
        <w:rPr>
          <w:b/>
          <w:bCs/>
          <w:sz w:val="22"/>
          <w:szCs w:val="22"/>
          <w:lang w:val="sr-Latn-ME"/>
        </w:rPr>
        <w:tab/>
      </w:r>
      <w:r w:rsidRPr="00CB6AFC">
        <w:rPr>
          <w:b/>
          <w:bCs/>
          <w:sz w:val="22"/>
          <w:szCs w:val="22"/>
          <w:lang w:val="sr-Latn-ME"/>
        </w:rPr>
        <w:t>Neželjena dejstva</w:t>
      </w:r>
    </w:p>
    <w:p w14:paraId="165240FD" w14:textId="77777777" w:rsidR="004E70AD" w:rsidRPr="00CB6AFC" w:rsidRDefault="004E70AD" w:rsidP="00DB62C3">
      <w:pPr>
        <w:tabs>
          <w:tab w:val="left" w:pos="540"/>
          <w:tab w:val="left" w:pos="569"/>
        </w:tabs>
        <w:jc w:val="both"/>
        <w:rPr>
          <w:b/>
          <w:bCs/>
          <w:sz w:val="22"/>
          <w:szCs w:val="22"/>
          <w:lang w:val="sr-Latn-ME"/>
        </w:rPr>
      </w:pPr>
    </w:p>
    <w:p w14:paraId="62CC8B70" w14:textId="4D92BA45" w:rsidR="004C43E7" w:rsidRPr="00CB6AFC" w:rsidRDefault="004C43E7" w:rsidP="00DB62C3">
      <w:pPr>
        <w:jc w:val="both"/>
        <w:rPr>
          <w:sz w:val="22"/>
          <w:szCs w:val="22"/>
          <w:lang w:val="sr-Latn-ME"/>
        </w:rPr>
      </w:pPr>
      <w:r w:rsidRPr="00CB6AFC">
        <w:rPr>
          <w:sz w:val="22"/>
          <w:szCs w:val="22"/>
          <w:lang w:val="sr-Latn-ME"/>
        </w:rPr>
        <w:t xml:space="preserve">U kliničkim ispitivanjima sa </w:t>
      </w:r>
      <w:r w:rsidR="0072412C" w:rsidRPr="00CB6AFC">
        <w:rPr>
          <w:sz w:val="22"/>
          <w:szCs w:val="22"/>
          <w:lang w:val="sr-Latn-ME"/>
        </w:rPr>
        <w:t xml:space="preserve">lijekom </w:t>
      </w:r>
      <w:r w:rsidRPr="00CB6AFC">
        <w:rPr>
          <w:noProof/>
          <w:sz w:val="22"/>
          <w:szCs w:val="22"/>
          <w:lang w:val="sr-Latn-ME"/>
        </w:rPr>
        <w:t>Comboval 10 mg/ml + 3 mg/ml</w:t>
      </w:r>
      <w:r w:rsidRPr="00CB6AFC">
        <w:rPr>
          <w:sz w:val="22"/>
          <w:szCs w:val="22"/>
          <w:lang w:val="sr-Latn-ME"/>
        </w:rPr>
        <w:t xml:space="preserve"> rastvor za infuziju i paracetamol 500 mg/ibuprofen 150 mg film tabletama ni</w:t>
      </w:r>
      <w:r w:rsidR="00E4244E" w:rsidRPr="00CB6AFC">
        <w:rPr>
          <w:sz w:val="22"/>
          <w:szCs w:val="22"/>
          <w:lang w:val="sr-Latn-ME"/>
        </w:rPr>
        <w:t>je</w:t>
      </w:r>
      <w:r w:rsidRPr="00CB6AFC">
        <w:rPr>
          <w:sz w:val="22"/>
          <w:szCs w:val="22"/>
          <w:lang w:val="sr-Latn-ME"/>
        </w:rPr>
        <w:t>su zabilježena dodatna neželjena dejstva osim onih koje su zabilježene za paracetamol ili ibuprofen pojedinačno.</w:t>
      </w:r>
    </w:p>
    <w:p w14:paraId="5C0E457E" w14:textId="77777777" w:rsidR="004C43E7" w:rsidRPr="00CB6AFC" w:rsidRDefault="004C43E7" w:rsidP="00DB62C3">
      <w:pPr>
        <w:jc w:val="both"/>
        <w:rPr>
          <w:sz w:val="22"/>
          <w:szCs w:val="22"/>
          <w:lang w:val="sr-Latn-ME"/>
        </w:rPr>
      </w:pPr>
    </w:p>
    <w:p w14:paraId="2A8CCBA4" w14:textId="77777777" w:rsidR="004C43E7" w:rsidRPr="00CB6AFC" w:rsidRDefault="004C43E7" w:rsidP="00DB62C3">
      <w:pPr>
        <w:jc w:val="both"/>
        <w:rPr>
          <w:sz w:val="22"/>
          <w:szCs w:val="22"/>
          <w:lang w:val="sr-Latn-ME"/>
        </w:rPr>
      </w:pPr>
      <w:r w:rsidRPr="00CB6AFC">
        <w:rPr>
          <w:sz w:val="22"/>
          <w:szCs w:val="22"/>
          <w:lang w:val="sr-Latn-ME"/>
        </w:rPr>
        <w:t>Neželjena dejstva navedena u nastavku prikazana su prema MedDRA klasifikaciji sistema organa i učestalosti:</w:t>
      </w:r>
    </w:p>
    <w:p w14:paraId="766D1663" w14:textId="7F1F11D6" w:rsidR="004C43E7" w:rsidRPr="00CB6AFC" w:rsidRDefault="004C43E7" w:rsidP="00DB62C3">
      <w:pPr>
        <w:jc w:val="both"/>
        <w:rPr>
          <w:noProof/>
          <w:sz w:val="22"/>
          <w:szCs w:val="22"/>
          <w:lang w:val="sr-Latn-ME"/>
        </w:rPr>
      </w:pPr>
      <w:r w:rsidRPr="00CB6AFC">
        <w:rPr>
          <w:bCs/>
          <w:color w:val="000000"/>
          <w:sz w:val="22"/>
          <w:szCs w:val="22"/>
          <w:lang w:val="sr-Latn-ME"/>
        </w:rPr>
        <w:t>veoma čest</w:t>
      </w:r>
      <w:r w:rsidR="0072412C" w:rsidRPr="00CB6AFC">
        <w:rPr>
          <w:bCs/>
          <w:color w:val="000000"/>
          <w:sz w:val="22"/>
          <w:szCs w:val="22"/>
          <w:lang w:val="sr-Latn-ME"/>
        </w:rPr>
        <w:t>o</w:t>
      </w:r>
      <w:r w:rsidRPr="00CB6AFC">
        <w:rPr>
          <w:sz w:val="22"/>
          <w:szCs w:val="22"/>
          <w:lang w:val="sr-Latn-ME"/>
        </w:rPr>
        <w:t xml:space="preserve"> (≥</w:t>
      </w:r>
      <w:r w:rsidR="00E4244E" w:rsidRPr="00CB6AFC">
        <w:rPr>
          <w:sz w:val="22"/>
          <w:szCs w:val="22"/>
          <w:lang w:val="sr-Latn-ME"/>
        </w:rPr>
        <w:t xml:space="preserve"> </w:t>
      </w:r>
      <w:r w:rsidRPr="00CB6AFC">
        <w:rPr>
          <w:sz w:val="22"/>
          <w:szCs w:val="22"/>
          <w:lang w:val="sr-Latn-ME"/>
        </w:rPr>
        <w:t>1/10); čest</w:t>
      </w:r>
      <w:r w:rsidR="0072412C" w:rsidRPr="00CB6AFC">
        <w:rPr>
          <w:sz w:val="22"/>
          <w:szCs w:val="22"/>
          <w:lang w:val="sr-Latn-ME"/>
        </w:rPr>
        <w:t>o</w:t>
      </w:r>
      <w:r w:rsidRPr="00CB6AFC">
        <w:rPr>
          <w:sz w:val="22"/>
          <w:szCs w:val="22"/>
          <w:lang w:val="sr-Latn-ME"/>
        </w:rPr>
        <w:t xml:space="preserve"> (≥</w:t>
      </w:r>
      <w:r w:rsidR="00E4244E" w:rsidRPr="00CB6AFC">
        <w:rPr>
          <w:sz w:val="22"/>
          <w:szCs w:val="22"/>
          <w:lang w:val="sr-Latn-ME"/>
        </w:rPr>
        <w:t xml:space="preserve"> </w:t>
      </w:r>
      <w:r w:rsidRPr="00CB6AFC">
        <w:rPr>
          <w:sz w:val="22"/>
          <w:szCs w:val="22"/>
          <w:lang w:val="sr-Latn-ME"/>
        </w:rPr>
        <w:t>1/100 i &lt;</w:t>
      </w:r>
      <w:r w:rsidR="00E4244E" w:rsidRPr="00CB6AFC">
        <w:rPr>
          <w:sz w:val="22"/>
          <w:szCs w:val="22"/>
          <w:lang w:val="sr-Latn-ME"/>
        </w:rPr>
        <w:t xml:space="preserve"> </w:t>
      </w:r>
      <w:r w:rsidRPr="00CB6AFC">
        <w:rPr>
          <w:sz w:val="22"/>
          <w:szCs w:val="22"/>
          <w:lang w:val="sr-Latn-ME"/>
        </w:rPr>
        <w:t xml:space="preserve">1/10); </w:t>
      </w:r>
      <w:r w:rsidRPr="00CB6AFC">
        <w:rPr>
          <w:bCs/>
          <w:color w:val="000000"/>
          <w:sz w:val="22"/>
          <w:szCs w:val="22"/>
          <w:lang w:val="sr-Latn-ME"/>
        </w:rPr>
        <w:t>povremen</w:t>
      </w:r>
      <w:r w:rsidR="0072412C" w:rsidRPr="00CB6AFC">
        <w:rPr>
          <w:bCs/>
          <w:color w:val="000000"/>
          <w:sz w:val="22"/>
          <w:szCs w:val="22"/>
          <w:lang w:val="sr-Latn-ME"/>
        </w:rPr>
        <w:t>o</w:t>
      </w:r>
      <w:r w:rsidRPr="00CB6AFC">
        <w:rPr>
          <w:sz w:val="22"/>
          <w:szCs w:val="22"/>
          <w:lang w:val="sr-Latn-ME"/>
        </w:rPr>
        <w:t xml:space="preserve"> (≥</w:t>
      </w:r>
      <w:r w:rsidR="00E4244E" w:rsidRPr="00CB6AFC">
        <w:rPr>
          <w:sz w:val="22"/>
          <w:szCs w:val="22"/>
          <w:lang w:val="sr-Latn-ME"/>
        </w:rPr>
        <w:t xml:space="preserve"> </w:t>
      </w:r>
      <w:r w:rsidRPr="00CB6AFC">
        <w:rPr>
          <w:sz w:val="22"/>
          <w:szCs w:val="22"/>
          <w:lang w:val="sr-Latn-ME"/>
        </w:rPr>
        <w:t>1/1 000 i &lt;</w:t>
      </w:r>
      <w:r w:rsidR="00E4244E" w:rsidRPr="00CB6AFC">
        <w:rPr>
          <w:sz w:val="22"/>
          <w:szCs w:val="22"/>
          <w:lang w:val="sr-Latn-ME"/>
        </w:rPr>
        <w:t xml:space="preserve"> </w:t>
      </w:r>
      <w:r w:rsidRPr="00CB6AFC">
        <w:rPr>
          <w:sz w:val="22"/>
          <w:szCs w:val="22"/>
          <w:lang w:val="sr-Latn-ME"/>
        </w:rPr>
        <w:t>1/100); rijetk</w:t>
      </w:r>
      <w:r w:rsidR="0072412C" w:rsidRPr="00CB6AFC">
        <w:rPr>
          <w:sz w:val="22"/>
          <w:szCs w:val="22"/>
          <w:lang w:val="sr-Latn-ME"/>
        </w:rPr>
        <w:t>o</w:t>
      </w:r>
      <w:r w:rsidRPr="00CB6AFC">
        <w:rPr>
          <w:sz w:val="22"/>
          <w:szCs w:val="22"/>
          <w:lang w:val="sr-Latn-ME"/>
        </w:rPr>
        <w:t xml:space="preserve"> (≥</w:t>
      </w:r>
      <w:r w:rsidR="00E4244E" w:rsidRPr="00CB6AFC">
        <w:rPr>
          <w:sz w:val="22"/>
          <w:szCs w:val="22"/>
          <w:lang w:val="sr-Latn-ME"/>
        </w:rPr>
        <w:t xml:space="preserve"> </w:t>
      </w:r>
      <w:r w:rsidRPr="00CB6AFC">
        <w:rPr>
          <w:sz w:val="22"/>
          <w:szCs w:val="22"/>
          <w:lang w:val="sr-Latn-ME"/>
        </w:rPr>
        <w:t>1/10 000 i &lt;</w:t>
      </w:r>
      <w:r w:rsidR="00E4244E" w:rsidRPr="00CB6AFC">
        <w:rPr>
          <w:sz w:val="22"/>
          <w:szCs w:val="22"/>
          <w:lang w:val="sr-Latn-ME"/>
        </w:rPr>
        <w:t xml:space="preserve"> </w:t>
      </w:r>
      <w:r w:rsidRPr="00CB6AFC">
        <w:rPr>
          <w:sz w:val="22"/>
          <w:szCs w:val="22"/>
          <w:lang w:val="sr-Latn-ME"/>
        </w:rPr>
        <w:t>1/1 000); veoma rijetk</w:t>
      </w:r>
      <w:r w:rsidR="0072412C" w:rsidRPr="00CB6AFC">
        <w:rPr>
          <w:sz w:val="22"/>
          <w:szCs w:val="22"/>
          <w:lang w:val="sr-Latn-ME"/>
        </w:rPr>
        <w:t>o</w:t>
      </w:r>
      <w:r w:rsidRPr="00CB6AFC">
        <w:rPr>
          <w:sz w:val="22"/>
          <w:szCs w:val="22"/>
          <w:lang w:val="sr-Latn-ME"/>
        </w:rPr>
        <w:t xml:space="preserve"> (&lt;</w:t>
      </w:r>
      <w:r w:rsidR="00E4244E" w:rsidRPr="00CB6AFC">
        <w:rPr>
          <w:sz w:val="22"/>
          <w:szCs w:val="22"/>
          <w:lang w:val="sr-Latn-ME"/>
        </w:rPr>
        <w:t xml:space="preserve"> </w:t>
      </w:r>
      <w:r w:rsidRPr="00CB6AFC">
        <w:rPr>
          <w:sz w:val="22"/>
          <w:szCs w:val="22"/>
          <w:lang w:val="sr-Latn-ME"/>
        </w:rPr>
        <w:t xml:space="preserve">1/10 000); nepoznata </w:t>
      </w:r>
      <w:r w:rsidRPr="00CB6AFC">
        <w:rPr>
          <w:iCs/>
          <w:color w:val="000000"/>
          <w:sz w:val="22"/>
          <w:szCs w:val="22"/>
          <w:lang w:val="sr-Latn-ME"/>
        </w:rPr>
        <w:t>učestalost</w:t>
      </w:r>
      <w:r w:rsidRPr="00CB6AFC">
        <w:rPr>
          <w:sz w:val="22"/>
          <w:szCs w:val="22"/>
          <w:lang w:val="sr-Latn-ME"/>
        </w:rPr>
        <w:t xml:space="preserve"> (</w:t>
      </w:r>
      <w:r w:rsidRPr="00CB6AFC">
        <w:rPr>
          <w:iCs/>
          <w:color w:val="000000"/>
          <w:sz w:val="22"/>
          <w:szCs w:val="22"/>
          <w:lang w:val="sr-Latn-ME"/>
        </w:rPr>
        <w:t xml:space="preserve">ne može </w:t>
      </w:r>
      <w:r w:rsidR="0072412C" w:rsidRPr="00CB6AFC">
        <w:rPr>
          <w:iCs/>
          <w:color w:val="000000"/>
          <w:sz w:val="22"/>
          <w:szCs w:val="22"/>
          <w:lang w:val="sr-Latn-ME"/>
        </w:rPr>
        <w:t>se</w:t>
      </w:r>
      <w:r w:rsidRPr="00CB6AFC">
        <w:rPr>
          <w:iCs/>
          <w:color w:val="000000"/>
          <w:sz w:val="22"/>
          <w:szCs w:val="22"/>
          <w:lang w:val="sr-Latn-ME"/>
        </w:rPr>
        <w:t xml:space="preserve"> procijen</w:t>
      </w:r>
      <w:r w:rsidR="0072412C" w:rsidRPr="00CB6AFC">
        <w:rPr>
          <w:iCs/>
          <w:color w:val="000000"/>
          <w:sz w:val="22"/>
          <w:szCs w:val="22"/>
          <w:lang w:val="sr-Latn-ME"/>
        </w:rPr>
        <w:t>iti</w:t>
      </w:r>
      <w:r w:rsidRPr="00CB6AFC">
        <w:rPr>
          <w:iCs/>
          <w:color w:val="000000"/>
          <w:sz w:val="22"/>
          <w:szCs w:val="22"/>
          <w:lang w:val="sr-Latn-ME"/>
        </w:rPr>
        <w:t xml:space="preserve"> na osnovu dostupnih podataka</w:t>
      </w:r>
      <w:r w:rsidRPr="00CB6AFC">
        <w:rPr>
          <w:sz w:val="22"/>
          <w:szCs w:val="22"/>
          <w:lang w:val="sr-Latn-ME"/>
        </w:rPr>
        <w:t>)</w:t>
      </w:r>
    </w:p>
    <w:p w14:paraId="5200BC90" w14:textId="77777777" w:rsidR="004C43E7" w:rsidRPr="00CB6AFC" w:rsidRDefault="004C43E7" w:rsidP="00DB62C3">
      <w:pPr>
        <w:pStyle w:val="Header"/>
        <w:tabs>
          <w:tab w:val="left" w:pos="284"/>
        </w:tabs>
        <w:jc w:val="both"/>
        <w:rPr>
          <w:noProof/>
          <w:sz w:val="22"/>
          <w:szCs w:val="22"/>
          <w:lang w:val="sr-Latn-M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6594"/>
      </w:tblGrid>
      <w:tr w:rsidR="004C43E7" w:rsidRPr="00CB6AFC" w14:paraId="6A7D4891" w14:textId="77777777" w:rsidTr="00ED4B2E">
        <w:tc>
          <w:tcPr>
            <w:tcW w:w="2478" w:type="dxa"/>
          </w:tcPr>
          <w:p w14:paraId="014ED009"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t>Infekcije i infestacije</w:t>
            </w:r>
          </w:p>
        </w:tc>
        <w:tc>
          <w:tcPr>
            <w:tcW w:w="6594" w:type="dxa"/>
          </w:tcPr>
          <w:p w14:paraId="478F9614"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 xml:space="preserve">Veoma rijetko: </w:t>
            </w:r>
            <w:r w:rsidRPr="00CB6AFC">
              <w:rPr>
                <w:rFonts w:eastAsia="Calibri"/>
                <w:bCs/>
                <w:sz w:val="22"/>
                <w:szCs w:val="22"/>
                <w:lang w:val="sr-Latn-ME"/>
              </w:rPr>
              <w:t>Egzacerbacija upala povezanih sa infekcijom</w:t>
            </w:r>
            <w:r w:rsidRPr="00CB6AFC">
              <w:rPr>
                <w:rFonts w:eastAsia="Calibri"/>
                <w:b/>
                <w:sz w:val="22"/>
                <w:szCs w:val="22"/>
                <w:lang w:val="sr-Latn-ME"/>
              </w:rPr>
              <w:t xml:space="preserve"> </w:t>
            </w:r>
            <w:r w:rsidRPr="00CB6AFC">
              <w:rPr>
                <w:rFonts w:eastAsia="Calibri"/>
                <w:sz w:val="22"/>
                <w:szCs w:val="22"/>
                <w:lang w:val="sr-Latn-ME"/>
              </w:rPr>
              <w:t xml:space="preserve">(npr. razvoj nekrotizirajućeg fasciitisa) opisana je kao vremenski povezana sa upotrebom NSAIL. </w:t>
            </w:r>
          </w:p>
        </w:tc>
      </w:tr>
      <w:tr w:rsidR="004C43E7" w:rsidRPr="00CB6AFC" w14:paraId="6A4D0240" w14:textId="77777777" w:rsidTr="00ED4B2E">
        <w:tc>
          <w:tcPr>
            <w:tcW w:w="2478" w:type="dxa"/>
          </w:tcPr>
          <w:p w14:paraId="6355DD08"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t>Poremećaji krvi i limfnog sistema</w:t>
            </w:r>
          </w:p>
        </w:tc>
        <w:tc>
          <w:tcPr>
            <w:tcW w:w="6594" w:type="dxa"/>
          </w:tcPr>
          <w:p w14:paraId="700D6D7F"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Povremeno</w:t>
            </w:r>
            <w:r w:rsidRPr="00CB6AFC">
              <w:rPr>
                <w:rFonts w:eastAsia="Calibri"/>
                <w:sz w:val="22"/>
                <w:szCs w:val="22"/>
                <w:lang w:val="sr-Latn-ME"/>
              </w:rPr>
              <w:t>: Smanjenje vrijednosti hemoglobina i hematokrita. Iako nije utvrđena uzročna veza, tokom liječenja lijekom zabilježene su epizode krvarenja (npr. epistaksa, menoragija).</w:t>
            </w:r>
          </w:p>
          <w:p w14:paraId="4E2E8910" w14:textId="2E5472EA"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Veoma rijetko</w:t>
            </w:r>
            <w:r w:rsidRPr="00CB6AFC">
              <w:rPr>
                <w:rFonts w:eastAsia="Calibri"/>
                <w:sz w:val="22"/>
                <w:szCs w:val="22"/>
                <w:lang w:val="sr-Latn-ME"/>
              </w:rPr>
              <w:t>: Nakon primjene ibuprofena prijavljeni su hematopoetski poremećaji (agranulocitoza, anemija, aplastična anemija, hemolitička anemija, leukopenija, neutropenija, pancitopenija i trombocitopenija sa purpurom ili bez nje), ali ni</w:t>
            </w:r>
            <w:r w:rsidR="009C21B1" w:rsidRPr="00CB6AFC">
              <w:rPr>
                <w:rFonts w:eastAsia="Calibri"/>
                <w:sz w:val="22"/>
                <w:szCs w:val="22"/>
                <w:lang w:val="sr-Latn-ME"/>
              </w:rPr>
              <w:t>je</w:t>
            </w:r>
            <w:r w:rsidRPr="00CB6AFC">
              <w:rPr>
                <w:rFonts w:eastAsia="Calibri"/>
                <w:sz w:val="22"/>
                <w:szCs w:val="22"/>
                <w:lang w:val="sr-Latn-ME"/>
              </w:rPr>
              <w:t>su nužno uzročno povezani sa lijekom.</w:t>
            </w:r>
          </w:p>
        </w:tc>
      </w:tr>
      <w:tr w:rsidR="004C43E7" w:rsidRPr="00CB6AFC" w14:paraId="2259603B" w14:textId="77777777" w:rsidTr="00ED4B2E">
        <w:tc>
          <w:tcPr>
            <w:tcW w:w="2478" w:type="dxa"/>
          </w:tcPr>
          <w:p w14:paraId="275C507B"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lastRenderedPageBreak/>
              <w:t>Poremećaji imunskog sistema</w:t>
            </w:r>
          </w:p>
        </w:tc>
        <w:tc>
          <w:tcPr>
            <w:tcW w:w="6594" w:type="dxa"/>
          </w:tcPr>
          <w:p w14:paraId="1B88427F" w14:textId="6C191B59"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Veoma rijetko</w:t>
            </w:r>
            <w:r w:rsidRPr="00CB6AFC">
              <w:rPr>
                <w:rFonts w:eastAsia="Calibri"/>
                <w:sz w:val="22"/>
                <w:szCs w:val="22"/>
                <w:lang w:val="sr-Latn-ME"/>
              </w:rPr>
              <w:t>: Zabilježene su reakcije preos</w:t>
            </w:r>
            <w:r w:rsidR="0072412C" w:rsidRPr="00CB6AFC">
              <w:rPr>
                <w:rFonts w:eastAsia="Calibri"/>
                <w:sz w:val="22"/>
                <w:szCs w:val="22"/>
                <w:lang w:val="sr-Latn-ME"/>
              </w:rPr>
              <w:t>j</w:t>
            </w:r>
            <w:r w:rsidRPr="00CB6AFC">
              <w:rPr>
                <w:rFonts w:eastAsia="Calibri"/>
                <w:sz w:val="22"/>
                <w:szCs w:val="22"/>
                <w:lang w:val="sr-Latn-ME"/>
              </w:rPr>
              <w:t>etljivosti, uključujući osip na koži i ukrštenu os</w:t>
            </w:r>
            <w:r w:rsidR="0072412C" w:rsidRPr="00CB6AFC">
              <w:rPr>
                <w:rFonts w:eastAsia="Calibri"/>
                <w:sz w:val="22"/>
                <w:szCs w:val="22"/>
                <w:lang w:val="sr-Latn-ME"/>
              </w:rPr>
              <w:t>j</w:t>
            </w:r>
            <w:r w:rsidRPr="00CB6AFC">
              <w:rPr>
                <w:rFonts w:eastAsia="Calibri"/>
                <w:sz w:val="22"/>
                <w:szCs w:val="22"/>
                <w:lang w:val="sr-Latn-ME"/>
              </w:rPr>
              <w:t>etljivost na simpatomimetike.</w:t>
            </w:r>
          </w:p>
          <w:p w14:paraId="556BC45F" w14:textId="0904E69A"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Povremeno</w:t>
            </w:r>
            <w:r w:rsidRPr="00CB6AFC">
              <w:rPr>
                <w:rFonts w:eastAsia="Calibri"/>
                <w:sz w:val="22"/>
                <w:szCs w:val="22"/>
                <w:lang w:val="sr-Latn-ME"/>
              </w:rPr>
              <w:t>: Zabilježene su druge alergijske reakcije, ali uzročno-posl</w:t>
            </w:r>
            <w:r w:rsidR="0072412C" w:rsidRPr="00CB6AFC">
              <w:rPr>
                <w:rFonts w:eastAsia="Calibri"/>
                <w:sz w:val="22"/>
                <w:szCs w:val="22"/>
                <w:lang w:val="sr-Latn-ME"/>
              </w:rPr>
              <w:t>j</w:t>
            </w:r>
            <w:r w:rsidRPr="00CB6AFC">
              <w:rPr>
                <w:rFonts w:eastAsia="Calibri"/>
                <w:sz w:val="22"/>
                <w:szCs w:val="22"/>
                <w:lang w:val="sr-Latn-ME"/>
              </w:rPr>
              <w:t xml:space="preserve">edična veza nije utvrđena: serumska bolest, sindrom eritemskog lupusa, eritematoza, </w:t>
            </w:r>
            <w:r w:rsidRPr="00CB6AFC">
              <w:rPr>
                <w:rFonts w:eastAsia="Calibri"/>
                <w:i/>
                <w:iCs/>
                <w:sz w:val="22"/>
                <w:szCs w:val="22"/>
                <w:lang w:val="sr-Latn-ME"/>
              </w:rPr>
              <w:t>Henoch-Schönlein</w:t>
            </w:r>
            <w:r w:rsidRPr="00CB6AFC">
              <w:rPr>
                <w:rFonts w:eastAsia="Calibri"/>
                <w:sz w:val="22"/>
                <w:szCs w:val="22"/>
                <w:lang w:val="sr-Latn-ME"/>
              </w:rPr>
              <w:t xml:space="preserve"> vaskulitis, angioedem.</w:t>
            </w:r>
          </w:p>
        </w:tc>
      </w:tr>
      <w:tr w:rsidR="004C43E7" w:rsidRPr="00CB6AFC" w14:paraId="34703302" w14:textId="77777777" w:rsidTr="00ED4B2E">
        <w:tc>
          <w:tcPr>
            <w:tcW w:w="2478" w:type="dxa"/>
          </w:tcPr>
          <w:p w14:paraId="59CD8A9A"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t>Poremećaji metabolizma i ishrane</w:t>
            </w:r>
          </w:p>
        </w:tc>
        <w:tc>
          <w:tcPr>
            <w:tcW w:w="6594" w:type="dxa"/>
          </w:tcPr>
          <w:p w14:paraId="58FDCC7D" w14:textId="2EE16D3C" w:rsidR="00902843" w:rsidRPr="00CB6AFC" w:rsidRDefault="00902843" w:rsidP="00B60D99">
            <w:pPr>
              <w:spacing w:before="40" w:after="40" w:line="259" w:lineRule="auto"/>
              <w:rPr>
                <w:rFonts w:eastAsia="Calibri"/>
                <w:sz w:val="22"/>
                <w:szCs w:val="22"/>
                <w:lang w:val="sr-Latn-ME"/>
              </w:rPr>
            </w:pPr>
            <w:r w:rsidRPr="00CB6AFC">
              <w:rPr>
                <w:rFonts w:eastAsia="Calibri"/>
                <w:b/>
                <w:sz w:val="22"/>
                <w:szCs w:val="22"/>
                <w:lang w:val="sr-Latn-ME"/>
              </w:rPr>
              <w:t>Veoma r</w:t>
            </w:r>
            <w:r w:rsidR="0072412C" w:rsidRPr="00CB6AFC">
              <w:rPr>
                <w:rFonts w:eastAsia="Calibri"/>
                <w:b/>
                <w:sz w:val="22"/>
                <w:szCs w:val="22"/>
                <w:lang w:val="sr-Latn-ME"/>
              </w:rPr>
              <w:t>ij</w:t>
            </w:r>
            <w:r w:rsidRPr="00CB6AFC">
              <w:rPr>
                <w:rFonts w:eastAsia="Calibri"/>
                <w:b/>
                <w:sz w:val="22"/>
                <w:szCs w:val="22"/>
                <w:lang w:val="sr-Latn-ME"/>
              </w:rPr>
              <w:t>etko</w:t>
            </w:r>
            <w:r w:rsidRPr="00CB6AFC">
              <w:rPr>
                <w:rFonts w:eastAsia="Calibri"/>
                <w:sz w:val="22"/>
                <w:szCs w:val="22"/>
                <w:lang w:val="sr-Latn-ME"/>
              </w:rPr>
              <w:t>: Metabolička neželjena dejstva, koja uključuju hipokal</w:t>
            </w:r>
            <w:r w:rsidR="009C21B1" w:rsidRPr="00CB6AFC">
              <w:rPr>
                <w:rFonts w:eastAsia="Calibri"/>
                <w:sz w:val="22"/>
                <w:szCs w:val="22"/>
                <w:lang w:val="sr-Latn-ME"/>
              </w:rPr>
              <w:t>ij</w:t>
            </w:r>
            <w:r w:rsidRPr="00CB6AFC">
              <w:rPr>
                <w:rFonts w:eastAsia="Calibri"/>
                <w:sz w:val="22"/>
                <w:szCs w:val="22"/>
                <w:lang w:val="sr-Latn-ME"/>
              </w:rPr>
              <w:t>emiju.</w:t>
            </w:r>
          </w:p>
          <w:p w14:paraId="4BFA51B6"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Povremeno</w:t>
            </w:r>
            <w:r w:rsidRPr="00CB6AFC">
              <w:rPr>
                <w:rFonts w:eastAsia="Calibri"/>
                <w:sz w:val="22"/>
                <w:szCs w:val="22"/>
                <w:lang w:val="sr-Latn-ME"/>
              </w:rPr>
              <w:t>: Ginekomastija, hipoglikemijska reakcija.</w:t>
            </w:r>
          </w:p>
          <w:p w14:paraId="0FD9DFED" w14:textId="6709765A" w:rsidR="00902843" w:rsidRPr="00CB6AFC" w:rsidRDefault="00902843" w:rsidP="00B60D99">
            <w:pPr>
              <w:spacing w:before="40" w:after="40" w:line="259" w:lineRule="auto"/>
              <w:rPr>
                <w:rFonts w:eastAsia="Calibri"/>
                <w:b/>
                <w:sz w:val="22"/>
                <w:szCs w:val="22"/>
                <w:lang w:val="sr-Latn-ME"/>
              </w:rPr>
            </w:pPr>
            <w:r w:rsidRPr="00CB6AFC">
              <w:rPr>
                <w:rFonts w:eastAsia="Calibri"/>
                <w:b/>
                <w:bCs/>
                <w:sz w:val="22"/>
                <w:szCs w:val="22"/>
                <w:lang w:val="sr-Latn-ME"/>
              </w:rPr>
              <w:t>Nepoznato</w:t>
            </w:r>
            <w:r w:rsidRPr="00CB6AFC">
              <w:rPr>
                <w:rFonts w:eastAsia="Calibri"/>
                <w:sz w:val="22"/>
                <w:szCs w:val="22"/>
                <w:lang w:val="sr-Latn-ME"/>
              </w:rPr>
              <w:t>: Metabolička acidoza sa povećanim anjonskim zjapom.</w:t>
            </w:r>
          </w:p>
        </w:tc>
      </w:tr>
      <w:tr w:rsidR="004C43E7" w:rsidRPr="00CB6AFC" w14:paraId="6BD5CAE4" w14:textId="77777777" w:rsidTr="00ED4B2E">
        <w:tc>
          <w:tcPr>
            <w:tcW w:w="2478" w:type="dxa"/>
          </w:tcPr>
          <w:p w14:paraId="4F619823"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t>Poremećaji nervnog sistema</w:t>
            </w:r>
          </w:p>
        </w:tc>
        <w:tc>
          <w:tcPr>
            <w:tcW w:w="6594" w:type="dxa"/>
          </w:tcPr>
          <w:p w14:paraId="6E164A55"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Često</w:t>
            </w:r>
            <w:r w:rsidRPr="00CB6AFC">
              <w:rPr>
                <w:rFonts w:eastAsia="Calibri"/>
                <w:sz w:val="22"/>
                <w:szCs w:val="22"/>
                <w:lang w:val="sr-Latn-ME"/>
              </w:rPr>
              <w:t>: Vrtoglavica, glavobolja, nervoza.</w:t>
            </w:r>
          </w:p>
          <w:p w14:paraId="682E93FD" w14:textId="0BB617E6"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Povremeno</w:t>
            </w:r>
            <w:r w:rsidRPr="00CB6AFC">
              <w:rPr>
                <w:rFonts w:eastAsia="Calibri"/>
                <w:sz w:val="22"/>
                <w:szCs w:val="22"/>
                <w:lang w:val="sr-Latn-ME"/>
              </w:rPr>
              <w:t xml:space="preserve">: Depresija, nesanica, zbunjenost, emocionalna labilnost, pospanost, aseptički meningitis sa </w:t>
            </w:r>
            <w:r w:rsidR="0072412C" w:rsidRPr="00CB6AFC">
              <w:rPr>
                <w:rFonts w:eastAsia="Calibri"/>
                <w:sz w:val="22"/>
                <w:szCs w:val="22"/>
                <w:lang w:val="sr-Latn-ME"/>
              </w:rPr>
              <w:t>povišenom tjelesnom temperaturom</w:t>
            </w:r>
            <w:r w:rsidRPr="00CB6AFC">
              <w:rPr>
                <w:rFonts w:eastAsia="Calibri"/>
                <w:sz w:val="22"/>
                <w:szCs w:val="22"/>
                <w:lang w:val="sr-Latn-ME"/>
              </w:rPr>
              <w:t xml:space="preserve"> i komom.</w:t>
            </w:r>
          </w:p>
          <w:p w14:paraId="5DF04D84"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Rijetko</w:t>
            </w:r>
            <w:r w:rsidRPr="00CB6AFC">
              <w:rPr>
                <w:rFonts w:eastAsia="Calibri"/>
                <w:sz w:val="22"/>
                <w:szCs w:val="22"/>
                <w:lang w:val="sr-Latn-ME"/>
              </w:rPr>
              <w:t>: Parestezija, halucinacije, poremećeni snovi.</w:t>
            </w:r>
          </w:p>
          <w:p w14:paraId="66DA9D6A"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Veoma rijetko</w:t>
            </w:r>
            <w:r w:rsidRPr="00CB6AFC">
              <w:rPr>
                <w:rFonts w:eastAsia="Calibri"/>
                <w:sz w:val="22"/>
                <w:szCs w:val="22"/>
                <w:lang w:val="sr-Latn-ME"/>
              </w:rPr>
              <w:t>: Paradoksalna stimulacija, optički neuritis, psihomotorno oštećenje, ekstrapiramidalni efekti, tremor i konvulzije.</w:t>
            </w:r>
          </w:p>
        </w:tc>
      </w:tr>
      <w:tr w:rsidR="004C43E7" w:rsidRPr="00CB6AFC" w14:paraId="3BF1CD58" w14:textId="77777777" w:rsidTr="00ED4B2E">
        <w:tc>
          <w:tcPr>
            <w:tcW w:w="2478" w:type="dxa"/>
          </w:tcPr>
          <w:p w14:paraId="03D56F70"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t>Poremećaji oka</w:t>
            </w:r>
          </w:p>
        </w:tc>
        <w:tc>
          <w:tcPr>
            <w:tcW w:w="6594" w:type="dxa"/>
          </w:tcPr>
          <w:p w14:paraId="2E20D0AA"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 xml:space="preserve">Povremeno: </w:t>
            </w:r>
            <w:r w:rsidRPr="00CB6AFC">
              <w:rPr>
                <w:rFonts w:eastAsia="Calibri"/>
                <w:bCs/>
                <w:sz w:val="22"/>
                <w:szCs w:val="22"/>
                <w:lang w:val="sr-Latn-ME"/>
              </w:rPr>
              <w:t>Javlja se a</w:t>
            </w:r>
            <w:r w:rsidRPr="00CB6AFC">
              <w:rPr>
                <w:rFonts w:eastAsia="Calibri"/>
                <w:sz w:val="22"/>
                <w:szCs w:val="22"/>
                <w:lang w:val="sr-Latn-ME"/>
              </w:rPr>
              <w:t>mbliopija (zamagljen i/ili oslabljen vid, skotomi i/ili promjene u percepciji boje), ali obično nestaje nakon prestanka uzimanja lijeka. Svaki pacijent koji ima očne probleme treba da uradi oftalmološki pregled koji uključuje ispitivanje centralnog vidnog polja.</w:t>
            </w:r>
          </w:p>
        </w:tc>
      </w:tr>
      <w:tr w:rsidR="004C43E7" w:rsidRPr="00CB6AFC" w14:paraId="4A67D104" w14:textId="77777777" w:rsidTr="00ED4B2E">
        <w:tc>
          <w:tcPr>
            <w:tcW w:w="2478" w:type="dxa"/>
          </w:tcPr>
          <w:p w14:paraId="465F7CAA" w14:textId="77777777" w:rsidR="004C43E7" w:rsidRPr="00CB6AFC" w:rsidRDefault="004C43E7" w:rsidP="00B60D99">
            <w:pPr>
              <w:spacing w:before="40" w:after="40" w:line="259" w:lineRule="auto"/>
              <w:rPr>
                <w:rFonts w:eastAsia="Calibri"/>
                <w:b/>
                <w:sz w:val="22"/>
                <w:szCs w:val="22"/>
                <w:highlight w:val="yellow"/>
                <w:lang w:val="sr-Latn-ME"/>
              </w:rPr>
            </w:pPr>
            <w:r w:rsidRPr="00CB6AFC">
              <w:rPr>
                <w:rFonts w:eastAsia="Calibri"/>
                <w:b/>
                <w:sz w:val="22"/>
                <w:szCs w:val="22"/>
                <w:lang w:val="sr-Latn-ME"/>
              </w:rPr>
              <w:t>Poremećaji uha i labirinta</w:t>
            </w:r>
          </w:p>
        </w:tc>
        <w:tc>
          <w:tcPr>
            <w:tcW w:w="6594" w:type="dxa"/>
          </w:tcPr>
          <w:p w14:paraId="583E5B7A"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Veoma rijetko</w:t>
            </w:r>
            <w:r w:rsidRPr="00CB6AFC">
              <w:rPr>
                <w:rFonts w:eastAsia="Calibri"/>
                <w:sz w:val="22"/>
                <w:szCs w:val="22"/>
                <w:lang w:val="sr-Latn-ME"/>
              </w:rPr>
              <w:t>: Vrtoglavica.</w:t>
            </w:r>
          </w:p>
          <w:p w14:paraId="6B48295D"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Često</w:t>
            </w:r>
            <w:r w:rsidRPr="00CB6AFC">
              <w:rPr>
                <w:rFonts w:eastAsia="Calibri"/>
                <w:sz w:val="22"/>
                <w:szCs w:val="22"/>
                <w:lang w:val="sr-Latn-ME"/>
              </w:rPr>
              <w:t>: Tinitus (za ljekove koji sadrže ibuprofen).</w:t>
            </w:r>
          </w:p>
        </w:tc>
      </w:tr>
      <w:tr w:rsidR="004C43E7" w:rsidRPr="00CB6AFC" w14:paraId="2337062D" w14:textId="77777777" w:rsidTr="00ED4B2E">
        <w:tc>
          <w:tcPr>
            <w:tcW w:w="2478" w:type="dxa"/>
          </w:tcPr>
          <w:p w14:paraId="0BCA6697"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t>Kardiološki poremećaji</w:t>
            </w:r>
          </w:p>
        </w:tc>
        <w:tc>
          <w:tcPr>
            <w:tcW w:w="6594" w:type="dxa"/>
          </w:tcPr>
          <w:p w14:paraId="6ECE640D"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Često</w:t>
            </w:r>
            <w:r w:rsidRPr="00CB6AFC">
              <w:rPr>
                <w:rFonts w:eastAsia="Calibri"/>
                <w:sz w:val="22"/>
                <w:szCs w:val="22"/>
                <w:lang w:val="sr-Latn-ME"/>
              </w:rPr>
              <w:t>: Edemi, zadržavanje tečnosti; zadržavanje tečnosti obično nestaje brzo nakon prekida uzimanja lijeka.</w:t>
            </w:r>
          </w:p>
          <w:p w14:paraId="7EE14593"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Veoma rijetko</w:t>
            </w:r>
            <w:r w:rsidRPr="00CB6AFC">
              <w:rPr>
                <w:rFonts w:eastAsia="Calibri"/>
                <w:sz w:val="22"/>
                <w:szCs w:val="22"/>
                <w:lang w:val="sr-Latn-ME"/>
              </w:rPr>
              <w:t>: Prijavljeni su palpitacije, tahikardija, aritmije i druge promjene srčanog ritma. Hipertenzija i insuficijencija srca se povezuju sa NSAIL.</w:t>
            </w:r>
          </w:p>
        </w:tc>
      </w:tr>
      <w:tr w:rsidR="004C43E7" w:rsidRPr="00CB6AFC" w14:paraId="18D31DAC" w14:textId="77777777" w:rsidTr="00ED4B2E">
        <w:tc>
          <w:tcPr>
            <w:tcW w:w="2478" w:type="dxa"/>
          </w:tcPr>
          <w:p w14:paraId="10F4A3DF"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t>Respiratorni, torakalni i medijastinalni poremećaji</w:t>
            </w:r>
          </w:p>
        </w:tc>
        <w:tc>
          <w:tcPr>
            <w:tcW w:w="6594" w:type="dxa"/>
          </w:tcPr>
          <w:p w14:paraId="143F6C58"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Povremeno</w:t>
            </w:r>
            <w:r w:rsidRPr="00CB6AFC">
              <w:rPr>
                <w:rFonts w:eastAsia="Calibri"/>
                <w:sz w:val="22"/>
                <w:szCs w:val="22"/>
                <w:lang w:val="sr-Latn-ME"/>
              </w:rPr>
              <w:t>: Zgušnjavanje sekreta iz disajnih puteva. Kod djece koja su podvrgnuta tonzilektomiji, zabilježen je stridor. Zabilježena je hipoksemija.</w:t>
            </w:r>
          </w:p>
          <w:p w14:paraId="602C26A3"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Veoma rijetko</w:t>
            </w:r>
            <w:r w:rsidRPr="00CB6AFC">
              <w:rPr>
                <w:rFonts w:eastAsia="Calibri"/>
                <w:sz w:val="22"/>
                <w:szCs w:val="22"/>
                <w:lang w:val="sr-Latn-ME"/>
              </w:rPr>
              <w:t>: Respiratorna reaktivnost, uključujući astmu, pogoršanje astme, bronhospazam i dispneju.</w:t>
            </w:r>
          </w:p>
        </w:tc>
      </w:tr>
      <w:tr w:rsidR="004C43E7" w:rsidRPr="00CB6AFC" w14:paraId="3FB0C935" w14:textId="77777777" w:rsidTr="00ED4B2E">
        <w:tc>
          <w:tcPr>
            <w:tcW w:w="2478" w:type="dxa"/>
          </w:tcPr>
          <w:p w14:paraId="76261CE2"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t>Gastrointestinalni poremećaji</w:t>
            </w:r>
          </w:p>
        </w:tc>
        <w:tc>
          <w:tcPr>
            <w:tcW w:w="6594" w:type="dxa"/>
          </w:tcPr>
          <w:p w14:paraId="2F2EFC4B" w14:textId="69C48EA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Često</w:t>
            </w:r>
            <w:r w:rsidRPr="00CB6AFC">
              <w:rPr>
                <w:rFonts w:eastAsia="Calibri"/>
                <w:sz w:val="22"/>
                <w:szCs w:val="22"/>
                <w:lang w:val="sr-Latn-ME"/>
              </w:rPr>
              <w:t xml:space="preserve">: Bol u abdomenu, dijareja, dispepsija, mučnina, nelagoda u želucu i povraćanje, flatulencija, zatvor, lagano krvarenje iz gastrointestinalnog trakta koje u </w:t>
            </w:r>
            <w:r w:rsidR="003B576C" w:rsidRPr="00CB6AFC">
              <w:rPr>
                <w:rFonts w:eastAsia="Calibri"/>
                <w:sz w:val="22"/>
                <w:szCs w:val="22"/>
                <w:lang w:val="sr-Latn-ME"/>
              </w:rPr>
              <w:t>pojedinim</w:t>
            </w:r>
            <w:r w:rsidRPr="00CB6AFC">
              <w:rPr>
                <w:rFonts w:eastAsia="Calibri"/>
                <w:sz w:val="22"/>
                <w:szCs w:val="22"/>
                <w:lang w:val="sr-Latn-ME"/>
              </w:rPr>
              <w:t xml:space="preserve"> slučajevima može uzrokovati anemiju.</w:t>
            </w:r>
          </w:p>
          <w:p w14:paraId="16C90CE9" w14:textId="77777777" w:rsidR="00F7517A"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Povremeno</w:t>
            </w:r>
            <w:r w:rsidRPr="00CB6AFC">
              <w:rPr>
                <w:rFonts w:eastAsia="Calibri"/>
                <w:sz w:val="22"/>
                <w:szCs w:val="22"/>
                <w:lang w:val="sr-Latn-ME"/>
              </w:rPr>
              <w:t xml:space="preserve">: Peptički/gastrointestinalni ulkus, perforacija ili gastrointestinalno krvarenje, sa simptomima melene i hematemeze, ponekad sa smrtnim ishodom, posebno kod starijih osoba. Ulcerozni stomatitis i egzacerbacija ulceroznog kolitisa i </w:t>
            </w:r>
            <w:r w:rsidRPr="00CB6AFC">
              <w:rPr>
                <w:rFonts w:eastAsia="Calibri"/>
                <w:i/>
                <w:iCs/>
                <w:sz w:val="22"/>
                <w:szCs w:val="22"/>
                <w:lang w:val="sr-Latn-ME"/>
              </w:rPr>
              <w:t>Crohn</w:t>
            </w:r>
            <w:r w:rsidR="003B576C" w:rsidRPr="00CB6AFC">
              <w:rPr>
                <w:rFonts w:eastAsia="Calibri"/>
                <w:sz w:val="22"/>
                <w:szCs w:val="22"/>
                <w:lang w:val="sr-Latn-ME"/>
              </w:rPr>
              <w:t>-</w:t>
            </w:r>
            <w:r w:rsidRPr="00CB6AFC">
              <w:rPr>
                <w:rFonts w:eastAsia="Calibri"/>
                <w:sz w:val="22"/>
                <w:szCs w:val="22"/>
                <w:lang w:val="sr-Latn-ME"/>
              </w:rPr>
              <w:t>ove bolesti prijavljeni su nakon primjene lijeka. Gastritis i pankreatitis</w:t>
            </w:r>
            <w:r w:rsidR="003B576C" w:rsidRPr="00CB6AFC">
              <w:rPr>
                <w:rFonts w:eastAsia="Calibri"/>
                <w:sz w:val="22"/>
                <w:szCs w:val="22"/>
                <w:lang w:val="sr-Latn-ME"/>
              </w:rPr>
              <w:t xml:space="preserve"> kao i peptička ulkusna bolest</w:t>
            </w:r>
            <w:r w:rsidRPr="00CB6AFC">
              <w:rPr>
                <w:rFonts w:eastAsia="Calibri"/>
                <w:sz w:val="22"/>
                <w:szCs w:val="22"/>
                <w:lang w:val="sr-Latn-ME"/>
              </w:rPr>
              <w:t xml:space="preserve"> zabilježeni su</w:t>
            </w:r>
            <w:r w:rsidR="003B576C" w:rsidRPr="00CB6AFC">
              <w:rPr>
                <w:rFonts w:eastAsia="Calibri"/>
                <w:sz w:val="22"/>
                <w:szCs w:val="22"/>
                <w:lang w:val="sr-Latn-ME"/>
              </w:rPr>
              <w:t xml:space="preserve"> takođe povremeno.</w:t>
            </w:r>
          </w:p>
          <w:p w14:paraId="4521E090" w14:textId="2ED404CE"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Veoma rijetko</w:t>
            </w:r>
            <w:r w:rsidRPr="00CB6AFC">
              <w:rPr>
                <w:rFonts w:eastAsia="Calibri"/>
                <w:bCs/>
                <w:sz w:val="22"/>
                <w:szCs w:val="22"/>
                <w:lang w:val="sr-Latn-ME"/>
              </w:rPr>
              <w:t>:</w:t>
            </w:r>
            <w:r w:rsidRPr="00CB6AFC">
              <w:rPr>
                <w:rFonts w:eastAsia="Calibri"/>
                <w:sz w:val="22"/>
                <w:szCs w:val="22"/>
                <w:lang w:val="sr-Latn-ME"/>
              </w:rPr>
              <w:t xml:space="preserve"> Ezofagitis, suženja crijeva nalik na dijafragmu.</w:t>
            </w:r>
          </w:p>
        </w:tc>
      </w:tr>
      <w:tr w:rsidR="004C43E7" w:rsidRPr="00CB6AFC" w14:paraId="1A280D0F" w14:textId="77777777" w:rsidTr="00ED4B2E">
        <w:tc>
          <w:tcPr>
            <w:tcW w:w="2478" w:type="dxa"/>
          </w:tcPr>
          <w:p w14:paraId="7C23C85F"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t>Hepatobilijarni poremećaji</w:t>
            </w:r>
          </w:p>
        </w:tc>
        <w:tc>
          <w:tcPr>
            <w:tcW w:w="6594" w:type="dxa"/>
          </w:tcPr>
          <w:p w14:paraId="03CAE7B7"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Veoma rijetko</w:t>
            </w:r>
            <w:r w:rsidRPr="00CB6AFC">
              <w:rPr>
                <w:rFonts w:eastAsia="Calibri"/>
                <w:sz w:val="22"/>
                <w:szCs w:val="22"/>
                <w:lang w:val="sr-Latn-ME"/>
              </w:rPr>
              <w:t>: Oštećenje jetre, posebno tokom dugotrajnog liječenja, insuficijencija jetre. Poremećaj funkcije jetre, hepatitis i žutica. Predoziranje paracetamolom može uzrokovati akutnu insuficijenciju jetre, insuficijenciju jetre, nekrozu jetre i oštećenje jetre.</w:t>
            </w:r>
          </w:p>
        </w:tc>
      </w:tr>
      <w:tr w:rsidR="004C43E7" w:rsidRPr="00CB6AFC" w14:paraId="0F2F5735" w14:textId="77777777" w:rsidTr="00ED4B2E">
        <w:tc>
          <w:tcPr>
            <w:tcW w:w="2478" w:type="dxa"/>
          </w:tcPr>
          <w:p w14:paraId="0D89A70F"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lastRenderedPageBreak/>
              <w:t>Poremećaji kože i potkožnog tkiva</w:t>
            </w:r>
          </w:p>
        </w:tc>
        <w:tc>
          <w:tcPr>
            <w:tcW w:w="6594" w:type="dxa"/>
          </w:tcPr>
          <w:p w14:paraId="74DA9D2C"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Često</w:t>
            </w:r>
            <w:r w:rsidRPr="00CB6AFC">
              <w:rPr>
                <w:rFonts w:eastAsia="Calibri"/>
                <w:sz w:val="22"/>
                <w:szCs w:val="22"/>
                <w:lang w:val="sr-Latn-ME"/>
              </w:rPr>
              <w:t>: Osip (uključujući makulopapularni tip), pruritus.</w:t>
            </w:r>
          </w:p>
          <w:p w14:paraId="01CCA011" w14:textId="5A7F21C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Veoma rijetko</w:t>
            </w:r>
            <w:r w:rsidRPr="00CB6AFC">
              <w:rPr>
                <w:rFonts w:eastAsia="Calibri"/>
                <w:sz w:val="22"/>
                <w:szCs w:val="22"/>
                <w:lang w:val="sr-Latn-ME"/>
              </w:rPr>
              <w:t xml:space="preserve">: Alopecija. Hiperhidroza, purpura i fotoosetljivost. Eksfolijativne dermatoze. Bulozne reakcije uključujući multiformni eritem, </w:t>
            </w:r>
            <w:r w:rsidRPr="00CB6AFC">
              <w:rPr>
                <w:rFonts w:eastAsia="Calibri"/>
                <w:i/>
                <w:iCs/>
                <w:sz w:val="22"/>
                <w:szCs w:val="22"/>
                <w:lang w:val="sr-Latn-ME"/>
              </w:rPr>
              <w:t>Stevens-Johnson</w:t>
            </w:r>
            <w:r w:rsidR="003B576C" w:rsidRPr="00CB6AFC">
              <w:rPr>
                <w:rFonts w:eastAsia="Calibri"/>
                <w:sz w:val="22"/>
                <w:szCs w:val="22"/>
                <w:lang w:val="sr-Latn-ME"/>
              </w:rPr>
              <w:t>-</w:t>
            </w:r>
            <w:r w:rsidRPr="00CB6AFC">
              <w:rPr>
                <w:rFonts w:eastAsia="Calibri"/>
                <w:sz w:val="22"/>
                <w:szCs w:val="22"/>
                <w:lang w:val="sr-Latn-ME"/>
              </w:rPr>
              <w:t>ov sindrom i toksičnu epidermalnu nekrolizu. Slučajevi ozbiljnih kožnih reakcija zabilježeni su veoma rijetko. U izuzetnim slučajevima mogu se javiti teške infekcije kože i komplikacije mekog tkiva tokom varičela infekcije.</w:t>
            </w:r>
          </w:p>
          <w:p w14:paraId="2225620D" w14:textId="3A00F15B"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Nepoznato</w:t>
            </w:r>
            <w:r w:rsidRPr="00CB6AFC">
              <w:rPr>
                <w:rFonts w:eastAsia="Calibri"/>
                <w:sz w:val="22"/>
                <w:szCs w:val="22"/>
                <w:lang w:val="sr-Latn-ME"/>
              </w:rPr>
              <w:t>: Reakcija na lijek sa eozinofilijom i sistemskim simptomima (DRESS</w:t>
            </w:r>
            <w:r w:rsidR="003B576C" w:rsidRPr="00CB6AFC">
              <w:rPr>
                <w:rFonts w:eastAsia="Calibri"/>
                <w:sz w:val="22"/>
                <w:szCs w:val="22"/>
                <w:lang w:val="sr-Latn-ME"/>
              </w:rPr>
              <w:t xml:space="preserve"> sindrom</w:t>
            </w:r>
            <w:r w:rsidRPr="00CB6AFC">
              <w:rPr>
                <w:rFonts w:eastAsia="Calibri"/>
                <w:sz w:val="22"/>
                <w:szCs w:val="22"/>
                <w:lang w:val="sr-Latn-ME"/>
              </w:rPr>
              <w:t>) i akutna generalizovana egzantematozna pustuloza (AGEP).</w:t>
            </w:r>
          </w:p>
        </w:tc>
      </w:tr>
      <w:tr w:rsidR="004C43E7" w:rsidRPr="00CB6AFC" w14:paraId="12DEFFC6" w14:textId="77777777" w:rsidTr="00ED4B2E">
        <w:tc>
          <w:tcPr>
            <w:tcW w:w="2478" w:type="dxa"/>
          </w:tcPr>
          <w:p w14:paraId="26314580" w14:textId="77777777" w:rsidR="004C43E7" w:rsidRPr="00CB6AFC" w:rsidRDefault="004C43E7" w:rsidP="00B60D99">
            <w:pPr>
              <w:spacing w:before="40" w:after="40" w:line="259" w:lineRule="auto"/>
              <w:rPr>
                <w:rFonts w:eastAsia="Calibri"/>
                <w:b/>
                <w:sz w:val="22"/>
                <w:szCs w:val="22"/>
                <w:highlight w:val="magenta"/>
                <w:lang w:val="sr-Latn-ME"/>
              </w:rPr>
            </w:pPr>
            <w:r w:rsidRPr="00CB6AFC">
              <w:rPr>
                <w:rFonts w:eastAsia="Calibri"/>
                <w:b/>
                <w:sz w:val="22"/>
                <w:szCs w:val="22"/>
                <w:lang w:val="sr-Latn-ME"/>
              </w:rPr>
              <w:t>Poremećaji bubrega i urinarnog sistema</w:t>
            </w:r>
          </w:p>
        </w:tc>
        <w:tc>
          <w:tcPr>
            <w:tcW w:w="6594" w:type="dxa"/>
          </w:tcPr>
          <w:p w14:paraId="4B4410A6" w14:textId="150777A5"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Povremeno</w:t>
            </w:r>
            <w:r w:rsidRPr="00CB6AFC">
              <w:rPr>
                <w:rFonts w:eastAsia="Calibri"/>
                <w:sz w:val="22"/>
                <w:szCs w:val="22"/>
                <w:lang w:val="sr-Latn-ME"/>
              </w:rPr>
              <w:t>: Retencija urina</w:t>
            </w:r>
            <w:r w:rsidR="00C57E5A" w:rsidRPr="00CB6AFC">
              <w:rPr>
                <w:rFonts w:eastAsia="Calibri"/>
                <w:sz w:val="22"/>
                <w:szCs w:val="22"/>
                <w:lang w:val="sr-Latn-ME"/>
              </w:rPr>
              <w:t>.</w:t>
            </w:r>
          </w:p>
          <w:p w14:paraId="0D3F7F48" w14:textId="27AB194B"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Rijetko:</w:t>
            </w:r>
            <w:r w:rsidRPr="00CB6AFC">
              <w:rPr>
                <w:rFonts w:eastAsia="Calibri"/>
                <w:sz w:val="22"/>
                <w:szCs w:val="22"/>
                <w:lang w:val="sr-Latn-ME"/>
              </w:rPr>
              <w:t xml:space="preserve"> Oštećenje bubrežnog tkiva (papilarna nekroza), naročito kod dugotrajnog l</w:t>
            </w:r>
            <w:r w:rsidR="003B576C" w:rsidRPr="00CB6AFC">
              <w:rPr>
                <w:rFonts w:eastAsia="Calibri"/>
                <w:sz w:val="22"/>
                <w:szCs w:val="22"/>
                <w:lang w:val="sr-Latn-ME"/>
              </w:rPr>
              <w:t>ij</w:t>
            </w:r>
            <w:r w:rsidRPr="00CB6AFC">
              <w:rPr>
                <w:rFonts w:eastAsia="Calibri"/>
                <w:sz w:val="22"/>
                <w:szCs w:val="22"/>
                <w:lang w:val="sr-Latn-ME"/>
              </w:rPr>
              <w:t>ečenja.</w:t>
            </w:r>
          </w:p>
          <w:p w14:paraId="5802B1DD"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Veoma rijetko</w:t>
            </w:r>
            <w:r w:rsidRPr="00CB6AFC">
              <w:rPr>
                <w:rFonts w:eastAsia="Calibri"/>
                <w:sz w:val="22"/>
                <w:szCs w:val="22"/>
                <w:lang w:val="sr-Latn-ME"/>
              </w:rPr>
              <w:t>: Nefrotoksičnost u raznim oblicima, uključujući intersticijski nefritis, nefrotski sindrom i akutnu i hroničnu insuficijenciju bubrega.</w:t>
            </w:r>
          </w:p>
          <w:p w14:paraId="7A6E5AC6" w14:textId="09B21A25" w:rsidR="004C43E7" w:rsidRPr="00CB6AFC" w:rsidRDefault="004C43E7" w:rsidP="00B60D99">
            <w:pPr>
              <w:spacing w:before="40" w:after="40" w:line="259" w:lineRule="auto"/>
              <w:rPr>
                <w:rFonts w:eastAsia="Calibri"/>
                <w:sz w:val="22"/>
                <w:szCs w:val="22"/>
                <w:lang w:val="sr-Latn-ME"/>
              </w:rPr>
            </w:pPr>
            <w:r w:rsidRPr="00CB6AFC">
              <w:rPr>
                <w:rFonts w:eastAsia="Calibri"/>
                <w:sz w:val="22"/>
                <w:szCs w:val="22"/>
                <w:lang w:val="sr-Latn-ME"/>
              </w:rPr>
              <w:t>Neželjene reakcije bubrega najčešće se prim</w:t>
            </w:r>
            <w:r w:rsidR="009C21B1" w:rsidRPr="00CB6AFC">
              <w:rPr>
                <w:rFonts w:eastAsia="Calibri"/>
                <w:sz w:val="22"/>
                <w:szCs w:val="22"/>
                <w:lang w:val="sr-Latn-ME"/>
              </w:rPr>
              <w:t>j</w:t>
            </w:r>
            <w:r w:rsidRPr="00CB6AFC">
              <w:rPr>
                <w:rFonts w:eastAsia="Calibri"/>
                <w:sz w:val="22"/>
                <w:szCs w:val="22"/>
                <w:lang w:val="sr-Latn-ME"/>
              </w:rPr>
              <w:t>ećuju nakon predoziranja, hronične zloupotrebe (često uz više različitih analgetika) ili u kombinaciji sa hepatotoksičnošću povezanom sa paracetamolom.</w:t>
            </w:r>
          </w:p>
          <w:p w14:paraId="769D68EB" w14:textId="77777777" w:rsidR="004C43E7" w:rsidRPr="00CB6AFC" w:rsidRDefault="004C43E7" w:rsidP="00B60D99">
            <w:pPr>
              <w:spacing w:before="40" w:after="40" w:line="259" w:lineRule="auto"/>
              <w:rPr>
                <w:rFonts w:eastAsia="Calibri"/>
                <w:sz w:val="22"/>
                <w:szCs w:val="22"/>
                <w:lang w:val="sr-Latn-ME"/>
              </w:rPr>
            </w:pPr>
            <w:r w:rsidRPr="00CB6AFC">
              <w:rPr>
                <w:rFonts w:eastAsia="Calibri"/>
                <w:sz w:val="22"/>
                <w:szCs w:val="22"/>
                <w:lang w:val="sr-Latn-ME"/>
              </w:rPr>
              <w:t>Akutna tubularna nekroza obično se javlja zajedno sa insuficijencijom jetre, ali je primijećena i kao izolovani nalaz u rijetkim slučajevima. Sa hroničnom primjenom paracetamola povezano je i moguće  povećanje rizika od karcinoma bubrežnih ćelija.</w:t>
            </w:r>
          </w:p>
          <w:p w14:paraId="0FCEFD7B" w14:textId="77777777" w:rsidR="004C43E7" w:rsidRPr="00CB6AFC" w:rsidRDefault="004C43E7" w:rsidP="00B60D99">
            <w:pPr>
              <w:spacing w:before="40" w:after="40" w:line="259" w:lineRule="auto"/>
              <w:rPr>
                <w:rFonts w:eastAsia="Calibri"/>
                <w:sz w:val="22"/>
                <w:szCs w:val="22"/>
                <w:lang w:val="sr-Latn-ME"/>
              </w:rPr>
            </w:pPr>
            <w:r w:rsidRPr="00CB6AFC">
              <w:rPr>
                <w:rFonts w:eastAsia="Calibri"/>
                <w:sz w:val="22"/>
                <w:szCs w:val="22"/>
                <w:lang w:val="sr-Latn-ME"/>
              </w:rPr>
              <w:t>Jedno ispitivanje kod pacijenata sa završnim stadijumom bubrežne bolesti ukazuje da dugotrajna primjena paracetamola može značajno povećati rizik od završnog stadijuma bubrežne bolesti, naročito kod pacijenata koji uzimaju više od 1000 mg dnevno.</w:t>
            </w:r>
          </w:p>
        </w:tc>
      </w:tr>
      <w:tr w:rsidR="004C43E7" w:rsidRPr="00CB6AFC" w14:paraId="280A0A16" w14:textId="77777777" w:rsidTr="00ED4B2E">
        <w:tc>
          <w:tcPr>
            <w:tcW w:w="2478" w:type="dxa"/>
          </w:tcPr>
          <w:p w14:paraId="1007093A" w14:textId="7B436152"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t>Opšti poremećaji i reakcije na m</w:t>
            </w:r>
            <w:r w:rsidR="003B576C" w:rsidRPr="00CB6AFC">
              <w:rPr>
                <w:rFonts w:eastAsia="Calibri"/>
                <w:b/>
                <w:sz w:val="22"/>
                <w:szCs w:val="22"/>
                <w:lang w:val="sr-Latn-ME"/>
              </w:rPr>
              <w:t>j</w:t>
            </w:r>
            <w:r w:rsidRPr="00CB6AFC">
              <w:rPr>
                <w:rFonts w:eastAsia="Calibri"/>
                <w:b/>
                <w:sz w:val="22"/>
                <w:szCs w:val="22"/>
                <w:lang w:val="sr-Latn-ME"/>
              </w:rPr>
              <w:t>estu primjene</w:t>
            </w:r>
          </w:p>
        </w:tc>
        <w:tc>
          <w:tcPr>
            <w:tcW w:w="6594" w:type="dxa"/>
          </w:tcPr>
          <w:p w14:paraId="78F9B5AE" w14:textId="3058A5D9"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Povremeno</w:t>
            </w:r>
            <w:r w:rsidRPr="00CB6AFC">
              <w:rPr>
                <w:rFonts w:eastAsia="Calibri"/>
                <w:sz w:val="22"/>
                <w:szCs w:val="22"/>
                <w:lang w:val="sr-Latn-ME"/>
              </w:rPr>
              <w:t>: Pireksija</w:t>
            </w:r>
            <w:r w:rsidR="00C57E5A" w:rsidRPr="00CB6AFC">
              <w:rPr>
                <w:rFonts w:eastAsia="Calibri"/>
                <w:sz w:val="22"/>
                <w:szCs w:val="22"/>
                <w:lang w:val="sr-Latn-ME"/>
              </w:rPr>
              <w:t>.</w:t>
            </w:r>
          </w:p>
          <w:p w14:paraId="1EBBDC95"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t xml:space="preserve">Veoma rijetko: </w:t>
            </w:r>
            <w:r w:rsidRPr="00CB6AFC">
              <w:rPr>
                <w:rFonts w:eastAsia="Calibri"/>
                <w:sz w:val="22"/>
                <w:szCs w:val="22"/>
                <w:lang w:val="sr-Latn-ME"/>
              </w:rPr>
              <w:t>Umor i malaksalost.</w:t>
            </w:r>
          </w:p>
        </w:tc>
      </w:tr>
      <w:tr w:rsidR="004C43E7" w:rsidRPr="00CB6AFC" w14:paraId="4EDF1275" w14:textId="77777777" w:rsidTr="00ED4B2E">
        <w:tc>
          <w:tcPr>
            <w:tcW w:w="2478" w:type="dxa"/>
          </w:tcPr>
          <w:p w14:paraId="2431AC2F"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t>Povrede, trovanje i proceduralne komplikacije</w:t>
            </w:r>
          </w:p>
        </w:tc>
        <w:tc>
          <w:tcPr>
            <w:tcW w:w="6594" w:type="dxa"/>
          </w:tcPr>
          <w:p w14:paraId="20A757C6" w14:textId="77777777"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Povremeno</w:t>
            </w:r>
            <w:r w:rsidRPr="00CB6AFC">
              <w:rPr>
                <w:rFonts w:eastAsia="Calibri"/>
                <w:sz w:val="22"/>
                <w:szCs w:val="22"/>
                <w:lang w:val="sr-Latn-ME"/>
              </w:rPr>
              <w:t>: Zabilježeno je postoperativno krvarenje nakon tonzilektomije.</w:t>
            </w:r>
          </w:p>
        </w:tc>
      </w:tr>
      <w:tr w:rsidR="004C43E7" w:rsidRPr="00CB6AFC" w14:paraId="581AEDFB" w14:textId="77777777" w:rsidTr="00ED4B2E">
        <w:tc>
          <w:tcPr>
            <w:tcW w:w="2478" w:type="dxa"/>
          </w:tcPr>
          <w:p w14:paraId="5ED3EFF0" w14:textId="77777777" w:rsidR="004C43E7" w:rsidRPr="00CB6AFC" w:rsidRDefault="004C43E7" w:rsidP="00B60D99">
            <w:pPr>
              <w:spacing w:before="40" w:after="40" w:line="259" w:lineRule="auto"/>
              <w:rPr>
                <w:rFonts w:eastAsia="Calibri"/>
                <w:b/>
                <w:sz w:val="22"/>
                <w:szCs w:val="22"/>
                <w:lang w:val="sr-Latn-ME"/>
              </w:rPr>
            </w:pPr>
            <w:r w:rsidRPr="00CB6AFC">
              <w:rPr>
                <w:rFonts w:eastAsia="Calibri"/>
                <w:b/>
                <w:sz w:val="22"/>
                <w:szCs w:val="22"/>
                <w:lang w:val="sr-Latn-ME"/>
              </w:rPr>
              <w:t>Ispitivanja</w:t>
            </w:r>
          </w:p>
        </w:tc>
        <w:tc>
          <w:tcPr>
            <w:tcW w:w="6594" w:type="dxa"/>
          </w:tcPr>
          <w:p w14:paraId="03A8B770" w14:textId="32C009C5"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Često</w:t>
            </w:r>
            <w:r w:rsidRPr="00CB6AFC">
              <w:rPr>
                <w:rFonts w:eastAsia="Calibri"/>
                <w:sz w:val="22"/>
                <w:szCs w:val="22"/>
                <w:lang w:val="sr-Latn-ME"/>
              </w:rPr>
              <w:t>: Povišena alanin aminotransferaza, povišena gama-glutamiltransferaza i abnormalne vrijednosti testova funkcije jetre uz</w:t>
            </w:r>
            <w:r w:rsidR="003B576C" w:rsidRPr="00CB6AFC">
              <w:rPr>
                <w:rFonts w:eastAsia="Calibri"/>
                <w:sz w:val="22"/>
                <w:szCs w:val="22"/>
                <w:lang w:val="sr-Latn-ME"/>
              </w:rPr>
              <w:t xml:space="preserve"> primjenu</w:t>
            </w:r>
            <w:r w:rsidRPr="00CB6AFC">
              <w:rPr>
                <w:rFonts w:eastAsia="Calibri"/>
                <w:sz w:val="22"/>
                <w:szCs w:val="22"/>
                <w:lang w:val="sr-Latn-ME"/>
              </w:rPr>
              <w:t xml:space="preserve"> paracetamol</w:t>
            </w:r>
            <w:r w:rsidR="003B576C" w:rsidRPr="00CB6AFC">
              <w:rPr>
                <w:rFonts w:eastAsia="Calibri"/>
                <w:sz w:val="22"/>
                <w:szCs w:val="22"/>
                <w:lang w:val="sr-Latn-ME"/>
              </w:rPr>
              <w:t>a</w:t>
            </w:r>
            <w:r w:rsidRPr="00CB6AFC">
              <w:rPr>
                <w:rFonts w:eastAsia="Calibri"/>
                <w:sz w:val="22"/>
                <w:szCs w:val="22"/>
                <w:lang w:val="sr-Latn-ME"/>
              </w:rPr>
              <w:t>.</w:t>
            </w:r>
          </w:p>
          <w:p w14:paraId="7A91F0B7" w14:textId="30D143A9" w:rsidR="004C43E7" w:rsidRPr="00CB6AFC" w:rsidRDefault="004C43E7" w:rsidP="00B60D99">
            <w:pPr>
              <w:spacing w:before="40" w:after="40" w:line="259" w:lineRule="auto"/>
              <w:rPr>
                <w:rFonts w:eastAsia="Calibri"/>
                <w:sz w:val="22"/>
                <w:szCs w:val="22"/>
                <w:lang w:val="sr-Latn-ME"/>
              </w:rPr>
            </w:pPr>
            <w:r w:rsidRPr="00CB6AFC">
              <w:rPr>
                <w:rFonts w:eastAsia="Calibri"/>
                <w:sz w:val="22"/>
                <w:szCs w:val="22"/>
                <w:lang w:val="sr-Latn-ME"/>
              </w:rPr>
              <w:t>Pov</w:t>
            </w:r>
            <w:r w:rsidR="003B576C" w:rsidRPr="00CB6AFC">
              <w:rPr>
                <w:rFonts w:eastAsia="Calibri"/>
                <w:sz w:val="22"/>
                <w:szCs w:val="22"/>
                <w:lang w:val="sr-Latn-ME"/>
              </w:rPr>
              <w:t xml:space="preserve">ećana koncentracija </w:t>
            </w:r>
            <w:r w:rsidRPr="00CB6AFC">
              <w:rPr>
                <w:rFonts w:eastAsia="Calibri"/>
                <w:sz w:val="22"/>
                <w:szCs w:val="22"/>
                <w:lang w:val="sr-Latn-ME"/>
              </w:rPr>
              <w:t>kreatinin</w:t>
            </w:r>
            <w:r w:rsidR="003B576C" w:rsidRPr="00CB6AFC">
              <w:rPr>
                <w:rFonts w:eastAsia="Calibri"/>
                <w:sz w:val="22"/>
                <w:szCs w:val="22"/>
                <w:lang w:val="sr-Latn-ME"/>
              </w:rPr>
              <w:t>a</w:t>
            </w:r>
            <w:r w:rsidRPr="00CB6AFC">
              <w:rPr>
                <w:rFonts w:eastAsia="Calibri"/>
                <w:sz w:val="22"/>
                <w:szCs w:val="22"/>
                <w:lang w:val="sr-Latn-ME"/>
              </w:rPr>
              <w:t xml:space="preserve"> i </w:t>
            </w:r>
            <w:r w:rsidR="003B576C" w:rsidRPr="00CB6AFC">
              <w:rPr>
                <w:rFonts w:eastAsia="Calibri"/>
                <w:sz w:val="22"/>
                <w:szCs w:val="22"/>
                <w:lang w:val="sr-Latn-ME"/>
              </w:rPr>
              <w:t xml:space="preserve"> </w:t>
            </w:r>
            <w:r w:rsidRPr="00CB6AFC">
              <w:rPr>
                <w:rFonts w:eastAsia="Calibri"/>
                <w:sz w:val="22"/>
                <w:szCs w:val="22"/>
                <w:lang w:val="sr-Latn-ME"/>
              </w:rPr>
              <w:t>ure</w:t>
            </w:r>
            <w:r w:rsidR="003B576C" w:rsidRPr="00CB6AFC">
              <w:rPr>
                <w:rFonts w:eastAsia="Calibri"/>
                <w:sz w:val="22"/>
                <w:szCs w:val="22"/>
                <w:lang w:val="sr-Latn-ME"/>
              </w:rPr>
              <w:t>e</w:t>
            </w:r>
            <w:r w:rsidRPr="00CB6AFC">
              <w:rPr>
                <w:rFonts w:eastAsia="Calibri"/>
                <w:sz w:val="22"/>
                <w:szCs w:val="22"/>
                <w:lang w:val="sr-Latn-ME"/>
              </w:rPr>
              <w:t xml:space="preserve"> u krvi.</w:t>
            </w:r>
          </w:p>
          <w:p w14:paraId="4BCCA30D" w14:textId="3311F745"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Povremeno</w:t>
            </w:r>
            <w:r w:rsidRPr="00CB6AFC">
              <w:rPr>
                <w:rFonts w:eastAsia="Calibri"/>
                <w:sz w:val="22"/>
                <w:szCs w:val="22"/>
                <w:lang w:val="sr-Latn-ME"/>
              </w:rPr>
              <w:t>: Pov</w:t>
            </w:r>
            <w:r w:rsidR="003B576C" w:rsidRPr="00CB6AFC">
              <w:rPr>
                <w:rFonts w:eastAsia="Calibri"/>
                <w:sz w:val="22"/>
                <w:szCs w:val="22"/>
                <w:lang w:val="sr-Latn-ME"/>
              </w:rPr>
              <w:t>ećane vrijednosti</w:t>
            </w:r>
            <w:r w:rsidRPr="00CB6AFC">
              <w:rPr>
                <w:rFonts w:eastAsia="Calibri"/>
                <w:sz w:val="22"/>
                <w:szCs w:val="22"/>
                <w:lang w:val="sr-Latn-ME"/>
              </w:rPr>
              <w:t xml:space="preserve"> aspartat aminotransferaza, pov</w:t>
            </w:r>
            <w:r w:rsidR="003B576C" w:rsidRPr="00CB6AFC">
              <w:rPr>
                <w:rFonts w:eastAsia="Calibri"/>
                <w:sz w:val="22"/>
                <w:szCs w:val="22"/>
                <w:lang w:val="sr-Latn-ME"/>
              </w:rPr>
              <w:t>ećane vrijednosti</w:t>
            </w:r>
            <w:r w:rsidRPr="00CB6AFC">
              <w:rPr>
                <w:rFonts w:eastAsia="Calibri"/>
                <w:sz w:val="22"/>
                <w:szCs w:val="22"/>
                <w:lang w:val="sr-Latn-ME"/>
              </w:rPr>
              <w:t xml:space="preserve"> alkaln</w:t>
            </w:r>
            <w:r w:rsidR="003B576C" w:rsidRPr="00CB6AFC">
              <w:rPr>
                <w:rFonts w:eastAsia="Calibri"/>
                <w:sz w:val="22"/>
                <w:szCs w:val="22"/>
                <w:lang w:val="sr-Latn-ME"/>
              </w:rPr>
              <w:t>e</w:t>
            </w:r>
            <w:r w:rsidRPr="00CB6AFC">
              <w:rPr>
                <w:rFonts w:eastAsia="Calibri"/>
                <w:sz w:val="22"/>
                <w:szCs w:val="22"/>
                <w:lang w:val="sr-Latn-ME"/>
              </w:rPr>
              <w:t xml:space="preserve"> fosfataz</w:t>
            </w:r>
            <w:r w:rsidR="003B576C" w:rsidRPr="00CB6AFC">
              <w:rPr>
                <w:rFonts w:eastAsia="Calibri"/>
                <w:sz w:val="22"/>
                <w:szCs w:val="22"/>
                <w:lang w:val="sr-Latn-ME"/>
              </w:rPr>
              <w:t>e</w:t>
            </w:r>
            <w:r w:rsidRPr="00CB6AFC">
              <w:rPr>
                <w:rFonts w:eastAsia="Calibri"/>
                <w:sz w:val="22"/>
                <w:szCs w:val="22"/>
                <w:lang w:val="sr-Latn-ME"/>
              </w:rPr>
              <w:t xml:space="preserve"> u krvi, pov</w:t>
            </w:r>
            <w:r w:rsidR="003B576C" w:rsidRPr="00CB6AFC">
              <w:rPr>
                <w:rFonts w:eastAsia="Calibri"/>
                <w:sz w:val="22"/>
                <w:szCs w:val="22"/>
                <w:lang w:val="sr-Latn-ME"/>
              </w:rPr>
              <w:t>ećana koncentracija</w:t>
            </w:r>
            <w:r w:rsidRPr="00CB6AFC">
              <w:rPr>
                <w:rFonts w:eastAsia="Calibri"/>
                <w:sz w:val="22"/>
                <w:szCs w:val="22"/>
                <w:lang w:val="sr-Latn-ME"/>
              </w:rPr>
              <w:t xml:space="preserve"> kreatin fosfokinaz</w:t>
            </w:r>
            <w:r w:rsidR="003B576C" w:rsidRPr="00CB6AFC">
              <w:rPr>
                <w:rFonts w:eastAsia="Calibri"/>
                <w:sz w:val="22"/>
                <w:szCs w:val="22"/>
                <w:lang w:val="sr-Latn-ME"/>
              </w:rPr>
              <w:t>e</w:t>
            </w:r>
            <w:r w:rsidRPr="00CB6AFC">
              <w:rPr>
                <w:rFonts w:eastAsia="Calibri"/>
                <w:sz w:val="22"/>
                <w:szCs w:val="22"/>
                <w:lang w:val="sr-Latn-ME"/>
              </w:rPr>
              <w:t xml:space="preserve"> u krvi, s</w:t>
            </w:r>
            <w:r w:rsidR="003B576C" w:rsidRPr="00CB6AFC">
              <w:rPr>
                <w:rFonts w:eastAsia="Calibri"/>
                <w:sz w:val="22"/>
                <w:szCs w:val="22"/>
                <w:lang w:val="sr-Latn-ME"/>
              </w:rPr>
              <w:t>manjene vrijednosti</w:t>
            </w:r>
            <w:r w:rsidRPr="00CB6AFC">
              <w:rPr>
                <w:rFonts w:eastAsia="Calibri"/>
                <w:sz w:val="22"/>
                <w:szCs w:val="22"/>
                <w:lang w:val="sr-Latn-ME"/>
              </w:rPr>
              <w:t xml:space="preserve"> hemoglobin</w:t>
            </w:r>
            <w:r w:rsidR="003B576C" w:rsidRPr="00CB6AFC">
              <w:rPr>
                <w:rFonts w:eastAsia="Calibri"/>
                <w:sz w:val="22"/>
                <w:szCs w:val="22"/>
                <w:lang w:val="sr-Latn-ME"/>
              </w:rPr>
              <w:t>a</w:t>
            </w:r>
            <w:r w:rsidRPr="00CB6AFC">
              <w:rPr>
                <w:rFonts w:eastAsia="Calibri"/>
                <w:sz w:val="22"/>
                <w:szCs w:val="22"/>
                <w:lang w:val="sr-Latn-ME"/>
              </w:rPr>
              <w:t xml:space="preserve"> i pov</w:t>
            </w:r>
            <w:r w:rsidR="003B576C" w:rsidRPr="00CB6AFC">
              <w:rPr>
                <w:rFonts w:eastAsia="Calibri"/>
                <w:sz w:val="22"/>
                <w:szCs w:val="22"/>
                <w:lang w:val="sr-Latn-ME"/>
              </w:rPr>
              <w:t>ećan</w:t>
            </w:r>
            <w:r w:rsidRPr="00CB6AFC">
              <w:rPr>
                <w:rFonts w:eastAsia="Calibri"/>
                <w:sz w:val="22"/>
                <w:szCs w:val="22"/>
                <w:lang w:val="sr-Latn-ME"/>
              </w:rPr>
              <w:t xml:space="preserve"> broj trombocita.</w:t>
            </w:r>
          </w:p>
          <w:p w14:paraId="04980C42" w14:textId="3A1FD478" w:rsidR="004C43E7" w:rsidRPr="00CB6AFC" w:rsidRDefault="004C43E7" w:rsidP="00B60D99">
            <w:pPr>
              <w:spacing w:before="40" w:after="40" w:line="259" w:lineRule="auto"/>
              <w:rPr>
                <w:rFonts w:eastAsia="Calibri"/>
                <w:sz w:val="22"/>
                <w:szCs w:val="22"/>
                <w:lang w:val="sr-Latn-ME"/>
              </w:rPr>
            </w:pPr>
            <w:r w:rsidRPr="00CB6AFC">
              <w:rPr>
                <w:rFonts w:eastAsia="Calibri"/>
                <w:b/>
                <w:sz w:val="22"/>
                <w:szCs w:val="22"/>
                <w:lang w:val="sr-Latn-ME"/>
              </w:rPr>
              <w:t>Rijetko</w:t>
            </w:r>
            <w:r w:rsidRPr="00CB6AFC">
              <w:rPr>
                <w:rFonts w:eastAsia="Calibri"/>
                <w:bCs/>
                <w:sz w:val="22"/>
                <w:szCs w:val="22"/>
                <w:lang w:val="sr-Latn-ME"/>
              </w:rPr>
              <w:t>:</w:t>
            </w:r>
            <w:r w:rsidRPr="00CB6AFC">
              <w:rPr>
                <w:rFonts w:eastAsia="Calibri"/>
                <w:sz w:val="22"/>
                <w:szCs w:val="22"/>
                <w:lang w:val="sr-Latn-ME"/>
              </w:rPr>
              <w:t xml:space="preserve"> pov</w:t>
            </w:r>
            <w:r w:rsidR="003B576C" w:rsidRPr="00CB6AFC">
              <w:rPr>
                <w:rFonts w:eastAsia="Calibri"/>
                <w:sz w:val="22"/>
                <w:szCs w:val="22"/>
                <w:lang w:val="sr-Latn-ME"/>
              </w:rPr>
              <w:t>ećane</w:t>
            </w:r>
            <w:r w:rsidRPr="00CB6AFC">
              <w:rPr>
                <w:rFonts w:eastAsia="Calibri"/>
                <w:sz w:val="22"/>
                <w:szCs w:val="22"/>
                <w:lang w:val="sr-Latn-ME"/>
              </w:rPr>
              <w:t xml:space="preserve"> koncentracije mokraćne kiseline u krvi</w:t>
            </w:r>
            <w:r w:rsidR="00C57E5A" w:rsidRPr="00CB6AFC">
              <w:rPr>
                <w:rFonts w:eastAsia="Calibri"/>
                <w:sz w:val="22"/>
                <w:szCs w:val="22"/>
                <w:lang w:val="sr-Latn-ME"/>
              </w:rPr>
              <w:t>.</w:t>
            </w:r>
          </w:p>
        </w:tc>
      </w:tr>
    </w:tbl>
    <w:p w14:paraId="1C28A441" w14:textId="77777777" w:rsidR="004C43E7" w:rsidRPr="00CB6AFC" w:rsidRDefault="004C43E7" w:rsidP="002D619D">
      <w:pPr>
        <w:pStyle w:val="Header"/>
        <w:tabs>
          <w:tab w:val="left" w:pos="284"/>
        </w:tabs>
        <w:jc w:val="both"/>
        <w:rPr>
          <w:noProof/>
          <w:sz w:val="22"/>
          <w:szCs w:val="22"/>
          <w:lang w:val="sr-Latn-ME"/>
        </w:rPr>
      </w:pPr>
    </w:p>
    <w:p w14:paraId="4F15EF38" w14:textId="0903F707" w:rsidR="00902843" w:rsidRPr="00CB6AFC" w:rsidRDefault="00902843" w:rsidP="002D619D">
      <w:pPr>
        <w:jc w:val="both"/>
        <w:rPr>
          <w:i/>
          <w:iCs/>
          <w:noProof/>
          <w:sz w:val="22"/>
          <w:szCs w:val="22"/>
          <w:lang w:val="sr-Latn-ME"/>
        </w:rPr>
      </w:pPr>
      <w:r w:rsidRPr="00CB6AFC">
        <w:rPr>
          <w:i/>
          <w:iCs/>
          <w:noProof/>
          <w:sz w:val="22"/>
          <w:szCs w:val="22"/>
          <w:lang w:val="sr-Latn-ME"/>
        </w:rPr>
        <w:t xml:space="preserve">Opis </w:t>
      </w:r>
      <w:r w:rsidR="003B576C" w:rsidRPr="00CB6AFC">
        <w:rPr>
          <w:i/>
          <w:iCs/>
          <w:noProof/>
          <w:sz w:val="22"/>
          <w:szCs w:val="22"/>
          <w:lang w:val="sr-Latn-ME"/>
        </w:rPr>
        <w:t>odabranih</w:t>
      </w:r>
      <w:r w:rsidRPr="00CB6AFC">
        <w:rPr>
          <w:i/>
          <w:iCs/>
          <w:noProof/>
          <w:sz w:val="22"/>
          <w:szCs w:val="22"/>
          <w:lang w:val="sr-Latn-ME"/>
        </w:rPr>
        <w:t xml:space="preserve"> neželjenih reakcija</w:t>
      </w:r>
    </w:p>
    <w:p w14:paraId="5E3224EF" w14:textId="51143B22" w:rsidR="004C43E7" w:rsidRPr="00CB6AFC" w:rsidRDefault="004C43E7" w:rsidP="002D619D">
      <w:pPr>
        <w:jc w:val="both"/>
        <w:rPr>
          <w:noProof/>
          <w:sz w:val="22"/>
          <w:szCs w:val="22"/>
          <w:lang w:val="sr-Latn-ME"/>
        </w:rPr>
      </w:pPr>
      <w:r w:rsidRPr="00CB6AFC">
        <w:rPr>
          <w:noProof/>
          <w:sz w:val="22"/>
          <w:szCs w:val="22"/>
          <w:lang w:val="sr-Latn-ME"/>
        </w:rPr>
        <w:t>Klinička ispitivanja upućuju na to da primjena ibuprofena, naročito u visokoj dozi (2400 mg/dan), može biti povezana sa blago povećanim rizikom od arterijskih trombotičkih događaja (na prim</w:t>
      </w:r>
      <w:r w:rsidR="003B576C" w:rsidRPr="00CB6AFC">
        <w:rPr>
          <w:noProof/>
          <w:sz w:val="22"/>
          <w:szCs w:val="22"/>
          <w:lang w:val="sr-Latn-ME"/>
        </w:rPr>
        <w:t>j</w:t>
      </w:r>
      <w:r w:rsidRPr="00CB6AFC">
        <w:rPr>
          <w:noProof/>
          <w:sz w:val="22"/>
          <w:szCs w:val="22"/>
          <w:lang w:val="sr-Latn-ME"/>
        </w:rPr>
        <w:t>er infarkt miokarda ili moždani udar) (</w:t>
      </w:r>
      <w:r w:rsidR="009C21B1" w:rsidRPr="00CB6AFC">
        <w:rPr>
          <w:noProof/>
          <w:sz w:val="22"/>
          <w:szCs w:val="22"/>
          <w:lang w:val="sr-Latn-ME"/>
        </w:rPr>
        <w:t xml:space="preserve">vidjeti </w:t>
      </w:r>
      <w:r w:rsidR="00570900" w:rsidRPr="00CB6AFC">
        <w:rPr>
          <w:noProof/>
          <w:sz w:val="22"/>
          <w:szCs w:val="22"/>
          <w:lang w:val="sr-Latn-ME"/>
        </w:rPr>
        <w:t>dio</w:t>
      </w:r>
      <w:r w:rsidRPr="00CB6AFC">
        <w:rPr>
          <w:noProof/>
          <w:sz w:val="22"/>
          <w:szCs w:val="22"/>
          <w:lang w:val="sr-Latn-ME"/>
        </w:rPr>
        <w:t xml:space="preserve"> 4.4).</w:t>
      </w:r>
    </w:p>
    <w:p w14:paraId="7A6A8065" w14:textId="77777777" w:rsidR="004C43E7" w:rsidRPr="00CB6AFC" w:rsidRDefault="004C43E7" w:rsidP="002D619D">
      <w:pPr>
        <w:tabs>
          <w:tab w:val="left" w:pos="540"/>
          <w:tab w:val="left" w:pos="569"/>
        </w:tabs>
        <w:jc w:val="both"/>
        <w:rPr>
          <w:b/>
          <w:bCs/>
          <w:sz w:val="22"/>
          <w:szCs w:val="22"/>
          <w:lang w:val="sr-Latn-ME"/>
        </w:rPr>
      </w:pPr>
    </w:p>
    <w:p w14:paraId="3DF1104D" w14:textId="102D7174" w:rsidR="00902843" w:rsidRPr="00CB6AFC" w:rsidRDefault="00902843" w:rsidP="002D619D">
      <w:pPr>
        <w:jc w:val="both"/>
        <w:rPr>
          <w:noProof/>
          <w:sz w:val="22"/>
          <w:szCs w:val="22"/>
          <w:lang w:val="sr-Latn-ME"/>
        </w:rPr>
      </w:pPr>
      <w:r w:rsidRPr="00CB6AFC">
        <w:rPr>
          <w:noProof/>
          <w:sz w:val="22"/>
          <w:szCs w:val="22"/>
          <w:lang w:val="sr-Latn-ME"/>
        </w:rPr>
        <w:t>Slučajevi metaboličke acidoze sa povećanim amnionskim zjapom zbog piroglutamatne acidoze prim</w:t>
      </w:r>
      <w:r w:rsidR="009C21B1" w:rsidRPr="00CB6AFC">
        <w:rPr>
          <w:noProof/>
          <w:sz w:val="22"/>
          <w:szCs w:val="22"/>
          <w:lang w:val="sr-Latn-ME"/>
        </w:rPr>
        <w:t>ij</w:t>
      </w:r>
      <w:r w:rsidRPr="00CB6AFC">
        <w:rPr>
          <w:noProof/>
          <w:sz w:val="22"/>
          <w:szCs w:val="22"/>
          <w:lang w:val="sr-Latn-ME"/>
        </w:rPr>
        <w:t>ećeni su kod pacijenata sa povećanim rizikom a koji su primali paracetamol (</w:t>
      </w:r>
      <w:r w:rsidR="009C21B1" w:rsidRPr="00CB6AFC">
        <w:rPr>
          <w:noProof/>
          <w:sz w:val="22"/>
          <w:szCs w:val="22"/>
          <w:lang w:val="sr-Latn-ME"/>
        </w:rPr>
        <w:t xml:space="preserve">vidjeti </w:t>
      </w:r>
      <w:r w:rsidR="003B576C" w:rsidRPr="00CB6AFC">
        <w:rPr>
          <w:noProof/>
          <w:sz w:val="22"/>
          <w:szCs w:val="22"/>
          <w:lang w:val="sr-Latn-ME"/>
        </w:rPr>
        <w:t>dio</w:t>
      </w:r>
      <w:r w:rsidRPr="00CB6AFC">
        <w:rPr>
          <w:noProof/>
          <w:sz w:val="22"/>
          <w:szCs w:val="22"/>
          <w:lang w:val="sr-Latn-ME"/>
        </w:rPr>
        <w:t xml:space="preserve"> 4.4).</w:t>
      </w:r>
    </w:p>
    <w:p w14:paraId="640B2965" w14:textId="74FC9C2E" w:rsidR="00902843" w:rsidRPr="00CB6AFC" w:rsidRDefault="00902843" w:rsidP="002D619D">
      <w:pPr>
        <w:jc w:val="both"/>
        <w:rPr>
          <w:noProof/>
          <w:sz w:val="22"/>
          <w:szCs w:val="22"/>
          <w:lang w:val="sr-Latn-ME"/>
        </w:rPr>
      </w:pPr>
      <w:r w:rsidRPr="00CB6AFC">
        <w:rPr>
          <w:noProof/>
          <w:sz w:val="22"/>
          <w:szCs w:val="22"/>
          <w:lang w:val="sr-Latn-ME"/>
        </w:rPr>
        <w:lastRenderedPageBreak/>
        <w:t>Piroglutamatna acidoza može se javiti kao posl</w:t>
      </w:r>
      <w:r w:rsidR="003B576C" w:rsidRPr="00CB6AFC">
        <w:rPr>
          <w:noProof/>
          <w:sz w:val="22"/>
          <w:szCs w:val="22"/>
          <w:lang w:val="sr-Latn-ME"/>
        </w:rPr>
        <w:t>j</w:t>
      </w:r>
      <w:r w:rsidRPr="00CB6AFC">
        <w:rPr>
          <w:noProof/>
          <w:sz w:val="22"/>
          <w:szCs w:val="22"/>
          <w:lang w:val="sr-Latn-ME"/>
        </w:rPr>
        <w:t>edica malih vr</w:t>
      </w:r>
      <w:r w:rsidR="003B576C" w:rsidRPr="00CB6AFC">
        <w:rPr>
          <w:noProof/>
          <w:sz w:val="22"/>
          <w:szCs w:val="22"/>
          <w:lang w:val="sr-Latn-ME"/>
        </w:rPr>
        <w:t>ij</w:t>
      </w:r>
      <w:r w:rsidRPr="00CB6AFC">
        <w:rPr>
          <w:noProof/>
          <w:sz w:val="22"/>
          <w:szCs w:val="22"/>
          <w:lang w:val="sr-Latn-ME"/>
        </w:rPr>
        <w:t>ednosti glutationa kod tih pacijenata.</w:t>
      </w:r>
    </w:p>
    <w:p w14:paraId="52F0DB60" w14:textId="77777777" w:rsidR="00902843" w:rsidRPr="00CB6AFC" w:rsidRDefault="00902843" w:rsidP="002D619D">
      <w:pPr>
        <w:tabs>
          <w:tab w:val="left" w:pos="540"/>
          <w:tab w:val="left" w:pos="569"/>
        </w:tabs>
        <w:jc w:val="both"/>
        <w:rPr>
          <w:b/>
          <w:bCs/>
          <w:sz w:val="22"/>
          <w:szCs w:val="22"/>
          <w:lang w:val="sr-Latn-ME"/>
        </w:rPr>
      </w:pPr>
    </w:p>
    <w:p w14:paraId="165240FE" w14:textId="77777777" w:rsidR="005A23D2" w:rsidRPr="00CB6AFC" w:rsidRDefault="005A23D2" w:rsidP="002D619D">
      <w:pPr>
        <w:spacing w:after="200" w:line="276" w:lineRule="auto"/>
        <w:jc w:val="both"/>
        <w:rPr>
          <w:rFonts w:eastAsia="Calibri"/>
          <w:sz w:val="22"/>
          <w:szCs w:val="22"/>
          <w:u w:val="single"/>
          <w:lang w:val="sr-Latn-ME"/>
        </w:rPr>
      </w:pPr>
      <w:r w:rsidRPr="00CB6AFC">
        <w:rPr>
          <w:rFonts w:eastAsia="Calibri"/>
          <w:sz w:val="22"/>
          <w:szCs w:val="22"/>
          <w:u w:val="single"/>
          <w:lang w:val="sr-Latn-ME"/>
        </w:rPr>
        <w:t>Prijavljivanje sumnji na neželjena dejstva</w:t>
      </w:r>
    </w:p>
    <w:p w14:paraId="165240FF" w14:textId="77777777" w:rsidR="005A23D2" w:rsidRPr="00CB6AFC" w:rsidRDefault="005A23D2" w:rsidP="00180081">
      <w:pPr>
        <w:spacing w:after="200"/>
        <w:jc w:val="both"/>
        <w:rPr>
          <w:rFonts w:eastAsia="Calibri"/>
          <w:sz w:val="22"/>
          <w:szCs w:val="22"/>
          <w:lang w:val="sr-Latn-ME"/>
        </w:rPr>
      </w:pPr>
      <w:r w:rsidRPr="00CB6AFC">
        <w:rPr>
          <w:rFonts w:eastAsia="Calibri"/>
          <w:sz w:val="22"/>
          <w:szCs w:val="22"/>
          <w:lang w:val="sr-Latn-ME"/>
        </w:rPr>
        <w:t>Prijavljivanje neželjenih dejstava nakon dobijanja dozvole je od velikog značaja jer obezbjeđuje kont</w:t>
      </w:r>
      <w:r w:rsidR="00EA5765" w:rsidRPr="00CB6AFC">
        <w:rPr>
          <w:rFonts w:eastAsia="Calibri"/>
          <w:sz w:val="22"/>
          <w:szCs w:val="22"/>
          <w:lang w:val="sr-Latn-ME"/>
        </w:rPr>
        <w:t>inuirano praćenje odnosa korist</w:t>
      </w:r>
      <w:r w:rsidRPr="00CB6AFC">
        <w:rPr>
          <w:rFonts w:eastAsia="Calibri"/>
          <w:sz w:val="22"/>
          <w:szCs w:val="22"/>
          <w:lang w:val="sr-Latn-ME"/>
        </w:rPr>
        <w:t>/rizik primjene lijeka. Zdravstveni radnici treba da prijave svaku sumnju na neželjeno</w:t>
      </w:r>
      <w:r w:rsidR="009B062A" w:rsidRPr="00CB6AFC">
        <w:rPr>
          <w:rFonts w:eastAsia="Calibri"/>
          <w:sz w:val="22"/>
          <w:szCs w:val="22"/>
          <w:lang w:val="sr-Latn-ME"/>
        </w:rPr>
        <w:t xml:space="preserve"> </w:t>
      </w:r>
      <w:r w:rsidRPr="00CB6AFC">
        <w:rPr>
          <w:rFonts w:eastAsia="Calibri"/>
          <w:sz w:val="22"/>
          <w:szCs w:val="22"/>
          <w:lang w:val="sr-Latn-ME"/>
        </w:rPr>
        <w:t xml:space="preserve">dejstvo ovog lijeka </w:t>
      </w:r>
      <w:r w:rsidR="004E70AD" w:rsidRPr="00CB6AFC">
        <w:rPr>
          <w:rFonts w:eastAsia="Calibri"/>
          <w:sz w:val="22"/>
          <w:szCs w:val="22"/>
          <w:lang w:val="sr-Latn-ME"/>
        </w:rPr>
        <w:t>Institutu</w:t>
      </w:r>
      <w:r w:rsidRPr="00CB6AFC">
        <w:rPr>
          <w:rFonts w:eastAsia="Calibri"/>
          <w:sz w:val="22"/>
          <w:szCs w:val="22"/>
          <w:lang w:val="sr-Latn-ME"/>
        </w:rPr>
        <w:t xml:space="preserve"> za ljekove i medicinska sredstva</w:t>
      </w:r>
      <w:r w:rsidR="004E70AD" w:rsidRPr="00CB6AFC">
        <w:rPr>
          <w:rFonts w:eastAsia="Calibri"/>
          <w:sz w:val="22"/>
          <w:szCs w:val="22"/>
          <w:lang w:val="sr-Latn-ME"/>
        </w:rPr>
        <w:t xml:space="preserve"> </w:t>
      </w:r>
      <w:r w:rsidRPr="00CB6AFC">
        <w:rPr>
          <w:rFonts w:eastAsia="Calibri"/>
          <w:sz w:val="22"/>
          <w:szCs w:val="22"/>
          <w:lang w:val="sr-Latn-ME"/>
        </w:rPr>
        <w:t>(</w:t>
      </w:r>
      <w:r w:rsidR="004E70AD" w:rsidRPr="00CB6AFC">
        <w:rPr>
          <w:rFonts w:eastAsia="Calibri"/>
          <w:sz w:val="22"/>
          <w:szCs w:val="22"/>
          <w:lang w:val="sr-Latn-ME"/>
        </w:rPr>
        <w:t>CInMED</w:t>
      </w:r>
      <w:r w:rsidRPr="00CB6AFC">
        <w:rPr>
          <w:rFonts w:eastAsia="Calibri"/>
          <w:sz w:val="22"/>
          <w:szCs w:val="22"/>
          <w:lang w:val="sr-Latn-ME"/>
        </w:rPr>
        <w:t>):</w:t>
      </w:r>
    </w:p>
    <w:p w14:paraId="16524100" w14:textId="77777777" w:rsidR="005A23D2" w:rsidRPr="00CB6AFC" w:rsidRDefault="004E70AD" w:rsidP="00180081">
      <w:pPr>
        <w:pStyle w:val="NoSpacing"/>
        <w:jc w:val="both"/>
        <w:rPr>
          <w:rFonts w:eastAsia="Calibri"/>
          <w:sz w:val="22"/>
          <w:szCs w:val="22"/>
          <w:lang w:val="sr-Latn-ME"/>
        </w:rPr>
      </w:pPr>
      <w:r w:rsidRPr="00CB6AFC">
        <w:rPr>
          <w:rFonts w:eastAsia="Calibri"/>
          <w:sz w:val="22"/>
          <w:szCs w:val="22"/>
          <w:lang w:val="sr-Latn-ME"/>
        </w:rPr>
        <w:t xml:space="preserve">Institut </w:t>
      </w:r>
      <w:r w:rsidR="005A23D2" w:rsidRPr="00CB6AFC">
        <w:rPr>
          <w:rFonts w:eastAsia="Calibri"/>
          <w:sz w:val="22"/>
          <w:szCs w:val="22"/>
          <w:lang w:val="sr-Latn-ME"/>
        </w:rPr>
        <w:t xml:space="preserve">za ljekove i medicinska sredstva </w:t>
      </w:r>
    </w:p>
    <w:p w14:paraId="16524101" w14:textId="77777777" w:rsidR="005A23D2" w:rsidRPr="00CB6AFC" w:rsidRDefault="005A23D2" w:rsidP="00180081">
      <w:pPr>
        <w:pStyle w:val="NoSpacing"/>
        <w:jc w:val="both"/>
        <w:rPr>
          <w:rFonts w:eastAsia="Calibri"/>
          <w:sz w:val="22"/>
          <w:szCs w:val="22"/>
          <w:lang w:val="sr-Latn-ME"/>
        </w:rPr>
      </w:pPr>
      <w:r w:rsidRPr="00CB6AFC">
        <w:rPr>
          <w:rFonts w:eastAsia="Calibri"/>
          <w:sz w:val="22"/>
          <w:szCs w:val="22"/>
          <w:lang w:val="sr-Latn-ME"/>
        </w:rPr>
        <w:t>Odjeljenje za farmakovigilancu</w:t>
      </w:r>
    </w:p>
    <w:p w14:paraId="16524102" w14:textId="77777777" w:rsidR="00EA5765" w:rsidRPr="00CB6AFC" w:rsidRDefault="005A23D2" w:rsidP="00180081">
      <w:pPr>
        <w:pStyle w:val="NoSpacing"/>
        <w:jc w:val="both"/>
        <w:rPr>
          <w:rFonts w:eastAsia="Calibri"/>
          <w:sz w:val="22"/>
          <w:szCs w:val="22"/>
          <w:lang w:val="sr-Latn-ME"/>
        </w:rPr>
      </w:pPr>
      <w:r w:rsidRPr="00CB6AFC">
        <w:rPr>
          <w:rFonts w:eastAsia="Calibri"/>
          <w:sz w:val="22"/>
          <w:szCs w:val="22"/>
          <w:lang w:val="sr-Latn-ME"/>
        </w:rPr>
        <w:t>Bulevar Ivana Crnojevića 64a, 81000 Podgorica</w:t>
      </w:r>
    </w:p>
    <w:p w14:paraId="16524103" w14:textId="77777777" w:rsidR="00EA5765" w:rsidRPr="00CB6AFC" w:rsidRDefault="00EA5765" w:rsidP="002D619D">
      <w:pPr>
        <w:pStyle w:val="NoSpacing"/>
        <w:jc w:val="both"/>
        <w:rPr>
          <w:rFonts w:eastAsia="Calibri"/>
          <w:sz w:val="22"/>
          <w:szCs w:val="22"/>
          <w:lang w:val="sr-Latn-ME"/>
        </w:rPr>
      </w:pPr>
    </w:p>
    <w:p w14:paraId="16524104" w14:textId="77777777" w:rsidR="005A23D2" w:rsidRPr="00CB6AFC" w:rsidRDefault="005A23D2" w:rsidP="00180081">
      <w:pPr>
        <w:pStyle w:val="NoSpacing"/>
        <w:jc w:val="both"/>
        <w:rPr>
          <w:rFonts w:eastAsia="Calibri"/>
          <w:sz w:val="22"/>
          <w:szCs w:val="22"/>
          <w:lang w:val="sr-Latn-ME"/>
        </w:rPr>
      </w:pPr>
      <w:r w:rsidRPr="00CB6AFC">
        <w:rPr>
          <w:rFonts w:eastAsia="Calibri"/>
          <w:sz w:val="22"/>
          <w:szCs w:val="22"/>
          <w:lang w:val="sr-Latn-ME"/>
        </w:rPr>
        <w:t>tel: +382 (0) 20 310 280</w:t>
      </w:r>
    </w:p>
    <w:p w14:paraId="16524105" w14:textId="77777777" w:rsidR="00EA5765" w:rsidRPr="00CB6AFC" w:rsidRDefault="005A23D2" w:rsidP="00180081">
      <w:pPr>
        <w:pStyle w:val="NoSpacing"/>
        <w:tabs>
          <w:tab w:val="left" w:pos="6720"/>
        </w:tabs>
        <w:jc w:val="both"/>
        <w:rPr>
          <w:rFonts w:eastAsia="Calibri"/>
          <w:sz w:val="22"/>
          <w:szCs w:val="22"/>
          <w:lang w:val="sr-Latn-ME"/>
        </w:rPr>
      </w:pPr>
      <w:r w:rsidRPr="00CB6AFC">
        <w:rPr>
          <w:rFonts w:eastAsia="Calibri"/>
          <w:sz w:val="22"/>
          <w:szCs w:val="22"/>
          <w:lang w:val="sr-Latn-ME"/>
        </w:rPr>
        <w:t>fax:</w:t>
      </w:r>
      <w:r w:rsidR="00EA5765" w:rsidRPr="00CB6AFC">
        <w:rPr>
          <w:rFonts w:eastAsia="Calibri"/>
          <w:sz w:val="22"/>
          <w:szCs w:val="22"/>
          <w:lang w:val="sr-Latn-ME"/>
        </w:rPr>
        <w:t xml:space="preserve"> </w:t>
      </w:r>
      <w:r w:rsidRPr="00CB6AFC">
        <w:rPr>
          <w:rFonts w:eastAsia="Calibri"/>
          <w:sz w:val="22"/>
          <w:szCs w:val="22"/>
          <w:lang w:val="sr-Latn-ME"/>
        </w:rPr>
        <w:t>+382 (0) 20 310 581</w:t>
      </w:r>
      <w:r w:rsidR="00FF3EDF" w:rsidRPr="00CB6AFC">
        <w:rPr>
          <w:rFonts w:eastAsia="Calibri"/>
          <w:sz w:val="22"/>
          <w:szCs w:val="22"/>
          <w:lang w:val="sr-Latn-ME"/>
        </w:rPr>
        <w:tab/>
      </w:r>
    </w:p>
    <w:p w14:paraId="16524106" w14:textId="77777777" w:rsidR="005A23D2" w:rsidRPr="00CB6AFC" w:rsidRDefault="00AA3608" w:rsidP="00180081">
      <w:pPr>
        <w:pStyle w:val="NoSpacing"/>
        <w:jc w:val="both"/>
        <w:rPr>
          <w:rFonts w:eastAsia="Calibri"/>
          <w:sz w:val="22"/>
          <w:szCs w:val="22"/>
          <w:lang w:val="sr-Latn-ME"/>
        </w:rPr>
      </w:pPr>
      <w:hyperlink r:id="rId11" w:history="1">
        <w:r w:rsidR="004E70AD" w:rsidRPr="00CB6AFC">
          <w:rPr>
            <w:rStyle w:val="Hyperlink"/>
            <w:rFonts w:eastAsia="Calibri"/>
            <w:sz w:val="22"/>
            <w:szCs w:val="22"/>
            <w:lang w:val="sr-Latn-ME"/>
          </w:rPr>
          <w:t>www.cinmed.me</w:t>
        </w:r>
      </w:hyperlink>
    </w:p>
    <w:p w14:paraId="16524107" w14:textId="77777777" w:rsidR="00EA5765" w:rsidRPr="00CB6AFC" w:rsidRDefault="00AA3608" w:rsidP="00180081">
      <w:pPr>
        <w:pStyle w:val="NoSpacing"/>
        <w:jc w:val="both"/>
        <w:rPr>
          <w:rFonts w:eastAsia="Calibri"/>
          <w:color w:val="0000FF"/>
          <w:sz w:val="22"/>
          <w:szCs w:val="22"/>
          <w:u w:val="single"/>
          <w:lang w:val="sr-Latn-ME"/>
        </w:rPr>
      </w:pPr>
      <w:hyperlink r:id="rId12" w:history="1">
        <w:r w:rsidR="004E70AD" w:rsidRPr="00CB6AFC">
          <w:rPr>
            <w:rStyle w:val="Hyperlink"/>
            <w:rFonts w:eastAsia="Calibri"/>
            <w:sz w:val="22"/>
            <w:szCs w:val="22"/>
            <w:lang w:val="sr-Latn-ME"/>
          </w:rPr>
          <w:t>nezeljenadejstva@cinmed.me</w:t>
        </w:r>
      </w:hyperlink>
    </w:p>
    <w:p w14:paraId="16524108" w14:textId="77777777" w:rsidR="005A23D2" w:rsidRPr="00CB6AFC" w:rsidRDefault="005A23D2" w:rsidP="00180081">
      <w:pPr>
        <w:pStyle w:val="NoSpacing"/>
        <w:jc w:val="both"/>
        <w:rPr>
          <w:rFonts w:eastAsia="Calibri"/>
          <w:sz w:val="22"/>
          <w:szCs w:val="22"/>
          <w:lang w:val="sr-Latn-ME"/>
        </w:rPr>
      </w:pPr>
      <w:r w:rsidRPr="00CB6AFC">
        <w:rPr>
          <w:rFonts w:eastAsia="Calibri"/>
          <w:sz w:val="22"/>
          <w:szCs w:val="22"/>
          <w:lang w:val="sr-Latn-ME"/>
        </w:rPr>
        <w:t>putem IS zdravstvene zaštite</w:t>
      </w:r>
    </w:p>
    <w:p w14:paraId="16524109" w14:textId="77777777" w:rsidR="007E31E9" w:rsidRPr="00CB6AFC" w:rsidRDefault="007E31E9" w:rsidP="00180081">
      <w:pPr>
        <w:pStyle w:val="NoSpacing"/>
        <w:jc w:val="both"/>
        <w:rPr>
          <w:rFonts w:eastAsia="Calibri"/>
          <w:sz w:val="22"/>
          <w:szCs w:val="22"/>
          <w:lang w:val="sr-Latn-ME"/>
        </w:rPr>
      </w:pPr>
      <w:r w:rsidRPr="00CB6AFC">
        <w:rPr>
          <w:rFonts w:eastAsia="Calibri"/>
          <w:sz w:val="22"/>
          <w:szCs w:val="22"/>
          <w:lang w:val="sr-Latn-ME"/>
        </w:rPr>
        <w:t>QR kod za online prijavu</w:t>
      </w:r>
      <w:r w:rsidR="00D74CD2" w:rsidRPr="00CB6AFC">
        <w:rPr>
          <w:rFonts w:eastAsia="Calibri"/>
          <w:sz w:val="22"/>
          <w:szCs w:val="22"/>
          <w:lang w:val="sr-Latn-ME"/>
        </w:rPr>
        <w:t xml:space="preserve"> sumnje na neželjeno dejstvo lijeka</w:t>
      </w:r>
      <w:r w:rsidRPr="00CB6AFC">
        <w:rPr>
          <w:rFonts w:eastAsia="Calibri"/>
          <w:sz w:val="22"/>
          <w:szCs w:val="22"/>
          <w:lang w:val="sr-Latn-ME"/>
        </w:rPr>
        <w:t>:</w:t>
      </w:r>
    </w:p>
    <w:p w14:paraId="1652410A" w14:textId="77777777" w:rsidR="007E31E9" w:rsidRPr="00CB6AFC" w:rsidRDefault="007E31E9" w:rsidP="00180081">
      <w:pPr>
        <w:pStyle w:val="NoSpacing"/>
        <w:jc w:val="both"/>
        <w:rPr>
          <w:rFonts w:eastAsia="Calibri"/>
          <w:sz w:val="22"/>
          <w:szCs w:val="22"/>
          <w:lang w:val="sr-Latn-ME"/>
        </w:rPr>
      </w:pPr>
    </w:p>
    <w:p w14:paraId="1652410B" w14:textId="0F8D76AB" w:rsidR="004F17E2" w:rsidRPr="00CB6AFC" w:rsidRDefault="003B576C" w:rsidP="002D619D">
      <w:pPr>
        <w:pStyle w:val="NoSpacing"/>
        <w:jc w:val="both"/>
        <w:rPr>
          <w:rFonts w:eastAsia="Calibri"/>
          <w:sz w:val="22"/>
          <w:szCs w:val="22"/>
          <w:lang w:val="sr-Latn-ME"/>
        </w:rPr>
      </w:pPr>
      <w:r w:rsidRPr="00CB6AFC">
        <w:rPr>
          <w:noProof/>
          <w:lang w:val="sr-Latn-ME"/>
        </w:rPr>
        <w:drawing>
          <wp:inline distT="0" distB="0" distL="0" distR="0" wp14:anchorId="23534B91" wp14:editId="4D86C773">
            <wp:extent cx="982980" cy="975360"/>
            <wp:effectExtent l="0" t="0" r="7620" b="0"/>
            <wp:docPr id="1" name="Picture 1" descr="Picture 9,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9, 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980" cy="975360"/>
                    </a:xfrm>
                    <a:prstGeom prst="rect">
                      <a:avLst/>
                    </a:prstGeom>
                    <a:noFill/>
                    <a:ln>
                      <a:noFill/>
                    </a:ln>
                  </pic:spPr>
                </pic:pic>
              </a:graphicData>
            </a:graphic>
          </wp:inline>
        </w:drawing>
      </w:r>
    </w:p>
    <w:p w14:paraId="1652410C" w14:textId="77777777" w:rsidR="00836B35" w:rsidRPr="00CB6AFC" w:rsidRDefault="00836B35" w:rsidP="002D619D">
      <w:pPr>
        <w:tabs>
          <w:tab w:val="left" w:pos="540"/>
          <w:tab w:val="left" w:pos="569"/>
        </w:tabs>
        <w:jc w:val="both"/>
        <w:rPr>
          <w:b/>
          <w:bCs/>
          <w:sz w:val="22"/>
          <w:szCs w:val="22"/>
          <w:lang w:val="sr-Latn-ME"/>
        </w:rPr>
      </w:pPr>
    </w:p>
    <w:p w14:paraId="1652410D" w14:textId="77777777" w:rsidR="00CD6F02" w:rsidRPr="00CB6AFC" w:rsidRDefault="0072020E" w:rsidP="002D619D">
      <w:pPr>
        <w:tabs>
          <w:tab w:val="left" w:pos="540"/>
          <w:tab w:val="left" w:pos="569"/>
        </w:tabs>
        <w:jc w:val="both"/>
        <w:rPr>
          <w:b/>
          <w:bCs/>
          <w:sz w:val="22"/>
          <w:szCs w:val="22"/>
          <w:lang w:val="sr-Latn-ME"/>
        </w:rPr>
      </w:pPr>
      <w:r w:rsidRPr="00CB6AFC">
        <w:rPr>
          <w:b/>
          <w:bCs/>
          <w:sz w:val="22"/>
          <w:szCs w:val="22"/>
          <w:lang w:val="sr-Latn-ME"/>
        </w:rPr>
        <w:t xml:space="preserve">4.9. </w:t>
      </w:r>
      <w:r w:rsidR="00480FB1" w:rsidRPr="00CB6AFC">
        <w:rPr>
          <w:b/>
          <w:bCs/>
          <w:sz w:val="22"/>
          <w:szCs w:val="22"/>
          <w:lang w:val="sr-Latn-ME"/>
        </w:rPr>
        <w:tab/>
      </w:r>
      <w:r w:rsidRPr="00CB6AFC">
        <w:rPr>
          <w:b/>
          <w:bCs/>
          <w:sz w:val="22"/>
          <w:szCs w:val="22"/>
          <w:lang w:val="sr-Latn-ME"/>
        </w:rPr>
        <w:t>Predoziranje</w:t>
      </w:r>
      <w:r w:rsidR="002846DB" w:rsidRPr="00CB6AFC">
        <w:rPr>
          <w:b/>
          <w:bCs/>
          <w:sz w:val="22"/>
          <w:szCs w:val="22"/>
          <w:lang w:val="sr-Latn-ME"/>
        </w:rPr>
        <w:t xml:space="preserve"> </w:t>
      </w:r>
    </w:p>
    <w:p w14:paraId="1652410E" w14:textId="77777777" w:rsidR="00CD6F02" w:rsidRPr="00CB6AFC" w:rsidRDefault="00CD6F02" w:rsidP="002D619D">
      <w:pPr>
        <w:tabs>
          <w:tab w:val="left" w:pos="540"/>
          <w:tab w:val="left" w:pos="569"/>
        </w:tabs>
        <w:jc w:val="both"/>
        <w:rPr>
          <w:b/>
          <w:bCs/>
          <w:sz w:val="22"/>
          <w:szCs w:val="22"/>
          <w:lang w:val="sr-Latn-ME"/>
        </w:rPr>
      </w:pPr>
    </w:p>
    <w:p w14:paraId="6407C020" w14:textId="77777777" w:rsidR="004A4A56" w:rsidRPr="00CB6AFC" w:rsidRDefault="004A4A56" w:rsidP="002D619D">
      <w:pPr>
        <w:jc w:val="both"/>
        <w:rPr>
          <w:sz w:val="22"/>
          <w:szCs w:val="22"/>
          <w:u w:val="single"/>
          <w:lang w:val="sr-Latn-ME"/>
        </w:rPr>
      </w:pPr>
      <w:r w:rsidRPr="00CB6AFC">
        <w:rPr>
          <w:sz w:val="22"/>
          <w:szCs w:val="22"/>
          <w:u w:val="single"/>
          <w:lang w:val="sr-Latn-ME"/>
        </w:rPr>
        <w:t>Simptomi</w:t>
      </w:r>
    </w:p>
    <w:p w14:paraId="186279B3" w14:textId="77777777" w:rsidR="004A4A56" w:rsidRPr="00CB6AFC" w:rsidRDefault="004A4A56" w:rsidP="002D619D">
      <w:pPr>
        <w:jc w:val="both"/>
        <w:rPr>
          <w:b/>
          <w:bCs/>
          <w:i/>
          <w:iCs/>
          <w:noProof/>
          <w:sz w:val="22"/>
          <w:szCs w:val="22"/>
          <w:lang w:val="sr-Latn-ME"/>
        </w:rPr>
      </w:pPr>
      <w:r w:rsidRPr="00CB6AFC">
        <w:rPr>
          <w:b/>
          <w:bCs/>
          <w:i/>
          <w:iCs/>
          <w:noProof/>
          <w:sz w:val="22"/>
          <w:szCs w:val="22"/>
          <w:lang w:val="sr-Latn-ME"/>
        </w:rPr>
        <w:t>Paracetamol</w:t>
      </w:r>
    </w:p>
    <w:p w14:paraId="14E374FD" w14:textId="499DC4CE" w:rsidR="004A4A56" w:rsidRPr="00CB6AFC" w:rsidRDefault="004A4A56" w:rsidP="002D619D">
      <w:pPr>
        <w:jc w:val="both"/>
        <w:rPr>
          <w:noProof/>
          <w:sz w:val="22"/>
          <w:szCs w:val="22"/>
          <w:lang w:val="sr-Latn-ME"/>
        </w:rPr>
      </w:pPr>
      <w:r w:rsidRPr="00CB6AFC">
        <w:rPr>
          <w:noProof/>
          <w:sz w:val="22"/>
          <w:szCs w:val="22"/>
          <w:lang w:val="sr-Latn-ME"/>
        </w:rPr>
        <w:t xml:space="preserve">Oštećenje jetre pa čak i insuficijencija mogu se pojaviti nakon predoziranja paracetamolom. Simptomi predoziranja paracetamolom u prva 24 sata su bljedilo, mučnina, povraćanje, anoreksija i bolovi u </w:t>
      </w:r>
      <w:r w:rsidR="003B576C" w:rsidRPr="00CB6AFC">
        <w:rPr>
          <w:noProof/>
          <w:sz w:val="22"/>
          <w:szCs w:val="22"/>
          <w:lang w:val="sr-Latn-ME"/>
        </w:rPr>
        <w:t>stomaku</w:t>
      </w:r>
      <w:r w:rsidRPr="00CB6AFC">
        <w:rPr>
          <w:noProof/>
          <w:sz w:val="22"/>
          <w:szCs w:val="22"/>
          <w:lang w:val="sr-Latn-ME"/>
        </w:rPr>
        <w:t>. Oštećenje jetre može se primijetiti 12 do 48 sati nakon uzimanja paracetamola. Mogu nastupiti nepravilnosti u metabolizmu glukoze i metabolička acidoza. Kod teškog trovanja, insuficijencija jetre može napredovati do encefalopatije, kome i smrti. Akutna insuficijencija bubrega sa akutnom tubularnom nekrozom može se razviti i bez teškog oštećenja jetre. Prijavljena je pojava srčanih aritmija. Oštećenje jetre moguće je kod odraslih osoba koje su uzele 10 g ili više paracetamola, zbog prekomjerne količine toksičnog metabolita.</w:t>
      </w:r>
    </w:p>
    <w:p w14:paraId="750BC0C9" w14:textId="77777777" w:rsidR="004A4A56" w:rsidRPr="00CB6AFC" w:rsidRDefault="004A4A56" w:rsidP="002D619D">
      <w:pPr>
        <w:jc w:val="both"/>
        <w:rPr>
          <w:noProof/>
          <w:sz w:val="22"/>
          <w:szCs w:val="22"/>
          <w:lang w:val="sr-Latn-ME"/>
        </w:rPr>
      </w:pPr>
    </w:p>
    <w:p w14:paraId="5EEFC5AB" w14:textId="77777777" w:rsidR="004A4A56" w:rsidRPr="00CB6AFC" w:rsidRDefault="004A4A56" w:rsidP="002D619D">
      <w:pPr>
        <w:jc w:val="both"/>
        <w:rPr>
          <w:b/>
          <w:bCs/>
          <w:i/>
          <w:iCs/>
          <w:noProof/>
          <w:sz w:val="22"/>
          <w:szCs w:val="22"/>
          <w:lang w:val="sr-Latn-ME"/>
        </w:rPr>
      </w:pPr>
      <w:r w:rsidRPr="00CB6AFC">
        <w:rPr>
          <w:b/>
          <w:bCs/>
          <w:i/>
          <w:iCs/>
          <w:noProof/>
          <w:sz w:val="22"/>
          <w:szCs w:val="22"/>
          <w:lang w:val="sr-Latn-ME"/>
        </w:rPr>
        <w:t>Ibuprofen</w:t>
      </w:r>
    </w:p>
    <w:p w14:paraId="2F7F2BA1" w14:textId="4493EA81" w:rsidR="004A4A56" w:rsidRPr="00CB6AFC" w:rsidRDefault="004A4A56" w:rsidP="002D619D">
      <w:pPr>
        <w:jc w:val="both"/>
        <w:rPr>
          <w:noProof/>
          <w:sz w:val="22"/>
          <w:szCs w:val="22"/>
          <w:lang w:val="sr-Latn-ME"/>
        </w:rPr>
      </w:pPr>
      <w:r w:rsidRPr="00CB6AFC">
        <w:rPr>
          <w:noProof/>
          <w:sz w:val="22"/>
          <w:szCs w:val="22"/>
          <w:lang w:val="sr-Latn-ME"/>
        </w:rPr>
        <w:t xml:space="preserve">Simptomi uključuju mučninu, bolove u </w:t>
      </w:r>
      <w:r w:rsidR="00415F43" w:rsidRPr="00CB6AFC">
        <w:rPr>
          <w:noProof/>
          <w:sz w:val="22"/>
          <w:szCs w:val="22"/>
          <w:lang w:val="sr-Latn-ME"/>
        </w:rPr>
        <w:t>stomaku</w:t>
      </w:r>
      <w:r w:rsidRPr="00CB6AFC">
        <w:rPr>
          <w:noProof/>
          <w:sz w:val="22"/>
          <w:szCs w:val="22"/>
          <w:lang w:val="sr-Latn-ME"/>
        </w:rPr>
        <w:t xml:space="preserve"> i povraćanje, vrtoglavicu, konvulzije i rijetko gubitak sv</w:t>
      </w:r>
      <w:r w:rsidR="00415F43" w:rsidRPr="00CB6AFC">
        <w:rPr>
          <w:noProof/>
          <w:sz w:val="22"/>
          <w:szCs w:val="22"/>
          <w:lang w:val="sr-Latn-ME"/>
        </w:rPr>
        <w:t>ij</w:t>
      </w:r>
      <w:r w:rsidRPr="00CB6AFC">
        <w:rPr>
          <w:noProof/>
          <w:sz w:val="22"/>
          <w:szCs w:val="22"/>
          <w:lang w:val="sr-Latn-ME"/>
        </w:rPr>
        <w:t>esti. Klinička slika predoziranja ibuprofenom koja može nastati je depresija centralnog nervnog sistema i respiratornog sistema.</w:t>
      </w:r>
    </w:p>
    <w:p w14:paraId="3CB998A7" w14:textId="77777777" w:rsidR="004A4A56" w:rsidRPr="00CB6AFC" w:rsidRDefault="004A4A56" w:rsidP="002D619D">
      <w:pPr>
        <w:jc w:val="both"/>
        <w:rPr>
          <w:noProof/>
          <w:sz w:val="22"/>
          <w:szCs w:val="22"/>
          <w:lang w:val="sr-Latn-ME"/>
        </w:rPr>
      </w:pPr>
    </w:p>
    <w:p w14:paraId="37221E5A" w14:textId="77777777" w:rsidR="004A4A56" w:rsidRPr="00CB6AFC" w:rsidRDefault="004A4A56" w:rsidP="002D619D">
      <w:pPr>
        <w:jc w:val="both"/>
        <w:rPr>
          <w:noProof/>
          <w:sz w:val="22"/>
          <w:szCs w:val="22"/>
          <w:lang w:val="sr-Latn-ME"/>
        </w:rPr>
      </w:pPr>
      <w:r w:rsidRPr="00CB6AFC">
        <w:rPr>
          <w:noProof/>
          <w:sz w:val="22"/>
          <w:szCs w:val="22"/>
          <w:lang w:val="sr-Latn-ME"/>
        </w:rPr>
        <w:t>U težim slučajevima trovanja može doći do metaboličke acidoze.</w:t>
      </w:r>
    </w:p>
    <w:p w14:paraId="32F33AD0" w14:textId="77777777" w:rsidR="004A4A56" w:rsidRPr="00CB6AFC" w:rsidRDefault="004A4A56" w:rsidP="002D619D">
      <w:pPr>
        <w:jc w:val="both"/>
        <w:rPr>
          <w:sz w:val="22"/>
          <w:szCs w:val="22"/>
          <w:u w:val="single"/>
          <w:lang w:val="sr-Latn-ME"/>
        </w:rPr>
      </w:pPr>
    </w:p>
    <w:p w14:paraId="453D136F" w14:textId="2BE7DA3D" w:rsidR="005E01EA" w:rsidRPr="00CB6AFC" w:rsidRDefault="005E01EA" w:rsidP="002D619D">
      <w:pPr>
        <w:jc w:val="both"/>
        <w:rPr>
          <w:sz w:val="22"/>
          <w:szCs w:val="22"/>
          <w:u w:val="single"/>
          <w:lang w:val="sr-Latn-ME"/>
        </w:rPr>
      </w:pPr>
      <w:r w:rsidRPr="00CB6AFC">
        <w:rPr>
          <w:sz w:val="22"/>
          <w:szCs w:val="22"/>
          <w:u w:val="single"/>
          <w:lang w:val="sr-Latn-ME"/>
        </w:rPr>
        <w:t>Produžena prim</w:t>
      </w:r>
      <w:r w:rsidR="00415F43" w:rsidRPr="00CB6AFC">
        <w:rPr>
          <w:sz w:val="22"/>
          <w:szCs w:val="22"/>
          <w:u w:val="single"/>
          <w:lang w:val="sr-Latn-ME"/>
        </w:rPr>
        <w:t>j</w:t>
      </w:r>
      <w:r w:rsidRPr="00CB6AFC">
        <w:rPr>
          <w:sz w:val="22"/>
          <w:szCs w:val="22"/>
          <w:u w:val="single"/>
          <w:lang w:val="sr-Latn-ME"/>
        </w:rPr>
        <w:t>ena u dozama većim od preporučenih ili predoziranje mogu dovesti do bubrežne tubularne acidoze i hipokal</w:t>
      </w:r>
      <w:r w:rsidR="009C21B1" w:rsidRPr="00CB6AFC">
        <w:rPr>
          <w:sz w:val="22"/>
          <w:szCs w:val="22"/>
          <w:u w:val="single"/>
          <w:lang w:val="sr-Latn-ME"/>
        </w:rPr>
        <w:t>ij</w:t>
      </w:r>
      <w:r w:rsidRPr="00CB6AFC">
        <w:rPr>
          <w:sz w:val="22"/>
          <w:szCs w:val="22"/>
          <w:u w:val="single"/>
          <w:lang w:val="sr-Latn-ME"/>
        </w:rPr>
        <w:t>emije.</w:t>
      </w:r>
    </w:p>
    <w:p w14:paraId="0412EBAE" w14:textId="77777777" w:rsidR="005E01EA" w:rsidRPr="00CB6AFC" w:rsidRDefault="005E01EA" w:rsidP="002D619D">
      <w:pPr>
        <w:jc w:val="both"/>
        <w:rPr>
          <w:sz w:val="22"/>
          <w:szCs w:val="22"/>
          <w:u w:val="single"/>
          <w:lang w:val="sr-Latn-ME"/>
        </w:rPr>
      </w:pPr>
    </w:p>
    <w:p w14:paraId="3824086B" w14:textId="77EB3556" w:rsidR="004A4A56" w:rsidRPr="00CB6AFC" w:rsidRDefault="004A4A56" w:rsidP="002D619D">
      <w:pPr>
        <w:jc w:val="both"/>
        <w:rPr>
          <w:sz w:val="22"/>
          <w:szCs w:val="22"/>
          <w:u w:val="single"/>
          <w:lang w:val="sr-Latn-ME"/>
        </w:rPr>
      </w:pPr>
      <w:r w:rsidRPr="00CB6AFC">
        <w:rPr>
          <w:sz w:val="22"/>
          <w:szCs w:val="22"/>
          <w:u w:val="single"/>
          <w:lang w:val="sr-Latn-ME"/>
        </w:rPr>
        <w:t>Liječenje</w:t>
      </w:r>
    </w:p>
    <w:p w14:paraId="156A298B" w14:textId="77777777" w:rsidR="005F0A8B" w:rsidRPr="00CB6AFC" w:rsidRDefault="005F0A8B" w:rsidP="002D619D">
      <w:pPr>
        <w:jc w:val="both"/>
        <w:rPr>
          <w:sz w:val="22"/>
          <w:szCs w:val="22"/>
          <w:u w:val="single"/>
          <w:lang w:val="sr-Latn-ME"/>
        </w:rPr>
      </w:pPr>
    </w:p>
    <w:p w14:paraId="5963B5F4" w14:textId="77777777" w:rsidR="004A4A56" w:rsidRPr="00CB6AFC" w:rsidRDefault="004A4A56" w:rsidP="002D619D">
      <w:pPr>
        <w:jc w:val="both"/>
        <w:rPr>
          <w:b/>
          <w:bCs/>
          <w:i/>
          <w:iCs/>
          <w:noProof/>
          <w:sz w:val="22"/>
          <w:szCs w:val="22"/>
          <w:lang w:val="sr-Latn-ME"/>
        </w:rPr>
      </w:pPr>
      <w:r w:rsidRPr="00CB6AFC">
        <w:rPr>
          <w:b/>
          <w:bCs/>
          <w:i/>
          <w:iCs/>
          <w:noProof/>
          <w:sz w:val="22"/>
          <w:szCs w:val="22"/>
          <w:lang w:val="sr-Latn-ME"/>
        </w:rPr>
        <w:t>Paracetamol</w:t>
      </w:r>
    </w:p>
    <w:p w14:paraId="61483D9C" w14:textId="79981E44" w:rsidR="004A4A56" w:rsidRPr="00CB6AFC" w:rsidRDefault="004A4A56" w:rsidP="002D619D">
      <w:pPr>
        <w:jc w:val="both"/>
        <w:rPr>
          <w:noProof/>
          <w:sz w:val="22"/>
          <w:szCs w:val="22"/>
          <w:lang w:val="sr-Latn-ME"/>
        </w:rPr>
      </w:pPr>
      <w:r w:rsidRPr="00CB6AFC">
        <w:rPr>
          <w:noProof/>
          <w:sz w:val="22"/>
          <w:szCs w:val="22"/>
          <w:lang w:val="sr-Latn-ME"/>
        </w:rPr>
        <w:t>Liječenje predoziranja paracetamolom potrebno je sprovesti što hitnije, čak i kad nema očiglednih simptoma zbog rizika od oštećenja jetre, koji se mogu pojaviti nakon nekoliko sati ili čak dana. Sav</w:t>
      </w:r>
      <w:r w:rsidR="00415F43" w:rsidRPr="00CB6AFC">
        <w:rPr>
          <w:noProof/>
          <w:sz w:val="22"/>
          <w:szCs w:val="22"/>
          <w:lang w:val="sr-Latn-ME"/>
        </w:rPr>
        <w:t>j</w:t>
      </w:r>
      <w:r w:rsidRPr="00CB6AFC">
        <w:rPr>
          <w:noProof/>
          <w:sz w:val="22"/>
          <w:szCs w:val="22"/>
          <w:lang w:val="sr-Latn-ME"/>
        </w:rPr>
        <w:t>etuje se liječenje bez odlaganja bilo kojeg pacijenta koji je u prethodna 4 sata unio 7</w:t>
      </w:r>
      <w:r w:rsidR="00415F43" w:rsidRPr="00CB6AFC">
        <w:rPr>
          <w:noProof/>
          <w:sz w:val="22"/>
          <w:szCs w:val="22"/>
          <w:lang w:val="sr-Latn-ME"/>
        </w:rPr>
        <w:t>.</w:t>
      </w:r>
      <w:r w:rsidRPr="00CB6AFC">
        <w:rPr>
          <w:noProof/>
          <w:sz w:val="22"/>
          <w:szCs w:val="22"/>
          <w:lang w:val="sr-Latn-ME"/>
        </w:rPr>
        <w:t>5 g ili više paracetamola. Treba razmotriti ispiranje želuca. Potrebno je što prije započeti specifično liječenje antidotom, poput acetilcisteina (intravenski) ili metionina (oralno), kako bi se uklonila oštećenja jetre.</w:t>
      </w:r>
    </w:p>
    <w:p w14:paraId="15ED98FE" w14:textId="3A662A69" w:rsidR="004A4A56" w:rsidRPr="00CB6AFC" w:rsidRDefault="004A4A56" w:rsidP="002D619D">
      <w:pPr>
        <w:jc w:val="both"/>
        <w:rPr>
          <w:noProof/>
          <w:sz w:val="22"/>
          <w:szCs w:val="22"/>
          <w:lang w:val="sr-Latn-ME"/>
        </w:rPr>
      </w:pPr>
      <w:r w:rsidRPr="00CB6AFC">
        <w:rPr>
          <w:noProof/>
          <w:sz w:val="22"/>
          <w:szCs w:val="22"/>
          <w:lang w:val="sr-Latn-ME"/>
        </w:rPr>
        <w:lastRenderedPageBreak/>
        <w:t xml:space="preserve">Acetilcistein je najefikasniji kada se daje u vremenu do 8 sati nakon predoziranja, a </w:t>
      </w:r>
      <w:r w:rsidR="00415F43" w:rsidRPr="00CB6AFC">
        <w:rPr>
          <w:noProof/>
          <w:sz w:val="22"/>
          <w:szCs w:val="22"/>
          <w:lang w:val="sr-Latn-ME"/>
        </w:rPr>
        <w:t>efikasnost</w:t>
      </w:r>
      <w:r w:rsidRPr="00CB6AFC">
        <w:rPr>
          <w:noProof/>
          <w:sz w:val="22"/>
          <w:szCs w:val="22"/>
          <w:lang w:val="sr-Latn-ME"/>
        </w:rPr>
        <w:t xml:space="preserve"> progresivno slabi između 8 i 16 sati. Nekad se vjerovalo da započinjanje liječenja nakon 15 sati od predoziranja nema nikakve koristi i može pogoršati rizik od encefalopatije</w:t>
      </w:r>
      <w:r w:rsidR="00415F43" w:rsidRPr="00CB6AFC">
        <w:rPr>
          <w:noProof/>
          <w:sz w:val="22"/>
          <w:szCs w:val="22"/>
          <w:lang w:val="sr-Latn-ME"/>
        </w:rPr>
        <w:t xml:space="preserve"> izazvane oštećenjem jetre</w:t>
      </w:r>
      <w:r w:rsidRPr="00CB6AFC">
        <w:rPr>
          <w:noProof/>
          <w:sz w:val="22"/>
          <w:szCs w:val="22"/>
          <w:lang w:val="sr-Latn-ME"/>
        </w:rPr>
        <w:t>. Međutim, pokazalo se da je kasna primjena sigurna, a ispitivanja kod pacijenata liječenih do 36 sati nakon ingestije ukazuju da se pozitivni rezultati mogu dobiti i nakon 15 sati od uzimanja lijeka. Dodatno, pokazalo se da primjena acetilcisteina</w:t>
      </w:r>
      <w:r w:rsidR="00415F43" w:rsidRPr="00CB6AFC">
        <w:rPr>
          <w:noProof/>
          <w:sz w:val="22"/>
          <w:szCs w:val="22"/>
          <w:lang w:val="sr-Latn-ME"/>
        </w:rPr>
        <w:t xml:space="preserve"> intravenskim putem</w:t>
      </w:r>
      <w:r w:rsidRPr="00CB6AFC">
        <w:rPr>
          <w:noProof/>
          <w:sz w:val="22"/>
          <w:szCs w:val="22"/>
          <w:lang w:val="sr-Latn-ME"/>
        </w:rPr>
        <w:t xml:space="preserve"> kod pacijenata koji su već razvili fulminantnu insuficijenciju jetre smanjuje morbiditet i mortalitet.</w:t>
      </w:r>
    </w:p>
    <w:p w14:paraId="5712FE12" w14:textId="77777777" w:rsidR="004A4A56" w:rsidRPr="00CB6AFC" w:rsidRDefault="004A4A56" w:rsidP="002D619D">
      <w:pPr>
        <w:jc w:val="both"/>
        <w:rPr>
          <w:noProof/>
          <w:sz w:val="22"/>
          <w:szCs w:val="22"/>
          <w:lang w:val="sr-Latn-ME"/>
        </w:rPr>
      </w:pPr>
    </w:p>
    <w:p w14:paraId="0EA9E26B" w14:textId="77777777" w:rsidR="004A4A56" w:rsidRPr="00CB6AFC" w:rsidRDefault="004A4A56" w:rsidP="002D619D">
      <w:pPr>
        <w:jc w:val="both"/>
        <w:rPr>
          <w:noProof/>
          <w:sz w:val="22"/>
          <w:szCs w:val="22"/>
          <w:lang w:val="sr-Latn-ME"/>
        </w:rPr>
      </w:pPr>
      <w:r w:rsidRPr="00CB6AFC">
        <w:rPr>
          <w:noProof/>
          <w:sz w:val="22"/>
          <w:szCs w:val="22"/>
          <w:lang w:val="sr-Latn-ME"/>
        </w:rPr>
        <w:t>Početna doza od 150 mg/kg acetilcisteina u 200 ml 5%-tne glukoze daje se intravenski tokom 15 minuta, a zatim i.v. infuzija od 50 mg/kg u 500 ml 5%-tne glukoze tokom 4 sata, a zatim 100 mg/kg u 1 litru 5%-tne glukoze tokom 16 sati. Volumen i.v. tečnosti treba prilagoditi za djecu.</w:t>
      </w:r>
    </w:p>
    <w:p w14:paraId="265FC93C" w14:textId="77777777" w:rsidR="004A4A56" w:rsidRPr="00CB6AFC" w:rsidRDefault="004A4A56" w:rsidP="002D619D">
      <w:pPr>
        <w:jc w:val="both"/>
        <w:rPr>
          <w:noProof/>
          <w:sz w:val="22"/>
          <w:szCs w:val="22"/>
          <w:lang w:val="sr-Latn-ME"/>
        </w:rPr>
      </w:pPr>
    </w:p>
    <w:p w14:paraId="43B7DCA3" w14:textId="7C75CB9E" w:rsidR="004A4A56" w:rsidRPr="00CB6AFC" w:rsidRDefault="004A4A56" w:rsidP="002D619D">
      <w:pPr>
        <w:jc w:val="both"/>
        <w:rPr>
          <w:noProof/>
          <w:sz w:val="22"/>
          <w:szCs w:val="22"/>
          <w:lang w:val="sr-Latn-ME"/>
        </w:rPr>
      </w:pPr>
      <w:r w:rsidRPr="00CB6AFC">
        <w:rPr>
          <w:noProof/>
          <w:sz w:val="22"/>
          <w:szCs w:val="22"/>
          <w:lang w:val="sr-Latn-ME"/>
        </w:rPr>
        <w:t>Metionin se daje oraln</w:t>
      </w:r>
      <w:r w:rsidR="00415F43" w:rsidRPr="00CB6AFC">
        <w:rPr>
          <w:noProof/>
          <w:sz w:val="22"/>
          <w:szCs w:val="22"/>
          <w:lang w:val="sr-Latn-ME"/>
        </w:rPr>
        <w:t>im putem</w:t>
      </w:r>
      <w:r w:rsidRPr="00CB6AFC">
        <w:rPr>
          <w:noProof/>
          <w:sz w:val="22"/>
          <w:szCs w:val="22"/>
          <w:lang w:val="sr-Latn-ME"/>
        </w:rPr>
        <w:t>, 2</w:t>
      </w:r>
      <w:r w:rsidR="00415F43" w:rsidRPr="00CB6AFC">
        <w:rPr>
          <w:noProof/>
          <w:sz w:val="22"/>
          <w:szCs w:val="22"/>
          <w:lang w:val="sr-Latn-ME"/>
        </w:rPr>
        <w:t>.</w:t>
      </w:r>
      <w:r w:rsidRPr="00CB6AFC">
        <w:rPr>
          <w:noProof/>
          <w:sz w:val="22"/>
          <w:szCs w:val="22"/>
          <w:lang w:val="sr-Latn-ME"/>
        </w:rPr>
        <w:t xml:space="preserve">5 g svaka 4 sata, do 10 g. Liječenje metioninom mora započeti unutar 10 sati od uzimanja paracetamola; inače </w:t>
      </w:r>
      <w:r w:rsidR="00B700BC" w:rsidRPr="00CB6AFC">
        <w:rPr>
          <w:noProof/>
          <w:sz w:val="22"/>
          <w:szCs w:val="22"/>
          <w:lang w:val="sr-Latn-ME"/>
        </w:rPr>
        <w:t xml:space="preserve">neće biti efikasan </w:t>
      </w:r>
      <w:r w:rsidRPr="00CB6AFC">
        <w:rPr>
          <w:noProof/>
          <w:sz w:val="22"/>
          <w:szCs w:val="22"/>
          <w:lang w:val="sr-Latn-ME"/>
        </w:rPr>
        <w:t>i može pogoršati oštećenje jetre.</w:t>
      </w:r>
    </w:p>
    <w:p w14:paraId="7F982AE2" w14:textId="77777777" w:rsidR="004A4A56" w:rsidRPr="00CB6AFC" w:rsidRDefault="004A4A56" w:rsidP="002D619D">
      <w:pPr>
        <w:jc w:val="both"/>
        <w:rPr>
          <w:noProof/>
          <w:sz w:val="22"/>
          <w:szCs w:val="22"/>
          <w:lang w:val="sr-Latn-ME"/>
        </w:rPr>
      </w:pPr>
    </w:p>
    <w:p w14:paraId="0BB21FDC" w14:textId="77777777" w:rsidR="004A4A56" w:rsidRPr="00CB6AFC" w:rsidRDefault="004A4A56" w:rsidP="002D619D">
      <w:pPr>
        <w:jc w:val="both"/>
        <w:rPr>
          <w:noProof/>
          <w:sz w:val="22"/>
          <w:szCs w:val="22"/>
          <w:lang w:val="sr-Latn-ME"/>
        </w:rPr>
      </w:pPr>
      <w:r w:rsidRPr="00CB6AFC">
        <w:rPr>
          <w:noProof/>
          <w:sz w:val="22"/>
          <w:szCs w:val="22"/>
          <w:lang w:val="sr-Latn-ME"/>
        </w:rPr>
        <w:t>Dokazi o ozbiljnim simptomima možda neće postati očigledni do 4 ili 5 dana nakon predoziranja i pacijente treba pažljivo posmatrati tokom dužeg perioda.</w:t>
      </w:r>
    </w:p>
    <w:p w14:paraId="4B7CE2DC" w14:textId="77777777" w:rsidR="004A4A56" w:rsidRPr="00CB6AFC" w:rsidRDefault="004A4A56" w:rsidP="002D619D">
      <w:pPr>
        <w:jc w:val="both"/>
        <w:rPr>
          <w:noProof/>
          <w:sz w:val="22"/>
          <w:szCs w:val="22"/>
          <w:lang w:val="sr-Latn-ME"/>
        </w:rPr>
      </w:pPr>
    </w:p>
    <w:p w14:paraId="1117E4A5" w14:textId="77777777" w:rsidR="004A4A56" w:rsidRPr="00CB6AFC" w:rsidRDefault="004A4A56" w:rsidP="002D619D">
      <w:pPr>
        <w:jc w:val="both"/>
        <w:rPr>
          <w:b/>
          <w:bCs/>
          <w:i/>
          <w:iCs/>
          <w:noProof/>
          <w:sz w:val="22"/>
          <w:szCs w:val="22"/>
          <w:lang w:val="sr-Latn-ME"/>
        </w:rPr>
      </w:pPr>
      <w:r w:rsidRPr="00CB6AFC">
        <w:rPr>
          <w:b/>
          <w:bCs/>
          <w:i/>
          <w:iCs/>
          <w:noProof/>
          <w:sz w:val="22"/>
          <w:szCs w:val="22"/>
          <w:lang w:val="sr-Latn-ME"/>
        </w:rPr>
        <w:t>Ibuprofen</w:t>
      </w:r>
    </w:p>
    <w:p w14:paraId="5CAB55CC" w14:textId="0C71EDDA" w:rsidR="004A4A56" w:rsidRPr="00CB6AFC" w:rsidRDefault="004A4A56" w:rsidP="002D619D">
      <w:pPr>
        <w:jc w:val="both"/>
        <w:rPr>
          <w:noProof/>
          <w:sz w:val="22"/>
          <w:szCs w:val="22"/>
          <w:lang w:val="sr-Latn-ME"/>
        </w:rPr>
      </w:pPr>
      <w:r w:rsidRPr="00CB6AFC">
        <w:rPr>
          <w:noProof/>
          <w:sz w:val="22"/>
          <w:szCs w:val="22"/>
          <w:lang w:val="sr-Latn-ME"/>
        </w:rPr>
        <w:t xml:space="preserve">Liječenje treba da bude simptomatsko i uključuje održavanje prohodnosti disajnih puteva </w:t>
      </w:r>
      <w:r w:rsidR="00415F43" w:rsidRPr="00CB6AFC">
        <w:rPr>
          <w:noProof/>
          <w:sz w:val="22"/>
          <w:szCs w:val="22"/>
          <w:lang w:val="sr-Latn-ME"/>
        </w:rPr>
        <w:t>kao i</w:t>
      </w:r>
      <w:r w:rsidRPr="00CB6AFC">
        <w:rPr>
          <w:noProof/>
          <w:sz w:val="22"/>
          <w:szCs w:val="22"/>
          <w:lang w:val="sr-Latn-ME"/>
        </w:rPr>
        <w:t xml:space="preserve"> praćenje srčanih i vitalnih znakova dok ne postanu stabilni. Ispiranje želuca preporučuje se samo unutar 60 minuta od uzimanja doze opasne po život. Kako je lijek kiseo i izlučuje se urinom, teoretski je korisno davati bazu i indukovati diurezu. Uz potporne mjere, peroralna primjena aktivnog uglja može pomoći u smanjenju </w:t>
      </w:r>
      <w:r w:rsidR="00163454" w:rsidRPr="00CB6AFC">
        <w:rPr>
          <w:noProof/>
          <w:sz w:val="22"/>
          <w:szCs w:val="22"/>
          <w:lang w:val="sr-Latn-ME"/>
        </w:rPr>
        <w:t>re</w:t>
      </w:r>
      <w:r w:rsidRPr="00CB6AFC">
        <w:rPr>
          <w:noProof/>
          <w:sz w:val="22"/>
          <w:szCs w:val="22"/>
          <w:lang w:val="sr-Latn-ME"/>
        </w:rPr>
        <w:t>sorpcije i reapsorpcije tablete ibuprofena.</w:t>
      </w:r>
    </w:p>
    <w:p w14:paraId="112C1AAB" w14:textId="77777777" w:rsidR="004A4A56" w:rsidRPr="00CB6AFC" w:rsidRDefault="004A4A56" w:rsidP="002D619D">
      <w:pPr>
        <w:tabs>
          <w:tab w:val="left" w:pos="540"/>
          <w:tab w:val="left" w:pos="569"/>
        </w:tabs>
        <w:jc w:val="both"/>
        <w:rPr>
          <w:b/>
          <w:bCs/>
          <w:sz w:val="22"/>
          <w:szCs w:val="22"/>
          <w:lang w:val="sr-Latn-ME"/>
        </w:rPr>
      </w:pPr>
    </w:p>
    <w:p w14:paraId="1652410F" w14:textId="77777777" w:rsidR="00227BDB" w:rsidRPr="00CB6AFC" w:rsidRDefault="00227BDB" w:rsidP="002D619D">
      <w:pPr>
        <w:tabs>
          <w:tab w:val="left" w:pos="540"/>
          <w:tab w:val="left" w:pos="569"/>
        </w:tabs>
        <w:jc w:val="both"/>
        <w:rPr>
          <w:b/>
          <w:bCs/>
          <w:sz w:val="22"/>
          <w:szCs w:val="22"/>
          <w:lang w:val="sr-Latn-ME"/>
        </w:rPr>
      </w:pPr>
    </w:p>
    <w:p w14:paraId="16524110" w14:textId="77777777" w:rsidR="0072020E" w:rsidRPr="00CB6AFC" w:rsidRDefault="0072020E" w:rsidP="002D619D">
      <w:pPr>
        <w:tabs>
          <w:tab w:val="left" w:pos="540"/>
          <w:tab w:val="left" w:pos="569"/>
        </w:tabs>
        <w:jc w:val="both"/>
        <w:rPr>
          <w:b/>
          <w:bCs/>
          <w:sz w:val="22"/>
          <w:szCs w:val="22"/>
          <w:lang w:val="sr-Latn-ME"/>
        </w:rPr>
      </w:pPr>
      <w:r w:rsidRPr="00CB6AFC">
        <w:rPr>
          <w:b/>
          <w:bCs/>
          <w:sz w:val="22"/>
          <w:szCs w:val="22"/>
          <w:lang w:val="sr-Latn-ME"/>
        </w:rPr>
        <w:t xml:space="preserve">5. </w:t>
      </w:r>
      <w:r w:rsidR="00480FB1" w:rsidRPr="00CB6AFC">
        <w:rPr>
          <w:b/>
          <w:bCs/>
          <w:sz w:val="22"/>
          <w:szCs w:val="22"/>
          <w:lang w:val="sr-Latn-ME"/>
        </w:rPr>
        <w:tab/>
      </w:r>
      <w:r w:rsidRPr="00CB6AFC">
        <w:rPr>
          <w:b/>
          <w:bCs/>
          <w:sz w:val="22"/>
          <w:szCs w:val="22"/>
          <w:lang w:val="sr-Latn-ME"/>
        </w:rPr>
        <w:t>FARMAKOLOŠK</w:t>
      </w:r>
      <w:r w:rsidR="000D425A" w:rsidRPr="00CB6AFC">
        <w:rPr>
          <w:b/>
          <w:bCs/>
          <w:sz w:val="22"/>
          <w:szCs w:val="22"/>
          <w:lang w:val="sr-Latn-ME"/>
        </w:rPr>
        <w:t>I</w:t>
      </w:r>
      <w:r w:rsidRPr="00CB6AFC">
        <w:rPr>
          <w:b/>
          <w:bCs/>
          <w:sz w:val="22"/>
          <w:szCs w:val="22"/>
          <w:lang w:val="sr-Latn-ME"/>
        </w:rPr>
        <w:t xml:space="preserve"> PODACI</w:t>
      </w:r>
    </w:p>
    <w:p w14:paraId="16524111" w14:textId="77777777" w:rsidR="0072020E" w:rsidRPr="00CB6AFC" w:rsidRDefault="0072020E" w:rsidP="002D619D">
      <w:pPr>
        <w:tabs>
          <w:tab w:val="left" w:pos="540"/>
          <w:tab w:val="left" w:pos="569"/>
        </w:tabs>
        <w:jc w:val="both"/>
        <w:rPr>
          <w:b/>
          <w:bCs/>
          <w:sz w:val="22"/>
          <w:szCs w:val="22"/>
          <w:lang w:val="sr-Latn-ME"/>
        </w:rPr>
      </w:pPr>
    </w:p>
    <w:p w14:paraId="16524112" w14:textId="77777777" w:rsidR="0072020E" w:rsidRPr="00CB6AFC" w:rsidRDefault="0072020E" w:rsidP="002D619D">
      <w:pPr>
        <w:tabs>
          <w:tab w:val="left" w:pos="540"/>
          <w:tab w:val="left" w:pos="569"/>
        </w:tabs>
        <w:jc w:val="both"/>
        <w:rPr>
          <w:b/>
          <w:bCs/>
          <w:sz w:val="22"/>
          <w:szCs w:val="22"/>
          <w:lang w:val="sr-Latn-ME"/>
        </w:rPr>
      </w:pPr>
      <w:r w:rsidRPr="00CB6AFC">
        <w:rPr>
          <w:b/>
          <w:bCs/>
          <w:sz w:val="22"/>
          <w:szCs w:val="22"/>
          <w:lang w:val="sr-Latn-ME"/>
        </w:rPr>
        <w:t xml:space="preserve">5.1. </w:t>
      </w:r>
      <w:r w:rsidR="00480FB1" w:rsidRPr="00CB6AFC">
        <w:rPr>
          <w:b/>
          <w:bCs/>
          <w:sz w:val="22"/>
          <w:szCs w:val="22"/>
          <w:lang w:val="sr-Latn-ME"/>
        </w:rPr>
        <w:tab/>
      </w:r>
      <w:r w:rsidRPr="00CB6AFC">
        <w:rPr>
          <w:b/>
          <w:bCs/>
          <w:sz w:val="22"/>
          <w:szCs w:val="22"/>
          <w:lang w:val="sr-Latn-ME"/>
        </w:rPr>
        <w:t>Farmakodinamski podaci</w:t>
      </w:r>
      <w:r w:rsidR="003A7059" w:rsidRPr="00CB6AFC">
        <w:rPr>
          <w:b/>
          <w:bCs/>
          <w:sz w:val="22"/>
          <w:szCs w:val="22"/>
          <w:lang w:val="sr-Latn-ME"/>
        </w:rPr>
        <w:t xml:space="preserve"> </w:t>
      </w:r>
    </w:p>
    <w:p w14:paraId="16524113" w14:textId="77777777" w:rsidR="00F45F77" w:rsidRPr="00CB6AFC" w:rsidRDefault="00F45F77" w:rsidP="002D619D">
      <w:pPr>
        <w:tabs>
          <w:tab w:val="left" w:pos="540"/>
          <w:tab w:val="left" w:pos="569"/>
        </w:tabs>
        <w:jc w:val="both"/>
        <w:rPr>
          <w:b/>
          <w:bCs/>
          <w:sz w:val="22"/>
          <w:szCs w:val="22"/>
          <w:lang w:val="sr-Latn-ME"/>
        </w:rPr>
      </w:pPr>
    </w:p>
    <w:p w14:paraId="16524114" w14:textId="7E87110C" w:rsidR="0072020E" w:rsidRPr="00CB6AFC" w:rsidRDefault="0072020E" w:rsidP="002D619D">
      <w:pPr>
        <w:tabs>
          <w:tab w:val="left" w:pos="540"/>
          <w:tab w:val="left" w:pos="569"/>
        </w:tabs>
        <w:jc w:val="both"/>
        <w:rPr>
          <w:bCs/>
          <w:sz w:val="22"/>
          <w:szCs w:val="22"/>
          <w:lang w:val="sr-Latn-ME"/>
        </w:rPr>
      </w:pPr>
      <w:r w:rsidRPr="00CB6AFC">
        <w:rPr>
          <w:bCs/>
          <w:sz w:val="22"/>
          <w:szCs w:val="22"/>
          <w:lang w:val="sr-Latn-ME"/>
        </w:rPr>
        <w:t>Farmakoterapijska grupa:</w:t>
      </w:r>
      <w:r w:rsidR="009F09E6" w:rsidRPr="00CB6AFC">
        <w:rPr>
          <w:bCs/>
          <w:sz w:val="22"/>
          <w:szCs w:val="22"/>
          <w:lang w:val="sr-Latn-ME"/>
        </w:rPr>
        <w:t xml:space="preserve"> Ostali analgetici i antipiretici. Anilidi.</w:t>
      </w:r>
    </w:p>
    <w:p w14:paraId="16524115" w14:textId="77777777" w:rsidR="0072020E" w:rsidRPr="00CB6AFC" w:rsidRDefault="0072020E" w:rsidP="002D619D">
      <w:pPr>
        <w:tabs>
          <w:tab w:val="left" w:pos="540"/>
          <w:tab w:val="left" w:pos="569"/>
        </w:tabs>
        <w:jc w:val="both"/>
        <w:rPr>
          <w:bCs/>
          <w:sz w:val="22"/>
          <w:szCs w:val="22"/>
          <w:lang w:val="sr-Latn-ME"/>
        </w:rPr>
      </w:pPr>
    </w:p>
    <w:p w14:paraId="16524116" w14:textId="4C21BC5E" w:rsidR="0072020E" w:rsidRPr="00CB6AFC" w:rsidRDefault="0072020E" w:rsidP="002D619D">
      <w:pPr>
        <w:tabs>
          <w:tab w:val="left" w:pos="540"/>
          <w:tab w:val="left" w:pos="569"/>
        </w:tabs>
        <w:jc w:val="both"/>
        <w:rPr>
          <w:bCs/>
          <w:sz w:val="22"/>
          <w:szCs w:val="22"/>
          <w:lang w:val="sr-Latn-ME"/>
        </w:rPr>
      </w:pPr>
      <w:r w:rsidRPr="00CB6AFC">
        <w:rPr>
          <w:b/>
          <w:bCs/>
          <w:sz w:val="22"/>
          <w:szCs w:val="22"/>
          <w:lang w:val="sr-Latn-ME"/>
        </w:rPr>
        <w:t>ATC kod</w:t>
      </w:r>
      <w:r w:rsidRPr="00CB6AFC">
        <w:rPr>
          <w:bCs/>
          <w:sz w:val="22"/>
          <w:szCs w:val="22"/>
          <w:lang w:val="sr-Latn-ME"/>
        </w:rPr>
        <w:t>:</w:t>
      </w:r>
      <w:r w:rsidR="009F09E6" w:rsidRPr="00CB6AFC">
        <w:rPr>
          <w:bCs/>
          <w:sz w:val="22"/>
          <w:szCs w:val="22"/>
          <w:lang w:val="sr-Latn-ME"/>
        </w:rPr>
        <w:t xml:space="preserve"> N02BE51</w:t>
      </w:r>
    </w:p>
    <w:p w14:paraId="64716F1B" w14:textId="77777777" w:rsidR="009F09E6" w:rsidRPr="00CB6AFC" w:rsidRDefault="009F09E6" w:rsidP="002D619D">
      <w:pPr>
        <w:tabs>
          <w:tab w:val="left" w:pos="540"/>
          <w:tab w:val="left" w:pos="569"/>
        </w:tabs>
        <w:jc w:val="both"/>
        <w:rPr>
          <w:bCs/>
          <w:sz w:val="22"/>
          <w:szCs w:val="22"/>
          <w:lang w:val="sr-Latn-ME"/>
        </w:rPr>
      </w:pPr>
    </w:p>
    <w:p w14:paraId="49630483" w14:textId="77777777" w:rsidR="009F09E6" w:rsidRPr="00CB6AFC" w:rsidRDefault="009F09E6" w:rsidP="002D619D">
      <w:pPr>
        <w:pStyle w:val="Default"/>
        <w:jc w:val="both"/>
        <w:rPr>
          <w:sz w:val="22"/>
          <w:szCs w:val="22"/>
          <w:u w:val="single"/>
          <w:lang w:val="sr-Latn-ME"/>
        </w:rPr>
      </w:pPr>
      <w:r w:rsidRPr="00CB6AFC">
        <w:rPr>
          <w:sz w:val="22"/>
          <w:szCs w:val="22"/>
          <w:u w:val="single"/>
          <w:lang w:val="sr-Latn-ME"/>
        </w:rPr>
        <w:t>Mehanizam dejstva</w:t>
      </w:r>
    </w:p>
    <w:p w14:paraId="76B0F74B" w14:textId="77777777" w:rsidR="009F09E6" w:rsidRPr="00CB6AFC" w:rsidRDefault="009F09E6" w:rsidP="002D619D">
      <w:pPr>
        <w:autoSpaceDE w:val="0"/>
        <w:autoSpaceDN w:val="0"/>
        <w:adjustRightInd w:val="0"/>
        <w:jc w:val="both"/>
        <w:rPr>
          <w:sz w:val="22"/>
          <w:szCs w:val="22"/>
          <w:lang w:val="sr-Latn-ME"/>
        </w:rPr>
      </w:pPr>
      <w:r w:rsidRPr="00CB6AFC">
        <w:rPr>
          <w:sz w:val="22"/>
          <w:szCs w:val="22"/>
          <w:lang w:val="sr-Latn-ME"/>
        </w:rPr>
        <w:t>Iako tačno mjesto i mehanizam analgetskog djelovanja paracetamola nije jasno definisano, smatra se da indukuje analgeziju povećanjem praga bola. Potencijalni mehanizam može uključivati inhibiciju puta azot oksida posredovanog raznim neurotransmiterskim receptorima, uključujući N-metil-D-aspartat i supstancu P.</w:t>
      </w:r>
    </w:p>
    <w:p w14:paraId="7E0BF30D" w14:textId="77777777" w:rsidR="009F09E6" w:rsidRPr="00CB6AFC" w:rsidRDefault="009F09E6" w:rsidP="002D619D">
      <w:pPr>
        <w:autoSpaceDE w:val="0"/>
        <w:autoSpaceDN w:val="0"/>
        <w:adjustRightInd w:val="0"/>
        <w:jc w:val="both"/>
        <w:rPr>
          <w:sz w:val="22"/>
          <w:szCs w:val="22"/>
          <w:lang w:val="sr-Latn-ME"/>
        </w:rPr>
      </w:pPr>
    </w:p>
    <w:p w14:paraId="2B782ED6" w14:textId="57638D29" w:rsidR="009F09E6" w:rsidRPr="00CB6AFC" w:rsidRDefault="009F09E6" w:rsidP="002D619D">
      <w:pPr>
        <w:autoSpaceDE w:val="0"/>
        <w:autoSpaceDN w:val="0"/>
        <w:adjustRightInd w:val="0"/>
        <w:jc w:val="both"/>
        <w:rPr>
          <w:sz w:val="22"/>
          <w:szCs w:val="22"/>
          <w:lang w:val="sr-Latn-ME"/>
        </w:rPr>
      </w:pPr>
      <w:r w:rsidRPr="00CB6AFC">
        <w:rPr>
          <w:sz w:val="22"/>
          <w:szCs w:val="22"/>
          <w:lang w:val="sr-Latn-ME"/>
        </w:rPr>
        <w:t xml:space="preserve">Ibuprofen je derivat propionske kiseline sa analgetskim, </w:t>
      </w:r>
      <w:r w:rsidR="00415F43" w:rsidRPr="00CB6AFC">
        <w:rPr>
          <w:sz w:val="22"/>
          <w:szCs w:val="22"/>
          <w:lang w:val="sr-Latn-ME"/>
        </w:rPr>
        <w:t>antiinflamatornim</w:t>
      </w:r>
      <w:r w:rsidRPr="00CB6AFC">
        <w:rPr>
          <w:sz w:val="22"/>
          <w:szCs w:val="22"/>
          <w:lang w:val="sr-Latn-ME"/>
        </w:rPr>
        <w:t xml:space="preserve"> i antipiretskim djelovanjem. Terapeutski efekti kao NSAIL rezultat su njegovog inhibitornog efekta na enzim ciklo-oksigenazu, što dovodi do smanjenja sinteze prostaglandina.</w:t>
      </w:r>
    </w:p>
    <w:p w14:paraId="3CA99DFC" w14:textId="77777777" w:rsidR="009F09E6" w:rsidRPr="00CB6AFC" w:rsidRDefault="009F09E6" w:rsidP="002D619D">
      <w:pPr>
        <w:autoSpaceDE w:val="0"/>
        <w:autoSpaceDN w:val="0"/>
        <w:adjustRightInd w:val="0"/>
        <w:jc w:val="both"/>
        <w:rPr>
          <w:sz w:val="22"/>
          <w:szCs w:val="22"/>
          <w:lang w:val="sr-Latn-ME"/>
        </w:rPr>
      </w:pPr>
    </w:p>
    <w:p w14:paraId="521EA902" w14:textId="01B7ED9D" w:rsidR="009F09E6" w:rsidRPr="00CB6AFC" w:rsidRDefault="009F09E6" w:rsidP="002D619D">
      <w:pPr>
        <w:autoSpaceDE w:val="0"/>
        <w:autoSpaceDN w:val="0"/>
        <w:adjustRightInd w:val="0"/>
        <w:jc w:val="both"/>
        <w:rPr>
          <w:sz w:val="22"/>
          <w:szCs w:val="22"/>
          <w:lang w:val="sr-Latn-ME"/>
        </w:rPr>
      </w:pPr>
      <w:r w:rsidRPr="00CB6AFC">
        <w:rPr>
          <w:sz w:val="22"/>
          <w:szCs w:val="22"/>
          <w:lang w:val="sr-Latn-ME"/>
        </w:rPr>
        <w:t xml:space="preserve">Eksperimentalni podaci upućuju na to da ibuprofen može kompetitivno inhibirati efekat niske doze acetilsalicilne kiseline na agregaciju trombocita, ako se oba lijeka uzimaju istovremeno. Neka farmakodinamička ispitivanja pokazuju smanjeni efekat acetilsalicilne kiseline na stvaranje tromboksana ili agregaciju trombocita kad se </w:t>
      </w:r>
      <w:r w:rsidR="00163454" w:rsidRPr="00CB6AFC">
        <w:rPr>
          <w:sz w:val="22"/>
          <w:szCs w:val="22"/>
          <w:lang w:val="sr-Latn-ME"/>
        </w:rPr>
        <w:t xml:space="preserve">pojedinačna </w:t>
      </w:r>
      <w:r w:rsidRPr="00CB6AFC">
        <w:rPr>
          <w:sz w:val="22"/>
          <w:szCs w:val="22"/>
          <w:lang w:val="sr-Latn-ME"/>
        </w:rPr>
        <w:t xml:space="preserve">doza ibuprofena od 400 mg uzme unutar 8 sati prije, ili unutar 30 minuta nakon uzimanja acetilsalicilne kiseline sa trenutnim oslobađanjem (81 mg). Iako postoji nesigurnost ekstrapolacije ovih podataka </w:t>
      </w:r>
      <w:r w:rsidR="00163454" w:rsidRPr="00CB6AFC">
        <w:rPr>
          <w:sz w:val="22"/>
          <w:szCs w:val="22"/>
          <w:lang w:val="sr-Latn-ME"/>
        </w:rPr>
        <w:t xml:space="preserve">u </w:t>
      </w:r>
      <w:r w:rsidRPr="00CB6AFC">
        <w:rPr>
          <w:sz w:val="22"/>
          <w:szCs w:val="22"/>
          <w:lang w:val="sr-Latn-ME"/>
        </w:rPr>
        <w:t>kliničk</w:t>
      </w:r>
      <w:r w:rsidR="00163454" w:rsidRPr="00CB6AFC">
        <w:rPr>
          <w:sz w:val="22"/>
          <w:szCs w:val="22"/>
          <w:lang w:val="sr-Latn-ME"/>
        </w:rPr>
        <w:t>oj</w:t>
      </w:r>
      <w:r w:rsidRPr="00CB6AFC">
        <w:rPr>
          <w:sz w:val="22"/>
          <w:szCs w:val="22"/>
          <w:lang w:val="sr-Latn-ME"/>
        </w:rPr>
        <w:t xml:space="preserve"> praks</w:t>
      </w:r>
      <w:r w:rsidR="00163454" w:rsidRPr="00CB6AFC">
        <w:rPr>
          <w:sz w:val="22"/>
          <w:szCs w:val="22"/>
          <w:lang w:val="sr-Latn-ME"/>
        </w:rPr>
        <w:t>i</w:t>
      </w:r>
      <w:r w:rsidRPr="00CB6AFC">
        <w:rPr>
          <w:sz w:val="22"/>
          <w:szCs w:val="22"/>
          <w:lang w:val="sr-Latn-ME"/>
        </w:rPr>
        <w:t xml:space="preserve">, mogućnost da će redovna, dugotrajna primjena ibuprofena možda smanjiti kardioprotektivni </w:t>
      </w:r>
      <w:r w:rsidR="00415F43" w:rsidRPr="00CB6AFC">
        <w:rPr>
          <w:sz w:val="22"/>
          <w:szCs w:val="22"/>
          <w:lang w:val="sr-Latn-ME"/>
        </w:rPr>
        <w:t>efekat</w:t>
      </w:r>
      <w:r w:rsidRPr="00CB6AFC">
        <w:rPr>
          <w:sz w:val="22"/>
          <w:szCs w:val="22"/>
          <w:lang w:val="sr-Latn-ME"/>
        </w:rPr>
        <w:t xml:space="preserve"> niske doze acetilsalicilne kiseline ne može se isključiti. Smatra se da pri povremenom uzimanju ibuprofena klinički značajan efekat nije vjerovatan (</w:t>
      </w:r>
      <w:r w:rsidR="00163454" w:rsidRPr="00CB6AFC">
        <w:rPr>
          <w:sz w:val="22"/>
          <w:szCs w:val="22"/>
          <w:lang w:val="sr-Latn-ME"/>
        </w:rPr>
        <w:t xml:space="preserve">vidjeti </w:t>
      </w:r>
      <w:r w:rsidR="008C7B4A" w:rsidRPr="00CB6AFC">
        <w:rPr>
          <w:sz w:val="22"/>
          <w:szCs w:val="22"/>
          <w:lang w:val="sr-Latn-ME"/>
        </w:rPr>
        <w:t>dio</w:t>
      </w:r>
      <w:r w:rsidRPr="00CB6AFC">
        <w:rPr>
          <w:sz w:val="22"/>
          <w:szCs w:val="22"/>
          <w:lang w:val="sr-Latn-ME"/>
        </w:rPr>
        <w:t xml:space="preserve"> 4.5).</w:t>
      </w:r>
    </w:p>
    <w:p w14:paraId="7D46911B" w14:textId="0F116EF7" w:rsidR="009F09E6" w:rsidRPr="00CB6AFC" w:rsidRDefault="009F09E6" w:rsidP="002D619D">
      <w:pPr>
        <w:autoSpaceDE w:val="0"/>
        <w:autoSpaceDN w:val="0"/>
        <w:adjustRightInd w:val="0"/>
        <w:jc w:val="both"/>
        <w:rPr>
          <w:sz w:val="22"/>
          <w:szCs w:val="22"/>
          <w:lang w:val="sr-Latn-ME"/>
        </w:rPr>
      </w:pPr>
    </w:p>
    <w:p w14:paraId="2ADABC45" w14:textId="3F56EB1D" w:rsidR="005F0A8B" w:rsidRPr="00CB6AFC" w:rsidRDefault="005F0A8B" w:rsidP="002D619D">
      <w:pPr>
        <w:autoSpaceDE w:val="0"/>
        <w:autoSpaceDN w:val="0"/>
        <w:adjustRightInd w:val="0"/>
        <w:jc w:val="both"/>
        <w:rPr>
          <w:sz w:val="22"/>
          <w:szCs w:val="22"/>
          <w:lang w:val="sr-Latn-ME"/>
        </w:rPr>
      </w:pPr>
    </w:p>
    <w:p w14:paraId="048686D0" w14:textId="3A3999BB" w:rsidR="005F0A8B" w:rsidRDefault="005F0A8B" w:rsidP="002D619D">
      <w:pPr>
        <w:autoSpaceDE w:val="0"/>
        <w:autoSpaceDN w:val="0"/>
        <w:adjustRightInd w:val="0"/>
        <w:jc w:val="both"/>
        <w:rPr>
          <w:sz w:val="22"/>
          <w:szCs w:val="22"/>
          <w:lang w:val="sr-Latn-ME"/>
        </w:rPr>
      </w:pPr>
    </w:p>
    <w:p w14:paraId="4ECB6629" w14:textId="77777777" w:rsidR="00CB6AFC" w:rsidRPr="00CB6AFC" w:rsidRDefault="00CB6AFC" w:rsidP="002D619D">
      <w:pPr>
        <w:autoSpaceDE w:val="0"/>
        <w:autoSpaceDN w:val="0"/>
        <w:adjustRightInd w:val="0"/>
        <w:jc w:val="both"/>
        <w:rPr>
          <w:sz w:val="22"/>
          <w:szCs w:val="22"/>
          <w:lang w:val="sr-Latn-ME"/>
        </w:rPr>
      </w:pPr>
    </w:p>
    <w:p w14:paraId="1739C1C8" w14:textId="27E22C00" w:rsidR="009F09E6" w:rsidRPr="00CB6AFC" w:rsidRDefault="009F09E6" w:rsidP="002D619D">
      <w:pPr>
        <w:autoSpaceDE w:val="0"/>
        <w:autoSpaceDN w:val="0"/>
        <w:adjustRightInd w:val="0"/>
        <w:jc w:val="both"/>
        <w:rPr>
          <w:sz w:val="22"/>
          <w:szCs w:val="22"/>
          <w:u w:val="single"/>
          <w:lang w:val="sr-Latn-ME"/>
        </w:rPr>
      </w:pPr>
      <w:r w:rsidRPr="00CB6AFC">
        <w:rPr>
          <w:sz w:val="22"/>
          <w:szCs w:val="22"/>
          <w:u w:val="single"/>
          <w:lang w:val="sr-Latn-ME"/>
        </w:rPr>
        <w:lastRenderedPageBreak/>
        <w:t>Klinička ispitivanja</w:t>
      </w:r>
    </w:p>
    <w:p w14:paraId="2ABEB180" w14:textId="77777777" w:rsidR="005F0A8B" w:rsidRPr="00CB6AFC" w:rsidRDefault="005F0A8B" w:rsidP="002D619D">
      <w:pPr>
        <w:autoSpaceDE w:val="0"/>
        <w:autoSpaceDN w:val="0"/>
        <w:adjustRightInd w:val="0"/>
        <w:jc w:val="both"/>
        <w:rPr>
          <w:sz w:val="22"/>
          <w:szCs w:val="22"/>
          <w:u w:val="single"/>
          <w:lang w:val="sr-Latn-ME"/>
        </w:rPr>
      </w:pPr>
    </w:p>
    <w:p w14:paraId="1DCBCAA2" w14:textId="7ACD4AFB" w:rsidR="009F09E6" w:rsidRPr="00CB6AFC" w:rsidRDefault="009F09E6" w:rsidP="002D619D">
      <w:pPr>
        <w:autoSpaceDE w:val="0"/>
        <w:autoSpaceDN w:val="0"/>
        <w:adjustRightInd w:val="0"/>
        <w:jc w:val="both"/>
        <w:rPr>
          <w:sz w:val="22"/>
          <w:szCs w:val="22"/>
          <w:lang w:val="sr-Latn-ME"/>
        </w:rPr>
      </w:pPr>
      <w:r w:rsidRPr="00CB6AFC">
        <w:rPr>
          <w:sz w:val="22"/>
          <w:szCs w:val="22"/>
          <w:lang w:val="sr-Latn-ME"/>
        </w:rPr>
        <w:t xml:space="preserve">Klinička ispitivanja sa </w:t>
      </w:r>
      <w:r w:rsidR="00415F43" w:rsidRPr="00CB6AFC">
        <w:rPr>
          <w:sz w:val="22"/>
          <w:szCs w:val="22"/>
          <w:lang w:val="sr-Latn-ME"/>
        </w:rPr>
        <w:t xml:space="preserve">lijekom </w:t>
      </w:r>
      <w:r w:rsidRPr="00CB6AFC">
        <w:rPr>
          <w:noProof/>
          <w:sz w:val="22"/>
          <w:szCs w:val="22"/>
          <w:lang w:val="sr-Latn-ME"/>
        </w:rPr>
        <w:t>Comboval 10 mg/ml + 3 mg/ml</w:t>
      </w:r>
      <w:r w:rsidRPr="00CB6AFC">
        <w:rPr>
          <w:sz w:val="22"/>
          <w:szCs w:val="22"/>
          <w:lang w:val="sr-Latn-ME"/>
        </w:rPr>
        <w:t xml:space="preserve"> rastvor za infuziju ni</w:t>
      </w:r>
      <w:r w:rsidR="00163454" w:rsidRPr="00CB6AFC">
        <w:rPr>
          <w:sz w:val="22"/>
          <w:szCs w:val="22"/>
          <w:lang w:val="sr-Latn-ME"/>
        </w:rPr>
        <w:t>je</w:t>
      </w:r>
      <w:r w:rsidRPr="00CB6AFC">
        <w:rPr>
          <w:sz w:val="22"/>
          <w:szCs w:val="22"/>
          <w:lang w:val="sr-Latn-ME"/>
        </w:rPr>
        <w:t>su uključivala ispitanike starije od 65 godina da bi utvrdil</w:t>
      </w:r>
      <w:r w:rsidR="00415F43" w:rsidRPr="00CB6AFC">
        <w:rPr>
          <w:sz w:val="22"/>
          <w:szCs w:val="22"/>
          <w:lang w:val="sr-Latn-ME"/>
        </w:rPr>
        <w:t>o da li</w:t>
      </w:r>
      <w:r w:rsidRPr="00CB6AFC">
        <w:rPr>
          <w:sz w:val="22"/>
          <w:szCs w:val="22"/>
          <w:lang w:val="sr-Latn-ME"/>
        </w:rPr>
        <w:t xml:space="preserve"> reaguju drugačije nego mlađi ispitanici.</w:t>
      </w:r>
    </w:p>
    <w:p w14:paraId="2E296C70" w14:textId="77777777" w:rsidR="009F09E6" w:rsidRPr="00CB6AFC" w:rsidRDefault="009F09E6" w:rsidP="002D619D">
      <w:pPr>
        <w:autoSpaceDE w:val="0"/>
        <w:autoSpaceDN w:val="0"/>
        <w:adjustRightInd w:val="0"/>
        <w:jc w:val="both"/>
        <w:rPr>
          <w:sz w:val="22"/>
          <w:szCs w:val="22"/>
          <w:lang w:val="sr-Latn-ME"/>
        </w:rPr>
      </w:pPr>
    </w:p>
    <w:p w14:paraId="0631D863" w14:textId="7E27AA9A" w:rsidR="009F09E6" w:rsidRPr="00CB6AFC" w:rsidRDefault="009F09E6" w:rsidP="002D619D">
      <w:pPr>
        <w:autoSpaceDE w:val="0"/>
        <w:autoSpaceDN w:val="0"/>
        <w:adjustRightInd w:val="0"/>
        <w:jc w:val="both"/>
        <w:rPr>
          <w:sz w:val="22"/>
          <w:szCs w:val="22"/>
          <w:lang w:val="sr-Latn-ME"/>
        </w:rPr>
      </w:pPr>
      <w:r w:rsidRPr="00CB6AFC">
        <w:rPr>
          <w:sz w:val="22"/>
          <w:szCs w:val="22"/>
          <w:lang w:val="sr-Latn-ME"/>
        </w:rPr>
        <w:t xml:space="preserve">U fazi III ispitivanja </w:t>
      </w:r>
      <w:r w:rsidR="00415F43" w:rsidRPr="00CB6AFC">
        <w:rPr>
          <w:sz w:val="22"/>
          <w:szCs w:val="22"/>
          <w:lang w:val="sr-Latn-ME"/>
        </w:rPr>
        <w:t>efikasnosti</w:t>
      </w:r>
      <w:r w:rsidRPr="00CB6AFC">
        <w:rPr>
          <w:sz w:val="22"/>
          <w:szCs w:val="22"/>
          <w:lang w:val="sr-Latn-ME"/>
        </w:rPr>
        <w:t xml:space="preserve"> kod 276 pacijenata sa blagim do umjerenim bolom nakon </w:t>
      </w:r>
      <w:r w:rsidR="00415F43" w:rsidRPr="00CB6AFC">
        <w:rPr>
          <w:sz w:val="22"/>
          <w:szCs w:val="22"/>
          <w:lang w:val="sr-Latn-ME"/>
        </w:rPr>
        <w:t>hiruške intervencije</w:t>
      </w:r>
      <w:r w:rsidRPr="00CB6AFC">
        <w:rPr>
          <w:sz w:val="22"/>
          <w:szCs w:val="22"/>
          <w:lang w:val="sr-Latn-ME"/>
        </w:rPr>
        <w:t xml:space="preserve"> bunionektomije, </w:t>
      </w:r>
      <w:r w:rsidR="00415F43" w:rsidRPr="00CB6AFC">
        <w:rPr>
          <w:sz w:val="22"/>
          <w:szCs w:val="22"/>
          <w:lang w:val="sr-Latn-ME"/>
        </w:rPr>
        <w:t xml:space="preserve">lijek </w:t>
      </w:r>
      <w:r w:rsidRPr="00CB6AFC">
        <w:rPr>
          <w:sz w:val="22"/>
          <w:szCs w:val="22"/>
          <w:lang w:val="sr-Latn-ME"/>
        </w:rPr>
        <w:t xml:space="preserve">Comboval </w:t>
      </w:r>
      <w:r w:rsidRPr="00CB6AFC">
        <w:rPr>
          <w:noProof/>
          <w:sz w:val="22"/>
          <w:szCs w:val="22"/>
          <w:lang w:val="sr-Latn-ME"/>
        </w:rPr>
        <w:t>10 mg/ml + 3 mg/ml</w:t>
      </w:r>
      <w:r w:rsidRPr="00CB6AFC">
        <w:rPr>
          <w:sz w:val="22"/>
          <w:szCs w:val="22"/>
          <w:lang w:val="sr-Latn-ME"/>
        </w:rPr>
        <w:t xml:space="preserve"> rastvor za infuziju je pružio veće olakšanje bola od placeba ili uporedivih doza paracetamola ili ibuprofena.</w:t>
      </w:r>
    </w:p>
    <w:p w14:paraId="4146FD52" w14:textId="77777777" w:rsidR="009F09E6" w:rsidRPr="00CB6AFC" w:rsidRDefault="009F09E6" w:rsidP="002D619D">
      <w:pPr>
        <w:autoSpaceDE w:val="0"/>
        <w:autoSpaceDN w:val="0"/>
        <w:adjustRightInd w:val="0"/>
        <w:jc w:val="both"/>
        <w:rPr>
          <w:sz w:val="22"/>
          <w:szCs w:val="22"/>
          <w:lang w:val="sr-Latn-ME"/>
        </w:rPr>
      </w:pPr>
    </w:p>
    <w:p w14:paraId="5B7104D6" w14:textId="756938A3" w:rsidR="009F09E6" w:rsidRPr="00CB6AFC" w:rsidRDefault="009F09E6" w:rsidP="002D619D">
      <w:pPr>
        <w:autoSpaceDE w:val="0"/>
        <w:autoSpaceDN w:val="0"/>
        <w:adjustRightInd w:val="0"/>
        <w:jc w:val="both"/>
        <w:rPr>
          <w:sz w:val="22"/>
          <w:szCs w:val="22"/>
          <w:lang w:val="sr-Latn-ME"/>
        </w:rPr>
      </w:pPr>
      <w:r w:rsidRPr="00CB6AFC">
        <w:rPr>
          <w:sz w:val="22"/>
          <w:szCs w:val="22"/>
          <w:lang w:val="sr-Latn-ME"/>
        </w:rPr>
        <w:t xml:space="preserve">Analiza vremenski prilagođenih sumarnih razlika u intenzitetu bola (engl. </w:t>
      </w:r>
      <w:r w:rsidRPr="00CB6AFC">
        <w:rPr>
          <w:i/>
          <w:iCs/>
          <w:sz w:val="22"/>
          <w:szCs w:val="22"/>
          <w:lang w:val="sr-Latn-ME"/>
        </w:rPr>
        <w:t>Summed Pain Intensity Difference</w:t>
      </w:r>
      <w:r w:rsidRPr="00CB6AFC">
        <w:rPr>
          <w:sz w:val="22"/>
          <w:szCs w:val="22"/>
          <w:lang w:val="sr-Latn-ME"/>
        </w:rPr>
        <w:t xml:space="preserve">, SPID) 0-48 sati pokazala je da </w:t>
      </w:r>
      <w:r w:rsidR="0028524A" w:rsidRPr="00CB6AFC">
        <w:rPr>
          <w:sz w:val="22"/>
          <w:szCs w:val="22"/>
          <w:lang w:val="sr-Latn-ME"/>
        </w:rPr>
        <w:t xml:space="preserve">lijek </w:t>
      </w:r>
      <w:r w:rsidRPr="00CB6AFC">
        <w:rPr>
          <w:noProof/>
          <w:sz w:val="22"/>
          <w:szCs w:val="22"/>
          <w:lang w:val="sr-Latn-ME"/>
        </w:rPr>
        <w:t>Comboval 10 mg/ml + 3 mg/ml</w:t>
      </w:r>
      <w:r w:rsidRPr="00CB6AFC">
        <w:rPr>
          <w:sz w:val="22"/>
          <w:szCs w:val="22"/>
          <w:lang w:val="sr-Latn-ME"/>
        </w:rPr>
        <w:t xml:space="preserve"> rastvor za infuziju (</w:t>
      </w:r>
      <w:r w:rsidR="0028524A" w:rsidRPr="00CB6AFC">
        <w:rPr>
          <w:sz w:val="22"/>
          <w:szCs w:val="22"/>
          <w:lang w:val="sr-Latn-ME"/>
        </w:rPr>
        <w:t>srednja vrijednost</w:t>
      </w:r>
      <w:r w:rsidR="00C57E5A" w:rsidRPr="00CB6AFC">
        <w:rPr>
          <w:sz w:val="22"/>
          <w:szCs w:val="22"/>
          <w:lang w:val="sr-Latn-ME"/>
        </w:rPr>
        <w:t xml:space="preserve"> </w:t>
      </w:r>
      <w:r w:rsidRPr="00CB6AFC">
        <w:rPr>
          <w:sz w:val="22"/>
          <w:szCs w:val="22"/>
          <w:lang w:val="sr-Latn-ME"/>
        </w:rPr>
        <w:t>= 23</w:t>
      </w:r>
      <w:r w:rsidR="0028524A" w:rsidRPr="00CB6AFC">
        <w:rPr>
          <w:sz w:val="22"/>
          <w:szCs w:val="22"/>
          <w:lang w:val="sr-Latn-ME"/>
        </w:rPr>
        <w:t>.</w:t>
      </w:r>
      <w:r w:rsidRPr="00CB6AFC">
        <w:rPr>
          <w:sz w:val="22"/>
          <w:szCs w:val="22"/>
          <w:lang w:val="sr-Latn-ME"/>
        </w:rPr>
        <w:t>41, SE = 2</w:t>
      </w:r>
      <w:r w:rsidR="0028524A" w:rsidRPr="00CB6AFC">
        <w:rPr>
          <w:sz w:val="22"/>
          <w:szCs w:val="22"/>
          <w:lang w:val="sr-Latn-ME"/>
        </w:rPr>
        <w:t>.</w:t>
      </w:r>
      <w:r w:rsidRPr="00CB6AFC">
        <w:rPr>
          <w:sz w:val="22"/>
          <w:szCs w:val="22"/>
          <w:lang w:val="sr-Latn-ME"/>
        </w:rPr>
        <w:t>50) efikasnije ublažava bol od placeba (</w:t>
      </w:r>
      <w:r w:rsidR="0028524A" w:rsidRPr="00CB6AFC">
        <w:rPr>
          <w:sz w:val="22"/>
          <w:szCs w:val="22"/>
          <w:lang w:val="sr-Latn-ME"/>
        </w:rPr>
        <w:t>srednja vrijednost</w:t>
      </w:r>
      <w:r w:rsidRPr="00CB6AFC">
        <w:rPr>
          <w:sz w:val="22"/>
          <w:szCs w:val="22"/>
          <w:lang w:val="sr-Latn-ME"/>
        </w:rPr>
        <w:t xml:space="preserve"> = -1</w:t>
      </w:r>
      <w:r w:rsidR="0028524A" w:rsidRPr="00CB6AFC">
        <w:rPr>
          <w:sz w:val="22"/>
          <w:szCs w:val="22"/>
          <w:lang w:val="sr-Latn-ME"/>
        </w:rPr>
        <w:t>.</w:t>
      </w:r>
      <w:r w:rsidRPr="00CB6AFC">
        <w:rPr>
          <w:sz w:val="22"/>
          <w:szCs w:val="22"/>
          <w:lang w:val="sr-Latn-ME"/>
        </w:rPr>
        <w:t>30, SE = 3</w:t>
      </w:r>
      <w:r w:rsidR="0028524A" w:rsidRPr="00CB6AFC">
        <w:rPr>
          <w:sz w:val="22"/>
          <w:szCs w:val="22"/>
          <w:lang w:val="sr-Latn-ME"/>
        </w:rPr>
        <w:t>.</w:t>
      </w:r>
      <w:r w:rsidRPr="00CB6AFC">
        <w:rPr>
          <w:sz w:val="22"/>
          <w:szCs w:val="22"/>
          <w:lang w:val="sr-Latn-ME"/>
        </w:rPr>
        <w:t>07), paracetamola (</w:t>
      </w:r>
      <w:r w:rsidR="0028524A" w:rsidRPr="00CB6AFC">
        <w:rPr>
          <w:sz w:val="22"/>
          <w:szCs w:val="22"/>
          <w:lang w:val="sr-Latn-ME"/>
        </w:rPr>
        <w:t>srednja vrijednost</w:t>
      </w:r>
      <w:r w:rsidRPr="00CB6AFC">
        <w:rPr>
          <w:sz w:val="22"/>
          <w:szCs w:val="22"/>
          <w:lang w:val="sr-Latn-ME"/>
        </w:rPr>
        <w:t xml:space="preserve"> = 10</w:t>
      </w:r>
      <w:r w:rsidR="0028524A" w:rsidRPr="00CB6AFC">
        <w:rPr>
          <w:sz w:val="22"/>
          <w:szCs w:val="22"/>
          <w:lang w:val="sr-Latn-ME"/>
        </w:rPr>
        <w:t>.</w:t>
      </w:r>
      <w:r w:rsidRPr="00CB6AFC">
        <w:rPr>
          <w:sz w:val="22"/>
          <w:szCs w:val="22"/>
          <w:lang w:val="sr-Latn-ME"/>
        </w:rPr>
        <w:t>42, SE = 2</w:t>
      </w:r>
      <w:r w:rsidR="0028524A" w:rsidRPr="00CB6AFC">
        <w:rPr>
          <w:sz w:val="22"/>
          <w:szCs w:val="22"/>
          <w:lang w:val="sr-Latn-ME"/>
        </w:rPr>
        <w:t>.</w:t>
      </w:r>
      <w:r w:rsidRPr="00CB6AFC">
        <w:rPr>
          <w:sz w:val="22"/>
          <w:szCs w:val="22"/>
          <w:lang w:val="sr-Latn-ME"/>
        </w:rPr>
        <w:t>50) ili ibuprofena (</w:t>
      </w:r>
      <w:r w:rsidR="0028524A" w:rsidRPr="00CB6AFC">
        <w:rPr>
          <w:sz w:val="22"/>
          <w:szCs w:val="22"/>
          <w:lang w:val="sr-Latn-ME"/>
        </w:rPr>
        <w:t>srednja vrijednost</w:t>
      </w:r>
      <w:r w:rsidRPr="00CB6AFC">
        <w:rPr>
          <w:sz w:val="22"/>
          <w:szCs w:val="22"/>
          <w:lang w:val="sr-Latn-ME"/>
        </w:rPr>
        <w:t xml:space="preserve"> = 9</w:t>
      </w:r>
      <w:r w:rsidR="0028524A" w:rsidRPr="00CB6AFC">
        <w:rPr>
          <w:sz w:val="22"/>
          <w:szCs w:val="22"/>
          <w:lang w:val="sr-Latn-ME"/>
        </w:rPr>
        <w:t>.</w:t>
      </w:r>
      <w:r w:rsidRPr="00CB6AFC">
        <w:rPr>
          <w:sz w:val="22"/>
          <w:szCs w:val="22"/>
          <w:lang w:val="sr-Latn-ME"/>
        </w:rPr>
        <w:t>51, SE = 2</w:t>
      </w:r>
      <w:r w:rsidR="0028524A" w:rsidRPr="00CB6AFC">
        <w:rPr>
          <w:sz w:val="22"/>
          <w:szCs w:val="22"/>
          <w:lang w:val="sr-Latn-ME"/>
        </w:rPr>
        <w:t>.</w:t>
      </w:r>
      <w:r w:rsidRPr="00CB6AFC">
        <w:rPr>
          <w:sz w:val="22"/>
          <w:szCs w:val="22"/>
          <w:lang w:val="sr-Latn-ME"/>
        </w:rPr>
        <w:t>49), sa visokim stepenom statističk</w:t>
      </w:r>
      <w:r w:rsidR="0028524A" w:rsidRPr="00CB6AFC">
        <w:rPr>
          <w:sz w:val="22"/>
          <w:szCs w:val="22"/>
          <w:lang w:val="sr-Latn-ME"/>
        </w:rPr>
        <w:t>og</w:t>
      </w:r>
      <w:r w:rsidRPr="00CB6AFC">
        <w:rPr>
          <w:sz w:val="22"/>
          <w:szCs w:val="22"/>
          <w:lang w:val="sr-Latn-ME"/>
        </w:rPr>
        <w:t xml:space="preserve"> značaj</w:t>
      </w:r>
      <w:r w:rsidR="0028524A" w:rsidRPr="00CB6AFC">
        <w:rPr>
          <w:sz w:val="22"/>
          <w:szCs w:val="22"/>
          <w:lang w:val="sr-Latn-ME"/>
        </w:rPr>
        <w:t>a</w:t>
      </w:r>
      <w:r w:rsidRPr="00CB6AFC">
        <w:rPr>
          <w:sz w:val="22"/>
          <w:szCs w:val="22"/>
          <w:lang w:val="sr-Latn-ME"/>
        </w:rPr>
        <w:t xml:space="preserve"> (p &lt;</w:t>
      </w:r>
      <w:r w:rsidR="00163454" w:rsidRPr="00CB6AFC">
        <w:rPr>
          <w:sz w:val="22"/>
          <w:szCs w:val="22"/>
          <w:lang w:val="sr-Latn-ME"/>
        </w:rPr>
        <w:t xml:space="preserve"> </w:t>
      </w:r>
      <w:r w:rsidRPr="00CB6AFC">
        <w:rPr>
          <w:sz w:val="22"/>
          <w:szCs w:val="22"/>
          <w:lang w:val="sr-Latn-ME"/>
        </w:rPr>
        <w:t>0</w:t>
      </w:r>
      <w:r w:rsidR="0028524A" w:rsidRPr="00CB6AFC">
        <w:rPr>
          <w:sz w:val="22"/>
          <w:szCs w:val="22"/>
          <w:lang w:val="sr-Latn-ME"/>
        </w:rPr>
        <w:t>.</w:t>
      </w:r>
      <w:r w:rsidRPr="00CB6AFC">
        <w:rPr>
          <w:sz w:val="22"/>
          <w:szCs w:val="22"/>
          <w:lang w:val="sr-Latn-ME"/>
        </w:rPr>
        <w:t>001).</w:t>
      </w:r>
    </w:p>
    <w:p w14:paraId="19D35B9D" w14:textId="77777777" w:rsidR="009F09E6" w:rsidRPr="00CB6AFC" w:rsidRDefault="009F09E6" w:rsidP="002D619D">
      <w:pPr>
        <w:autoSpaceDE w:val="0"/>
        <w:autoSpaceDN w:val="0"/>
        <w:adjustRightInd w:val="0"/>
        <w:jc w:val="both"/>
        <w:rPr>
          <w:sz w:val="22"/>
          <w:szCs w:val="22"/>
          <w:lang w:val="sr-Latn-ME"/>
        </w:rPr>
      </w:pPr>
    </w:p>
    <w:p w14:paraId="6588BA61" w14:textId="129115C1" w:rsidR="009F09E6" w:rsidRPr="00CB6AFC" w:rsidRDefault="009F09E6" w:rsidP="002D619D">
      <w:pPr>
        <w:autoSpaceDE w:val="0"/>
        <w:autoSpaceDN w:val="0"/>
        <w:adjustRightInd w:val="0"/>
        <w:jc w:val="both"/>
        <w:rPr>
          <w:b/>
          <w:bCs/>
          <w:sz w:val="22"/>
          <w:szCs w:val="22"/>
          <w:lang w:val="sr-Latn-ME"/>
        </w:rPr>
      </w:pPr>
      <w:r w:rsidRPr="00CB6AFC">
        <w:rPr>
          <w:b/>
          <w:bCs/>
          <w:sz w:val="22"/>
          <w:szCs w:val="22"/>
          <w:lang w:val="sr-Latn-ME"/>
        </w:rPr>
        <w:t>Tabela 1. Sažetak vremenski prilagođenih SPID (0-48 sati) p</w:t>
      </w:r>
      <w:r w:rsidR="0028524A" w:rsidRPr="00CB6AFC">
        <w:rPr>
          <w:b/>
          <w:bCs/>
          <w:sz w:val="22"/>
          <w:szCs w:val="22"/>
          <w:lang w:val="sr-Latn-ME"/>
        </w:rPr>
        <w:t>o terapijskim grupama</w:t>
      </w:r>
      <w:r w:rsidRPr="00CB6AFC">
        <w:rPr>
          <w:b/>
          <w:bCs/>
          <w:sz w:val="22"/>
          <w:szCs w:val="22"/>
          <w:lang w:val="sr-Latn-ME"/>
        </w:rPr>
        <w:t xml:space="preserve"> </w:t>
      </w:r>
    </w:p>
    <w:p w14:paraId="64BF1455" w14:textId="77777777" w:rsidR="009F09E6" w:rsidRPr="00CB6AFC" w:rsidRDefault="009F09E6" w:rsidP="002D619D">
      <w:pPr>
        <w:autoSpaceDE w:val="0"/>
        <w:autoSpaceDN w:val="0"/>
        <w:adjustRightInd w:val="0"/>
        <w:jc w:val="both"/>
        <w:rPr>
          <w:bCs/>
          <w:sz w:val="22"/>
          <w:szCs w:val="22"/>
          <w:lang w:val="sr-Latn-ME"/>
        </w:rPr>
      </w:pP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689"/>
        <w:gridCol w:w="1608"/>
        <w:gridCol w:w="1608"/>
        <w:gridCol w:w="1608"/>
        <w:gridCol w:w="1608"/>
      </w:tblGrid>
      <w:tr w:rsidR="009F09E6" w:rsidRPr="00CB6AFC" w14:paraId="1A0EEDA8" w14:textId="77777777" w:rsidTr="00ED4B2E">
        <w:trPr>
          <w:trHeight w:val="278"/>
          <w:tblHeader/>
        </w:trPr>
        <w:tc>
          <w:tcPr>
            <w:tcW w:w="2689" w:type="dxa"/>
            <w:vMerge w:val="restart"/>
            <w:shd w:val="clear" w:color="auto" w:fill="EEEEEE"/>
            <w:hideMark/>
          </w:tcPr>
          <w:p w14:paraId="10D761F8" w14:textId="77777777" w:rsidR="009F09E6" w:rsidRPr="00CB6AFC" w:rsidRDefault="009F09E6" w:rsidP="002D619D">
            <w:pPr>
              <w:spacing w:before="40" w:after="40" w:line="259" w:lineRule="auto"/>
              <w:jc w:val="both"/>
              <w:rPr>
                <w:rFonts w:eastAsia="Calibri"/>
                <w:b/>
                <w:sz w:val="22"/>
                <w:szCs w:val="22"/>
                <w:lang w:val="sr-Latn-ME" w:eastAsia="en-NZ"/>
              </w:rPr>
            </w:pPr>
          </w:p>
        </w:tc>
        <w:tc>
          <w:tcPr>
            <w:tcW w:w="1608" w:type="dxa"/>
            <w:shd w:val="clear" w:color="auto" w:fill="EEEEEE"/>
            <w:hideMark/>
          </w:tcPr>
          <w:p w14:paraId="31D62B81" w14:textId="77777777" w:rsidR="009F09E6" w:rsidRPr="00CB6AFC" w:rsidRDefault="009F09E6" w:rsidP="002D619D">
            <w:pPr>
              <w:spacing w:before="40" w:after="40" w:line="259" w:lineRule="auto"/>
              <w:jc w:val="both"/>
              <w:rPr>
                <w:rFonts w:eastAsia="Calibri"/>
                <w:b/>
                <w:sz w:val="22"/>
                <w:szCs w:val="22"/>
                <w:lang w:val="sr-Latn-ME" w:eastAsia="en-NZ"/>
              </w:rPr>
            </w:pPr>
            <w:r w:rsidRPr="00CB6AFC">
              <w:rPr>
                <w:b/>
                <w:bCs/>
                <w:sz w:val="22"/>
                <w:szCs w:val="22"/>
                <w:lang w:val="sr-Latn-ME"/>
              </w:rPr>
              <w:t>Comboval</w:t>
            </w:r>
          </w:p>
        </w:tc>
        <w:tc>
          <w:tcPr>
            <w:tcW w:w="1608" w:type="dxa"/>
            <w:shd w:val="clear" w:color="auto" w:fill="EEEEEE"/>
            <w:hideMark/>
          </w:tcPr>
          <w:p w14:paraId="004FC77D" w14:textId="77777777" w:rsidR="009F09E6" w:rsidRPr="00CB6AFC" w:rsidRDefault="009F09E6" w:rsidP="002D619D">
            <w:pPr>
              <w:spacing w:before="40" w:after="40" w:line="259" w:lineRule="auto"/>
              <w:jc w:val="both"/>
              <w:rPr>
                <w:rFonts w:eastAsia="Calibri"/>
                <w:b/>
                <w:sz w:val="22"/>
                <w:szCs w:val="22"/>
                <w:lang w:val="sr-Latn-ME" w:eastAsia="en-NZ"/>
              </w:rPr>
            </w:pPr>
            <w:r w:rsidRPr="00CB6AFC">
              <w:rPr>
                <w:rFonts w:eastAsia="Calibri"/>
                <w:b/>
                <w:sz w:val="22"/>
                <w:szCs w:val="22"/>
                <w:lang w:val="sr-Latn-ME" w:eastAsia="en-NZ"/>
              </w:rPr>
              <w:t>Ibuprofen</w:t>
            </w:r>
          </w:p>
        </w:tc>
        <w:tc>
          <w:tcPr>
            <w:tcW w:w="1608" w:type="dxa"/>
            <w:shd w:val="clear" w:color="auto" w:fill="EEEEEE"/>
            <w:hideMark/>
          </w:tcPr>
          <w:p w14:paraId="0FA4AECD" w14:textId="77777777" w:rsidR="009F09E6" w:rsidRPr="00CB6AFC" w:rsidRDefault="009F09E6" w:rsidP="002D619D">
            <w:pPr>
              <w:spacing w:before="40" w:after="40" w:line="259" w:lineRule="auto"/>
              <w:jc w:val="both"/>
              <w:rPr>
                <w:rFonts w:eastAsia="Calibri"/>
                <w:b/>
                <w:sz w:val="22"/>
                <w:szCs w:val="22"/>
                <w:lang w:val="sr-Latn-ME" w:eastAsia="en-NZ"/>
              </w:rPr>
            </w:pPr>
            <w:r w:rsidRPr="00CB6AFC">
              <w:rPr>
                <w:rFonts w:eastAsia="Calibri"/>
                <w:b/>
                <w:sz w:val="22"/>
                <w:szCs w:val="22"/>
                <w:lang w:val="sr-Latn-ME" w:eastAsia="en-NZ"/>
              </w:rPr>
              <w:t>Paracetamol</w:t>
            </w:r>
          </w:p>
        </w:tc>
        <w:tc>
          <w:tcPr>
            <w:tcW w:w="1608" w:type="dxa"/>
            <w:shd w:val="clear" w:color="auto" w:fill="EEEEEE"/>
            <w:hideMark/>
          </w:tcPr>
          <w:p w14:paraId="3BD29E47" w14:textId="77777777" w:rsidR="009F09E6" w:rsidRPr="00CB6AFC" w:rsidRDefault="009F09E6" w:rsidP="002D619D">
            <w:pPr>
              <w:spacing w:before="40" w:after="40" w:line="259" w:lineRule="auto"/>
              <w:jc w:val="both"/>
              <w:rPr>
                <w:rFonts w:eastAsia="Calibri"/>
                <w:b/>
                <w:sz w:val="22"/>
                <w:szCs w:val="22"/>
                <w:lang w:val="sr-Latn-ME" w:eastAsia="en-NZ"/>
              </w:rPr>
            </w:pPr>
            <w:r w:rsidRPr="00CB6AFC">
              <w:rPr>
                <w:rFonts w:eastAsia="Calibri"/>
                <w:b/>
                <w:sz w:val="22"/>
                <w:szCs w:val="22"/>
                <w:lang w:val="sr-Latn-ME" w:eastAsia="en-NZ"/>
              </w:rPr>
              <w:t>Placebo</w:t>
            </w:r>
          </w:p>
        </w:tc>
      </w:tr>
      <w:tr w:rsidR="009F09E6" w:rsidRPr="00CB6AFC" w14:paraId="4B95D873" w14:textId="77777777" w:rsidTr="00ED4B2E">
        <w:trPr>
          <w:trHeight w:val="293"/>
          <w:tblHeader/>
        </w:trPr>
        <w:tc>
          <w:tcPr>
            <w:tcW w:w="2689" w:type="dxa"/>
            <w:vMerge/>
            <w:vAlign w:val="center"/>
            <w:hideMark/>
          </w:tcPr>
          <w:p w14:paraId="49C0063F" w14:textId="77777777" w:rsidR="009F09E6" w:rsidRPr="00CB6AFC" w:rsidRDefault="009F09E6" w:rsidP="002D619D">
            <w:pPr>
              <w:spacing w:before="40" w:after="40" w:line="259" w:lineRule="auto"/>
              <w:jc w:val="both"/>
              <w:rPr>
                <w:rFonts w:eastAsia="Calibri"/>
                <w:sz w:val="22"/>
                <w:szCs w:val="22"/>
                <w:lang w:val="sr-Latn-ME" w:eastAsia="en-NZ"/>
              </w:rPr>
            </w:pPr>
          </w:p>
        </w:tc>
        <w:tc>
          <w:tcPr>
            <w:tcW w:w="1608" w:type="dxa"/>
            <w:shd w:val="clear" w:color="auto" w:fill="EEEEEE"/>
            <w:hideMark/>
          </w:tcPr>
          <w:p w14:paraId="66BC6BE9" w14:textId="77777777" w:rsidR="009F09E6" w:rsidRPr="00CB6AFC" w:rsidRDefault="009F09E6" w:rsidP="002D619D">
            <w:pPr>
              <w:spacing w:before="40" w:after="40" w:line="259" w:lineRule="auto"/>
              <w:jc w:val="both"/>
              <w:rPr>
                <w:rFonts w:eastAsia="Calibri"/>
                <w:b/>
                <w:sz w:val="22"/>
                <w:szCs w:val="22"/>
                <w:lang w:val="sr-Latn-ME" w:eastAsia="en-NZ"/>
              </w:rPr>
            </w:pPr>
            <w:r w:rsidRPr="00CB6AFC">
              <w:rPr>
                <w:rFonts w:eastAsia="Calibri"/>
                <w:b/>
                <w:sz w:val="22"/>
                <w:szCs w:val="22"/>
                <w:lang w:val="sr-Latn-ME" w:eastAsia="en-NZ"/>
              </w:rPr>
              <w:t>N=75</w:t>
            </w:r>
          </w:p>
        </w:tc>
        <w:tc>
          <w:tcPr>
            <w:tcW w:w="1608" w:type="dxa"/>
            <w:shd w:val="clear" w:color="auto" w:fill="EEEEEE"/>
            <w:hideMark/>
          </w:tcPr>
          <w:p w14:paraId="6584BF5B" w14:textId="77777777" w:rsidR="009F09E6" w:rsidRPr="00CB6AFC" w:rsidRDefault="009F09E6" w:rsidP="002D619D">
            <w:pPr>
              <w:spacing w:before="40" w:after="40" w:line="259" w:lineRule="auto"/>
              <w:jc w:val="both"/>
              <w:rPr>
                <w:rFonts w:eastAsia="Calibri"/>
                <w:b/>
                <w:sz w:val="22"/>
                <w:szCs w:val="22"/>
                <w:lang w:val="sr-Latn-ME" w:eastAsia="en-NZ"/>
              </w:rPr>
            </w:pPr>
            <w:r w:rsidRPr="00CB6AFC">
              <w:rPr>
                <w:rFonts w:eastAsia="Calibri"/>
                <w:b/>
                <w:sz w:val="22"/>
                <w:szCs w:val="22"/>
                <w:lang w:val="sr-Latn-ME" w:eastAsia="en-NZ"/>
              </w:rPr>
              <w:t>N=76</w:t>
            </w:r>
          </w:p>
        </w:tc>
        <w:tc>
          <w:tcPr>
            <w:tcW w:w="1608" w:type="dxa"/>
            <w:shd w:val="clear" w:color="auto" w:fill="EEEEEE"/>
            <w:hideMark/>
          </w:tcPr>
          <w:p w14:paraId="30ADED9C" w14:textId="77777777" w:rsidR="009F09E6" w:rsidRPr="00CB6AFC" w:rsidRDefault="009F09E6" w:rsidP="002D619D">
            <w:pPr>
              <w:spacing w:before="40" w:after="40" w:line="259" w:lineRule="auto"/>
              <w:jc w:val="both"/>
              <w:rPr>
                <w:rFonts w:eastAsia="Calibri"/>
                <w:b/>
                <w:sz w:val="22"/>
                <w:szCs w:val="22"/>
                <w:lang w:val="sr-Latn-ME" w:eastAsia="en-NZ"/>
              </w:rPr>
            </w:pPr>
            <w:r w:rsidRPr="00CB6AFC">
              <w:rPr>
                <w:rFonts w:eastAsia="Calibri"/>
                <w:b/>
                <w:sz w:val="22"/>
                <w:szCs w:val="22"/>
                <w:lang w:val="sr-Latn-ME" w:eastAsia="en-NZ"/>
              </w:rPr>
              <w:t>N=75</w:t>
            </w:r>
          </w:p>
        </w:tc>
        <w:tc>
          <w:tcPr>
            <w:tcW w:w="1608" w:type="dxa"/>
            <w:shd w:val="clear" w:color="auto" w:fill="EEEEEE"/>
            <w:hideMark/>
          </w:tcPr>
          <w:p w14:paraId="1B815490" w14:textId="77777777" w:rsidR="009F09E6" w:rsidRPr="00CB6AFC" w:rsidRDefault="009F09E6" w:rsidP="002D619D">
            <w:pPr>
              <w:spacing w:before="40" w:after="40" w:line="259" w:lineRule="auto"/>
              <w:jc w:val="both"/>
              <w:rPr>
                <w:rFonts w:eastAsia="Calibri"/>
                <w:b/>
                <w:sz w:val="22"/>
                <w:szCs w:val="22"/>
                <w:lang w:val="sr-Latn-ME" w:eastAsia="en-NZ"/>
              </w:rPr>
            </w:pPr>
            <w:r w:rsidRPr="00CB6AFC">
              <w:rPr>
                <w:rFonts w:eastAsia="Calibri"/>
                <w:b/>
                <w:sz w:val="22"/>
                <w:szCs w:val="22"/>
                <w:lang w:val="sr-Latn-ME" w:eastAsia="en-NZ"/>
              </w:rPr>
              <w:t>N=50</w:t>
            </w:r>
          </w:p>
        </w:tc>
      </w:tr>
      <w:tr w:rsidR="009F09E6" w:rsidRPr="00CB6AFC" w14:paraId="5BACE913" w14:textId="77777777" w:rsidTr="00ED4B2E">
        <w:trPr>
          <w:trHeight w:val="278"/>
        </w:trPr>
        <w:tc>
          <w:tcPr>
            <w:tcW w:w="2689" w:type="dxa"/>
            <w:hideMark/>
          </w:tcPr>
          <w:p w14:paraId="4E9DA033" w14:textId="77777777"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N</w:t>
            </w:r>
          </w:p>
        </w:tc>
        <w:tc>
          <w:tcPr>
            <w:tcW w:w="1608" w:type="dxa"/>
            <w:hideMark/>
          </w:tcPr>
          <w:p w14:paraId="10179800" w14:textId="77777777"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75</w:t>
            </w:r>
          </w:p>
        </w:tc>
        <w:tc>
          <w:tcPr>
            <w:tcW w:w="1608" w:type="dxa"/>
            <w:hideMark/>
          </w:tcPr>
          <w:p w14:paraId="742EF8CF" w14:textId="77777777"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76</w:t>
            </w:r>
          </w:p>
        </w:tc>
        <w:tc>
          <w:tcPr>
            <w:tcW w:w="1608" w:type="dxa"/>
            <w:hideMark/>
          </w:tcPr>
          <w:p w14:paraId="490C21F9" w14:textId="77777777"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75</w:t>
            </w:r>
          </w:p>
        </w:tc>
        <w:tc>
          <w:tcPr>
            <w:tcW w:w="1608" w:type="dxa"/>
            <w:hideMark/>
          </w:tcPr>
          <w:p w14:paraId="71802233" w14:textId="77777777" w:rsidR="009F09E6" w:rsidRPr="00CB6AFC" w:rsidRDefault="009F09E6" w:rsidP="002D619D">
            <w:pPr>
              <w:spacing w:before="40" w:after="40" w:line="259" w:lineRule="auto"/>
              <w:jc w:val="both"/>
              <w:rPr>
                <w:rFonts w:eastAsia="Calibri"/>
                <w:sz w:val="22"/>
                <w:szCs w:val="22"/>
                <w:lang w:val="sr-Latn-ME" w:eastAsia="en-NZ"/>
              </w:rPr>
            </w:pPr>
            <w:r w:rsidRPr="00CB6AFC">
              <w:rPr>
                <w:rFonts w:eastAsia="Calibri"/>
                <w:sz w:val="22"/>
                <w:szCs w:val="22"/>
                <w:lang w:val="sr-Latn-ME" w:eastAsia="en-NZ"/>
              </w:rPr>
              <w:t>50</w:t>
            </w:r>
          </w:p>
        </w:tc>
      </w:tr>
      <w:tr w:rsidR="009F09E6" w:rsidRPr="00CB6AFC" w14:paraId="283671AF" w14:textId="77777777" w:rsidTr="00ED4B2E">
        <w:trPr>
          <w:trHeight w:val="278"/>
        </w:trPr>
        <w:tc>
          <w:tcPr>
            <w:tcW w:w="2689" w:type="dxa"/>
            <w:hideMark/>
          </w:tcPr>
          <w:p w14:paraId="13766322" w14:textId="62FC472E" w:rsidR="009F09E6" w:rsidRPr="00CB6AFC" w:rsidRDefault="0028524A"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Srednja vrijednost</w:t>
            </w:r>
            <w:r w:rsidR="009F09E6" w:rsidRPr="00CB6AFC">
              <w:rPr>
                <w:rFonts w:eastAsia="Calibri"/>
                <w:sz w:val="22"/>
                <w:szCs w:val="22"/>
                <w:lang w:val="sr-Latn-ME" w:eastAsia="en-NZ"/>
              </w:rPr>
              <w:t> (SE)</w:t>
            </w:r>
          </w:p>
        </w:tc>
        <w:tc>
          <w:tcPr>
            <w:tcW w:w="1608" w:type="dxa"/>
            <w:hideMark/>
          </w:tcPr>
          <w:p w14:paraId="3FC5D20A" w14:textId="3AF61105"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23</w:t>
            </w:r>
            <w:r w:rsidR="0028524A" w:rsidRPr="00CB6AFC">
              <w:rPr>
                <w:rFonts w:eastAsia="Calibri"/>
                <w:sz w:val="22"/>
                <w:szCs w:val="22"/>
                <w:lang w:val="sr-Latn-ME" w:eastAsia="en-NZ"/>
              </w:rPr>
              <w:t>.</w:t>
            </w:r>
            <w:r w:rsidRPr="00CB6AFC">
              <w:rPr>
                <w:rFonts w:eastAsia="Calibri"/>
                <w:sz w:val="22"/>
                <w:szCs w:val="22"/>
                <w:lang w:val="sr-Latn-ME" w:eastAsia="en-NZ"/>
              </w:rPr>
              <w:t>41 (2</w:t>
            </w:r>
            <w:r w:rsidR="002D619D" w:rsidRPr="00CB6AFC">
              <w:rPr>
                <w:rFonts w:eastAsia="Calibri"/>
                <w:sz w:val="22"/>
                <w:szCs w:val="22"/>
                <w:lang w:val="sr-Latn-ME" w:eastAsia="en-NZ"/>
              </w:rPr>
              <w:t>.</w:t>
            </w:r>
            <w:r w:rsidRPr="00CB6AFC">
              <w:rPr>
                <w:rFonts w:eastAsia="Calibri"/>
                <w:sz w:val="22"/>
                <w:szCs w:val="22"/>
                <w:lang w:val="sr-Latn-ME" w:eastAsia="en-NZ"/>
              </w:rPr>
              <w:t>89)</w:t>
            </w:r>
          </w:p>
        </w:tc>
        <w:tc>
          <w:tcPr>
            <w:tcW w:w="1608" w:type="dxa"/>
            <w:hideMark/>
          </w:tcPr>
          <w:p w14:paraId="23179670" w14:textId="3BEBEA73"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9</w:t>
            </w:r>
            <w:r w:rsidR="0028524A" w:rsidRPr="00CB6AFC">
              <w:rPr>
                <w:rFonts w:eastAsia="Calibri"/>
                <w:sz w:val="22"/>
                <w:szCs w:val="22"/>
                <w:lang w:val="sr-Latn-ME" w:eastAsia="en-NZ"/>
              </w:rPr>
              <w:t>.</w:t>
            </w:r>
            <w:r w:rsidRPr="00CB6AFC">
              <w:rPr>
                <w:rFonts w:eastAsia="Calibri"/>
                <w:sz w:val="22"/>
                <w:szCs w:val="22"/>
                <w:lang w:val="sr-Latn-ME" w:eastAsia="en-NZ"/>
              </w:rPr>
              <w:t>51 (2</w:t>
            </w:r>
            <w:r w:rsidR="0028524A" w:rsidRPr="00CB6AFC">
              <w:rPr>
                <w:rFonts w:eastAsia="Calibri"/>
                <w:sz w:val="22"/>
                <w:szCs w:val="22"/>
                <w:lang w:val="sr-Latn-ME" w:eastAsia="en-NZ"/>
              </w:rPr>
              <w:t>.</w:t>
            </w:r>
            <w:r w:rsidRPr="00CB6AFC">
              <w:rPr>
                <w:rFonts w:eastAsia="Calibri"/>
                <w:sz w:val="22"/>
                <w:szCs w:val="22"/>
                <w:lang w:val="sr-Latn-ME" w:eastAsia="en-NZ"/>
              </w:rPr>
              <w:t>53)</w:t>
            </w:r>
          </w:p>
        </w:tc>
        <w:tc>
          <w:tcPr>
            <w:tcW w:w="1608" w:type="dxa"/>
            <w:hideMark/>
          </w:tcPr>
          <w:p w14:paraId="5AF30121" w14:textId="157F0FE2"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10</w:t>
            </w:r>
            <w:r w:rsidR="0028524A" w:rsidRPr="00CB6AFC">
              <w:rPr>
                <w:rFonts w:eastAsia="Calibri"/>
                <w:sz w:val="22"/>
                <w:szCs w:val="22"/>
                <w:lang w:val="sr-Latn-ME" w:eastAsia="en-NZ"/>
              </w:rPr>
              <w:t>.</w:t>
            </w:r>
            <w:r w:rsidRPr="00CB6AFC">
              <w:rPr>
                <w:rFonts w:eastAsia="Calibri"/>
                <w:sz w:val="22"/>
                <w:szCs w:val="22"/>
                <w:lang w:val="sr-Latn-ME" w:eastAsia="en-NZ"/>
              </w:rPr>
              <w:t>42 (2</w:t>
            </w:r>
            <w:r w:rsidR="0028524A" w:rsidRPr="00CB6AFC">
              <w:rPr>
                <w:rFonts w:eastAsia="Calibri"/>
                <w:sz w:val="22"/>
                <w:szCs w:val="22"/>
                <w:lang w:val="sr-Latn-ME" w:eastAsia="en-NZ"/>
              </w:rPr>
              <w:t>.</w:t>
            </w:r>
            <w:r w:rsidRPr="00CB6AFC">
              <w:rPr>
                <w:rFonts w:eastAsia="Calibri"/>
                <w:sz w:val="22"/>
                <w:szCs w:val="22"/>
                <w:lang w:val="sr-Latn-ME" w:eastAsia="en-NZ"/>
              </w:rPr>
              <w:t>49)</w:t>
            </w:r>
          </w:p>
        </w:tc>
        <w:tc>
          <w:tcPr>
            <w:tcW w:w="1608" w:type="dxa"/>
            <w:hideMark/>
          </w:tcPr>
          <w:p w14:paraId="377F42E7" w14:textId="459A25BB" w:rsidR="009F09E6" w:rsidRPr="00CB6AFC" w:rsidRDefault="009F09E6" w:rsidP="002D619D">
            <w:pPr>
              <w:spacing w:before="40" w:after="40" w:line="259" w:lineRule="auto"/>
              <w:jc w:val="both"/>
              <w:rPr>
                <w:rFonts w:eastAsia="Calibri"/>
                <w:sz w:val="22"/>
                <w:szCs w:val="22"/>
                <w:lang w:val="sr-Latn-ME" w:eastAsia="en-NZ"/>
              </w:rPr>
            </w:pPr>
            <w:r w:rsidRPr="00CB6AFC">
              <w:rPr>
                <w:rFonts w:eastAsia="Calibri"/>
                <w:sz w:val="22"/>
                <w:szCs w:val="22"/>
                <w:lang w:val="sr-Latn-ME" w:eastAsia="en-NZ"/>
              </w:rPr>
              <w:t>-1</w:t>
            </w:r>
            <w:r w:rsidR="0028524A" w:rsidRPr="00CB6AFC">
              <w:rPr>
                <w:rFonts w:eastAsia="Calibri"/>
                <w:sz w:val="22"/>
                <w:szCs w:val="22"/>
                <w:lang w:val="sr-Latn-ME" w:eastAsia="en-NZ"/>
              </w:rPr>
              <w:t>.</w:t>
            </w:r>
            <w:r w:rsidRPr="00CB6AFC">
              <w:rPr>
                <w:rFonts w:eastAsia="Calibri"/>
                <w:sz w:val="22"/>
                <w:szCs w:val="22"/>
                <w:lang w:val="sr-Latn-ME" w:eastAsia="en-NZ"/>
              </w:rPr>
              <w:t>30 (2</w:t>
            </w:r>
            <w:r w:rsidR="0028524A" w:rsidRPr="00CB6AFC">
              <w:rPr>
                <w:rFonts w:eastAsia="Calibri"/>
                <w:sz w:val="22"/>
                <w:szCs w:val="22"/>
                <w:lang w:val="sr-Latn-ME" w:eastAsia="en-NZ"/>
              </w:rPr>
              <w:t>.</w:t>
            </w:r>
            <w:r w:rsidRPr="00CB6AFC">
              <w:rPr>
                <w:rFonts w:eastAsia="Calibri"/>
                <w:sz w:val="22"/>
                <w:szCs w:val="22"/>
                <w:lang w:val="sr-Latn-ME" w:eastAsia="en-NZ"/>
              </w:rPr>
              <w:t>08)</w:t>
            </w:r>
          </w:p>
        </w:tc>
      </w:tr>
      <w:tr w:rsidR="009F09E6" w:rsidRPr="00CB6AFC" w14:paraId="0C4CC3C8" w14:textId="77777777" w:rsidTr="00ED4B2E">
        <w:trPr>
          <w:trHeight w:val="278"/>
        </w:trPr>
        <w:tc>
          <w:tcPr>
            <w:tcW w:w="2689" w:type="dxa"/>
            <w:hideMark/>
          </w:tcPr>
          <w:p w14:paraId="4BB41147" w14:textId="77777777"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Medijana</w:t>
            </w:r>
          </w:p>
        </w:tc>
        <w:tc>
          <w:tcPr>
            <w:tcW w:w="1608" w:type="dxa"/>
            <w:hideMark/>
          </w:tcPr>
          <w:p w14:paraId="5607AE4D" w14:textId="45A6417D"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23</w:t>
            </w:r>
            <w:r w:rsidR="0028524A" w:rsidRPr="00CB6AFC">
              <w:rPr>
                <w:rFonts w:eastAsia="Calibri"/>
                <w:sz w:val="22"/>
                <w:szCs w:val="22"/>
                <w:lang w:val="sr-Latn-ME" w:eastAsia="en-NZ"/>
              </w:rPr>
              <w:t>.</w:t>
            </w:r>
            <w:r w:rsidRPr="00CB6AFC">
              <w:rPr>
                <w:rFonts w:eastAsia="Calibri"/>
                <w:sz w:val="22"/>
                <w:szCs w:val="22"/>
                <w:lang w:val="sr-Latn-ME" w:eastAsia="en-NZ"/>
              </w:rPr>
              <w:t>10</w:t>
            </w:r>
          </w:p>
        </w:tc>
        <w:tc>
          <w:tcPr>
            <w:tcW w:w="1608" w:type="dxa"/>
            <w:hideMark/>
          </w:tcPr>
          <w:p w14:paraId="7FB6B42F" w14:textId="162B27FD"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5</w:t>
            </w:r>
            <w:r w:rsidR="0028524A" w:rsidRPr="00CB6AFC">
              <w:rPr>
                <w:rFonts w:eastAsia="Calibri"/>
                <w:sz w:val="22"/>
                <w:szCs w:val="22"/>
                <w:lang w:val="sr-Latn-ME" w:eastAsia="en-NZ"/>
              </w:rPr>
              <w:t>.</w:t>
            </w:r>
            <w:r w:rsidRPr="00CB6AFC">
              <w:rPr>
                <w:rFonts w:eastAsia="Calibri"/>
                <w:sz w:val="22"/>
                <w:szCs w:val="22"/>
                <w:lang w:val="sr-Latn-ME" w:eastAsia="en-NZ"/>
              </w:rPr>
              <w:t>40</w:t>
            </w:r>
          </w:p>
        </w:tc>
        <w:tc>
          <w:tcPr>
            <w:tcW w:w="1608" w:type="dxa"/>
            <w:hideMark/>
          </w:tcPr>
          <w:p w14:paraId="1F2B64B7" w14:textId="10A9C4A5"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3</w:t>
            </w:r>
            <w:r w:rsidR="0028524A" w:rsidRPr="00CB6AFC">
              <w:rPr>
                <w:rFonts w:eastAsia="Calibri"/>
                <w:sz w:val="22"/>
                <w:szCs w:val="22"/>
                <w:lang w:val="sr-Latn-ME" w:eastAsia="en-NZ"/>
              </w:rPr>
              <w:t>.</w:t>
            </w:r>
            <w:r w:rsidRPr="00CB6AFC">
              <w:rPr>
                <w:rFonts w:eastAsia="Calibri"/>
                <w:sz w:val="22"/>
                <w:szCs w:val="22"/>
                <w:lang w:val="sr-Latn-ME" w:eastAsia="en-NZ"/>
              </w:rPr>
              <w:t>45</w:t>
            </w:r>
          </w:p>
        </w:tc>
        <w:tc>
          <w:tcPr>
            <w:tcW w:w="1608" w:type="dxa"/>
            <w:hideMark/>
          </w:tcPr>
          <w:p w14:paraId="5EC37AD9" w14:textId="5BE9961A" w:rsidR="009F09E6" w:rsidRPr="00CB6AFC" w:rsidRDefault="009F09E6" w:rsidP="002D619D">
            <w:pPr>
              <w:spacing w:before="40" w:after="40" w:line="259" w:lineRule="auto"/>
              <w:jc w:val="both"/>
              <w:rPr>
                <w:rFonts w:eastAsia="Calibri"/>
                <w:sz w:val="22"/>
                <w:szCs w:val="22"/>
                <w:lang w:val="sr-Latn-ME" w:eastAsia="en-NZ"/>
              </w:rPr>
            </w:pPr>
            <w:r w:rsidRPr="00CB6AFC">
              <w:rPr>
                <w:rFonts w:eastAsia="Calibri"/>
                <w:sz w:val="22"/>
                <w:szCs w:val="22"/>
                <w:lang w:val="sr-Latn-ME" w:eastAsia="en-NZ"/>
              </w:rPr>
              <w:t>-4</w:t>
            </w:r>
            <w:r w:rsidR="0028524A" w:rsidRPr="00CB6AFC">
              <w:rPr>
                <w:rFonts w:eastAsia="Calibri"/>
                <w:sz w:val="22"/>
                <w:szCs w:val="22"/>
                <w:lang w:val="sr-Latn-ME" w:eastAsia="en-NZ"/>
              </w:rPr>
              <w:t>.</w:t>
            </w:r>
            <w:r w:rsidRPr="00CB6AFC">
              <w:rPr>
                <w:rFonts w:eastAsia="Calibri"/>
                <w:sz w:val="22"/>
                <w:szCs w:val="22"/>
                <w:lang w:val="sr-Latn-ME" w:eastAsia="en-NZ"/>
              </w:rPr>
              <w:t>00</w:t>
            </w:r>
          </w:p>
        </w:tc>
      </w:tr>
      <w:tr w:rsidR="009F09E6" w:rsidRPr="00CB6AFC" w14:paraId="21E9302C" w14:textId="77777777" w:rsidTr="00ED4B2E">
        <w:trPr>
          <w:trHeight w:val="262"/>
        </w:trPr>
        <w:tc>
          <w:tcPr>
            <w:tcW w:w="2689" w:type="dxa"/>
            <w:hideMark/>
          </w:tcPr>
          <w:p w14:paraId="77FF872D" w14:textId="2B304B13"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Min; Max</w:t>
            </w:r>
          </w:p>
        </w:tc>
        <w:tc>
          <w:tcPr>
            <w:tcW w:w="1608" w:type="dxa"/>
            <w:hideMark/>
          </w:tcPr>
          <w:p w14:paraId="20F1BA0B" w14:textId="4506AC13"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-34</w:t>
            </w:r>
            <w:r w:rsidR="0028524A" w:rsidRPr="00CB6AFC">
              <w:rPr>
                <w:rFonts w:eastAsia="Calibri"/>
                <w:sz w:val="22"/>
                <w:szCs w:val="22"/>
                <w:lang w:val="sr-Latn-ME" w:eastAsia="en-NZ"/>
              </w:rPr>
              <w:t>.</w:t>
            </w:r>
            <w:r w:rsidRPr="00CB6AFC">
              <w:rPr>
                <w:rFonts w:eastAsia="Calibri"/>
                <w:sz w:val="22"/>
                <w:szCs w:val="22"/>
                <w:lang w:val="sr-Latn-ME" w:eastAsia="en-NZ"/>
              </w:rPr>
              <w:t>08 ; 74</w:t>
            </w:r>
            <w:r w:rsidR="0028524A" w:rsidRPr="00CB6AFC">
              <w:rPr>
                <w:rFonts w:eastAsia="Calibri"/>
                <w:sz w:val="22"/>
                <w:szCs w:val="22"/>
                <w:lang w:val="sr-Latn-ME" w:eastAsia="en-NZ"/>
              </w:rPr>
              <w:t>.</w:t>
            </w:r>
            <w:r w:rsidRPr="00CB6AFC">
              <w:rPr>
                <w:rFonts w:eastAsia="Calibri"/>
                <w:sz w:val="22"/>
                <w:szCs w:val="22"/>
                <w:lang w:val="sr-Latn-ME" w:eastAsia="en-NZ"/>
              </w:rPr>
              <w:t>17</w:t>
            </w:r>
          </w:p>
        </w:tc>
        <w:tc>
          <w:tcPr>
            <w:tcW w:w="1608" w:type="dxa"/>
            <w:hideMark/>
          </w:tcPr>
          <w:p w14:paraId="747AF2A9" w14:textId="349C6210"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-30</w:t>
            </w:r>
            <w:r w:rsidR="0028524A" w:rsidRPr="00CB6AFC">
              <w:rPr>
                <w:rFonts w:eastAsia="Calibri"/>
                <w:sz w:val="22"/>
                <w:szCs w:val="22"/>
                <w:lang w:val="sr-Latn-ME" w:eastAsia="en-NZ"/>
              </w:rPr>
              <w:t>.</w:t>
            </w:r>
            <w:r w:rsidRPr="00CB6AFC">
              <w:rPr>
                <w:rFonts w:eastAsia="Calibri"/>
                <w:sz w:val="22"/>
                <w:szCs w:val="22"/>
                <w:lang w:val="sr-Latn-ME" w:eastAsia="en-NZ"/>
              </w:rPr>
              <w:t>68 ; 79</w:t>
            </w:r>
            <w:r w:rsidR="0028524A" w:rsidRPr="00CB6AFC">
              <w:rPr>
                <w:rFonts w:eastAsia="Calibri"/>
                <w:sz w:val="22"/>
                <w:szCs w:val="22"/>
                <w:lang w:val="sr-Latn-ME" w:eastAsia="en-NZ"/>
              </w:rPr>
              <w:t>.</w:t>
            </w:r>
            <w:r w:rsidRPr="00CB6AFC">
              <w:rPr>
                <w:rFonts w:eastAsia="Calibri"/>
                <w:sz w:val="22"/>
                <w:szCs w:val="22"/>
                <w:lang w:val="sr-Latn-ME" w:eastAsia="en-NZ"/>
              </w:rPr>
              <w:t>98</w:t>
            </w:r>
          </w:p>
        </w:tc>
        <w:tc>
          <w:tcPr>
            <w:tcW w:w="1608" w:type="dxa"/>
            <w:hideMark/>
          </w:tcPr>
          <w:p w14:paraId="2BBC4637" w14:textId="1277C100"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-26</w:t>
            </w:r>
            <w:r w:rsidR="0028524A" w:rsidRPr="00CB6AFC">
              <w:rPr>
                <w:rFonts w:eastAsia="Calibri"/>
                <w:sz w:val="22"/>
                <w:szCs w:val="22"/>
                <w:lang w:val="sr-Latn-ME" w:eastAsia="en-NZ"/>
              </w:rPr>
              <w:t>.</w:t>
            </w:r>
            <w:r w:rsidRPr="00CB6AFC">
              <w:rPr>
                <w:rFonts w:eastAsia="Calibri"/>
                <w:sz w:val="22"/>
                <w:szCs w:val="22"/>
                <w:lang w:val="sr-Latn-ME" w:eastAsia="en-NZ"/>
              </w:rPr>
              <w:t>78 ; 65</w:t>
            </w:r>
            <w:r w:rsidR="0028524A" w:rsidRPr="00CB6AFC">
              <w:rPr>
                <w:rFonts w:eastAsia="Calibri"/>
                <w:sz w:val="22"/>
                <w:szCs w:val="22"/>
                <w:lang w:val="sr-Latn-ME" w:eastAsia="en-NZ"/>
              </w:rPr>
              <w:t>.</w:t>
            </w:r>
            <w:r w:rsidRPr="00CB6AFC">
              <w:rPr>
                <w:rFonts w:eastAsia="Calibri"/>
                <w:sz w:val="22"/>
                <w:szCs w:val="22"/>
                <w:lang w:val="sr-Latn-ME" w:eastAsia="en-NZ"/>
              </w:rPr>
              <w:t>43</w:t>
            </w:r>
          </w:p>
        </w:tc>
        <w:tc>
          <w:tcPr>
            <w:tcW w:w="1608" w:type="dxa"/>
            <w:hideMark/>
          </w:tcPr>
          <w:p w14:paraId="70DE7987" w14:textId="3BA914C9" w:rsidR="009F09E6" w:rsidRPr="00CB6AFC" w:rsidRDefault="009F09E6" w:rsidP="002D619D">
            <w:pPr>
              <w:spacing w:before="40" w:after="40" w:line="259" w:lineRule="auto"/>
              <w:jc w:val="both"/>
              <w:rPr>
                <w:rFonts w:eastAsia="Calibri"/>
                <w:sz w:val="22"/>
                <w:szCs w:val="22"/>
                <w:lang w:val="sr-Latn-ME" w:eastAsia="en-NZ"/>
              </w:rPr>
            </w:pPr>
            <w:r w:rsidRPr="00CB6AFC">
              <w:rPr>
                <w:rFonts w:eastAsia="Calibri"/>
                <w:sz w:val="22"/>
                <w:szCs w:val="22"/>
                <w:lang w:val="sr-Latn-ME" w:eastAsia="en-NZ"/>
              </w:rPr>
              <w:t>-22</w:t>
            </w:r>
            <w:r w:rsidR="0028524A" w:rsidRPr="00CB6AFC">
              <w:rPr>
                <w:rFonts w:eastAsia="Calibri"/>
                <w:sz w:val="22"/>
                <w:szCs w:val="22"/>
                <w:lang w:val="sr-Latn-ME" w:eastAsia="en-NZ"/>
              </w:rPr>
              <w:t>.</w:t>
            </w:r>
            <w:r w:rsidRPr="00CB6AFC">
              <w:rPr>
                <w:rFonts w:eastAsia="Calibri"/>
                <w:sz w:val="22"/>
                <w:szCs w:val="22"/>
                <w:lang w:val="sr-Latn-ME" w:eastAsia="en-NZ"/>
              </w:rPr>
              <w:t>42 ; 47</w:t>
            </w:r>
            <w:r w:rsidR="0028524A" w:rsidRPr="00CB6AFC">
              <w:rPr>
                <w:rFonts w:eastAsia="Calibri"/>
                <w:sz w:val="22"/>
                <w:szCs w:val="22"/>
                <w:lang w:val="sr-Latn-ME" w:eastAsia="en-NZ"/>
              </w:rPr>
              <w:t>.</w:t>
            </w:r>
            <w:r w:rsidRPr="00CB6AFC">
              <w:rPr>
                <w:rFonts w:eastAsia="Calibri"/>
                <w:sz w:val="22"/>
                <w:szCs w:val="22"/>
                <w:lang w:val="sr-Latn-ME" w:eastAsia="en-NZ"/>
              </w:rPr>
              <w:t>50</w:t>
            </w:r>
          </w:p>
        </w:tc>
      </w:tr>
      <w:tr w:rsidR="009F09E6" w:rsidRPr="00CB6AFC" w14:paraId="4D3EB40E" w14:textId="77777777" w:rsidTr="00ED4B2E">
        <w:trPr>
          <w:trHeight w:val="278"/>
        </w:trPr>
        <w:tc>
          <w:tcPr>
            <w:tcW w:w="2689" w:type="dxa"/>
            <w:hideMark/>
          </w:tcPr>
          <w:p w14:paraId="09E9D2D7" w14:textId="77777777"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Prosječna vrijednost (SE)</w:t>
            </w:r>
          </w:p>
        </w:tc>
        <w:tc>
          <w:tcPr>
            <w:tcW w:w="1608" w:type="dxa"/>
            <w:hideMark/>
          </w:tcPr>
          <w:p w14:paraId="6A4A4730" w14:textId="08234BB9"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23</w:t>
            </w:r>
            <w:r w:rsidR="0028524A" w:rsidRPr="00CB6AFC">
              <w:rPr>
                <w:rFonts w:eastAsia="Calibri"/>
                <w:sz w:val="22"/>
                <w:szCs w:val="22"/>
                <w:lang w:val="sr-Latn-ME" w:eastAsia="en-NZ"/>
              </w:rPr>
              <w:t>.</w:t>
            </w:r>
            <w:r w:rsidRPr="00CB6AFC">
              <w:rPr>
                <w:rFonts w:eastAsia="Calibri"/>
                <w:sz w:val="22"/>
                <w:szCs w:val="22"/>
                <w:lang w:val="sr-Latn-ME" w:eastAsia="en-NZ"/>
              </w:rPr>
              <w:t>41 (2</w:t>
            </w:r>
            <w:r w:rsidR="00D27759" w:rsidRPr="00CB6AFC">
              <w:rPr>
                <w:rFonts w:eastAsia="Calibri"/>
                <w:sz w:val="22"/>
                <w:szCs w:val="22"/>
                <w:lang w:val="sr-Latn-ME" w:eastAsia="en-NZ"/>
              </w:rPr>
              <w:t>.</w:t>
            </w:r>
            <w:r w:rsidRPr="00CB6AFC">
              <w:rPr>
                <w:rFonts w:eastAsia="Calibri"/>
                <w:sz w:val="22"/>
                <w:szCs w:val="22"/>
                <w:lang w:val="sr-Latn-ME" w:eastAsia="en-NZ"/>
              </w:rPr>
              <w:t>50)</w:t>
            </w:r>
          </w:p>
        </w:tc>
        <w:tc>
          <w:tcPr>
            <w:tcW w:w="1608" w:type="dxa"/>
            <w:hideMark/>
          </w:tcPr>
          <w:p w14:paraId="3E99E869" w14:textId="65CC90D0"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9</w:t>
            </w:r>
            <w:r w:rsidR="0028524A" w:rsidRPr="00CB6AFC">
              <w:rPr>
                <w:rFonts w:eastAsia="Calibri"/>
                <w:sz w:val="22"/>
                <w:szCs w:val="22"/>
                <w:lang w:val="sr-Latn-ME" w:eastAsia="en-NZ"/>
              </w:rPr>
              <w:t>.</w:t>
            </w:r>
            <w:r w:rsidRPr="00CB6AFC">
              <w:rPr>
                <w:rFonts w:eastAsia="Calibri"/>
                <w:sz w:val="22"/>
                <w:szCs w:val="22"/>
                <w:lang w:val="sr-Latn-ME" w:eastAsia="en-NZ"/>
              </w:rPr>
              <w:t>51 (2</w:t>
            </w:r>
            <w:r w:rsidR="0028524A" w:rsidRPr="00CB6AFC">
              <w:rPr>
                <w:rFonts w:eastAsia="Calibri"/>
                <w:sz w:val="22"/>
                <w:szCs w:val="22"/>
                <w:lang w:val="sr-Latn-ME" w:eastAsia="en-NZ"/>
              </w:rPr>
              <w:t>.</w:t>
            </w:r>
            <w:r w:rsidRPr="00CB6AFC">
              <w:rPr>
                <w:rFonts w:eastAsia="Calibri"/>
                <w:sz w:val="22"/>
                <w:szCs w:val="22"/>
                <w:lang w:val="sr-Latn-ME" w:eastAsia="en-NZ"/>
              </w:rPr>
              <w:t>49)</w:t>
            </w:r>
          </w:p>
        </w:tc>
        <w:tc>
          <w:tcPr>
            <w:tcW w:w="1608" w:type="dxa"/>
            <w:hideMark/>
          </w:tcPr>
          <w:p w14:paraId="3175D42B" w14:textId="69F57D5C"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10</w:t>
            </w:r>
            <w:r w:rsidR="0028524A" w:rsidRPr="00CB6AFC">
              <w:rPr>
                <w:rFonts w:eastAsia="Calibri"/>
                <w:sz w:val="22"/>
                <w:szCs w:val="22"/>
                <w:lang w:val="sr-Latn-ME" w:eastAsia="en-NZ"/>
              </w:rPr>
              <w:t>.</w:t>
            </w:r>
            <w:r w:rsidRPr="00CB6AFC">
              <w:rPr>
                <w:rFonts w:eastAsia="Calibri"/>
                <w:sz w:val="22"/>
                <w:szCs w:val="22"/>
                <w:lang w:val="sr-Latn-ME" w:eastAsia="en-NZ"/>
              </w:rPr>
              <w:t>42 (2</w:t>
            </w:r>
            <w:r w:rsidR="0028524A" w:rsidRPr="00CB6AFC">
              <w:rPr>
                <w:rFonts w:eastAsia="Calibri"/>
                <w:sz w:val="22"/>
                <w:szCs w:val="22"/>
                <w:lang w:val="sr-Latn-ME" w:eastAsia="en-NZ"/>
              </w:rPr>
              <w:t>.</w:t>
            </w:r>
            <w:r w:rsidRPr="00CB6AFC">
              <w:rPr>
                <w:rFonts w:eastAsia="Calibri"/>
                <w:sz w:val="22"/>
                <w:szCs w:val="22"/>
                <w:lang w:val="sr-Latn-ME" w:eastAsia="en-NZ"/>
              </w:rPr>
              <w:t>50)</w:t>
            </w:r>
          </w:p>
        </w:tc>
        <w:tc>
          <w:tcPr>
            <w:tcW w:w="1608" w:type="dxa"/>
            <w:hideMark/>
          </w:tcPr>
          <w:p w14:paraId="10594F2A" w14:textId="1CC717F1" w:rsidR="009F09E6" w:rsidRPr="00CB6AFC" w:rsidRDefault="009F09E6" w:rsidP="002D619D">
            <w:pPr>
              <w:spacing w:before="40" w:after="40" w:line="259" w:lineRule="auto"/>
              <w:jc w:val="both"/>
              <w:rPr>
                <w:rFonts w:eastAsia="Calibri"/>
                <w:sz w:val="22"/>
                <w:szCs w:val="22"/>
                <w:lang w:val="sr-Latn-ME" w:eastAsia="en-NZ"/>
              </w:rPr>
            </w:pPr>
            <w:r w:rsidRPr="00CB6AFC">
              <w:rPr>
                <w:rFonts w:eastAsia="Calibri"/>
                <w:sz w:val="22"/>
                <w:szCs w:val="22"/>
                <w:lang w:val="sr-Latn-ME" w:eastAsia="en-NZ"/>
              </w:rPr>
              <w:t>-1</w:t>
            </w:r>
            <w:r w:rsidR="0028524A" w:rsidRPr="00CB6AFC">
              <w:rPr>
                <w:rFonts w:eastAsia="Calibri"/>
                <w:sz w:val="22"/>
                <w:szCs w:val="22"/>
                <w:lang w:val="sr-Latn-ME" w:eastAsia="en-NZ"/>
              </w:rPr>
              <w:t>.</w:t>
            </w:r>
            <w:r w:rsidRPr="00CB6AFC">
              <w:rPr>
                <w:rFonts w:eastAsia="Calibri"/>
                <w:sz w:val="22"/>
                <w:szCs w:val="22"/>
                <w:lang w:val="sr-Latn-ME" w:eastAsia="en-NZ"/>
              </w:rPr>
              <w:t>30 (3</w:t>
            </w:r>
            <w:r w:rsidR="0028524A" w:rsidRPr="00CB6AFC">
              <w:rPr>
                <w:rFonts w:eastAsia="Calibri"/>
                <w:sz w:val="22"/>
                <w:szCs w:val="22"/>
                <w:lang w:val="sr-Latn-ME" w:eastAsia="en-NZ"/>
              </w:rPr>
              <w:t>.</w:t>
            </w:r>
            <w:r w:rsidRPr="00CB6AFC">
              <w:rPr>
                <w:rFonts w:eastAsia="Calibri"/>
                <w:sz w:val="22"/>
                <w:szCs w:val="22"/>
                <w:lang w:val="sr-Latn-ME" w:eastAsia="en-NZ"/>
              </w:rPr>
              <w:t>07)</w:t>
            </w:r>
          </w:p>
        </w:tc>
      </w:tr>
      <w:tr w:rsidR="009F09E6" w:rsidRPr="00CB6AFC" w14:paraId="358A6878" w14:textId="77777777" w:rsidTr="00ED4B2E">
        <w:trPr>
          <w:trHeight w:val="278"/>
        </w:trPr>
        <w:tc>
          <w:tcPr>
            <w:tcW w:w="2689" w:type="dxa"/>
            <w:hideMark/>
          </w:tcPr>
          <w:p w14:paraId="798E66F5" w14:textId="77777777" w:rsidR="009F09E6" w:rsidRPr="00CB6AFC" w:rsidRDefault="009F09E6" w:rsidP="00B60D99">
            <w:pPr>
              <w:spacing w:before="40" w:after="40" w:line="259" w:lineRule="auto"/>
              <w:ind w:left="180" w:hanging="180"/>
              <w:rPr>
                <w:rFonts w:eastAsia="Calibri"/>
                <w:sz w:val="22"/>
                <w:szCs w:val="22"/>
                <w:lang w:val="sr-Latn-ME" w:eastAsia="en-NZ"/>
              </w:rPr>
            </w:pPr>
            <w:r w:rsidRPr="00CB6AFC">
              <w:rPr>
                <w:rFonts w:eastAsia="Calibri"/>
                <w:sz w:val="22"/>
                <w:szCs w:val="22"/>
                <w:lang w:val="sr-Latn-ME" w:eastAsia="en-NZ"/>
              </w:rPr>
              <w:t>95%-tni interval pouzdanosti</w:t>
            </w:r>
          </w:p>
        </w:tc>
        <w:tc>
          <w:tcPr>
            <w:tcW w:w="1608" w:type="dxa"/>
            <w:hideMark/>
          </w:tcPr>
          <w:p w14:paraId="6710B817" w14:textId="7A1B8331"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18</w:t>
            </w:r>
            <w:r w:rsidR="0028524A" w:rsidRPr="00CB6AFC">
              <w:rPr>
                <w:rFonts w:eastAsia="Calibri"/>
                <w:sz w:val="22"/>
                <w:szCs w:val="22"/>
                <w:lang w:val="sr-Latn-ME" w:eastAsia="en-NZ"/>
              </w:rPr>
              <w:t>.</w:t>
            </w:r>
            <w:r w:rsidRPr="00CB6AFC">
              <w:rPr>
                <w:rFonts w:eastAsia="Calibri"/>
                <w:sz w:val="22"/>
                <w:szCs w:val="22"/>
                <w:lang w:val="sr-Latn-ME" w:eastAsia="en-NZ"/>
              </w:rPr>
              <w:t>48 ; 28</w:t>
            </w:r>
            <w:r w:rsidR="0028524A" w:rsidRPr="00CB6AFC">
              <w:rPr>
                <w:rFonts w:eastAsia="Calibri"/>
                <w:sz w:val="22"/>
                <w:szCs w:val="22"/>
                <w:lang w:val="sr-Latn-ME" w:eastAsia="en-NZ"/>
              </w:rPr>
              <w:t>.</w:t>
            </w:r>
            <w:r w:rsidRPr="00CB6AFC">
              <w:rPr>
                <w:rFonts w:eastAsia="Calibri"/>
                <w:sz w:val="22"/>
                <w:szCs w:val="22"/>
                <w:lang w:val="sr-Latn-ME" w:eastAsia="en-NZ"/>
              </w:rPr>
              <w:t>34</w:t>
            </w:r>
          </w:p>
        </w:tc>
        <w:tc>
          <w:tcPr>
            <w:tcW w:w="1608" w:type="dxa"/>
            <w:hideMark/>
          </w:tcPr>
          <w:p w14:paraId="07734A90" w14:textId="620E53E7"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4</w:t>
            </w:r>
            <w:r w:rsidR="0028524A" w:rsidRPr="00CB6AFC">
              <w:rPr>
                <w:rFonts w:eastAsia="Calibri"/>
                <w:sz w:val="22"/>
                <w:szCs w:val="22"/>
                <w:lang w:val="sr-Latn-ME" w:eastAsia="en-NZ"/>
              </w:rPr>
              <w:t>.</w:t>
            </w:r>
            <w:r w:rsidRPr="00CB6AFC">
              <w:rPr>
                <w:rFonts w:eastAsia="Calibri"/>
                <w:sz w:val="22"/>
                <w:szCs w:val="22"/>
                <w:lang w:val="sr-Latn-ME" w:eastAsia="en-NZ"/>
              </w:rPr>
              <w:t>61 ; 14</w:t>
            </w:r>
            <w:r w:rsidR="0028524A" w:rsidRPr="00CB6AFC">
              <w:rPr>
                <w:rFonts w:eastAsia="Calibri"/>
                <w:sz w:val="22"/>
                <w:szCs w:val="22"/>
                <w:lang w:val="sr-Latn-ME" w:eastAsia="en-NZ"/>
              </w:rPr>
              <w:t>.</w:t>
            </w:r>
            <w:r w:rsidRPr="00CB6AFC">
              <w:rPr>
                <w:rFonts w:eastAsia="Calibri"/>
                <w:sz w:val="22"/>
                <w:szCs w:val="22"/>
                <w:lang w:val="sr-Latn-ME" w:eastAsia="en-NZ"/>
              </w:rPr>
              <w:t>40</w:t>
            </w:r>
          </w:p>
        </w:tc>
        <w:tc>
          <w:tcPr>
            <w:tcW w:w="1608" w:type="dxa"/>
            <w:hideMark/>
          </w:tcPr>
          <w:p w14:paraId="6D00219E" w14:textId="0752CABA"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5</w:t>
            </w:r>
            <w:r w:rsidR="0028524A" w:rsidRPr="00CB6AFC">
              <w:rPr>
                <w:rFonts w:eastAsia="Calibri"/>
                <w:sz w:val="22"/>
                <w:szCs w:val="22"/>
                <w:lang w:val="sr-Latn-ME" w:eastAsia="en-NZ"/>
              </w:rPr>
              <w:t>.</w:t>
            </w:r>
            <w:r w:rsidRPr="00CB6AFC">
              <w:rPr>
                <w:rFonts w:eastAsia="Calibri"/>
                <w:sz w:val="22"/>
                <w:szCs w:val="22"/>
                <w:lang w:val="sr-Latn-ME" w:eastAsia="en-NZ"/>
              </w:rPr>
              <w:t>49 ; 15</w:t>
            </w:r>
            <w:r w:rsidR="0028524A" w:rsidRPr="00CB6AFC">
              <w:rPr>
                <w:rFonts w:eastAsia="Calibri"/>
                <w:sz w:val="22"/>
                <w:szCs w:val="22"/>
                <w:lang w:val="sr-Latn-ME" w:eastAsia="en-NZ"/>
              </w:rPr>
              <w:t>.</w:t>
            </w:r>
            <w:r w:rsidRPr="00CB6AFC">
              <w:rPr>
                <w:rFonts w:eastAsia="Calibri"/>
                <w:sz w:val="22"/>
                <w:szCs w:val="22"/>
                <w:lang w:val="sr-Latn-ME" w:eastAsia="en-NZ"/>
              </w:rPr>
              <w:t>35</w:t>
            </w:r>
          </w:p>
        </w:tc>
        <w:tc>
          <w:tcPr>
            <w:tcW w:w="1608" w:type="dxa"/>
            <w:hideMark/>
          </w:tcPr>
          <w:p w14:paraId="3916AA27" w14:textId="131706AA" w:rsidR="009F09E6" w:rsidRPr="00CB6AFC" w:rsidRDefault="009F09E6" w:rsidP="002D619D">
            <w:pPr>
              <w:spacing w:before="40" w:after="40" w:line="259" w:lineRule="auto"/>
              <w:jc w:val="both"/>
              <w:rPr>
                <w:rFonts w:eastAsia="Calibri"/>
                <w:sz w:val="22"/>
                <w:szCs w:val="22"/>
                <w:lang w:val="sr-Latn-ME" w:eastAsia="en-NZ"/>
              </w:rPr>
            </w:pPr>
            <w:r w:rsidRPr="00CB6AFC">
              <w:rPr>
                <w:rFonts w:eastAsia="Calibri"/>
                <w:sz w:val="22"/>
                <w:szCs w:val="22"/>
                <w:lang w:val="sr-Latn-ME" w:eastAsia="en-NZ"/>
              </w:rPr>
              <w:t>-7</w:t>
            </w:r>
            <w:r w:rsidR="0028524A" w:rsidRPr="00CB6AFC">
              <w:rPr>
                <w:rFonts w:eastAsia="Calibri"/>
                <w:sz w:val="22"/>
                <w:szCs w:val="22"/>
                <w:lang w:val="sr-Latn-ME" w:eastAsia="en-NZ"/>
              </w:rPr>
              <w:t>.</w:t>
            </w:r>
            <w:r w:rsidRPr="00CB6AFC">
              <w:rPr>
                <w:rFonts w:eastAsia="Calibri"/>
                <w:sz w:val="22"/>
                <w:szCs w:val="22"/>
                <w:lang w:val="sr-Latn-ME" w:eastAsia="en-NZ"/>
              </w:rPr>
              <w:t>33 ; 4</w:t>
            </w:r>
            <w:r w:rsidR="0028524A" w:rsidRPr="00CB6AFC">
              <w:rPr>
                <w:rFonts w:eastAsia="Calibri"/>
                <w:sz w:val="22"/>
                <w:szCs w:val="22"/>
                <w:lang w:val="sr-Latn-ME" w:eastAsia="en-NZ"/>
              </w:rPr>
              <w:t>.</w:t>
            </w:r>
            <w:r w:rsidRPr="00CB6AFC">
              <w:rPr>
                <w:rFonts w:eastAsia="Calibri"/>
                <w:sz w:val="22"/>
                <w:szCs w:val="22"/>
                <w:lang w:val="sr-Latn-ME" w:eastAsia="en-NZ"/>
              </w:rPr>
              <w:t>74</w:t>
            </w:r>
          </w:p>
        </w:tc>
      </w:tr>
      <w:tr w:rsidR="009F09E6" w:rsidRPr="00CB6AFC" w14:paraId="372864A8" w14:textId="77777777" w:rsidTr="00ED4B2E">
        <w:trPr>
          <w:trHeight w:val="278"/>
        </w:trPr>
        <w:tc>
          <w:tcPr>
            <w:tcW w:w="2689" w:type="dxa"/>
            <w:hideMark/>
          </w:tcPr>
          <w:p w14:paraId="19D69651" w14:textId="756767BE"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Procijen</w:t>
            </w:r>
            <w:r w:rsidR="0028524A" w:rsidRPr="00CB6AFC">
              <w:rPr>
                <w:rFonts w:eastAsia="Calibri"/>
                <w:sz w:val="22"/>
                <w:szCs w:val="22"/>
                <w:lang w:val="sr-Latn-ME" w:eastAsia="en-NZ"/>
              </w:rPr>
              <w:t>a rizika</w:t>
            </w:r>
            <w:r w:rsidRPr="00CB6AFC">
              <w:rPr>
                <w:rFonts w:eastAsia="Calibri"/>
                <w:sz w:val="22"/>
                <w:szCs w:val="22"/>
                <w:lang w:val="sr-Latn-ME" w:eastAsia="en-NZ"/>
              </w:rPr>
              <w:t> (SE)</w:t>
            </w:r>
          </w:p>
        </w:tc>
        <w:tc>
          <w:tcPr>
            <w:tcW w:w="1608" w:type="dxa"/>
            <w:hideMark/>
          </w:tcPr>
          <w:p w14:paraId="58516948" w14:textId="77777777"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w:t>
            </w:r>
          </w:p>
        </w:tc>
        <w:tc>
          <w:tcPr>
            <w:tcW w:w="1608" w:type="dxa"/>
            <w:hideMark/>
          </w:tcPr>
          <w:p w14:paraId="4640D06A" w14:textId="00098ECE"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13</w:t>
            </w:r>
            <w:r w:rsidR="0028524A" w:rsidRPr="00CB6AFC">
              <w:rPr>
                <w:rFonts w:eastAsia="Calibri"/>
                <w:sz w:val="22"/>
                <w:szCs w:val="22"/>
                <w:lang w:val="sr-Latn-ME" w:eastAsia="en-NZ"/>
              </w:rPr>
              <w:t>.</w:t>
            </w:r>
            <w:r w:rsidRPr="00CB6AFC">
              <w:rPr>
                <w:rFonts w:eastAsia="Calibri"/>
                <w:sz w:val="22"/>
                <w:szCs w:val="22"/>
                <w:lang w:val="sr-Latn-ME" w:eastAsia="en-NZ"/>
              </w:rPr>
              <w:t>90 (3</w:t>
            </w:r>
            <w:r w:rsidR="0028524A" w:rsidRPr="00CB6AFC">
              <w:rPr>
                <w:rFonts w:eastAsia="Calibri"/>
                <w:sz w:val="22"/>
                <w:szCs w:val="22"/>
                <w:lang w:val="sr-Latn-ME" w:eastAsia="en-NZ"/>
              </w:rPr>
              <w:t>.</w:t>
            </w:r>
            <w:r w:rsidRPr="00CB6AFC">
              <w:rPr>
                <w:rFonts w:eastAsia="Calibri"/>
                <w:sz w:val="22"/>
                <w:szCs w:val="22"/>
                <w:lang w:val="sr-Latn-ME" w:eastAsia="en-NZ"/>
              </w:rPr>
              <w:t>53)</w:t>
            </w:r>
          </w:p>
        </w:tc>
        <w:tc>
          <w:tcPr>
            <w:tcW w:w="1608" w:type="dxa"/>
            <w:hideMark/>
          </w:tcPr>
          <w:p w14:paraId="3F884381" w14:textId="761DD732"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12</w:t>
            </w:r>
            <w:r w:rsidR="0028524A" w:rsidRPr="00CB6AFC">
              <w:rPr>
                <w:rFonts w:eastAsia="Calibri"/>
                <w:sz w:val="22"/>
                <w:szCs w:val="22"/>
                <w:lang w:val="sr-Latn-ME" w:eastAsia="en-NZ"/>
              </w:rPr>
              <w:t>.</w:t>
            </w:r>
            <w:r w:rsidRPr="00CB6AFC">
              <w:rPr>
                <w:rFonts w:eastAsia="Calibri"/>
                <w:sz w:val="22"/>
                <w:szCs w:val="22"/>
                <w:lang w:val="sr-Latn-ME" w:eastAsia="en-NZ"/>
              </w:rPr>
              <w:t>99 (3</w:t>
            </w:r>
            <w:r w:rsidR="0028524A" w:rsidRPr="00CB6AFC">
              <w:rPr>
                <w:rFonts w:eastAsia="Calibri"/>
                <w:sz w:val="22"/>
                <w:szCs w:val="22"/>
                <w:lang w:val="sr-Latn-ME" w:eastAsia="en-NZ"/>
              </w:rPr>
              <w:t>.</w:t>
            </w:r>
            <w:r w:rsidRPr="00CB6AFC">
              <w:rPr>
                <w:rFonts w:eastAsia="Calibri"/>
                <w:sz w:val="22"/>
                <w:szCs w:val="22"/>
                <w:lang w:val="sr-Latn-ME" w:eastAsia="en-NZ"/>
              </w:rPr>
              <w:t>54)</w:t>
            </w:r>
          </w:p>
        </w:tc>
        <w:tc>
          <w:tcPr>
            <w:tcW w:w="1608" w:type="dxa"/>
            <w:hideMark/>
          </w:tcPr>
          <w:p w14:paraId="69929343" w14:textId="266DC2C2" w:rsidR="009F09E6" w:rsidRPr="00CB6AFC" w:rsidRDefault="009F09E6" w:rsidP="002D619D">
            <w:pPr>
              <w:spacing w:before="40" w:after="40" w:line="259" w:lineRule="auto"/>
              <w:jc w:val="both"/>
              <w:rPr>
                <w:rFonts w:eastAsia="Calibri"/>
                <w:sz w:val="22"/>
                <w:szCs w:val="22"/>
                <w:lang w:val="sr-Latn-ME" w:eastAsia="en-NZ"/>
              </w:rPr>
            </w:pPr>
            <w:r w:rsidRPr="00CB6AFC">
              <w:rPr>
                <w:rFonts w:eastAsia="Calibri"/>
                <w:sz w:val="22"/>
                <w:szCs w:val="22"/>
                <w:lang w:val="sr-Latn-ME" w:eastAsia="en-NZ"/>
              </w:rPr>
              <w:t>24</w:t>
            </w:r>
            <w:r w:rsidR="0028524A" w:rsidRPr="00CB6AFC">
              <w:rPr>
                <w:rFonts w:eastAsia="Calibri"/>
                <w:sz w:val="22"/>
                <w:szCs w:val="22"/>
                <w:lang w:val="sr-Latn-ME" w:eastAsia="en-NZ"/>
              </w:rPr>
              <w:t>.</w:t>
            </w:r>
            <w:r w:rsidRPr="00CB6AFC">
              <w:rPr>
                <w:rFonts w:eastAsia="Calibri"/>
                <w:sz w:val="22"/>
                <w:szCs w:val="22"/>
                <w:lang w:val="sr-Latn-ME" w:eastAsia="en-NZ"/>
              </w:rPr>
              <w:t>71 (3</w:t>
            </w:r>
            <w:r w:rsidR="0028524A" w:rsidRPr="00CB6AFC">
              <w:rPr>
                <w:rFonts w:eastAsia="Calibri"/>
                <w:sz w:val="22"/>
                <w:szCs w:val="22"/>
                <w:lang w:val="sr-Latn-ME" w:eastAsia="en-NZ"/>
              </w:rPr>
              <w:t>.</w:t>
            </w:r>
            <w:r w:rsidRPr="00CB6AFC">
              <w:rPr>
                <w:rFonts w:eastAsia="Calibri"/>
                <w:sz w:val="22"/>
                <w:szCs w:val="22"/>
                <w:lang w:val="sr-Latn-ME" w:eastAsia="en-NZ"/>
              </w:rPr>
              <w:t>96)</w:t>
            </w:r>
          </w:p>
        </w:tc>
      </w:tr>
      <w:tr w:rsidR="009F09E6" w:rsidRPr="00CB6AFC" w14:paraId="7A4CF466" w14:textId="77777777" w:rsidTr="00ED4B2E">
        <w:trPr>
          <w:trHeight w:val="278"/>
        </w:trPr>
        <w:tc>
          <w:tcPr>
            <w:tcW w:w="2689" w:type="dxa"/>
            <w:hideMark/>
          </w:tcPr>
          <w:p w14:paraId="23AA496A" w14:textId="77777777" w:rsidR="009F09E6" w:rsidRPr="00CB6AFC" w:rsidRDefault="009F09E6" w:rsidP="00B60D99">
            <w:pPr>
              <w:spacing w:before="40" w:after="40" w:line="259" w:lineRule="auto"/>
              <w:ind w:left="180" w:hanging="180"/>
              <w:rPr>
                <w:rFonts w:eastAsia="Calibri"/>
                <w:sz w:val="22"/>
                <w:szCs w:val="22"/>
                <w:lang w:val="sr-Latn-ME" w:eastAsia="en-NZ"/>
              </w:rPr>
            </w:pPr>
            <w:r w:rsidRPr="00CB6AFC">
              <w:rPr>
                <w:rFonts w:eastAsia="Calibri"/>
                <w:sz w:val="22"/>
                <w:szCs w:val="22"/>
                <w:lang w:val="sr-Latn-ME" w:eastAsia="en-NZ"/>
              </w:rPr>
              <w:t>95%-tni interval pouzdanosti</w:t>
            </w:r>
          </w:p>
        </w:tc>
        <w:tc>
          <w:tcPr>
            <w:tcW w:w="1608" w:type="dxa"/>
            <w:hideMark/>
          </w:tcPr>
          <w:p w14:paraId="56CF2CD1" w14:textId="77777777"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w:t>
            </w:r>
          </w:p>
        </w:tc>
        <w:tc>
          <w:tcPr>
            <w:tcW w:w="1608" w:type="dxa"/>
            <w:hideMark/>
          </w:tcPr>
          <w:p w14:paraId="64F72870" w14:textId="205C35CC"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6</w:t>
            </w:r>
            <w:r w:rsidR="0028524A" w:rsidRPr="00CB6AFC">
              <w:rPr>
                <w:rFonts w:eastAsia="Calibri"/>
                <w:sz w:val="22"/>
                <w:szCs w:val="22"/>
                <w:lang w:val="sr-Latn-ME" w:eastAsia="en-NZ"/>
              </w:rPr>
              <w:t>.</w:t>
            </w:r>
            <w:r w:rsidRPr="00CB6AFC">
              <w:rPr>
                <w:rFonts w:eastAsia="Calibri"/>
                <w:sz w:val="22"/>
                <w:szCs w:val="22"/>
                <w:lang w:val="sr-Latn-ME" w:eastAsia="en-NZ"/>
              </w:rPr>
              <w:t>95 ; 20</w:t>
            </w:r>
            <w:r w:rsidR="0028524A" w:rsidRPr="00CB6AFC">
              <w:rPr>
                <w:rFonts w:eastAsia="Calibri"/>
                <w:sz w:val="22"/>
                <w:szCs w:val="22"/>
                <w:lang w:val="sr-Latn-ME" w:eastAsia="en-NZ"/>
              </w:rPr>
              <w:t>.</w:t>
            </w:r>
            <w:r w:rsidRPr="00CB6AFC">
              <w:rPr>
                <w:rFonts w:eastAsia="Calibri"/>
                <w:sz w:val="22"/>
                <w:szCs w:val="22"/>
                <w:lang w:val="sr-Latn-ME" w:eastAsia="en-NZ"/>
              </w:rPr>
              <w:t>85</w:t>
            </w:r>
          </w:p>
        </w:tc>
        <w:tc>
          <w:tcPr>
            <w:tcW w:w="1608" w:type="dxa"/>
            <w:hideMark/>
          </w:tcPr>
          <w:p w14:paraId="78D73AB5" w14:textId="6D2FB3B2"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6</w:t>
            </w:r>
            <w:r w:rsidR="0028524A" w:rsidRPr="00CB6AFC">
              <w:rPr>
                <w:rFonts w:eastAsia="Calibri"/>
                <w:sz w:val="22"/>
                <w:szCs w:val="22"/>
                <w:lang w:val="sr-Latn-ME" w:eastAsia="en-NZ"/>
              </w:rPr>
              <w:t>.</w:t>
            </w:r>
            <w:r w:rsidRPr="00CB6AFC">
              <w:rPr>
                <w:rFonts w:eastAsia="Calibri"/>
                <w:sz w:val="22"/>
                <w:szCs w:val="22"/>
                <w:lang w:val="sr-Latn-ME" w:eastAsia="en-NZ"/>
              </w:rPr>
              <w:t>02 ; 19</w:t>
            </w:r>
            <w:r w:rsidR="0028524A" w:rsidRPr="00CB6AFC">
              <w:rPr>
                <w:rFonts w:eastAsia="Calibri"/>
                <w:sz w:val="22"/>
                <w:szCs w:val="22"/>
                <w:lang w:val="sr-Latn-ME" w:eastAsia="en-NZ"/>
              </w:rPr>
              <w:t>.</w:t>
            </w:r>
            <w:r w:rsidRPr="00CB6AFC">
              <w:rPr>
                <w:rFonts w:eastAsia="Calibri"/>
                <w:sz w:val="22"/>
                <w:szCs w:val="22"/>
                <w:lang w:val="sr-Latn-ME" w:eastAsia="en-NZ"/>
              </w:rPr>
              <w:t>96</w:t>
            </w:r>
          </w:p>
        </w:tc>
        <w:tc>
          <w:tcPr>
            <w:tcW w:w="1608" w:type="dxa"/>
            <w:hideMark/>
          </w:tcPr>
          <w:p w14:paraId="73F432C7" w14:textId="5886B6BE" w:rsidR="009F09E6" w:rsidRPr="00CB6AFC" w:rsidRDefault="009F09E6" w:rsidP="002D619D">
            <w:pPr>
              <w:spacing w:before="40" w:after="40" w:line="259" w:lineRule="auto"/>
              <w:jc w:val="both"/>
              <w:rPr>
                <w:rFonts w:eastAsia="Calibri"/>
                <w:sz w:val="22"/>
                <w:szCs w:val="22"/>
                <w:lang w:val="sr-Latn-ME" w:eastAsia="en-NZ"/>
              </w:rPr>
            </w:pPr>
            <w:r w:rsidRPr="00CB6AFC">
              <w:rPr>
                <w:rFonts w:eastAsia="Calibri"/>
                <w:sz w:val="22"/>
                <w:szCs w:val="22"/>
                <w:lang w:val="sr-Latn-ME" w:eastAsia="en-NZ"/>
              </w:rPr>
              <w:t>16</w:t>
            </w:r>
            <w:r w:rsidR="0028524A" w:rsidRPr="00CB6AFC">
              <w:rPr>
                <w:rFonts w:eastAsia="Calibri"/>
                <w:sz w:val="22"/>
                <w:szCs w:val="22"/>
                <w:lang w:val="sr-Latn-ME" w:eastAsia="en-NZ"/>
              </w:rPr>
              <w:t>.</w:t>
            </w:r>
            <w:r w:rsidRPr="00CB6AFC">
              <w:rPr>
                <w:rFonts w:eastAsia="Calibri"/>
                <w:sz w:val="22"/>
                <w:szCs w:val="22"/>
                <w:lang w:val="sr-Latn-ME" w:eastAsia="en-NZ"/>
              </w:rPr>
              <w:t>92 ; 32</w:t>
            </w:r>
            <w:r w:rsidR="0028524A" w:rsidRPr="00CB6AFC">
              <w:rPr>
                <w:rFonts w:eastAsia="Calibri"/>
                <w:sz w:val="22"/>
                <w:szCs w:val="22"/>
                <w:lang w:val="sr-Latn-ME" w:eastAsia="en-NZ"/>
              </w:rPr>
              <w:t>.</w:t>
            </w:r>
            <w:r w:rsidRPr="00CB6AFC">
              <w:rPr>
                <w:rFonts w:eastAsia="Calibri"/>
                <w:sz w:val="22"/>
                <w:szCs w:val="22"/>
                <w:lang w:val="sr-Latn-ME" w:eastAsia="en-NZ"/>
              </w:rPr>
              <w:t>5</w:t>
            </w:r>
          </w:p>
        </w:tc>
      </w:tr>
      <w:tr w:rsidR="009F09E6" w:rsidRPr="00CB6AFC" w14:paraId="7211FA2F" w14:textId="77777777" w:rsidTr="00ED4B2E">
        <w:trPr>
          <w:trHeight w:val="262"/>
        </w:trPr>
        <w:tc>
          <w:tcPr>
            <w:tcW w:w="2689" w:type="dxa"/>
            <w:hideMark/>
          </w:tcPr>
          <w:p w14:paraId="7548F3D9" w14:textId="77777777" w:rsidR="009F09E6" w:rsidRPr="00CB6AFC" w:rsidRDefault="009F09E6" w:rsidP="00B60D99">
            <w:pPr>
              <w:spacing w:before="40" w:after="40" w:line="259" w:lineRule="auto"/>
              <w:ind w:left="180"/>
              <w:rPr>
                <w:rFonts w:eastAsia="Calibri"/>
                <w:sz w:val="22"/>
                <w:szCs w:val="22"/>
                <w:lang w:val="sr-Latn-ME" w:eastAsia="en-NZ"/>
              </w:rPr>
            </w:pPr>
            <w:r w:rsidRPr="00CB6AFC">
              <w:rPr>
                <w:rFonts w:eastAsia="Calibri"/>
                <w:sz w:val="22"/>
                <w:szCs w:val="22"/>
                <w:lang w:val="sr-Latn-ME" w:eastAsia="en-NZ"/>
              </w:rPr>
              <w:t>p-vrijednost</w:t>
            </w:r>
          </w:p>
        </w:tc>
        <w:tc>
          <w:tcPr>
            <w:tcW w:w="1608" w:type="dxa"/>
            <w:hideMark/>
          </w:tcPr>
          <w:p w14:paraId="0ABFC359" w14:textId="77777777"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w:t>
            </w:r>
          </w:p>
        </w:tc>
        <w:tc>
          <w:tcPr>
            <w:tcW w:w="1608" w:type="dxa"/>
            <w:hideMark/>
          </w:tcPr>
          <w:p w14:paraId="79B5D604" w14:textId="431D797B"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&lt;0</w:t>
            </w:r>
            <w:r w:rsidR="0028524A" w:rsidRPr="00CB6AFC">
              <w:rPr>
                <w:rFonts w:eastAsia="Calibri"/>
                <w:sz w:val="22"/>
                <w:szCs w:val="22"/>
                <w:lang w:val="sr-Latn-ME" w:eastAsia="en-NZ"/>
              </w:rPr>
              <w:t>.</w:t>
            </w:r>
            <w:r w:rsidRPr="00CB6AFC">
              <w:rPr>
                <w:rFonts w:eastAsia="Calibri"/>
                <w:sz w:val="22"/>
                <w:szCs w:val="22"/>
                <w:lang w:val="sr-Latn-ME" w:eastAsia="en-NZ"/>
              </w:rPr>
              <w:t>001</w:t>
            </w:r>
          </w:p>
        </w:tc>
        <w:tc>
          <w:tcPr>
            <w:tcW w:w="1608" w:type="dxa"/>
            <w:hideMark/>
          </w:tcPr>
          <w:p w14:paraId="4FE0497E" w14:textId="5CCA3115" w:rsidR="009F09E6" w:rsidRPr="00CB6AFC" w:rsidRDefault="009F09E6" w:rsidP="00B60D99">
            <w:pPr>
              <w:spacing w:before="40" w:after="40" w:line="259" w:lineRule="auto"/>
              <w:rPr>
                <w:rFonts w:eastAsia="Calibri"/>
                <w:sz w:val="22"/>
                <w:szCs w:val="22"/>
                <w:lang w:val="sr-Latn-ME" w:eastAsia="en-NZ"/>
              </w:rPr>
            </w:pPr>
            <w:r w:rsidRPr="00CB6AFC">
              <w:rPr>
                <w:rFonts w:eastAsia="Calibri"/>
                <w:sz w:val="22"/>
                <w:szCs w:val="22"/>
                <w:lang w:val="sr-Latn-ME" w:eastAsia="en-NZ"/>
              </w:rPr>
              <w:t>&lt;0</w:t>
            </w:r>
            <w:r w:rsidR="0028524A" w:rsidRPr="00CB6AFC">
              <w:rPr>
                <w:rFonts w:eastAsia="Calibri"/>
                <w:sz w:val="22"/>
                <w:szCs w:val="22"/>
                <w:lang w:val="sr-Latn-ME" w:eastAsia="en-NZ"/>
              </w:rPr>
              <w:t>.</w:t>
            </w:r>
            <w:r w:rsidRPr="00CB6AFC">
              <w:rPr>
                <w:rFonts w:eastAsia="Calibri"/>
                <w:sz w:val="22"/>
                <w:szCs w:val="22"/>
                <w:lang w:val="sr-Latn-ME" w:eastAsia="en-NZ"/>
              </w:rPr>
              <w:t>001</w:t>
            </w:r>
          </w:p>
        </w:tc>
        <w:tc>
          <w:tcPr>
            <w:tcW w:w="1608" w:type="dxa"/>
            <w:hideMark/>
          </w:tcPr>
          <w:p w14:paraId="6A70524B" w14:textId="53C9E4D2" w:rsidR="009F09E6" w:rsidRPr="00CB6AFC" w:rsidRDefault="009F09E6" w:rsidP="002D619D">
            <w:pPr>
              <w:spacing w:before="40" w:after="40" w:line="259" w:lineRule="auto"/>
              <w:jc w:val="both"/>
              <w:rPr>
                <w:rFonts w:eastAsia="Calibri"/>
                <w:sz w:val="22"/>
                <w:szCs w:val="22"/>
                <w:lang w:val="sr-Latn-ME" w:eastAsia="en-NZ"/>
              </w:rPr>
            </w:pPr>
            <w:r w:rsidRPr="00CB6AFC">
              <w:rPr>
                <w:rFonts w:eastAsia="Calibri"/>
                <w:sz w:val="22"/>
                <w:szCs w:val="22"/>
                <w:lang w:val="sr-Latn-ME" w:eastAsia="en-NZ"/>
              </w:rPr>
              <w:t>&lt;0</w:t>
            </w:r>
            <w:r w:rsidR="0028524A" w:rsidRPr="00CB6AFC">
              <w:rPr>
                <w:rFonts w:eastAsia="Calibri"/>
                <w:sz w:val="22"/>
                <w:szCs w:val="22"/>
                <w:lang w:val="sr-Latn-ME" w:eastAsia="en-NZ"/>
              </w:rPr>
              <w:t>.</w:t>
            </w:r>
            <w:r w:rsidRPr="00CB6AFC">
              <w:rPr>
                <w:rFonts w:eastAsia="Calibri"/>
                <w:sz w:val="22"/>
                <w:szCs w:val="22"/>
                <w:lang w:val="sr-Latn-ME" w:eastAsia="en-NZ"/>
              </w:rPr>
              <w:t>001</w:t>
            </w:r>
          </w:p>
        </w:tc>
      </w:tr>
    </w:tbl>
    <w:p w14:paraId="14A41204" w14:textId="77777777" w:rsidR="009F09E6" w:rsidRPr="00CB6AFC" w:rsidRDefault="009F09E6" w:rsidP="002D619D">
      <w:pPr>
        <w:tabs>
          <w:tab w:val="left" w:pos="540"/>
          <w:tab w:val="left" w:pos="569"/>
        </w:tabs>
        <w:jc w:val="both"/>
        <w:rPr>
          <w:b/>
          <w:bCs/>
          <w:sz w:val="22"/>
          <w:szCs w:val="22"/>
          <w:lang w:val="sr-Latn-ME"/>
        </w:rPr>
      </w:pPr>
    </w:p>
    <w:p w14:paraId="6DE8E93A" w14:textId="77777777" w:rsidR="000E368D" w:rsidRPr="00CB6AFC" w:rsidRDefault="000E368D" w:rsidP="002D619D">
      <w:pPr>
        <w:autoSpaceDE w:val="0"/>
        <w:autoSpaceDN w:val="0"/>
        <w:adjustRightInd w:val="0"/>
        <w:jc w:val="both"/>
        <w:rPr>
          <w:b/>
          <w:bCs/>
          <w:sz w:val="22"/>
          <w:szCs w:val="22"/>
          <w:lang w:val="sr-Latn-ME"/>
        </w:rPr>
      </w:pPr>
    </w:p>
    <w:p w14:paraId="3CC73F5B" w14:textId="77777777" w:rsidR="000E368D" w:rsidRPr="00CB6AFC" w:rsidRDefault="000E368D" w:rsidP="002D619D">
      <w:pPr>
        <w:autoSpaceDE w:val="0"/>
        <w:autoSpaceDN w:val="0"/>
        <w:adjustRightInd w:val="0"/>
        <w:jc w:val="both"/>
        <w:rPr>
          <w:b/>
          <w:bCs/>
          <w:sz w:val="22"/>
          <w:szCs w:val="22"/>
          <w:lang w:val="sr-Latn-ME"/>
        </w:rPr>
      </w:pPr>
    </w:p>
    <w:p w14:paraId="344C7630" w14:textId="77777777" w:rsidR="000E368D" w:rsidRPr="00CB6AFC" w:rsidRDefault="000E368D" w:rsidP="002D619D">
      <w:pPr>
        <w:autoSpaceDE w:val="0"/>
        <w:autoSpaceDN w:val="0"/>
        <w:adjustRightInd w:val="0"/>
        <w:jc w:val="both"/>
        <w:rPr>
          <w:b/>
          <w:bCs/>
          <w:sz w:val="22"/>
          <w:szCs w:val="22"/>
          <w:lang w:val="sr-Latn-ME"/>
        </w:rPr>
      </w:pPr>
    </w:p>
    <w:p w14:paraId="5B326914" w14:textId="77777777" w:rsidR="002D619D" w:rsidRPr="00CB6AFC" w:rsidRDefault="002D619D" w:rsidP="002D619D">
      <w:pPr>
        <w:autoSpaceDE w:val="0"/>
        <w:autoSpaceDN w:val="0"/>
        <w:adjustRightInd w:val="0"/>
        <w:jc w:val="both"/>
        <w:rPr>
          <w:b/>
          <w:bCs/>
          <w:sz w:val="22"/>
          <w:szCs w:val="22"/>
          <w:lang w:val="sr-Latn-ME"/>
        </w:rPr>
      </w:pPr>
    </w:p>
    <w:p w14:paraId="773B5446" w14:textId="77777777" w:rsidR="002D619D" w:rsidRPr="00CB6AFC" w:rsidRDefault="002D619D" w:rsidP="002D619D">
      <w:pPr>
        <w:autoSpaceDE w:val="0"/>
        <w:autoSpaceDN w:val="0"/>
        <w:adjustRightInd w:val="0"/>
        <w:jc w:val="both"/>
        <w:rPr>
          <w:b/>
          <w:bCs/>
          <w:sz w:val="22"/>
          <w:szCs w:val="22"/>
          <w:lang w:val="sr-Latn-ME"/>
        </w:rPr>
      </w:pPr>
    </w:p>
    <w:p w14:paraId="048FA44B" w14:textId="77777777" w:rsidR="002D619D" w:rsidRPr="00CB6AFC" w:rsidRDefault="002D619D" w:rsidP="002D619D">
      <w:pPr>
        <w:autoSpaceDE w:val="0"/>
        <w:autoSpaceDN w:val="0"/>
        <w:adjustRightInd w:val="0"/>
        <w:jc w:val="both"/>
        <w:rPr>
          <w:b/>
          <w:bCs/>
          <w:sz w:val="22"/>
          <w:szCs w:val="22"/>
          <w:lang w:val="sr-Latn-ME"/>
        </w:rPr>
      </w:pPr>
    </w:p>
    <w:p w14:paraId="7A6840A1" w14:textId="77777777" w:rsidR="002D619D" w:rsidRPr="00CB6AFC" w:rsidRDefault="002D619D" w:rsidP="002D619D">
      <w:pPr>
        <w:autoSpaceDE w:val="0"/>
        <w:autoSpaceDN w:val="0"/>
        <w:adjustRightInd w:val="0"/>
        <w:jc w:val="both"/>
        <w:rPr>
          <w:b/>
          <w:bCs/>
          <w:sz w:val="22"/>
          <w:szCs w:val="22"/>
          <w:lang w:val="sr-Latn-ME"/>
        </w:rPr>
      </w:pPr>
    </w:p>
    <w:p w14:paraId="4DA3964A" w14:textId="77777777" w:rsidR="002D619D" w:rsidRPr="00CB6AFC" w:rsidRDefault="002D619D" w:rsidP="002D619D">
      <w:pPr>
        <w:autoSpaceDE w:val="0"/>
        <w:autoSpaceDN w:val="0"/>
        <w:adjustRightInd w:val="0"/>
        <w:jc w:val="both"/>
        <w:rPr>
          <w:b/>
          <w:bCs/>
          <w:sz w:val="22"/>
          <w:szCs w:val="22"/>
          <w:lang w:val="sr-Latn-ME"/>
        </w:rPr>
      </w:pPr>
    </w:p>
    <w:p w14:paraId="291079B2" w14:textId="77777777" w:rsidR="002D619D" w:rsidRPr="00CB6AFC" w:rsidRDefault="002D619D" w:rsidP="002D619D">
      <w:pPr>
        <w:autoSpaceDE w:val="0"/>
        <w:autoSpaceDN w:val="0"/>
        <w:adjustRightInd w:val="0"/>
        <w:jc w:val="both"/>
        <w:rPr>
          <w:b/>
          <w:bCs/>
          <w:sz w:val="22"/>
          <w:szCs w:val="22"/>
          <w:lang w:val="sr-Latn-ME"/>
        </w:rPr>
      </w:pPr>
    </w:p>
    <w:p w14:paraId="016ADAA8" w14:textId="77777777" w:rsidR="002D619D" w:rsidRPr="00CB6AFC" w:rsidRDefault="002D619D" w:rsidP="002D619D">
      <w:pPr>
        <w:autoSpaceDE w:val="0"/>
        <w:autoSpaceDN w:val="0"/>
        <w:adjustRightInd w:val="0"/>
        <w:jc w:val="both"/>
        <w:rPr>
          <w:b/>
          <w:bCs/>
          <w:sz w:val="22"/>
          <w:szCs w:val="22"/>
          <w:lang w:val="sr-Latn-ME"/>
        </w:rPr>
      </w:pPr>
    </w:p>
    <w:p w14:paraId="3BF162CC" w14:textId="77777777" w:rsidR="002D619D" w:rsidRPr="00CB6AFC" w:rsidRDefault="002D619D" w:rsidP="002D619D">
      <w:pPr>
        <w:autoSpaceDE w:val="0"/>
        <w:autoSpaceDN w:val="0"/>
        <w:adjustRightInd w:val="0"/>
        <w:jc w:val="both"/>
        <w:rPr>
          <w:b/>
          <w:bCs/>
          <w:sz w:val="22"/>
          <w:szCs w:val="22"/>
          <w:lang w:val="sr-Latn-ME"/>
        </w:rPr>
      </w:pPr>
    </w:p>
    <w:p w14:paraId="50B60191" w14:textId="77777777" w:rsidR="002D619D" w:rsidRPr="00CB6AFC" w:rsidRDefault="002D619D" w:rsidP="002D619D">
      <w:pPr>
        <w:autoSpaceDE w:val="0"/>
        <w:autoSpaceDN w:val="0"/>
        <w:adjustRightInd w:val="0"/>
        <w:jc w:val="both"/>
        <w:rPr>
          <w:b/>
          <w:bCs/>
          <w:sz w:val="22"/>
          <w:szCs w:val="22"/>
          <w:lang w:val="sr-Latn-ME"/>
        </w:rPr>
      </w:pPr>
    </w:p>
    <w:p w14:paraId="185FC331" w14:textId="77777777" w:rsidR="002D619D" w:rsidRPr="00CB6AFC" w:rsidRDefault="002D619D" w:rsidP="002D619D">
      <w:pPr>
        <w:autoSpaceDE w:val="0"/>
        <w:autoSpaceDN w:val="0"/>
        <w:adjustRightInd w:val="0"/>
        <w:jc w:val="both"/>
        <w:rPr>
          <w:b/>
          <w:bCs/>
          <w:sz w:val="22"/>
          <w:szCs w:val="22"/>
          <w:lang w:val="sr-Latn-ME"/>
        </w:rPr>
      </w:pPr>
    </w:p>
    <w:p w14:paraId="4158EABD" w14:textId="77777777" w:rsidR="002D619D" w:rsidRPr="00CB6AFC" w:rsidRDefault="002D619D" w:rsidP="002D619D">
      <w:pPr>
        <w:autoSpaceDE w:val="0"/>
        <w:autoSpaceDN w:val="0"/>
        <w:adjustRightInd w:val="0"/>
        <w:jc w:val="both"/>
        <w:rPr>
          <w:b/>
          <w:bCs/>
          <w:sz w:val="22"/>
          <w:szCs w:val="22"/>
          <w:lang w:val="sr-Latn-ME"/>
        </w:rPr>
      </w:pPr>
    </w:p>
    <w:p w14:paraId="1C321893" w14:textId="77777777" w:rsidR="002D619D" w:rsidRPr="00CB6AFC" w:rsidRDefault="002D619D" w:rsidP="002D619D">
      <w:pPr>
        <w:autoSpaceDE w:val="0"/>
        <w:autoSpaceDN w:val="0"/>
        <w:adjustRightInd w:val="0"/>
        <w:jc w:val="both"/>
        <w:rPr>
          <w:b/>
          <w:bCs/>
          <w:sz w:val="22"/>
          <w:szCs w:val="22"/>
          <w:lang w:val="sr-Latn-ME"/>
        </w:rPr>
      </w:pPr>
    </w:p>
    <w:p w14:paraId="28B0CE2B" w14:textId="77777777" w:rsidR="002D619D" w:rsidRPr="00CB6AFC" w:rsidRDefault="002D619D" w:rsidP="002D619D">
      <w:pPr>
        <w:autoSpaceDE w:val="0"/>
        <w:autoSpaceDN w:val="0"/>
        <w:adjustRightInd w:val="0"/>
        <w:jc w:val="both"/>
        <w:rPr>
          <w:b/>
          <w:bCs/>
          <w:sz w:val="22"/>
          <w:szCs w:val="22"/>
          <w:lang w:val="sr-Latn-ME"/>
        </w:rPr>
      </w:pPr>
    </w:p>
    <w:p w14:paraId="75B57C63" w14:textId="77777777" w:rsidR="002D619D" w:rsidRPr="00CB6AFC" w:rsidRDefault="002D619D" w:rsidP="002D619D">
      <w:pPr>
        <w:autoSpaceDE w:val="0"/>
        <w:autoSpaceDN w:val="0"/>
        <w:adjustRightInd w:val="0"/>
        <w:jc w:val="both"/>
        <w:rPr>
          <w:b/>
          <w:bCs/>
          <w:sz w:val="22"/>
          <w:szCs w:val="22"/>
          <w:lang w:val="sr-Latn-ME"/>
        </w:rPr>
      </w:pPr>
    </w:p>
    <w:p w14:paraId="031DD070" w14:textId="77777777" w:rsidR="002D619D" w:rsidRPr="00CB6AFC" w:rsidRDefault="002D619D" w:rsidP="002D619D">
      <w:pPr>
        <w:autoSpaceDE w:val="0"/>
        <w:autoSpaceDN w:val="0"/>
        <w:adjustRightInd w:val="0"/>
        <w:jc w:val="both"/>
        <w:rPr>
          <w:b/>
          <w:bCs/>
          <w:sz w:val="22"/>
          <w:szCs w:val="22"/>
          <w:lang w:val="sr-Latn-ME"/>
        </w:rPr>
      </w:pPr>
    </w:p>
    <w:p w14:paraId="7C9EFC9B" w14:textId="77777777" w:rsidR="002D619D" w:rsidRPr="00CB6AFC" w:rsidRDefault="002D619D" w:rsidP="002D619D">
      <w:pPr>
        <w:autoSpaceDE w:val="0"/>
        <w:autoSpaceDN w:val="0"/>
        <w:adjustRightInd w:val="0"/>
        <w:jc w:val="both"/>
        <w:rPr>
          <w:b/>
          <w:bCs/>
          <w:sz w:val="22"/>
          <w:szCs w:val="22"/>
          <w:lang w:val="sr-Latn-ME"/>
        </w:rPr>
      </w:pPr>
    </w:p>
    <w:p w14:paraId="15215D33" w14:textId="77777777" w:rsidR="002D619D" w:rsidRPr="00CB6AFC" w:rsidRDefault="002D619D" w:rsidP="002D619D">
      <w:pPr>
        <w:autoSpaceDE w:val="0"/>
        <w:autoSpaceDN w:val="0"/>
        <w:adjustRightInd w:val="0"/>
        <w:jc w:val="both"/>
        <w:rPr>
          <w:b/>
          <w:bCs/>
          <w:sz w:val="22"/>
          <w:szCs w:val="22"/>
          <w:lang w:val="sr-Latn-ME"/>
        </w:rPr>
      </w:pPr>
    </w:p>
    <w:p w14:paraId="1694C469" w14:textId="77777777" w:rsidR="002D619D" w:rsidRPr="00CB6AFC" w:rsidRDefault="002D619D" w:rsidP="002D619D">
      <w:pPr>
        <w:autoSpaceDE w:val="0"/>
        <w:autoSpaceDN w:val="0"/>
        <w:adjustRightInd w:val="0"/>
        <w:jc w:val="both"/>
        <w:rPr>
          <w:b/>
          <w:bCs/>
          <w:sz w:val="22"/>
          <w:szCs w:val="22"/>
          <w:lang w:val="sr-Latn-ME"/>
        </w:rPr>
      </w:pPr>
    </w:p>
    <w:p w14:paraId="7BE474DB" w14:textId="77777777" w:rsidR="002D619D" w:rsidRPr="00CB6AFC" w:rsidRDefault="002D619D" w:rsidP="002D619D">
      <w:pPr>
        <w:autoSpaceDE w:val="0"/>
        <w:autoSpaceDN w:val="0"/>
        <w:adjustRightInd w:val="0"/>
        <w:jc w:val="both"/>
        <w:rPr>
          <w:b/>
          <w:bCs/>
          <w:sz w:val="22"/>
          <w:szCs w:val="22"/>
          <w:lang w:val="sr-Latn-ME"/>
        </w:rPr>
      </w:pPr>
    </w:p>
    <w:p w14:paraId="31CBEBA6" w14:textId="77777777" w:rsidR="002D619D" w:rsidRPr="00CB6AFC" w:rsidRDefault="002D619D" w:rsidP="002D619D">
      <w:pPr>
        <w:autoSpaceDE w:val="0"/>
        <w:autoSpaceDN w:val="0"/>
        <w:adjustRightInd w:val="0"/>
        <w:jc w:val="both"/>
        <w:rPr>
          <w:b/>
          <w:bCs/>
          <w:sz w:val="22"/>
          <w:szCs w:val="22"/>
          <w:lang w:val="sr-Latn-ME"/>
        </w:rPr>
      </w:pPr>
    </w:p>
    <w:p w14:paraId="67013A09" w14:textId="77777777" w:rsidR="002D619D" w:rsidRPr="00CB6AFC" w:rsidRDefault="002D619D" w:rsidP="002D619D">
      <w:pPr>
        <w:autoSpaceDE w:val="0"/>
        <w:autoSpaceDN w:val="0"/>
        <w:adjustRightInd w:val="0"/>
        <w:jc w:val="both"/>
        <w:rPr>
          <w:b/>
          <w:bCs/>
          <w:sz w:val="22"/>
          <w:szCs w:val="22"/>
          <w:lang w:val="sr-Latn-ME"/>
        </w:rPr>
      </w:pPr>
      <w:r w:rsidRPr="00CB6AFC">
        <w:rPr>
          <w:b/>
          <w:bCs/>
          <w:sz w:val="22"/>
          <w:szCs w:val="22"/>
          <w:lang w:val="sr-Latn-ME"/>
        </w:rPr>
        <w:lastRenderedPageBreak/>
        <w:t>Graf 1. Vremenski prilagođena SPID</w:t>
      </w:r>
      <w:r w:rsidRPr="00CB6AFC">
        <w:rPr>
          <w:b/>
          <w:bCs/>
          <w:sz w:val="22"/>
          <w:szCs w:val="22"/>
          <w:vertAlign w:val="subscript"/>
          <w:lang w:val="sr-Latn-ME"/>
        </w:rPr>
        <w:t>48</w:t>
      </w:r>
      <w:r w:rsidRPr="00CB6AFC">
        <w:rPr>
          <w:b/>
          <w:bCs/>
          <w:sz w:val="22"/>
          <w:szCs w:val="22"/>
          <w:lang w:val="sr-Latn-ME"/>
        </w:rPr>
        <w:t xml:space="preserve"> do prve doze spasonosnog lijeka</w:t>
      </w:r>
    </w:p>
    <w:p w14:paraId="1C4D92B0" w14:textId="395C24E4" w:rsidR="002D619D" w:rsidRPr="00CB6AFC" w:rsidRDefault="002D619D" w:rsidP="002D619D">
      <w:pPr>
        <w:autoSpaceDE w:val="0"/>
        <w:autoSpaceDN w:val="0"/>
        <w:adjustRightInd w:val="0"/>
        <w:jc w:val="both"/>
        <w:rPr>
          <w:b/>
          <w:bCs/>
          <w:sz w:val="22"/>
          <w:szCs w:val="22"/>
          <w:lang w:val="sr-Latn-ME"/>
        </w:rPr>
      </w:pPr>
    </w:p>
    <w:p w14:paraId="1C4B3B71" w14:textId="77595699" w:rsidR="009F09E6" w:rsidRPr="00CB6AFC" w:rsidRDefault="009F09E6" w:rsidP="002D619D">
      <w:pPr>
        <w:pStyle w:val="Default"/>
        <w:jc w:val="both"/>
        <w:rPr>
          <w:sz w:val="22"/>
          <w:szCs w:val="22"/>
          <w:lang w:val="sr-Latn-ME"/>
        </w:rPr>
      </w:pPr>
      <w:r w:rsidRPr="00CB6AFC">
        <w:rPr>
          <w:noProof/>
          <w:sz w:val="22"/>
          <w:szCs w:val="22"/>
          <w:lang w:val="sr-Latn-ME"/>
        </w:rPr>
        <mc:AlternateContent>
          <mc:Choice Requires="wpg">
            <w:drawing>
              <wp:anchor distT="0" distB="0" distL="114300" distR="114300" simplePos="0" relativeHeight="251659264" behindDoc="0" locked="0" layoutInCell="1" allowOverlap="1" wp14:anchorId="1C4F2AED" wp14:editId="34E04E9E">
                <wp:simplePos x="0" y="0"/>
                <wp:positionH relativeFrom="column">
                  <wp:posOffset>-62230</wp:posOffset>
                </wp:positionH>
                <wp:positionV relativeFrom="paragraph">
                  <wp:posOffset>156210</wp:posOffset>
                </wp:positionV>
                <wp:extent cx="5305425" cy="4000500"/>
                <wp:effectExtent l="0" t="0" r="9525" b="0"/>
                <wp:wrapTopAndBottom/>
                <wp:docPr id="64535532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5425" cy="4000500"/>
                          <a:chOff x="0" y="-1"/>
                          <a:chExt cx="5788025" cy="4324351"/>
                        </a:xfrm>
                      </wpg:grpSpPr>
                      <wps:wsp>
                        <wps:cNvPr id="194068386" name="Text Box 2"/>
                        <wps:cNvSpPr txBox="1">
                          <a:spLocks noChangeArrowheads="1"/>
                        </wps:cNvSpPr>
                        <wps:spPr bwMode="auto">
                          <a:xfrm>
                            <a:off x="47625" y="4076700"/>
                            <a:ext cx="5740400" cy="247650"/>
                          </a:xfrm>
                          <a:prstGeom prst="rect">
                            <a:avLst/>
                          </a:prstGeom>
                          <a:solidFill>
                            <a:srgbClr val="FFFFFF"/>
                          </a:solidFill>
                          <a:ln w="9525">
                            <a:noFill/>
                            <a:miter lim="800000"/>
                            <a:headEnd/>
                            <a:tailEnd/>
                          </a:ln>
                        </wps:spPr>
                        <wps:txbx>
                          <w:txbxContent>
                            <w:p w14:paraId="5EAABE1B" w14:textId="77777777" w:rsidR="00FA347E" w:rsidRPr="00D44E05" w:rsidRDefault="00FA347E" w:rsidP="009F09E6">
                              <w:pPr>
                                <w:tabs>
                                  <w:tab w:val="left" w:pos="3402"/>
                                  <w:tab w:val="left" w:pos="5103"/>
                                  <w:tab w:val="left" w:pos="7371"/>
                                </w:tabs>
                                <w:ind w:firstLine="1418"/>
                                <w:rPr>
                                  <w:rFonts w:ascii="Calibri" w:hAnsi="Calibri" w:cs="Calibri"/>
                                  <w:sz w:val="18"/>
                                </w:rPr>
                              </w:pPr>
                              <w:r w:rsidRPr="00D44E05">
                                <w:rPr>
                                  <w:rFonts w:ascii="Calibri" w:hAnsi="Calibri" w:cs="Calibri"/>
                                  <w:sz w:val="18"/>
                                </w:rPr>
                                <w:t>Maxigesic</w:t>
                              </w:r>
                              <w:r w:rsidRPr="0055470D">
                                <w:rPr>
                                  <w:rFonts w:ascii="Calibri" w:hAnsi="Calibri" w:cs="Calibri"/>
                                  <w:sz w:val="18"/>
                                </w:rPr>
                                <w:t>®</w:t>
                              </w:r>
                              <w:r w:rsidRPr="00D44E05">
                                <w:rPr>
                                  <w:rFonts w:ascii="Calibri" w:hAnsi="Calibri" w:cs="Calibri"/>
                                  <w:sz w:val="18"/>
                                </w:rPr>
                                <w:tab/>
                              </w:r>
                              <w:r w:rsidRPr="009F09E6">
                                <w:rPr>
                                  <w:sz w:val="18"/>
                                </w:rPr>
                                <w:t>Ibuprofen</w:t>
                              </w:r>
                              <w:r w:rsidRPr="00D44E05">
                                <w:rPr>
                                  <w:rFonts w:ascii="Calibri" w:hAnsi="Calibri" w:cs="Calibri"/>
                                  <w:sz w:val="18"/>
                                </w:rPr>
                                <w:tab/>
                              </w:r>
                              <w:r w:rsidRPr="009F09E6">
                                <w:rPr>
                                  <w:sz w:val="18"/>
                                </w:rPr>
                                <w:t>Acetaminofen</w:t>
                              </w:r>
                              <w:r w:rsidRPr="0055470D">
                                <w:rPr>
                                  <w:rFonts w:ascii="Calibri" w:hAnsi="Calibri" w:cs="Calibri"/>
                                  <w:sz w:val="18"/>
                                </w:rPr>
                                <w:tab/>
                              </w:r>
                              <w:r w:rsidRPr="009F09E6">
                                <w:rPr>
                                  <w:sz w:val="18"/>
                                </w:rPr>
                                <w:t>Placebo</w:t>
                              </w:r>
                            </w:p>
                          </w:txbxContent>
                        </wps:txbx>
                        <wps:bodyPr rot="0" vert="horz" wrap="square" lIns="91440" tIns="45720" rIns="91440" bIns="45720" anchor="t" anchorCtr="0">
                          <a:noAutofit/>
                        </wps:bodyPr>
                      </wps:wsp>
                      <wps:wsp>
                        <wps:cNvPr id="213484335" name="Text Box 2"/>
                        <wps:cNvSpPr txBox="1">
                          <a:spLocks noChangeArrowheads="1"/>
                        </wps:cNvSpPr>
                        <wps:spPr bwMode="auto">
                          <a:xfrm>
                            <a:off x="23855" y="47625"/>
                            <a:ext cx="338730" cy="4029075"/>
                          </a:xfrm>
                          <a:prstGeom prst="rect">
                            <a:avLst/>
                          </a:prstGeom>
                          <a:solidFill>
                            <a:srgbClr val="FFFFFF"/>
                          </a:solidFill>
                          <a:ln w="9525">
                            <a:noFill/>
                            <a:miter lim="800000"/>
                            <a:headEnd/>
                            <a:tailEnd/>
                          </a:ln>
                        </wps:spPr>
                        <wps:txbx>
                          <w:txbxContent>
                            <w:p w14:paraId="17C423A9" w14:textId="77777777" w:rsidR="00FA347E" w:rsidRPr="009F09E6" w:rsidRDefault="00FA347E" w:rsidP="009F09E6">
                              <w:pPr>
                                <w:tabs>
                                  <w:tab w:val="left" w:pos="3402"/>
                                  <w:tab w:val="left" w:pos="5103"/>
                                  <w:tab w:val="left" w:pos="7371"/>
                                </w:tabs>
                                <w:ind w:firstLine="1418"/>
                                <w:rPr>
                                  <w:sz w:val="22"/>
                                  <w:szCs w:val="22"/>
                                </w:rPr>
                              </w:pPr>
                              <w:r w:rsidRPr="009F09E6">
                                <w:rPr>
                                  <w:rFonts w:eastAsia="Calibri"/>
                                  <w:sz w:val="22"/>
                                  <w:szCs w:val="22"/>
                                  <w:lang w:val="cs-CZ"/>
                                </w:rPr>
                                <w:t>Vremenski prilagođena SPID (mm)</w:t>
                              </w:r>
                            </w:p>
                          </w:txbxContent>
                        </wps:txbx>
                        <wps:bodyPr rot="0" vert="vert270" wrap="square" lIns="91440" tIns="45720" rIns="91440" bIns="45720" anchor="t" anchorCtr="0">
                          <a:noAutofit/>
                        </wps:bodyPr>
                      </wps:wsp>
                      <pic:pic xmlns:pic="http://schemas.openxmlformats.org/drawingml/2006/picture">
                        <pic:nvPicPr>
                          <pic:cNvPr id="1770979299" name="Picture 2" descr="L:\Maxigesic\Maxigesic IV\AFT-MXIV-07\Data Management\AdClin\AdClin Reporting\15. AFT-MXIV-7 Reporting 2018-10-05-Final update\2018-10-05-AFT-MXIV-7\2018-10-05-AFT-MXIV-7\HTML Output\Figure 3.1.1.png"/>
                          <pic:cNvPicPr>
                            <a:picLocks noChangeAspect="1"/>
                          </pic:cNvPicPr>
                        </pic:nvPicPr>
                        <pic:blipFill rotWithShape="1">
                          <a:blip r:embed="rId14" cstate="print">
                            <a:extLst>
                              <a:ext uri="{28A0092B-C50C-407E-A947-70E740481C1C}">
                                <a14:useLocalDpi xmlns:a14="http://schemas.microsoft.com/office/drawing/2010/main" val="0"/>
                              </a:ext>
                            </a:extLst>
                          </a:blip>
                          <a:srcRect l="5475" t="5973" b="6417"/>
                          <a:stretch/>
                        </pic:blipFill>
                        <pic:spPr bwMode="auto">
                          <a:xfrm>
                            <a:off x="361950" y="304800"/>
                            <a:ext cx="5426075" cy="3771900"/>
                          </a:xfrm>
                          <a:prstGeom prst="rect">
                            <a:avLst/>
                          </a:prstGeom>
                          <a:noFill/>
                          <a:ln>
                            <a:noFill/>
                          </a:ln>
                          <a:extLst>
                            <a:ext uri="{53640926-AAD7-44D8-BBD7-CCE9431645EC}">
                              <a14:shadowObscured xmlns:a14="http://schemas.microsoft.com/office/drawing/2010/main"/>
                            </a:ext>
                          </a:extLst>
                        </pic:spPr>
                      </pic:pic>
                      <wps:wsp>
                        <wps:cNvPr id="60851300" name="Text Box 2"/>
                        <wps:cNvSpPr txBox="1">
                          <a:spLocks noChangeArrowheads="1"/>
                        </wps:cNvSpPr>
                        <wps:spPr bwMode="auto">
                          <a:xfrm>
                            <a:off x="0" y="-1"/>
                            <a:ext cx="5740400" cy="295275"/>
                          </a:xfrm>
                          <a:prstGeom prst="rect">
                            <a:avLst/>
                          </a:prstGeom>
                          <a:solidFill>
                            <a:srgbClr val="FFFFFF"/>
                          </a:solidFill>
                          <a:ln w="9525">
                            <a:noFill/>
                            <a:miter lim="800000"/>
                            <a:headEnd/>
                            <a:tailEnd/>
                          </a:ln>
                        </wps:spPr>
                        <wps:txbx>
                          <w:txbxContent>
                            <w:p w14:paraId="3048CABB" w14:textId="77777777" w:rsidR="00FA347E" w:rsidRPr="009F09E6" w:rsidRDefault="00FA347E" w:rsidP="009F09E6">
                              <w:pPr>
                                <w:tabs>
                                  <w:tab w:val="left" w:pos="2977"/>
                                </w:tabs>
                                <w:ind w:firstLine="1418"/>
                                <w:rPr>
                                  <w:sz w:val="22"/>
                                  <w:szCs w:val="22"/>
                                </w:rPr>
                              </w:pPr>
                              <w:r w:rsidRPr="009F09E6">
                                <w:rPr>
                                  <w:sz w:val="22"/>
                                  <w:szCs w:val="22"/>
                                </w:rPr>
                                <w:tab/>
                              </w:r>
                              <w:r w:rsidRPr="009F09E6">
                                <w:rPr>
                                  <w:rFonts w:eastAsia="Calibri"/>
                                  <w:sz w:val="22"/>
                                  <w:szCs w:val="22"/>
                                  <w:lang w:val="cs-CZ"/>
                                </w:rPr>
                                <w:t>Srednje vrijednosti &amp; 95%-tni CI</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4F2AED" id="Group 4" o:spid="_x0000_s1026" style="position:absolute;left:0;text-align:left;margin-left:-4.9pt;margin-top:12.3pt;width:417.75pt;height:315pt;z-index:251659264" coordorigin="" coordsize="57880,43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">
                <v:shapetype id="_x0000_t202" coordsize="21600,21600" o:spt="202" path="m,l,21600r21600,l21600,xe">
                  <v:stroke joinstyle="miter"/>
                  <v:path gradientshapeok="t" o:connecttype="rect"/>
                </v:shapetype>
                <v:shape id="Text Box 2" o:spid="_x0000_s1027" type="#_x0000_t202" style="position:absolute;left:476;top:40767;width:5740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" stroked="f">
                  <v:textbox>
                    <w:txbxContent>
                      <w:p w14:paraId="5EAABE1B" w14:textId="77777777" w:rsidR="00FA347E" w:rsidRPr="00D44E05" w:rsidRDefault="00FA347E" w:rsidP="009F09E6">
                        <w:pPr>
                          <w:tabs>
                            <w:tab w:val="left" w:pos="3402"/>
                            <w:tab w:val="left" w:pos="5103"/>
                            <w:tab w:val="left" w:pos="7371"/>
                          </w:tabs>
                          <w:ind w:firstLine="1418"/>
                          <w:rPr>
                            <w:rFonts w:ascii="Calibri" w:hAnsi="Calibri" w:cs="Calibri"/>
                            <w:sz w:val="18"/>
                          </w:rPr>
                        </w:pPr>
                        <w:r w:rsidRPr="00D44E05">
                          <w:rPr>
                            <w:rFonts w:ascii="Calibri" w:hAnsi="Calibri" w:cs="Calibri"/>
                            <w:sz w:val="18"/>
                          </w:rPr>
                          <w:t>Maxigesic</w:t>
                        </w:r>
                        <w:r w:rsidRPr="0055470D">
                          <w:rPr>
                            <w:rFonts w:ascii="Calibri" w:hAnsi="Calibri" w:cs="Calibri"/>
                            <w:sz w:val="18"/>
                          </w:rPr>
                          <w:t>®</w:t>
                        </w:r>
                        <w:r w:rsidRPr="00D44E05">
                          <w:rPr>
                            <w:rFonts w:ascii="Calibri" w:hAnsi="Calibri" w:cs="Calibri"/>
                            <w:sz w:val="18"/>
                          </w:rPr>
                          <w:tab/>
                        </w:r>
                        <w:r w:rsidRPr="009F09E6">
                          <w:rPr>
                            <w:sz w:val="18"/>
                          </w:rPr>
                          <w:t>Ibuprofen</w:t>
                        </w:r>
                        <w:r w:rsidRPr="00D44E05">
                          <w:rPr>
                            <w:rFonts w:ascii="Calibri" w:hAnsi="Calibri" w:cs="Calibri"/>
                            <w:sz w:val="18"/>
                          </w:rPr>
                          <w:tab/>
                        </w:r>
                        <w:r w:rsidRPr="009F09E6">
                          <w:rPr>
                            <w:sz w:val="18"/>
                          </w:rPr>
                          <w:t>Acetaminofen</w:t>
                        </w:r>
                        <w:r w:rsidRPr="0055470D">
                          <w:rPr>
                            <w:rFonts w:ascii="Calibri" w:hAnsi="Calibri" w:cs="Calibri"/>
                            <w:sz w:val="18"/>
                          </w:rPr>
                          <w:tab/>
                        </w:r>
                        <w:r w:rsidRPr="009F09E6">
                          <w:rPr>
                            <w:sz w:val="18"/>
                          </w:rPr>
                          <w:t>Placebo</w:t>
                        </w:r>
                      </w:p>
                    </w:txbxContent>
                  </v:textbox>
                </v:shape>
                <v:shape id="Text Box 2" o:spid="_x0000_s1028" type="#_x0000_t202" style="position:absolute;left:238;top:476;width:3387;height:40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" stroked="f">
                  <v:textbox style="layout-flow:vertical;mso-layout-flow-alt:bottom-to-top">
                    <w:txbxContent>
                      <w:p w14:paraId="17C423A9" w14:textId="77777777" w:rsidR="00FA347E" w:rsidRPr="009F09E6" w:rsidRDefault="00FA347E" w:rsidP="009F09E6">
                        <w:pPr>
                          <w:tabs>
                            <w:tab w:val="left" w:pos="3402"/>
                            <w:tab w:val="left" w:pos="5103"/>
                            <w:tab w:val="left" w:pos="7371"/>
                          </w:tabs>
                          <w:ind w:firstLine="1418"/>
                          <w:rPr>
                            <w:sz w:val="22"/>
                            <w:szCs w:val="22"/>
                          </w:rPr>
                        </w:pPr>
                        <w:r w:rsidRPr="009F09E6">
                          <w:rPr>
                            <w:rFonts w:eastAsia="Calibri"/>
                            <w:sz w:val="22"/>
                            <w:szCs w:val="22"/>
                            <w:lang w:val="cs-CZ"/>
                          </w:rPr>
                          <w:t>Vremenski prilagođena SPID (mm)</w:t>
                        </w:r>
                      </w:p>
                    </w:txbxContent>
                  </v:textbox>
                </v:shape>
                <v:shape id="Picture 2" o:spid="_x0000_s1029" type="#_x0000_t75" style="position:absolute;left:3619;top:3048;width:54261;height:37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">
                  <v:imagedata r:id="rId15" o:title="Figure 3.1.1" croptop="3914f" cropbottom="4205f" cropleft="3588f"/>
                </v:shape>
                <v:shape id="Text Box 2" o:spid="_x0000_s1030" type="#_x0000_t202" style="position:absolute;width:5740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" stroked="f">
                  <v:textbox>
                    <w:txbxContent>
                      <w:p w14:paraId="3048CABB" w14:textId="77777777" w:rsidR="00FA347E" w:rsidRPr="009F09E6" w:rsidRDefault="00FA347E" w:rsidP="009F09E6">
                        <w:pPr>
                          <w:tabs>
                            <w:tab w:val="left" w:pos="2977"/>
                          </w:tabs>
                          <w:ind w:firstLine="1418"/>
                          <w:rPr>
                            <w:sz w:val="22"/>
                            <w:szCs w:val="22"/>
                          </w:rPr>
                        </w:pPr>
                        <w:r w:rsidRPr="009F09E6">
                          <w:rPr>
                            <w:sz w:val="22"/>
                            <w:szCs w:val="22"/>
                          </w:rPr>
                          <w:tab/>
                        </w:r>
                        <w:r w:rsidRPr="009F09E6">
                          <w:rPr>
                            <w:rFonts w:eastAsia="Calibri"/>
                            <w:sz w:val="22"/>
                            <w:szCs w:val="22"/>
                            <w:lang w:val="cs-CZ"/>
                          </w:rPr>
                          <w:t>Srednje vrijednosti &amp; 95%-tni CI</w:t>
                        </w:r>
                      </w:p>
                    </w:txbxContent>
                  </v:textbox>
                </v:shape>
                <w10:wrap type="topAndBottom"/>
              </v:group>
            </w:pict>
          </mc:Fallback>
        </mc:AlternateContent>
      </w:r>
    </w:p>
    <w:p w14:paraId="0D342EFA" w14:textId="77777777" w:rsidR="009F09E6" w:rsidRPr="00CB6AFC" w:rsidRDefault="009F09E6" w:rsidP="002D619D">
      <w:pPr>
        <w:pStyle w:val="Default"/>
        <w:jc w:val="both"/>
        <w:rPr>
          <w:sz w:val="22"/>
          <w:szCs w:val="22"/>
          <w:lang w:val="sr-Latn-ME"/>
        </w:rPr>
      </w:pPr>
    </w:p>
    <w:p w14:paraId="601C3C4B" w14:textId="246C87D0" w:rsidR="009F09E6" w:rsidRPr="00CB6AFC" w:rsidRDefault="009F09E6" w:rsidP="00B60D99">
      <w:pPr>
        <w:autoSpaceDE w:val="0"/>
        <w:autoSpaceDN w:val="0"/>
        <w:adjustRightInd w:val="0"/>
        <w:jc w:val="both"/>
        <w:rPr>
          <w:b/>
          <w:bCs/>
          <w:sz w:val="22"/>
          <w:szCs w:val="22"/>
          <w:lang w:val="sr-Latn-ME"/>
        </w:rPr>
      </w:pPr>
      <w:r w:rsidRPr="00CB6AFC">
        <w:rPr>
          <w:sz w:val="22"/>
          <w:szCs w:val="22"/>
          <w:lang w:val="sr-Latn-ME"/>
        </w:rPr>
        <w:t>Napomena: acetaminofen = paracetamol</w:t>
      </w:r>
    </w:p>
    <w:p w14:paraId="1BD0B0B7" w14:textId="77777777" w:rsidR="009F09E6" w:rsidRPr="00CB6AFC" w:rsidRDefault="009F09E6" w:rsidP="002D619D">
      <w:pPr>
        <w:tabs>
          <w:tab w:val="left" w:pos="540"/>
          <w:tab w:val="left" w:pos="569"/>
        </w:tabs>
        <w:jc w:val="both"/>
        <w:rPr>
          <w:b/>
          <w:bCs/>
          <w:sz w:val="22"/>
          <w:szCs w:val="22"/>
          <w:lang w:val="sr-Latn-ME"/>
        </w:rPr>
      </w:pPr>
    </w:p>
    <w:p w14:paraId="16524118" w14:textId="77777777" w:rsidR="0072020E" w:rsidRPr="00CB6AFC" w:rsidRDefault="0072020E" w:rsidP="002D619D">
      <w:pPr>
        <w:tabs>
          <w:tab w:val="left" w:pos="540"/>
          <w:tab w:val="left" w:pos="569"/>
        </w:tabs>
        <w:jc w:val="both"/>
        <w:rPr>
          <w:b/>
          <w:bCs/>
          <w:sz w:val="22"/>
          <w:szCs w:val="22"/>
          <w:lang w:val="sr-Latn-ME"/>
        </w:rPr>
      </w:pPr>
      <w:r w:rsidRPr="00CB6AFC">
        <w:rPr>
          <w:b/>
          <w:bCs/>
          <w:sz w:val="22"/>
          <w:szCs w:val="22"/>
          <w:lang w:val="sr-Latn-ME"/>
        </w:rPr>
        <w:t xml:space="preserve">5.2. </w:t>
      </w:r>
      <w:r w:rsidR="00480FB1" w:rsidRPr="00CB6AFC">
        <w:rPr>
          <w:b/>
          <w:bCs/>
          <w:sz w:val="22"/>
          <w:szCs w:val="22"/>
          <w:lang w:val="sr-Latn-ME"/>
        </w:rPr>
        <w:tab/>
      </w:r>
      <w:r w:rsidRPr="00CB6AFC">
        <w:rPr>
          <w:b/>
          <w:bCs/>
          <w:sz w:val="22"/>
          <w:szCs w:val="22"/>
          <w:lang w:val="sr-Latn-ME"/>
        </w:rPr>
        <w:t>Farmakokinetički podaci</w:t>
      </w:r>
      <w:r w:rsidR="003A7059" w:rsidRPr="00CB6AFC">
        <w:rPr>
          <w:b/>
          <w:bCs/>
          <w:sz w:val="22"/>
          <w:szCs w:val="22"/>
          <w:lang w:val="sr-Latn-ME"/>
        </w:rPr>
        <w:t xml:space="preserve"> </w:t>
      </w:r>
    </w:p>
    <w:p w14:paraId="16524119" w14:textId="77777777" w:rsidR="0072020E" w:rsidRPr="00CB6AFC" w:rsidRDefault="0072020E" w:rsidP="002D619D">
      <w:pPr>
        <w:tabs>
          <w:tab w:val="left" w:pos="540"/>
          <w:tab w:val="left" w:pos="569"/>
        </w:tabs>
        <w:jc w:val="both"/>
        <w:rPr>
          <w:bCs/>
          <w:sz w:val="22"/>
          <w:szCs w:val="22"/>
          <w:lang w:val="sr-Latn-ME"/>
        </w:rPr>
      </w:pPr>
    </w:p>
    <w:p w14:paraId="1651F68E" w14:textId="77777777" w:rsidR="00BE7613" w:rsidRPr="00CB6AFC" w:rsidRDefault="00BE7613" w:rsidP="002D619D">
      <w:pPr>
        <w:pStyle w:val="Default"/>
        <w:jc w:val="both"/>
        <w:rPr>
          <w:sz w:val="22"/>
          <w:szCs w:val="22"/>
          <w:u w:val="single"/>
          <w:lang w:val="sr-Latn-ME"/>
        </w:rPr>
      </w:pPr>
      <w:r w:rsidRPr="00CB6AFC">
        <w:rPr>
          <w:sz w:val="22"/>
          <w:szCs w:val="22"/>
          <w:u w:val="single"/>
          <w:lang w:val="sr-Latn-ME"/>
        </w:rPr>
        <w:t>Resorpcija</w:t>
      </w:r>
    </w:p>
    <w:p w14:paraId="616C5F1C" w14:textId="7445BA49" w:rsidR="00BE7613" w:rsidRPr="00CB6AFC" w:rsidRDefault="0028524A" w:rsidP="002D619D">
      <w:pPr>
        <w:jc w:val="both"/>
        <w:outlineLvl w:val="0"/>
        <w:rPr>
          <w:iCs/>
          <w:noProof/>
          <w:sz w:val="22"/>
          <w:szCs w:val="22"/>
          <w:lang w:val="sr-Latn-ME"/>
        </w:rPr>
      </w:pPr>
      <w:r w:rsidRPr="00CB6AFC">
        <w:rPr>
          <w:noProof/>
          <w:sz w:val="22"/>
          <w:szCs w:val="22"/>
          <w:lang w:val="sr-Latn-ME"/>
        </w:rPr>
        <w:t xml:space="preserve">Lijek </w:t>
      </w:r>
      <w:r w:rsidR="00BE7613" w:rsidRPr="00CB6AFC">
        <w:rPr>
          <w:noProof/>
          <w:sz w:val="22"/>
          <w:szCs w:val="22"/>
          <w:lang w:val="sr-Latn-ME"/>
        </w:rPr>
        <w:t>Comboval 10 mg/ml + 3 mg/ml</w:t>
      </w:r>
      <w:r w:rsidR="00BE7613" w:rsidRPr="00CB6AFC">
        <w:rPr>
          <w:iCs/>
          <w:noProof/>
          <w:sz w:val="22"/>
          <w:szCs w:val="22"/>
          <w:lang w:val="sr-Latn-ME"/>
        </w:rPr>
        <w:t xml:space="preserve"> rastvor za infuziju </w:t>
      </w:r>
      <w:r w:rsidRPr="00CB6AFC">
        <w:rPr>
          <w:iCs/>
          <w:noProof/>
          <w:sz w:val="22"/>
          <w:szCs w:val="22"/>
          <w:lang w:val="sr-Latn-ME"/>
        </w:rPr>
        <w:t>primjenjuje</w:t>
      </w:r>
      <w:r w:rsidR="00BE7613" w:rsidRPr="00CB6AFC">
        <w:rPr>
          <w:iCs/>
          <w:noProof/>
          <w:sz w:val="22"/>
          <w:szCs w:val="22"/>
          <w:lang w:val="sr-Latn-ME"/>
        </w:rPr>
        <w:t xml:space="preserve"> se kao 15-minutna infuzija, a najveća koncentracija svakog lijeka u plazmi postiže se na kraju infuzije. Dva aktivna lijeka u </w:t>
      </w:r>
      <w:r w:rsidRPr="00CB6AFC">
        <w:rPr>
          <w:iCs/>
          <w:noProof/>
          <w:sz w:val="22"/>
          <w:szCs w:val="22"/>
          <w:lang w:val="sr-Latn-ME"/>
        </w:rPr>
        <w:t xml:space="preserve">lijeku </w:t>
      </w:r>
      <w:r w:rsidR="00BE7613" w:rsidRPr="00CB6AFC">
        <w:rPr>
          <w:noProof/>
          <w:sz w:val="22"/>
          <w:szCs w:val="22"/>
          <w:lang w:val="sr-Latn-ME"/>
        </w:rPr>
        <w:t>Comboval 10 mg/ml + 3 mg/ml</w:t>
      </w:r>
      <w:r w:rsidR="00BE7613" w:rsidRPr="00CB6AFC">
        <w:rPr>
          <w:iCs/>
          <w:noProof/>
          <w:sz w:val="22"/>
          <w:szCs w:val="22"/>
          <w:lang w:val="sr-Latn-ME"/>
        </w:rPr>
        <w:t xml:space="preserve"> rastvor za infuziju dostižu najv</w:t>
      </w:r>
      <w:r w:rsidRPr="00CB6AFC">
        <w:rPr>
          <w:iCs/>
          <w:noProof/>
          <w:sz w:val="22"/>
          <w:szCs w:val="22"/>
          <w:lang w:val="sr-Latn-ME"/>
        </w:rPr>
        <w:t>eće koncentracije</w:t>
      </w:r>
      <w:r w:rsidR="00BE7613" w:rsidRPr="00CB6AFC">
        <w:rPr>
          <w:iCs/>
          <w:noProof/>
          <w:sz w:val="22"/>
          <w:szCs w:val="22"/>
          <w:lang w:val="sr-Latn-ME"/>
        </w:rPr>
        <w:t xml:space="preserve"> u plazmi u istom vremenskom okviru i imaju slič</w:t>
      </w:r>
      <w:r w:rsidR="007653B2" w:rsidRPr="00CB6AFC">
        <w:rPr>
          <w:iCs/>
          <w:noProof/>
          <w:sz w:val="22"/>
          <w:szCs w:val="22"/>
          <w:lang w:val="sr-Latn-ME"/>
        </w:rPr>
        <w:t>no</w:t>
      </w:r>
      <w:r w:rsidR="00BE7613" w:rsidRPr="00CB6AFC">
        <w:rPr>
          <w:iCs/>
          <w:noProof/>
          <w:sz w:val="22"/>
          <w:szCs w:val="22"/>
          <w:lang w:val="sr-Latn-ME"/>
        </w:rPr>
        <w:t xml:space="preserve"> polu</w:t>
      </w:r>
      <w:r w:rsidR="007653B2" w:rsidRPr="00CB6AFC">
        <w:rPr>
          <w:iCs/>
          <w:noProof/>
          <w:sz w:val="22"/>
          <w:szCs w:val="22"/>
          <w:lang w:val="sr-Latn-ME"/>
        </w:rPr>
        <w:t>vrijeme eliminacije</w:t>
      </w:r>
      <w:r w:rsidR="00BE7613" w:rsidRPr="00CB6AFC">
        <w:rPr>
          <w:iCs/>
          <w:noProof/>
          <w:sz w:val="22"/>
          <w:szCs w:val="22"/>
          <w:lang w:val="sr-Latn-ME"/>
        </w:rPr>
        <w:t xml:space="preserve"> u plazmi (paracetamol 2</w:t>
      </w:r>
      <w:r w:rsidRPr="00CB6AFC">
        <w:rPr>
          <w:iCs/>
          <w:noProof/>
          <w:sz w:val="22"/>
          <w:szCs w:val="22"/>
          <w:lang w:val="sr-Latn-ME"/>
        </w:rPr>
        <w:t>.</w:t>
      </w:r>
      <w:r w:rsidR="00BE7613" w:rsidRPr="00CB6AFC">
        <w:rPr>
          <w:iCs/>
          <w:noProof/>
          <w:sz w:val="22"/>
          <w:szCs w:val="22"/>
          <w:lang w:val="sr-Latn-ME"/>
        </w:rPr>
        <w:t>39 ± 0</w:t>
      </w:r>
      <w:r w:rsidR="007E2BD5" w:rsidRPr="00CB6AFC">
        <w:rPr>
          <w:iCs/>
          <w:noProof/>
          <w:sz w:val="22"/>
          <w:szCs w:val="22"/>
          <w:lang w:val="sr-Latn-ME"/>
        </w:rPr>
        <w:t>.</w:t>
      </w:r>
      <w:r w:rsidR="00BE7613" w:rsidRPr="00CB6AFC">
        <w:rPr>
          <w:iCs/>
          <w:noProof/>
          <w:sz w:val="22"/>
          <w:szCs w:val="22"/>
          <w:lang w:val="sr-Latn-ME"/>
        </w:rPr>
        <w:t>27 sati, ibuprofen 1</w:t>
      </w:r>
      <w:r w:rsidRPr="00CB6AFC">
        <w:rPr>
          <w:iCs/>
          <w:noProof/>
          <w:sz w:val="22"/>
          <w:szCs w:val="22"/>
          <w:lang w:val="sr-Latn-ME"/>
        </w:rPr>
        <w:t>.</w:t>
      </w:r>
      <w:r w:rsidR="00BE7613" w:rsidRPr="00CB6AFC">
        <w:rPr>
          <w:iCs/>
          <w:noProof/>
          <w:sz w:val="22"/>
          <w:szCs w:val="22"/>
          <w:lang w:val="sr-Latn-ME"/>
        </w:rPr>
        <w:t>88 ± 0</w:t>
      </w:r>
      <w:r w:rsidRPr="00CB6AFC">
        <w:rPr>
          <w:iCs/>
          <w:noProof/>
          <w:sz w:val="22"/>
          <w:szCs w:val="22"/>
          <w:lang w:val="sr-Latn-ME"/>
        </w:rPr>
        <w:t>.</w:t>
      </w:r>
      <w:r w:rsidR="00BE7613" w:rsidRPr="00CB6AFC">
        <w:rPr>
          <w:iCs/>
          <w:noProof/>
          <w:sz w:val="22"/>
          <w:szCs w:val="22"/>
          <w:lang w:val="sr-Latn-ME"/>
        </w:rPr>
        <w:t>28 sati).</w:t>
      </w:r>
    </w:p>
    <w:p w14:paraId="1589AA0B" w14:textId="77777777" w:rsidR="00BE7613" w:rsidRPr="00CB6AFC" w:rsidRDefault="00BE7613" w:rsidP="002D619D">
      <w:pPr>
        <w:jc w:val="both"/>
        <w:outlineLvl w:val="0"/>
        <w:rPr>
          <w:iCs/>
          <w:noProof/>
          <w:sz w:val="22"/>
          <w:szCs w:val="22"/>
          <w:lang w:val="sr-Latn-ME"/>
        </w:rPr>
      </w:pPr>
    </w:p>
    <w:p w14:paraId="5D4D3120" w14:textId="7E8AC5ED" w:rsidR="00BE7613" w:rsidRPr="00CB6AFC" w:rsidRDefault="00BE7613" w:rsidP="002D619D">
      <w:pPr>
        <w:jc w:val="both"/>
        <w:outlineLvl w:val="0"/>
        <w:rPr>
          <w:iCs/>
          <w:noProof/>
          <w:sz w:val="22"/>
          <w:szCs w:val="22"/>
          <w:lang w:val="sr-Latn-ME"/>
        </w:rPr>
      </w:pPr>
      <w:r w:rsidRPr="00CB6AFC">
        <w:rPr>
          <w:iCs/>
          <w:noProof/>
          <w:sz w:val="22"/>
          <w:szCs w:val="22"/>
          <w:lang w:val="sr-Latn-ME"/>
        </w:rPr>
        <w:t xml:space="preserve">Farmakokinetički parametri </w:t>
      </w:r>
      <w:r w:rsidR="0028524A" w:rsidRPr="00CB6AFC">
        <w:rPr>
          <w:iCs/>
          <w:noProof/>
          <w:sz w:val="22"/>
          <w:szCs w:val="22"/>
          <w:lang w:val="sr-Latn-ME"/>
        </w:rPr>
        <w:t xml:space="preserve">lijeka </w:t>
      </w:r>
      <w:r w:rsidRPr="00CB6AFC">
        <w:rPr>
          <w:noProof/>
          <w:sz w:val="22"/>
          <w:szCs w:val="22"/>
          <w:lang w:val="sr-Latn-ME"/>
        </w:rPr>
        <w:t>Comboval 10 mg/ml + 3 mg/ml</w:t>
      </w:r>
      <w:r w:rsidRPr="00CB6AFC">
        <w:rPr>
          <w:iCs/>
          <w:noProof/>
          <w:sz w:val="22"/>
          <w:szCs w:val="22"/>
          <w:lang w:val="sr-Latn-ME"/>
        </w:rPr>
        <w:t xml:space="preserve"> rastvor za infuziju, utvrđeni ispitivanjem kod 29 zdravih dobrovoljaca, prikazani su u tabeli 2.</w:t>
      </w:r>
    </w:p>
    <w:p w14:paraId="75627D40" w14:textId="77777777" w:rsidR="00BE7613" w:rsidRPr="00CB6AFC" w:rsidRDefault="00BE7613" w:rsidP="002D619D">
      <w:pPr>
        <w:ind w:left="567" w:hanging="567"/>
        <w:jc w:val="both"/>
        <w:outlineLvl w:val="0"/>
        <w:rPr>
          <w:iCs/>
          <w:noProof/>
          <w:sz w:val="22"/>
          <w:szCs w:val="22"/>
          <w:u w:val="single"/>
          <w:lang w:val="sr-Latn-ME"/>
        </w:rPr>
      </w:pPr>
    </w:p>
    <w:p w14:paraId="5E6BFE47" w14:textId="604FD6CC" w:rsidR="00BE7613" w:rsidRPr="00CB6AFC" w:rsidRDefault="00BE7613" w:rsidP="002D619D">
      <w:pPr>
        <w:jc w:val="both"/>
        <w:outlineLvl w:val="0"/>
        <w:rPr>
          <w:b/>
          <w:iCs/>
          <w:noProof/>
          <w:sz w:val="22"/>
          <w:szCs w:val="22"/>
          <w:u w:val="single"/>
          <w:lang w:val="sr-Latn-ME"/>
        </w:rPr>
      </w:pPr>
      <w:r w:rsidRPr="00CB6AFC">
        <w:rPr>
          <w:b/>
          <w:iCs/>
          <w:noProof/>
          <w:sz w:val="22"/>
          <w:szCs w:val="22"/>
          <w:u w:val="single"/>
          <w:lang w:val="sr-Latn-ME"/>
        </w:rPr>
        <w:t>Tabela 2: Srednj</w:t>
      </w:r>
      <w:r w:rsidR="0028524A" w:rsidRPr="00CB6AFC">
        <w:rPr>
          <w:b/>
          <w:iCs/>
          <w:noProof/>
          <w:sz w:val="22"/>
          <w:szCs w:val="22"/>
          <w:u w:val="single"/>
          <w:lang w:val="sr-Latn-ME"/>
        </w:rPr>
        <w:t>a vrijednost</w:t>
      </w:r>
      <w:r w:rsidRPr="00CB6AFC">
        <w:rPr>
          <w:b/>
          <w:iCs/>
          <w:noProof/>
          <w:sz w:val="22"/>
          <w:szCs w:val="22"/>
          <w:u w:val="single"/>
          <w:lang w:val="sr-Latn-ME"/>
        </w:rPr>
        <w:t xml:space="preserve"> (SD) farmakokinetički</w:t>
      </w:r>
      <w:r w:rsidR="0028524A" w:rsidRPr="00CB6AFC">
        <w:rPr>
          <w:b/>
          <w:iCs/>
          <w:noProof/>
          <w:sz w:val="22"/>
          <w:szCs w:val="22"/>
          <w:u w:val="single"/>
          <w:lang w:val="sr-Latn-ME"/>
        </w:rPr>
        <w:t>h</w:t>
      </w:r>
      <w:r w:rsidRPr="00CB6AFC">
        <w:rPr>
          <w:b/>
          <w:iCs/>
          <w:noProof/>
          <w:sz w:val="22"/>
          <w:szCs w:val="22"/>
          <w:u w:val="single"/>
          <w:lang w:val="sr-Latn-ME"/>
        </w:rPr>
        <w:t xml:space="preserve"> paramet</w:t>
      </w:r>
      <w:r w:rsidR="0028524A" w:rsidRPr="00CB6AFC">
        <w:rPr>
          <w:b/>
          <w:iCs/>
          <w:noProof/>
          <w:sz w:val="22"/>
          <w:szCs w:val="22"/>
          <w:u w:val="single"/>
          <w:lang w:val="sr-Latn-ME"/>
        </w:rPr>
        <w:t>a</w:t>
      </w:r>
      <w:r w:rsidRPr="00CB6AFC">
        <w:rPr>
          <w:b/>
          <w:iCs/>
          <w:noProof/>
          <w:sz w:val="22"/>
          <w:szCs w:val="22"/>
          <w:u w:val="single"/>
          <w:lang w:val="sr-Latn-ME"/>
        </w:rPr>
        <w:t>r</w:t>
      </w:r>
      <w:r w:rsidR="0028524A" w:rsidRPr="00CB6AFC">
        <w:rPr>
          <w:b/>
          <w:iCs/>
          <w:noProof/>
          <w:sz w:val="22"/>
          <w:szCs w:val="22"/>
          <w:u w:val="single"/>
          <w:lang w:val="sr-Latn-ME"/>
        </w:rPr>
        <w:t>a</w:t>
      </w:r>
      <w:r w:rsidRPr="00CB6AFC">
        <w:rPr>
          <w:b/>
          <w:iCs/>
          <w:noProof/>
          <w:sz w:val="22"/>
          <w:szCs w:val="22"/>
          <w:u w:val="single"/>
          <w:lang w:val="sr-Latn-ME"/>
        </w:rPr>
        <w:t xml:space="preserve"> paracetamola i ibuprofena u svakoj </w:t>
      </w:r>
      <w:r w:rsidR="0028524A" w:rsidRPr="00CB6AFC">
        <w:rPr>
          <w:b/>
          <w:iCs/>
          <w:noProof/>
          <w:sz w:val="22"/>
          <w:szCs w:val="22"/>
          <w:u w:val="single"/>
          <w:lang w:val="sr-Latn-ME"/>
        </w:rPr>
        <w:t>terapijskoj</w:t>
      </w:r>
      <w:r w:rsidRPr="00CB6AFC">
        <w:rPr>
          <w:b/>
          <w:iCs/>
          <w:noProof/>
          <w:sz w:val="22"/>
          <w:szCs w:val="22"/>
          <w:u w:val="single"/>
          <w:lang w:val="sr-Latn-ME"/>
        </w:rPr>
        <w:t xml:space="preserve"> grup</w:t>
      </w:r>
      <w:r w:rsidR="0028524A" w:rsidRPr="00CB6AFC">
        <w:rPr>
          <w:b/>
          <w:iCs/>
          <w:noProof/>
          <w:sz w:val="22"/>
          <w:szCs w:val="22"/>
          <w:u w:val="single"/>
          <w:lang w:val="sr-Latn-ME"/>
        </w:rPr>
        <w:t>i</w:t>
      </w:r>
    </w:p>
    <w:p w14:paraId="734F065E" w14:textId="77777777" w:rsidR="00BE7613" w:rsidRPr="00CB6AFC" w:rsidRDefault="00BE7613" w:rsidP="002D619D">
      <w:pPr>
        <w:tabs>
          <w:tab w:val="left" w:pos="540"/>
          <w:tab w:val="left" w:pos="569"/>
        </w:tabs>
        <w:jc w:val="both"/>
        <w:rPr>
          <w:bCs/>
          <w:sz w:val="22"/>
          <w:szCs w:val="22"/>
          <w:lang w:val="sr-Latn-ME"/>
        </w:rPr>
      </w:pPr>
    </w:p>
    <w:p w14:paraId="5355E660" w14:textId="77777777" w:rsidR="00BE7613" w:rsidRPr="00CB6AFC" w:rsidRDefault="00BE7613" w:rsidP="002D619D">
      <w:pPr>
        <w:tabs>
          <w:tab w:val="left" w:pos="540"/>
          <w:tab w:val="left" w:pos="569"/>
        </w:tabs>
        <w:jc w:val="both"/>
        <w:rPr>
          <w:bCs/>
          <w:sz w:val="22"/>
          <w:szCs w:val="22"/>
          <w:lang w:val="sr-Latn-ME"/>
        </w:rPr>
      </w:pPr>
    </w:p>
    <w:tbl>
      <w:tblPr>
        <w:tblW w:w="8959" w:type="dxa"/>
        <w:tblInd w:w="108" w:type="dxa"/>
        <w:tblBorders>
          <w:top w:val="single" w:sz="12" w:space="0" w:color="BFBFBF"/>
          <w:left w:val="dotted" w:sz="4" w:space="0" w:color="auto"/>
          <w:bottom w:val="single" w:sz="12" w:space="0" w:color="BFBFBF"/>
          <w:right w:val="dotted" w:sz="4" w:space="0" w:color="auto"/>
          <w:insideV w:val="dotted" w:sz="4" w:space="0" w:color="auto"/>
        </w:tblBorders>
        <w:tblLayout w:type="fixed"/>
        <w:tblLook w:val="04A0" w:firstRow="1" w:lastRow="0" w:firstColumn="1" w:lastColumn="0" w:noHBand="0" w:noVBand="1"/>
      </w:tblPr>
      <w:tblGrid>
        <w:gridCol w:w="1730"/>
        <w:gridCol w:w="1937"/>
        <w:gridCol w:w="1937"/>
        <w:gridCol w:w="1938"/>
        <w:gridCol w:w="1417"/>
      </w:tblGrid>
      <w:tr w:rsidR="00BE7613" w:rsidRPr="00CB6AFC" w14:paraId="765CB182" w14:textId="77777777" w:rsidTr="00ED4B2E">
        <w:trPr>
          <w:trHeight w:val="358"/>
        </w:trPr>
        <w:tc>
          <w:tcPr>
            <w:tcW w:w="1730" w:type="dxa"/>
            <w:tcBorders>
              <w:bottom w:val="single" w:sz="12" w:space="0" w:color="BFBFBF"/>
            </w:tcBorders>
            <w:shd w:val="clear" w:color="auto" w:fill="auto"/>
            <w:vAlign w:val="center"/>
          </w:tcPr>
          <w:p w14:paraId="36750216" w14:textId="77777777" w:rsidR="00BE7613" w:rsidRPr="00CB6AFC" w:rsidRDefault="00BE7613" w:rsidP="002D619D">
            <w:pPr>
              <w:ind w:left="567" w:hanging="567"/>
              <w:jc w:val="both"/>
              <w:outlineLvl w:val="0"/>
              <w:rPr>
                <w:iCs/>
                <w:noProof/>
                <w:sz w:val="22"/>
                <w:szCs w:val="22"/>
                <w:u w:val="single"/>
                <w:lang w:val="sr-Latn-ME"/>
              </w:rPr>
            </w:pPr>
          </w:p>
        </w:tc>
        <w:tc>
          <w:tcPr>
            <w:tcW w:w="7229" w:type="dxa"/>
            <w:gridSpan w:val="4"/>
            <w:tcBorders>
              <w:bottom w:val="single" w:sz="12" w:space="0" w:color="BFBFBF"/>
            </w:tcBorders>
            <w:shd w:val="clear" w:color="auto" w:fill="auto"/>
            <w:noWrap/>
            <w:vAlign w:val="center"/>
          </w:tcPr>
          <w:p w14:paraId="41DDD5B7" w14:textId="71F04452" w:rsidR="00BE7613" w:rsidRPr="00CB6AFC" w:rsidRDefault="00BE7613" w:rsidP="0028524A">
            <w:pPr>
              <w:ind w:left="567" w:hanging="567"/>
              <w:jc w:val="center"/>
              <w:outlineLvl w:val="0"/>
              <w:rPr>
                <w:b/>
                <w:iCs/>
                <w:noProof/>
                <w:sz w:val="22"/>
                <w:szCs w:val="22"/>
                <w:lang w:val="sr-Latn-ME"/>
              </w:rPr>
            </w:pPr>
            <w:r w:rsidRPr="00CB6AFC">
              <w:rPr>
                <w:b/>
                <w:iCs/>
                <w:noProof/>
                <w:sz w:val="22"/>
                <w:szCs w:val="22"/>
                <w:lang w:val="sr-Latn-ME"/>
              </w:rPr>
              <w:t>Liječenje (</w:t>
            </w:r>
            <w:r w:rsidR="0028524A" w:rsidRPr="00CB6AFC">
              <w:rPr>
                <w:b/>
                <w:iCs/>
                <w:noProof/>
                <w:sz w:val="22"/>
                <w:szCs w:val="22"/>
                <w:lang w:val="sr-Latn-ME"/>
              </w:rPr>
              <w:t>Srednja vrijednost</w:t>
            </w:r>
            <w:r w:rsidRPr="00CB6AFC">
              <w:rPr>
                <w:b/>
                <w:iCs/>
                <w:noProof/>
                <w:sz w:val="22"/>
                <w:szCs w:val="22"/>
                <w:lang w:val="sr-Latn-ME"/>
              </w:rPr>
              <w:t xml:space="preserve"> ± SD)</w:t>
            </w:r>
          </w:p>
        </w:tc>
      </w:tr>
      <w:tr w:rsidR="00BE7613" w:rsidRPr="00CB6AFC" w14:paraId="205A0B0C" w14:textId="77777777" w:rsidTr="00ED4B2E">
        <w:trPr>
          <w:trHeight w:val="759"/>
        </w:trPr>
        <w:tc>
          <w:tcPr>
            <w:tcW w:w="1730" w:type="dxa"/>
            <w:tcBorders>
              <w:top w:val="single" w:sz="12" w:space="0" w:color="BFBFBF"/>
              <w:bottom w:val="single" w:sz="12" w:space="0" w:color="BFBFBF"/>
            </w:tcBorders>
            <w:shd w:val="clear" w:color="auto" w:fill="auto"/>
            <w:vAlign w:val="center"/>
            <w:hideMark/>
          </w:tcPr>
          <w:p w14:paraId="5D12B4DF" w14:textId="77777777" w:rsidR="00BE7613" w:rsidRPr="00CB6AFC" w:rsidRDefault="00BE7613" w:rsidP="00E007AC">
            <w:pPr>
              <w:ind w:left="567" w:hanging="567"/>
              <w:jc w:val="both"/>
              <w:outlineLvl w:val="0"/>
              <w:rPr>
                <w:i/>
                <w:iCs/>
                <w:noProof/>
                <w:sz w:val="22"/>
                <w:szCs w:val="22"/>
                <w:lang w:val="sr-Latn-ME"/>
              </w:rPr>
            </w:pPr>
            <w:r w:rsidRPr="00CB6AFC">
              <w:rPr>
                <w:i/>
                <w:iCs/>
                <w:noProof/>
                <w:sz w:val="22"/>
                <w:szCs w:val="22"/>
                <w:lang w:val="sr-Latn-ME"/>
              </w:rPr>
              <w:t>Paracetamol</w:t>
            </w:r>
          </w:p>
        </w:tc>
        <w:tc>
          <w:tcPr>
            <w:tcW w:w="1937" w:type="dxa"/>
            <w:tcBorders>
              <w:top w:val="single" w:sz="12" w:space="0" w:color="BFBFBF"/>
              <w:bottom w:val="single" w:sz="12" w:space="0" w:color="BFBFBF"/>
            </w:tcBorders>
            <w:shd w:val="clear" w:color="auto" w:fill="auto"/>
            <w:noWrap/>
            <w:vAlign w:val="center"/>
            <w:hideMark/>
          </w:tcPr>
          <w:p w14:paraId="31B1B78A" w14:textId="77777777" w:rsidR="00BE7613" w:rsidRPr="00CB6AFC" w:rsidRDefault="00BE7613" w:rsidP="0028524A">
            <w:pPr>
              <w:widowControl w:val="0"/>
              <w:autoSpaceDE w:val="0"/>
              <w:autoSpaceDN w:val="0"/>
              <w:adjustRightInd w:val="0"/>
              <w:spacing w:line="271" w:lineRule="auto"/>
              <w:ind w:left="-108" w:right="-108"/>
              <w:jc w:val="center"/>
              <w:rPr>
                <w:rFonts w:eastAsia="Calibri"/>
                <w:b/>
                <w:sz w:val="22"/>
                <w:szCs w:val="22"/>
                <w:lang w:val="sr-Latn-ME"/>
              </w:rPr>
            </w:pPr>
            <w:r w:rsidRPr="00CB6AFC">
              <w:rPr>
                <w:rFonts w:eastAsia="Calibri"/>
                <w:b/>
                <w:bCs/>
                <w:sz w:val="22"/>
                <w:szCs w:val="22"/>
                <w:lang w:val="sr-Latn-ME"/>
              </w:rPr>
              <w:t>Comboval</w:t>
            </w:r>
          </w:p>
          <w:p w14:paraId="09DAEB86" w14:textId="77777777" w:rsidR="00BE7613" w:rsidRPr="00CB6AFC" w:rsidRDefault="00BE7613" w:rsidP="00E007AC">
            <w:pPr>
              <w:jc w:val="center"/>
              <w:outlineLvl w:val="0"/>
              <w:rPr>
                <w:b/>
                <w:iCs/>
                <w:noProof/>
                <w:sz w:val="22"/>
                <w:szCs w:val="22"/>
                <w:lang w:val="sr-Latn-ME"/>
              </w:rPr>
            </w:pPr>
            <w:r w:rsidRPr="00CB6AFC">
              <w:rPr>
                <w:b/>
                <w:iCs/>
                <w:noProof/>
                <w:sz w:val="22"/>
                <w:szCs w:val="22"/>
                <w:lang w:val="sr-Latn-ME"/>
              </w:rPr>
              <w:t>i.v. infuzija, 15 min</w:t>
            </w:r>
          </w:p>
        </w:tc>
        <w:tc>
          <w:tcPr>
            <w:tcW w:w="1937" w:type="dxa"/>
            <w:tcBorders>
              <w:top w:val="single" w:sz="12" w:space="0" w:color="BFBFBF"/>
              <w:bottom w:val="single" w:sz="12" w:space="0" w:color="BFBFBF"/>
            </w:tcBorders>
            <w:shd w:val="clear" w:color="auto" w:fill="auto"/>
            <w:noWrap/>
            <w:vAlign w:val="center"/>
            <w:hideMark/>
          </w:tcPr>
          <w:p w14:paraId="2E8A249C" w14:textId="77777777" w:rsidR="00BE7613" w:rsidRPr="00CB6AFC" w:rsidRDefault="00BE7613" w:rsidP="00E007AC">
            <w:pPr>
              <w:ind w:left="567" w:hanging="567"/>
              <w:jc w:val="center"/>
              <w:outlineLvl w:val="0"/>
              <w:rPr>
                <w:b/>
                <w:iCs/>
                <w:noProof/>
                <w:sz w:val="22"/>
                <w:szCs w:val="22"/>
                <w:lang w:val="sr-Latn-ME"/>
              </w:rPr>
            </w:pPr>
            <w:r w:rsidRPr="00CB6AFC">
              <w:rPr>
                <w:b/>
                <w:iCs/>
                <w:noProof/>
                <w:sz w:val="22"/>
                <w:szCs w:val="22"/>
                <w:lang w:val="sr-Latn-ME"/>
              </w:rPr>
              <w:t>Paracetamol IV</w:t>
            </w:r>
          </w:p>
          <w:p w14:paraId="04AB3F9B" w14:textId="77777777" w:rsidR="00BE7613" w:rsidRPr="00CB6AFC" w:rsidRDefault="00BE7613" w:rsidP="00E007AC">
            <w:pPr>
              <w:jc w:val="center"/>
              <w:outlineLvl w:val="0"/>
              <w:rPr>
                <w:b/>
                <w:iCs/>
                <w:noProof/>
                <w:sz w:val="22"/>
                <w:szCs w:val="22"/>
                <w:lang w:val="sr-Latn-ME"/>
              </w:rPr>
            </w:pPr>
            <w:r w:rsidRPr="00CB6AFC">
              <w:rPr>
                <w:b/>
                <w:iCs/>
                <w:noProof/>
                <w:sz w:val="22"/>
                <w:szCs w:val="22"/>
                <w:lang w:val="sr-Latn-ME"/>
              </w:rPr>
              <w:t>i.v. infuzija, 15 min</w:t>
            </w:r>
          </w:p>
        </w:tc>
        <w:tc>
          <w:tcPr>
            <w:tcW w:w="1938" w:type="dxa"/>
            <w:tcBorders>
              <w:top w:val="single" w:sz="12" w:space="0" w:color="BFBFBF"/>
              <w:bottom w:val="single" w:sz="12" w:space="0" w:color="BFBFBF"/>
            </w:tcBorders>
            <w:shd w:val="clear" w:color="auto" w:fill="auto"/>
            <w:noWrap/>
            <w:vAlign w:val="center"/>
            <w:hideMark/>
          </w:tcPr>
          <w:p w14:paraId="38B3C300" w14:textId="77777777" w:rsidR="00BE7613" w:rsidRPr="00CB6AFC" w:rsidRDefault="00BE7613" w:rsidP="00E007AC">
            <w:pPr>
              <w:ind w:left="567" w:hanging="567"/>
              <w:jc w:val="center"/>
              <w:outlineLvl w:val="0"/>
              <w:rPr>
                <w:b/>
                <w:iCs/>
                <w:noProof/>
                <w:sz w:val="22"/>
                <w:szCs w:val="22"/>
                <w:lang w:val="sr-Latn-ME"/>
              </w:rPr>
            </w:pPr>
            <w:r w:rsidRPr="00CB6AFC">
              <w:rPr>
                <w:b/>
                <w:bCs/>
                <w:sz w:val="22"/>
                <w:szCs w:val="22"/>
                <w:lang w:val="sr-Latn-ME"/>
              </w:rPr>
              <w:t>Comboval</w:t>
            </w:r>
          </w:p>
          <w:p w14:paraId="634C987C" w14:textId="77777777" w:rsidR="00BE7613" w:rsidRPr="00CB6AFC" w:rsidRDefault="00BE7613" w:rsidP="00E007AC">
            <w:pPr>
              <w:ind w:left="567" w:hanging="567"/>
              <w:jc w:val="center"/>
              <w:outlineLvl w:val="0"/>
              <w:rPr>
                <w:b/>
                <w:iCs/>
                <w:noProof/>
                <w:sz w:val="22"/>
                <w:szCs w:val="22"/>
                <w:lang w:val="sr-Latn-ME"/>
              </w:rPr>
            </w:pPr>
            <w:r w:rsidRPr="00CB6AFC">
              <w:rPr>
                <w:b/>
                <w:iCs/>
                <w:noProof/>
                <w:sz w:val="22"/>
                <w:szCs w:val="22"/>
                <w:lang w:val="sr-Latn-ME"/>
              </w:rPr>
              <w:t>Pola doze</w:t>
            </w:r>
          </w:p>
          <w:p w14:paraId="0C82C3D0" w14:textId="77777777" w:rsidR="00BE7613" w:rsidRPr="00CB6AFC" w:rsidRDefault="00BE7613" w:rsidP="00E007AC">
            <w:pPr>
              <w:jc w:val="center"/>
              <w:outlineLvl w:val="0"/>
              <w:rPr>
                <w:b/>
                <w:iCs/>
                <w:noProof/>
                <w:sz w:val="22"/>
                <w:szCs w:val="22"/>
                <w:lang w:val="sr-Latn-ME"/>
              </w:rPr>
            </w:pPr>
            <w:r w:rsidRPr="00CB6AFC">
              <w:rPr>
                <w:b/>
                <w:iCs/>
                <w:noProof/>
                <w:sz w:val="22"/>
                <w:szCs w:val="22"/>
                <w:lang w:val="sr-Latn-ME"/>
              </w:rPr>
              <w:t>i.v. infuzija, 15 min</w:t>
            </w:r>
          </w:p>
        </w:tc>
        <w:tc>
          <w:tcPr>
            <w:tcW w:w="1417" w:type="dxa"/>
            <w:tcBorders>
              <w:top w:val="single" w:sz="12" w:space="0" w:color="BFBFBF"/>
              <w:bottom w:val="single" w:sz="12" w:space="0" w:color="BFBFBF"/>
            </w:tcBorders>
            <w:shd w:val="clear" w:color="auto" w:fill="auto"/>
            <w:noWrap/>
            <w:vAlign w:val="center"/>
            <w:hideMark/>
          </w:tcPr>
          <w:p w14:paraId="0F9EB238" w14:textId="77777777" w:rsidR="00BE7613" w:rsidRPr="00CB6AFC" w:rsidRDefault="00BE7613" w:rsidP="00E007AC">
            <w:pPr>
              <w:ind w:left="567" w:hanging="567"/>
              <w:jc w:val="center"/>
              <w:outlineLvl w:val="0"/>
              <w:rPr>
                <w:b/>
                <w:bCs/>
                <w:sz w:val="22"/>
                <w:szCs w:val="22"/>
                <w:lang w:val="sr-Latn-ME"/>
              </w:rPr>
            </w:pPr>
            <w:r w:rsidRPr="00CB6AFC">
              <w:rPr>
                <w:b/>
                <w:bCs/>
                <w:sz w:val="22"/>
                <w:szCs w:val="22"/>
                <w:lang w:val="sr-Latn-ME"/>
              </w:rPr>
              <w:t>Paracetamol/</w:t>
            </w:r>
          </w:p>
          <w:p w14:paraId="5627D5E6" w14:textId="41BC7BC1" w:rsidR="00BE7613" w:rsidRPr="00CB6AFC" w:rsidRDefault="00BE7613" w:rsidP="00E007AC">
            <w:pPr>
              <w:ind w:left="567" w:hanging="567"/>
              <w:jc w:val="center"/>
              <w:outlineLvl w:val="0"/>
              <w:rPr>
                <w:b/>
                <w:bCs/>
                <w:sz w:val="22"/>
                <w:szCs w:val="22"/>
                <w:lang w:val="sr-Latn-ME"/>
              </w:rPr>
            </w:pPr>
            <w:r w:rsidRPr="00CB6AFC">
              <w:rPr>
                <w:b/>
                <w:bCs/>
                <w:sz w:val="22"/>
                <w:szCs w:val="22"/>
                <w:lang w:val="sr-Latn-ME"/>
              </w:rPr>
              <w:t>Ibuprofen</w:t>
            </w:r>
          </w:p>
          <w:p w14:paraId="5145C44D" w14:textId="77777777" w:rsidR="00BE7613" w:rsidRPr="00CB6AFC" w:rsidRDefault="00BE7613" w:rsidP="00E007AC">
            <w:pPr>
              <w:ind w:left="567" w:hanging="567"/>
              <w:jc w:val="center"/>
              <w:outlineLvl w:val="0"/>
              <w:rPr>
                <w:b/>
                <w:iCs/>
                <w:noProof/>
                <w:sz w:val="22"/>
                <w:szCs w:val="22"/>
                <w:lang w:val="sr-Latn-ME"/>
              </w:rPr>
            </w:pPr>
            <w:r w:rsidRPr="00CB6AFC">
              <w:rPr>
                <w:b/>
                <w:iCs/>
                <w:noProof/>
                <w:sz w:val="22"/>
                <w:szCs w:val="22"/>
                <w:lang w:val="sr-Latn-ME"/>
              </w:rPr>
              <w:t>Tablete</w:t>
            </w:r>
          </w:p>
          <w:p w14:paraId="7C889F73" w14:textId="77777777" w:rsidR="00BE7613" w:rsidRPr="00CB6AFC" w:rsidRDefault="00BE7613" w:rsidP="00E007AC">
            <w:pPr>
              <w:ind w:left="5" w:hanging="5"/>
              <w:jc w:val="center"/>
              <w:outlineLvl w:val="0"/>
              <w:rPr>
                <w:b/>
                <w:iCs/>
                <w:noProof/>
                <w:sz w:val="22"/>
                <w:szCs w:val="22"/>
                <w:lang w:val="sr-Latn-ME"/>
              </w:rPr>
            </w:pPr>
            <w:r w:rsidRPr="00CB6AFC">
              <w:rPr>
                <w:b/>
                <w:iCs/>
                <w:noProof/>
                <w:sz w:val="22"/>
                <w:szCs w:val="22"/>
                <w:lang w:val="sr-Latn-ME"/>
              </w:rPr>
              <w:t>Oralna primjena</w:t>
            </w:r>
          </w:p>
        </w:tc>
      </w:tr>
      <w:tr w:rsidR="00BE7613" w:rsidRPr="00CB6AFC" w14:paraId="0E80BB2F" w14:textId="77777777" w:rsidTr="00ED4B2E">
        <w:trPr>
          <w:trHeight w:val="483"/>
        </w:trPr>
        <w:tc>
          <w:tcPr>
            <w:tcW w:w="1730" w:type="dxa"/>
            <w:tcBorders>
              <w:top w:val="single" w:sz="12" w:space="0" w:color="BFBFBF"/>
            </w:tcBorders>
            <w:shd w:val="clear" w:color="auto" w:fill="auto"/>
            <w:noWrap/>
            <w:vAlign w:val="center"/>
            <w:hideMark/>
          </w:tcPr>
          <w:p w14:paraId="39668009" w14:textId="2979F36E"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lastRenderedPageBreak/>
              <w:t>C</w:t>
            </w:r>
            <w:r w:rsidRPr="00CB6AFC">
              <w:rPr>
                <w:iCs/>
                <w:noProof/>
                <w:sz w:val="22"/>
                <w:szCs w:val="22"/>
                <w:u w:val="single"/>
                <w:vertAlign w:val="subscript"/>
                <w:lang w:val="sr-Latn-ME"/>
              </w:rPr>
              <w:t xml:space="preserve">max </w:t>
            </w:r>
            <w:r w:rsidRPr="00CB6AFC">
              <w:rPr>
                <w:iCs/>
                <w:noProof/>
                <w:sz w:val="22"/>
                <w:szCs w:val="22"/>
                <w:u w:val="single"/>
                <w:lang w:val="sr-Latn-ME"/>
              </w:rPr>
              <w:t>(ng/m</w:t>
            </w:r>
            <w:r w:rsidR="0028524A" w:rsidRPr="00CB6AFC">
              <w:rPr>
                <w:iCs/>
                <w:noProof/>
                <w:sz w:val="22"/>
                <w:szCs w:val="22"/>
                <w:u w:val="single"/>
                <w:lang w:val="sr-Latn-ME"/>
              </w:rPr>
              <w:t>l</w:t>
            </w:r>
            <w:r w:rsidRPr="00CB6AFC">
              <w:rPr>
                <w:iCs/>
                <w:noProof/>
                <w:sz w:val="22"/>
                <w:szCs w:val="22"/>
                <w:u w:val="single"/>
                <w:lang w:val="sr-Latn-ME"/>
              </w:rPr>
              <w:t>)</w:t>
            </w:r>
          </w:p>
        </w:tc>
        <w:tc>
          <w:tcPr>
            <w:tcW w:w="1937" w:type="dxa"/>
            <w:tcBorders>
              <w:top w:val="single" w:sz="12" w:space="0" w:color="BFBFBF"/>
            </w:tcBorders>
            <w:shd w:val="clear" w:color="auto" w:fill="auto"/>
            <w:noWrap/>
            <w:vAlign w:val="center"/>
            <w:hideMark/>
          </w:tcPr>
          <w:p w14:paraId="2C4AA759" w14:textId="467C7D54"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26 709</w:t>
            </w:r>
            <w:r w:rsidR="0028524A" w:rsidRPr="00CB6AFC">
              <w:rPr>
                <w:iCs/>
                <w:noProof/>
                <w:sz w:val="22"/>
                <w:szCs w:val="22"/>
                <w:u w:val="single"/>
                <w:lang w:val="sr-Latn-ME"/>
              </w:rPr>
              <w:t>.</w:t>
            </w:r>
            <w:r w:rsidRPr="00CB6AFC">
              <w:rPr>
                <w:iCs/>
                <w:noProof/>
                <w:sz w:val="22"/>
                <w:szCs w:val="22"/>
                <w:u w:val="single"/>
                <w:lang w:val="sr-Latn-ME"/>
              </w:rPr>
              <w:t>57</w:t>
            </w:r>
          </w:p>
          <w:p w14:paraId="4702BF26" w14:textId="30E0EC76"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5814</w:t>
            </w:r>
            <w:r w:rsidR="0028524A" w:rsidRPr="00CB6AFC">
              <w:rPr>
                <w:iCs/>
                <w:noProof/>
                <w:sz w:val="22"/>
                <w:szCs w:val="22"/>
                <w:u w:val="single"/>
                <w:lang w:val="sr-Latn-ME"/>
              </w:rPr>
              <w:t>.</w:t>
            </w:r>
            <w:r w:rsidRPr="00CB6AFC">
              <w:rPr>
                <w:iCs/>
                <w:noProof/>
                <w:sz w:val="22"/>
                <w:szCs w:val="22"/>
                <w:u w:val="single"/>
                <w:lang w:val="sr-Latn-ME"/>
              </w:rPr>
              <w:t>74</w:t>
            </w:r>
          </w:p>
        </w:tc>
        <w:tc>
          <w:tcPr>
            <w:tcW w:w="1937" w:type="dxa"/>
            <w:tcBorders>
              <w:top w:val="single" w:sz="12" w:space="0" w:color="BFBFBF"/>
            </w:tcBorders>
            <w:shd w:val="clear" w:color="auto" w:fill="auto"/>
            <w:noWrap/>
            <w:vAlign w:val="center"/>
            <w:hideMark/>
          </w:tcPr>
          <w:p w14:paraId="4F6BE906" w14:textId="3FDC48C1"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26 236</w:t>
            </w:r>
            <w:r w:rsidR="0028524A" w:rsidRPr="00CB6AFC">
              <w:rPr>
                <w:iCs/>
                <w:noProof/>
                <w:sz w:val="22"/>
                <w:szCs w:val="22"/>
                <w:u w:val="single"/>
                <w:lang w:val="sr-Latn-ME"/>
              </w:rPr>
              <w:t>.</w:t>
            </w:r>
            <w:r w:rsidRPr="00CB6AFC">
              <w:rPr>
                <w:iCs/>
                <w:noProof/>
                <w:sz w:val="22"/>
                <w:szCs w:val="22"/>
                <w:u w:val="single"/>
                <w:lang w:val="sr-Latn-ME"/>
              </w:rPr>
              <w:t>06</w:t>
            </w:r>
          </w:p>
          <w:p w14:paraId="79D76B4F" w14:textId="00DFDE72"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5430</w:t>
            </w:r>
            <w:r w:rsidR="0028524A" w:rsidRPr="00CB6AFC">
              <w:rPr>
                <w:iCs/>
                <w:noProof/>
                <w:sz w:val="22"/>
                <w:szCs w:val="22"/>
                <w:u w:val="single"/>
                <w:lang w:val="sr-Latn-ME"/>
              </w:rPr>
              <w:t>.</w:t>
            </w:r>
            <w:r w:rsidRPr="00CB6AFC">
              <w:rPr>
                <w:iCs/>
                <w:noProof/>
                <w:sz w:val="22"/>
                <w:szCs w:val="22"/>
                <w:u w:val="single"/>
                <w:lang w:val="sr-Latn-ME"/>
              </w:rPr>
              <w:t>52</w:t>
            </w:r>
          </w:p>
        </w:tc>
        <w:tc>
          <w:tcPr>
            <w:tcW w:w="1938" w:type="dxa"/>
            <w:tcBorders>
              <w:top w:val="single" w:sz="12" w:space="0" w:color="BFBFBF"/>
            </w:tcBorders>
            <w:shd w:val="clear" w:color="auto" w:fill="auto"/>
            <w:noWrap/>
            <w:vAlign w:val="center"/>
            <w:hideMark/>
          </w:tcPr>
          <w:p w14:paraId="583CB7A0" w14:textId="27657616"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12 880</w:t>
            </w:r>
            <w:r w:rsidR="0028524A" w:rsidRPr="00CB6AFC">
              <w:rPr>
                <w:iCs/>
                <w:noProof/>
                <w:sz w:val="22"/>
                <w:szCs w:val="22"/>
                <w:u w:val="single"/>
                <w:lang w:val="sr-Latn-ME"/>
              </w:rPr>
              <w:t>.</w:t>
            </w:r>
            <w:r w:rsidRPr="00CB6AFC">
              <w:rPr>
                <w:iCs/>
                <w:noProof/>
                <w:sz w:val="22"/>
                <w:szCs w:val="22"/>
                <w:u w:val="single"/>
                <w:lang w:val="sr-Latn-ME"/>
              </w:rPr>
              <w:t>39</w:t>
            </w:r>
          </w:p>
          <w:p w14:paraId="2C5D4DC4" w14:textId="7A6FE615"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2553</w:t>
            </w:r>
            <w:r w:rsidR="0028524A" w:rsidRPr="00CB6AFC">
              <w:rPr>
                <w:iCs/>
                <w:noProof/>
                <w:sz w:val="22"/>
                <w:szCs w:val="22"/>
                <w:u w:val="single"/>
                <w:lang w:val="sr-Latn-ME"/>
              </w:rPr>
              <w:t>.</w:t>
            </w:r>
            <w:r w:rsidRPr="00CB6AFC">
              <w:rPr>
                <w:iCs/>
                <w:noProof/>
                <w:sz w:val="22"/>
                <w:szCs w:val="22"/>
                <w:u w:val="single"/>
                <w:lang w:val="sr-Latn-ME"/>
              </w:rPr>
              <w:t>15</w:t>
            </w:r>
          </w:p>
        </w:tc>
        <w:tc>
          <w:tcPr>
            <w:tcW w:w="1417" w:type="dxa"/>
            <w:tcBorders>
              <w:top w:val="single" w:sz="12" w:space="0" w:color="BFBFBF"/>
            </w:tcBorders>
            <w:shd w:val="clear" w:color="auto" w:fill="auto"/>
            <w:noWrap/>
            <w:vAlign w:val="center"/>
            <w:hideMark/>
          </w:tcPr>
          <w:p w14:paraId="127D2D7A" w14:textId="31DAB2E5"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14 907</w:t>
            </w:r>
            <w:r w:rsidR="0028524A" w:rsidRPr="00CB6AFC">
              <w:rPr>
                <w:iCs/>
                <w:noProof/>
                <w:sz w:val="22"/>
                <w:szCs w:val="22"/>
                <w:u w:val="single"/>
                <w:lang w:val="sr-Latn-ME"/>
              </w:rPr>
              <w:t>.</w:t>
            </w:r>
            <w:r w:rsidRPr="00CB6AFC">
              <w:rPr>
                <w:iCs/>
                <w:noProof/>
                <w:sz w:val="22"/>
                <w:szCs w:val="22"/>
                <w:u w:val="single"/>
                <w:lang w:val="sr-Latn-ME"/>
              </w:rPr>
              <w:t>16</w:t>
            </w:r>
          </w:p>
          <w:p w14:paraId="6746498E" w14:textId="2E0DD5C8"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6255</w:t>
            </w:r>
            <w:r w:rsidR="0028524A" w:rsidRPr="00CB6AFC">
              <w:rPr>
                <w:iCs/>
                <w:noProof/>
                <w:sz w:val="22"/>
                <w:szCs w:val="22"/>
                <w:u w:val="single"/>
                <w:lang w:val="sr-Latn-ME"/>
              </w:rPr>
              <w:t>.</w:t>
            </w:r>
            <w:r w:rsidRPr="00CB6AFC">
              <w:rPr>
                <w:iCs/>
                <w:noProof/>
                <w:sz w:val="22"/>
                <w:szCs w:val="22"/>
                <w:u w:val="single"/>
                <w:lang w:val="sr-Latn-ME"/>
              </w:rPr>
              <w:t>10</w:t>
            </w:r>
          </w:p>
        </w:tc>
      </w:tr>
      <w:tr w:rsidR="00BE7613" w:rsidRPr="00CB6AFC" w14:paraId="3A9432E8" w14:textId="77777777" w:rsidTr="00ED4B2E">
        <w:trPr>
          <w:trHeight w:val="542"/>
        </w:trPr>
        <w:tc>
          <w:tcPr>
            <w:tcW w:w="1730" w:type="dxa"/>
            <w:shd w:val="clear" w:color="auto" w:fill="auto"/>
            <w:noWrap/>
            <w:vAlign w:val="center"/>
            <w:hideMark/>
          </w:tcPr>
          <w:p w14:paraId="7B99B171" w14:textId="1CAFDB10" w:rsidR="00BE7613" w:rsidRPr="00CB6AFC" w:rsidRDefault="0028524A" w:rsidP="00E007AC">
            <w:pPr>
              <w:ind w:left="567" w:hanging="567"/>
              <w:jc w:val="both"/>
              <w:outlineLvl w:val="0"/>
              <w:rPr>
                <w:iCs/>
                <w:noProof/>
                <w:sz w:val="22"/>
                <w:szCs w:val="22"/>
                <w:u w:val="single"/>
                <w:lang w:val="sr-Latn-ME"/>
              </w:rPr>
            </w:pPr>
            <w:r w:rsidRPr="00CB6AFC">
              <w:rPr>
                <w:iCs/>
                <w:noProof/>
                <w:sz w:val="22"/>
                <w:szCs w:val="22"/>
                <w:u w:val="single"/>
                <w:lang w:val="sr-Latn-ME"/>
              </w:rPr>
              <w:t>PIK</w:t>
            </w:r>
            <w:r w:rsidR="00BE7613" w:rsidRPr="00CB6AFC">
              <w:rPr>
                <w:iCs/>
                <w:noProof/>
                <w:sz w:val="22"/>
                <w:szCs w:val="22"/>
                <w:u w:val="single"/>
                <w:vertAlign w:val="subscript"/>
                <w:lang w:val="sr-Latn-ME"/>
              </w:rPr>
              <w:t xml:space="preserve">0-t </w:t>
            </w:r>
            <w:r w:rsidR="00BE7613" w:rsidRPr="00CB6AFC">
              <w:rPr>
                <w:iCs/>
                <w:noProof/>
                <w:sz w:val="22"/>
                <w:szCs w:val="22"/>
                <w:u w:val="single"/>
                <w:lang w:val="sr-Latn-ME"/>
              </w:rPr>
              <w:t>(ng.h/m</w:t>
            </w:r>
            <w:r w:rsidRPr="00CB6AFC">
              <w:rPr>
                <w:iCs/>
                <w:noProof/>
                <w:sz w:val="22"/>
                <w:szCs w:val="22"/>
                <w:u w:val="single"/>
                <w:lang w:val="sr-Latn-ME"/>
              </w:rPr>
              <w:t>l</w:t>
            </w:r>
            <w:r w:rsidR="00BE7613" w:rsidRPr="00CB6AFC">
              <w:rPr>
                <w:iCs/>
                <w:noProof/>
                <w:sz w:val="22"/>
                <w:szCs w:val="22"/>
                <w:u w:val="single"/>
                <w:lang w:val="sr-Latn-ME"/>
              </w:rPr>
              <w:t>)</w:t>
            </w:r>
          </w:p>
        </w:tc>
        <w:tc>
          <w:tcPr>
            <w:tcW w:w="1937" w:type="dxa"/>
            <w:shd w:val="clear" w:color="auto" w:fill="auto"/>
            <w:noWrap/>
            <w:vAlign w:val="center"/>
            <w:hideMark/>
          </w:tcPr>
          <w:p w14:paraId="5239452B" w14:textId="2173C6C9"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37 553</w:t>
            </w:r>
            <w:r w:rsidR="0028524A" w:rsidRPr="00CB6AFC">
              <w:rPr>
                <w:iCs/>
                <w:noProof/>
                <w:sz w:val="22"/>
                <w:szCs w:val="22"/>
                <w:u w:val="single"/>
                <w:lang w:val="sr-Latn-ME"/>
              </w:rPr>
              <w:t>.</w:t>
            </w:r>
            <w:r w:rsidRPr="00CB6AFC">
              <w:rPr>
                <w:iCs/>
                <w:noProof/>
                <w:sz w:val="22"/>
                <w:szCs w:val="22"/>
                <w:u w:val="single"/>
                <w:lang w:val="sr-Latn-ME"/>
              </w:rPr>
              <w:t>97</w:t>
            </w:r>
          </w:p>
          <w:p w14:paraId="7A1F6C0B" w14:textId="719DDBEB"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9816</w:t>
            </w:r>
            <w:r w:rsidR="0028524A" w:rsidRPr="00CB6AFC">
              <w:rPr>
                <w:iCs/>
                <w:noProof/>
                <w:sz w:val="22"/>
                <w:szCs w:val="22"/>
                <w:u w:val="single"/>
                <w:lang w:val="sr-Latn-ME"/>
              </w:rPr>
              <w:t>.</w:t>
            </w:r>
            <w:r w:rsidRPr="00CB6AFC">
              <w:rPr>
                <w:iCs/>
                <w:noProof/>
                <w:sz w:val="22"/>
                <w:szCs w:val="22"/>
                <w:u w:val="single"/>
                <w:lang w:val="sr-Latn-ME"/>
              </w:rPr>
              <w:t>96</w:t>
            </w:r>
          </w:p>
        </w:tc>
        <w:tc>
          <w:tcPr>
            <w:tcW w:w="1937" w:type="dxa"/>
            <w:shd w:val="clear" w:color="auto" w:fill="auto"/>
            <w:noWrap/>
            <w:vAlign w:val="center"/>
            <w:hideMark/>
          </w:tcPr>
          <w:p w14:paraId="2280D1A4" w14:textId="500AAA7A"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35 846</w:t>
            </w:r>
            <w:r w:rsidR="0028524A" w:rsidRPr="00CB6AFC">
              <w:rPr>
                <w:iCs/>
                <w:noProof/>
                <w:sz w:val="22"/>
                <w:szCs w:val="22"/>
                <w:u w:val="single"/>
                <w:lang w:val="sr-Latn-ME"/>
              </w:rPr>
              <w:t>.</w:t>
            </w:r>
            <w:r w:rsidRPr="00CB6AFC">
              <w:rPr>
                <w:iCs/>
                <w:noProof/>
                <w:sz w:val="22"/>
                <w:szCs w:val="22"/>
                <w:u w:val="single"/>
                <w:lang w:val="sr-Latn-ME"/>
              </w:rPr>
              <w:t>20</w:t>
            </w:r>
          </w:p>
          <w:p w14:paraId="42F74CEE" w14:textId="443AD792"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8734</w:t>
            </w:r>
            <w:r w:rsidR="0028524A" w:rsidRPr="00CB6AFC">
              <w:rPr>
                <w:iCs/>
                <w:noProof/>
                <w:sz w:val="22"/>
                <w:szCs w:val="22"/>
                <w:u w:val="single"/>
                <w:lang w:val="sr-Latn-ME"/>
              </w:rPr>
              <w:t>.</w:t>
            </w:r>
            <w:r w:rsidRPr="00CB6AFC">
              <w:rPr>
                <w:iCs/>
                <w:noProof/>
                <w:sz w:val="22"/>
                <w:szCs w:val="22"/>
                <w:u w:val="single"/>
                <w:lang w:val="sr-Latn-ME"/>
              </w:rPr>
              <w:t>15</w:t>
            </w:r>
          </w:p>
        </w:tc>
        <w:tc>
          <w:tcPr>
            <w:tcW w:w="1938" w:type="dxa"/>
            <w:shd w:val="clear" w:color="auto" w:fill="auto"/>
            <w:noWrap/>
            <w:vAlign w:val="center"/>
            <w:hideMark/>
          </w:tcPr>
          <w:p w14:paraId="244F23D3" w14:textId="206CE04C"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18 327</w:t>
            </w:r>
            <w:r w:rsidR="0028524A" w:rsidRPr="00CB6AFC">
              <w:rPr>
                <w:iCs/>
                <w:noProof/>
                <w:sz w:val="22"/>
                <w:szCs w:val="22"/>
                <w:u w:val="single"/>
                <w:lang w:val="sr-Latn-ME"/>
              </w:rPr>
              <w:t>.</w:t>
            </w:r>
            <w:r w:rsidRPr="00CB6AFC">
              <w:rPr>
                <w:iCs/>
                <w:noProof/>
                <w:sz w:val="22"/>
                <w:szCs w:val="22"/>
                <w:u w:val="single"/>
                <w:lang w:val="sr-Latn-ME"/>
              </w:rPr>
              <w:t>40</w:t>
            </w:r>
          </w:p>
          <w:p w14:paraId="0B1E1592" w14:textId="0BE57870"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4758</w:t>
            </w:r>
            <w:r w:rsidR="0028524A" w:rsidRPr="00CB6AFC">
              <w:rPr>
                <w:iCs/>
                <w:noProof/>
                <w:sz w:val="22"/>
                <w:szCs w:val="22"/>
                <w:u w:val="single"/>
                <w:lang w:val="sr-Latn-ME"/>
              </w:rPr>
              <w:t>.</w:t>
            </w:r>
            <w:r w:rsidRPr="00CB6AFC">
              <w:rPr>
                <w:iCs/>
                <w:noProof/>
                <w:sz w:val="22"/>
                <w:szCs w:val="22"/>
                <w:u w:val="single"/>
                <w:lang w:val="sr-Latn-ME"/>
              </w:rPr>
              <w:t>34</w:t>
            </w:r>
          </w:p>
        </w:tc>
        <w:tc>
          <w:tcPr>
            <w:tcW w:w="1417" w:type="dxa"/>
            <w:shd w:val="clear" w:color="auto" w:fill="auto"/>
            <w:noWrap/>
            <w:vAlign w:val="center"/>
            <w:hideMark/>
          </w:tcPr>
          <w:p w14:paraId="1C2E3332" w14:textId="7D4A1655"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34 980</w:t>
            </w:r>
            <w:r w:rsidR="0028524A" w:rsidRPr="00CB6AFC">
              <w:rPr>
                <w:iCs/>
                <w:noProof/>
                <w:sz w:val="22"/>
                <w:szCs w:val="22"/>
                <w:u w:val="single"/>
                <w:lang w:val="sr-Latn-ME"/>
              </w:rPr>
              <w:t>.</w:t>
            </w:r>
            <w:r w:rsidRPr="00CB6AFC">
              <w:rPr>
                <w:iCs/>
                <w:noProof/>
                <w:sz w:val="22"/>
                <w:szCs w:val="22"/>
                <w:u w:val="single"/>
                <w:lang w:val="sr-Latn-ME"/>
              </w:rPr>
              <w:t>80</w:t>
            </w:r>
          </w:p>
          <w:p w14:paraId="336EBEA3" w14:textId="1E47BD2E"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9430</w:t>
            </w:r>
            <w:r w:rsidR="0028524A" w:rsidRPr="00CB6AFC">
              <w:rPr>
                <w:iCs/>
                <w:noProof/>
                <w:sz w:val="22"/>
                <w:szCs w:val="22"/>
                <w:u w:val="single"/>
                <w:lang w:val="sr-Latn-ME"/>
              </w:rPr>
              <w:t>.</w:t>
            </w:r>
            <w:r w:rsidRPr="00CB6AFC">
              <w:rPr>
                <w:iCs/>
                <w:noProof/>
                <w:sz w:val="22"/>
                <w:szCs w:val="22"/>
                <w:u w:val="single"/>
                <w:lang w:val="sr-Latn-ME"/>
              </w:rPr>
              <w:t>21</w:t>
            </w:r>
          </w:p>
        </w:tc>
      </w:tr>
      <w:tr w:rsidR="00BE7613" w:rsidRPr="00CB6AFC" w14:paraId="6CCD1EB7" w14:textId="77777777" w:rsidTr="00ED4B2E">
        <w:trPr>
          <w:trHeight w:val="564"/>
        </w:trPr>
        <w:tc>
          <w:tcPr>
            <w:tcW w:w="1730" w:type="dxa"/>
            <w:shd w:val="clear" w:color="auto" w:fill="auto"/>
            <w:noWrap/>
            <w:vAlign w:val="center"/>
            <w:hideMark/>
          </w:tcPr>
          <w:p w14:paraId="6271B0E4" w14:textId="1EA6662C" w:rsidR="00BE7613" w:rsidRPr="00CB6AFC" w:rsidRDefault="0028524A" w:rsidP="00E007AC">
            <w:pPr>
              <w:ind w:left="567" w:hanging="567"/>
              <w:jc w:val="both"/>
              <w:outlineLvl w:val="0"/>
              <w:rPr>
                <w:iCs/>
                <w:noProof/>
                <w:sz w:val="22"/>
                <w:szCs w:val="22"/>
                <w:u w:val="single"/>
                <w:lang w:val="sr-Latn-ME"/>
              </w:rPr>
            </w:pPr>
            <w:r w:rsidRPr="00CB6AFC">
              <w:rPr>
                <w:iCs/>
                <w:noProof/>
                <w:sz w:val="22"/>
                <w:szCs w:val="22"/>
                <w:u w:val="single"/>
                <w:lang w:val="sr-Latn-ME"/>
              </w:rPr>
              <w:t>PIK</w:t>
            </w:r>
            <w:r w:rsidR="00BE7613" w:rsidRPr="00CB6AFC">
              <w:rPr>
                <w:iCs/>
                <w:noProof/>
                <w:sz w:val="22"/>
                <w:szCs w:val="22"/>
                <w:u w:val="single"/>
                <w:vertAlign w:val="subscript"/>
                <w:lang w:val="sr-Latn-ME"/>
              </w:rPr>
              <w:t>0-∞</w:t>
            </w:r>
            <w:r w:rsidR="00BE7613" w:rsidRPr="00CB6AFC">
              <w:rPr>
                <w:iCs/>
                <w:noProof/>
                <w:sz w:val="22"/>
                <w:szCs w:val="22"/>
                <w:u w:val="single"/>
                <w:lang w:val="sr-Latn-ME"/>
              </w:rPr>
              <w:t xml:space="preserve"> (ng.h/m</w:t>
            </w:r>
            <w:r w:rsidRPr="00CB6AFC">
              <w:rPr>
                <w:iCs/>
                <w:noProof/>
                <w:sz w:val="22"/>
                <w:szCs w:val="22"/>
                <w:u w:val="single"/>
                <w:lang w:val="sr-Latn-ME"/>
              </w:rPr>
              <w:t>l</w:t>
            </w:r>
            <w:r w:rsidR="00BE7613" w:rsidRPr="00CB6AFC">
              <w:rPr>
                <w:iCs/>
                <w:noProof/>
                <w:sz w:val="22"/>
                <w:szCs w:val="22"/>
                <w:u w:val="single"/>
                <w:lang w:val="sr-Latn-ME"/>
              </w:rPr>
              <w:t>)</w:t>
            </w:r>
          </w:p>
        </w:tc>
        <w:tc>
          <w:tcPr>
            <w:tcW w:w="1937" w:type="dxa"/>
            <w:shd w:val="clear" w:color="auto" w:fill="auto"/>
            <w:noWrap/>
            <w:vAlign w:val="center"/>
            <w:hideMark/>
          </w:tcPr>
          <w:p w14:paraId="3E9C0706" w14:textId="70AA7A93"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39 419</w:t>
            </w:r>
            <w:r w:rsidR="0028524A" w:rsidRPr="00CB6AFC">
              <w:rPr>
                <w:iCs/>
                <w:noProof/>
                <w:sz w:val="22"/>
                <w:szCs w:val="22"/>
                <w:u w:val="single"/>
                <w:lang w:val="sr-Latn-ME"/>
              </w:rPr>
              <w:t>.</w:t>
            </w:r>
            <w:r w:rsidRPr="00CB6AFC">
              <w:rPr>
                <w:iCs/>
                <w:noProof/>
                <w:sz w:val="22"/>
                <w:szCs w:val="22"/>
                <w:u w:val="single"/>
                <w:lang w:val="sr-Latn-ME"/>
              </w:rPr>
              <w:t>95</w:t>
            </w:r>
          </w:p>
          <w:p w14:paraId="02C6561D" w14:textId="572D5C60"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10 630</w:t>
            </w:r>
            <w:r w:rsidR="0028524A" w:rsidRPr="00CB6AFC">
              <w:rPr>
                <w:iCs/>
                <w:noProof/>
                <w:sz w:val="22"/>
                <w:szCs w:val="22"/>
                <w:u w:val="single"/>
                <w:lang w:val="sr-Latn-ME"/>
              </w:rPr>
              <w:t>.</w:t>
            </w:r>
            <w:r w:rsidRPr="00CB6AFC">
              <w:rPr>
                <w:iCs/>
                <w:noProof/>
                <w:sz w:val="22"/>
                <w:szCs w:val="22"/>
                <w:u w:val="single"/>
                <w:lang w:val="sr-Latn-ME"/>
              </w:rPr>
              <w:t>63</w:t>
            </w:r>
          </w:p>
        </w:tc>
        <w:tc>
          <w:tcPr>
            <w:tcW w:w="1937" w:type="dxa"/>
            <w:shd w:val="clear" w:color="auto" w:fill="auto"/>
            <w:noWrap/>
            <w:vAlign w:val="center"/>
            <w:hideMark/>
          </w:tcPr>
          <w:p w14:paraId="0DE23D5A" w14:textId="023DBC33"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37 651</w:t>
            </w:r>
            <w:r w:rsidR="0028524A" w:rsidRPr="00CB6AFC">
              <w:rPr>
                <w:iCs/>
                <w:noProof/>
                <w:sz w:val="22"/>
                <w:szCs w:val="22"/>
                <w:u w:val="single"/>
                <w:lang w:val="sr-Latn-ME"/>
              </w:rPr>
              <w:t>.</w:t>
            </w:r>
            <w:r w:rsidRPr="00CB6AFC">
              <w:rPr>
                <w:iCs/>
                <w:noProof/>
                <w:sz w:val="22"/>
                <w:szCs w:val="22"/>
                <w:u w:val="single"/>
                <w:lang w:val="sr-Latn-ME"/>
              </w:rPr>
              <w:t>43</w:t>
            </w:r>
          </w:p>
          <w:p w14:paraId="3B585C9F" w14:textId="1569A488"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9454</w:t>
            </w:r>
            <w:r w:rsidR="0028524A" w:rsidRPr="00CB6AFC">
              <w:rPr>
                <w:iCs/>
                <w:noProof/>
                <w:sz w:val="22"/>
                <w:szCs w:val="22"/>
                <w:u w:val="single"/>
                <w:lang w:val="sr-Latn-ME"/>
              </w:rPr>
              <w:t>.</w:t>
            </w:r>
            <w:r w:rsidRPr="00CB6AFC">
              <w:rPr>
                <w:iCs/>
                <w:noProof/>
                <w:sz w:val="22"/>
                <w:szCs w:val="22"/>
                <w:u w:val="single"/>
                <w:lang w:val="sr-Latn-ME"/>
              </w:rPr>
              <w:t>60</w:t>
            </w:r>
          </w:p>
        </w:tc>
        <w:tc>
          <w:tcPr>
            <w:tcW w:w="1938" w:type="dxa"/>
            <w:shd w:val="clear" w:color="auto" w:fill="auto"/>
            <w:noWrap/>
            <w:vAlign w:val="center"/>
            <w:hideMark/>
          </w:tcPr>
          <w:p w14:paraId="47E60FB6" w14:textId="10D9AB23"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19 337</w:t>
            </w:r>
            <w:r w:rsidR="0028524A" w:rsidRPr="00CB6AFC">
              <w:rPr>
                <w:iCs/>
                <w:noProof/>
                <w:sz w:val="22"/>
                <w:szCs w:val="22"/>
                <w:u w:val="single"/>
                <w:lang w:val="sr-Latn-ME"/>
              </w:rPr>
              <w:t>.</w:t>
            </w:r>
            <w:r w:rsidRPr="00CB6AFC">
              <w:rPr>
                <w:iCs/>
                <w:noProof/>
                <w:sz w:val="22"/>
                <w:szCs w:val="22"/>
                <w:u w:val="single"/>
                <w:lang w:val="sr-Latn-ME"/>
              </w:rPr>
              <w:t>01</w:t>
            </w:r>
          </w:p>
          <w:p w14:paraId="5FF58BB0" w14:textId="09870AE6"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5146</w:t>
            </w:r>
            <w:r w:rsidR="0028524A" w:rsidRPr="00CB6AFC">
              <w:rPr>
                <w:iCs/>
                <w:noProof/>
                <w:sz w:val="22"/>
                <w:szCs w:val="22"/>
                <w:u w:val="single"/>
                <w:lang w:val="sr-Latn-ME"/>
              </w:rPr>
              <w:t>.</w:t>
            </w:r>
            <w:r w:rsidRPr="00CB6AFC">
              <w:rPr>
                <w:iCs/>
                <w:noProof/>
                <w:sz w:val="22"/>
                <w:szCs w:val="22"/>
                <w:u w:val="single"/>
                <w:lang w:val="sr-Latn-ME"/>
              </w:rPr>
              <w:t>46</w:t>
            </w:r>
          </w:p>
        </w:tc>
        <w:tc>
          <w:tcPr>
            <w:tcW w:w="1417" w:type="dxa"/>
            <w:shd w:val="clear" w:color="auto" w:fill="auto"/>
            <w:noWrap/>
            <w:vAlign w:val="center"/>
            <w:hideMark/>
          </w:tcPr>
          <w:p w14:paraId="69FCBF38" w14:textId="1CB9E157"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37 023</w:t>
            </w:r>
            <w:r w:rsidR="0028524A" w:rsidRPr="00CB6AFC">
              <w:rPr>
                <w:iCs/>
                <w:noProof/>
                <w:sz w:val="22"/>
                <w:szCs w:val="22"/>
                <w:u w:val="single"/>
                <w:lang w:val="sr-Latn-ME"/>
              </w:rPr>
              <w:t>.</w:t>
            </w:r>
            <w:r w:rsidRPr="00CB6AFC">
              <w:rPr>
                <w:iCs/>
                <w:noProof/>
                <w:sz w:val="22"/>
                <w:szCs w:val="22"/>
                <w:u w:val="single"/>
                <w:lang w:val="sr-Latn-ME"/>
              </w:rPr>
              <w:t>82</w:t>
            </w:r>
          </w:p>
          <w:p w14:paraId="2040B0D8" w14:textId="22067A88"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10 388</w:t>
            </w:r>
            <w:r w:rsidR="0028524A" w:rsidRPr="00CB6AFC">
              <w:rPr>
                <w:iCs/>
                <w:noProof/>
                <w:sz w:val="22"/>
                <w:szCs w:val="22"/>
                <w:u w:val="single"/>
                <w:lang w:val="sr-Latn-ME"/>
              </w:rPr>
              <w:t>.</w:t>
            </w:r>
            <w:r w:rsidRPr="00CB6AFC">
              <w:rPr>
                <w:iCs/>
                <w:noProof/>
                <w:sz w:val="22"/>
                <w:szCs w:val="22"/>
                <w:u w:val="single"/>
                <w:lang w:val="sr-Latn-ME"/>
              </w:rPr>
              <w:t>31</w:t>
            </w:r>
          </w:p>
        </w:tc>
      </w:tr>
      <w:tr w:rsidR="00BE7613" w:rsidRPr="00CB6AFC" w14:paraId="6488C2ED" w14:textId="77777777" w:rsidTr="00ED4B2E">
        <w:trPr>
          <w:trHeight w:val="558"/>
        </w:trPr>
        <w:tc>
          <w:tcPr>
            <w:tcW w:w="1730" w:type="dxa"/>
            <w:shd w:val="clear" w:color="auto" w:fill="auto"/>
            <w:noWrap/>
            <w:vAlign w:val="center"/>
            <w:hideMark/>
          </w:tcPr>
          <w:p w14:paraId="142040EE" w14:textId="77777777"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T</w:t>
            </w:r>
            <w:r w:rsidRPr="00CB6AFC">
              <w:rPr>
                <w:iCs/>
                <w:noProof/>
                <w:sz w:val="22"/>
                <w:szCs w:val="22"/>
                <w:u w:val="single"/>
                <w:vertAlign w:val="subscript"/>
                <w:lang w:val="sr-Latn-ME"/>
              </w:rPr>
              <w:t>max</w:t>
            </w:r>
            <w:r w:rsidRPr="00CB6AFC">
              <w:rPr>
                <w:iCs/>
                <w:noProof/>
                <w:sz w:val="22"/>
                <w:szCs w:val="22"/>
                <w:u w:val="single"/>
                <w:lang w:val="sr-Latn-ME"/>
              </w:rPr>
              <w:t xml:space="preserve"> (h)</w:t>
            </w:r>
          </w:p>
        </w:tc>
        <w:tc>
          <w:tcPr>
            <w:tcW w:w="1937" w:type="dxa"/>
            <w:shd w:val="clear" w:color="auto" w:fill="auto"/>
            <w:noWrap/>
            <w:vAlign w:val="center"/>
            <w:hideMark/>
          </w:tcPr>
          <w:p w14:paraId="3467940C" w14:textId="6D978886" w:rsidR="00BE7613" w:rsidRPr="00CB6AFC" w:rsidRDefault="00BE7613" w:rsidP="00E007AC">
            <w:pPr>
              <w:ind w:left="3" w:hanging="3"/>
              <w:jc w:val="both"/>
              <w:outlineLvl w:val="0"/>
              <w:rPr>
                <w:iCs/>
                <w:noProof/>
                <w:sz w:val="22"/>
                <w:szCs w:val="22"/>
                <w:u w:val="single"/>
                <w:lang w:val="sr-Latn-ME"/>
              </w:rPr>
            </w:pPr>
            <w:r w:rsidRPr="00CB6AFC">
              <w:rPr>
                <w:iCs/>
                <w:noProof/>
                <w:sz w:val="22"/>
                <w:szCs w:val="22"/>
                <w:u w:val="single"/>
                <w:lang w:val="sr-Latn-ME"/>
              </w:rPr>
              <w:t>0</w:t>
            </w:r>
            <w:r w:rsidR="0028524A" w:rsidRPr="00CB6AFC">
              <w:rPr>
                <w:iCs/>
                <w:noProof/>
                <w:sz w:val="22"/>
                <w:szCs w:val="22"/>
                <w:u w:val="single"/>
                <w:lang w:val="sr-Latn-ME"/>
              </w:rPr>
              <w:t>.</w:t>
            </w:r>
            <w:r w:rsidRPr="00CB6AFC">
              <w:rPr>
                <w:iCs/>
                <w:noProof/>
                <w:sz w:val="22"/>
                <w:szCs w:val="22"/>
                <w:u w:val="single"/>
                <w:lang w:val="sr-Latn-ME"/>
              </w:rPr>
              <w:t>25 (na kraju infuzije)</w:t>
            </w:r>
          </w:p>
        </w:tc>
        <w:tc>
          <w:tcPr>
            <w:tcW w:w="1937" w:type="dxa"/>
            <w:shd w:val="clear" w:color="auto" w:fill="auto"/>
            <w:noWrap/>
            <w:vAlign w:val="center"/>
            <w:hideMark/>
          </w:tcPr>
          <w:p w14:paraId="04A762EF" w14:textId="695D63B4" w:rsidR="00BE7613" w:rsidRPr="00CB6AFC" w:rsidRDefault="00BE7613" w:rsidP="00E007AC">
            <w:pPr>
              <w:jc w:val="both"/>
              <w:outlineLvl w:val="0"/>
              <w:rPr>
                <w:iCs/>
                <w:noProof/>
                <w:sz w:val="22"/>
                <w:szCs w:val="22"/>
                <w:u w:val="single"/>
                <w:lang w:val="sr-Latn-ME"/>
              </w:rPr>
            </w:pPr>
            <w:r w:rsidRPr="00CB6AFC">
              <w:rPr>
                <w:iCs/>
                <w:noProof/>
                <w:sz w:val="22"/>
                <w:szCs w:val="22"/>
                <w:u w:val="single"/>
                <w:lang w:val="sr-Latn-ME"/>
              </w:rPr>
              <w:t>0</w:t>
            </w:r>
            <w:r w:rsidR="0028524A" w:rsidRPr="00CB6AFC">
              <w:rPr>
                <w:iCs/>
                <w:noProof/>
                <w:sz w:val="22"/>
                <w:szCs w:val="22"/>
                <w:u w:val="single"/>
                <w:lang w:val="sr-Latn-ME"/>
              </w:rPr>
              <w:t>.</w:t>
            </w:r>
            <w:r w:rsidRPr="00CB6AFC">
              <w:rPr>
                <w:iCs/>
                <w:noProof/>
                <w:sz w:val="22"/>
                <w:szCs w:val="22"/>
                <w:u w:val="single"/>
                <w:lang w:val="sr-Latn-ME"/>
              </w:rPr>
              <w:t>25 (na kraju infuzije)</w:t>
            </w:r>
          </w:p>
        </w:tc>
        <w:tc>
          <w:tcPr>
            <w:tcW w:w="1938" w:type="dxa"/>
            <w:shd w:val="clear" w:color="auto" w:fill="auto"/>
            <w:noWrap/>
            <w:vAlign w:val="center"/>
            <w:hideMark/>
          </w:tcPr>
          <w:p w14:paraId="248B24BF" w14:textId="3EC6E74D" w:rsidR="00BE7613" w:rsidRPr="00CB6AFC" w:rsidRDefault="00BE7613" w:rsidP="00E007AC">
            <w:pPr>
              <w:jc w:val="both"/>
              <w:outlineLvl w:val="0"/>
              <w:rPr>
                <w:iCs/>
                <w:noProof/>
                <w:sz w:val="22"/>
                <w:szCs w:val="22"/>
                <w:u w:val="single"/>
                <w:lang w:val="sr-Latn-ME"/>
              </w:rPr>
            </w:pPr>
            <w:r w:rsidRPr="00CB6AFC">
              <w:rPr>
                <w:iCs/>
                <w:noProof/>
                <w:sz w:val="22"/>
                <w:szCs w:val="22"/>
                <w:u w:val="single"/>
                <w:lang w:val="sr-Latn-ME"/>
              </w:rPr>
              <w:t>0</w:t>
            </w:r>
            <w:r w:rsidR="0028524A" w:rsidRPr="00CB6AFC">
              <w:rPr>
                <w:iCs/>
                <w:noProof/>
                <w:sz w:val="22"/>
                <w:szCs w:val="22"/>
                <w:u w:val="single"/>
                <w:lang w:val="sr-Latn-ME"/>
              </w:rPr>
              <w:t>.</w:t>
            </w:r>
            <w:r w:rsidRPr="00CB6AFC">
              <w:rPr>
                <w:iCs/>
                <w:noProof/>
                <w:sz w:val="22"/>
                <w:szCs w:val="22"/>
                <w:u w:val="single"/>
                <w:lang w:val="sr-Latn-ME"/>
              </w:rPr>
              <w:t>25 (na kraju infuzije)</w:t>
            </w:r>
          </w:p>
        </w:tc>
        <w:tc>
          <w:tcPr>
            <w:tcW w:w="1417" w:type="dxa"/>
            <w:shd w:val="clear" w:color="auto" w:fill="auto"/>
            <w:noWrap/>
            <w:vAlign w:val="center"/>
            <w:hideMark/>
          </w:tcPr>
          <w:p w14:paraId="090D7687" w14:textId="0EF461C7"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0</w:t>
            </w:r>
            <w:r w:rsidR="0028524A" w:rsidRPr="00CB6AFC">
              <w:rPr>
                <w:iCs/>
                <w:noProof/>
                <w:sz w:val="22"/>
                <w:szCs w:val="22"/>
                <w:u w:val="single"/>
                <w:lang w:val="sr-Latn-ME"/>
              </w:rPr>
              <w:t>.</w:t>
            </w:r>
            <w:r w:rsidRPr="00CB6AFC">
              <w:rPr>
                <w:iCs/>
                <w:noProof/>
                <w:sz w:val="22"/>
                <w:szCs w:val="22"/>
                <w:u w:val="single"/>
                <w:lang w:val="sr-Latn-ME"/>
              </w:rPr>
              <w:t>73 ± 0</w:t>
            </w:r>
            <w:r w:rsidR="0028524A" w:rsidRPr="00CB6AFC">
              <w:rPr>
                <w:iCs/>
                <w:noProof/>
                <w:sz w:val="22"/>
                <w:szCs w:val="22"/>
                <w:u w:val="single"/>
                <w:lang w:val="sr-Latn-ME"/>
              </w:rPr>
              <w:t>.</w:t>
            </w:r>
            <w:r w:rsidRPr="00CB6AFC">
              <w:rPr>
                <w:iCs/>
                <w:noProof/>
                <w:sz w:val="22"/>
                <w:szCs w:val="22"/>
                <w:u w:val="single"/>
                <w:lang w:val="sr-Latn-ME"/>
              </w:rPr>
              <w:t>42</w:t>
            </w:r>
          </w:p>
        </w:tc>
      </w:tr>
      <w:tr w:rsidR="00BE7613" w:rsidRPr="00CB6AFC" w14:paraId="59604DAA" w14:textId="77777777" w:rsidTr="00ED4B2E">
        <w:trPr>
          <w:trHeight w:val="552"/>
        </w:trPr>
        <w:tc>
          <w:tcPr>
            <w:tcW w:w="1730" w:type="dxa"/>
            <w:tcBorders>
              <w:bottom w:val="single" w:sz="12" w:space="0" w:color="BFBFBF"/>
            </w:tcBorders>
            <w:shd w:val="clear" w:color="auto" w:fill="auto"/>
            <w:noWrap/>
            <w:vAlign w:val="center"/>
            <w:hideMark/>
          </w:tcPr>
          <w:p w14:paraId="6DAAEC8A" w14:textId="77777777"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t</w:t>
            </w:r>
            <w:r w:rsidRPr="00CB6AFC">
              <w:rPr>
                <w:iCs/>
                <w:noProof/>
                <w:sz w:val="22"/>
                <w:szCs w:val="22"/>
                <w:u w:val="single"/>
                <w:vertAlign w:val="subscript"/>
                <w:lang w:val="sr-Latn-ME"/>
              </w:rPr>
              <w:t xml:space="preserve">1/2 </w:t>
            </w:r>
            <w:r w:rsidRPr="00CB6AFC">
              <w:rPr>
                <w:iCs/>
                <w:noProof/>
                <w:sz w:val="22"/>
                <w:szCs w:val="22"/>
                <w:u w:val="single"/>
                <w:lang w:val="sr-Latn-ME"/>
              </w:rPr>
              <w:t>(h)</w:t>
            </w:r>
          </w:p>
        </w:tc>
        <w:tc>
          <w:tcPr>
            <w:tcW w:w="1937" w:type="dxa"/>
            <w:tcBorders>
              <w:bottom w:val="single" w:sz="12" w:space="0" w:color="BFBFBF"/>
            </w:tcBorders>
            <w:shd w:val="clear" w:color="auto" w:fill="auto"/>
            <w:noWrap/>
            <w:vAlign w:val="center"/>
          </w:tcPr>
          <w:p w14:paraId="5141604B" w14:textId="32087BFB"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2</w:t>
            </w:r>
            <w:r w:rsidR="0028524A" w:rsidRPr="00CB6AFC">
              <w:rPr>
                <w:iCs/>
                <w:noProof/>
                <w:sz w:val="22"/>
                <w:szCs w:val="22"/>
                <w:u w:val="single"/>
                <w:lang w:val="sr-Latn-ME"/>
              </w:rPr>
              <w:t>.</w:t>
            </w:r>
            <w:r w:rsidRPr="00CB6AFC">
              <w:rPr>
                <w:iCs/>
                <w:noProof/>
                <w:sz w:val="22"/>
                <w:szCs w:val="22"/>
                <w:u w:val="single"/>
                <w:lang w:val="sr-Latn-ME"/>
              </w:rPr>
              <w:t>39 ± 0</w:t>
            </w:r>
            <w:r w:rsidR="00A92D87" w:rsidRPr="00CB6AFC">
              <w:rPr>
                <w:iCs/>
                <w:noProof/>
                <w:sz w:val="22"/>
                <w:szCs w:val="22"/>
                <w:u w:val="single"/>
                <w:lang w:val="sr-Latn-ME"/>
              </w:rPr>
              <w:t>.</w:t>
            </w:r>
            <w:r w:rsidRPr="00CB6AFC">
              <w:rPr>
                <w:iCs/>
                <w:noProof/>
                <w:sz w:val="22"/>
                <w:szCs w:val="22"/>
                <w:u w:val="single"/>
                <w:lang w:val="sr-Latn-ME"/>
              </w:rPr>
              <w:t>27</w:t>
            </w:r>
          </w:p>
        </w:tc>
        <w:tc>
          <w:tcPr>
            <w:tcW w:w="1937" w:type="dxa"/>
            <w:tcBorders>
              <w:bottom w:val="single" w:sz="12" w:space="0" w:color="BFBFBF"/>
            </w:tcBorders>
            <w:shd w:val="clear" w:color="auto" w:fill="auto"/>
            <w:noWrap/>
            <w:vAlign w:val="center"/>
          </w:tcPr>
          <w:p w14:paraId="54180851" w14:textId="74F34423"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2</w:t>
            </w:r>
            <w:r w:rsidR="0028524A" w:rsidRPr="00CB6AFC">
              <w:rPr>
                <w:iCs/>
                <w:noProof/>
                <w:sz w:val="22"/>
                <w:szCs w:val="22"/>
                <w:u w:val="single"/>
                <w:lang w:val="sr-Latn-ME"/>
              </w:rPr>
              <w:t>.</w:t>
            </w:r>
            <w:r w:rsidRPr="00CB6AFC">
              <w:rPr>
                <w:iCs/>
                <w:noProof/>
                <w:sz w:val="22"/>
                <w:szCs w:val="22"/>
                <w:u w:val="single"/>
                <w:lang w:val="sr-Latn-ME"/>
              </w:rPr>
              <w:t>38 ± 0</w:t>
            </w:r>
            <w:r w:rsidR="0028524A" w:rsidRPr="00CB6AFC">
              <w:rPr>
                <w:iCs/>
                <w:noProof/>
                <w:sz w:val="22"/>
                <w:szCs w:val="22"/>
                <w:u w:val="single"/>
                <w:lang w:val="sr-Latn-ME"/>
              </w:rPr>
              <w:t>.</w:t>
            </w:r>
            <w:r w:rsidRPr="00CB6AFC">
              <w:rPr>
                <w:iCs/>
                <w:noProof/>
                <w:sz w:val="22"/>
                <w:szCs w:val="22"/>
                <w:u w:val="single"/>
                <w:lang w:val="sr-Latn-ME"/>
              </w:rPr>
              <w:t>25</w:t>
            </w:r>
          </w:p>
        </w:tc>
        <w:tc>
          <w:tcPr>
            <w:tcW w:w="1938" w:type="dxa"/>
            <w:tcBorders>
              <w:bottom w:val="single" w:sz="12" w:space="0" w:color="BFBFBF"/>
            </w:tcBorders>
            <w:shd w:val="clear" w:color="auto" w:fill="auto"/>
            <w:noWrap/>
            <w:vAlign w:val="center"/>
          </w:tcPr>
          <w:p w14:paraId="3903FAEB" w14:textId="4C674811"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2</w:t>
            </w:r>
            <w:r w:rsidR="0028524A" w:rsidRPr="00CB6AFC">
              <w:rPr>
                <w:iCs/>
                <w:noProof/>
                <w:sz w:val="22"/>
                <w:szCs w:val="22"/>
                <w:u w:val="single"/>
                <w:lang w:val="sr-Latn-ME"/>
              </w:rPr>
              <w:t>.</w:t>
            </w:r>
            <w:r w:rsidRPr="00CB6AFC">
              <w:rPr>
                <w:iCs/>
                <w:noProof/>
                <w:sz w:val="22"/>
                <w:szCs w:val="22"/>
                <w:u w:val="single"/>
                <w:lang w:val="sr-Latn-ME"/>
              </w:rPr>
              <w:t>44 ± 0</w:t>
            </w:r>
            <w:r w:rsidR="0028524A" w:rsidRPr="00CB6AFC">
              <w:rPr>
                <w:iCs/>
                <w:noProof/>
                <w:sz w:val="22"/>
                <w:szCs w:val="22"/>
                <w:u w:val="single"/>
                <w:lang w:val="sr-Latn-ME"/>
              </w:rPr>
              <w:t>.</w:t>
            </w:r>
            <w:r w:rsidRPr="00CB6AFC">
              <w:rPr>
                <w:iCs/>
                <w:noProof/>
                <w:sz w:val="22"/>
                <w:szCs w:val="22"/>
                <w:u w:val="single"/>
                <w:lang w:val="sr-Latn-ME"/>
              </w:rPr>
              <w:t>25</w:t>
            </w:r>
          </w:p>
        </w:tc>
        <w:tc>
          <w:tcPr>
            <w:tcW w:w="1417" w:type="dxa"/>
            <w:tcBorders>
              <w:bottom w:val="single" w:sz="12" w:space="0" w:color="BFBFBF"/>
            </w:tcBorders>
            <w:shd w:val="clear" w:color="auto" w:fill="auto"/>
            <w:noWrap/>
            <w:vAlign w:val="center"/>
          </w:tcPr>
          <w:p w14:paraId="68BDEDFF" w14:textId="31533B3C"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2</w:t>
            </w:r>
            <w:r w:rsidR="0028524A" w:rsidRPr="00CB6AFC">
              <w:rPr>
                <w:iCs/>
                <w:noProof/>
                <w:sz w:val="22"/>
                <w:szCs w:val="22"/>
                <w:u w:val="single"/>
                <w:lang w:val="sr-Latn-ME"/>
              </w:rPr>
              <w:t>.</w:t>
            </w:r>
            <w:r w:rsidRPr="00CB6AFC">
              <w:rPr>
                <w:iCs/>
                <w:noProof/>
                <w:sz w:val="22"/>
                <w:szCs w:val="22"/>
                <w:u w:val="single"/>
                <w:lang w:val="sr-Latn-ME"/>
              </w:rPr>
              <w:t>51 ± 0</w:t>
            </w:r>
            <w:r w:rsidR="0028524A" w:rsidRPr="00CB6AFC">
              <w:rPr>
                <w:iCs/>
                <w:noProof/>
                <w:sz w:val="22"/>
                <w:szCs w:val="22"/>
                <w:u w:val="single"/>
                <w:lang w:val="sr-Latn-ME"/>
              </w:rPr>
              <w:t>.</w:t>
            </w:r>
            <w:r w:rsidRPr="00CB6AFC">
              <w:rPr>
                <w:iCs/>
                <w:noProof/>
                <w:sz w:val="22"/>
                <w:szCs w:val="22"/>
                <w:u w:val="single"/>
                <w:lang w:val="sr-Latn-ME"/>
              </w:rPr>
              <w:t>33</w:t>
            </w:r>
          </w:p>
        </w:tc>
      </w:tr>
      <w:tr w:rsidR="00BE7613" w:rsidRPr="00CB6AFC" w14:paraId="33BD4C19" w14:textId="77777777" w:rsidTr="00ED4B2E">
        <w:trPr>
          <w:trHeight w:val="540"/>
        </w:trPr>
        <w:tc>
          <w:tcPr>
            <w:tcW w:w="1730" w:type="dxa"/>
            <w:tcBorders>
              <w:top w:val="single" w:sz="12" w:space="0" w:color="BFBFBF"/>
              <w:bottom w:val="single" w:sz="12" w:space="0" w:color="BFBFBF"/>
            </w:tcBorders>
            <w:shd w:val="clear" w:color="auto" w:fill="auto"/>
            <w:vAlign w:val="center"/>
            <w:hideMark/>
          </w:tcPr>
          <w:p w14:paraId="5E906087" w14:textId="77777777" w:rsidR="00BE7613" w:rsidRPr="00CB6AFC" w:rsidRDefault="00BE7613" w:rsidP="00E007AC">
            <w:pPr>
              <w:ind w:left="567" w:hanging="567"/>
              <w:jc w:val="both"/>
              <w:outlineLvl w:val="0"/>
              <w:rPr>
                <w:i/>
                <w:iCs/>
                <w:noProof/>
                <w:sz w:val="22"/>
                <w:szCs w:val="22"/>
                <w:lang w:val="sr-Latn-ME"/>
              </w:rPr>
            </w:pPr>
            <w:r w:rsidRPr="00CB6AFC">
              <w:rPr>
                <w:i/>
                <w:iCs/>
                <w:noProof/>
                <w:sz w:val="22"/>
                <w:szCs w:val="22"/>
                <w:lang w:val="sr-Latn-ME"/>
              </w:rPr>
              <w:t>Ibuprofen</w:t>
            </w:r>
          </w:p>
        </w:tc>
        <w:tc>
          <w:tcPr>
            <w:tcW w:w="1937" w:type="dxa"/>
            <w:tcBorders>
              <w:top w:val="single" w:sz="12" w:space="0" w:color="BFBFBF"/>
              <w:bottom w:val="single" w:sz="12" w:space="0" w:color="BFBFBF"/>
            </w:tcBorders>
            <w:shd w:val="clear" w:color="auto" w:fill="auto"/>
            <w:noWrap/>
            <w:vAlign w:val="center"/>
            <w:hideMark/>
          </w:tcPr>
          <w:p w14:paraId="63D3F8DA" w14:textId="77777777" w:rsidR="00BE7613" w:rsidRPr="00CB6AFC" w:rsidRDefault="00BE7613" w:rsidP="00E007AC">
            <w:pPr>
              <w:ind w:left="567" w:hanging="567"/>
              <w:jc w:val="center"/>
              <w:outlineLvl w:val="0"/>
              <w:rPr>
                <w:b/>
                <w:iCs/>
                <w:noProof/>
                <w:sz w:val="22"/>
                <w:szCs w:val="22"/>
                <w:lang w:val="sr-Latn-ME"/>
              </w:rPr>
            </w:pPr>
            <w:r w:rsidRPr="00CB6AFC">
              <w:rPr>
                <w:b/>
                <w:bCs/>
                <w:iCs/>
                <w:noProof/>
                <w:sz w:val="22"/>
                <w:szCs w:val="22"/>
                <w:lang w:val="sr-Latn-ME"/>
              </w:rPr>
              <w:t>Comboval</w:t>
            </w:r>
          </w:p>
          <w:p w14:paraId="55FEACEB" w14:textId="77777777" w:rsidR="00BE7613" w:rsidRPr="00CB6AFC" w:rsidRDefault="00BE7613" w:rsidP="00E007AC">
            <w:pPr>
              <w:ind w:left="3" w:hanging="3"/>
              <w:jc w:val="center"/>
              <w:outlineLvl w:val="0"/>
              <w:rPr>
                <w:b/>
                <w:iCs/>
                <w:noProof/>
                <w:sz w:val="22"/>
                <w:szCs w:val="22"/>
                <w:lang w:val="sr-Latn-ME"/>
              </w:rPr>
            </w:pPr>
            <w:r w:rsidRPr="00CB6AFC">
              <w:rPr>
                <w:b/>
                <w:iCs/>
                <w:noProof/>
                <w:sz w:val="22"/>
                <w:szCs w:val="22"/>
                <w:lang w:val="sr-Latn-ME"/>
              </w:rPr>
              <w:t>i.v. infuzija, 15 min</w:t>
            </w:r>
          </w:p>
        </w:tc>
        <w:tc>
          <w:tcPr>
            <w:tcW w:w="1937" w:type="dxa"/>
            <w:tcBorders>
              <w:top w:val="single" w:sz="12" w:space="0" w:color="BFBFBF"/>
              <w:bottom w:val="single" w:sz="12" w:space="0" w:color="BFBFBF"/>
            </w:tcBorders>
            <w:shd w:val="clear" w:color="auto" w:fill="auto"/>
            <w:noWrap/>
            <w:vAlign w:val="center"/>
          </w:tcPr>
          <w:p w14:paraId="263C9887" w14:textId="77777777" w:rsidR="00BE7613" w:rsidRPr="00CB6AFC" w:rsidRDefault="00BE7613" w:rsidP="00E007AC">
            <w:pPr>
              <w:ind w:left="567" w:hanging="567"/>
              <w:jc w:val="center"/>
              <w:outlineLvl w:val="0"/>
              <w:rPr>
                <w:b/>
                <w:iCs/>
                <w:noProof/>
                <w:sz w:val="22"/>
                <w:szCs w:val="22"/>
                <w:lang w:val="sr-Latn-ME"/>
              </w:rPr>
            </w:pPr>
            <w:r w:rsidRPr="00CB6AFC">
              <w:rPr>
                <w:b/>
                <w:iCs/>
                <w:noProof/>
                <w:sz w:val="22"/>
                <w:szCs w:val="22"/>
                <w:lang w:val="sr-Latn-ME"/>
              </w:rPr>
              <w:t>Ibuprofen IV</w:t>
            </w:r>
          </w:p>
          <w:p w14:paraId="7DB42EC2" w14:textId="77777777" w:rsidR="00BE7613" w:rsidRPr="00CB6AFC" w:rsidRDefault="00BE7613" w:rsidP="00E007AC">
            <w:pPr>
              <w:ind w:left="48" w:hanging="48"/>
              <w:jc w:val="center"/>
              <w:outlineLvl w:val="0"/>
              <w:rPr>
                <w:b/>
                <w:iCs/>
                <w:noProof/>
                <w:sz w:val="22"/>
                <w:szCs w:val="22"/>
                <w:lang w:val="sr-Latn-ME"/>
              </w:rPr>
            </w:pPr>
            <w:r w:rsidRPr="00CB6AFC">
              <w:rPr>
                <w:b/>
                <w:iCs/>
                <w:noProof/>
                <w:sz w:val="22"/>
                <w:szCs w:val="22"/>
                <w:lang w:val="sr-Latn-ME"/>
              </w:rPr>
              <w:t>i.v. infuzija, 15 min</w:t>
            </w:r>
          </w:p>
        </w:tc>
        <w:tc>
          <w:tcPr>
            <w:tcW w:w="1938" w:type="dxa"/>
            <w:tcBorders>
              <w:top w:val="single" w:sz="12" w:space="0" w:color="BFBFBF"/>
              <w:bottom w:val="single" w:sz="12" w:space="0" w:color="BFBFBF"/>
            </w:tcBorders>
            <w:shd w:val="clear" w:color="auto" w:fill="auto"/>
            <w:noWrap/>
            <w:vAlign w:val="center"/>
          </w:tcPr>
          <w:p w14:paraId="0472BFC4" w14:textId="77777777" w:rsidR="00BE7613" w:rsidRPr="00CB6AFC" w:rsidRDefault="00BE7613" w:rsidP="00E007AC">
            <w:pPr>
              <w:jc w:val="center"/>
              <w:outlineLvl w:val="0"/>
              <w:rPr>
                <w:b/>
                <w:iCs/>
                <w:noProof/>
                <w:sz w:val="22"/>
                <w:szCs w:val="22"/>
                <w:lang w:val="sr-Latn-ME"/>
              </w:rPr>
            </w:pPr>
            <w:r w:rsidRPr="00CB6AFC">
              <w:rPr>
                <w:b/>
                <w:bCs/>
                <w:iCs/>
                <w:noProof/>
                <w:sz w:val="22"/>
                <w:szCs w:val="22"/>
                <w:lang w:val="sr-Latn-ME"/>
              </w:rPr>
              <w:t>Comboval</w:t>
            </w:r>
          </w:p>
          <w:p w14:paraId="41337C46" w14:textId="4F3481F6" w:rsidR="00BE7613" w:rsidRPr="00CB6AFC" w:rsidRDefault="00BE7613" w:rsidP="00E007AC">
            <w:pPr>
              <w:jc w:val="center"/>
              <w:outlineLvl w:val="0"/>
              <w:rPr>
                <w:b/>
                <w:iCs/>
                <w:noProof/>
                <w:sz w:val="22"/>
                <w:szCs w:val="22"/>
                <w:lang w:val="sr-Latn-ME"/>
              </w:rPr>
            </w:pPr>
            <w:r w:rsidRPr="00CB6AFC">
              <w:rPr>
                <w:b/>
                <w:iCs/>
                <w:noProof/>
                <w:sz w:val="22"/>
                <w:szCs w:val="22"/>
                <w:lang w:val="sr-Latn-ME"/>
              </w:rPr>
              <w:t>Pola doze, i.v. infuzija, 15 min</w:t>
            </w:r>
          </w:p>
        </w:tc>
        <w:tc>
          <w:tcPr>
            <w:tcW w:w="1417" w:type="dxa"/>
            <w:tcBorders>
              <w:top w:val="single" w:sz="12" w:space="0" w:color="BFBFBF"/>
              <w:bottom w:val="single" w:sz="12" w:space="0" w:color="BFBFBF"/>
            </w:tcBorders>
            <w:shd w:val="clear" w:color="auto" w:fill="auto"/>
            <w:noWrap/>
            <w:vAlign w:val="center"/>
          </w:tcPr>
          <w:p w14:paraId="6F335A80" w14:textId="77777777" w:rsidR="00BE7613" w:rsidRPr="00CB6AFC" w:rsidRDefault="00BE7613" w:rsidP="00E007AC">
            <w:pPr>
              <w:ind w:left="5" w:hanging="5"/>
              <w:jc w:val="center"/>
              <w:outlineLvl w:val="0"/>
              <w:rPr>
                <w:b/>
                <w:bCs/>
                <w:iCs/>
                <w:noProof/>
                <w:sz w:val="22"/>
                <w:szCs w:val="22"/>
                <w:lang w:val="sr-Latn-ME"/>
              </w:rPr>
            </w:pPr>
            <w:r w:rsidRPr="00CB6AFC">
              <w:rPr>
                <w:b/>
                <w:bCs/>
                <w:iCs/>
                <w:noProof/>
                <w:sz w:val="22"/>
                <w:szCs w:val="22"/>
                <w:lang w:val="sr-Latn-ME"/>
              </w:rPr>
              <w:t>Paracetamol/</w:t>
            </w:r>
          </w:p>
          <w:p w14:paraId="2023CEDF" w14:textId="2C6AAB49" w:rsidR="00BE7613" w:rsidRPr="00CB6AFC" w:rsidRDefault="00BE7613" w:rsidP="00E007AC">
            <w:pPr>
              <w:ind w:left="5" w:hanging="5"/>
              <w:jc w:val="center"/>
              <w:outlineLvl w:val="0"/>
              <w:rPr>
                <w:b/>
                <w:bCs/>
                <w:iCs/>
                <w:noProof/>
                <w:sz w:val="22"/>
                <w:szCs w:val="22"/>
                <w:lang w:val="sr-Latn-ME"/>
              </w:rPr>
            </w:pPr>
            <w:r w:rsidRPr="00CB6AFC">
              <w:rPr>
                <w:b/>
                <w:bCs/>
                <w:iCs/>
                <w:noProof/>
                <w:sz w:val="22"/>
                <w:szCs w:val="22"/>
                <w:lang w:val="sr-Latn-ME"/>
              </w:rPr>
              <w:t>Ibuprofen</w:t>
            </w:r>
          </w:p>
          <w:p w14:paraId="18C409EB" w14:textId="77777777" w:rsidR="00BE7613" w:rsidRPr="00CB6AFC" w:rsidRDefault="00BE7613" w:rsidP="00E007AC">
            <w:pPr>
              <w:ind w:left="5" w:hanging="5"/>
              <w:jc w:val="center"/>
              <w:outlineLvl w:val="0"/>
              <w:rPr>
                <w:b/>
                <w:iCs/>
                <w:noProof/>
                <w:sz w:val="22"/>
                <w:szCs w:val="22"/>
                <w:lang w:val="sr-Latn-ME"/>
              </w:rPr>
            </w:pPr>
            <w:r w:rsidRPr="00CB6AFC">
              <w:rPr>
                <w:b/>
                <w:iCs/>
                <w:noProof/>
                <w:sz w:val="22"/>
                <w:szCs w:val="22"/>
                <w:lang w:val="sr-Latn-ME"/>
              </w:rPr>
              <w:t>Tablete Oralna primjena</w:t>
            </w:r>
          </w:p>
        </w:tc>
      </w:tr>
      <w:tr w:rsidR="00BE7613" w:rsidRPr="00CB6AFC" w14:paraId="3A0E272B" w14:textId="77777777" w:rsidTr="00ED4B2E">
        <w:trPr>
          <w:trHeight w:val="558"/>
        </w:trPr>
        <w:tc>
          <w:tcPr>
            <w:tcW w:w="1730" w:type="dxa"/>
            <w:tcBorders>
              <w:top w:val="single" w:sz="12" w:space="0" w:color="BFBFBF"/>
            </w:tcBorders>
            <w:shd w:val="clear" w:color="auto" w:fill="auto"/>
            <w:noWrap/>
            <w:vAlign w:val="center"/>
            <w:hideMark/>
          </w:tcPr>
          <w:p w14:paraId="001D18C1" w14:textId="611433FA"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C</w:t>
            </w:r>
            <w:r w:rsidRPr="00CB6AFC">
              <w:rPr>
                <w:iCs/>
                <w:noProof/>
                <w:sz w:val="22"/>
                <w:szCs w:val="22"/>
                <w:u w:val="single"/>
                <w:vertAlign w:val="subscript"/>
                <w:lang w:val="sr-Latn-ME"/>
              </w:rPr>
              <w:t>max</w:t>
            </w:r>
            <w:r w:rsidRPr="00CB6AFC">
              <w:rPr>
                <w:iCs/>
                <w:noProof/>
                <w:sz w:val="22"/>
                <w:szCs w:val="22"/>
                <w:u w:val="single"/>
                <w:lang w:val="sr-Latn-ME"/>
              </w:rPr>
              <w:t xml:space="preserve"> (ng/m</w:t>
            </w:r>
            <w:r w:rsidR="00CC7752" w:rsidRPr="00CB6AFC">
              <w:rPr>
                <w:iCs/>
                <w:noProof/>
                <w:sz w:val="22"/>
                <w:szCs w:val="22"/>
                <w:u w:val="single"/>
                <w:lang w:val="sr-Latn-ME"/>
              </w:rPr>
              <w:t>l</w:t>
            </w:r>
            <w:r w:rsidRPr="00CB6AFC">
              <w:rPr>
                <w:iCs/>
                <w:noProof/>
                <w:sz w:val="22"/>
                <w:szCs w:val="22"/>
                <w:u w:val="single"/>
                <w:lang w:val="sr-Latn-ME"/>
              </w:rPr>
              <w:t>)</w:t>
            </w:r>
          </w:p>
        </w:tc>
        <w:tc>
          <w:tcPr>
            <w:tcW w:w="1937" w:type="dxa"/>
            <w:tcBorders>
              <w:top w:val="single" w:sz="12" w:space="0" w:color="BFBFBF"/>
            </w:tcBorders>
            <w:shd w:val="clear" w:color="auto" w:fill="auto"/>
            <w:noWrap/>
            <w:vAlign w:val="center"/>
            <w:hideMark/>
          </w:tcPr>
          <w:p w14:paraId="774B4408" w14:textId="5F1AED16"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39 506</w:t>
            </w:r>
            <w:r w:rsidR="00CC7752" w:rsidRPr="00CB6AFC">
              <w:rPr>
                <w:iCs/>
                <w:noProof/>
                <w:sz w:val="22"/>
                <w:szCs w:val="22"/>
                <w:u w:val="single"/>
                <w:lang w:val="sr-Latn-ME"/>
              </w:rPr>
              <w:t>.</w:t>
            </w:r>
            <w:r w:rsidRPr="00CB6AFC">
              <w:rPr>
                <w:iCs/>
                <w:noProof/>
                <w:sz w:val="22"/>
                <w:szCs w:val="22"/>
                <w:u w:val="single"/>
                <w:lang w:val="sr-Latn-ME"/>
              </w:rPr>
              <w:t>69</w:t>
            </w:r>
          </w:p>
          <w:p w14:paraId="1D7DCF49" w14:textId="27065B15"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6874</w:t>
            </w:r>
            <w:r w:rsidR="00CC7752" w:rsidRPr="00CB6AFC">
              <w:rPr>
                <w:iCs/>
                <w:noProof/>
                <w:sz w:val="22"/>
                <w:szCs w:val="22"/>
                <w:u w:val="single"/>
                <w:lang w:val="sr-Latn-ME"/>
              </w:rPr>
              <w:t>.</w:t>
            </w:r>
            <w:r w:rsidRPr="00CB6AFC">
              <w:rPr>
                <w:iCs/>
                <w:noProof/>
                <w:sz w:val="22"/>
                <w:szCs w:val="22"/>
                <w:u w:val="single"/>
                <w:lang w:val="sr-Latn-ME"/>
              </w:rPr>
              <w:t>06</w:t>
            </w:r>
          </w:p>
        </w:tc>
        <w:tc>
          <w:tcPr>
            <w:tcW w:w="1937" w:type="dxa"/>
            <w:tcBorders>
              <w:top w:val="single" w:sz="12" w:space="0" w:color="BFBFBF"/>
            </w:tcBorders>
            <w:shd w:val="clear" w:color="auto" w:fill="auto"/>
            <w:noWrap/>
            <w:vAlign w:val="center"/>
            <w:hideMark/>
          </w:tcPr>
          <w:p w14:paraId="7E85E66D" w14:textId="39E0F24C"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40 292</w:t>
            </w:r>
            <w:r w:rsidR="00CC7752" w:rsidRPr="00CB6AFC">
              <w:rPr>
                <w:iCs/>
                <w:noProof/>
                <w:sz w:val="22"/>
                <w:szCs w:val="22"/>
                <w:u w:val="single"/>
                <w:lang w:val="sr-Latn-ME"/>
              </w:rPr>
              <w:t>.</w:t>
            </w:r>
            <w:r w:rsidRPr="00CB6AFC">
              <w:rPr>
                <w:iCs/>
                <w:noProof/>
                <w:sz w:val="22"/>
                <w:szCs w:val="22"/>
                <w:u w:val="single"/>
                <w:lang w:val="sr-Latn-ME"/>
              </w:rPr>
              <w:t>97</w:t>
            </w:r>
          </w:p>
          <w:p w14:paraId="71E5EBAA" w14:textId="05BC13E5"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7460</w:t>
            </w:r>
            <w:r w:rsidR="00CC7752" w:rsidRPr="00CB6AFC">
              <w:rPr>
                <w:iCs/>
                <w:noProof/>
                <w:sz w:val="22"/>
                <w:szCs w:val="22"/>
                <w:u w:val="single"/>
                <w:lang w:val="sr-Latn-ME"/>
              </w:rPr>
              <w:t>.</w:t>
            </w:r>
            <w:r w:rsidRPr="00CB6AFC">
              <w:rPr>
                <w:iCs/>
                <w:noProof/>
                <w:sz w:val="22"/>
                <w:szCs w:val="22"/>
                <w:u w:val="single"/>
                <w:lang w:val="sr-Latn-ME"/>
              </w:rPr>
              <w:t>04</w:t>
            </w:r>
          </w:p>
        </w:tc>
        <w:tc>
          <w:tcPr>
            <w:tcW w:w="1938" w:type="dxa"/>
            <w:tcBorders>
              <w:top w:val="single" w:sz="12" w:space="0" w:color="BFBFBF"/>
            </w:tcBorders>
            <w:shd w:val="clear" w:color="auto" w:fill="auto"/>
            <w:noWrap/>
            <w:vAlign w:val="center"/>
            <w:hideMark/>
          </w:tcPr>
          <w:p w14:paraId="1C8ED391" w14:textId="1B53FA35"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20 352</w:t>
            </w:r>
            <w:r w:rsidR="00CC7752" w:rsidRPr="00CB6AFC">
              <w:rPr>
                <w:iCs/>
                <w:noProof/>
                <w:sz w:val="22"/>
                <w:szCs w:val="22"/>
                <w:u w:val="single"/>
                <w:lang w:val="sr-Latn-ME"/>
              </w:rPr>
              <w:t>.</w:t>
            </w:r>
            <w:r w:rsidRPr="00CB6AFC">
              <w:rPr>
                <w:iCs/>
                <w:noProof/>
                <w:sz w:val="22"/>
                <w:szCs w:val="22"/>
                <w:u w:val="single"/>
                <w:lang w:val="sr-Latn-ME"/>
              </w:rPr>
              <w:t>05</w:t>
            </w:r>
          </w:p>
          <w:p w14:paraId="2E57306D" w14:textId="7FB277B3"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3090</w:t>
            </w:r>
            <w:r w:rsidR="00CC7752" w:rsidRPr="00CB6AFC">
              <w:rPr>
                <w:iCs/>
                <w:noProof/>
                <w:sz w:val="22"/>
                <w:szCs w:val="22"/>
                <w:u w:val="single"/>
                <w:lang w:val="sr-Latn-ME"/>
              </w:rPr>
              <w:t>.</w:t>
            </w:r>
            <w:r w:rsidRPr="00CB6AFC">
              <w:rPr>
                <w:iCs/>
                <w:noProof/>
                <w:sz w:val="22"/>
                <w:szCs w:val="22"/>
                <w:u w:val="single"/>
                <w:lang w:val="sr-Latn-ME"/>
              </w:rPr>
              <w:t>87</w:t>
            </w:r>
          </w:p>
        </w:tc>
        <w:tc>
          <w:tcPr>
            <w:tcW w:w="1417" w:type="dxa"/>
            <w:tcBorders>
              <w:top w:val="single" w:sz="12" w:space="0" w:color="BFBFBF"/>
            </w:tcBorders>
            <w:shd w:val="clear" w:color="auto" w:fill="auto"/>
            <w:noWrap/>
            <w:vAlign w:val="center"/>
            <w:hideMark/>
          </w:tcPr>
          <w:p w14:paraId="61E99BC3" w14:textId="7CA713EC"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19 637</w:t>
            </w:r>
            <w:r w:rsidR="00CC7752" w:rsidRPr="00CB6AFC">
              <w:rPr>
                <w:iCs/>
                <w:noProof/>
                <w:sz w:val="22"/>
                <w:szCs w:val="22"/>
                <w:u w:val="single"/>
                <w:lang w:val="sr-Latn-ME"/>
              </w:rPr>
              <w:t>.</w:t>
            </w:r>
            <w:r w:rsidRPr="00CB6AFC">
              <w:rPr>
                <w:iCs/>
                <w:noProof/>
                <w:sz w:val="22"/>
                <w:szCs w:val="22"/>
                <w:u w:val="single"/>
                <w:lang w:val="sr-Latn-ME"/>
              </w:rPr>
              <w:t>38</w:t>
            </w:r>
          </w:p>
          <w:p w14:paraId="5A0983B2" w14:textId="30B4355A"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5178</w:t>
            </w:r>
            <w:r w:rsidR="00CC7752" w:rsidRPr="00CB6AFC">
              <w:rPr>
                <w:iCs/>
                <w:noProof/>
                <w:sz w:val="22"/>
                <w:szCs w:val="22"/>
                <w:u w:val="single"/>
                <w:lang w:val="sr-Latn-ME"/>
              </w:rPr>
              <w:t>.</w:t>
            </w:r>
            <w:r w:rsidRPr="00CB6AFC">
              <w:rPr>
                <w:iCs/>
                <w:noProof/>
                <w:sz w:val="22"/>
                <w:szCs w:val="22"/>
                <w:u w:val="single"/>
                <w:lang w:val="sr-Latn-ME"/>
              </w:rPr>
              <w:t>29</w:t>
            </w:r>
          </w:p>
        </w:tc>
      </w:tr>
      <w:tr w:rsidR="00BE7613" w:rsidRPr="00CB6AFC" w14:paraId="09FB71B2" w14:textId="77777777" w:rsidTr="00ED4B2E">
        <w:trPr>
          <w:trHeight w:val="548"/>
        </w:trPr>
        <w:tc>
          <w:tcPr>
            <w:tcW w:w="1730" w:type="dxa"/>
            <w:shd w:val="clear" w:color="auto" w:fill="auto"/>
            <w:noWrap/>
            <w:vAlign w:val="center"/>
            <w:hideMark/>
          </w:tcPr>
          <w:p w14:paraId="4C017EDA" w14:textId="71A35400" w:rsidR="00BE7613" w:rsidRPr="00CB6AFC" w:rsidRDefault="00CC7752" w:rsidP="00E007AC">
            <w:pPr>
              <w:ind w:left="567" w:hanging="567"/>
              <w:jc w:val="both"/>
              <w:outlineLvl w:val="0"/>
              <w:rPr>
                <w:iCs/>
                <w:noProof/>
                <w:sz w:val="22"/>
                <w:szCs w:val="22"/>
                <w:u w:val="single"/>
                <w:lang w:val="sr-Latn-ME"/>
              </w:rPr>
            </w:pPr>
            <w:r w:rsidRPr="00CB6AFC">
              <w:rPr>
                <w:iCs/>
                <w:noProof/>
                <w:sz w:val="22"/>
                <w:szCs w:val="22"/>
                <w:u w:val="single"/>
                <w:lang w:val="sr-Latn-ME"/>
              </w:rPr>
              <w:t>PIK</w:t>
            </w:r>
            <w:r w:rsidR="00BE7613" w:rsidRPr="00CB6AFC">
              <w:rPr>
                <w:iCs/>
                <w:noProof/>
                <w:sz w:val="22"/>
                <w:szCs w:val="22"/>
                <w:u w:val="single"/>
                <w:vertAlign w:val="subscript"/>
                <w:lang w:val="sr-Latn-ME"/>
              </w:rPr>
              <w:t>0-t</w:t>
            </w:r>
            <w:r w:rsidRPr="00CB6AFC">
              <w:rPr>
                <w:iCs/>
                <w:noProof/>
                <w:sz w:val="22"/>
                <w:szCs w:val="22"/>
                <w:u w:val="single"/>
                <w:vertAlign w:val="subscript"/>
                <w:lang w:val="sr-Latn-ME"/>
              </w:rPr>
              <w:t xml:space="preserve"> </w:t>
            </w:r>
            <w:r w:rsidR="00BE7613" w:rsidRPr="00CB6AFC">
              <w:rPr>
                <w:iCs/>
                <w:noProof/>
                <w:sz w:val="22"/>
                <w:szCs w:val="22"/>
                <w:u w:val="single"/>
                <w:lang w:val="sr-Latn-ME"/>
              </w:rPr>
              <w:t>(ng.h/m</w:t>
            </w:r>
            <w:r w:rsidRPr="00CB6AFC">
              <w:rPr>
                <w:iCs/>
                <w:noProof/>
                <w:sz w:val="22"/>
                <w:szCs w:val="22"/>
                <w:u w:val="single"/>
                <w:lang w:val="sr-Latn-ME"/>
              </w:rPr>
              <w:t>l</w:t>
            </w:r>
            <w:r w:rsidR="00BE7613" w:rsidRPr="00CB6AFC">
              <w:rPr>
                <w:iCs/>
                <w:noProof/>
                <w:sz w:val="22"/>
                <w:szCs w:val="22"/>
                <w:u w:val="single"/>
                <w:lang w:val="sr-Latn-ME"/>
              </w:rPr>
              <w:t>)</w:t>
            </w:r>
          </w:p>
        </w:tc>
        <w:tc>
          <w:tcPr>
            <w:tcW w:w="1937" w:type="dxa"/>
            <w:shd w:val="clear" w:color="auto" w:fill="auto"/>
            <w:noWrap/>
            <w:vAlign w:val="center"/>
            <w:hideMark/>
          </w:tcPr>
          <w:p w14:paraId="706C500D" w14:textId="21DA7A17"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73 492</w:t>
            </w:r>
            <w:r w:rsidR="00CC7752" w:rsidRPr="00CB6AFC">
              <w:rPr>
                <w:iCs/>
                <w:noProof/>
                <w:sz w:val="22"/>
                <w:szCs w:val="22"/>
                <w:u w:val="single"/>
                <w:lang w:val="sr-Latn-ME"/>
              </w:rPr>
              <w:t>.</w:t>
            </w:r>
            <w:r w:rsidRPr="00CB6AFC">
              <w:rPr>
                <w:iCs/>
                <w:noProof/>
                <w:sz w:val="22"/>
                <w:szCs w:val="22"/>
                <w:u w:val="single"/>
                <w:lang w:val="sr-Latn-ME"/>
              </w:rPr>
              <w:t>69</w:t>
            </w:r>
          </w:p>
          <w:p w14:paraId="06480148" w14:textId="558A8205"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16 509</w:t>
            </w:r>
            <w:r w:rsidR="00CC7752" w:rsidRPr="00CB6AFC">
              <w:rPr>
                <w:iCs/>
                <w:noProof/>
                <w:sz w:val="22"/>
                <w:szCs w:val="22"/>
                <w:u w:val="single"/>
                <w:lang w:val="sr-Latn-ME"/>
              </w:rPr>
              <w:t>.</w:t>
            </w:r>
            <w:r w:rsidRPr="00CB6AFC">
              <w:rPr>
                <w:iCs/>
                <w:noProof/>
                <w:sz w:val="22"/>
                <w:szCs w:val="22"/>
                <w:u w:val="single"/>
                <w:lang w:val="sr-Latn-ME"/>
              </w:rPr>
              <w:t>61</w:t>
            </w:r>
          </w:p>
        </w:tc>
        <w:tc>
          <w:tcPr>
            <w:tcW w:w="1937" w:type="dxa"/>
            <w:shd w:val="clear" w:color="auto" w:fill="auto"/>
            <w:noWrap/>
            <w:vAlign w:val="center"/>
            <w:hideMark/>
          </w:tcPr>
          <w:p w14:paraId="1365D2B1" w14:textId="3DAAE677"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72 169</w:t>
            </w:r>
            <w:r w:rsidR="00CC7752" w:rsidRPr="00CB6AFC">
              <w:rPr>
                <w:iCs/>
                <w:noProof/>
                <w:sz w:val="22"/>
                <w:szCs w:val="22"/>
                <w:u w:val="single"/>
                <w:lang w:val="sr-Latn-ME"/>
              </w:rPr>
              <w:t>.</w:t>
            </w:r>
            <w:r w:rsidRPr="00CB6AFC">
              <w:rPr>
                <w:iCs/>
                <w:noProof/>
                <w:sz w:val="22"/>
                <w:szCs w:val="22"/>
                <w:u w:val="single"/>
                <w:lang w:val="sr-Latn-ME"/>
              </w:rPr>
              <w:t>59</w:t>
            </w:r>
          </w:p>
          <w:p w14:paraId="4450983B" w14:textId="6058253E"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15 608</w:t>
            </w:r>
            <w:r w:rsidR="00CC7752" w:rsidRPr="00CB6AFC">
              <w:rPr>
                <w:iCs/>
                <w:noProof/>
                <w:sz w:val="22"/>
                <w:szCs w:val="22"/>
                <w:u w:val="single"/>
                <w:lang w:val="sr-Latn-ME"/>
              </w:rPr>
              <w:t>.</w:t>
            </w:r>
            <w:r w:rsidRPr="00CB6AFC">
              <w:rPr>
                <w:iCs/>
                <w:noProof/>
                <w:sz w:val="22"/>
                <w:szCs w:val="22"/>
                <w:u w:val="single"/>
                <w:lang w:val="sr-Latn-ME"/>
              </w:rPr>
              <w:t>70</w:t>
            </w:r>
          </w:p>
        </w:tc>
        <w:tc>
          <w:tcPr>
            <w:tcW w:w="1938" w:type="dxa"/>
            <w:shd w:val="clear" w:color="auto" w:fill="auto"/>
            <w:noWrap/>
            <w:vAlign w:val="center"/>
            <w:hideMark/>
          </w:tcPr>
          <w:p w14:paraId="62ECF7A8" w14:textId="30999656"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39 642</w:t>
            </w:r>
            <w:r w:rsidR="00CC7752" w:rsidRPr="00CB6AFC">
              <w:rPr>
                <w:iCs/>
                <w:noProof/>
                <w:sz w:val="22"/>
                <w:szCs w:val="22"/>
                <w:u w:val="single"/>
                <w:lang w:val="sr-Latn-ME"/>
              </w:rPr>
              <w:t>.</w:t>
            </w:r>
            <w:r w:rsidRPr="00CB6AFC">
              <w:rPr>
                <w:iCs/>
                <w:noProof/>
                <w:sz w:val="22"/>
                <w:szCs w:val="22"/>
                <w:u w:val="single"/>
                <w:lang w:val="sr-Latn-ME"/>
              </w:rPr>
              <w:t>48</w:t>
            </w:r>
          </w:p>
          <w:p w14:paraId="37E5DB46" w14:textId="0F2940C7"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9679</w:t>
            </w:r>
            <w:r w:rsidR="00CC7752" w:rsidRPr="00CB6AFC">
              <w:rPr>
                <w:iCs/>
                <w:noProof/>
                <w:sz w:val="22"/>
                <w:szCs w:val="22"/>
                <w:u w:val="single"/>
                <w:lang w:val="sr-Latn-ME"/>
              </w:rPr>
              <w:t>.</w:t>
            </w:r>
            <w:r w:rsidRPr="00CB6AFC">
              <w:rPr>
                <w:iCs/>
                <w:noProof/>
                <w:sz w:val="22"/>
                <w:szCs w:val="22"/>
                <w:u w:val="single"/>
                <w:lang w:val="sr-Latn-ME"/>
              </w:rPr>
              <w:t>16</w:t>
            </w:r>
          </w:p>
        </w:tc>
        <w:tc>
          <w:tcPr>
            <w:tcW w:w="1417" w:type="dxa"/>
            <w:shd w:val="clear" w:color="auto" w:fill="auto"/>
            <w:noWrap/>
            <w:vAlign w:val="center"/>
            <w:hideMark/>
          </w:tcPr>
          <w:p w14:paraId="0819CDD9" w14:textId="3CA6DC79"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70 417</w:t>
            </w:r>
            <w:r w:rsidR="00CC7752" w:rsidRPr="00CB6AFC">
              <w:rPr>
                <w:iCs/>
                <w:noProof/>
                <w:sz w:val="22"/>
                <w:szCs w:val="22"/>
                <w:u w:val="single"/>
                <w:lang w:val="sr-Latn-ME"/>
              </w:rPr>
              <w:t>.</w:t>
            </w:r>
            <w:r w:rsidRPr="00CB6AFC">
              <w:rPr>
                <w:iCs/>
                <w:noProof/>
                <w:sz w:val="22"/>
                <w:szCs w:val="22"/>
                <w:u w:val="single"/>
                <w:lang w:val="sr-Latn-ME"/>
              </w:rPr>
              <w:t>75</w:t>
            </w:r>
          </w:p>
          <w:p w14:paraId="60FAA0E6" w14:textId="6864E10D"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16 260</w:t>
            </w:r>
            <w:r w:rsidR="00CC7752" w:rsidRPr="00CB6AFC">
              <w:rPr>
                <w:iCs/>
                <w:noProof/>
                <w:sz w:val="22"/>
                <w:szCs w:val="22"/>
                <w:u w:val="single"/>
                <w:lang w:val="sr-Latn-ME"/>
              </w:rPr>
              <w:t>.</w:t>
            </w:r>
            <w:r w:rsidRPr="00CB6AFC">
              <w:rPr>
                <w:iCs/>
                <w:noProof/>
                <w:sz w:val="22"/>
                <w:szCs w:val="22"/>
                <w:u w:val="single"/>
                <w:lang w:val="sr-Latn-ME"/>
              </w:rPr>
              <w:t>16</w:t>
            </w:r>
          </w:p>
        </w:tc>
      </w:tr>
      <w:tr w:rsidR="00BE7613" w:rsidRPr="00CB6AFC" w14:paraId="452D1049" w14:textId="77777777" w:rsidTr="00ED4B2E">
        <w:trPr>
          <w:trHeight w:val="556"/>
        </w:trPr>
        <w:tc>
          <w:tcPr>
            <w:tcW w:w="1730" w:type="dxa"/>
            <w:shd w:val="clear" w:color="auto" w:fill="auto"/>
            <w:noWrap/>
            <w:vAlign w:val="center"/>
            <w:hideMark/>
          </w:tcPr>
          <w:p w14:paraId="0E4580D9" w14:textId="74A2EDE2" w:rsidR="00BE7613" w:rsidRPr="00CB6AFC" w:rsidRDefault="00CC7752" w:rsidP="00E007AC">
            <w:pPr>
              <w:ind w:left="567" w:hanging="567"/>
              <w:jc w:val="both"/>
              <w:outlineLvl w:val="0"/>
              <w:rPr>
                <w:iCs/>
                <w:noProof/>
                <w:sz w:val="22"/>
                <w:szCs w:val="22"/>
                <w:u w:val="single"/>
                <w:lang w:val="sr-Latn-ME"/>
              </w:rPr>
            </w:pPr>
            <w:r w:rsidRPr="00CB6AFC">
              <w:rPr>
                <w:iCs/>
                <w:noProof/>
                <w:sz w:val="22"/>
                <w:szCs w:val="22"/>
                <w:u w:val="single"/>
                <w:lang w:val="sr-Latn-ME"/>
              </w:rPr>
              <w:t>PIK</w:t>
            </w:r>
            <w:r w:rsidR="00BE7613" w:rsidRPr="00CB6AFC">
              <w:rPr>
                <w:iCs/>
                <w:noProof/>
                <w:sz w:val="22"/>
                <w:szCs w:val="22"/>
                <w:u w:val="single"/>
                <w:vertAlign w:val="subscript"/>
                <w:lang w:val="sr-Latn-ME"/>
              </w:rPr>
              <w:t>0-∞</w:t>
            </w:r>
            <w:r w:rsidR="00BE7613" w:rsidRPr="00CB6AFC">
              <w:rPr>
                <w:iCs/>
                <w:noProof/>
                <w:sz w:val="22"/>
                <w:szCs w:val="22"/>
                <w:u w:val="single"/>
                <w:lang w:val="sr-Latn-ME"/>
              </w:rPr>
              <w:t xml:space="preserve"> (ng.h/m</w:t>
            </w:r>
            <w:r w:rsidRPr="00CB6AFC">
              <w:rPr>
                <w:iCs/>
                <w:noProof/>
                <w:sz w:val="22"/>
                <w:szCs w:val="22"/>
                <w:u w:val="single"/>
                <w:lang w:val="sr-Latn-ME"/>
              </w:rPr>
              <w:t>l</w:t>
            </w:r>
            <w:r w:rsidR="00BE7613" w:rsidRPr="00CB6AFC">
              <w:rPr>
                <w:iCs/>
                <w:noProof/>
                <w:sz w:val="22"/>
                <w:szCs w:val="22"/>
                <w:u w:val="single"/>
                <w:lang w:val="sr-Latn-ME"/>
              </w:rPr>
              <w:t>)</w:t>
            </w:r>
          </w:p>
        </w:tc>
        <w:tc>
          <w:tcPr>
            <w:tcW w:w="1937" w:type="dxa"/>
            <w:shd w:val="clear" w:color="auto" w:fill="auto"/>
            <w:noWrap/>
            <w:vAlign w:val="center"/>
            <w:hideMark/>
          </w:tcPr>
          <w:p w14:paraId="1B6CCDBD" w14:textId="298CF057"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74 743</w:t>
            </w:r>
            <w:r w:rsidR="00CC7752" w:rsidRPr="00CB6AFC">
              <w:rPr>
                <w:iCs/>
                <w:noProof/>
                <w:sz w:val="22"/>
                <w:szCs w:val="22"/>
                <w:u w:val="single"/>
                <w:lang w:val="sr-Latn-ME"/>
              </w:rPr>
              <w:t>.</w:t>
            </w:r>
            <w:r w:rsidRPr="00CB6AFC">
              <w:rPr>
                <w:iCs/>
                <w:noProof/>
                <w:sz w:val="22"/>
                <w:szCs w:val="22"/>
                <w:u w:val="single"/>
                <w:lang w:val="sr-Latn-ME"/>
              </w:rPr>
              <w:t>31</w:t>
            </w:r>
          </w:p>
          <w:p w14:paraId="381D9B62" w14:textId="1EECF494"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17 388</w:t>
            </w:r>
            <w:r w:rsidR="00CC7752" w:rsidRPr="00CB6AFC">
              <w:rPr>
                <w:iCs/>
                <w:noProof/>
                <w:sz w:val="22"/>
                <w:szCs w:val="22"/>
                <w:u w:val="single"/>
                <w:lang w:val="sr-Latn-ME"/>
              </w:rPr>
              <w:t>.</w:t>
            </w:r>
            <w:r w:rsidRPr="00CB6AFC">
              <w:rPr>
                <w:iCs/>
                <w:noProof/>
                <w:sz w:val="22"/>
                <w:szCs w:val="22"/>
                <w:u w:val="single"/>
                <w:lang w:val="sr-Latn-ME"/>
              </w:rPr>
              <w:t>69</w:t>
            </w:r>
          </w:p>
        </w:tc>
        <w:tc>
          <w:tcPr>
            <w:tcW w:w="1937" w:type="dxa"/>
            <w:shd w:val="clear" w:color="auto" w:fill="auto"/>
            <w:noWrap/>
            <w:vAlign w:val="center"/>
            <w:hideMark/>
          </w:tcPr>
          <w:p w14:paraId="62DEE2A1" w14:textId="036F835F"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73 410</w:t>
            </w:r>
            <w:r w:rsidR="00CC7752" w:rsidRPr="00CB6AFC">
              <w:rPr>
                <w:iCs/>
                <w:noProof/>
                <w:sz w:val="22"/>
                <w:szCs w:val="22"/>
                <w:u w:val="single"/>
                <w:lang w:val="sr-Latn-ME"/>
              </w:rPr>
              <w:t>.</w:t>
            </w:r>
            <w:r w:rsidRPr="00CB6AFC">
              <w:rPr>
                <w:iCs/>
                <w:noProof/>
                <w:sz w:val="22"/>
                <w:szCs w:val="22"/>
                <w:u w:val="single"/>
                <w:lang w:val="sr-Latn-ME"/>
              </w:rPr>
              <w:t>65</w:t>
            </w:r>
          </w:p>
          <w:p w14:paraId="1BA92723" w14:textId="680F906D"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16 500</w:t>
            </w:r>
            <w:r w:rsidR="00CC7752" w:rsidRPr="00CB6AFC">
              <w:rPr>
                <w:iCs/>
                <w:noProof/>
                <w:sz w:val="22"/>
                <w:szCs w:val="22"/>
                <w:u w:val="single"/>
                <w:lang w:val="sr-Latn-ME"/>
              </w:rPr>
              <w:t>.</w:t>
            </w:r>
            <w:r w:rsidRPr="00CB6AFC">
              <w:rPr>
                <w:iCs/>
                <w:noProof/>
                <w:sz w:val="22"/>
                <w:szCs w:val="22"/>
                <w:u w:val="single"/>
                <w:lang w:val="sr-Latn-ME"/>
              </w:rPr>
              <w:t>76</w:t>
            </w:r>
          </w:p>
        </w:tc>
        <w:tc>
          <w:tcPr>
            <w:tcW w:w="1938" w:type="dxa"/>
            <w:shd w:val="clear" w:color="auto" w:fill="auto"/>
            <w:noWrap/>
            <w:vAlign w:val="center"/>
            <w:hideMark/>
          </w:tcPr>
          <w:p w14:paraId="434F2BBA" w14:textId="3824994A"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40 333</w:t>
            </w:r>
            <w:r w:rsidR="00CC7752" w:rsidRPr="00CB6AFC">
              <w:rPr>
                <w:iCs/>
                <w:noProof/>
                <w:sz w:val="22"/>
                <w:szCs w:val="22"/>
                <w:u w:val="single"/>
                <w:lang w:val="sr-Latn-ME"/>
              </w:rPr>
              <w:t>.</w:t>
            </w:r>
            <w:r w:rsidRPr="00CB6AFC">
              <w:rPr>
                <w:iCs/>
                <w:noProof/>
                <w:sz w:val="22"/>
                <w:szCs w:val="22"/>
                <w:u w:val="single"/>
                <w:lang w:val="sr-Latn-ME"/>
              </w:rPr>
              <w:t>88</w:t>
            </w:r>
          </w:p>
          <w:p w14:paraId="4F4D5962" w14:textId="6F1970BD"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10 240</w:t>
            </w:r>
            <w:r w:rsidR="00CC7752" w:rsidRPr="00CB6AFC">
              <w:rPr>
                <w:iCs/>
                <w:noProof/>
                <w:sz w:val="22"/>
                <w:szCs w:val="22"/>
                <w:u w:val="single"/>
                <w:lang w:val="sr-Latn-ME"/>
              </w:rPr>
              <w:t>.</w:t>
            </w:r>
            <w:r w:rsidRPr="00CB6AFC">
              <w:rPr>
                <w:iCs/>
                <w:noProof/>
                <w:sz w:val="22"/>
                <w:szCs w:val="22"/>
                <w:u w:val="single"/>
                <w:lang w:val="sr-Latn-ME"/>
              </w:rPr>
              <w:t>30</w:t>
            </w:r>
          </w:p>
        </w:tc>
        <w:tc>
          <w:tcPr>
            <w:tcW w:w="1417" w:type="dxa"/>
            <w:shd w:val="clear" w:color="auto" w:fill="auto"/>
            <w:noWrap/>
            <w:vAlign w:val="center"/>
            <w:hideMark/>
          </w:tcPr>
          <w:p w14:paraId="656AE422" w14:textId="3E070017"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72 202</w:t>
            </w:r>
            <w:r w:rsidR="00CC7752" w:rsidRPr="00CB6AFC">
              <w:rPr>
                <w:iCs/>
                <w:noProof/>
                <w:sz w:val="22"/>
                <w:szCs w:val="22"/>
                <w:u w:val="single"/>
                <w:lang w:val="sr-Latn-ME"/>
              </w:rPr>
              <w:t>.</w:t>
            </w:r>
            <w:r w:rsidRPr="00CB6AFC">
              <w:rPr>
                <w:iCs/>
                <w:noProof/>
                <w:sz w:val="22"/>
                <w:szCs w:val="22"/>
                <w:u w:val="single"/>
                <w:lang w:val="sr-Latn-ME"/>
              </w:rPr>
              <w:t>48</w:t>
            </w:r>
          </w:p>
          <w:p w14:paraId="50BEDCE5" w14:textId="2D9B4EE5"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 17 445</w:t>
            </w:r>
            <w:r w:rsidR="00CC7752" w:rsidRPr="00CB6AFC">
              <w:rPr>
                <w:iCs/>
                <w:noProof/>
                <w:sz w:val="22"/>
                <w:szCs w:val="22"/>
                <w:u w:val="single"/>
                <w:lang w:val="sr-Latn-ME"/>
              </w:rPr>
              <w:t>.</w:t>
            </w:r>
            <w:r w:rsidRPr="00CB6AFC">
              <w:rPr>
                <w:iCs/>
                <w:noProof/>
                <w:sz w:val="22"/>
                <w:szCs w:val="22"/>
                <w:u w:val="single"/>
                <w:lang w:val="sr-Latn-ME"/>
              </w:rPr>
              <w:t>46</w:t>
            </w:r>
          </w:p>
        </w:tc>
      </w:tr>
      <w:tr w:rsidR="00BE7613" w:rsidRPr="00CB6AFC" w14:paraId="288C02A1" w14:textId="77777777" w:rsidTr="00ED4B2E">
        <w:trPr>
          <w:trHeight w:val="550"/>
        </w:trPr>
        <w:tc>
          <w:tcPr>
            <w:tcW w:w="1730" w:type="dxa"/>
            <w:shd w:val="clear" w:color="auto" w:fill="auto"/>
            <w:noWrap/>
            <w:vAlign w:val="center"/>
            <w:hideMark/>
          </w:tcPr>
          <w:p w14:paraId="6CD6AB37" w14:textId="77777777"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T</w:t>
            </w:r>
            <w:r w:rsidRPr="00CB6AFC">
              <w:rPr>
                <w:iCs/>
                <w:noProof/>
                <w:sz w:val="22"/>
                <w:szCs w:val="22"/>
                <w:u w:val="single"/>
                <w:vertAlign w:val="subscript"/>
                <w:lang w:val="sr-Latn-ME"/>
              </w:rPr>
              <w:t>max</w:t>
            </w:r>
            <w:r w:rsidRPr="00CB6AFC">
              <w:rPr>
                <w:iCs/>
                <w:noProof/>
                <w:sz w:val="22"/>
                <w:szCs w:val="22"/>
                <w:u w:val="single"/>
                <w:lang w:val="sr-Latn-ME"/>
              </w:rPr>
              <w:t xml:space="preserve"> (h)</w:t>
            </w:r>
          </w:p>
        </w:tc>
        <w:tc>
          <w:tcPr>
            <w:tcW w:w="1937" w:type="dxa"/>
            <w:shd w:val="clear" w:color="auto" w:fill="auto"/>
            <w:noWrap/>
            <w:vAlign w:val="center"/>
            <w:hideMark/>
          </w:tcPr>
          <w:p w14:paraId="02735000" w14:textId="3A2E672E" w:rsidR="00BE7613" w:rsidRPr="00CB6AFC" w:rsidRDefault="00BE7613" w:rsidP="00E007AC">
            <w:pPr>
              <w:jc w:val="both"/>
              <w:outlineLvl w:val="0"/>
              <w:rPr>
                <w:iCs/>
                <w:noProof/>
                <w:sz w:val="22"/>
                <w:szCs w:val="22"/>
                <w:u w:val="single"/>
                <w:lang w:val="sr-Latn-ME"/>
              </w:rPr>
            </w:pPr>
            <w:r w:rsidRPr="00CB6AFC">
              <w:rPr>
                <w:iCs/>
                <w:noProof/>
                <w:sz w:val="22"/>
                <w:szCs w:val="22"/>
                <w:u w:val="single"/>
                <w:lang w:val="sr-Latn-ME"/>
              </w:rPr>
              <w:t>0</w:t>
            </w:r>
            <w:r w:rsidR="00CC7752" w:rsidRPr="00CB6AFC">
              <w:rPr>
                <w:iCs/>
                <w:noProof/>
                <w:sz w:val="22"/>
                <w:szCs w:val="22"/>
                <w:u w:val="single"/>
                <w:lang w:val="sr-Latn-ME"/>
              </w:rPr>
              <w:t>.</w:t>
            </w:r>
            <w:r w:rsidRPr="00CB6AFC">
              <w:rPr>
                <w:iCs/>
                <w:noProof/>
                <w:sz w:val="22"/>
                <w:szCs w:val="22"/>
                <w:u w:val="single"/>
                <w:lang w:val="sr-Latn-ME"/>
              </w:rPr>
              <w:t>25 (na kraju infuzije)</w:t>
            </w:r>
          </w:p>
        </w:tc>
        <w:tc>
          <w:tcPr>
            <w:tcW w:w="1937" w:type="dxa"/>
            <w:shd w:val="clear" w:color="auto" w:fill="auto"/>
            <w:noWrap/>
            <w:vAlign w:val="center"/>
            <w:hideMark/>
          </w:tcPr>
          <w:p w14:paraId="1CD0BC96" w14:textId="21392E33" w:rsidR="00BE7613" w:rsidRPr="00CB6AFC" w:rsidRDefault="00BE7613" w:rsidP="00E007AC">
            <w:pPr>
              <w:jc w:val="both"/>
              <w:outlineLvl w:val="0"/>
              <w:rPr>
                <w:iCs/>
                <w:noProof/>
                <w:sz w:val="22"/>
                <w:szCs w:val="22"/>
                <w:u w:val="single"/>
                <w:lang w:val="sr-Latn-ME"/>
              </w:rPr>
            </w:pPr>
            <w:r w:rsidRPr="00CB6AFC">
              <w:rPr>
                <w:iCs/>
                <w:noProof/>
                <w:sz w:val="22"/>
                <w:szCs w:val="22"/>
                <w:u w:val="single"/>
                <w:lang w:val="sr-Latn-ME"/>
              </w:rPr>
              <w:t>0</w:t>
            </w:r>
            <w:r w:rsidR="00CC7752" w:rsidRPr="00CB6AFC">
              <w:rPr>
                <w:iCs/>
                <w:noProof/>
                <w:sz w:val="22"/>
                <w:szCs w:val="22"/>
                <w:u w:val="single"/>
                <w:lang w:val="sr-Latn-ME"/>
              </w:rPr>
              <w:t>.</w:t>
            </w:r>
            <w:r w:rsidRPr="00CB6AFC">
              <w:rPr>
                <w:iCs/>
                <w:noProof/>
                <w:sz w:val="22"/>
                <w:szCs w:val="22"/>
                <w:u w:val="single"/>
                <w:lang w:val="sr-Latn-ME"/>
              </w:rPr>
              <w:t>25 (na kraju infuzije)</w:t>
            </w:r>
          </w:p>
        </w:tc>
        <w:tc>
          <w:tcPr>
            <w:tcW w:w="1938" w:type="dxa"/>
            <w:shd w:val="clear" w:color="auto" w:fill="auto"/>
            <w:noWrap/>
            <w:vAlign w:val="center"/>
            <w:hideMark/>
          </w:tcPr>
          <w:p w14:paraId="0EDF7CE5" w14:textId="29AE0FE1" w:rsidR="00BE7613" w:rsidRPr="00CB6AFC" w:rsidRDefault="00BE7613" w:rsidP="00E007AC">
            <w:pPr>
              <w:jc w:val="both"/>
              <w:outlineLvl w:val="0"/>
              <w:rPr>
                <w:iCs/>
                <w:noProof/>
                <w:sz w:val="22"/>
                <w:szCs w:val="22"/>
                <w:u w:val="single"/>
                <w:lang w:val="sr-Latn-ME"/>
              </w:rPr>
            </w:pPr>
            <w:r w:rsidRPr="00CB6AFC">
              <w:rPr>
                <w:iCs/>
                <w:noProof/>
                <w:sz w:val="22"/>
                <w:szCs w:val="22"/>
                <w:u w:val="single"/>
                <w:lang w:val="sr-Latn-ME"/>
              </w:rPr>
              <w:t>0</w:t>
            </w:r>
            <w:r w:rsidR="00CC7752" w:rsidRPr="00CB6AFC">
              <w:rPr>
                <w:iCs/>
                <w:noProof/>
                <w:sz w:val="22"/>
                <w:szCs w:val="22"/>
                <w:u w:val="single"/>
                <w:lang w:val="sr-Latn-ME"/>
              </w:rPr>
              <w:t>.</w:t>
            </w:r>
            <w:r w:rsidRPr="00CB6AFC">
              <w:rPr>
                <w:iCs/>
                <w:noProof/>
                <w:sz w:val="22"/>
                <w:szCs w:val="22"/>
                <w:u w:val="single"/>
                <w:lang w:val="sr-Latn-ME"/>
              </w:rPr>
              <w:t>25 (na kraju infuzije)</w:t>
            </w:r>
          </w:p>
        </w:tc>
        <w:tc>
          <w:tcPr>
            <w:tcW w:w="1417" w:type="dxa"/>
            <w:shd w:val="clear" w:color="auto" w:fill="auto"/>
            <w:noWrap/>
            <w:vAlign w:val="center"/>
            <w:hideMark/>
          </w:tcPr>
          <w:p w14:paraId="2EC722BA" w14:textId="4C739FED"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1</w:t>
            </w:r>
            <w:r w:rsidR="00CC7752" w:rsidRPr="00CB6AFC">
              <w:rPr>
                <w:iCs/>
                <w:noProof/>
                <w:sz w:val="22"/>
                <w:szCs w:val="22"/>
                <w:u w:val="single"/>
                <w:lang w:val="sr-Latn-ME"/>
              </w:rPr>
              <w:t>.</w:t>
            </w:r>
            <w:r w:rsidRPr="00CB6AFC">
              <w:rPr>
                <w:iCs/>
                <w:noProof/>
                <w:sz w:val="22"/>
                <w:szCs w:val="22"/>
                <w:u w:val="single"/>
                <w:lang w:val="sr-Latn-ME"/>
              </w:rPr>
              <w:t>49 ± 0</w:t>
            </w:r>
            <w:r w:rsidR="00CC7752" w:rsidRPr="00CB6AFC">
              <w:rPr>
                <w:iCs/>
                <w:noProof/>
                <w:sz w:val="22"/>
                <w:szCs w:val="22"/>
                <w:u w:val="single"/>
                <w:lang w:val="sr-Latn-ME"/>
              </w:rPr>
              <w:t>.</w:t>
            </w:r>
            <w:r w:rsidRPr="00CB6AFC">
              <w:rPr>
                <w:iCs/>
                <w:noProof/>
                <w:sz w:val="22"/>
                <w:szCs w:val="22"/>
                <w:u w:val="single"/>
                <w:lang w:val="sr-Latn-ME"/>
              </w:rPr>
              <w:t>89</w:t>
            </w:r>
          </w:p>
        </w:tc>
      </w:tr>
      <w:tr w:rsidR="00BE7613" w:rsidRPr="00CB6AFC" w14:paraId="00AB1AE8" w14:textId="77777777" w:rsidTr="00ED4B2E">
        <w:trPr>
          <w:trHeight w:val="558"/>
        </w:trPr>
        <w:tc>
          <w:tcPr>
            <w:tcW w:w="1730" w:type="dxa"/>
            <w:shd w:val="clear" w:color="auto" w:fill="auto"/>
            <w:noWrap/>
            <w:vAlign w:val="center"/>
            <w:hideMark/>
          </w:tcPr>
          <w:p w14:paraId="1E4D91CA" w14:textId="77777777"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t</w:t>
            </w:r>
            <w:r w:rsidRPr="00CB6AFC">
              <w:rPr>
                <w:iCs/>
                <w:noProof/>
                <w:sz w:val="22"/>
                <w:szCs w:val="22"/>
                <w:u w:val="single"/>
                <w:vertAlign w:val="subscript"/>
                <w:lang w:val="sr-Latn-ME"/>
              </w:rPr>
              <w:t xml:space="preserve">1/2 </w:t>
            </w:r>
            <w:r w:rsidRPr="00CB6AFC">
              <w:rPr>
                <w:iCs/>
                <w:noProof/>
                <w:sz w:val="22"/>
                <w:szCs w:val="22"/>
                <w:u w:val="single"/>
                <w:lang w:val="sr-Latn-ME"/>
              </w:rPr>
              <w:t>(h)</w:t>
            </w:r>
          </w:p>
        </w:tc>
        <w:tc>
          <w:tcPr>
            <w:tcW w:w="1937" w:type="dxa"/>
            <w:shd w:val="clear" w:color="auto" w:fill="auto"/>
            <w:noWrap/>
            <w:vAlign w:val="center"/>
            <w:hideMark/>
          </w:tcPr>
          <w:p w14:paraId="20DEA7CF" w14:textId="2D652CBE"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1</w:t>
            </w:r>
            <w:r w:rsidR="00CC7752" w:rsidRPr="00CB6AFC">
              <w:rPr>
                <w:iCs/>
                <w:noProof/>
                <w:sz w:val="22"/>
                <w:szCs w:val="22"/>
                <w:u w:val="single"/>
                <w:lang w:val="sr-Latn-ME"/>
              </w:rPr>
              <w:t>.</w:t>
            </w:r>
            <w:r w:rsidRPr="00CB6AFC">
              <w:rPr>
                <w:iCs/>
                <w:noProof/>
                <w:sz w:val="22"/>
                <w:szCs w:val="22"/>
                <w:u w:val="single"/>
                <w:lang w:val="sr-Latn-ME"/>
              </w:rPr>
              <w:t>88 ± 0</w:t>
            </w:r>
            <w:r w:rsidR="00CC7752" w:rsidRPr="00CB6AFC">
              <w:rPr>
                <w:iCs/>
                <w:noProof/>
                <w:sz w:val="22"/>
                <w:szCs w:val="22"/>
                <w:u w:val="single"/>
                <w:lang w:val="sr-Latn-ME"/>
              </w:rPr>
              <w:t>.</w:t>
            </w:r>
            <w:r w:rsidRPr="00CB6AFC">
              <w:rPr>
                <w:iCs/>
                <w:noProof/>
                <w:sz w:val="22"/>
                <w:szCs w:val="22"/>
                <w:u w:val="single"/>
                <w:lang w:val="sr-Latn-ME"/>
              </w:rPr>
              <w:t>28</w:t>
            </w:r>
          </w:p>
        </w:tc>
        <w:tc>
          <w:tcPr>
            <w:tcW w:w="1937" w:type="dxa"/>
            <w:shd w:val="clear" w:color="auto" w:fill="auto"/>
            <w:noWrap/>
            <w:vAlign w:val="center"/>
            <w:hideMark/>
          </w:tcPr>
          <w:p w14:paraId="18D8773C" w14:textId="40BEFA34"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1</w:t>
            </w:r>
            <w:r w:rsidR="00CC7752" w:rsidRPr="00CB6AFC">
              <w:rPr>
                <w:iCs/>
                <w:noProof/>
                <w:sz w:val="22"/>
                <w:szCs w:val="22"/>
                <w:u w:val="single"/>
                <w:lang w:val="sr-Latn-ME"/>
              </w:rPr>
              <w:t>.</w:t>
            </w:r>
            <w:r w:rsidRPr="00CB6AFC">
              <w:rPr>
                <w:iCs/>
                <w:noProof/>
                <w:sz w:val="22"/>
                <w:szCs w:val="22"/>
                <w:u w:val="single"/>
                <w:lang w:val="sr-Latn-ME"/>
              </w:rPr>
              <w:t>87 ± 0</w:t>
            </w:r>
            <w:r w:rsidR="00CC7752" w:rsidRPr="00CB6AFC">
              <w:rPr>
                <w:iCs/>
                <w:noProof/>
                <w:sz w:val="22"/>
                <w:szCs w:val="22"/>
                <w:u w:val="single"/>
                <w:lang w:val="sr-Latn-ME"/>
              </w:rPr>
              <w:t>.</w:t>
            </w:r>
            <w:r w:rsidRPr="00CB6AFC">
              <w:rPr>
                <w:iCs/>
                <w:noProof/>
                <w:sz w:val="22"/>
                <w:szCs w:val="22"/>
                <w:u w:val="single"/>
                <w:lang w:val="sr-Latn-ME"/>
              </w:rPr>
              <w:t>27</w:t>
            </w:r>
          </w:p>
        </w:tc>
        <w:tc>
          <w:tcPr>
            <w:tcW w:w="1938" w:type="dxa"/>
            <w:shd w:val="clear" w:color="auto" w:fill="auto"/>
            <w:noWrap/>
            <w:vAlign w:val="center"/>
            <w:hideMark/>
          </w:tcPr>
          <w:p w14:paraId="4362F3C4" w14:textId="5EBDDBFF"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1</w:t>
            </w:r>
            <w:r w:rsidR="00CC7752" w:rsidRPr="00CB6AFC">
              <w:rPr>
                <w:iCs/>
                <w:noProof/>
                <w:sz w:val="22"/>
                <w:szCs w:val="22"/>
                <w:u w:val="single"/>
                <w:lang w:val="sr-Latn-ME"/>
              </w:rPr>
              <w:t>.</w:t>
            </w:r>
            <w:r w:rsidRPr="00CB6AFC">
              <w:rPr>
                <w:iCs/>
                <w:noProof/>
                <w:sz w:val="22"/>
                <w:szCs w:val="22"/>
                <w:u w:val="single"/>
                <w:lang w:val="sr-Latn-ME"/>
              </w:rPr>
              <w:t>88 ± 0</w:t>
            </w:r>
            <w:r w:rsidR="00CC7752" w:rsidRPr="00CB6AFC">
              <w:rPr>
                <w:iCs/>
                <w:noProof/>
                <w:sz w:val="22"/>
                <w:szCs w:val="22"/>
                <w:u w:val="single"/>
                <w:lang w:val="sr-Latn-ME"/>
              </w:rPr>
              <w:t>.</w:t>
            </w:r>
            <w:r w:rsidRPr="00CB6AFC">
              <w:rPr>
                <w:iCs/>
                <w:noProof/>
                <w:sz w:val="22"/>
                <w:szCs w:val="22"/>
                <w:u w:val="single"/>
                <w:lang w:val="sr-Latn-ME"/>
              </w:rPr>
              <w:t>30</w:t>
            </w:r>
          </w:p>
        </w:tc>
        <w:tc>
          <w:tcPr>
            <w:tcW w:w="1417" w:type="dxa"/>
            <w:shd w:val="clear" w:color="auto" w:fill="auto"/>
            <w:noWrap/>
            <w:vAlign w:val="center"/>
            <w:hideMark/>
          </w:tcPr>
          <w:p w14:paraId="462E7E2B" w14:textId="07EDAD67"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1</w:t>
            </w:r>
            <w:r w:rsidR="00CC7752" w:rsidRPr="00CB6AFC">
              <w:rPr>
                <w:iCs/>
                <w:noProof/>
                <w:sz w:val="22"/>
                <w:szCs w:val="22"/>
                <w:u w:val="single"/>
                <w:lang w:val="sr-Latn-ME"/>
              </w:rPr>
              <w:t>.</w:t>
            </w:r>
            <w:r w:rsidRPr="00CB6AFC">
              <w:rPr>
                <w:iCs/>
                <w:noProof/>
                <w:sz w:val="22"/>
                <w:szCs w:val="22"/>
                <w:u w:val="single"/>
                <w:lang w:val="sr-Latn-ME"/>
              </w:rPr>
              <w:t>99 ± 0</w:t>
            </w:r>
            <w:r w:rsidR="00CC7752" w:rsidRPr="00CB6AFC">
              <w:rPr>
                <w:iCs/>
                <w:noProof/>
                <w:sz w:val="22"/>
                <w:szCs w:val="22"/>
                <w:u w:val="single"/>
                <w:lang w:val="sr-Latn-ME"/>
              </w:rPr>
              <w:t>.</w:t>
            </w:r>
            <w:r w:rsidRPr="00CB6AFC">
              <w:rPr>
                <w:iCs/>
                <w:noProof/>
                <w:sz w:val="22"/>
                <w:szCs w:val="22"/>
                <w:u w:val="single"/>
                <w:lang w:val="sr-Latn-ME"/>
              </w:rPr>
              <w:t>36</w:t>
            </w:r>
          </w:p>
        </w:tc>
      </w:tr>
    </w:tbl>
    <w:p w14:paraId="6C43CBA9" w14:textId="77777777" w:rsidR="00BE7613" w:rsidRPr="00CB6AFC" w:rsidRDefault="00BE7613" w:rsidP="00E007AC">
      <w:pPr>
        <w:ind w:left="567" w:hanging="567"/>
        <w:jc w:val="both"/>
        <w:outlineLvl w:val="0"/>
        <w:rPr>
          <w:iCs/>
          <w:noProof/>
          <w:sz w:val="22"/>
          <w:szCs w:val="22"/>
          <w:u w:val="single"/>
          <w:lang w:val="sr-Latn-ME"/>
        </w:rPr>
      </w:pPr>
      <w:r w:rsidRPr="00CB6AFC">
        <w:rPr>
          <w:sz w:val="22"/>
          <w:szCs w:val="22"/>
          <w:lang w:val="sr-Latn-ME"/>
        </w:rPr>
        <w:t xml:space="preserve">Napomena: </w:t>
      </w:r>
      <w:r w:rsidRPr="00CB6AFC">
        <w:rPr>
          <w:b/>
          <w:bCs/>
          <w:sz w:val="22"/>
          <w:szCs w:val="22"/>
          <w:lang w:val="sr-Latn-ME"/>
        </w:rPr>
        <w:t>Paracetamol/Ibuprofen</w:t>
      </w:r>
      <w:r w:rsidRPr="00CB6AFC">
        <w:rPr>
          <w:sz w:val="22"/>
          <w:szCs w:val="22"/>
          <w:lang w:val="sr-Latn-ME"/>
        </w:rPr>
        <w:t xml:space="preserve"> tablete = paracetamol 500 mg/ibuprofen 150 mg film tablete</w:t>
      </w:r>
    </w:p>
    <w:p w14:paraId="74092B12" w14:textId="77777777" w:rsidR="00BE7613" w:rsidRPr="00CB6AFC" w:rsidRDefault="00BE7613" w:rsidP="00E007AC">
      <w:pPr>
        <w:tabs>
          <w:tab w:val="left" w:pos="540"/>
          <w:tab w:val="left" w:pos="569"/>
        </w:tabs>
        <w:jc w:val="both"/>
        <w:rPr>
          <w:bCs/>
          <w:sz w:val="22"/>
          <w:szCs w:val="22"/>
          <w:lang w:val="sr-Latn-ME"/>
        </w:rPr>
      </w:pPr>
    </w:p>
    <w:p w14:paraId="3BD791F3" w14:textId="44220D6D" w:rsidR="00BE7613" w:rsidRPr="00CB6AFC" w:rsidRDefault="00BE7613" w:rsidP="00E007AC">
      <w:pPr>
        <w:jc w:val="both"/>
        <w:outlineLvl w:val="0"/>
        <w:rPr>
          <w:iCs/>
          <w:noProof/>
          <w:sz w:val="22"/>
          <w:szCs w:val="22"/>
          <w:lang w:val="sr-Latn-ME"/>
        </w:rPr>
      </w:pPr>
      <w:r w:rsidRPr="00CB6AFC">
        <w:rPr>
          <w:iCs/>
          <w:noProof/>
          <w:sz w:val="22"/>
          <w:szCs w:val="22"/>
          <w:lang w:val="sr-Latn-ME"/>
        </w:rPr>
        <w:t xml:space="preserve">Farmakokinetički parametri bili su slični nakon pojedinačne doze </w:t>
      </w:r>
      <w:r w:rsidR="00CC7752" w:rsidRPr="00CB6AFC">
        <w:rPr>
          <w:iCs/>
          <w:noProof/>
          <w:sz w:val="22"/>
          <w:szCs w:val="22"/>
          <w:lang w:val="sr-Latn-ME"/>
        </w:rPr>
        <w:t xml:space="preserve">lijeka </w:t>
      </w:r>
      <w:r w:rsidRPr="00CB6AFC">
        <w:rPr>
          <w:noProof/>
          <w:sz w:val="22"/>
          <w:szCs w:val="22"/>
          <w:lang w:val="sr-Latn-ME"/>
        </w:rPr>
        <w:t>Comboval 10 mg/ml + 3 mg/ml</w:t>
      </w:r>
      <w:r w:rsidRPr="00CB6AFC">
        <w:rPr>
          <w:iCs/>
          <w:noProof/>
          <w:sz w:val="22"/>
          <w:szCs w:val="22"/>
          <w:lang w:val="sr-Latn-ME"/>
        </w:rPr>
        <w:t xml:space="preserve"> rastvor za infuziju primijenjene intravenski ili peroralno, osim što je C</w:t>
      </w:r>
      <w:r w:rsidRPr="00CB6AFC">
        <w:rPr>
          <w:iCs/>
          <w:noProof/>
          <w:sz w:val="22"/>
          <w:szCs w:val="22"/>
          <w:vertAlign w:val="subscript"/>
          <w:lang w:val="sr-Latn-ME"/>
        </w:rPr>
        <w:t>max</w:t>
      </w:r>
      <w:r w:rsidRPr="00CB6AFC">
        <w:rPr>
          <w:iCs/>
          <w:noProof/>
          <w:sz w:val="22"/>
          <w:szCs w:val="22"/>
          <w:lang w:val="sr-Latn-ME"/>
        </w:rPr>
        <w:t xml:space="preserve"> intravenske formulacije dvostruko veći od oralne formulacije i, kao što se očekivalo, T</w:t>
      </w:r>
      <w:r w:rsidRPr="00CB6AFC">
        <w:rPr>
          <w:iCs/>
          <w:noProof/>
          <w:sz w:val="22"/>
          <w:szCs w:val="22"/>
          <w:vertAlign w:val="subscript"/>
          <w:lang w:val="sr-Latn-ME"/>
        </w:rPr>
        <w:t>max</w:t>
      </w:r>
      <w:r w:rsidRPr="00CB6AFC">
        <w:rPr>
          <w:iCs/>
          <w:noProof/>
          <w:sz w:val="22"/>
          <w:szCs w:val="22"/>
          <w:lang w:val="sr-Latn-ME"/>
        </w:rPr>
        <w:t xml:space="preserve"> nakon intravenske primjene postignut je mnogo brže (u 15 minuta) nego sa peroralnom formulacijom.</w:t>
      </w:r>
    </w:p>
    <w:p w14:paraId="5806F1F0" w14:textId="77777777" w:rsidR="00BE7613" w:rsidRPr="00CB6AFC" w:rsidRDefault="00BE7613" w:rsidP="00E007AC">
      <w:pPr>
        <w:pStyle w:val="Default"/>
        <w:jc w:val="both"/>
        <w:rPr>
          <w:sz w:val="22"/>
          <w:szCs w:val="22"/>
          <w:u w:val="single"/>
          <w:lang w:val="sr-Latn-ME"/>
        </w:rPr>
      </w:pPr>
    </w:p>
    <w:p w14:paraId="1D7C7C26" w14:textId="77777777" w:rsidR="00BE7613" w:rsidRPr="00CB6AFC" w:rsidRDefault="00BE7613" w:rsidP="00E007AC">
      <w:pPr>
        <w:pStyle w:val="Default"/>
        <w:jc w:val="both"/>
        <w:rPr>
          <w:sz w:val="22"/>
          <w:szCs w:val="22"/>
          <w:u w:val="single"/>
          <w:lang w:val="sr-Latn-ME"/>
        </w:rPr>
      </w:pPr>
      <w:r w:rsidRPr="00CB6AFC">
        <w:rPr>
          <w:sz w:val="22"/>
          <w:szCs w:val="22"/>
          <w:u w:val="single"/>
          <w:lang w:val="sr-Latn-ME"/>
        </w:rPr>
        <w:t>Distribucija</w:t>
      </w:r>
    </w:p>
    <w:p w14:paraId="4BB3903A" w14:textId="6969F399" w:rsidR="00BE7613" w:rsidRPr="00CB6AFC" w:rsidRDefault="00BE7613" w:rsidP="00E007AC">
      <w:pPr>
        <w:jc w:val="both"/>
        <w:outlineLvl w:val="0"/>
        <w:rPr>
          <w:iCs/>
          <w:noProof/>
          <w:sz w:val="22"/>
          <w:szCs w:val="22"/>
          <w:lang w:val="sr-Latn-ME"/>
        </w:rPr>
      </w:pPr>
      <w:r w:rsidRPr="00CB6AFC">
        <w:rPr>
          <w:iCs/>
          <w:noProof/>
          <w:sz w:val="22"/>
          <w:szCs w:val="22"/>
          <w:lang w:val="sr-Latn-ME"/>
        </w:rPr>
        <w:t xml:space="preserve">Paracetamol se raspoređuje u većini tjelesnih tkiva. Ibuprofen se </w:t>
      </w:r>
      <w:r w:rsidR="00CC7752" w:rsidRPr="00CB6AFC">
        <w:rPr>
          <w:iCs/>
          <w:noProof/>
          <w:sz w:val="22"/>
          <w:szCs w:val="22"/>
          <w:lang w:val="sr-Latn-ME"/>
        </w:rPr>
        <w:t>u visokom stepenu vezuje</w:t>
      </w:r>
      <w:r w:rsidRPr="00CB6AFC">
        <w:rPr>
          <w:iCs/>
          <w:noProof/>
          <w:sz w:val="22"/>
          <w:szCs w:val="22"/>
          <w:lang w:val="sr-Latn-ME"/>
        </w:rPr>
        <w:t xml:space="preserve"> (90-99%) za proteine ​​ plazme.</w:t>
      </w:r>
    </w:p>
    <w:p w14:paraId="42B0D36B" w14:textId="77777777" w:rsidR="00BE7613" w:rsidRPr="00CB6AFC" w:rsidRDefault="00BE7613" w:rsidP="00E007AC">
      <w:pPr>
        <w:pStyle w:val="Default"/>
        <w:jc w:val="both"/>
        <w:rPr>
          <w:sz w:val="22"/>
          <w:szCs w:val="22"/>
          <w:lang w:val="sr-Latn-ME"/>
        </w:rPr>
      </w:pPr>
    </w:p>
    <w:p w14:paraId="14AB7B40" w14:textId="77777777" w:rsidR="00BE7613" w:rsidRPr="00CB6AFC" w:rsidRDefault="00BE7613" w:rsidP="00E007AC">
      <w:pPr>
        <w:jc w:val="both"/>
        <w:outlineLvl w:val="0"/>
        <w:rPr>
          <w:iCs/>
          <w:noProof/>
          <w:sz w:val="22"/>
          <w:szCs w:val="22"/>
          <w:u w:val="single"/>
          <w:lang w:val="sr-Latn-ME"/>
        </w:rPr>
      </w:pPr>
      <w:r w:rsidRPr="00CB6AFC">
        <w:rPr>
          <w:iCs/>
          <w:noProof/>
          <w:sz w:val="22"/>
          <w:szCs w:val="22"/>
          <w:u w:val="single"/>
          <w:lang w:val="sr-Latn-ME"/>
        </w:rPr>
        <w:t>Metabolizam</w:t>
      </w:r>
    </w:p>
    <w:p w14:paraId="11A415C1" w14:textId="20B32F18" w:rsidR="00BE7613" w:rsidRPr="00CB6AFC" w:rsidRDefault="00BE7613" w:rsidP="00E007AC">
      <w:pPr>
        <w:jc w:val="both"/>
        <w:outlineLvl w:val="0"/>
        <w:rPr>
          <w:iCs/>
          <w:noProof/>
          <w:sz w:val="22"/>
          <w:szCs w:val="22"/>
          <w:lang w:val="sr-Latn-ME"/>
        </w:rPr>
      </w:pPr>
      <w:r w:rsidRPr="00CB6AFC">
        <w:rPr>
          <w:iCs/>
          <w:noProof/>
          <w:sz w:val="22"/>
          <w:szCs w:val="22"/>
          <w:lang w:val="sr-Latn-ME"/>
        </w:rPr>
        <w:t xml:space="preserve">Paracetamol se </w:t>
      </w:r>
      <w:r w:rsidR="00CC7752" w:rsidRPr="00CB6AFC">
        <w:rPr>
          <w:iCs/>
          <w:noProof/>
          <w:sz w:val="22"/>
          <w:szCs w:val="22"/>
          <w:lang w:val="sr-Latn-ME"/>
        </w:rPr>
        <w:t>najvećim djelom</w:t>
      </w:r>
      <w:r w:rsidRPr="00CB6AFC">
        <w:rPr>
          <w:iCs/>
          <w:noProof/>
          <w:sz w:val="22"/>
          <w:szCs w:val="22"/>
          <w:lang w:val="sr-Latn-ME"/>
        </w:rPr>
        <w:t xml:space="preserve"> metaboliše u jetri i izlučuje se u urinu u obliku neaktivnih konjugata glukuronida i sulfata. Manje od 5% se izlučuje nepromijenjeno. Metaboliti paracetamola uključuju sporedni hidroksilovani metabolit koji je hepatotoksičan. Ovaj aktivni metabolit se detoksifikuje konjugacijom sa glutationom, međutim, može se nakupiti nakon predoziranja paracetamolom i ako se to ne liječi, može izazvati ozbiljno, pa čak i nepovratno oštećenje jetre.</w:t>
      </w:r>
    </w:p>
    <w:p w14:paraId="5EE335DF" w14:textId="77777777" w:rsidR="00BE7613" w:rsidRPr="00CB6AFC" w:rsidRDefault="00BE7613" w:rsidP="00E007AC">
      <w:pPr>
        <w:jc w:val="both"/>
        <w:outlineLvl w:val="0"/>
        <w:rPr>
          <w:iCs/>
          <w:noProof/>
          <w:sz w:val="22"/>
          <w:szCs w:val="22"/>
          <w:lang w:val="sr-Latn-ME"/>
        </w:rPr>
      </w:pPr>
    </w:p>
    <w:p w14:paraId="4D96A505" w14:textId="15225E86" w:rsidR="00BE7613" w:rsidRPr="00CB6AFC" w:rsidRDefault="00BE7613" w:rsidP="00E007AC">
      <w:pPr>
        <w:jc w:val="both"/>
        <w:outlineLvl w:val="0"/>
        <w:rPr>
          <w:iCs/>
          <w:noProof/>
          <w:sz w:val="22"/>
          <w:szCs w:val="22"/>
          <w:lang w:val="sr-Latn-ME"/>
        </w:rPr>
      </w:pPr>
      <w:r w:rsidRPr="00CB6AFC">
        <w:rPr>
          <w:iCs/>
          <w:noProof/>
          <w:sz w:val="22"/>
          <w:szCs w:val="22"/>
          <w:lang w:val="sr-Latn-ME"/>
        </w:rPr>
        <w:t xml:space="preserve">Ibuprofen se </w:t>
      </w:r>
      <w:r w:rsidR="00CC7752" w:rsidRPr="00CB6AFC">
        <w:rPr>
          <w:iCs/>
          <w:noProof/>
          <w:sz w:val="22"/>
          <w:szCs w:val="22"/>
          <w:lang w:val="sr-Latn-ME"/>
        </w:rPr>
        <w:t>najvećim dijelom</w:t>
      </w:r>
      <w:r w:rsidRPr="00CB6AFC">
        <w:rPr>
          <w:iCs/>
          <w:noProof/>
          <w:sz w:val="22"/>
          <w:szCs w:val="22"/>
          <w:lang w:val="sr-Latn-ME"/>
        </w:rPr>
        <w:t xml:space="preserve"> metaboliše u neaktivna jedinjenja u jetri, uglavnom glukuronidacijom.</w:t>
      </w:r>
    </w:p>
    <w:p w14:paraId="27459812" w14:textId="77777777" w:rsidR="00BE7613" w:rsidRPr="00CB6AFC" w:rsidRDefault="00BE7613" w:rsidP="00E007AC">
      <w:pPr>
        <w:jc w:val="both"/>
        <w:outlineLvl w:val="0"/>
        <w:rPr>
          <w:iCs/>
          <w:noProof/>
          <w:sz w:val="22"/>
          <w:szCs w:val="22"/>
          <w:lang w:val="sr-Latn-ME"/>
        </w:rPr>
      </w:pPr>
    </w:p>
    <w:p w14:paraId="33E7A98E" w14:textId="4ABF55C0" w:rsidR="00BE7613" w:rsidRPr="00CB6AFC" w:rsidRDefault="00BE7613" w:rsidP="00E007AC">
      <w:pPr>
        <w:jc w:val="both"/>
        <w:outlineLvl w:val="0"/>
        <w:rPr>
          <w:iCs/>
          <w:noProof/>
          <w:sz w:val="22"/>
          <w:szCs w:val="22"/>
          <w:lang w:val="sr-Latn-ME"/>
        </w:rPr>
      </w:pPr>
      <w:r w:rsidRPr="00CB6AFC">
        <w:rPr>
          <w:iCs/>
          <w:noProof/>
          <w:sz w:val="22"/>
          <w:szCs w:val="22"/>
          <w:lang w:val="sr-Latn-ME"/>
        </w:rPr>
        <w:t xml:space="preserve">U kliničkom ispitivanju sa jednom dozom, efekat ibuprofena na oksidativni metabolizam paracetamola procijenjen je kod zdravih dobrovoljaca </w:t>
      </w:r>
      <w:r w:rsidR="00CC7752" w:rsidRPr="00CB6AFC">
        <w:rPr>
          <w:iCs/>
          <w:noProof/>
          <w:sz w:val="22"/>
          <w:szCs w:val="22"/>
          <w:lang w:val="sr-Latn-ME"/>
        </w:rPr>
        <w:t>u uslovima gladovanja</w:t>
      </w:r>
      <w:r w:rsidRPr="00CB6AFC">
        <w:rPr>
          <w:iCs/>
          <w:noProof/>
          <w:sz w:val="22"/>
          <w:szCs w:val="22"/>
          <w:lang w:val="sr-Latn-ME"/>
        </w:rPr>
        <w:t>i. Rezultati ispitivanja pokazali su da ibuprofen nije m</w:t>
      </w:r>
      <w:r w:rsidR="00CC7752" w:rsidRPr="00CB6AFC">
        <w:rPr>
          <w:iCs/>
          <w:noProof/>
          <w:sz w:val="22"/>
          <w:szCs w:val="22"/>
          <w:lang w:val="sr-Latn-ME"/>
        </w:rPr>
        <w:t>ij</w:t>
      </w:r>
      <w:r w:rsidRPr="00CB6AFC">
        <w:rPr>
          <w:iCs/>
          <w:noProof/>
          <w:sz w:val="22"/>
          <w:szCs w:val="22"/>
          <w:lang w:val="sr-Latn-ME"/>
        </w:rPr>
        <w:t>enjao količinu paracetamola koji je podvrgnut oksidativnom metabolizmu, jer je količina paracetamola i njegovih metabolita (merkapturat, cistein-, glukuronid- i sulfat-paracetamol) bila slična kada se primjenjuj</w:t>
      </w:r>
      <w:r w:rsidR="00CC7752" w:rsidRPr="00CB6AFC">
        <w:rPr>
          <w:iCs/>
          <w:noProof/>
          <w:sz w:val="22"/>
          <w:szCs w:val="22"/>
          <w:lang w:val="sr-Latn-ME"/>
        </w:rPr>
        <w:t>e</w:t>
      </w:r>
      <w:r w:rsidRPr="00CB6AFC">
        <w:rPr>
          <w:iCs/>
          <w:noProof/>
          <w:sz w:val="22"/>
          <w:szCs w:val="22"/>
          <w:lang w:val="sr-Latn-ME"/>
        </w:rPr>
        <w:t xml:space="preserve"> sam, kao paracetamol ili istovremeno sa ibuprofenom (kao fiksna kombinacija).</w:t>
      </w:r>
    </w:p>
    <w:p w14:paraId="59607D35" w14:textId="77777777" w:rsidR="00BE7613" w:rsidRPr="00CB6AFC" w:rsidRDefault="00BE7613" w:rsidP="00E007AC">
      <w:pPr>
        <w:ind w:left="567" w:hanging="567"/>
        <w:jc w:val="both"/>
        <w:outlineLvl w:val="0"/>
        <w:rPr>
          <w:iCs/>
          <w:noProof/>
          <w:sz w:val="22"/>
          <w:szCs w:val="22"/>
          <w:u w:val="single"/>
          <w:lang w:val="sr-Latn-ME"/>
        </w:rPr>
      </w:pPr>
    </w:p>
    <w:p w14:paraId="65B0452D" w14:textId="77777777" w:rsidR="00BE7613" w:rsidRPr="00CB6AFC" w:rsidRDefault="00BE7613" w:rsidP="00E007AC">
      <w:pPr>
        <w:ind w:left="567" w:hanging="567"/>
        <w:jc w:val="both"/>
        <w:outlineLvl w:val="0"/>
        <w:rPr>
          <w:iCs/>
          <w:noProof/>
          <w:sz w:val="22"/>
          <w:szCs w:val="22"/>
          <w:u w:val="single"/>
          <w:lang w:val="sr-Latn-ME"/>
        </w:rPr>
      </w:pPr>
      <w:r w:rsidRPr="00CB6AFC">
        <w:rPr>
          <w:iCs/>
          <w:noProof/>
          <w:sz w:val="22"/>
          <w:szCs w:val="22"/>
          <w:u w:val="single"/>
          <w:lang w:val="sr-Latn-ME"/>
        </w:rPr>
        <w:t>Eliminacija</w:t>
      </w:r>
    </w:p>
    <w:p w14:paraId="365AB0E8" w14:textId="77777777" w:rsidR="00BE7613" w:rsidRPr="00CB6AFC" w:rsidRDefault="00BE7613" w:rsidP="00E007AC">
      <w:pPr>
        <w:ind w:left="567" w:hanging="567"/>
        <w:jc w:val="both"/>
        <w:outlineLvl w:val="0"/>
        <w:rPr>
          <w:iCs/>
          <w:noProof/>
          <w:sz w:val="22"/>
          <w:szCs w:val="22"/>
          <w:lang w:val="sr-Latn-ME"/>
        </w:rPr>
      </w:pPr>
      <w:r w:rsidRPr="00CB6AFC">
        <w:rPr>
          <w:iCs/>
          <w:noProof/>
          <w:sz w:val="22"/>
          <w:szCs w:val="22"/>
          <w:lang w:val="sr-Latn-ME"/>
        </w:rPr>
        <w:t>Poluvrijeme eliminacije paracetamola varira od 1 do 3 sata.</w:t>
      </w:r>
    </w:p>
    <w:p w14:paraId="7B106E4C" w14:textId="0A891099" w:rsidR="00BE7613" w:rsidRPr="00CB6AFC" w:rsidRDefault="00BE7613" w:rsidP="00E007AC">
      <w:pPr>
        <w:jc w:val="both"/>
        <w:outlineLvl w:val="0"/>
        <w:rPr>
          <w:iCs/>
          <w:noProof/>
          <w:sz w:val="22"/>
          <w:szCs w:val="22"/>
          <w:lang w:val="sr-Latn-ME"/>
        </w:rPr>
      </w:pPr>
      <w:r w:rsidRPr="00CB6AFC">
        <w:rPr>
          <w:iCs/>
          <w:noProof/>
          <w:sz w:val="22"/>
          <w:szCs w:val="22"/>
          <w:lang w:val="sr-Latn-ME"/>
        </w:rPr>
        <w:lastRenderedPageBreak/>
        <w:t>I neaktivni metaboliti i mala količina nepromijenjenog ibuprofena se brzo i potpuno izlučuju putem bubrega, pri čemu se 95% primijenjene doze eliminiše urinom u roku četiri sata od ingestije. Poluvrijeme eliminacije ibuprofena kreće se u rasponu od 1</w:t>
      </w:r>
      <w:r w:rsidR="00CC7752" w:rsidRPr="00CB6AFC">
        <w:rPr>
          <w:iCs/>
          <w:noProof/>
          <w:sz w:val="22"/>
          <w:szCs w:val="22"/>
          <w:lang w:val="sr-Latn-ME"/>
        </w:rPr>
        <w:t>.</w:t>
      </w:r>
      <w:r w:rsidRPr="00CB6AFC">
        <w:rPr>
          <w:iCs/>
          <w:noProof/>
          <w:sz w:val="22"/>
          <w:szCs w:val="22"/>
          <w:lang w:val="sr-Latn-ME"/>
        </w:rPr>
        <w:t>9 do 2</w:t>
      </w:r>
      <w:r w:rsidR="00083D56" w:rsidRPr="00CB6AFC">
        <w:rPr>
          <w:iCs/>
          <w:noProof/>
          <w:sz w:val="22"/>
          <w:szCs w:val="22"/>
          <w:lang w:val="sr-Latn-ME"/>
        </w:rPr>
        <w:t>.</w:t>
      </w:r>
      <w:r w:rsidRPr="00CB6AFC">
        <w:rPr>
          <w:iCs/>
          <w:noProof/>
          <w:sz w:val="22"/>
          <w:szCs w:val="22"/>
          <w:lang w:val="sr-Latn-ME"/>
        </w:rPr>
        <w:t>2 sata.</w:t>
      </w:r>
    </w:p>
    <w:p w14:paraId="76C5E595" w14:textId="77777777" w:rsidR="001C4E7C" w:rsidRPr="00CB6AFC" w:rsidRDefault="001C4E7C" w:rsidP="00E007AC">
      <w:pPr>
        <w:tabs>
          <w:tab w:val="left" w:pos="540"/>
          <w:tab w:val="left" w:pos="569"/>
        </w:tabs>
        <w:jc w:val="both"/>
        <w:rPr>
          <w:bCs/>
          <w:sz w:val="22"/>
          <w:szCs w:val="22"/>
          <w:lang w:val="sr-Latn-ME"/>
        </w:rPr>
      </w:pPr>
    </w:p>
    <w:p w14:paraId="1652411A" w14:textId="77777777" w:rsidR="0072020E" w:rsidRPr="00CB6AFC" w:rsidRDefault="0072020E" w:rsidP="00E007AC">
      <w:pPr>
        <w:tabs>
          <w:tab w:val="left" w:pos="540"/>
          <w:tab w:val="left" w:pos="569"/>
        </w:tabs>
        <w:jc w:val="both"/>
        <w:rPr>
          <w:b/>
          <w:bCs/>
          <w:sz w:val="22"/>
          <w:szCs w:val="22"/>
          <w:lang w:val="sr-Latn-ME"/>
        </w:rPr>
      </w:pPr>
      <w:r w:rsidRPr="00CB6AFC">
        <w:rPr>
          <w:b/>
          <w:bCs/>
          <w:sz w:val="22"/>
          <w:szCs w:val="22"/>
          <w:lang w:val="sr-Latn-ME"/>
        </w:rPr>
        <w:t xml:space="preserve">5.3. </w:t>
      </w:r>
      <w:r w:rsidR="00480FB1" w:rsidRPr="00CB6AFC">
        <w:rPr>
          <w:b/>
          <w:bCs/>
          <w:sz w:val="22"/>
          <w:szCs w:val="22"/>
          <w:lang w:val="sr-Latn-ME"/>
        </w:rPr>
        <w:tab/>
      </w:r>
      <w:r w:rsidRPr="00CB6AFC">
        <w:rPr>
          <w:b/>
          <w:bCs/>
          <w:sz w:val="22"/>
          <w:szCs w:val="22"/>
          <w:lang w:val="sr-Latn-ME"/>
        </w:rPr>
        <w:t xml:space="preserve">Pretklinički podaci o bezbjednosti </w:t>
      </w:r>
    </w:p>
    <w:p w14:paraId="1652411B" w14:textId="77777777" w:rsidR="00836B35" w:rsidRPr="00CB6AFC" w:rsidRDefault="00836B35" w:rsidP="00E007AC">
      <w:pPr>
        <w:tabs>
          <w:tab w:val="left" w:pos="540"/>
          <w:tab w:val="left" w:pos="569"/>
        </w:tabs>
        <w:jc w:val="both"/>
        <w:rPr>
          <w:bCs/>
          <w:sz w:val="22"/>
          <w:szCs w:val="22"/>
          <w:lang w:val="sr-Latn-ME"/>
        </w:rPr>
      </w:pPr>
    </w:p>
    <w:p w14:paraId="65C87EBC" w14:textId="6BA890A9" w:rsidR="00BE7613" w:rsidRPr="00CB6AFC" w:rsidRDefault="00BE7613" w:rsidP="00E007AC">
      <w:pPr>
        <w:jc w:val="both"/>
        <w:rPr>
          <w:noProof/>
          <w:sz w:val="22"/>
          <w:szCs w:val="22"/>
          <w:lang w:val="sr-Latn-ME"/>
        </w:rPr>
      </w:pPr>
      <w:r w:rsidRPr="00CB6AFC">
        <w:rPr>
          <w:noProof/>
          <w:sz w:val="22"/>
          <w:szCs w:val="22"/>
          <w:lang w:val="sr-Latn-ME"/>
        </w:rPr>
        <w:t xml:space="preserve">U ispitivanjima toksičnosti </w:t>
      </w:r>
      <w:r w:rsidR="00CC7752" w:rsidRPr="00CB6AFC">
        <w:rPr>
          <w:noProof/>
          <w:sz w:val="22"/>
          <w:szCs w:val="22"/>
          <w:lang w:val="sr-Latn-ME"/>
        </w:rPr>
        <w:t>pojedinačnih</w:t>
      </w:r>
      <w:r w:rsidRPr="00CB6AFC">
        <w:rPr>
          <w:noProof/>
          <w:sz w:val="22"/>
          <w:szCs w:val="22"/>
          <w:lang w:val="sr-Latn-ME"/>
        </w:rPr>
        <w:t xml:space="preserve"> i ponovljenih doza sprovedenim na pacovima, istovremena primjena paracetamola i ibuprofena u odnosu koji odgovara</w:t>
      </w:r>
      <w:r w:rsidR="00CC7752" w:rsidRPr="00CB6AFC">
        <w:rPr>
          <w:noProof/>
          <w:sz w:val="22"/>
          <w:szCs w:val="22"/>
          <w:lang w:val="sr-Latn-ME"/>
        </w:rPr>
        <w:t xml:space="preserve"> lijeku</w:t>
      </w:r>
      <w:r w:rsidRPr="00CB6AFC">
        <w:rPr>
          <w:noProof/>
          <w:sz w:val="22"/>
          <w:szCs w:val="22"/>
          <w:lang w:val="sr-Latn-ME"/>
        </w:rPr>
        <w:t xml:space="preserve"> Comboval 10 mg/ml + 3 mg/ml rastvor za infuziju (tj. u odnosu paracetamol-ibuprofen od 3</w:t>
      </w:r>
      <w:r w:rsidR="00CC7752" w:rsidRPr="00CB6AFC">
        <w:rPr>
          <w:noProof/>
          <w:sz w:val="22"/>
          <w:szCs w:val="22"/>
          <w:lang w:val="sr-Latn-ME"/>
        </w:rPr>
        <w:t>.</w:t>
      </w:r>
      <w:r w:rsidRPr="00CB6AFC">
        <w:rPr>
          <w:noProof/>
          <w:sz w:val="22"/>
          <w:szCs w:val="22"/>
          <w:lang w:val="sr-Latn-ME"/>
        </w:rPr>
        <w:t xml:space="preserve">3 : 1) i pri nivou izloženosti sličnom nivoima izloženosti kod ljudi koji bi primili </w:t>
      </w:r>
      <w:r w:rsidR="00CC7752" w:rsidRPr="00CB6AFC">
        <w:rPr>
          <w:noProof/>
          <w:sz w:val="22"/>
          <w:szCs w:val="22"/>
          <w:lang w:val="sr-Latn-ME"/>
        </w:rPr>
        <w:t xml:space="preserve">lijek </w:t>
      </w:r>
      <w:r w:rsidRPr="00CB6AFC">
        <w:rPr>
          <w:noProof/>
          <w:sz w:val="22"/>
          <w:szCs w:val="22"/>
          <w:lang w:val="sr-Latn-ME"/>
        </w:rPr>
        <w:t>Comboval 10 mg/ml + 3 mg/ml rastvor za infuziju u najvećoj preporučenoj dozi ni</w:t>
      </w:r>
      <w:r w:rsidR="00190AB5" w:rsidRPr="00CB6AFC">
        <w:rPr>
          <w:noProof/>
          <w:sz w:val="22"/>
          <w:szCs w:val="22"/>
          <w:lang w:val="sr-Latn-ME"/>
        </w:rPr>
        <w:t>je</w:t>
      </w:r>
      <w:r w:rsidRPr="00CB6AFC">
        <w:rPr>
          <w:noProof/>
          <w:sz w:val="22"/>
          <w:szCs w:val="22"/>
          <w:lang w:val="sr-Latn-ME"/>
        </w:rPr>
        <w:t>su povećali rizik od gastrointestinalne ili renalne toksičnosti.</w:t>
      </w:r>
    </w:p>
    <w:p w14:paraId="57B2D7E6" w14:textId="77777777" w:rsidR="00BE7613" w:rsidRPr="00CB6AFC" w:rsidRDefault="00BE7613" w:rsidP="00E007AC">
      <w:pPr>
        <w:jc w:val="both"/>
        <w:rPr>
          <w:noProof/>
          <w:sz w:val="22"/>
          <w:szCs w:val="22"/>
          <w:lang w:val="sr-Latn-ME"/>
        </w:rPr>
      </w:pPr>
    </w:p>
    <w:p w14:paraId="03117816" w14:textId="5CE6E3AD" w:rsidR="00BE7613" w:rsidRPr="00CB6AFC" w:rsidRDefault="00BE7613" w:rsidP="00E007AC">
      <w:pPr>
        <w:jc w:val="both"/>
        <w:rPr>
          <w:noProof/>
          <w:sz w:val="22"/>
          <w:szCs w:val="22"/>
          <w:lang w:val="sr-Latn-ME"/>
        </w:rPr>
      </w:pPr>
      <w:r w:rsidRPr="00CB6AFC">
        <w:rPr>
          <w:noProof/>
          <w:sz w:val="22"/>
          <w:szCs w:val="22"/>
          <w:lang w:val="sr-Latn-ME"/>
        </w:rPr>
        <w:t xml:space="preserve">Efekat pojedinačnih intravenskih ili perivenskih doza </w:t>
      </w:r>
      <w:r w:rsidR="00CC7752" w:rsidRPr="00CB6AFC">
        <w:rPr>
          <w:noProof/>
          <w:sz w:val="22"/>
          <w:szCs w:val="22"/>
          <w:lang w:val="sr-Latn-ME"/>
        </w:rPr>
        <w:t xml:space="preserve">lijeka </w:t>
      </w:r>
      <w:r w:rsidRPr="00CB6AFC">
        <w:rPr>
          <w:noProof/>
          <w:sz w:val="22"/>
          <w:szCs w:val="22"/>
          <w:lang w:val="sr-Latn-ME"/>
        </w:rPr>
        <w:t xml:space="preserve">Comboval 10 mg/ml + 3 mg/ml mg rastvor za infuziju u ispitivanju akutne lokalne iritacije kod mužjaka kunića pokazao je da </w:t>
      </w:r>
      <w:r w:rsidR="00CC7752" w:rsidRPr="00CB6AFC">
        <w:rPr>
          <w:noProof/>
          <w:sz w:val="22"/>
          <w:szCs w:val="22"/>
          <w:lang w:val="sr-Latn-ME"/>
        </w:rPr>
        <w:t xml:space="preserve">lijek </w:t>
      </w:r>
      <w:r w:rsidRPr="00CB6AFC">
        <w:rPr>
          <w:noProof/>
          <w:sz w:val="22"/>
          <w:szCs w:val="22"/>
          <w:lang w:val="sr-Latn-ME"/>
        </w:rPr>
        <w:t xml:space="preserve">Comboval 10 mg/ml + 3 mg/ml rastvor za infuziju ima slab potencijal za stvaranje lokalne iritacije kad se primjenjuje intravenski u preporučenoj dozi. Nadalje, pri sprovođenju </w:t>
      </w:r>
      <w:r w:rsidRPr="00CB6AFC">
        <w:rPr>
          <w:i/>
          <w:iCs/>
          <w:noProof/>
          <w:sz w:val="22"/>
          <w:szCs w:val="22"/>
          <w:lang w:val="sr-Latn-ME"/>
        </w:rPr>
        <w:t>in vitro</w:t>
      </w:r>
      <w:r w:rsidRPr="00CB6AFC">
        <w:rPr>
          <w:noProof/>
          <w:sz w:val="22"/>
          <w:szCs w:val="22"/>
          <w:lang w:val="sr-Latn-ME"/>
        </w:rPr>
        <w:t xml:space="preserve"> procjene kompatibilnosti krv</w:t>
      </w:r>
      <w:r w:rsidR="00CC7752" w:rsidRPr="00CB6AFC">
        <w:rPr>
          <w:noProof/>
          <w:sz w:val="22"/>
          <w:szCs w:val="22"/>
          <w:lang w:val="sr-Latn-ME"/>
        </w:rPr>
        <w:t>i</w:t>
      </w:r>
      <w:r w:rsidRPr="00CB6AFC">
        <w:rPr>
          <w:noProof/>
          <w:sz w:val="22"/>
          <w:szCs w:val="22"/>
          <w:lang w:val="sr-Latn-ME"/>
        </w:rPr>
        <w:t xml:space="preserve"> nije primijećena dodatna hemoliza, flokulacija/precipitacija proteina plazme ili agregacija trombocita sa </w:t>
      </w:r>
      <w:r w:rsidR="00CC7752" w:rsidRPr="00CB6AFC">
        <w:rPr>
          <w:noProof/>
          <w:sz w:val="22"/>
          <w:szCs w:val="22"/>
          <w:lang w:val="sr-Latn-ME"/>
        </w:rPr>
        <w:t xml:space="preserve">lijekom </w:t>
      </w:r>
      <w:r w:rsidRPr="00CB6AFC">
        <w:rPr>
          <w:noProof/>
          <w:sz w:val="22"/>
          <w:szCs w:val="22"/>
          <w:lang w:val="sr-Latn-ME"/>
        </w:rPr>
        <w:t>Comboval 10 mg/ml + 3 mg/ml rastvor za infuziju u odnosu na</w:t>
      </w:r>
      <w:r w:rsidR="00CC7752" w:rsidRPr="00CB6AFC">
        <w:rPr>
          <w:noProof/>
          <w:sz w:val="22"/>
          <w:szCs w:val="22"/>
          <w:lang w:val="sr-Latn-ME"/>
        </w:rPr>
        <w:t xml:space="preserve"> primjenu</w:t>
      </w:r>
      <w:r w:rsidRPr="00CB6AFC">
        <w:rPr>
          <w:noProof/>
          <w:sz w:val="22"/>
          <w:szCs w:val="22"/>
          <w:lang w:val="sr-Latn-ME"/>
        </w:rPr>
        <w:t xml:space="preserve"> sam</w:t>
      </w:r>
      <w:r w:rsidR="00CC7752" w:rsidRPr="00CB6AFC">
        <w:rPr>
          <w:noProof/>
          <w:sz w:val="22"/>
          <w:szCs w:val="22"/>
          <w:lang w:val="sr-Latn-ME"/>
        </w:rPr>
        <w:t>o</w:t>
      </w:r>
      <w:r w:rsidRPr="00CB6AFC">
        <w:rPr>
          <w:noProof/>
          <w:sz w:val="22"/>
          <w:szCs w:val="22"/>
          <w:lang w:val="sr-Latn-ME"/>
        </w:rPr>
        <w:t xml:space="preserve"> paracetamola i.v. ili ibuprofen i.v.</w:t>
      </w:r>
    </w:p>
    <w:p w14:paraId="50389C30" w14:textId="77777777" w:rsidR="00BE7613" w:rsidRPr="00CB6AFC" w:rsidRDefault="00BE7613" w:rsidP="00E007AC">
      <w:pPr>
        <w:jc w:val="both"/>
        <w:rPr>
          <w:noProof/>
          <w:sz w:val="22"/>
          <w:szCs w:val="22"/>
          <w:lang w:val="sr-Latn-ME"/>
        </w:rPr>
      </w:pPr>
    </w:p>
    <w:p w14:paraId="26CCC01F" w14:textId="77777777" w:rsidR="00BE7613" w:rsidRPr="00CB6AFC" w:rsidRDefault="00BE7613" w:rsidP="00E007AC">
      <w:pPr>
        <w:jc w:val="both"/>
        <w:rPr>
          <w:noProof/>
          <w:sz w:val="22"/>
          <w:szCs w:val="22"/>
          <w:u w:val="single"/>
          <w:lang w:val="sr-Latn-ME"/>
        </w:rPr>
      </w:pPr>
      <w:r w:rsidRPr="00CB6AFC">
        <w:rPr>
          <w:noProof/>
          <w:sz w:val="22"/>
          <w:szCs w:val="22"/>
          <w:u w:val="single"/>
          <w:lang w:val="sr-Latn-ME"/>
        </w:rPr>
        <w:t>Ibuprofen</w:t>
      </w:r>
    </w:p>
    <w:p w14:paraId="17F33836" w14:textId="78C6F394" w:rsidR="00BE7613" w:rsidRPr="00CB6AFC" w:rsidRDefault="00BE7613" w:rsidP="00E007AC">
      <w:pPr>
        <w:jc w:val="both"/>
        <w:rPr>
          <w:noProof/>
          <w:sz w:val="22"/>
          <w:szCs w:val="22"/>
          <w:lang w:val="sr-Latn-ME"/>
        </w:rPr>
      </w:pPr>
      <w:r w:rsidRPr="00CB6AFC">
        <w:rPr>
          <w:noProof/>
          <w:sz w:val="22"/>
          <w:szCs w:val="22"/>
          <w:lang w:val="sr-Latn-ME"/>
        </w:rPr>
        <w:t xml:space="preserve">Subhronična i hronična toksičnost ibuprofena u ispitivanjima na životinjama uočena je uglavnom u vidu lezija i ulceracija u gastrointestinalnom traktu. Ispitivanja </w:t>
      </w:r>
      <w:r w:rsidRPr="00CB6AFC">
        <w:rPr>
          <w:i/>
          <w:iCs/>
          <w:noProof/>
          <w:sz w:val="22"/>
          <w:szCs w:val="22"/>
          <w:lang w:val="sr-Latn-ME"/>
        </w:rPr>
        <w:t>in vitro</w:t>
      </w:r>
      <w:r w:rsidRPr="00CB6AFC">
        <w:rPr>
          <w:noProof/>
          <w:sz w:val="22"/>
          <w:szCs w:val="22"/>
          <w:lang w:val="sr-Latn-ME"/>
        </w:rPr>
        <w:t xml:space="preserve"> i </w:t>
      </w:r>
      <w:r w:rsidRPr="00CB6AFC">
        <w:rPr>
          <w:i/>
          <w:iCs/>
          <w:noProof/>
          <w:sz w:val="22"/>
          <w:szCs w:val="22"/>
          <w:lang w:val="sr-Latn-ME"/>
        </w:rPr>
        <w:t>in vivo</w:t>
      </w:r>
      <w:r w:rsidRPr="00CB6AFC">
        <w:rPr>
          <w:noProof/>
          <w:sz w:val="22"/>
          <w:szCs w:val="22"/>
          <w:lang w:val="sr-Latn-ME"/>
        </w:rPr>
        <w:t xml:space="preserve"> ni</w:t>
      </w:r>
      <w:r w:rsidR="00190AB5" w:rsidRPr="00CB6AFC">
        <w:rPr>
          <w:noProof/>
          <w:sz w:val="22"/>
          <w:szCs w:val="22"/>
          <w:lang w:val="sr-Latn-ME"/>
        </w:rPr>
        <w:t>je</w:t>
      </w:r>
      <w:r w:rsidRPr="00CB6AFC">
        <w:rPr>
          <w:noProof/>
          <w:sz w:val="22"/>
          <w:szCs w:val="22"/>
          <w:lang w:val="sr-Latn-ME"/>
        </w:rPr>
        <w:t>su dala klinički značajan dokaz o mutagenom potencijalu ibuprofena. U ispitivanjima</w:t>
      </w:r>
      <w:r w:rsidR="00CC7752" w:rsidRPr="00CB6AFC">
        <w:rPr>
          <w:noProof/>
          <w:sz w:val="22"/>
          <w:szCs w:val="22"/>
          <w:lang w:val="sr-Latn-ME"/>
        </w:rPr>
        <w:t xml:space="preserve"> sprovedenim</w:t>
      </w:r>
      <w:r w:rsidRPr="00CB6AFC">
        <w:rPr>
          <w:noProof/>
          <w:sz w:val="22"/>
          <w:szCs w:val="22"/>
          <w:lang w:val="sr-Latn-ME"/>
        </w:rPr>
        <w:t xml:space="preserve"> na pacovima i miševima nije pronađen dokaz o kancerogenim efektima ibuprofena. Ibuprofen inhibira ovulaciju kod kunića i ometa implantaciju kod različitih životinjskih vrsta (kunići, pacovi, miševi). Eksperimentalna istraživanja su pokazala da ibuprofen prolazi kroz placentu. Nakon primjena doza toksičnih za majku, </w:t>
      </w:r>
      <w:r w:rsidR="00CC7752" w:rsidRPr="00CB6AFC">
        <w:rPr>
          <w:noProof/>
          <w:sz w:val="22"/>
          <w:szCs w:val="22"/>
          <w:lang w:val="sr-Latn-ME"/>
        </w:rPr>
        <w:t>kod</w:t>
      </w:r>
      <w:r w:rsidRPr="00CB6AFC">
        <w:rPr>
          <w:noProof/>
          <w:sz w:val="22"/>
          <w:szCs w:val="22"/>
          <w:lang w:val="sr-Latn-ME"/>
        </w:rPr>
        <w:t xml:space="preserve"> potomstv</w:t>
      </w:r>
      <w:r w:rsidR="00CC7752" w:rsidRPr="00CB6AFC">
        <w:rPr>
          <w:noProof/>
          <w:sz w:val="22"/>
          <w:szCs w:val="22"/>
          <w:lang w:val="sr-Latn-ME"/>
        </w:rPr>
        <w:t>a</w:t>
      </w:r>
      <w:r w:rsidRPr="00CB6AFC">
        <w:rPr>
          <w:noProof/>
          <w:sz w:val="22"/>
          <w:szCs w:val="22"/>
          <w:lang w:val="sr-Latn-ME"/>
        </w:rPr>
        <w:t xml:space="preserve"> je porasla incidenca malformacija (npr. ventrikularni septalni defekt).</w:t>
      </w:r>
    </w:p>
    <w:p w14:paraId="68C02603" w14:textId="77777777" w:rsidR="00BE7613" w:rsidRPr="00CB6AFC" w:rsidRDefault="00BE7613" w:rsidP="00E007AC">
      <w:pPr>
        <w:jc w:val="both"/>
        <w:rPr>
          <w:noProof/>
          <w:sz w:val="22"/>
          <w:szCs w:val="22"/>
          <w:lang w:val="sr-Latn-ME"/>
        </w:rPr>
      </w:pPr>
    </w:p>
    <w:p w14:paraId="2E7F3C59" w14:textId="77777777" w:rsidR="00BE7613" w:rsidRPr="00CB6AFC" w:rsidRDefault="00BE7613" w:rsidP="00E007AC">
      <w:pPr>
        <w:jc w:val="both"/>
        <w:rPr>
          <w:noProof/>
          <w:sz w:val="22"/>
          <w:szCs w:val="22"/>
          <w:u w:val="single"/>
          <w:lang w:val="sr-Latn-ME"/>
        </w:rPr>
      </w:pPr>
      <w:r w:rsidRPr="00CB6AFC">
        <w:rPr>
          <w:noProof/>
          <w:sz w:val="22"/>
          <w:szCs w:val="22"/>
          <w:u w:val="single"/>
          <w:lang w:val="sr-Latn-ME"/>
        </w:rPr>
        <w:t>Paracetamol</w:t>
      </w:r>
    </w:p>
    <w:p w14:paraId="623AF474" w14:textId="20400FBA" w:rsidR="00BE7613" w:rsidRPr="00CB6AFC" w:rsidRDefault="00BE7613" w:rsidP="00E007AC">
      <w:pPr>
        <w:jc w:val="both"/>
        <w:rPr>
          <w:noProof/>
          <w:sz w:val="22"/>
          <w:szCs w:val="22"/>
          <w:lang w:val="sr-Latn-ME"/>
        </w:rPr>
      </w:pPr>
      <w:r w:rsidRPr="00CB6AFC">
        <w:rPr>
          <w:noProof/>
          <w:sz w:val="22"/>
          <w:szCs w:val="22"/>
          <w:lang w:val="sr-Latn-ME"/>
        </w:rPr>
        <w:t>Paracetamol u hepatotoksičnim dozama pokazao je genotoksični i kancerogeni potencijal (tumori jetre i bešike), kod mišev</w:t>
      </w:r>
      <w:r w:rsidR="00190AB5" w:rsidRPr="00CB6AFC">
        <w:rPr>
          <w:noProof/>
          <w:sz w:val="22"/>
          <w:szCs w:val="22"/>
          <w:lang w:val="sr-Latn-ME"/>
        </w:rPr>
        <w:t>a</w:t>
      </w:r>
      <w:r w:rsidRPr="00CB6AFC">
        <w:rPr>
          <w:noProof/>
          <w:sz w:val="22"/>
          <w:szCs w:val="22"/>
          <w:lang w:val="sr-Latn-ME"/>
        </w:rPr>
        <w:t xml:space="preserve"> i paco</w:t>
      </w:r>
      <w:r w:rsidR="00190AB5" w:rsidRPr="00CB6AFC">
        <w:rPr>
          <w:noProof/>
          <w:sz w:val="22"/>
          <w:szCs w:val="22"/>
          <w:lang w:val="sr-Latn-ME"/>
        </w:rPr>
        <w:t>va</w:t>
      </w:r>
      <w:r w:rsidRPr="00CB6AFC">
        <w:rPr>
          <w:noProof/>
          <w:sz w:val="22"/>
          <w:szCs w:val="22"/>
          <w:lang w:val="sr-Latn-ME"/>
        </w:rPr>
        <w:t>. Međutim, smatra se da je ta genotoksična i kancerogena aktivnost povezana s promjenama u metabolizmu paracetamola u visokim dozama/koncentracijama i ne predstavlja rizik za kliničku upotrebu.</w:t>
      </w:r>
    </w:p>
    <w:p w14:paraId="0AC0E2FB" w14:textId="77777777" w:rsidR="00BE7613" w:rsidRPr="00CB6AFC" w:rsidRDefault="00BE7613" w:rsidP="00E007AC">
      <w:pPr>
        <w:jc w:val="both"/>
        <w:rPr>
          <w:noProof/>
          <w:sz w:val="22"/>
          <w:szCs w:val="22"/>
          <w:lang w:val="sr-Latn-ME"/>
        </w:rPr>
      </w:pPr>
    </w:p>
    <w:p w14:paraId="24D06CAF" w14:textId="44B0089D" w:rsidR="00BE7613" w:rsidRPr="00CB6AFC" w:rsidRDefault="00BE7613" w:rsidP="00E007AC">
      <w:pPr>
        <w:jc w:val="both"/>
        <w:rPr>
          <w:noProof/>
          <w:sz w:val="22"/>
          <w:szCs w:val="22"/>
          <w:lang w:val="sr-Latn-ME"/>
        </w:rPr>
      </w:pPr>
      <w:r w:rsidRPr="00CB6AFC">
        <w:rPr>
          <w:noProof/>
          <w:sz w:val="22"/>
          <w:szCs w:val="22"/>
          <w:lang w:val="sr-Latn-ME"/>
        </w:rPr>
        <w:t>Ni</w:t>
      </w:r>
      <w:r w:rsidR="00190AB5" w:rsidRPr="00CB6AFC">
        <w:rPr>
          <w:noProof/>
          <w:sz w:val="22"/>
          <w:szCs w:val="22"/>
          <w:lang w:val="sr-Latn-ME"/>
        </w:rPr>
        <w:t>je</w:t>
      </w:r>
      <w:r w:rsidRPr="00CB6AFC">
        <w:rPr>
          <w:noProof/>
          <w:sz w:val="22"/>
          <w:szCs w:val="22"/>
          <w:lang w:val="sr-Latn-ME"/>
        </w:rPr>
        <w:t>su dostupna konvencionalna ispitivanja u skladu sa trenutno važećim standardima za procjenu reproduktivne i razvojne toksičnosti.</w:t>
      </w:r>
    </w:p>
    <w:p w14:paraId="6AE64393" w14:textId="77777777" w:rsidR="00BE7613" w:rsidRPr="00CB6AFC" w:rsidRDefault="00BE7613" w:rsidP="00E007AC">
      <w:pPr>
        <w:jc w:val="both"/>
        <w:rPr>
          <w:sz w:val="22"/>
          <w:szCs w:val="22"/>
          <w:lang w:val="sr-Latn-ME"/>
        </w:rPr>
      </w:pPr>
    </w:p>
    <w:p w14:paraId="1652411C" w14:textId="77777777" w:rsidR="00396DFD" w:rsidRPr="00CB6AFC" w:rsidRDefault="00396DFD" w:rsidP="00E007AC">
      <w:pPr>
        <w:tabs>
          <w:tab w:val="left" w:pos="540"/>
          <w:tab w:val="left" w:pos="569"/>
        </w:tabs>
        <w:jc w:val="both"/>
        <w:rPr>
          <w:b/>
          <w:bCs/>
          <w:sz w:val="22"/>
          <w:szCs w:val="22"/>
          <w:lang w:val="sr-Latn-ME"/>
        </w:rPr>
      </w:pPr>
    </w:p>
    <w:p w14:paraId="1652411D" w14:textId="77777777" w:rsidR="0072020E" w:rsidRPr="00CB6AFC" w:rsidRDefault="0072020E" w:rsidP="00E007AC">
      <w:pPr>
        <w:tabs>
          <w:tab w:val="left" w:pos="540"/>
          <w:tab w:val="left" w:pos="569"/>
        </w:tabs>
        <w:jc w:val="both"/>
        <w:rPr>
          <w:b/>
          <w:bCs/>
          <w:sz w:val="22"/>
          <w:szCs w:val="22"/>
          <w:lang w:val="sr-Latn-ME"/>
        </w:rPr>
      </w:pPr>
      <w:r w:rsidRPr="00CB6AFC">
        <w:rPr>
          <w:b/>
          <w:bCs/>
          <w:sz w:val="22"/>
          <w:szCs w:val="22"/>
          <w:lang w:val="sr-Latn-ME"/>
        </w:rPr>
        <w:t xml:space="preserve">6. </w:t>
      </w:r>
      <w:r w:rsidR="00480FB1" w:rsidRPr="00CB6AFC">
        <w:rPr>
          <w:b/>
          <w:bCs/>
          <w:sz w:val="22"/>
          <w:szCs w:val="22"/>
          <w:lang w:val="sr-Latn-ME"/>
        </w:rPr>
        <w:tab/>
      </w:r>
      <w:r w:rsidRPr="00CB6AFC">
        <w:rPr>
          <w:b/>
          <w:bCs/>
          <w:sz w:val="22"/>
          <w:szCs w:val="22"/>
          <w:lang w:val="sr-Latn-ME"/>
        </w:rPr>
        <w:t>FARMACEUTSKI PODACI</w:t>
      </w:r>
    </w:p>
    <w:p w14:paraId="1652411E" w14:textId="77777777" w:rsidR="00836B35" w:rsidRPr="00CB6AFC" w:rsidRDefault="00836B35" w:rsidP="00E007AC">
      <w:pPr>
        <w:tabs>
          <w:tab w:val="left" w:pos="540"/>
          <w:tab w:val="left" w:pos="569"/>
        </w:tabs>
        <w:jc w:val="both"/>
        <w:rPr>
          <w:bCs/>
          <w:sz w:val="22"/>
          <w:szCs w:val="22"/>
          <w:lang w:val="sr-Latn-ME"/>
        </w:rPr>
      </w:pPr>
    </w:p>
    <w:p w14:paraId="1652411F" w14:textId="77777777" w:rsidR="0072020E" w:rsidRPr="00CB6AFC" w:rsidRDefault="0072020E" w:rsidP="00E007AC">
      <w:pPr>
        <w:tabs>
          <w:tab w:val="left" w:pos="540"/>
          <w:tab w:val="left" w:pos="569"/>
        </w:tabs>
        <w:jc w:val="both"/>
        <w:rPr>
          <w:b/>
          <w:bCs/>
          <w:sz w:val="22"/>
          <w:szCs w:val="22"/>
          <w:lang w:val="sr-Latn-ME"/>
        </w:rPr>
      </w:pPr>
      <w:r w:rsidRPr="00CB6AFC">
        <w:rPr>
          <w:b/>
          <w:bCs/>
          <w:sz w:val="22"/>
          <w:szCs w:val="22"/>
          <w:lang w:val="sr-Latn-ME"/>
        </w:rPr>
        <w:t xml:space="preserve">6.1. </w:t>
      </w:r>
      <w:r w:rsidR="00480FB1" w:rsidRPr="00CB6AFC">
        <w:rPr>
          <w:b/>
          <w:bCs/>
          <w:sz w:val="22"/>
          <w:szCs w:val="22"/>
          <w:lang w:val="sr-Latn-ME"/>
        </w:rPr>
        <w:tab/>
      </w:r>
      <w:r w:rsidRPr="00CB6AFC">
        <w:rPr>
          <w:b/>
          <w:bCs/>
          <w:sz w:val="22"/>
          <w:szCs w:val="22"/>
          <w:lang w:val="sr-Latn-ME"/>
        </w:rPr>
        <w:t>Lista pomoćnih supstanci</w:t>
      </w:r>
      <w:r w:rsidR="002E0135" w:rsidRPr="00CB6AFC">
        <w:rPr>
          <w:b/>
          <w:bCs/>
          <w:sz w:val="22"/>
          <w:szCs w:val="22"/>
          <w:lang w:val="sr-Latn-ME"/>
        </w:rPr>
        <w:t xml:space="preserve"> (ekscipijenasa)</w:t>
      </w:r>
    </w:p>
    <w:p w14:paraId="16524120" w14:textId="77777777" w:rsidR="0072020E" w:rsidRPr="00CB6AFC" w:rsidRDefault="0072020E" w:rsidP="00E007AC">
      <w:pPr>
        <w:tabs>
          <w:tab w:val="left" w:pos="540"/>
          <w:tab w:val="left" w:pos="569"/>
        </w:tabs>
        <w:jc w:val="both"/>
        <w:rPr>
          <w:bCs/>
          <w:sz w:val="22"/>
          <w:szCs w:val="22"/>
          <w:lang w:val="sr-Latn-ME"/>
        </w:rPr>
      </w:pPr>
    </w:p>
    <w:p w14:paraId="39B1E642" w14:textId="54A82810" w:rsidR="00BE7613" w:rsidRPr="00CB6AFC" w:rsidRDefault="00BE7613" w:rsidP="00E007AC">
      <w:pPr>
        <w:jc w:val="both"/>
        <w:rPr>
          <w:sz w:val="22"/>
          <w:szCs w:val="22"/>
          <w:lang w:val="sr-Latn-ME"/>
        </w:rPr>
      </w:pPr>
      <w:r w:rsidRPr="00CB6AFC">
        <w:rPr>
          <w:sz w:val="22"/>
          <w:szCs w:val="22"/>
          <w:lang w:val="sr-Latn-ME"/>
        </w:rPr>
        <w:t>Cistein</w:t>
      </w:r>
      <w:r w:rsidR="00CC7752" w:rsidRPr="00CB6AFC">
        <w:rPr>
          <w:sz w:val="22"/>
          <w:szCs w:val="22"/>
          <w:lang w:val="sr-Latn-ME"/>
        </w:rPr>
        <w:t xml:space="preserve"> </w:t>
      </w:r>
      <w:r w:rsidRPr="00CB6AFC">
        <w:rPr>
          <w:sz w:val="22"/>
          <w:szCs w:val="22"/>
          <w:lang w:val="sr-Latn-ME"/>
        </w:rPr>
        <w:t>hidrohlorid monohidrat</w:t>
      </w:r>
    </w:p>
    <w:p w14:paraId="78DB40DF" w14:textId="5215D151" w:rsidR="00BE7613" w:rsidRPr="00CB6AFC" w:rsidRDefault="00BE7613" w:rsidP="00E007AC">
      <w:pPr>
        <w:jc w:val="both"/>
        <w:rPr>
          <w:sz w:val="22"/>
          <w:szCs w:val="22"/>
          <w:lang w:val="sr-Latn-ME"/>
        </w:rPr>
      </w:pPr>
      <w:r w:rsidRPr="00CB6AFC">
        <w:rPr>
          <w:sz w:val="22"/>
          <w:szCs w:val="22"/>
          <w:lang w:val="sr-Latn-ME"/>
        </w:rPr>
        <w:t>Dinatrijum</w:t>
      </w:r>
      <w:r w:rsidR="00CC7752" w:rsidRPr="00CB6AFC">
        <w:rPr>
          <w:sz w:val="22"/>
          <w:szCs w:val="22"/>
          <w:lang w:val="sr-Latn-ME"/>
        </w:rPr>
        <w:t xml:space="preserve"> </w:t>
      </w:r>
      <w:r w:rsidRPr="00CB6AFC">
        <w:rPr>
          <w:sz w:val="22"/>
          <w:szCs w:val="22"/>
          <w:lang w:val="sr-Latn-ME"/>
        </w:rPr>
        <w:t>fosfat dihidrat</w:t>
      </w:r>
    </w:p>
    <w:p w14:paraId="0E54B57C" w14:textId="77777777" w:rsidR="00BE7613" w:rsidRPr="00CB6AFC" w:rsidRDefault="00BE7613" w:rsidP="00E007AC">
      <w:pPr>
        <w:jc w:val="both"/>
        <w:rPr>
          <w:sz w:val="22"/>
          <w:szCs w:val="22"/>
          <w:lang w:val="sr-Latn-ME"/>
        </w:rPr>
      </w:pPr>
      <w:r w:rsidRPr="00CB6AFC">
        <w:rPr>
          <w:sz w:val="22"/>
          <w:szCs w:val="22"/>
          <w:lang w:val="sr-Latn-ME"/>
        </w:rPr>
        <w:t>Manitol</w:t>
      </w:r>
    </w:p>
    <w:p w14:paraId="62C2FCEF" w14:textId="77777777" w:rsidR="00BE7613" w:rsidRPr="00CB6AFC" w:rsidRDefault="00BE7613" w:rsidP="00E007AC">
      <w:pPr>
        <w:jc w:val="both"/>
        <w:rPr>
          <w:sz w:val="22"/>
          <w:szCs w:val="22"/>
          <w:lang w:val="sr-Latn-ME"/>
        </w:rPr>
      </w:pPr>
      <w:r w:rsidRPr="00CB6AFC">
        <w:rPr>
          <w:sz w:val="22"/>
          <w:szCs w:val="22"/>
          <w:lang w:val="sr-Latn-ME"/>
        </w:rPr>
        <w:t>Hlorovodonična kiselina (za podešavanje pH)</w:t>
      </w:r>
    </w:p>
    <w:p w14:paraId="6D6E4113" w14:textId="6690D91C" w:rsidR="00BE7613" w:rsidRPr="00CB6AFC" w:rsidRDefault="00BE7613" w:rsidP="00E007AC">
      <w:pPr>
        <w:jc w:val="both"/>
        <w:rPr>
          <w:sz w:val="22"/>
          <w:szCs w:val="22"/>
          <w:lang w:val="sr-Latn-ME"/>
        </w:rPr>
      </w:pPr>
      <w:r w:rsidRPr="00CB6AFC">
        <w:rPr>
          <w:sz w:val="22"/>
          <w:szCs w:val="22"/>
          <w:lang w:val="sr-Latn-ME"/>
        </w:rPr>
        <w:t>Natrijum</w:t>
      </w:r>
      <w:r w:rsidR="00CC7752" w:rsidRPr="00CB6AFC">
        <w:rPr>
          <w:sz w:val="22"/>
          <w:szCs w:val="22"/>
          <w:lang w:val="sr-Latn-ME"/>
        </w:rPr>
        <w:t xml:space="preserve"> </w:t>
      </w:r>
      <w:r w:rsidRPr="00CB6AFC">
        <w:rPr>
          <w:sz w:val="22"/>
          <w:szCs w:val="22"/>
          <w:lang w:val="sr-Latn-ME"/>
        </w:rPr>
        <w:t>hidroksid (za podešavanje pH)</w:t>
      </w:r>
    </w:p>
    <w:p w14:paraId="39C37774" w14:textId="77777777" w:rsidR="00BE7613" w:rsidRPr="00CB6AFC" w:rsidRDefault="00BE7613" w:rsidP="00E007AC">
      <w:pPr>
        <w:jc w:val="both"/>
        <w:rPr>
          <w:sz w:val="22"/>
          <w:szCs w:val="22"/>
          <w:lang w:val="sr-Latn-ME"/>
        </w:rPr>
      </w:pPr>
      <w:r w:rsidRPr="00CB6AFC">
        <w:rPr>
          <w:sz w:val="22"/>
          <w:szCs w:val="22"/>
          <w:lang w:val="sr-Latn-ME"/>
        </w:rPr>
        <w:t>Voda za injekcije</w:t>
      </w:r>
    </w:p>
    <w:p w14:paraId="55A86EDD" w14:textId="77777777" w:rsidR="00BE7613" w:rsidRPr="00CB6AFC" w:rsidRDefault="00BE7613" w:rsidP="00E007AC">
      <w:pPr>
        <w:tabs>
          <w:tab w:val="left" w:pos="540"/>
          <w:tab w:val="left" w:pos="569"/>
        </w:tabs>
        <w:jc w:val="both"/>
        <w:rPr>
          <w:bCs/>
          <w:sz w:val="22"/>
          <w:szCs w:val="22"/>
          <w:lang w:val="sr-Latn-ME"/>
        </w:rPr>
      </w:pPr>
    </w:p>
    <w:p w14:paraId="16524121" w14:textId="77777777" w:rsidR="0072020E" w:rsidRPr="00CB6AFC" w:rsidRDefault="0072020E" w:rsidP="00E007AC">
      <w:pPr>
        <w:tabs>
          <w:tab w:val="left" w:pos="540"/>
          <w:tab w:val="left" w:pos="569"/>
        </w:tabs>
        <w:jc w:val="both"/>
        <w:rPr>
          <w:b/>
          <w:bCs/>
          <w:sz w:val="22"/>
          <w:szCs w:val="22"/>
          <w:lang w:val="sr-Latn-ME"/>
        </w:rPr>
      </w:pPr>
      <w:r w:rsidRPr="00CB6AFC">
        <w:rPr>
          <w:b/>
          <w:bCs/>
          <w:sz w:val="22"/>
          <w:szCs w:val="22"/>
          <w:lang w:val="sr-Latn-ME"/>
        </w:rPr>
        <w:t xml:space="preserve">6.2. </w:t>
      </w:r>
      <w:r w:rsidR="00480FB1" w:rsidRPr="00CB6AFC">
        <w:rPr>
          <w:b/>
          <w:bCs/>
          <w:sz w:val="22"/>
          <w:szCs w:val="22"/>
          <w:lang w:val="sr-Latn-ME"/>
        </w:rPr>
        <w:tab/>
      </w:r>
      <w:r w:rsidRPr="00CB6AFC">
        <w:rPr>
          <w:b/>
          <w:bCs/>
          <w:sz w:val="22"/>
          <w:szCs w:val="22"/>
          <w:lang w:val="sr-Latn-ME"/>
        </w:rPr>
        <w:t>Inkompatibilnost</w:t>
      </w:r>
      <w:r w:rsidR="002846DB" w:rsidRPr="00CB6AFC">
        <w:rPr>
          <w:b/>
          <w:bCs/>
          <w:sz w:val="22"/>
          <w:szCs w:val="22"/>
          <w:lang w:val="sr-Latn-ME"/>
        </w:rPr>
        <w:t>i</w:t>
      </w:r>
    </w:p>
    <w:p w14:paraId="16524122" w14:textId="77777777" w:rsidR="0072020E" w:rsidRPr="00CB6AFC" w:rsidRDefault="0072020E" w:rsidP="00E007AC">
      <w:pPr>
        <w:tabs>
          <w:tab w:val="left" w:pos="540"/>
          <w:tab w:val="left" w:pos="569"/>
        </w:tabs>
        <w:jc w:val="both"/>
        <w:rPr>
          <w:bCs/>
          <w:sz w:val="22"/>
          <w:szCs w:val="22"/>
          <w:lang w:val="sr-Latn-ME"/>
        </w:rPr>
      </w:pPr>
    </w:p>
    <w:p w14:paraId="49DBD59F" w14:textId="5DE60221" w:rsidR="00BE7613" w:rsidRPr="00CB6AFC" w:rsidRDefault="00CC7752" w:rsidP="00E007AC">
      <w:pPr>
        <w:jc w:val="both"/>
        <w:rPr>
          <w:noProof/>
          <w:sz w:val="22"/>
          <w:szCs w:val="22"/>
          <w:lang w:val="sr-Latn-ME"/>
        </w:rPr>
      </w:pPr>
      <w:r w:rsidRPr="00CB6AFC">
        <w:rPr>
          <w:noProof/>
          <w:sz w:val="22"/>
          <w:szCs w:val="22"/>
          <w:lang w:val="sr-Latn-ME"/>
        </w:rPr>
        <w:t>U odsustvu</w:t>
      </w:r>
      <w:r w:rsidR="00BE7613" w:rsidRPr="00CB6AFC">
        <w:rPr>
          <w:noProof/>
          <w:sz w:val="22"/>
          <w:szCs w:val="22"/>
          <w:lang w:val="sr-Latn-ME"/>
        </w:rPr>
        <w:t xml:space="preserve"> ispitivanja kompatibilnosti, ovaj lijek se ne smije miješati sa drugim ljekovima.</w:t>
      </w:r>
    </w:p>
    <w:p w14:paraId="23668FC5" w14:textId="3AD9961C" w:rsidR="00CE4247" w:rsidRPr="00CB6AFC" w:rsidRDefault="00CE4247" w:rsidP="00E007AC">
      <w:pPr>
        <w:tabs>
          <w:tab w:val="left" w:pos="540"/>
          <w:tab w:val="left" w:pos="569"/>
        </w:tabs>
        <w:jc w:val="both"/>
        <w:rPr>
          <w:bCs/>
          <w:sz w:val="22"/>
          <w:szCs w:val="22"/>
          <w:lang w:val="sr-Latn-ME"/>
        </w:rPr>
      </w:pPr>
    </w:p>
    <w:p w14:paraId="16524123" w14:textId="77777777" w:rsidR="0072020E" w:rsidRPr="00CB6AFC" w:rsidRDefault="0072020E" w:rsidP="00E007AC">
      <w:pPr>
        <w:tabs>
          <w:tab w:val="left" w:pos="540"/>
          <w:tab w:val="left" w:pos="569"/>
        </w:tabs>
        <w:jc w:val="both"/>
        <w:rPr>
          <w:b/>
          <w:bCs/>
          <w:sz w:val="22"/>
          <w:szCs w:val="22"/>
          <w:lang w:val="sr-Latn-ME"/>
        </w:rPr>
      </w:pPr>
      <w:r w:rsidRPr="00CB6AFC">
        <w:rPr>
          <w:b/>
          <w:bCs/>
          <w:sz w:val="22"/>
          <w:szCs w:val="22"/>
          <w:lang w:val="sr-Latn-ME"/>
        </w:rPr>
        <w:t>6.3.</w:t>
      </w:r>
      <w:r w:rsidR="00C05DF8" w:rsidRPr="00CB6AFC">
        <w:rPr>
          <w:b/>
          <w:bCs/>
          <w:sz w:val="22"/>
          <w:szCs w:val="22"/>
          <w:lang w:val="sr-Latn-ME"/>
        </w:rPr>
        <w:t xml:space="preserve"> </w:t>
      </w:r>
      <w:r w:rsidR="00480FB1" w:rsidRPr="00CB6AFC">
        <w:rPr>
          <w:b/>
          <w:bCs/>
          <w:sz w:val="22"/>
          <w:szCs w:val="22"/>
          <w:lang w:val="sr-Latn-ME"/>
        </w:rPr>
        <w:tab/>
      </w:r>
      <w:r w:rsidRPr="00CB6AFC">
        <w:rPr>
          <w:b/>
          <w:bCs/>
          <w:sz w:val="22"/>
          <w:szCs w:val="22"/>
          <w:lang w:val="sr-Latn-ME"/>
        </w:rPr>
        <w:t>Rok upotrebe</w:t>
      </w:r>
    </w:p>
    <w:p w14:paraId="16524124" w14:textId="77777777" w:rsidR="0072020E" w:rsidRPr="00CB6AFC" w:rsidRDefault="0072020E" w:rsidP="00E007AC">
      <w:pPr>
        <w:tabs>
          <w:tab w:val="left" w:pos="540"/>
          <w:tab w:val="left" w:pos="569"/>
        </w:tabs>
        <w:jc w:val="both"/>
        <w:rPr>
          <w:bCs/>
          <w:sz w:val="22"/>
          <w:szCs w:val="22"/>
          <w:lang w:val="sr-Latn-ME"/>
        </w:rPr>
      </w:pPr>
    </w:p>
    <w:p w14:paraId="4EF3D078" w14:textId="77777777" w:rsidR="00BE7613" w:rsidRPr="00CB6AFC" w:rsidRDefault="00BE7613" w:rsidP="00E007AC">
      <w:pPr>
        <w:pStyle w:val="Default"/>
        <w:jc w:val="both"/>
        <w:rPr>
          <w:sz w:val="22"/>
          <w:szCs w:val="22"/>
          <w:lang w:val="sr-Latn-ME"/>
        </w:rPr>
      </w:pPr>
      <w:r w:rsidRPr="00CB6AFC">
        <w:rPr>
          <w:sz w:val="22"/>
          <w:szCs w:val="22"/>
          <w:lang w:val="sr-Latn-ME"/>
        </w:rPr>
        <w:t>2 godine</w:t>
      </w:r>
    </w:p>
    <w:p w14:paraId="2F64F410" w14:textId="77777777" w:rsidR="00BE7613" w:rsidRPr="00CB6AFC" w:rsidRDefault="00BE7613" w:rsidP="00E007AC">
      <w:pPr>
        <w:tabs>
          <w:tab w:val="left" w:pos="540"/>
          <w:tab w:val="left" w:pos="569"/>
        </w:tabs>
        <w:jc w:val="both"/>
        <w:rPr>
          <w:bCs/>
          <w:sz w:val="22"/>
          <w:szCs w:val="22"/>
          <w:lang w:val="sr-Latn-ME"/>
        </w:rPr>
      </w:pPr>
      <w:bookmarkStart w:id="1" w:name="_GoBack"/>
      <w:bookmarkEnd w:id="1"/>
    </w:p>
    <w:p w14:paraId="16524125" w14:textId="77777777" w:rsidR="0072020E" w:rsidRPr="00CB6AFC" w:rsidRDefault="0072020E" w:rsidP="00E007AC">
      <w:pPr>
        <w:tabs>
          <w:tab w:val="left" w:pos="540"/>
          <w:tab w:val="left" w:pos="569"/>
        </w:tabs>
        <w:jc w:val="both"/>
        <w:rPr>
          <w:b/>
          <w:bCs/>
          <w:sz w:val="22"/>
          <w:szCs w:val="22"/>
          <w:lang w:val="sr-Latn-ME"/>
        </w:rPr>
      </w:pPr>
      <w:r w:rsidRPr="00CB6AFC">
        <w:rPr>
          <w:b/>
          <w:bCs/>
          <w:sz w:val="22"/>
          <w:szCs w:val="22"/>
          <w:lang w:val="sr-Latn-ME"/>
        </w:rPr>
        <w:t xml:space="preserve">6.4. </w:t>
      </w:r>
      <w:r w:rsidR="00480FB1" w:rsidRPr="00CB6AFC">
        <w:rPr>
          <w:b/>
          <w:bCs/>
          <w:sz w:val="22"/>
          <w:szCs w:val="22"/>
          <w:lang w:val="sr-Latn-ME"/>
        </w:rPr>
        <w:tab/>
      </w:r>
      <w:r w:rsidRPr="00CB6AFC">
        <w:rPr>
          <w:b/>
          <w:bCs/>
          <w:sz w:val="22"/>
          <w:szCs w:val="22"/>
          <w:lang w:val="sr-Latn-ME"/>
        </w:rPr>
        <w:t>Posebne mjere upozorenja pri čuvanju</w:t>
      </w:r>
      <w:r w:rsidR="00F8570A" w:rsidRPr="00CB6AFC">
        <w:rPr>
          <w:b/>
          <w:bCs/>
          <w:sz w:val="22"/>
          <w:szCs w:val="22"/>
          <w:lang w:val="sr-Latn-ME"/>
        </w:rPr>
        <w:t xml:space="preserve"> lijeka</w:t>
      </w:r>
    </w:p>
    <w:p w14:paraId="16524126" w14:textId="77777777" w:rsidR="00EC2532" w:rsidRPr="00CB6AFC" w:rsidRDefault="00EC2532" w:rsidP="00E007AC">
      <w:pPr>
        <w:tabs>
          <w:tab w:val="left" w:pos="540"/>
          <w:tab w:val="left" w:pos="569"/>
        </w:tabs>
        <w:jc w:val="both"/>
        <w:rPr>
          <w:bCs/>
          <w:sz w:val="22"/>
          <w:szCs w:val="22"/>
          <w:lang w:val="sr-Latn-ME"/>
        </w:rPr>
      </w:pPr>
    </w:p>
    <w:p w14:paraId="1791BEF1" w14:textId="77777777" w:rsidR="00CC7752" w:rsidRPr="00CB6AFC" w:rsidRDefault="00BE7613" w:rsidP="00180081">
      <w:pPr>
        <w:jc w:val="both"/>
        <w:rPr>
          <w:sz w:val="22"/>
          <w:szCs w:val="22"/>
          <w:lang w:val="sr-Latn-ME"/>
        </w:rPr>
      </w:pPr>
      <w:r w:rsidRPr="00CB6AFC">
        <w:rPr>
          <w:sz w:val="22"/>
          <w:szCs w:val="22"/>
          <w:lang w:val="sr-Latn-ME"/>
        </w:rPr>
        <w:t xml:space="preserve">Čuvati na temperaturi do 25ºC. Ne čuvati u frižideru i ne zamrzavati. </w:t>
      </w:r>
    </w:p>
    <w:p w14:paraId="698D14FB" w14:textId="1E46A76D" w:rsidR="00BE7613" w:rsidRPr="00CB6AFC" w:rsidRDefault="00BE7613" w:rsidP="00E007AC">
      <w:pPr>
        <w:jc w:val="both"/>
        <w:rPr>
          <w:sz w:val="22"/>
          <w:szCs w:val="22"/>
          <w:lang w:val="sr-Latn-ME"/>
        </w:rPr>
      </w:pPr>
      <w:r w:rsidRPr="00CB6AFC">
        <w:rPr>
          <w:sz w:val="22"/>
          <w:szCs w:val="22"/>
          <w:lang w:val="sr-Latn-ME"/>
        </w:rPr>
        <w:t>Čuvati u originalnom pakovanju radi zaštite od svjetlosti.</w:t>
      </w:r>
    </w:p>
    <w:p w14:paraId="74728CB6" w14:textId="77777777" w:rsidR="00BE7613" w:rsidRPr="00CB6AFC" w:rsidRDefault="00BE7613" w:rsidP="00E007AC">
      <w:pPr>
        <w:tabs>
          <w:tab w:val="left" w:pos="540"/>
          <w:tab w:val="left" w:pos="569"/>
        </w:tabs>
        <w:jc w:val="both"/>
        <w:rPr>
          <w:bCs/>
          <w:sz w:val="22"/>
          <w:szCs w:val="22"/>
          <w:lang w:val="sr-Latn-ME"/>
        </w:rPr>
      </w:pPr>
    </w:p>
    <w:p w14:paraId="16524127" w14:textId="77777777" w:rsidR="0072020E" w:rsidRPr="00CB6AFC" w:rsidRDefault="0072020E" w:rsidP="00E007AC">
      <w:pPr>
        <w:tabs>
          <w:tab w:val="left" w:pos="540"/>
          <w:tab w:val="left" w:pos="569"/>
        </w:tabs>
        <w:jc w:val="both"/>
        <w:rPr>
          <w:b/>
          <w:bCs/>
          <w:sz w:val="22"/>
          <w:szCs w:val="22"/>
          <w:lang w:val="sr-Latn-ME"/>
        </w:rPr>
      </w:pPr>
      <w:r w:rsidRPr="00CB6AFC">
        <w:rPr>
          <w:b/>
          <w:bCs/>
          <w:sz w:val="22"/>
          <w:szCs w:val="22"/>
          <w:lang w:val="sr-Latn-ME"/>
        </w:rPr>
        <w:t xml:space="preserve">6.5. </w:t>
      </w:r>
      <w:r w:rsidR="00480FB1" w:rsidRPr="00CB6AFC">
        <w:rPr>
          <w:b/>
          <w:bCs/>
          <w:sz w:val="22"/>
          <w:szCs w:val="22"/>
          <w:lang w:val="sr-Latn-ME"/>
        </w:rPr>
        <w:tab/>
      </w:r>
      <w:r w:rsidR="002846DB" w:rsidRPr="00CB6AFC">
        <w:rPr>
          <w:b/>
          <w:bCs/>
          <w:sz w:val="22"/>
          <w:szCs w:val="22"/>
          <w:lang w:val="sr-Latn-ME"/>
        </w:rPr>
        <w:t xml:space="preserve">Vrsta i sadržaj </w:t>
      </w:r>
      <w:r w:rsidR="00F8570A" w:rsidRPr="00CB6AFC">
        <w:rPr>
          <w:b/>
          <w:bCs/>
          <w:sz w:val="22"/>
          <w:szCs w:val="22"/>
          <w:lang w:val="sr-Latn-ME"/>
        </w:rPr>
        <w:t>pakovanja</w:t>
      </w:r>
      <w:r w:rsidR="00C06864" w:rsidRPr="00CB6AFC">
        <w:rPr>
          <w:b/>
          <w:bCs/>
          <w:sz w:val="22"/>
          <w:szCs w:val="22"/>
          <w:lang w:val="sr-Latn-ME"/>
        </w:rPr>
        <w:t xml:space="preserve"> </w:t>
      </w:r>
    </w:p>
    <w:p w14:paraId="16524128" w14:textId="77777777" w:rsidR="0072020E" w:rsidRPr="00CB6AFC" w:rsidRDefault="0072020E" w:rsidP="00E007AC">
      <w:pPr>
        <w:tabs>
          <w:tab w:val="left" w:pos="540"/>
          <w:tab w:val="left" w:pos="569"/>
        </w:tabs>
        <w:jc w:val="both"/>
        <w:rPr>
          <w:bCs/>
          <w:sz w:val="22"/>
          <w:szCs w:val="22"/>
          <w:lang w:val="sr-Latn-ME"/>
        </w:rPr>
      </w:pPr>
    </w:p>
    <w:p w14:paraId="0BC21037" w14:textId="702E258A" w:rsidR="001C4E7C" w:rsidRPr="00CB6AFC" w:rsidRDefault="00CC7752" w:rsidP="00E007AC">
      <w:pPr>
        <w:jc w:val="both"/>
        <w:outlineLvl w:val="0"/>
        <w:rPr>
          <w:noProof/>
          <w:sz w:val="22"/>
          <w:szCs w:val="22"/>
          <w:lang w:val="sr-Latn-ME"/>
        </w:rPr>
      </w:pPr>
      <w:r w:rsidRPr="00CB6AFC">
        <w:rPr>
          <w:noProof/>
          <w:sz w:val="22"/>
          <w:szCs w:val="22"/>
          <w:lang w:val="sr-Latn-ME"/>
        </w:rPr>
        <w:t xml:space="preserve">Lijek </w:t>
      </w:r>
      <w:r w:rsidR="001C4E7C" w:rsidRPr="00CB6AFC">
        <w:rPr>
          <w:noProof/>
          <w:sz w:val="22"/>
          <w:szCs w:val="22"/>
          <w:lang w:val="sr-Latn-ME"/>
        </w:rPr>
        <w:t>Comboval</w:t>
      </w:r>
      <w:r w:rsidR="00CE4247" w:rsidRPr="00CB6AFC">
        <w:rPr>
          <w:noProof/>
          <w:sz w:val="22"/>
          <w:szCs w:val="22"/>
          <w:lang w:val="sr-Latn-ME"/>
        </w:rPr>
        <w:t>,</w:t>
      </w:r>
      <w:r w:rsidR="001C4E7C" w:rsidRPr="00CB6AFC">
        <w:rPr>
          <w:noProof/>
          <w:sz w:val="22"/>
          <w:szCs w:val="22"/>
          <w:lang w:val="sr-Latn-ME"/>
        </w:rPr>
        <w:t xml:space="preserve"> 10 mg/ml + 3 mg/ml</w:t>
      </w:r>
      <w:r w:rsidR="00A507D1" w:rsidRPr="00CB6AFC">
        <w:rPr>
          <w:noProof/>
          <w:sz w:val="22"/>
          <w:szCs w:val="22"/>
          <w:lang w:val="sr-Latn-ME"/>
        </w:rPr>
        <w:t>,</w:t>
      </w:r>
      <w:r w:rsidR="001C4E7C" w:rsidRPr="00CB6AFC">
        <w:rPr>
          <w:noProof/>
          <w:sz w:val="22"/>
          <w:szCs w:val="22"/>
          <w:lang w:val="sr-Latn-ME"/>
        </w:rPr>
        <w:t xml:space="preserve"> rastvor za infuziju je dostupan u</w:t>
      </w:r>
      <w:r w:rsidR="00FA347E" w:rsidRPr="00CB6AFC">
        <w:rPr>
          <w:noProof/>
          <w:sz w:val="22"/>
          <w:szCs w:val="22"/>
          <w:lang w:val="sr-Latn-ME"/>
        </w:rPr>
        <w:t xml:space="preserve"> providnim, staklenim bočicama tipa II, od</w:t>
      </w:r>
      <w:r w:rsidR="001C4E7C" w:rsidRPr="00CB6AFC">
        <w:rPr>
          <w:noProof/>
          <w:sz w:val="22"/>
          <w:szCs w:val="22"/>
          <w:lang w:val="sr-Latn-ME"/>
        </w:rPr>
        <w:t xml:space="preserve"> 100 ml,</w:t>
      </w:r>
      <w:r w:rsidR="00FA347E" w:rsidRPr="00CB6AFC">
        <w:rPr>
          <w:noProof/>
          <w:sz w:val="22"/>
          <w:szCs w:val="22"/>
          <w:lang w:val="sr-Latn-ME"/>
        </w:rPr>
        <w:t xml:space="preserve"> </w:t>
      </w:r>
      <w:r w:rsidR="001C4E7C" w:rsidRPr="00CB6AFC">
        <w:rPr>
          <w:noProof/>
          <w:sz w:val="22"/>
          <w:szCs w:val="22"/>
          <w:lang w:val="sr-Latn-ME"/>
        </w:rPr>
        <w:t>zatvorenim sivim brombutilnim gumenim čepom i aluminijumskim „</w:t>
      </w:r>
      <w:r w:rsidR="001C4E7C" w:rsidRPr="00CB6AFC">
        <w:rPr>
          <w:i/>
          <w:noProof/>
          <w:sz w:val="22"/>
          <w:szCs w:val="22"/>
          <w:lang w:val="sr-Latn-ME"/>
        </w:rPr>
        <w:t>flip-off</w:t>
      </w:r>
      <w:r w:rsidR="001C4E7C" w:rsidRPr="00CB6AFC">
        <w:rPr>
          <w:noProof/>
          <w:sz w:val="22"/>
          <w:szCs w:val="22"/>
          <w:lang w:val="sr-Latn-ME"/>
        </w:rPr>
        <w:t>“ poklopcem</w:t>
      </w:r>
      <w:r w:rsidR="00A2619D" w:rsidRPr="00CB6AFC">
        <w:rPr>
          <w:noProof/>
          <w:sz w:val="22"/>
          <w:szCs w:val="22"/>
          <w:lang w:val="sr-Latn-ME"/>
        </w:rPr>
        <w:t xml:space="preserve">. U </w:t>
      </w:r>
      <w:r w:rsidR="001C4E7C" w:rsidRPr="00CB6AFC">
        <w:rPr>
          <w:noProof/>
          <w:sz w:val="22"/>
          <w:szCs w:val="22"/>
          <w:lang w:val="sr-Latn-ME"/>
        </w:rPr>
        <w:t xml:space="preserve">pakovanju </w:t>
      </w:r>
      <w:r w:rsidR="00A2619D" w:rsidRPr="00CB6AFC">
        <w:rPr>
          <w:color w:val="000000"/>
          <w:sz w:val="22"/>
          <w:szCs w:val="22"/>
          <w:lang w:val="sr-Latn-ME"/>
        </w:rPr>
        <w:t>se nalazi</w:t>
      </w:r>
      <w:r w:rsidR="00A2619D" w:rsidRPr="00CB6AFC">
        <w:rPr>
          <w:noProof/>
          <w:sz w:val="22"/>
          <w:szCs w:val="22"/>
          <w:lang w:val="sr-Latn-ME"/>
        </w:rPr>
        <w:t xml:space="preserve"> </w:t>
      </w:r>
      <w:r w:rsidR="001C4E7C" w:rsidRPr="00CB6AFC">
        <w:rPr>
          <w:noProof/>
          <w:sz w:val="22"/>
          <w:szCs w:val="22"/>
          <w:lang w:val="sr-Latn-ME"/>
        </w:rPr>
        <w:t>10 bočica.</w:t>
      </w:r>
    </w:p>
    <w:p w14:paraId="1D5973F4" w14:textId="77777777" w:rsidR="001C4E7C" w:rsidRPr="00CB6AFC" w:rsidRDefault="001C4E7C" w:rsidP="00E007AC">
      <w:pPr>
        <w:tabs>
          <w:tab w:val="left" w:pos="540"/>
          <w:tab w:val="left" w:pos="569"/>
        </w:tabs>
        <w:jc w:val="both"/>
        <w:rPr>
          <w:bCs/>
          <w:sz w:val="22"/>
          <w:szCs w:val="22"/>
          <w:lang w:val="sr-Latn-ME"/>
        </w:rPr>
      </w:pPr>
    </w:p>
    <w:p w14:paraId="16524129" w14:textId="77777777" w:rsidR="002846DB" w:rsidRPr="00CB6AFC" w:rsidRDefault="0072020E" w:rsidP="00E007AC">
      <w:pPr>
        <w:tabs>
          <w:tab w:val="left" w:pos="540"/>
          <w:tab w:val="left" w:pos="569"/>
        </w:tabs>
        <w:jc w:val="both"/>
        <w:rPr>
          <w:b/>
          <w:bCs/>
          <w:sz w:val="22"/>
          <w:szCs w:val="22"/>
          <w:lang w:val="sr-Latn-ME"/>
        </w:rPr>
      </w:pPr>
      <w:r w:rsidRPr="00CB6AFC">
        <w:rPr>
          <w:b/>
          <w:bCs/>
          <w:sz w:val="22"/>
          <w:szCs w:val="22"/>
          <w:lang w:val="sr-Latn-ME"/>
        </w:rPr>
        <w:t xml:space="preserve">6.6. </w:t>
      </w:r>
      <w:r w:rsidR="00480FB1" w:rsidRPr="00CB6AFC">
        <w:rPr>
          <w:b/>
          <w:bCs/>
          <w:sz w:val="22"/>
          <w:szCs w:val="22"/>
          <w:lang w:val="sr-Latn-ME"/>
        </w:rPr>
        <w:tab/>
      </w:r>
      <w:r w:rsidRPr="00CB6AFC">
        <w:rPr>
          <w:b/>
          <w:bCs/>
          <w:color w:val="000000"/>
          <w:sz w:val="22"/>
          <w:szCs w:val="22"/>
          <w:lang w:val="sr-Latn-ME"/>
        </w:rPr>
        <w:t>Posebne mjere opreza pri odlaganju materijala koji treba odbaciti nakon primjene lijeka</w:t>
      </w:r>
      <w:r w:rsidRPr="00CB6AFC">
        <w:rPr>
          <w:b/>
          <w:bCs/>
          <w:sz w:val="22"/>
          <w:szCs w:val="22"/>
          <w:lang w:val="sr-Latn-ME"/>
        </w:rPr>
        <w:t xml:space="preserve"> </w:t>
      </w:r>
      <w:r w:rsidR="00310F03" w:rsidRPr="00CB6AFC">
        <w:rPr>
          <w:b/>
          <w:bCs/>
          <w:sz w:val="22"/>
          <w:szCs w:val="22"/>
          <w:lang w:val="sr-Latn-ME"/>
        </w:rPr>
        <w:t>(i druga uputs</w:t>
      </w:r>
      <w:r w:rsidR="004109FA" w:rsidRPr="00CB6AFC">
        <w:rPr>
          <w:b/>
          <w:bCs/>
          <w:sz w:val="22"/>
          <w:szCs w:val="22"/>
          <w:lang w:val="sr-Latn-ME"/>
        </w:rPr>
        <w:t>t</w:t>
      </w:r>
      <w:r w:rsidR="00310F03" w:rsidRPr="00CB6AFC">
        <w:rPr>
          <w:b/>
          <w:bCs/>
          <w:sz w:val="22"/>
          <w:szCs w:val="22"/>
          <w:lang w:val="sr-Latn-ME"/>
        </w:rPr>
        <w:t xml:space="preserve">va za rukovanje lijekom) </w:t>
      </w:r>
    </w:p>
    <w:p w14:paraId="1652412A" w14:textId="77777777" w:rsidR="00B66A70" w:rsidRPr="00CB6AFC" w:rsidRDefault="00B66A70" w:rsidP="00E007AC">
      <w:pPr>
        <w:tabs>
          <w:tab w:val="left" w:pos="540"/>
          <w:tab w:val="left" w:pos="569"/>
        </w:tabs>
        <w:jc w:val="both"/>
        <w:rPr>
          <w:b/>
          <w:bCs/>
          <w:sz w:val="22"/>
          <w:szCs w:val="22"/>
          <w:lang w:val="sr-Latn-ME"/>
        </w:rPr>
      </w:pPr>
    </w:p>
    <w:p w14:paraId="6CB5C39A" w14:textId="08CF5382" w:rsidR="001C4E7C" w:rsidRPr="00CB6AFC" w:rsidRDefault="001C4E7C" w:rsidP="00E007AC">
      <w:pPr>
        <w:jc w:val="both"/>
        <w:rPr>
          <w:noProof/>
          <w:sz w:val="22"/>
          <w:szCs w:val="22"/>
          <w:lang w:val="sr-Latn-ME"/>
        </w:rPr>
      </w:pPr>
      <w:r w:rsidRPr="00CB6AFC">
        <w:rPr>
          <w:noProof/>
          <w:sz w:val="22"/>
          <w:szCs w:val="22"/>
          <w:lang w:val="sr-Latn-ME"/>
        </w:rPr>
        <w:t xml:space="preserve">Vizualno pregledajte </w:t>
      </w:r>
      <w:r w:rsidR="00CC7752" w:rsidRPr="00CB6AFC">
        <w:rPr>
          <w:noProof/>
          <w:sz w:val="22"/>
          <w:szCs w:val="22"/>
          <w:lang w:val="sr-Latn-ME"/>
        </w:rPr>
        <w:t xml:space="preserve">lijek </w:t>
      </w:r>
      <w:r w:rsidRPr="00CB6AFC">
        <w:rPr>
          <w:noProof/>
          <w:sz w:val="22"/>
          <w:szCs w:val="22"/>
          <w:lang w:val="sr-Latn-ME"/>
        </w:rPr>
        <w:t>Comboval 10 mg/ml + 3 mg/ml rastvor za infuziju prije primjene</w:t>
      </w:r>
      <w:r w:rsidRPr="00CB6AFC" w:rsidDel="0026220D">
        <w:rPr>
          <w:noProof/>
          <w:sz w:val="22"/>
          <w:szCs w:val="22"/>
          <w:lang w:val="sr-Latn-ME"/>
        </w:rPr>
        <w:t xml:space="preserve"> </w:t>
      </w:r>
      <w:r w:rsidRPr="00CB6AFC">
        <w:rPr>
          <w:noProof/>
          <w:sz w:val="22"/>
          <w:szCs w:val="22"/>
          <w:lang w:val="sr-Latn-ME"/>
        </w:rPr>
        <w:t>na prisustvo čestica i diskoloraciju, kad god rastvor i pakovanje to dopuštaju. Ovaj lijek se ne smije upotrijebiti ako primijetite vidljive neprozirne čestice, promjene boje ili druge strane čestice.</w:t>
      </w:r>
    </w:p>
    <w:p w14:paraId="141DEAB3" w14:textId="77777777" w:rsidR="001C4E7C" w:rsidRPr="00CB6AFC" w:rsidRDefault="001C4E7C" w:rsidP="00E007AC">
      <w:pPr>
        <w:jc w:val="both"/>
        <w:rPr>
          <w:noProof/>
          <w:sz w:val="22"/>
          <w:szCs w:val="22"/>
          <w:lang w:val="sr-Latn-ME"/>
        </w:rPr>
      </w:pPr>
    </w:p>
    <w:p w14:paraId="5AC1A353" w14:textId="356316FB" w:rsidR="001C4E7C" w:rsidRPr="00CB6AFC" w:rsidRDefault="001C4E7C" w:rsidP="00E007AC">
      <w:pPr>
        <w:jc w:val="both"/>
        <w:rPr>
          <w:noProof/>
          <w:sz w:val="22"/>
          <w:szCs w:val="22"/>
          <w:lang w:val="sr-Latn-ME"/>
        </w:rPr>
      </w:pPr>
      <w:r w:rsidRPr="00CB6AFC">
        <w:rPr>
          <w:noProof/>
          <w:sz w:val="22"/>
          <w:szCs w:val="22"/>
          <w:lang w:val="sr-Latn-ME"/>
        </w:rPr>
        <w:t xml:space="preserve">Zbog nedostatka ispitivanja kompatibilnosti ovaj lijek se ne smije miješati sa rastvaračima. Ako je za jednu dozu potrebno manje od pune bočice, treba primijeniti odgovarajuću količinu, a preostali rastvor odbaciti (takođe </w:t>
      </w:r>
      <w:r w:rsidR="004C381F" w:rsidRPr="00CB6AFC">
        <w:rPr>
          <w:noProof/>
          <w:sz w:val="22"/>
          <w:szCs w:val="22"/>
          <w:lang w:val="sr-Latn-ME"/>
        </w:rPr>
        <w:t xml:space="preserve">vidjeti </w:t>
      </w:r>
      <w:r w:rsidR="00CC7752" w:rsidRPr="00CB6AFC">
        <w:rPr>
          <w:noProof/>
          <w:sz w:val="22"/>
          <w:szCs w:val="22"/>
          <w:lang w:val="sr-Latn-ME"/>
        </w:rPr>
        <w:t>dio</w:t>
      </w:r>
      <w:r w:rsidRPr="00CB6AFC">
        <w:rPr>
          <w:noProof/>
          <w:sz w:val="22"/>
          <w:szCs w:val="22"/>
          <w:lang w:val="sr-Latn-ME"/>
        </w:rPr>
        <w:t xml:space="preserve"> 4.2).</w:t>
      </w:r>
    </w:p>
    <w:p w14:paraId="51A3A03C" w14:textId="77777777" w:rsidR="001C4E7C" w:rsidRPr="00CB6AFC" w:rsidRDefault="001C4E7C" w:rsidP="00E007AC">
      <w:pPr>
        <w:jc w:val="both"/>
        <w:rPr>
          <w:noProof/>
          <w:sz w:val="22"/>
          <w:szCs w:val="22"/>
          <w:lang w:val="sr-Latn-ME"/>
        </w:rPr>
      </w:pPr>
    </w:p>
    <w:p w14:paraId="0D470C05" w14:textId="3A7C12E4" w:rsidR="001C4E7C" w:rsidRPr="00CB6AFC" w:rsidRDefault="00CC7752" w:rsidP="00E007AC">
      <w:pPr>
        <w:jc w:val="both"/>
        <w:rPr>
          <w:noProof/>
          <w:sz w:val="22"/>
          <w:szCs w:val="22"/>
          <w:lang w:val="sr-Latn-ME"/>
        </w:rPr>
      </w:pPr>
      <w:r w:rsidRPr="00CB6AFC">
        <w:rPr>
          <w:noProof/>
          <w:sz w:val="22"/>
          <w:szCs w:val="22"/>
          <w:lang w:val="sr-Latn-ME"/>
        </w:rPr>
        <w:t xml:space="preserve">Lijek </w:t>
      </w:r>
      <w:r w:rsidR="001C4E7C" w:rsidRPr="00CB6AFC">
        <w:rPr>
          <w:noProof/>
          <w:sz w:val="22"/>
          <w:szCs w:val="22"/>
          <w:lang w:val="sr-Latn-ME"/>
        </w:rPr>
        <w:t xml:space="preserve">Comboval 10 mg/ml + 3 mg/ml rastvor za infuziju treba primijeniti samo za jednog pacijenta, jednokratno. Ne sadrži konzervans. </w:t>
      </w:r>
    </w:p>
    <w:p w14:paraId="79A4D6B5" w14:textId="77777777" w:rsidR="001C4E7C" w:rsidRPr="00CB6AFC" w:rsidRDefault="001C4E7C" w:rsidP="00E007AC">
      <w:pPr>
        <w:jc w:val="both"/>
        <w:rPr>
          <w:noProof/>
          <w:sz w:val="22"/>
          <w:szCs w:val="22"/>
          <w:lang w:val="sr-Latn-ME"/>
        </w:rPr>
      </w:pPr>
    </w:p>
    <w:p w14:paraId="4A75A103" w14:textId="443923F8" w:rsidR="001C4E7C" w:rsidRPr="00CB6AFC" w:rsidRDefault="001C4E7C" w:rsidP="00E007AC">
      <w:pPr>
        <w:autoSpaceDE w:val="0"/>
        <w:autoSpaceDN w:val="0"/>
        <w:adjustRightInd w:val="0"/>
        <w:jc w:val="both"/>
        <w:rPr>
          <w:sz w:val="22"/>
          <w:szCs w:val="22"/>
          <w:lang w:val="sr-Latn-ME"/>
        </w:rPr>
      </w:pPr>
      <w:r w:rsidRPr="00CB6AFC">
        <w:rPr>
          <w:sz w:val="22"/>
          <w:szCs w:val="22"/>
          <w:lang w:val="sr-Latn-ME"/>
        </w:rPr>
        <w:t>Svu neiskorišćenu količinu lijeka ili otpadnog materijala nakon njegove upotrebe treba ukloniti, u skladu sa</w:t>
      </w:r>
      <w:r w:rsidR="00B0169B" w:rsidRPr="00CB6AFC">
        <w:rPr>
          <w:sz w:val="22"/>
          <w:szCs w:val="22"/>
          <w:lang w:val="sr-Latn-ME"/>
        </w:rPr>
        <w:t xml:space="preserve"> </w:t>
      </w:r>
      <w:r w:rsidRPr="00CB6AFC">
        <w:rPr>
          <w:sz w:val="22"/>
          <w:szCs w:val="22"/>
          <w:lang w:val="sr-Latn-ME"/>
        </w:rPr>
        <w:t>važećim propisima.</w:t>
      </w:r>
    </w:p>
    <w:p w14:paraId="465E8A8A" w14:textId="77777777" w:rsidR="00B0169B" w:rsidRPr="00CB6AFC" w:rsidRDefault="00B0169B" w:rsidP="00E007AC">
      <w:pPr>
        <w:autoSpaceDE w:val="0"/>
        <w:autoSpaceDN w:val="0"/>
        <w:adjustRightInd w:val="0"/>
        <w:jc w:val="both"/>
        <w:rPr>
          <w:sz w:val="22"/>
          <w:szCs w:val="22"/>
          <w:lang w:val="sr-Latn-ME"/>
        </w:rPr>
      </w:pPr>
    </w:p>
    <w:p w14:paraId="1652412B" w14:textId="77777777" w:rsidR="0072020E" w:rsidRPr="00CB6AFC" w:rsidRDefault="0072020E" w:rsidP="00E007AC">
      <w:pPr>
        <w:tabs>
          <w:tab w:val="left" w:pos="540"/>
          <w:tab w:val="left" w:pos="569"/>
        </w:tabs>
        <w:jc w:val="both"/>
        <w:rPr>
          <w:bCs/>
          <w:sz w:val="22"/>
          <w:szCs w:val="22"/>
          <w:lang w:val="sr-Latn-ME"/>
        </w:rPr>
      </w:pPr>
    </w:p>
    <w:p w14:paraId="1652412C" w14:textId="77777777" w:rsidR="00F8570A" w:rsidRPr="00CB6AFC" w:rsidRDefault="0072020E" w:rsidP="00E007AC">
      <w:pPr>
        <w:tabs>
          <w:tab w:val="left" w:pos="540"/>
          <w:tab w:val="left" w:pos="569"/>
        </w:tabs>
        <w:jc w:val="both"/>
        <w:rPr>
          <w:b/>
          <w:bCs/>
          <w:sz w:val="22"/>
          <w:szCs w:val="22"/>
          <w:lang w:val="sr-Latn-ME"/>
        </w:rPr>
      </w:pPr>
      <w:r w:rsidRPr="00CB6AFC">
        <w:rPr>
          <w:b/>
          <w:bCs/>
          <w:sz w:val="22"/>
          <w:szCs w:val="22"/>
          <w:lang w:val="sr-Latn-ME"/>
        </w:rPr>
        <w:t xml:space="preserve">7. </w:t>
      </w:r>
      <w:r w:rsidR="00480FB1" w:rsidRPr="00CB6AFC">
        <w:rPr>
          <w:b/>
          <w:bCs/>
          <w:sz w:val="22"/>
          <w:szCs w:val="22"/>
          <w:lang w:val="sr-Latn-ME"/>
        </w:rPr>
        <w:tab/>
      </w:r>
      <w:r w:rsidRPr="00CB6AFC">
        <w:rPr>
          <w:b/>
          <w:bCs/>
          <w:sz w:val="22"/>
          <w:szCs w:val="22"/>
          <w:lang w:val="sr-Latn-ME"/>
        </w:rPr>
        <w:t>NOSILAC DOZVOLE</w:t>
      </w:r>
      <w:r w:rsidR="00483928" w:rsidRPr="00CB6AFC">
        <w:rPr>
          <w:b/>
          <w:bCs/>
          <w:sz w:val="22"/>
          <w:szCs w:val="22"/>
          <w:lang w:val="sr-Latn-ME"/>
        </w:rPr>
        <w:t xml:space="preserve"> </w:t>
      </w:r>
    </w:p>
    <w:p w14:paraId="1652412D" w14:textId="77777777" w:rsidR="00C61BE0" w:rsidRPr="00CB6AFC" w:rsidRDefault="00C61BE0" w:rsidP="00E007AC">
      <w:pPr>
        <w:tabs>
          <w:tab w:val="left" w:pos="540"/>
          <w:tab w:val="left" w:pos="569"/>
        </w:tabs>
        <w:jc w:val="both"/>
        <w:rPr>
          <w:bCs/>
          <w:sz w:val="22"/>
          <w:szCs w:val="22"/>
          <w:lang w:val="sr-Latn-ME"/>
        </w:rPr>
      </w:pPr>
    </w:p>
    <w:p w14:paraId="46C06381" w14:textId="3575765F" w:rsidR="001C4E7C" w:rsidRPr="00CB6AFC" w:rsidRDefault="00FA347E" w:rsidP="00E007AC">
      <w:pPr>
        <w:jc w:val="both"/>
        <w:rPr>
          <w:sz w:val="22"/>
          <w:szCs w:val="22"/>
          <w:lang w:val="sr-Latn-ME"/>
        </w:rPr>
      </w:pPr>
      <w:r w:rsidRPr="00CB6AFC">
        <w:rPr>
          <w:sz w:val="22"/>
          <w:szCs w:val="22"/>
          <w:lang w:val="sr-Latn-ME"/>
        </w:rPr>
        <w:t>"SALUS PODGORICA" DOO PODGORICA</w:t>
      </w:r>
    </w:p>
    <w:p w14:paraId="5DB61D9C" w14:textId="764AF685" w:rsidR="001C4E7C" w:rsidRPr="00CB6AFC" w:rsidRDefault="001C4E7C" w:rsidP="00E007AC">
      <w:pPr>
        <w:jc w:val="both"/>
        <w:rPr>
          <w:sz w:val="22"/>
          <w:szCs w:val="22"/>
          <w:lang w:val="sr-Latn-ME"/>
        </w:rPr>
      </w:pPr>
      <w:r w:rsidRPr="00CB6AFC">
        <w:rPr>
          <w:sz w:val="22"/>
          <w:szCs w:val="22"/>
          <w:lang w:val="sr-Latn-ME"/>
        </w:rPr>
        <w:t>Svetlane Kane Radević, Poslovna zgrada Europoint, I sprat,</w:t>
      </w:r>
    </w:p>
    <w:p w14:paraId="2E9ACA08" w14:textId="77777777" w:rsidR="001C4E7C" w:rsidRPr="00CB6AFC" w:rsidRDefault="001C4E7C" w:rsidP="00E007AC">
      <w:pPr>
        <w:jc w:val="both"/>
        <w:rPr>
          <w:sz w:val="22"/>
          <w:szCs w:val="22"/>
          <w:lang w:val="sr-Latn-ME"/>
        </w:rPr>
      </w:pPr>
      <w:r w:rsidRPr="00CB6AFC">
        <w:rPr>
          <w:sz w:val="22"/>
          <w:szCs w:val="22"/>
          <w:lang w:val="sr-Latn-ME"/>
        </w:rPr>
        <w:t>81000 Podgorica, Crna Gora</w:t>
      </w:r>
    </w:p>
    <w:p w14:paraId="1652412E" w14:textId="77777777" w:rsidR="00C37FD7" w:rsidRPr="00CB6AFC" w:rsidRDefault="00C37FD7" w:rsidP="00E007AC">
      <w:pPr>
        <w:tabs>
          <w:tab w:val="left" w:pos="540"/>
          <w:tab w:val="left" w:pos="569"/>
        </w:tabs>
        <w:jc w:val="both"/>
        <w:rPr>
          <w:bCs/>
          <w:sz w:val="22"/>
          <w:szCs w:val="22"/>
          <w:lang w:val="sr-Latn-ME"/>
        </w:rPr>
      </w:pPr>
    </w:p>
    <w:p w14:paraId="71C31404" w14:textId="77777777" w:rsidR="001C4E7C" w:rsidRPr="00CB6AFC" w:rsidRDefault="001C4E7C" w:rsidP="00E007AC">
      <w:pPr>
        <w:tabs>
          <w:tab w:val="left" w:pos="540"/>
          <w:tab w:val="left" w:pos="569"/>
        </w:tabs>
        <w:jc w:val="both"/>
        <w:rPr>
          <w:bCs/>
          <w:sz w:val="22"/>
          <w:szCs w:val="22"/>
          <w:lang w:val="sr-Latn-ME"/>
        </w:rPr>
      </w:pPr>
    </w:p>
    <w:p w14:paraId="1652412F" w14:textId="77777777" w:rsidR="0072020E" w:rsidRPr="00CB6AFC" w:rsidRDefault="0072020E" w:rsidP="00E007AC">
      <w:pPr>
        <w:tabs>
          <w:tab w:val="left" w:pos="540"/>
          <w:tab w:val="left" w:pos="569"/>
        </w:tabs>
        <w:jc w:val="both"/>
        <w:rPr>
          <w:b/>
          <w:bCs/>
          <w:sz w:val="22"/>
          <w:szCs w:val="22"/>
          <w:lang w:val="sr-Latn-ME"/>
        </w:rPr>
      </w:pPr>
      <w:r w:rsidRPr="00CB6AFC">
        <w:rPr>
          <w:b/>
          <w:bCs/>
          <w:sz w:val="22"/>
          <w:szCs w:val="22"/>
          <w:lang w:val="sr-Latn-ME"/>
        </w:rPr>
        <w:t xml:space="preserve">8. </w:t>
      </w:r>
      <w:r w:rsidR="00480FB1" w:rsidRPr="00CB6AFC">
        <w:rPr>
          <w:b/>
          <w:bCs/>
          <w:sz w:val="22"/>
          <w:szCs w:val="22"/>
          <w:lang w:val="sr-Latn-ME"/>
        </w:rPr>
        <w:tab/>
      </w:r>
      <w:r w:rsidRPr="00CB6AFC">
        <w:rPr>
          <w:b/>
          <w:bCs/>
          <w:sz w:val="22"/>
          <w:szCs w:val="22"/>
          <w:lang w:val="sr-Latn-ME"/>
        </w:rPr>
        <w:t>BROJ DOZVOLE</w:t>
      </w:r>
      <w:r w:rsidR="008A6D43" w:rsidRPr="00CB6AFC">
        <w:rPr>
          <w:b/>
          <w:bCs/>
          <w:sz w:val="22"/>
          <w:szCs w:val="22"/>
          <w:lang w:val="sr-Latn-ME"/>
        </w:rPr>
        <w:t xml:space="preserve"> ZA STAVLJANJE LIJEKA U PROMET</w:t>
      </w:r>
    </w:p>
    <w:p w14:paraId="16524130" w14:textId="506F5D23" w:rsidR="0072020E" w:rsidRPr="00CB6AFC" w:rsidRDefault="0072020E" w:rsidP="00E007AC">
      <w:pPr>
        <w:tabs>
          <w:tab w:val="left" w:pos="540"/>
          <w:tab w:val="left" w:pos="569"/>
        </w:tabs>
        <w:jc w:val="both"/>
        <w:rPr>
          <w:bCs/>
          <w:sz w:val="22"/>
          <w:szCs w:val="22"/>
          <w:lang w:val="sr-Latn-ME"/>
        </w:rPr>
      </w:pPr>
    </w:p>
    <w:p w14:paraId="5B54E1A1" w14:textId="5C4E7F5E" w:rsidR="00CB6AFC" w:rsidRPr="00CB6AFC" w:rsidRDefault="00CB6AFC" w:rsidP="00E007AC">
      <w:pPr>
        <w:tabs>
          <w:tab w:val="left" w:pos="540"/>
          <w:tab w:val="left" w:pos="569"/>
        </w:tabs>
        <w:jc w:val="both"/>
        <w:rPr>
          <w:bCs/>
          <w:sz w:val="22"/>
          <w:szCs w:val="22"/>
          <w:lang w:val="sr-Latn-ME"/>
        </w:rPr>
      </w:pPr>
      <w:r w:rsidRPr="00CB6AFC">
        <w:rPr>
          <w:sz w:val="22"/>
          <w:szCs w:val="22"/>
          <w:lang w:val="sr-Latn-ME" w:eastAsia="sr-Latn-ME"/>
        </w:rPr>
        <w:t xml:space="preserve">2030/25/2681 </w:t>
      </w:r>
      <w:r w:rsidRPr="00CB6AFC">
        <w:rPr>
          <w:sz w:val="22"/>
          <w:szCs w:val="22"/>
          <w:lang w:val="sr-Latn-ME" w:eastAsia="sr-Latn-ME"/>
        </w:rPr>
        <w:t>-</w:t>
      </w:r>
      <w:r w:rsidRPr="00CB6AFC">
        <w:rPr>
          <w:sz w:val="22"/>
          <w:szCs w:val="22"/>
          <w:lang w:val="sr-Latn-ME" w:eastAsia="sr-Latn-ME"/>
        </w:rPr>
        <w:t xml:space="preserve"> 7715</w:t>
      </w:r>
    </w:p>
    <w:p w14:paraId="16524131" w14:textId="014A9E89" w:rsidR="00F45F77" w:rsidRPr="00CB6AFC" w:rsidRDefault="00F45F77" w:rsidP="00E007AC">
      <w:pPr>
        <w:tabs>
          <w:tab w:val="left" w:pos="540"/>
          <w:tab w:val="left" w:pos="569"/>
        </w:tabs>
        <w:jc w:val="both"/>
        <w:rPr>
          <w:bCs/>
          <w:sz w:val="22"/>
          <w:szCs w:val="22"/>
          <w:lang w:val="sr-Latn-ME"/>
        </w:rPr>
      </w:pPr>
    </w:p>
    <w:p w14:paraId="26B09F86" w14:textId="77777777" w:rsidR="00CB6AFC" w:rsidRPr="00CB6AFC" w:rsidRDefault="00CB6AFC" w:rsidP="00E007AC">
      <w:pPr>
        <w:tabs>
          <w:tab w:val="left" w:pos="540"/>
          <w:tab w:val="left" w:pos="569"/>
        </w:tabs>
        <w:jc w:val="both"/>
        <w:rPr>
          <w:bCs/>
          <w:sz w:val="22"/>
          <w:szCs w:val="22"/>
          <w:lang w:val="sr-Latn-ME"/>
        </w:rPr>
      </w:pPr>
    </w:p>
    <w:p w14:paraId="16524132" w14:textId="77777777" w:rsidR="0072020E" w:rsidRPr="00CB6AFC" w:rsidRDefault="0072020E" w:rsidP="00E007AC">
      <w:pPr>
        <w:tabs>
          <w:tab w:val="left" w:pos="540"/>
          <w:tab w:val="left" w:pos="569"/>
        </w:tabs>
        <w:jc w:val="both"/>
        <w:rPr>
          <w:b/>
          <w:bCs/>
          <w:sz w:val="22"/>
          <w:szCs w:val="22"/>
          <w:lang w:val="sr-Latn-ME"/>
        </w:rPr>
      </w:pPr>
      <w:r w:rsidRPr="00CB6AFC">
        <w:rPr>
          <w:b/>
          <w:bCs/>
          <w:sz w:val="22"/>
          <w:szCs w:val="22"/>
          <w:lang w:val="sr-Latn-ME"/>
        </w:rPr>
        <w:t xml:space="preserve">9. </w:t>
      </w:r>
      <w:r w:rsidR="00480FB1" w:rsidRPr="00CB6AFC">
        <w:rPr>
          <w:b/>
          <w:bCs/>
          <w:sz w:val="22"/>
          <w:szCs w:val="22"/>
          <w:lang w:val="sr-Latn-ME"/>
        </w:rPr>
        <w:tab/>
      </w:r>
      <w:r w:rsidRPr="00CB6AFC">
        <w:rPr>
          <w:b/>
          <w:bCs/>
          <w:sz w:val="22"/>
          <w:szCs w:val="22"/>
          <w:lang w:val="sr-Latn-ME"/>
        </w:rPr>
        <w:t xml:space="preserve">DATUM </w:t>
      </w:r>
      <w:r w:rsidR="00C05DF8" w:rsidRPr="00CB6AFC">
        <w:rPr>
          <w:b/>
          <w:bCs/>
          <w:sz w:val="22"/>
          <w:szCs w:val="22"/>
          <w:lang w:val="sr-Latn-ME"/>
        </w:rPr>
        <w:t xml:space="preserve">PRVE </w:t>
      </w:r>
      <w:r w:rsidR="008A6D43" w:rsidRPr="00CB6AFC">
        <w:rPr>
          <w:b/>
          <w:bCs/>
          <w:sz w:val="22"/>
          <w:szCs w:val="22"/>
          <w:lang w:val="sr-Latn-ME"/>
        </w:rPr>
        <w:t>DOZVOLE</w:t>
      </w:r>
      <w:r w:rsidR="00C05DF8" w:rsidRPr="00CB6AFC">
        <w:rPr>
          <w:b/>
          <w:bCs/>
          <w:sz w:val="22"/>
          <w:szCs w:val="22"/>
          <w:lang w:val="sr-Latn-ME"/>
        </w:rPr>
        <w:t>/OBNOVE DOZVOLE</w:t>
      </w:r>
      <w:r w:rsidR="008A6D43" w:rsidRPr="00CB6AFC">
        <w:rPr>
          <w:b/>
          <w:bCs/>
          <w:sz w:val="22"/>
          <w:szCs w:val="22"/>
          <w:lang w:val="sr-Latn-ME"/>
        </w:rPr>
        <w:t xml:space="preserve"> ZA STAVLJANJE LIJEKA U PROMET</w:t>
      </w:r>
    </w:p>
    <w:p w14:paraId="16524133" w14:textId="42F57620" w:rsidR="0072020E" w:rsidRPr="00CB6AFC" w:rsidRDefault="0072020E" w:rsidP="00E007AC">
      <w:pPr>
        <w:tabs>
          <w:tab w:val="left" w:pos="540"/>
          <w:tab w:val="left" w:pos="569"/>
        </w:tabs>
        <w:jc w:val="both"/>
        <w:rPr>
          <w:bCs/>
          <w:sz w:val="22"/>
          <w:szCs w:val="22"/>
          <w:lang w:val="sr-Latn-ME"/>
        </w:rPr>
      </w:pPr>
    </w:p>
    <w:p w14:paraId="5DC17C6B" w14:textId="2B3303C9" w:rsidR="00CB6AFC" w:rsidRPr="00CB6AFC" w:rsidRDefault="00CB6AFC" w:rsidP="00E007AC">
      <w:pPr>
        <w:tabs>
          <w:tab w:val="left" w:pos="540"/>
          <w:tab w:val="left" w:pos="569"/>
        </w:tabs>
        <w:jc w:val="both"/>
        <w:rPr>
          <w:bCs/>
          <w:sz w:val="22"/>
          <w:szCs w:val="22"/>
          <w:lang w:val="sr-Latn-ME"/>
        </w:rPr>
      </w:pPr>
      <w:r w:rsidRPr="00CB6AFC">
        <w:rPr>
          <w:bCs/>
          <w:sz w:val="22"/>
          <w:szCs w:val="22"/>
          <w:lang w:val="sr-Latn-ME"/>
        </w:rPr>
        <w:t>23.07.2025. godine</w:t>
      </w:r>
    </w:p>
    <w:p w14:paraId="5F24F7A8" w14:textId="77777777" w:rsidR="00CB6AFC" w:rsidRPr="00CB6AFC" w:rsidRDefault="00CB6AFC" w:rsidP="00E007AC">
      <w:pPr>
        <w:tabs>
          <w:tab w:val="left" w:pos="540"/>
          <w:tab w:val="left" w:pos="569"/>
        </w:tabs>
        <w:jc w:val="both"/>
        <w:rPr>
          <w:bCs/>
          <w:sz w:val="22"/>
          <w:szCs w:val="22"/>
          <w:lang w:val="sr-Latn-ME"/>
        </w:rPr>
      </w:pPr>
    </w:p>
    <w:p w14:paraId="16524134" w14:textId="77777777" w:rsidR="00836B35" w:rsidRPr="00CB6AFC" w:rsidRDefault="00836B35" w:rsidP="00E007AC">
      <w:pPr>
        <w:tabs>
          <w:tab w:val="left" w:pos="540"/>
          <w:tab w:val="left" w:pos="569"/>
        </w:tabs>
        <w:jc w:val="both"/>
        <w:rPr>
          <w:bCs/>
          <w:sz w:val="22"/>
          <w:szCs w:val="22"/>
          <w:lang w:val="sr-Latn-ME"/>
        </w:rPr>
      </w:pPr>
    </w:p>
    <w:p w14:paraId="16524135" w14:textId="77777777" w:rsidR="003F6A59" w:rsidRPr="00CB6AFC" w:rsidRDefault="0072020E" w:rsidP="00E007AC">
      <w:pPr>
        <w:tabs>
          <w:tab w:val="left" w:pos="540"/>
          <w:tab w:val="left" w:pos="569"/>
        </w:tabs>
        <w:ind w:left="540" w:hanging="540"/>
        <w:jc w:val="both"/>
        <w:rPr>
          <w:bCs/>
          <w:sz w:val="22"/>
          <w:szCs w:val="22"/>
          <w:lang w:val="sr-Latn-ME"/>
        </w:rPr>
      </w:pPr>
      <w:r w:rsidRPr="00CB6AFC">
        <w:rPr>
          <w:b/>
          <w:bCs/>
          <w:sz w:val="22"/>
          <w:szCs w:val="22"/>
          <w:lang w:val="sr-Latn-ME"/>
        </w:rPr>
        <w:t xml:space="preserve">10. </w:t>
      </w:r>
      <w:r w:rsidR="00480FB1" w:rsidRPr="00CB6AFC">
        <w:rPr>
          <w:b/>
          <w:bCs/>
          <w:sz w:val="22"/>
          <w:szCs w:val="22"/>
          <w:lang w:val="sr-Latn-ME"/>
        </w:rPr>
        <w:tab/>
      </w:r>
      <w:r w:rsidR="002846DB" w:rsidRPr="00CB6AFC">
        <w:rPr>
          <w:b/>
          <w:bCs/>
          <w:sz w:val="22"/>
          <w:szCs w:val="22"/>
          <w:lang w:val="sr-Latn-ME"/>
        </w:rPr>
        <w:t>D</w:t>
      </w:r>
      <w:r w:rsidR="00EC2532" w:rsidRPr="00CB6AFC">
        <w:rPr>
          <w:b/>
          <w:bCs/>
          <w:sz w:val="22"/>
          <w:szCs w:val="22"/>
          <w:lang w:val="sr-Latn-ME"/>
        </w:rPr>
        <w:t xml:space="preserve">ATUM REVIZIJE TEKSTA </w:t>
      </w:r>
    </w:p>
    <w:p w14:paraId="16524136" w14:textId="77777777" w:rsidR="003F6A59" w:rsidRPr="00CB6AFC" w:rsidRDefault="003F6A59" w:rsidP="00E007AC">
      <w:pPr>
        <w:tabs>
          <w:tab w:val="left" w:pos="540"/>
          <w:tab w:val="left" w:pos="569"/>
        </w:tabs>
        <w:jc w:val="both"/>
        <w:rPr>
          <w:bCs/>
          <w:sz w:val="22"/>
          <w:szCs w:val="22"/>
          <w:lang w:val="sr-Latn-ME"/>
        </w:rPr>
      </w:pPr>
    </w:p>
    <w:p w14:paraId="16524137" w14:textId="06219F50" w:rsidR="008A6D43" w:rsidRPr="00CB6AFC" w:rsidRDefault="00CB6AFC" w:rsidP="00E007AC">
      <w:pPr>
        <w:tabs>
          <w:tab w:val="left" w:pos="540"/>
          <w:tab w:val="left" w:pos="569"/>
        </w:tabs>
        <w:jc w:val="both"/>
        <w:rPr>
          <w:bCs/>
          <w:sz w:val="22"/>
          <w:szCs w:val="22"/>
          <w:lang w:val="sr-Latn-ME"/>
        </w:rPr>
      </w:pPr>
      <w:r w:rsidRPr="00CB6AFC">
        <w:rPr>
          <w:bCs/>
          <w:sz w:val="22"/>
          <w:szCs w:val="22"/>
          <w:lang w:val="sr-Latn-ME"/>
        </w:rPr>
        <w:t>Jul, 2025. godine</w:t>
      </w:r>
    </w:p>
    <w:p w14:paraId="1652413D" w14:textId="61997A18" w:rsidR="00702E22" w:rsidRPr="00CB6AFC" w:rsidRDefault="00702E22" w:rsidP="00E007AC">
      <w:pPr>
        <w:tabs>
          <w:tab w:val="left" w:pos="540"/>
          <w:tab w:val="left" w:pos="569"/>
        </w:tabs>
        <w:jc w:val="both"/>
        <w:rPr>
          <w:i/>
          <w:iCs/>
          <w:color w:val="808080"/>
          <w:sz w:val="22"/>
          <w:szCs w:val="22"/>
          <w:lang w:val="sr-Latn-ME"/>
        </w:rPr>
      </w:pPr>
    </w:p>
    <w:p w14:paraId="1652413E" w14:textId="33176769" w:rsidR="003F6A59" w:rsidRPr="00CB6AFC" w:rsidRDefault="003F6A59" w:rsidP="00E007AC">
      <w:pPr>
        <w:jc w:val="both"/>
        <w:rPr>
          <w:sz w:val="22"/>
          <w:szCs w:val="22"/>
          <w:lang w:val="sr-Latn-ME"/>
        </w:rPr>
      </w:pPr>
    </w:p>
    <w:sectPr w:rsidR="003F6A59" w:rsidRPr="00CB6AFC" w:rsidSect="006B5404">
      <w:footerReference w:type="default" r:id="rId16"/>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EA2A2" w14:textId="77777777" w:rsidR="00AA3608" w:rsidRDefault="00AA3608">
      <w:r>
        <w:separator/>
      </w:r>
    </w:p>
  </w:endnote>
  <w:endnote w:type="continuationSeparator" w:id="0">
    <w:p w14:paraId="4FD9BFBB" w14:textId="77777777" w:rsidR="00AA3608" w:rsidRDefault="00AA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24147" w14:textId="40983EBD" w:rsidR="00FA347E" w:rsidRPr="00B23F69" w:rsidRDefault="00FA347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B6AFC">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B6AFC">
      <w:rPr>
        <w:noProof/>
        <w:sz w:val="22"/>
        <w:szCs w:val="22"/>
      </w:rPr>
      <w:t>19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C7454" w14:textId="77777777" w:rsidR="00AA3608" w:rsidRDefault="00AA3608">
      <w:r>
        <w:separator/>
      </w:r>
    </w:p>
  </w:footnote>
  <w:footnote w:type="continuationSeparator" w:id="0">
    <w:p w14:paraId="002B1BA7" w14:textId="77777777" w:rsidR="00AA3608" w:rsidRDefault="00AA3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6pt;height:13.9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D986670"/>
    <w:multiLevelType w:val="hybridMultilevel"/>
    <w:tmpl w:val="290872C4"/>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C9C08F8"/>
    <w:multiLevelType w:val="hybridMultilevel"/>
    <w:tmpl w:val="97ECDBD2"/>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ED1770"/>
    <w:multiLevelType w:val="hybridMultilevel"/>
    <w:tmpl w:val="1C44E37E"/>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2EB6A0A"/>
    <w:multiLevelType w:val="hybridMultilevel"/>
    <w:tmpl w:val="97E6DA38"/>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4"/>
  </w:num>
  <w:num w:numId="11">
    <w:abstractNumId w:val="5"/>
  </w:num>
  <w:num w:numId="12">
    <w:abstractNumId w:val="10"/>
  </w:num>
  <w:num w:numId="13">
    <w:abstractNumId w:val="12"/>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CE4"/>
    <w:rsid w:val="000101CC"/>
    <w:rsid w:val="000176CA"/>
    <w:rsid w:val="000303AC"/>
    <w:rsid w:val="00033469"/>
    <w:rsid w:val="00036FA0"/>
    <w:rsid w:val="0003793F"/>
    <w:rsid w:val="00045130"/>
    <w:rsid w:val="00057E35"/>
    <w:rsid w:val="00075E28"/>
    <w:rsid w:val="00076726"/>
    <w:rsid w:val="00080303"/>
    <w:rsid w:val="00083D02"/>
    <w:rsid w:val="00083D56"/>
    <w:rsid w:val="000A3F58"/>
    <w:rsid w:val="000D2343"/>
    <w:rsid w:val="000D3449"/>
    <w:rsid w:val="000D425A"/>
    <w:rsid w:val="000D60CC"/>
    <w:rsid w:val="000E2084"/>
    <w:rsid w:val="000E368D"/>
    <w:rsid w:val="000E6F55"/>
    <w:rsid w:val="000F5C60"/>
    <w:rsid w:val="000F77FA"/>
    <w:rsid w:val="00107BF7"/>
    <w:rsid w:val="00126F53"/>
    <w:rsid w:val="0014766D"/>
    <w:rsid w:val="00151B53"/>
    <w:rsid w:val="001536CC"/>
    <w:rsid w:val="00163454"/>
    <w:rsid w:val="00180081"/>
    <w:rsid w:val="00190AB5"/>
    <w:rsid w:val="0019129A"/>
    <w:rsid w:val="00197CDD"/>
    <w:rsid w:val="001A3FBA"/>
    <w:rsid w:val="001A5518"/>
    <w:rsid w:val="001B1C6A"/>
    <w:rsid w:val="001B49A4"/>
    <w:rsid w:val="001C1263"/>
    <w:rsid w:val="001C1417"/>
    <w:rsid w:val="001C4E7C"/>
    <w:rsid w:val="001D4B50"/>
    <w:rsid w:val="001D7DF8"/>
    <w:rsid w:val="001E390B"/>
    <w:rsid w:val="001F42FB"/>
    <w:rsid w:val="001F719A"/>
    <w:rsid w:val="002031B3"/>
    <w:rsid w:val="00215931"/>
    <w:rsid w:val="00224C91"/>
    <w:rsid w:val="00227BDB"/>
    <w:rsid w:val="00234CB1"/>
    <w:rsid w:val="002352F8"/>
    <w:rsid w:val="002510A5"/>
    <w:rsid w:val="00252DD9"/>
    <w:rsid w:val="00254A0A"/>
    <w:rsid w:val="00262294"/>
    <w:rsid w:val="00266046"/>
    <w:rsid w:val="002846DB"/>
    <w:rsid w:val="00284CCD"/>
    <w:rsid w:val="0028524A"/>
    <w:rsid w:val="002C6637"/>
    <w:rsid w:val="002D619D"/>
    <w:rsid w:val="002D6ED9"/>
    <w:rsid w:val="002E0135"/>
    <w:rsid w:val="002E37A5"/>
    <w:rsid w:val="00310F03"/>
    <w:rsid w:val="003247D2"/>
    <w:rsid w:val="003445C1"/>
    <w:rsid w:val="00355B61"/>
    <w:rsid w:val="00362686"/>
    <w:rsid w:val="003704DD"/>
    <w:rsid w:val="00371510"/>
    <w:rsid w:val="00376E9F"/>
    <w:rsid w:val="0038263B"/>
    <w:rsid w:val="00396DFD"/>
    <w:rsid w:val="003A7059"/>
    <w:rsid w:val="003B576C"/>
    <w:rsid w:val="003B7A36"/>
    <w:rsid w:val="003C17AB"/>
    <w:rsid w:val="003C7823"/>
    <w:rsid w:val="003D0CC0"/>
    <w:rsid w:val="003E1DCC"/>
    <w:rsid w:val="003F11A1"/>
    <w:rsid w:val="003F6A59"/>
    <w:rsid w:val="004065C8"/>
    <w:rsid w:val="004109FA"/>
    <w:rsid w:val="00410ED8"/>
    <w:rsid w:val="00411B4B"/>
    <w:rsid w:val="00415BEE"/>
    <w:rsid w:val="00415F43"/>
    <w:rsid w:val="00417347"/>
    <w:rsid w:val="004254E9"/>
    <w:rsid w:val="004277B8"/>
    <w:rsid w:val="00427F85"/>
    <w:rsid w:val="00436F42"/>
    <w:rsid w:val="004378B4"/>
    <w:rsid w:val="004424F0"/>
    <w:rsid w:val="00451314"/>
    <w:rsid w:val="00452E9D"/>
    <w:rsid w:val="004534C7"/>
    <w:rsid w:val="004671AA"/>
    <w:rsid w:val="00471DF8"/>
    <w:rsid w:val="00476A17"/>
    <w:rsid w:val="00480FB1"/>
    <w:rsid w:val="00483928"/>
    <w:rsid w:val="0048638F"/>
    <w:rsid w:val="0049537F"/>
    <w:rsid w:val="004A4A56"/>
    <w:rsid w:val="004A4C44"/>
    <w:rsid w:val="004C331F"/>
    <w:rsid w:val="004C381F"/>
    <w:rsid w:val="004C43E7"/>
    <w:rsid w:val="004D3711"/>
    <w:rsid w:val="004D6103"/>
    <w:rsid w:val="004E3BCE"/>
    <w:rsid w:val="004E70AD"/>
    <w:rsid w:val="004F0E97"/>
    <w:rsid w:val="004F17E2"/>
    <w:rsid w:val="00501DD1"/>
    <w:rsid w:val="00510E1E"/>
    <w:rsid w:val="00515C21"/>
    <w:rsid w:val="00530BD7"/>
    <w:rsid w:val="00545CD2"/>
    <w:rsid w:val="005476F3"/>
    <w:rsid w:val="00556BD7"/>
    <w:rsid w:val="00570900"/>
    <w:rsid w:val="00572527"/>
    <w:rsid w:val="00573E40"/>
    <w:rsid w:val="00576348"/>
    <w:rsid w:val="005A0B2E"/>
    <w:rsid w:val="005A23D2"/>
    <w:rsid w:val="005A36CB"/>
    <w:rsid w:val="005B49B8"/>
    <w:rsid w:val="005C0741"/>
    <w:rsid w:val="005C5EF4"/>
    <w:rsid w:val="005E01EA"/>
    <w:rsid w:val="005E2E0B"/>
    <w:rsid w:val="005E67AD"/>
    <w:rsid w:val="005E7A7D"/>
    <w:rsid w:val="005F0A8B"/>
    <w:rsid w:val="00602457"/>
    <w:rsid w:val="00644FC3"/>
    <w:rsid w:val="00646BD1"/>
    <w:rsid w:val="006561C2"/>
    <w:rsid w:val="00657F89"/>
    <w:rsid w:val="00671CB3"/>
    <w:rsid w:val="00674BAF"/>
    <w:rsid w:val="00682200"/>
    <w:rsid w:val="00692BF6"/>
    <w:rsid w:val="006A1351"/>
    <w:rsid w:val="006A1497"/>
    <w:rsid w:val="006B0BD1"/>
    <w:rsid w:val="006B4D12"/>
    <w:rsid w:val="006B5404"/>
    <w:rsid w:val="006D20A5"/>
    <w:rsid w:val="006D37BF"/>
    <w:rsid w:val="00702E22"/>
    <w:rsid w:val="0072020E"/>
    <w:rsid w:val="0072412C"/>
    <w:rsid w:val="00726736"/>
    <w:rsid w:val="007522B1"/>
    <w:rsid w:val="00753EA8"/>
    <w:rsid w:val="00754902"/>
    <w:rsid w:val="007653B2"/>
    <w:rsid w:val="00785044"/>
    <w:rsid w:val="00786071"/>
    <w:rsid w:val="007A3ECB"/>
    <w:rsid w:val="007D7BB3"/>
    <w:rsid w:val="007E2BD5"/>
    <w:rsid w:val="007E31E9"/>
    <w:rsid w:val="007E4300"/>
    <w:rsid w:val="007F05E3"/>
    <w:rsid w:val="00824AB9"/>
    <w:rsid w:val="00836B35"/>
    <w:rsid w:val="00843BDE"/>
    <w:rsid w:val="0087588C"/>
    <w:rsid w:val="00894D05"/>
    <w:rsid w:val="0089705C"/>
    <w:rsid w:val="008A6D43"/>
    <w:rsid w:val="008B1071"/>
    <w:rsid w:val="008B491E"/>
    <w:rsid w:val="008C1A28"/>
    <w:rsid w:val="008C2E98"/>
    <w:rsid w:val="008C7B4A"/>
    <w:rsid w:val="008D5D57"/>
    <w:rsid w:val="008E49BD"/>
    <w:rsid w:val="008E53E9"/>
    <w:rsid w:val="008E5771"/>
    <w:rsid w:val="008F26E1"/>
    <w:rsid w:val="008F4ACF"/>
    <w:rsid w:val="00902843"/>
    <w:rsid w:val="00924166"/>
    <w:rsid w:val="00940B9B"/>
    <w:rsid w:val="00953573"/>
    <w:rsid w:val="0095676E"/>
    <w:rsid w:val="00956983"/>
    <w:rsid w:val="00963CF0"/>
    <w:rsid w:val="00964BB1"/>
    <w:rsid w:val="0097366E"/>
    <w:rsid w:val="00975FAF"/>
    <w:rsid w:val="009775D9"/>
    <w:rsid w:val="00997175"/>
    <w:rsid w:val="009A1847"/>
    <w:rsid w:val="009B062A"/>
    <w:rsid w:val="009C21B1"/>
    <w:rsid w:val="009C588D"/>
    <w:rsid w:val="009E7C6F"/>
    <w:rsid w:val="009F09E6"/>
    <w:rsid w:val="009F1793"/>
    <w:rsid w:val="009F2D23"/>
    <w:rsid w:val="00A01D69"/>
    <w:rsid w:val="00A02335"/>
    <w:rsid w:val="00A2619D"/>
    <w:rsid w:val="00A400E2"/>
    <w:rsid w:val="00A40DFF"/>
    <w:rsid w:val="00A46C9A"/>
    <w:rsid w:val="00A507D1"/>
    <w:rsid w:val="00A619F3"/>
    <w:rsid w:val="00A62A73"/>
    <w:rsid w:val="00A73227"/>
    <w:rsid w:val="00A75671"/>
    <w:rsid w:val="00A87FF6"/>
    <w:rsid w:val="00A92D87"/>
    <w:rsid w:val="00AA0A3B"/>
    <w:rsid w:val="00AA2763"/>
    <w:rsid w:val="00AA33B6"/>
    <w:rsid w:val="00AA3608"/>
    <w:rsid w:val="00AB31CA"/>
    <w:rsid w:val="00AB50CA"/>
    <w:rsid w:val="00AB6D64"/>
    <w:rsid w:val="00AC53CE"/>
    <w:rsid w:val="00AC6887"/>
    <w:rsid w:val="00AD2193"/>
    <w:rsid w:val="00AF19F4"/>
    <w:rsid w:val="00AF2AC7"/>
    <w:rsid w:val="00AF74CE"/>
    <w:rsid w:val="00B008EF"/>
    <w:rsid w:val="00B0169B"/>
    <w:rsid w:val="00B04C55"/>
    <w:rsid w:val="00B208DB"/>
    <w:rsid w:val="00B23F69"/>
    <w:rsid w:val="00B3094E"/>
    <w:rsid w:val="00B47D63"/>
    <w:rsid w:val="00B5472D"/>
    <w:rsid w:val="00B60619"/>
    <w:rsid w:val="00B60D99"/>
    <w:rsid w:val="00B66A70"/>
    <w:rsid w:val="00B67366"/>
    <w:rsid w:val="00B700BC"/>
    <w:rsid w:val="00B8031B"/>
    <w:rsid w:val="00B80EE1"/>
    <w:rsid w:val="00B84135"/>
    <w:rsid w:val="00BC3018"/>
    <w:rsid w:val="00BE7613"/>
    <w:rsid w:val="00C04D34"/>
    <w:rsid w:val="00C05DF8"/>
    <w:rsid w:val="00C06864"/>
    <w:rsid w:val="00C10F54"/>
    <w:rsid w:val="00C2064D"/>
    <w:rsid w:val="00C21C33"/>
    <w:rsid w:val="00C23D8D"/>
    <w:rsid w:val="00C37AA3"/>
    <w:rsid w:val="00C37FD7"/>
    <w:rsid w:val="00C43419"/>
    <w:rsid w:val="00C44CF3"/>
    <w:rsid w:val="00C57E5A"/>
    <w:rsid w:val="00C61BE0"/>
    <w:rsid w:val="00C6707E"/>
    <w:rsid w:val="00C70B0E"/>
    <w:rsid w:val="00C773CA"/>
    <w:rsid w:val="00C83785"/>
    <w:rsid w:val="00C87FA8"/>
    <w:rsid w:val="00C94C0D"/>
    <w:rsid w:val="00CA1FEB"/>
    <w:rsid w:val="00CB6AFC"/>
    <w:rsid w:val="00CC7752"/>
    <w:rsid w:val="00CD119B"/>
    <w:rsid w:val="00CD4F85"/>
    <w:rsid w:val="00CD6F02"/>
    <w:rsid w:val="00CE246D"/>
    <w:rsid w:val="00CE4247"/>
    <w:rsid w:val="00CF07A0"/>
    <w:rsid w:val="00CF3E03"/>
    <w:rsid w:val="00D0082A"/>
    <w:rsid w:val="00D2035A"/>
    <w:rsid w:val="00D21455"/>
    <w:rsid w:val="00D27759"/>
    <w:rsid w:val="00D34293"/>
    <w:rsid w:val="00D460A8"/>
    <w:rsid w:val="00D47634"/>
    <w:rsid w:val="00D53AA0"/>
    <w:rsid w:val="00D709B3"/>
    <w:rsid w:val="00D74CD2"/>
    <w:rsid w:val="00DA2ED6"/>
    <w:rsid w:val="00DB1D55"/>
    <w:rsid w:val="00DB62C3"/>
    <w:rsid w:val="00DB76B8"/>
    <w:rsid w:val="00DC2EA1"/>
    <w:rsid w:val="00DD6AAF"/>
    <w:rsid w:val="00DE3F5C"/>
    <w:rsid w:val="00DE42DD"/>
    <w:rsid w:val="00DF1D20"/>
    <w:rsid w:val="00DF6B96"/>
    <w:rsid w:val="00E007AC"/>
    <w:rsid w:val="00E21324"/>
    <w:rsid w:val="00E246B9"/>
    <w:rsid w:val="00E31FEA"/>
    <w:rsid w:val="00E359FE"/>
    <w:rsid w:val="00E4244E"/>
    <w:rsid w:val="00E45169"/>
    <w:rsid w:val="00E47787"/>
    <w:rsid w:val="00E51C30"/>
    <w:rsid w:val="00E64180"/>
    <w:rsid w:val="00E7235D"/>
    <w:rsid w:val="00E74AEE"/>
    <w:rsid w:val="00E868E5"/>
    <w:rsid w:val="00E90534"/>
    <w:rsid w:val="00E9237A"/>
    <w:rsid w:val="00E939FA"/>
    <w:rsid w:val="00EA5765"/>
    <w:rsid w:val="00EC2532"/>
    <w:rsid w:val="00ED4B2E"/>
    <w:rsid w:val="00ED7812"/>
    <w:rsid w:val="00EE45F4"/>
    <w:rsid w:val="00EF3B86"/>
    <w:rsid w:val="00F317E9"/>
    <w:rsid w:val="00F3396B"/>
    <w:rsid w:val="00F34554"/>
    <w:rsid w:val="00F35B68"/>
    <w:rsid w:val="00F45F77"/>
    <w:rsid w:val="00F5167F"/>
    <w:rsid w:val="00F52258"/>
    <w:rsid w:val="00F7517A"/>
    <w:rsid w:val="00F8570A"/>
    <w:rsid w:val="00F91C7B"/>
    <w:rsid w:val="00FA347E"/>
    <w:rsid w:val="00FE6150"/>
    <w:rsid w:val="00FF3EDF"/>
    <w:rsid w:val="00FF5039"/>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240C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68D"/>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EMEAEnBodyText">
    <w:name w:val="EMEA En Body Text"/>
    <w:basedOn w:val="Normal"/>
    <w:rsid w:val="00B04C55"/>
    <w:pPr>
      <w:spacing w:before="120" w:after="120"/>
      <w:jc w:val="both"/>
    </w:pPr>
    <w:rPr>
      <w:sz w:val="22"/>
      <w:szCs w:val="20"/>
    </w:rPr>
  </w:style>
  <w:style w:type="character" w:customStyle="1" w:styleId="HeaderChar">
    <w:name w:val="Header Char"/>
    <w:basedOn w:val="DefaultParagraphFont"/>
    <w:link w:val="Header"/>
    <w:uiPriority w:val="99"/>
    <w:rsid w:val="004C43E7"/>
    <w:rPr>
      <w:sz w:val="24"/>
      <w:szCs w:val="24"/>
      <w:lang w:val="en-US" w:eastAsia="en-US"/>
    </w:rPr>
  </w:style>
  <w:style w:type="paragraph" w:customStyle="1" w:styleId="Default">
    <w:name w:val="Default"/>
    <w:rsid w:val="009F09E6"/>
    <w:pPr>
      <w:autoSpaceDE w:val="0"/>
      <w:autoSpaceDN w:val="0"/>
      <w:adjustRightInd w:val="0"/>
    </w:pPr>
    <w:rPr>
      <w:color w:val="000000"/>
      <w:sz w:val="24"/>
      <w:szCs w:val="24"/>
      <w:lang w:val="en-US" w:eastAsia="en-US"/>
    </w:rPr>
  </w:style>
  <w:style w:type="paragraph" w:styleId="Revision">
    <w:name w:val="Revision"/>
    <w:hidden/>
    <w:uiPriority w:val="99"/>
    <w:semiHidden/>
    <w:rsid w:val="00C2064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1B61C27BDA1C4DBF6C7712DF4D0C97" ma:contentTypeVersion="17" ma:contentTypeDescription="Ustvari nov dokument." ma:contentTypeScope="" ma:versionID="e79550fae2730c7eee2ecdb88978f0f9">
  <xsd:schema xmlns:xsd="http://www.w3.org/2001/XMLSchema" xmlns:xs="http://www.w3.org/2001/XMLSchema" xmlns:p="http://schemas.microsoft.com/office/2006/metadata/properties" xmlns:ns2="bb0fb385-b430-49cc-901c-20037bfc3f11" xmlns:ns3="bda3b1e7-fff7-4da3-b94a-666444a82b24" targetNamespace="http://schemas.microsoft.com/office/2006/metadata/properties" ma:root="true" ma:fieldsID="00841f2ec7c02a0e65a234888fef9850" ns2:_="" ns3:_="">
    <xsd:import namespace="bb0fb385-b430-49cc-901c-20037bfc3f11"/>
    <xsd:import namespace="bda3b1e7-fff7-4da3-b94a-666444a82b24"/>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fb385-b430-49cc-901c-20037bfc3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970de740-dca4-4864-b814-c8392a3f8e1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3b1e7-fff7-4da3-b94a-666444a82b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c2dd68-0039-4ba4-b5c5-b757d83c686c}" ma:internalName="TaxCatchAll" ma:showField="CatchAllData" ma:web="bda3b1e7-fff7-4da3-b94a-666444a82b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a3b1e7-fff7-4da3-b94a-666444a82b24" xsi:nil="true"/>
    <lcf76f155ced4ddcb4097134ff3c332f xmlns="bb0fb385-b430-49cc-901c-20037bfc3f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7C8DF-D350-4E2C-96E5-DBA9A862E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fb385-b430-49cc-901c-20037bfc3f11"/>
    <ds:schemaRef ds:uri="bda3b1e7-fff7-4da3-b94a-666444a82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8C722-E040-41F3-B919-F79BFF16EE13}">
  <ds:schemaRefs>
    <ds:schemaRef ds:uri="http://schemas.microsoft.com/sharepoint/v3/contenttype/forms"/>
  </ds:schemaRefs>
</ds:datastoreItem>
</file>

<file path=customXml/itemProps3.xml><?xml version="1.0" encoding="utf-8"?>
<ds:datastoreItem xmlns:ds="http://schemas.openxmlformats.org/officeDocument/2006/customXml" ds:itemID="{A1A21D9C-25B0-4C08-9CFB-987D6972EDDA}">
  <ds:schemaRefs>
    <ds:schemaRef ds:uri="http://schemas.microsoft.com/office/2006/metadata/properties"/>
    <ds:schemaRef ds:uri="http://schemas.microsoft.com/office/infopath/2007/PartnerControls"/>
    <ds:schemaRef ds:uri="bda3b1e7-fff7-4da3-b94a-666444a82b24"/>
    <ds:schemaRef ds:uri="bb0fb385-b430-49cc-901c-20037bfc3f11"/>
  </ds:schemaRefs>
</ds:datastoreItem>
</file>

<file path=customXml/itemProps4.xml><?xml version="1.0" encoding="utf-8"?>
<ds:datastoreItem xmlns:ds="http://schemas.openxmlformats.org/officeDocument/2006/customXml" ds:itemID="{C38D19ED-68E2-4743-908E-EDAC756F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8537</Words>
  <Characters>48662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57085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2</cp:revision>
  <cp:lastPrinted>2023-02-09T08:16:00Z</cp:lastPrinted>
  <dcterms:created xsi:type="dcterms:W3CDTF">2025-07-23T06:36:00Z</dcterms:created>
  <dcterms:modified xsi:type="dcterms:W3CDTF">2025-07-23T06:36:00Z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0x010100B41B61C27BDA1C4DBF6C7712DF4D0C97</vt:lpwstr>
  </property>
  <property fmtid="{D5CDD505-2E9C-101B-9397-08002B2CF9AE}" pid="4" name="MediaServiceImageTags">
    <vt:lpwstr/>
  </property>
</Properties>
</file>