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FC64E" w14:textId="77777777" w:rsidR="001A5518" w:rsidRPr="007223BC" w:rsidRDefault="001A5518" w:rsidP="001A5518">
      <w:pPr>
        <w:rPr>
          <w:b/>
          <w:bCs/>
          <w:i/>
          <w:iCs/>
          <w:sz w:val="22"/>
          <w:szCs w:val="22"/>
          <w:u w:val="single"/>
        </w:rPr>
      </w:pPr>
    </w:p>
    <w:p w14:paraId="10778657" w14:textId="77777777" w:rsidR="00F91C7B" w:rsidRPr="007223BC" w:rsidRDefault="00F91C7B" w:rsidP="001A5518">
      <w:pPr>
        <w:rPr>
          <w:b/>
          <w:bCs/>
          <w:i/>
          <w:iCs/>
          <w:sz w:val="22"/>
          <w:szCs w:val="22"/>
          <w:u w:val="single"/>
        </w:rPr>
      </w:pPr>
    </w:p>
    <w:p w14:paraId="54697B1D" w14:textId="77777777" w:rsidR="002510A5" w:rsidRPr="00287AA6" w:rsidRDefault="002510A5" w:rsidP="002510A5">
      <w:pPr>
        <w:jc w:val="center"/>
        <w:rPr>
          <w:b/>
          <w:bCs/>
          <w:iCs/>
          <w:sz w:val="22"/>
          <w:szCs w:val="22"/>
          <w:u w:val="single"/>
          <w:lang w:val="sv-SE"/>
        </w:rPr>
      </w:pPr>
      <w:r w:rsidRPr="00287AA6">
        <w:rPr>
          <w:b/>
          <w:bCs/>
          <w:iCs/>
          <w:sz w:val="22"/>
          <w:szCs w:val="22"/>
          <w:u w:val="single"/>
          <w:lang w:val="sv-SE"/>
        </w:rPr>
        <w:t>SAŽETAK KARAKTERISTIKA LIJEKA</w:t>
      </w:r>
    </w:p>
    <w:p w14:paraId="6DA4FA9F" w14:textId="77777777" w:rsidR="003C17AB" w:rsidRPr="007223BC" w:rsidRDefault="003C17AB" w:rsidP="00CA1FEB">
      <w:pPr>
        <w:rPr>
          <w:sz w:val="22"/>
          <w:szCs w:val="22"/>
          <w:lang w:val="sr-Latn-CS"/>
        </w:rPr>
      </w:pPr>
    </w:p>
    <w:p w14:paraId="6D2FA5F6" w14:textId="77777777" w:rsidR="00C37FD7" w:rsidRPr="00287AA6" w:rsidRDefault="00C37FD7" w:rsidP="00F5167F">
      <w:pPr>
        <w:tabs>
          <w:tab w:val="left" w:pos="540"/>
          <w:tab w:val="left" w:pos="569"/>
        </w:tabs>
        <w:rPr>
          <w:bCs/>
          <w:sz w:val="22"/>
          <w:szCs w:val="22"/>
          <w:lang w:val="sv-SE"/>
        </w:rPr>
      </w:pPr>
    </w:p>
    <w:p w14:paraId="57FEC67A" w14:textId="77777777" w:rsidR="00411B4B" w:rsidRPr="00287AA6" w:rsidRDefault="00411B4B" w:rsidP="00805A14">
      <w:pPr>
        <w:tabs>
          <w:tab w:val="left" w:pos="540"/>
          <w:tab w:val="left" w:pos="569"/>
        </w:tabs>
        <w:jc w:val="both"/>
        <w:rPr>
          <w:b/>
          <w:bCs/>
          <w:sz w:val="22"/>
          <w:szCs w:val="22"/>
          <w:lang w:val="sv-SE"/>
        </w:rPr>
      </w:pPr>
      <w:r w:rsidRPr="00287AA6">
        <w:rPr>
          <w:b/>
          <w:bCs/>
          <w:sz w:val="22"/>
          <w:szCs w:val="22"/>
          <w:lang w:val="sv-SE"/>
        </w:rPr>
        <w:t>1.</w:t>
      </w:r>
      <w:r w:rsidR="00F5167F" w:rsidRPr="00287AA6">
        <w:rPr>
          <w:b/>
          <w:bCs/>
          <w:sz w:val="22"/>
          <w:szCs w:val="22"/>
          <w:lang w:val="sv-SE"/>
        </w:rPr>
        <w:tab/>
      </w:r>
      <w:r w:rsidR="002846DB" w:rsidRPr="00287AA6">
        <w:rPr>
          <w:b/>
          <w:bCs/>
          <w:sz w:val="22"/>
          <w:szCs w:val="22"/>
          <w:lang w:val="sv-SE"/>
        </w:rPr>
        <w:t xml:space="preserve">NAZIV </w:t>
      </w:r>
      <w:r w:rsidRPr="00287AA6">
        <w:rPr>
          <w:b/>
          <w:bCs/>
          <w:sz w:val="22"/>
          <w:szCs w:val="22"/>
          <w:lang w:val="sv-SE"/>
        </w:rPr>
        <w:t>LIJEKA</w:t>
      </w:r>
    </w:p>
    <w:p w14:paraId="641116C0" w14:textId="77777777" w:rsidR="00EC2532" w:rsidRPr="00287AA6" w:rsidRDefault="00EC2532" w:rsidP="00805A14">
      <w:pPr>
        <w:jc w:val="both"/>
        <w:rPr>
          <w:sz w:val="22"/>
          <w:szCs w:val="22"/>
          <w:lang w:val="sv-SE"/>
        </w:rPr>
      </w:pPr>
    </w:p>
    <w:p w14:paraId="7EA2BB2F" w14:textId="77777777" w:rsidR="009665EF" w:rsidRPr="00287AA6" w:rsidRDefault="00DE74DF" w:rsidP="00805A14">
      <w:pPr>
        <w:pStyle w:val="NASLOV123"/>
        <w:jc w:val="both"/>
        <w:rPr>
          <w:b w:val="0"/>
          <w:bCs/>
          <w:lang w:val="sv-SE"/>
        </w:rPr>
      </w:pPr>
      <w:r w:rsidRPr="00287AA6">
        <w:rPr>
          <w:b w:val="0"/>
          <w:bCs/>
          <w:lang w:val="sv-SE"/>
        </w:rPr>
        <w:t>DOVATO</w:t>
      </w:r>
      <w:r w:rsidR="009665EF" w:rsidRPr="00287AA6">
        <w:rPr>
          <w:b w:val="0"/>
          <w:bCs/>
          <w:lang w:val="sv-SE"/>
        </w:rPr>
        <w:t>, 50 mg</w:t>
      </w:r>
      <w:r w:rsidR="004C02F5" w:rsidRPr="00287AA6">
        <w:rPr>
          <w:b w:val="0"/>
          <w:bCs/>
          <w:lang w:val="sv-SE"/>
        </w:rPr>
        <w:t xml:space="preserve"> + </w:t>
      </w:r>
      <w:r w:rsidR="009665EF" w:rsidRPr="00287AA6">
        <w:rPr>
          <w:b w:val="0"/>
          <w:bCs/>
          <w:lang w:val="sv-SE"/>
        </w:rPr>
        <w:t>300 mg, film tablete</w:t>
      </w:r>
    </w:p>
    <w:p w14:paraId="43F3E872" w14:textId="77777777" w:rsidR="009665EF" w:rsidRPr="00287AA6" w:rsidRDefault="009665EF" w:rsidP="00805A14">
      <w:pPr>
        <w:pStyle w:val="NASLOV123"/>
        <w:jc w:val="both"/>
        <w:rPr>
          <w:b w:val="0"/>
          <w:bCs/>
          <w:lang w:val="sv-SE"/>
        </w:rPr>
      </w:pPr>
      <w:r w:rsidRPr="00287AA6">
        <w:rPr>
          <w:b w:val="0"/>
          <w:bCs/>
          <w:lang w:val="sv-SE"/>
        </w:rPr>
        <w:t>INN: dolutegravir</w:t>
      </w:r>
      <w:r w:rsidR="004C02F5" w:rsidRPr="00287AA6">
        <w:rPr>
          <w:b w:val="0"/>
          <w:bCs/>
          <w:lang w:val="sv-SE"/>
        </w:rPr>
        <w:t xml:space="preserve">, </w:t>
      </w:r>
      <w:r w:rsidRPr="00287AA6">
        <w:rPr>
          <w:b w:val="0"/>
          <w:bCs/>
          <w:lang w:val="sv-SE"/>
        </w:rPr>
        <w:t>lamivudin</w:t>
      </w:r>
    </w:p>
    <w:p w14:paraId="7F292651" w14:textId="77777777" w:rsidR="00530BD7" w:rsidRPr="007223BC" w:rsidRDefault="00530BD7" w:rsidP="00805A14">
      <w:pPr>
        <w:jc w:val="both"/>
        <w:rPr>
          <w:bCs/>
          <w:sz w:val="22"/>
          <w:szCs w:val="22"/>
          <w:lang w:val="sv-SE"/>
        </w:rPr>
      </w:pPr>
    </w:p>
    <w:p w14:paraId="68AFE783" w14:textId="77777777" w:rsidR="00411B4B" w:rsidRPr="00287AA6" w:rsidRDefault="00411B4B" w:rsidP="00805A14">
      <w:pPr>
        <w:tabs>
          <w:tab w:val="left" w:pos="540"/>
          <w:tab w:val="left" w:pos="569"/>
        </w:tabs>
        <w:jc w:val="both"/>
        <w:rPr>
          <w:b/>
          <w:bCs/>
          <w:sz w:val="22"/>
          <w:szCs w:val="22"/>
          <w:lang w:val="sv-SE"/>
        </w:rPr>
      </w:pPr>
      <w:r w:rsidRPr="00287AA6">
        <w:rPr>
          <w:b/>
          <w:bCs/>
          <w:sz w:val="22"/>
          <w:szCs w:val="22"/>
          <w:lang w:val="sv-SE"/>
        </w:rPr>
        <w:t xml:space="preserve">2. </w:t>
      </w:r>
      <w:r w:rsidR="00F5167F" w:rsidRPr="00287AA6">
        <w:rPr>
          <w:b/>
          <w:bCs/>
          <w:sz w:val="22"/>
          <w:szCs w:val="22"/>
          <w:lang w:val="sv-SE"/>
        </w:rPr>
        <w:tab/>
      </w:r>
      <w:r w:rsidRPr="00287AA6">
        <w:rPr>
          <w:b/>
          <w:bCs/>
          <w:sz w:val="22"/>
          <w:szCs w:val="22"/>
          <w:lang w:val="sv-SE"/>
        </w:rPr>
        <w:t>KVALITATIVNI I KVANTITATIVNI SASTAV</w:t>
      </w:r>
    </w:p>
    <w:p w14:paraId="3F51709F" w14:textId="77777777" w:rsidR="00DB45B7" w:rsidRPr="00287AA6" w:rsidRDefault="00DB45B7" w:rsidP="00805A14">
      <w:pPr>
        <w:pStyle w:val="Header"/>
        <w:jc w:val="both"/>
        <w:rPr>
          <w:sz w:val="22"/>
          <w:szCs w:val="22"/>
          <w:lang w:val="sv-SE"/>
        </w:rPr>
      </w:pPr>
    </w:p>
    <w:p w14:paraId="325A4A0C" w14:textId="77777777" w:rsidR="009665EF" w:rsidRPr="00287AA6" w:rsidRDefault="009665EF" w:rsidP="00805A14">
      <w:pPr>
        <w:pStyle w:val="Header"/>
        <w:jc w:val="both"/>
        <w:rPr>
          <w:sz w:val="22"/>
          <w:szCs w:val="22"/>
          <w:lang w:val="sv-SE"/>
        </w:rPr>
      </w:pPr>
      <w:r w:rsidRPr="00287AA6">
        <w:rPr>
          <w:sz w:val="22"/>
          <w:szCs w:val="22"/>
          <w:lang w:val="sv-SE"/>
        </w:rPr>
        <w:t>Jedna film tableta sadrži 50 mg dolutegravira (u obliku dolutegravir</w:t>
      </w:r>
      <w:r w:rsidR="00C24917" w:rsidRPr="00287AA6">
        <w:rPr>
          <w:sz w:val="22"/>
          <w:szCs w:val="22"/>
          <w:lang w:val="sv-SE"/>
        </w:rPr>
        <w:t xml:space="preserve"> </w:t>
      </w:r>
      <w:r w:rsidRPr="00287AA6">
        <w:rPr>
          <w:sz w:val="22"/>
          <w:szCs w:val="22"/>
          <w:lang w:val="sv-SE"/>
        </w:rPr>
        <w:t>natrijuma) i 300 mg lamivudina.</w:t>
      </w:r>
    </w:p>
    <w:p w14:paraId="4CD7705F" w14:textId="77777777" w:rsidR="005A0B2E" w:rsidRPr="007223BC" w:rsidRDefault="005A0B2E" w:rsidP="00805A14">
      <w:pPr>
        <w:jc w:val="both"/>
        <w:rPr>
          <w:sz w:val="22"/>
          <w:szCs w:val="22"/>
          <w:lang w:val="sr-Latn-CS"/>
        </w:rPr>
      </w:pPr>
    </w:p>
    <w:p w14:paraId="7FFEC752" w14:textId="77777777" w:rsidR="0003793F" w:rsidRPr="007223BC" w:rsidRDefault="0003793F" w:rsidP="00805A14">
      <w:pPr>
        <w:jc w:val="both"/>
        <w:rPr>
          <w:sz w:val="22"/>
          <w:szCs w:val="22"/>
          <w:lang w:val="sr-Latn-CS"/>
        </w:rPr>
      </w:pPr>
      <w:r w:rsidRPr="007223BC">
        <w:rPr>
          <w:sz w:val="22"/>
          <w:szCs w:val="22"/>
          <w:lang w:val="sr-Latn-CS"/>
        </w:rPr>
        <w:t>Za spisak svih ekscipijenasa, pogledati dio 6.1.</w:t>
      </w:r>
    </w:p>
    <w:p w14:paraId="6C319AAF" w14:textId="77777777" w:rsidR="00C37FD7" w:rsidRPr="007223BC" w:rsidRDefault="00C37FD7" w:rsidP="00805A14">
      <w:pPr>
        <w:jc w:val="both"/>
        <w:rPr>
          <w:sz w:val="22"/>
          <w:szCs w:val="22"/>
          <w:lang w:val="sr-Latn-CS"/>
        </w:rPr>
      </w:pPr>
    </w:p>
    <w:p w14:paraId="46081C31" w14:textId="77777777" w:rsidR="00DB45B7" w:rsidRPr="007223BC" w:rsidRDefault="00DB45B7" w:rsidP="00805A14">
      <w:pPr>
        <w:jc w:val="both"/>
        <w:rPr>
          <w:sz w:val="22"/>
          <w:szCs w:val="22"/>
          <w:lang w:val="sr-Latn-CS"/>
        </w:rPr>
      </w:pPr>
    </w:p>
    <w:p w14:paraId="402E5DF1" w14:textId="77777777" w:rsidR="00411B4B" w:rsidRPr="00287AA6" w:rsidRDefault="00411B4B" w:rsidP="00805A14">
      <w:pPr>
        <w:tabs>
          <w:tab w:val="left" w:pos="540"/>
          <w:tab w:val="left" w:pos="569"/>
        </w:tabs>
        <w:jc w:val="both"/>
        <w:rPr>
          <w:b/>
          <w:bCs/>
          <w:sz w:val="22"/>
          <w:szCs w:val="22"/>
          <w:lang w:val="sr-Latn-CS"/>
        </w:rPr>
      </w:pPr>
      <w:r w:rsidRPr="00287AA6">
        <w:rPr>
          <w:b/>
          <w:bCs/>
          <w:sz w:val="22"/>
          <w:szCs w:val="22"/>
          <w:lang w:val="sr-Latn-CS"/>
        </w:rPr>
        <w:t xml:space="preserve">3. </w:t>
      </w:r>
      <w:r w:rsidR="00F5167F" w:rsidRPr="00287AA6">
        <w:rPr>
          <w:b/>
          <w:bCs/>
          <w:sz w:val="22"/>
          <w:szCs w:val="22"/>
          <w:lang w:val="sr-Latn-CS"/>
        </w:rPr>
        <w:tab/>
      </w:r>
      <w:r w:rsidRPr="007223BC">
        <w:rPr>
          <w:b/>
          <w:bCs/>
          <w:sz w:val="22"/>
          <w:szCs w:val="22"/>
        </w:rPr>
        <w:t>FARMACEUTSKI</w:t>
      </w:r>
      <w:r w:rsidRPr="00287AA6">
        <w:rPr>
          <w:b/>
          <w:bCs/>
          <w:sz w:val="22"/>
          <w:szCs w:val="22"/>
          <w:lang w:val="sr-Latn-CS"/>
        </w:rPr>
        <w:t xml:space="preserve"> </w:t>
      </w:r>
      <w:r w:rsidRPr="007223BC">
        <w:rPr>
          <w:b/>
          <w:bCs/>
          <w:sz w:val="22"/>
          <w:szCs w:val="22"/>
        </w:rPr>
        <w:t>OBLIK</w:t>
      </w:r>
      <w:r w:rsidR="009F2D23" w:rsidRPr="00287AA6">
        <w:rPr>
          <w:b/>
          <w:bCs/>
          <w:sz w:val="22"/>
          <w:szCs w:val="22"/>
          <w:lang w:val="sr-Latn-CS"/>
        </w:rPr>
        <w:t xml:space="preserve"> </w:t>
      </w:r>
    </w:p>
    <w:p w14:paraId="4DD6ADBB" w14:textId="77777777" w:rsidR="00DB45B7" w:rsidRPr="007223BC" w:rsidRDefault="00DB45B7" w:rsidP="00805A14">
      <w:pPr>
        <w:jc w:val="both"/>
        <w:rPr>
          <w:sz w:val="22"/>
          <w:szCs w:val="22"/>
          <w:lang w:val="sl-SI"/>
        </w:rPr>
      </w:pPr>
    </w:p>
    <w:p w14:paraId="3FD3CE34" w14:textId="77777777" w:rsidR="00A50B88" w:rsidRPr="007223BC" w:rsidRDefault="00A50B88" w:rsidP="00805A14">
      <w:pPr>
        <w:jc w:val="both"/>
        <w:rPr>
          <w:sz w:val="22"/>
          <w:szCs w:val="22"/>
          <w:lang w:val="sl-SI"/>
        </w:rPr>
      </w:pPr>
      <w:r w:rsidRPr="007223BC">
        <w:rPr>
          <w:sz w:val="22"/>
          <w:szCs w:val="22"/>
          <w:lang w:val="sl-SI"/>
        </w:rPr>
        <w:t>Film tableta.</w:t>
      </w:r>
    </w:p>
    <w:p w14:paraId="3B9A709D" w14:textId="77777777" w:rsidR="00A50B88" w:rsidRPr="007223BC" w:rsidRDefault="00A50B88" w:rsidP="00805A14">
      <w:pPr>
        <w:pStyle w:val="NASLOV123"/>
        <w:jc w:val="both"/>
        <w:rPr>
          <w:b w:val="0"/>
          <w:bCs/>
          <w:lang w:val="sl-SI"/>
        </w:rPr>
      </w:pPr>
      <w:r w:rsidRPr="007223BC">
        <w:rPr>
          <w:b w:val="0"/>
          <w:bCs/>
          <w:lang w:val="sl-SI"/>
        </w:rPr>
        <w:t>Bijele, ovalne, bikonveksne film tablete, veličine oko 18,5 x 9,5 mm, sa utisnutom oznakom „SV 137ˮ sa jedne strane tablete.</w:t>
      </w:r>
    </w:p>
    <w:p w14:paraId="2EDF1B11" w14:textId="77777777" w:rsidR="00DB45B7" w:rsidRPr="007223BC" w:rsidRDefault="00DB45B7" w:rsidP="00805A14">
      <w:pPr>
        <w:pStyle w:val="NASLOV123"/>
        <w:spacing w:after="0"/>
        <w:jc w:val="both"/>
        <w:rPr>
          <w:b w:val="0"/>
          <w:bCs/>
          <w:lang w:val="sl-SI"/>
        </w:rPr>
      </w:pPr>
    </w:p>
    <w:p w14:paraId="401E2175" w14:textId="77777777" w:rsidR="00411B4B" w:rsidRPr="00287AA6" w:rsidRDefault="00411B4B" w:rsidP="00805A14">
      <w:pPr>
        <w:tabs>
          <w:tab w:val="left" w:pos="540"/>
          <w:tab w:val="left" w:pos="569"/>
        </w:tabs>
        <w:jc w:val="both"/>
        <w:rPr>
          <w:b/>
          <w:bCs/>
          <w:sz w:val="22"/>
          <w:szCs w:val="22"/>
          <w:lang w:val="sl-SI"/>
        </w:rPr>
      </w:pPr>
      <w:r w:rsidRPr="00287AA6">
        <w:rPr>
          <w:b/>
          <w:bCs/>
          <w:sz w:val="22"/>
          <w:szCs w:val="22"/>
          <w:lang w:val="sl-SI"/>
        </w:rPr>
        <w:t xml:space="preserve">4. </w:t>
      </w:r>
      <w:r w:rsidR="00480FB1" w:rsidRPr="00287AA6">
        <w:rPr>
          <w:b/>
          <w:bCs/>
          <w:sz w:val="22"/>
          <w:szCs w:val="22"/>
          <w:lang w:val="sl-SI"/>
        </w:rPr>
        <w:tab/>
      </w:r>
      <w:r w:rsidRPr="00287AA6">
        <w:rPr>
          <w:b/>
          <w:bCs/>
          <w:sz w:val="22"/>
          <w:szCs w:val="22"/>
          <w:lang w:val="sl-SI"/>
        </w:rPr>
        <w:t>KLINIČKI PODACI</w:t>
      </w:r>
    </w:p>
    <w:p w14:paraId="5EF66DE1" w14:textId="77777777" w:rsidR="00CD6F02" w:rsidRPr="00287AA6" w:rsidRDefault="00CD6F02" w:rsidP="00805A14">
      <w:pPr>
        <w:tabs>
          <w:tab w:val="left" w:pos="540"/>
          <w:tab w:val="left" w:pos="569"/>
        </w:tabs>
        <w:jc w:val="both"/>
        <w:rPr>
          <w:bCs/>
          <w:sz w:val="22"/>
          <w:szCs w:val="22"/>
          <w:lang w:val="sl-SI"/>
        </w:rPr>
      </w:pPr>
    </w:p>
    <w:p w14:paraId="2EE22B8E" w14:textId="77777777" w:rsidR="00411B4B" w:rsidRPr="00287AA6" w:rsidRDefault="00411B4B" w:rsidP="00805A14">
      <w:pPr>
        <w:tabs>
          <w:tab w:val="left" w:pos="540"/>
          <w:tab w:val="left" w:pos="569"/>
        </w:tabs>
        <w:jc w:val="both"/>
        <w:rPr>
          <w:b/>
          <w:bCs/>
          <w:sz w:val="22"/>
          <w:szCs w:val="22"/>
          <w:lang w:val="sl-SI"/>
        </w:rPr>
      </w:pPr>
      <w:r w:rsidRPr="00287AA6">
        <w:rPr>
          <w:b/>
          <w:bCs/>
          <w:sz w:val="22"/>
          <w:szCs w:val="22"/>
          <w:lang w:val="sl-SI"/>
        </w:rPr>
        <w:t xml:space="preserve">4.1. </w:t>
      </w:r>
      <w:r w:rsidR="00480FB1" w:rsidRPr="00287AA6">
        <w:rPr>
          <w:b/>
          <w:bCs/>
          <w:sz w:val="22"/>
          <w:szCs w:val="22"/>
          <w:lang w:val="sl-SI"/>
        </w:rPr>
        <w:tab/>
      </w:r>
      <w:r w:rsidRPr="00287AA6">
        <w:rPr>
          <w:b/>
          <w:bCs/>
          <w:sz w:val="22"/>
          <w:szCs w:val="22"/>
          <w:lang w:val="sl-SI"/>
        </w:rPr>
        <w:t>Terapijske indikacije</w:t>
      </w:r>
    </w:p>
    <w:p w14:paraId="35AD9FC2" w14:textId="77777777" w:rsidR="00C91BC2" w:rsidRPr="007223BC" w:rsidRDefault="00C91BC2" w:rsidP="00805A14">
      <w:pPr>
        <w:jc w:val="both"/>
        <w:rPr>
          <w:sz w:val="22"/>
          <w:szCs w:val="22"/>
          <w:lang w:val="sl-SI"/>
        </w:rPr>
      </w:pPr>
    </w:p>
    <w:p w14:paraId="60D69FA7" w14:textId="77777777" w:rsidR="00E94D4D" w:rsidRPr="007223BC" w:rsidRDefault="00E94D4D" w:rsidP="00805A14">
      <w:pPr>
        <w:jc w:val="both"/>
        <w:rPr>
          <w:sz w:val="22"/>
          <w:szCs w:val="22"/>
          <w:lang w:val="sl-SI"/>
        </w:rPr>
      </w:pPr>
      <w:r w:rsidRPr="007223BC">
        <w:rPr>
          <w:sz w:val="22"/>
          <w:szCs w:val="22"/>
          <w:lang w:val="sl-SI"/>
        </w:rPr>
        <w:t xml:space="preserve">Lijek </w:t>
      </w:r>
      <w:r w:rsidR="00DE74DF" w:rsidRPr="007223BC">
        <w:rPr>
          <w:sz w:val="22"/>
          <w:szCs w:val="22"/>
          <w:lang w:val="sl-SI"/>
        </w:rPr>
        <w:t>DOVATO</w:t>
      </w:r>
      <w:r w:rsidRPr="007223BC">
        <w:rPr>
          <w:sz w:val="22"/>
          <w:szCs w:val="22"/>
          <w:lang w:val="sl-SI"/>
        </w:rPr>
        <w:t xml:space="preserve"> je indikovan za terapiju infekcije izazvane virusom humane imunodeficijencije tipa 1 (HIV-1) kod odraslih osoba i adolescenata starijih od 12 godina, tjelesne mase najmanje 40 kg, koji u istoriji bolesti nemaju poznatu ili suspektnu rezistenciju na neki od ljekova iz grupe inhibitora integraze ili na lamivudin (vidjeti </w:t>
      </w:r>
      <w:r w:rsidR="00C24917" w:rsidRPr="007223BC">
        <w:rPr>
          <w:sz w:val="22"/>
          <w:szCs w:val="22"/>
          <w:lang w:val="sl-SI"/>
        </w:rPr>
        <w:t>dio</w:t>
      </w:r>
      <w:r w:rsidRPr="007223BC">
        <w:rPr>
          <w:sz w:val="22"/>
          <w:szCs w:val="22"/>
          <w:lang w:val="sl-SI"/>
        </w:rPr>
        <w:t xml:space="preserve"> 5.1).</w:t>
      </w:r>
    </w:p>
    <w:p w14:paraId="24B7C321" w14:textId="77777777" w:rsidR="00411B4B" w:rsidRPr="007223BC" w:rsidRDefault="00411B4B" w:rsidP="00805A14">
      <w:pPr>
        <w:tabs>
          <w:tab w:val="left" w:pos="540"/>
          <w:tab w:val="left" w:pos="569"/>
        </w:tabs>
        <w:jc w:val="both"/>
        <w:rPr>
          <w:bCs/>
          <w:sz w:val="22"/>
          <w:szCs w:val="22"/>
          <w:lang w:val="sl-SI"/>
        </w:rPr>
      </w:pPr>
    </w:p>
    <w:p w14:paraId="38C58D53" w14:textId="77777777" w:rsidR="00411B4B" w:rsidRPr="00287AA6" w:rsidRDefault="00411B4B" w:rsidP="00805A14">
      <w:pPr>
        <w:tabs>
          <w:tab w:val="left" w:pos="540"/>
          <w:tab w:val="left" w:pos="569"/>
        </w:tabs>
        <w:jc w:val="both"/>
        <w:rPr>
          <w:b/>
          <w:bCs/>
          <w:sz w:val="22"/>
          <w:szCs w:val="22"/>
          <w:lang w:val="sl-SI"/>
        </w:rPr>
      </w:pPr>
      <w:r w:rsidRPr="00287AA6">
        <w:rPr>
          <w:b/>
          <w:bCs/>
          <w:sz w:val="22"/>
          <w:szCs w:val="22"/>
          <w:lang w:val="sl-SI"/>
        </w:rPr>
        <w:t xml:space="preserve">4.2. </w:t>
      </w:r>
      <w:r w:rsidR="00480FB1" w:rsidRPr="00287AA6">
        <w:rPr>
          <w:b/>
          <w:bCs/>
          <w:sz w:val="22"/>
          <w:szCs w:val="22"/>
          <w:lang w:val="sl-SI"/>
        </w:rPr>
        <w:tab/>
      </w:r>
      <w:r w:rsidRPr="00287AA6">
        <w:rPr>
          <w:b/>
          <w:bCs/>
          <w:sz w:val="22"/>
          <w:szCs w:val="22"/>
          <w:lang w:val="sl-SI"/>
        </w:rPr>
        <w:t>Doziranje i način primjene</w:t>
      </w:r>
    </w:p>
    <w:p w14:paraId="0DCB75CF" w14:textId="77777777" w:rsidR="0040601E" w:rsidRPr="007223BC" w:rsidRDefault="0040601E" w:rsidP="00805A14">
      <w:pPr>
        <w:tabs>
          <w:tab w:val="center" w:pos="4536"/>
          <w:tab w:val="right" w:pos="9072"/>
        </w:tabs>
        <w:jc w:val="both"/>
        <w:rPr>
          <w:sz w:val="22"/>
          <w:szCs w:val="22"/>
          <w:lang w:val="sr-Latn-RS"/>
        </w:rPr>
      </w:pPr>
    </w:p>
    <w:p w14:paraId="517332B5" w14:textId="77777777" w:rsidR="00E94D4D" w:rsidRPr="007223BC" w:rsidRDefault="00E94D4D" w:rsidP="00805A14">
      <w:pPr>
        <w:tabs>
          <w:tab w:val="center" w:pos="4536"/>
          <w:tab w:val="right" w:pos="9072"/>
        </w:tabs>
        <w:jc w:val="both"/>
        <w:rPr>
          <w:sz w:val="22"/>
          <w:szCs w:val="22"/>
          <w:lang w:val="sr-Latn-RS"/>
        </w:rPr>
      </w:pPr>
      <w:r w:rsidRPr="007223BC">
        <w:rPr>
          <w:sz w:val="22"/>
          <w:szCs w:val="22"/>
          <w:lang w:val="sr-Latn-RS"/>
        </w:rPr>
        <w:t xml:space="preserve">Lijek </w:t>
      </w:r>
      <w:r w:rsidR="00DE74DF" w:rsidRPr="007223BC">
        <w:rPr>
          <w:sz w:val="22"/>
          <w:szCs w:val="22"/>
          <w:lang w:val="sr-Latn-RS"/>
        </w:rPr>
        <w:t>DOVATO</w:t>
      </w:r>
      <w:r w:rsidRPr="007223BC">
        <w:rPr>
          <w:sz w:val="22"/>
          <w:szCs w:val="22"/>
          <w:lang w:val="sr-Latn-RS"/>
        </w:rPr>
        <w:t xml:space="preserve"> mora da bude propisan od strane ljekara sa iskustvom u liječenju HIV infekcije.</w:t>
      </w:r>
    </w:p>
    <w:p w14:paraId="4B6D1F8C" w14:textId="77777777" w:rsidR="0072020E" w:rsidRPr="00287AA6" w:rsidRDefault="0072020E" w:rsidP="00805A14">
      <w:pPr>
        <w:tabs>
          <w:tab w:val="left" w:pos="540"/>
          <w:tab w:val="left" w:pos="569"/>
        </w:tabs>
        <w:jc w:val="both"/>
        <w:rPr>
          <w:bCs/>
          <w:sz w:val="22"/>
          <w:szCs w:val="22"/>
          <w:lang w:val="sl-SI"/>
        </w:rPr>
      </w:pPr>
    </w:p>
    <w:p w14:paraId="346016E0" w14:textId="77777777" w:rsidR="00452E9D" w:rsidRPr="00287AA6" w:rsidRDefault="00452E9D" w:rsidP="00805A14">
      <w:pPr>
        <w:tabs>
          <w:tab w:val="left" w:pos="540"/>
          <w:tab w:val="left" w:pos="569"/>
        </w:tabs>
        <w:jc w:val="both"/>
        <w:rPr>
          <w:bCs/>
          <w:sz w:val="22"/>
          <w:szCs w:val="22"/>
          <w:u w:val="single"/>
          <w:lang w:val="sl-SI"/>
        </w:rPr>
      </w:pPr>
      <w:r w:rsidRPr="00287AA6">
        <w:rPr>
          <w:bCs/>
          <w:sz w:val="22"/>
          <w:szCs w:val="22"/>
          <w:u w:val="single"/>
          <w:lang w:val="sl-SI"/>
        </w:rPr>
        <w:t>Doziranje</w:t>
      </w:r>
    </w:p>
    <w:p w14:paraId="655A611F" w14:textId="77777777" w:rsidR="0040601E" w:rsidRPr="007223BC" w:rsidRDefault="0040601E" w:rsidP="00805A14">
      <w:pPr>
        <w:suppressLineNumbers/>
        <w:autoSpaceDE w:val="0"/>
        <w:autoSpaceDN w:val="0"/>
        <w:adjustRightInd w:val="0"/>
        <w:jc w:val="both"/>
        <w:rPr>
          <w:rFonts w:eastAsia="SimSun"/>
          <w:i/>
          <w:sz w:val="22"/>
          <w:szCs w:val="22"/>
          <w:lang w:val="sr-Latn-RS"/>
        </w:rPr>
      </w:pPr>
    </w:p>
    <w:p w14:paraId="574CC29E" w14:textId="77777777" w:rsidR="00E94D4D" w:rsidRPr="007223BC" w:rsidRDefault="00E94D4D" w:rsidP="00805A14">
      <w:pPr>
        <w:suppressLineNumbers/>
        <w:autoSpaceDE w:val="0"/>
        <w:autoSpaceDN w:val="0"/>
        <w:adjustRightInd w:val="0"/>
        <w:jc w:val="both"/>
        <w:rPr>
          <w:i/>
          <w:noProof/>
          <w:sz w:val="22"/>
          <w:szCs w:val="22"/>
          <w:lang w:val="sr-Latn-RS"/>
        </w:rPr>
      </w:pPr>
      <w:r w:rsidRPr="007223BC">
        <w:rPr>
          <w:rFonts w:eastAsia="SimSun"/>
          <w:i/>
          <w:sz w:val="22"/>
          <w:szCs w:val="22"/>
          <w:lang w:val="sr-Latn-RS"/>
        </w:rPr>
        <w:t xml:space="preserve">Odrasli i adolescenti </w:t>
      </w:r>
      <w:r w:rsidRPr="007223BC">
        <w:rPr>
          <w:i/>
          <w:noProof/>
          <w:sz w:val="22"/>
          <w:szCs w:val="22"/>
          <w:lang w:val="sr-Latn-RS"/>
        </w:rPr>
        <w:t>(</w:t>
      </w:r>
      <w:r w:rsidR="002E4EF9" w:rsidRPr="007223BC">
        <w:rPr>
          <w:i/>
          <w:noProof/>
          <w:sz w:val="22"/>
          <w:szCs w:val="22"/>
          <w:lang w:val="sr-Latn-RS"/>
        </w:rPr>
        <w:t xml:space="preserve">uzrasta </w:t>
      </w:r>
      <w:r w:rsidRPr="007223BC">
        <w:rPr>
          <w:i/>
          <w:noProof/>
          <w:sz w:val="22"/>
          <w:szCs w:val="22"/>
          <w:lang w:val="sr-Latn-RS"/>
        </w:rPr>
        <w:t>iznad 12 godina sa tjelesnom masom od najmanje 40</w:t>
      </w:r>
      <w:r w:rsidRPr="007223BC">
        <w:rPr>
          <w:sz w:val="22"/>
          <w:szCs w:val="22"/>
          <w:lang w:val="sr-Latn-RS"/>
        </w:rPr>
        <w:t> </w:t>
      </w:r>
      <w:r w:rsidRPr="007223BC">
        <w:rPr>
          <w:i/>
          <w:noProof/>
          <w:sz w:val="22"/>
          <w:szCs w:val="22"/>
          <w:lang w:val="sr-Latn-RS"/>
        </w:rPr>
        <w:t>kg)</w:t>
      </w:r>
    </w:p>
    <w:p w14:paraId="36D317DE" w14:textId="77777777" w:rsidR="00E94D4D" w:rsidRPr="007223BC" w:rsidRDefault="00E94D4D" w:rsidP="00805A14">
      <w:pPr>
        <w:suppressLineNumbers/>
        <w:autoSpaceDE w:val="0"/>
        <w:autoSpaceDN w:val="0"/>
        <w:adjustRightInd w:val="0"/>
        <w:jc w:val="both"/>
        <w:rPr>
          <w:i/>
          <w:noProof/>
          <w:sz w:val="22"/>
          <w:szCs w:val="22"/>
          <w:lang w:val="sr-Latn-RS"/>
        </w:rPr>
      </w:pPr>
    </w:p>
    <w:p w14:paraId="5B476BC6" w14:textId="77777777" w:rsidR="00E94D4D" w:rsidRPr="007223BC" w:rsidRDefault="00E94D4D" w:rsidP="00805A14">
      <w:pPr>
        <w:suppressLineNumbers/>
        <w:autoSpaceDE w:val="0"/>
        <w:autoSpaceDN w:val="0"/>
        <w:adjustRightInd w:val="0"/>
        <w:jc w:val="both"/>
        <w:rPr>
          <w:noProof/>
          <w:sz w:val="22"/>
          <w:szCs w:val="22"/>
          <w:lang w:val="sr-Latn-RS"/>
        </w:rPr>
      </w:pPr>
      <w:r w:rsidRPr="007223BC">
        <w:rPr>
          <w:rFonts w:eastAsia="SimSun"/>
          <w:sz w:val="22"/>
          <w:szCs w:val="22"/>
          <w:lang w:val="sr-Latn-RS"/>
        </w:rPr>
        <w:t xml:space="preserve">Preporučena doza </w:t>
      </w:r>
      <w:r w:rsidRPr="007223BC">
        <w:rPr>
          <w:noProof/>
          <w:sz w:val="22"/>
          <w:szCs w:val="22"/>
          <w:lang w:val="sr-Latn-RS"/>
        </w:rPr>
        <w:t xml:space="preserve">lijeka </w:t>
      </w:r>
      <w:r w:rsidR="00DE74DF" w:rsidRPr="007223BC">
        <w:rPr>
          <w:noProof/>
          <w:sz w:val="22"/>
          <w:szCs w:val="22"/>
          <w:lang w:val="sr-Latn-RS"/>
        </w:rPr>
        <w:t>DOVATO</w:t>
      </w:r>
      <w:r w:rsidRPr="007223BC">
        <w:rPr>
          <w:color w:val="000000"/>
          <w:sz w:val="22"/>
          <w:szCs w:val="22"/>
          <w:lang w:val="sr-Latn-RS"/>
        </w:rPr>
        <w:t xml:space="preserve"> kod odraslih i adolescenata </w:t>
      </w:r>
      <w:r w:rsidRPr="007223BC">
        <w:rPr>
          <w:noProof/>
          <w:sz w:val="22"/>
          <w:szCs w:val="22"/>
          <w:lang w:val="sr-Latn-RS"/>
        </w:rPr>
        <w:t>je jedna tableta od 50 mg</w:t>
      </w:r>
      <w:r w:rsidR="0040601E" w:rsidRPr="007223BC">
        <w:rPr>
          <w:noProof/>
          <w:sz w:val="22"/>
          <w:szCs w:val="22"/>
          <w:lang w:val="sr-Latn-RS"/>
        </w:rPr>
        <w:t xml:space="preserve"> + </w:t>
      </w:r>
      <w:r w:rsidRPr="007223BC">
        <w:rPr>
          <w:noProof/>
          <w:sz w:val="22"/>
          <w:szCs w:val="22"/>
          <w:lang w:val="sr-Latn-RS"/>
        </w:rPr>
        <w:t>300 mg jednom dnevno.</w:t>
      </w:r>
    </w:p>
    <w:p w14:paraId="5DFE79BF" w14:textId="77777777" w:rsidR="00E94D4D" w:rsidRPr="007223BC" w:rsidRDefault="00E94D4D" w:rsidP="00805A14">
      <w:pPr>
        <w:suppressLineNumbers/>
        <w:autoSpaceDE w:val="0"/>
        <w:autoSpaceDN w:val="0"/>
        <w:adjustRightInd w:val="0"/>
        <w:jc w:val="both"/>
        <w:rPr>
          <w:noProof/>
          <w:sz w:val="22"/>
          <w:szCs w:val="22"/>
          <w:lang w:val="sr-Latn-RS"/>
        </w:rPr>
      </w:pPr>
    </w:p>
    <w:p w14:paraId="06918708" w14:textId="77777777" w:rsidR="00E94D4D" w:rsidRPr="007223BC" w:rsidRDefault="00E94D4D" w:rsidP="00805A14">
      <w:pPr>
        <w:suppressLineNumbers/>
        <w:autoSpaceDE w:val="0"/>
        <w:autoSpaceDN w:val="0"/>
        <w:adjustRightInd w:val="0"/>
        <w:jc w:val="both"/>
        <w:rPr>
          <w:i/>
          <w:noProof/>
          <w:sz w:val="22"/>
          <w:szCs w:val="22"/>
          <w:lang w:val="sr-Latn-RS"/>
        </w:rPr>
      </w:pPr>
      <w:r w:rsidRPr="007223BC">
        <w:rPr>
          <w:i/>
          <w:noProof/>
          <w:sz w:val="22"/>
          <w:szCs w:val="22"/>
          <w:lang w:val="sr-Latn-RS"/>
        </w:rPr>
        <w:t>Prilagođavanje doze</w:t>
      </w:r>
    </w:p>
    <w:p w14:paraId="17F5EDF0" w14:textId="77777777" w:rsidR="00E94D4D" w:rsidRPr="007223BC" w:rsidRDefault="00E94D4D" w:rsidP="00805A14">
      <w:pPr>
        <w:suppressLineNumbers/>
        <w:autoSpaceDE w:val="0"/>
        <w:autoSpaceDN w:val="0"/>
        <w:adjustRightInd w:val="0"/>
        <w:jc w:val="both"/>
        <w:rPr>
          <w:sz w:val="22"/>
          <w:szCs w:val="22"/>
          <w:lang w:val="sr-Latn-RS"/>
        </w:rPr>
      </w:pPr>
      <w:r w:rsidRPr="007223BC">
        <w:rPr>
          <w:snapToGrid w:val="0"/>
          <w:sz w:val="22"/>
          <w:szCs w:val="22"/>
          <w:lang w:val="sr-Latn-RS"/>
        </w:rPr>
        <w:t>D</w:t>
      </w:r>
      <w:r w:rsidRPr="007223BC">
        <w:rPr>
          <w:sz w:val="22"/>
          <w:szCs w:val="22"/>
          <w:lang w:val="sr-Latn-RS"/>
        </w:rPr>
        <w:t xml:space="preserve">olutegravir je dostupan kao zaseban lijek kada je indikovano prilagođavanje doze zbog interakcije sa drugim ljekovima (npr. rifampicin, karbamazepin, okskarbazepin, fenitoin, fenobarbital, kantarion, etravirin (bez pojačivača inhibitora proteaza), efavirenc, nevirapin ili tipranavir/ritonavir </w:t>
      </w:r>
      <w:r w:rsidR="008A0BB1" w:rsidRPr="007223BC">
        <w:rPr>
          <w:sz w:val="22"/>
          <w:szCs w:val="22"/>
          <w:lang w:val="sr-Latn-RS"/>
        </w:rPr>
        <w:t>[</w:t>
      </w:r>
      <w:r w:rsidRPr="007223BC">
        <w:rPr>
          <w:sz w:val="22"/>
          <w:szCs w:val="22"/>
          <w:lang w:val="sr-Latn-RS"/>
        </w:rPr>
        <w:t xml:space="preserve">vidjeti </w:t>
      </w:r>
      <w:r w:rsidR="00C24917" w:rsidRPr="007223BC">
        <w:rPr>
          <w:sz w:val="22"/>
          <w:szCs w:val="22"/>
          <w:lang w:val="sr-Latn-RS"/>
        </w:rPr>
        <w:t>djelov</w:t>
      </w:r>
      <w:r w:rsidRPr="007223BC">
        <w:rPr>
          <w:sz w:val="22"/>
          <w:szCs w:val="22"/>
          <w:lang w:val="sr-Latn-RS"/>
        </w:rPr>
        <w:t>e 4.4 i 4.5</w:t>
      </w:r>
      <w:r w:rsidR="008A0BB1" w:rsidRPr="007223BC">
        <w:rPr>
          <w:sz w:val="22"/>
          <w:szCs w:val="22"/>
          <w:lang w:val="sr-Latn-RS"/>
        </w:rPr>
        <w:t>]</w:t>
      </w:r>
      <w:r w:rsidRPr="007223BC">
        <w:rPr>
          <w:sz w:val="22"/>
          <w:szCs w:val="22"/>
          <w:lang w:val="sr-Latn-RS"/>
        </w:rPr>
        <w:t>). U navedenim slučajevima</w:t>
      </w:r>
      <w:r w:rsidR="008A0BB1" w:rsidRPr="007223BC">
        <w:rPr>
          <w:sz w:val="22"/>
          <w:szCs w:val="22"/>
          <w:lang w:val="sr-Latn-RS"/>
        </w:rPr>
        <w:t>,</w:t>
      </w:r>
      <w:r w:rsidRPr="007223BC">
        <w:rPr>
          <w:sz w:val="22"/>
          <w:szCs w:val="22"/>
          <w:lang w:val="sr-Latn-RS"/>
        </w:rPr>
        <w:t xml:space="preserve"> ljekar treba da konsultuje Sažetak karakteristika lijeka za dolutegravir.</w:t>
      </w:r>
    </w:p>
    <w:p w14:paraId="50B5D439" w14:textId="77777777" w:rsidR="00E94D4D" w:rsidRPr="007223BC" w:rsidRDefault="00E94D4D" w:rsidP="00805A14">
      <w:pPr>
        <w:suppressLineNumbers/>
        <w:autoSpaceDE w:val="0"/>
        <w:autoSpaceDN w:val="0"/>
        <w:adjustRightInd w:val="0"/>
        <w:jc w:val="both"/>
        <w:rPr>
          <w:noProof/>
          <w:sz w:val="22"/>
          <w:szCs w:val="22"/>
          <w:lang w:val="sr-Latn-RS"/>
        </w:rPr>
      </w:pPr>
    </w:p>
    <w:p w14:paraId="6A9B65D9" w14:textId="77777777" w:rsidR="00E94D4D" w:rsidRPr="007223BC" w:rsidRDefault="00E94D4D" w:rsidP="00805A14">
      <w:pPr>
        <w:suppressLineNumbers/>
        <w:autoSpaceDE w:val="0"/>
        <w:autoSpaceDN w:val="0"/>
        <w:adjustRightInd w:val="0"/>
        <w:jc w:val="both"/>
        <w:rPr>
          <w:i/>
          <w:noProof/>
          <w:sz w:val="22"/>
          <w:szCs w:val="22"/>
          <w:lang w:val="sr-Latn-RS"/>
        </w:rPr>
      </w:pPr>
      <w:r w:rsidRPr="007223BC">
        <w:rPr>
          <w:i/>
          <w:noProof/>
          <w:sz w:val="22"/>
          <w:szCs w:val="22"/>
          <w:lang w:val="sr-Latn-RS"/>
        </w:rPr>
        <w:t>Propuštene doze</w:t>
      </w:r>
    </w:p>
    <w:p w14:paraId="669F192F" w14:textId="77777777" w:rsidR="00E94D4D" w:rsidRPr="007223BC" w:rsidRDefault="00E94D4D" w:rsidP="00805A14">
      <w:pPr>
        <w:suppressLineNumbers/>
        <w:autoSpaceDE w:val="0"/>
        <w:autoSpaceDN w:val="0"/>
        <w:adjustRightInd w:val="0"/>
        <w:jc w:val="both"/>
        <w:rPr>
          <w:noProof/>
          <w:sz w:val="22"/>
          <w:szCs w:val="22"/>
          <w:lang w:val="sr-Latn-RS"/>
        </w:rPr>
      </w:pPr>
      <w:r w:rsidRPr="007223BC">
        <w:rPr>
          <w:noProof/>
          <w:sz w:val="22"/>
          <w:szCs w:val="22"/>
          <w:lang w:val="sr-Latn-RS"/>
        </w:rPr>
        <w:t xml:space="preserve">Ukoliko pacijent propusti </w:t>
      </w:r>
      <w:r w:rsidR="008A0BB1" w:rsidRPr="007223BC">
        <w:rPr>
          <w:noProof/>
          <w:sz w:val="22"/>
          <w:szCs w:val="22"/>
          <w:lang w:val="sr-Latn-RS"/>
        </w:rPr>
        <w:t xml:space="preserve">uzimanje </w:t>
      </w:r>
      <w:r w:rsidRPr="007223BC">
        <w:rPr>
          <w:noProof/>
          <w:sz w:val="22"/>
          <w:szCs w:val="22"/>
          <w:lang w:val="sr-Latn-RS"/>
        </w:rPr>
        <w:t xml:space="preserve">doze lijeka </w:t>
      </w:r>
      <w:r w:rsidR="00DE74DF" w:rsidRPr="007223BC">
        <w:rPr>
          <w:noProof/>
          <w:sz w:val="22"/>
          <w:szCs w:val="22"/>
          <w:lang w:val="sr-Latn-RS"/>
        </w:rPr>
        <w:t>DOVATO</w:t>
      </w:r>
      <w:r w:rsidRPr="007223BC">
        <w:rPr>
          <w:noProof/>
          <w:sz w:val="22"/>
          <w:szCs w:val="22"/>
          <w:lang w:val="sr-Latn-RS"/>
        </w:rPr>
        <w:t xml:space="preserve">, treba da uzme lijek </w:t>
      </w:r>
      <w:r w:rsidR="00DE74DF" w:rsidRPr="007223BC">
        <w:rPr>
          <w:noProof/>
          <w:sz w:val="22"/>
          <w:szCs w:val="22"/>
          <w:lang w:val="sr-Latn-RS"/>
        </w:rPr>
        <w:t>DOVATO</w:t>
      </w:r>
      <w:r w:rsidRPr="007223BC">
        <w:rPr>
          <w:noProof/>
          <w:sz w:val="22"/>
          <w:szCs w:val="22"/>
          <w:lang w:val="sr-Latn-RS"/>
        </w:rPr>
        <w:t xml:space="preserve"> što je prije moguće, ukoliko sljedeća doza nije planirana u naredna 4 sata. Ukoliko je sljedeća doza planirana u </w:t>
      </w:r>
      <w:r w:rsidRPr="007223BC">
        <w:rPr>
          <w:noProof/>
          <w:sz w:val="22"/>
          <w:szCs w:val="22"/>
          <w:lang w:val="sr-Latn-RS"/>
        </w:rPr>
        <w:lastRenderedPageBreak/>
        <w:t xml:space="preserve">naredna 4 sata, </w:t>
      </w:r>
      <w:r w:rsidRPr="007223BC">
        <w:rPr>
          <w:sz w:val="22"/>
          <w:szCs w:val="22"/>
          <w:lang w:val="sr-Latn-RS"/>
        </w:rPr>
        <w:t>pacijent ne treba da uzme propuštenu dozu, već jednostavno da nastavi sa uobičajenim rasporedom doziranja.</w:t>
      </w:r>
    </w:p>
    <w:p w14:paraId="00961ABC" w14:textId="77777777" w:rsidR="00E94D4D" w:rsidRPr="007223BC" w:rsidRDefault="00E94D4D" w:rsidP="00805A14">
      <w:pPr>
        <w:suppressLineNumbers/>
        <w:autoSpaceDE w:val="0"/>
        <w:autoSpaceDN w:val="0"/>
        <w:adjustRightInd w:val="0"/>
        <w:jc w:val="both"/>
        <w:rPr>
          <w:noProof/>
          <w:sz w:val="22"/>
          <w:szCs w:val="22"/>
          <w:lang w:val="sr-Latn-RS"/>
        </w:rPr>
      </w:pPr>
    </w:p>
    <w:p w14:paraId="198C5F0A" w14:textId="77777777" w:rsidR="00E94D4D" w:rsidRPr="007223BC" w:rsidRDefault="00E94D4D" w:rsidP="00805A14">
      <w:pPr>
        <w:suppressLineNumbers/>
        <w:autoSpaceDE w:val="0"/>
        <w:autoSpaceDN w:val="0"/>
        <w:adjustRightInd w:val="0"/>
        <w:jc w:val="both"/>
        <w:rPr>
          <w:i/>
          <w:iCs/>
          <w:sz w:val="22"/>
          <w:szCs w:val="22"/>
          <w:lang w:val="sr-Latn-RS"/>
        </w:rPr>
      </w:pPr>
      <w:r w:rsidRPr="007223BC">
        <w:rPr>
          <w:i/>
          <w:iCs/>
          <w:sz w:val="22"/>
          <w:szCs w:val="22"/>
          <w:lang w:val="sr-Latn-RS"/>
        </w:rPr>
        <w:t>Starije osobe</w:t>
      </w:r>
    </w:p>
    <w:p w14:paraId="3926B3B6" w14:textId="77777777" w:rsidR="00E94D4D" w:rsidRPr="007223BC" w:rsidRDefault="00E94D4D" w:rsidP="00805A14">
      <w:pPr>
        <w:ind w:right="-1"/>
        <w:jc w:val="both"/>
        <w:rPr>
          <w:bCs/>
          <w:sz w:val="22"/>
          <w:szCs w:val="22"/>
          <w:lang w:val="sr-Latn-RS"/>
        </w:rPr>
      </w:pPr>
      <w:r w:rsidRPr="007223BC">
        <w:rPr>
          <w:sz w:val="22"/>
          <w:szCs w:val="22"/>
          <w:lang w:val="sr-Latn-RS"/>
        </w:rPr>
        <w:t xml:space="preserve">Dostupni podaci o primjeni lijeka </w:t>
      </w:r>
      <w:r w:rsidR="00DE74DF" w:rsidRPr="007223BC">
        <w:rPr>
          <w:sz w:val="22"/>
          <w:szCs w:val="22"/>
          <w:lang w:val="sr-Latn-RS"/>
        </w:rPr>
        <w:t>DOVATO</w:t>
      </w:r>
      <w:r w:rsidRPr="007223BC">
        <w:rPr>
          <w:sz w:val="22"/>
          <w:szCs w:val="22"/>
          <w:lang w:val="sr-Latn-RS"/>
        </w:rPr>
        <w:t xml:space="preserve"> kod pacijenata uzrasta 65 godina i starijih su ograničeni. Nije neophodno prilagođavanje doze </w:t>
      </w:r>
      <w:r w:rsidRPr="007223BC">
        <w:rPr>
          <w:iCs/>
          <w:sz w:val="22"/>
          <w:szCs w:val="22"/>
          <w:lang w:val="sr-Latn-RS"/>
        </w:rPr>
        <w:t xml:space="preserve">(vidjeti </w:t>
      </w:r>
      <w:r w:rsidR="00C24917" w:rsidRPr="007223BC">
        <w:rPr>
          <w:iCs/>
          <w:sz w:val="22"/>
          <w:szCs w:val="22"/>
          <w:lang w:val="sr-Latn-RS"/>
        </w:rPr>
        <w:t>dio</w:t>
      </w:r>
      <w:r w:rsidRPr="007223BC">
        <w:rPr>
          <w:iCs/>
          <w:sz w:val="22"/>
          <w:szCs w:val="22"/>
          <w:lang w:val="sr-Latn-RS"/>
        </w:rPr>
        <w:t xml:space="preserve"> 5.2).</w:t>
      </w:r>
    </w:p>
    <w:p w14:paraId="1CC9317C" w14:textId="77777777" w:rsidR="00E94D4D" w:rsidRPr="007223BC" w:rsidRDefault="00E94D4D" w:rsidP="00805A14">
      <w:pPr>
        <w:suppressLineNumbers/>
        <w:autoSpaceDE w:val="0"/>
        <w:autoSpaceDN w:val="0"/>
        <w:adjustRightInd w:val="0"/>
        <w:jc w:val="both"/>
        <w:rPr>
          <w:i/>
          <w:iCs/>
          <w:sz w:val="22"/>
          <w:szCs w:val="22"/>
          <w:lang w:val="sr-Latn-RS"/>
        </w:rPr>
      </w:pPr>
    </w:p>
    <w:p w14:paraId="6D7C3477" w14:textId="77777777" w:rsidR="00E94D4D" w:rsidRPr="007223BC" w:rsidRDefault="00E94D4D" w:rsidP="00805A14">
      <w:pPr>
        <w:tabs>
          <w:tab w:val="center" w:pos="4536"/>
          <w:tab w:val="right" w:pos="9072"/>
        </w:tabs>
        <w:jc w:val="both"/>
        <w:rPr>
          <w:bCs/>
          <w:i/>
          <w:iCs/>
          <w:sz w:val="22"/>
          <w:szCs w:val="22"/>
          <w:lang w:val="sr-Latn-RS"/>
        </w:rPr>
      </w:pPr>
      <w:r w:rsidRPr="007223BC">
        <w:rPr>
          <w:i/>
          <w:iCs/>
          <w:sz w:val="22"/>
          <w:szCs w:val="22"/>
          <w:lang w:val="sr-Latn-RS"/>
        </w:rPr>
        <w:t>Oštećenje funkcije bubrega</w:t>
      </w:r>
    </w:p>
    <w:p w14:paraId="59D84230" w14:textId="7D9FCD3F" w:rsidR="00666520" w:rsidRDefault="00E94D4D" w:rsidP="00805A14">
      <w:pPr>
        <w:suppressLineNumbers/>
        <w:autoSpaceDE w:val="0"/>
        <w:autoSpaceDN w:val="0"/>
        <w:adjustRightInd w:val="0"/>
        <w:jc w:val="both"/>
        <w:rPr>
          <w:sz w:val="22"/>
          <w:szCs w:val="22"/>
          <w:lang w:val="sr-Latn-RS"/>
        </w:rPr>
      </w:pPr>
      <w:r w:rsidRPr="007223BC">
        <w:rPr>
          <w:noProof/>
          <w:sz w:val="22"/>
          <w:szCs w:val="22"/>
          <w:lang w:val="sr-Latn-RS"/>
        </w:rPr>
        <w:t xml:space="preserve">Primjena lijeka </w:t>
      </w:r>
      <w:r w:rsidR="00DE74DF" w:rsidRPr="007223BC">
        <w:rPr>
          <w:noProof/>
          <w:sz w:val="22"/>
          <w:szCs w:val="22"/>
          <w:lang w:val="sr-Latn-RS"/>
        </w:rPr>
        <w:t>DOVATO</w:t>
      </w:r>
      <w:r w:rsidRPr="007223BC">
        <w:rPr>
          <w:noProof/>
          <w:sz w:val="22"/>
          <w:szCs w:val="22"/>
          <w:lang w:val="sr-Latn-RS"/>
        </w:rPr>
        <w:t xml:space="preserve"> ne preporučuje se za primjenu kod pacijenata sa klirensom kreatinina </w:t>
      </w:r>
      <w:r w:rsidRPr="007223BC">
        <w:rPr>
          <w:sz w:val="22"/>
          <w:szCs w:val="22"/>
          <w:lang w:val="sr-Latn-RS"/>
        </w:rPr>
        <w:t>&lt; </w:t>
      </w:r>
      <w:r w:rsidR="00666520">
        <w:rPr>
          <w:sz w:val="22"/>
          <w:szCs w:val="22"/>
          <w:lang w:val="sr-Latn-RS"/>
        </w:rPr>
        <w:t>3</w:t>
      </w:r>
      <w:r w:rsidRPr="007223BC">
        <w:rPr>
          <w:sz w:val="22"/>
          <w:szCs w:val="22"/>
          <w:lang w:val="sr-Latn-RS"/>
        </w:rPr>
        <w:t>0 m</w:t>
      </w:r>
      <w:r w:rsidR="008651EC">
        <w:rPr>
          <w:sz w:val="22"/>
          <w:szCs w:val="22"/>
          <w:lang w:val="sr-Latn-RS"/>
        </w:rPr>
        <w:t>l</w:t>
      </w:r>
      <w:r w:rsidRPr="007223BC">
        <w:rPr>
          <w:sz w:val="22"/>
          <w:szCs w:val="22"/>
          <w:lang w:val="sr-Latn-RS"/>
        </w:rPr>
        <w:t xml:space="preserve">/min (vidjeti </w:t>
      </w:r>
      <w:r w:rsidR="00C24917" w:rsidRPr="007223BC">
        <w:rPr>
          <w:sz w:val="22"/>
          <w:szCs w:val="22"/>
          <w:lang w:val="sr-Latn-RS"/>
        </w:rPr>
        <w:t>dio</w:t>
      </w:r>
      <w:r w:rsidRPr="007223BC">
        <w:rPr>
          <w:sz w:val="22"/>
          <w:szCs w:val="22"/>
          <w:lang w:val="sr-Latn-RS"/>
        </w:rPr>
        <w:t xml:space="preserve"> 5.2). N</w:t>
      </w:r>
      <w:r w:rsidR="00666520">
        <w:rPr>
          <w:sz w:val="22"/>
          <w:szCs w:val="22"/>
          <w:lang w:val="sr-Latn-RS"/>
        </w:rPr>
        <w:t>ij</w:t>
      </w:r>
      <w:r w:rsidRPr="007223BC">
        <w:rPr>
          <w:sz w:val="22"/>
          <w:szCs w:val="22"/>
          <w:lang w:val="sr-Latn-RS"/>
        </w:rPr>
        <w:t xml:space="preserve">e </w:t>
      </w:r>
      <w:r w:rsidR="00666520">
        <w:rPr>
          <w:sz w:val="22"/>
          <w:szCs w:val="22"/>
          <w:lang w:val="sr-Latn-RS"/>
        </w:rPr>
        <w:t xml:space="preserve">potrebno </w:t>
      </w:r>
      <w:r w:rsidRPr="007223BC">
        <w:rPr>
          <w:sz w:val="22"/>
          <w:szCs w:val="22"/>
          <w:lang w:val="sr-Latn-RS"/>
        </w:rPr>
        <w:t>prilagođava</w:t>
      </w:r>
      <w:r w:rsidR="00666520">
        <w:rPr>
          <w:sz w:val="22"/>
          <w:szCs w:val="22"/>
          <w:lang w:val="sr-Latn-RS"/>
        </w:rPr>
        <w:t>ti</w:t>
      </w:r>
      <w:r w:rsidRPr="007223BC">
        <w:rPr>
          <w:sz w:val="22"/>
          <w:szCs w:val="22"/>
          <w:lang w:val="sr-Latn-RS"/>
        </w:rPr>
        <w:t xml:space="preserve"> doz</w:t>
      </w:r>
      <w:r w:rsidR="00666520">
        <w:rPr>
          <w:sz w:val="22"/>
          <w:szCs w:val="22"/>
          <w:lang w:val="sr-Latn-RS"/>
        </w:rPr>
        <w:t>u</w:t>
      </w:r>
      <w:r w:rsidRPr="007223BC">
        <w:rPr>
          <w:sz w:val="22"/>
          <w:szCs w:val="22"/>
          <w:lang w:val="sr-Latn-RS"/>
        </w:rPr>
        <w:t xml:space="preserve"> kod pacijenata sa blagim </w:t>
      </w:r>
      <w:r w:rsidR="00666520">
        <w:rPr>
          <w:sz w:val="22"/>
          <w:szCs w:val="22"/>
          <w:lang w:val="sr-Latn-RS"/>
        </w:rPr>
        <w:t xml:space="preserve">ili umjerenim </w:t>
      </w:r>
      <w:r w:rsidRPr="007223BC">
        <w:rPr>
          <w:sz w:val="22"/>
          <w:szCs w:val="22"/>
          <w:lang w:val="sr-Latn-RS"/>
        </w:rPr>
        <w:t xml:space="preserve">oštećenjem </w:t>
      </w:r>
      <w:r w:rsidR="00666520">
        <w:rPr>
          <w:sz w:val="22"/>
          <w:szCs w:val="22"/>
          <w:lang w:val="sr-Latn-RS"/>
        </w:rPr>
        <w:t xml:space="preserve">funkcije </w:t>
      </w:r>
      <w:r w:rsidRPr="007223BC">
        <w:rPr>
          <w:sz w:val="22"/>
          <w:szCs w:val="22"/>
          <w:lang w:val="sr-Latn-RS"/>
        </w:rPr>
        <w:t>bubrega.</w:t>
      </w:r>
      <w:r w:rsidR="00666520">
        <w:rPr>
          <w:sz w:val="22"/>
          <w:szCs w:val="22"/>
          <w:lang w:val="sr-Latn-RS"/>
        </w:rPr>
        <w:t xml:space="preserve"> </w:t>
      </w:r>
      <w:r w:rsidR="00666520" w:rsidRPr="00287AA6">
        <w:rPr>
          <w:sz w:val="22"/>
          <w:szCs w:val="22"/>
          <w:lang w:val="sr-Latn-RS"/>
        </w:rPr>
        <w:t>Međutim, izloženost lamivudinu je značajno povećana kod pacijenata sa klirensom kreatinina &lt; 50 ml/min (vid</w:t>
      </w:r>
      <w:r w:rsidR="00C630F5">
        <w:rPr>
          <w:sz w:val="22"/>
          <w:szCs w:val="22"/>
          <w:lang w:val="sr-Latn-RS"/>
        </w:rPr>
        <w:t>j</w:t>
      </w:r>
      <w:r w:rsidR="00666520" w:rsidRPr="00287AA6">
        <w:rPr>
          <w:sz w:val="22"/>
          <w:szCs w:val="22"/>
          <w:lang w:val="sr-Latn-RS"/>
        </w:rPr>
        <w:t xml:space="preserve">eti </w:t>
      </w:r>
      <w:r w:rsidR="00C630F5">
        <w:rPr>
          <w:sz w:val="22"/>
          <w:szCs w:val="22"/>
          <w:lang w:val="sr-Latn-RS"/>
        </w:rPr>
        <w:t>di</w:t>
      </w:r>
      <w:r w:rsidR="00666520" w:rsidRPr="00287AA6">
        <w:rPr>
          <w:sz w:val="22"/>
          <w:szCs w:val="22"/>
          <w:lang w:val="sr-Latn-RS"/>
        </w:rPr>
        <w:t xml:space="preserve">o 4.4). </w:t>
      </w:r>
    </w:p>
    <w:p w14:paraId="50F5B1F0" w14:textId="7691F374" w:rsidR="00E94D4D" w:rsidRPr="007223BC" w:rsidRDefault="00E94D4D" w:rsidP="00805A14">
      <w:pPr>
        <w:suppressLineNumbers/>
        <w:autoSpaceDE w:val="0"/>
        <w:autoSpaceDN w:val="0"/>
        <w:adjustRightInd w:val="0"/>
        <w:jc w:val="both"/>
        <w:rPr>
          <w:bCs/>
          <w:sz w:val="22"/>
          <w:szCs w:val="22"/>
          <w:lang w:val="sr-Latn-RS"/>
        </w:rPr>
      </w:pPr>
    </w:p>
    <w:p w14:paraId="7CB83600" w14:textId="77777777" w:rsidR="00E94D4D" w:rsidRPr="007223BC" w:rsidRDefault="00E94D4D" w:rsidP="00805A14">
      <w:pPr>
        <w:suppressLineNumbers/>
        <w:autoSpaceDE w:val="0"/>
        <w:autoSpaceDN w:val="0"/>
        <w:adjustRightInd w:val="0"/>
        <w:jc w:val="both"/>
        <w:rPr>
          <w:i/>
          <w:noProof/>
          <w:sz w:val="22"/>
          <w:szCs w:val="22"/>
          <w:lang w:val="sr-Latn-RS"/>
        </w:rPr>
      </w:pPr>
    </w:p>
    <w:p w14:paraId="41FC9AD5" w14:textId="77777777" w:rsidR="00E94D4D" w:rsidRPr="007223BC" w:rsidRDefault="00E94D4D" w:rsidP="00805A14">
      <w:pPr>
        <w:suppressLineNumbers/>
        <w:autoSpaceDE w:val="0"/>
        <w:autoSpaceDN w:val="0"/>
        <w:adjustRightInd w:val="0"/>
        <w:jc w:val="both"/>
        <w:rPr>
          <w:bCs/>
          <w:i/>
          <w:noProof/>
          <w:sz w:val="22"/>
          <w:szCs w:val="22"/>
          <w:lang w:val="sr-Latn-RS"/>
        </w:rPr>
      </w:pPr>
      <w:r w:rsidRPr="007223BC">
        <w:rPr>
          <w:i/>
          <w:noProof/>
          <w:sz w:val="22"/>
          <w:szCs w:val="22"/>
          <w:lang w:val="sr-Latn-RS"/>
        </w:rPr>
        <w:t>Oštećenje funkcije jetre</w:t>
      </w:r>
    </w:p>
    <w:p w14:paraId="12CCA889" w14:textId="77777777" w:rsidR="00E94D4D" w:rsidRPr="007223BC" w:rsidRDefault="00E94D4D" w:rsidP="00805A14">
      <w:pPr>
        <w:suppressLineNumbers/>
        <w:autoSpaceDE w:val="0"/>
        <w:autoSpaceDN w:val="0"/>
        <w:adjustRightInd w:val="0"/>
        <w:jc w:val="both"/>
        <w:rPr>
          <w:bCs/>
          <w:noProof/>
          <w:sz w:val="22"/>
          <w:szCs w:val="22"/>
          <w:lang w:val="sr-Latn-RS"/>
        </w:rPr>
      </w:pPr>
      <w:r w:rsidRPr="007223BC">
        <w:rPr>
          <w:sz w:val="22"/>
          <w:szCs w:val="22"/>
          <w:lang w:val="sr-Latn-RS"/>
        </w:rPr>
        <w:t>Nije potrebno prilagođavanje doze kod pacijenata sa blagim ili umjerenim oštećenjem jetre</w:t>
      </w:r>
      <w:r w:rsidRPr="007223BC">
        <w:rPr>
          <w:noProof/>
          <w:sz w:val="22"/>
          <w:szCs w:val="22"/>
          <w:lang w:val="sr-Latn-RS"/>
        </w:rPr>
        <w:t xml:space="preserve"> (Child-Pugh skor A ili B). Nijesu dostupni podaci o pacijentima sa teškim oštećenjem funkcije jetre (Child-Pugh skor C); stoga lijek </w:t>
      </w:r>
      <w:r w:rsidR="00DE74DF" w:rsidRPr="007223BC">
        <w:rPr>
          <w:noProof/>
          <w:sz w:val="22"/>
          <w:szCs w:val="22"/>
          <w:lang w:val="sr-Latn-RS"/>
        </w:rPr>
        <w:t>DOVATO</w:t>
      </w:r>
      <w:r w:rsidRPr="007223BC">
        <w:rPr>
          <w:noProof/>
          <w:sz w:val="22"/>
          <w:szCs w:val="22"/>
          <w:lang w:val="sr-Latn-RS"/>
        </w:rPr>
        <w:t xml:space="preserve"> treba primjenjivati uz oprez kod navedenih pacijenata (vidjeti </w:t>
      </w:r>
      <w:r w:rsidR="00C24917" w:rsidRPr="007223BC">
        <w:rPr>
          <w:noProof/>
          <w:sz w:val="22"/>
          <w:szCs w:val="22"/>
          <w:lang w:val="sr-Latn-RS"/>
        </w:rPr>
        <w:t>dio</w:t>
      </w:r>
      <w:r w:rsidRPr="007223BC">
        <w:rPr>
          <w:noProof/>
          <w:sz w:val="22"/>
          <w:szCs w:val="22"/>
          <w:lang w:val="sr-Latn-RS"/>
        </w:rPr>
        <w:t xml:space="preserve"> 5.2).</w:t>
      </w:r>
    </w:p>
    <w:p w14:paraId="506A4A5D" w14:textId="77777777" w:rsidR="00E94D4D" w:rsidRPr="007223BC" w:rsidRDefault="00E94D4D" w:rsidP="00805A14">
      <w:pPr>
        <w:suppressLineNumbers/>
        <w:autoSpaceDE w:val="0"/>
        <w:autoSpaceDN w:val="0"/>
        <w:adjustRightInd w:val="0"/>
        <w:jc w:val="both"/>
        <w:rPr>
          <w:noProof/>
          <w:sz w:val="22"/>
          <w:szCs w:val="22"/>
          <w:lang w:val="sr-Latn-RS"/>
        </w:rPr>
      </w:pPr>
    </w:p>
    <w:p w14:paraId="18B3AD46" w14:textId="77777777" w:rsidR="00E94D4D" w:rsidRPr="007223BC" w:rsidRDefault="00E94D4D" w:rsidP="00805A14">
      <w:pPr>
        <w:tabs>
          <w:tab w:val="center" w:pos="4536"/>
          <w:tab w:val="right" w:pos="9072"/>
        </w:tabs>
        <w:jc w:val="both"/>
        <w:rPr>
          <w:i/>
          <w:sz w:val="22"/>
          <w:szCs w:val="22"/>
          <w:lang w:val="sr-Latn-RS"/>
        </w:rPr>
      </w:pPr>
      <w:r w:rsidRPr="007223BC">
        <w:rPr>
          <w:i/>
          <w:sz w:val="22"/>
          <w:szCs w:val="22"/>
          <w:lang w:val="sr-Latn-RS"/>
        </w:rPr>
        <w:t>Pedijatrijska populacija</w:t>
      </w:r>
    </w:p>
    <w:p w14:paraId="400B27F4" w14:textId="77777777" w:rsidR="00E94D4D" w:rsidRPr="007223BC" w:rsidRDefault="00E94D4D" w:rsidP="00805A14">
      <w:pPr>
        <w:suppressLineNumbers/>
        <w:autoSpaceDE w:val="0"/>
        <w:autoSpaceDN w:val="0"/>
        <w:adjustRightInd w:val="0"/>
        <w:jc w:val="both"/>
        <w:rPr>
          <w:bCs/>
          <w:noProof/>
          <w:sz w:val="22"/>
          <w:szCs w:val="22"/>
          <w:lang w:val="sr-Latn-RS"/>
        </w:rPr>
      </w:pPr>
      <w:r w:rsidRPr="007223BC">
        <w:rPr>
          <w:sz w:val="22"/>
          <w:szCs w:val="22"/>
          <w:lang w:val="sr-Latn-RS"/>
        </w:rPr>
        <w:t xml:space="preserve">Bezbjednost i efikasnost lijeka </w:t>
      </w:r>
      <w:r w:rsidR="00DE74DF" w:rsidRPr="007223BC">
        <w:rPr>
          <w:sz w:val="22"/>
          <w:szCs w:val="22"/>
          <w:lang w:val="sr-Latn-RS"/>
        </w:rPr>
        <w:t>DOVATO</w:t>
      </w:r>
      <w:r w:rsidRPr="007223BC">
        <w:rPr>
          <w:sz w:val="22"/>
          <w:szCs w:val="22"/>
          <w:lang w:val="sr-Latn-RS"/>
        </w:rPr>
        <w:t xml:space="preserve"> kod djece </w:t>
      </w:r>
      <w:r w:rsidR="00CF7C7C" w:rsidRPr="007223BC">
        <w:rPr>
          <w:sz w:val="22"/>
          <w:szCs w:val="22"/>
          <w:lang w:val="sr-Latn-RS"/>
        </w:rPr>
        <w:t xml:space="preserve">uzrasta </w:t>
      </w:r>
      <w:r w:rsidRPr="007223BC">
        <w:rPr>
          <w:sz w:val="22"/>
          <w:szCs w:val="22"/>
          <w:lang w:val="sr-Latn-RS"/>
        </w:rPr>
        <w:t>ispod 12 godina ili koja imaju manje od 40 kg tjelesne mase još uvijek nijesu ustanovljene. Nema dostupnih podataka.</w:t>
      </w:r>
    </w:p>
    <w:p w14:paraId="07088719" w14:textId="77777777" w:rsidR="00E94D4D" w:rsidRPr="007223BC" w:rsidRDefault="00E94D4D" w:rsidP="00805A14">
      <w:pPr>
        <w:tabs>
          <w:tab w:val="left" w:pos="540"/>
          <w:tab w:val="left" w:pos="569"/>
        </w:tabs>
        <w:jc w:val="both"/>
        <w:rPr>
          <w:bCs/>
          <w:sz w:val="22"/>
          <w:szCs w:val="22"/>
          <w:u w:val="single"/>
          <w:lang w:val="sr-Latn-RS"/>
        </w:rPr>
      </w:pPr>
    </w:p>
    <w:p w14:paraId="6D337A2F" w14:textId="77777777" w:rsidR="00C24917" w:rsidRPr="007223BC" w:rsidRDefault="00C24917" w:rsidP="00805A14">
      <w:pPr>
        <w:suppressLineNumbers/>
        <w:jc w:val="both"/>
        <w:rPr>
          <w:sz w:val="22"/>
          <w:szCs w:val="22"/>
          <w:u w:val="single"/>
          <w:lang w:val="sr-Latn-RS"/>
        </w:rPr>
      </w:pPr>
      <w:r w:rsidRPr="007223BC">
        <w:rPr>
          <w:sz w:val="22"/>
          <w:szCs w:val="22"/>
          <w:u w:val="single"/>
          <w:lang w:val="sr-Latn-RS"/>
        </w:rPr>
        <w:t>Način primjene</w:t>
      </w:r>
    </w:p>
    <w:p w14:paraId="6AE34E70" w14:textId="77777777" w:rsidR="00C24917" w:rsidRPr="007223BC" w:rsidRDefault="00C24917" w:rsidP="00805A14">
      <w:pPr>
        <w:suppressLineNumbers/>
        <w:autoSpaceDE w:val="0"/>
        <w:autoSpaceDN w:val="0"/>
        <w:adjustRightInd w:val="0"/>
        <w:jc w:val="both"/>
        <w:rPr>
          <w:noProof/>
          <w:sz w:val="22"/>
          <w:szCs w:val="22"/>
          <w:lang w:val="sr-Latn-RS"/>
        </w:rPr>
      </w:pPr>
    </w:p>
    <w:p w14:paraId="2D451826" w14:textId="77777777" w:rsidR="00C24917" w:rsidRPr="007223BC" w:rsidRDefault="00C24917" w:rsidP="00805A14">
      <w:pPr>
        <w:suppressLineNumbers/>
        <w:autoSpaceDE w:val="0"/>
        <w:autoSpaceDN w:val="0"/>
        <w:adjustRightInd w:val="0"/>
        <w:jc w:val="both"/>
        <w:rPr>
          <w:color w:val="000000"/>
          <w:sz w:val="22"/>
          <w:szCs w:val="22"/>
          <w:lang w:val="sr-Latn-RS"/>
        </w:rPr>
      </w:pPr>
      <w:r w:rsidRPr="007223BC">
        <w:rPr>
          <w:color w:val="000000"/>
          <w:sz w:val="22"/>
          <w:szCs w:val="22"/>
          <w:lang w:val="sr-Latn-RS"/>
        </w:rPr>
        <w:t>Oralna upotreba.</w:t>
      </w:r>
    </w:p>
    <w:p w14:paraId="4EBC2E37" w14:textId="77777777" w:rsidR="00C24917" w:rsidRPr="007223BC" w:rsidRDefault="00C24917" w:rsidP="00805A14">
      <w:pPr>
        <w:suppressLineNumbers/>
        <w:autoSpaceDE w:val="0"/>
        <w:autoSpaceDN w:val="0"/>
        <w:adjustRightInd w:val="0"/>
        <w:jc w:val="both"/>
        <w:rPr>
          <w:noProof/>
          <w:sz w:val="22"/>
          <w:szCs w:val="22"/>
          <w:lang w:val="sr-Latn-RS"/>
        </w:rPr>
      </w:pPr>
      <w:r w:rsidRPr="007223BC">
        <w:rPr>
          <w:color w:val="000000"/>
          <w:sz w:val="22"/>
          <w:szCs w:val="22"/>
          <w:lang w:val="sr-Latn-RS"/>
        </w:rPr>
        <w:t xml:space="preserve">Lijek </w:t>
      </w:r>
      <w:r w:rsidR="00DE74DF" w:rsidRPr="007223BC">
        <w:rPr>
          <w:color w:val="000000"/>
          <w:sz w:val="22"/>
          <w:szCs w:val="22"/>
          <w:lang w:val="sr-Latn-RS"/>
        </w:rPr>
        <w:t>DOVATO</w:t>
      </w:r>
      <w:r w:rsidRPr="007223BC">
        <w:rPr>
          <w:color w:val="000000"/>
          <w:sz w:val="22"/>
          <w:szCs w:val="22"/>
          <w:lang w:val="sr-Latn-RS"/>
        </w:rPr>
        <w:t xml:space="preserve"> može da se uzima sa hranom ili nezavisno od uzimanja hrane (vidjeti dio 5.2</w:t>
      </w:r>
      <w:r w:rsidRPr="007223BC">
        <w:rPr>
          <w:noProof/>
          <w:sz w:val="22"/>
          <w:szCs w:val="22"/>
          <w:lang w:val="sr-Latn-RS"/>
        </w:rPr>
        <w:t>).</w:t>
      </w:r>
    </w:p>
    <w:p w14:paraId="2445C79A" w14:textId="77777777" w:rsidR="00452E9D" w:rsidRPr="007223BC" w:rsidRDefault="00452E9D" w:rsidP="00805A14">
      <w:pPr>
        <w:tabs>
          <w:tab w:val="left" w:pos="540"/>
          <w:tab w:val="left" w:pos="569"/>
        </w:tabs>
        <w:jc w:val="both"/>
        <w:rPr>
          <w:bCs/>
          <w:sz w:val="22"/>
          <w:szCs w:val="22"/>
          <w:lang w:val="sr-Latn-RS"/>
        </w:rPr>
      </w:pPr>
    </w:p>
    <w:p w14:paraId="24072DB2" w14:textId="77777777" w:rsidR="00411B4B" w:rsidRPr="00287AA6" w:rsidRDefault="00411B4B" w:rsidP="00805A14">
      <w:pPr>
        <w:tabs>
          <w:tab w:val="left" w:pos="540"/>
          <w:tab w:val="left" w:pos="569"/>
        </w:tabs>
        <w:jc w:val="both"/>
        <w:rPr>
          <w:b/>
          <w:bCs/>
          <w:sz w:val="22"/>
          <w:szCs w:val="22"/>
          <w:lang w:val="sr-Latn-RS"/>
        </w:rPr>
      </w:pPr>
      <w:r w:rsidRPr="00287AA6">
        <w:rPr>
          <w:b/>
          <w:bCs/>
          <w:sz w:val="22"/>
          <w:szCs w:val="22"/>
          <w:lang w:val="sr-Latn-RS"/>
        </w:rPr>
        <w:t xml:space="preserve">4.3. </w:t>
      </w:r>
      <w:r w:rsidR="00480FB1" w:rsidRPr="00287AA6">
        <w:rPr>
          <w:b/>
          <w:bCs/>
          <w:sz w:val="22"/>
          <w:szCs w:val="22"/>
          <w:lang w:val="sr-Latn-RS"/>
        </w:rPr>
        <w:tab/>
      </w:r>
      <w:r w:rsidRPr="00287AA6">
        <w:rPr>
          <w:b/>
          <w:bCs/>
          <w:sz w:val="22"/>
          <w:szCs w:val="22"/>
          <w:lang w:val="sr-Latn-RS"/>
        </w:rPr>
        <w:t>Kontraindikacije</w:t>
      </w:r>
    </w:p>
    <w:p w14:paraId="4270DBD5" w14:textId="77777777" w:rsidR="00CF7C7C" w:rsidRPr="00287AA6" w:rsidRDefault="00CF7C7C" w:rsidP="00805A14">
      <w:pPr>
        <w:jc w:val="both"/>
        <w:rPr>
          <w:sz w:val="22"/>
          <w:szCs w:val="22"/>
          <w:lang w:val="sr-Latn-RS"/>
        </w:rPr>
      </w:pPr>
    </w:p>
    <w:p w14:paraId="7EAE4FDE" w14:textId="77777777" w:rsidR="006773B1" w:rsidRPr="00287AA6" w:rsidRDefault="006773B1" w:rsidP="00805A14">
      <w:pPr>
        <w:jc w:val="both"/>
        <w:rPr>
          <w:bCs/>
          <w:sz w:val="22"/>
          <w:szCs w:val="22"/>
          <w:lang w:val="sr-Latn-RS"/>
        </w:rPr>
      </w:pPr>
      <w:r w:rsidRPr="00287AA6">
        <w:rPr>
          <w:sz w:val="22"/>
          <w:szCs w:val="22"/>
          <w:lang w:val="sr-Latn-RS"/>
        </w:rPr>
        <w:t>Preosjetljivost na aktivne supstance ili na bilo koju od pomoćnih supstanci navedenih u dijelu 6.1.</w:t>
      </w:r>
    </w:p>
    <w:p w14:paraId="003B0185" w14:textId="77777777" w:rsidR="0013251C" w:rsidRPr="00287AA6" w:rsidRDefault="0013251C" w:rsidP="00805A14">
      <w:pPr>
        <w:jc w:val="both"/>
        <w:rPr>
          <w:sz w:val="22"/>
          <w:szCs w:val="22"/>
          <w:lang w:val="sr-Latn-RS"/>
        </w:rPr>
      </w:pPr>
    </w:p>
    <w:p w14:paraId="72B6072E" w14:textId="77777777" w:rsidR="003B6FCB" w:rsidRPr="00287AA6" w:rsidRDefault="003B6FCB" w:rsidP="00805A14">
      <w:pPr>
        <w:jc w:val="both"/>
        <w:rPr>
          <w:sz w:val="22"/>
          <w:szCs w:val="22"/>
          <w:lang w:val="sr-Latn-RS"/>
        </w:rPr>
      </w:pPr>
      <w:r w:rsidRPr="00287AA6">
        <w:rPr>
          <w:sz w:val="22"/>
          <w:szCs w:val="22"/>
          <w:lang w:val="sr-Latn-RS"/>
        </w:rPr>
        <w:t>Istovremena primjena sa ljekovima uske terapijske širine, koji su supstrati organskog katjonskog transportera (OCT) 2, uključujući</w:t>
      </w:r>
      <w:r w:rsidR="00CF7C7C" w:rsidRPr="00287AA6">
        <w:rPr>
          <w:sz w:val="22"/>
          <w:szCs w:val="22"/>
          <w:lang w:val="sr-Latn-RS"/>
        </w:rPr>
        <w:t>, ali ne ograničavajući se na</w:t>
      </w:r>
      <w:r w:rsidRPr="00287AA6">
        <w:rPr>
          <w:sz w:val="22"/>
          <w:szCs w:val="22"/>
          <w:lang w:val="sr-Latn-RS"/>
        </w:rPr>
        <w:t xml:space="preserve"> fampridin (takođe poznat kao dalfampridin; vidjeti dio 4.5)</w:t>
      </w:r>
      <w:r w:rsidR="00CF7C7C" w:rsidRPr="00287AA6">
        <w:rPr>
          <w:sz w:val="22"/>
          <w:szCs w:val="22"/>
          <w:lang w:val="sr-Latn-RS"/>
        </w:rPr>
        <w:t>.</w:t>
      </w:r>
    </w:p>
    <w:p w14:paraId="4C3E74EF" w14:textId="77777777" w:rsidR="0072020E" w:rsidRPr="00287AA6" w:rsidRDefault="0072020E" w:rsidP="00805A14">
      <w:pPr>
        <w:tabs>
          <w:tab w:val="left" w:pos="540"/>
          <w:tab w:val="left" w:pos="569"/>
        </w:tabs>
        <w:jc w:val="both"/>
        <w:rPr>
          <w:bCs/>
          <w:sz w:val="22"/>
          <w:szCs w:val="22"/>
          <w:lang w:val="sr-Latn-RS"/>
        </w:rPr>
      </w:pPr>
    </w:p>
    <w:p w14:paraId="1318DB67" w14:textId="77777777" w:rsidR="00411B4B" w:rsidRPr="00287AA6" w:rsidRDefault="00411B4B" w:rsidP="00805A14">
      <w:pPr>
        <w:tabs>
          <w:tab w:val="left" w:pos="540"/>
          <w:tab w:val="left" w:pos="569"/>
        </w:tabs>
        <w:jc w:val="both"/>
        <w:rPr>
          <w:b/>
          <w:bCs/>
          <w:sz w:val="22"/>
          <w:szCs w:val="22"/>
          <w:lang w:val="sr-Latn-RS"/>
        </w:rPr>
      </w:pPr>
      <w:r w:rsidRPr="00287AA6">
        <w:rPr>
          <w:b/>
          <w:bCs/>
          <w:sz w:val="22"/>
          <w:szCs w:val="22"/>
          <w:lang w:val="sr-Latn-RS"/>
        </w:rPr>
        <w:t xml:space="preserve">4.4. </w:t>
      </w:r>
      <w:r w:rsidR="00480FB1" w:rsidRPr="00287AA6">
        <w:rPr>
          <w:b/>
          <w:bCs/>
          <w:sz w:val="22"/>
          <w:szCs w:val="22"/>
          <w:lang w:val="sr-Latn-RS"/>
        </w:rPr>
        <w:tab/>
      </w:r>
      <w:r w:rsidRPr="00287AA6">
        <w:rPr>
          <w:b/>
          <w:bCs/>
          <w:sz w:val="22"/>
          <w:szCs w:val="22"/>
          <w:lang w:val="sr-Latn-RS"/>
        </w:rPr>
        <w:t>Posebna upozorenja i mjere opreza pri upotrebi lijeka</w:t>
      </w:r>
    </w:p>
    <w:p w14:paraId="3BA5CB72" w14:textId="77777777" w:rsidR="0072020E" w:rsidRPr="00287AA6" w:rsidRDefault="0072020E" w:rsidP="00805A14">
      <w:pPr>
        <w:tabs>
          <w:tab w:val="left" w:pos="540"/>
          <w:tab w:val="left" w:pos="569"/>
        </w:tabs>
        <w:jc w:val="both"/>
        <w:rPr>
          <w:bCs/>
          <w:sz w:val="22"/>
          <w:szCs w:val="22"/>
          <w:lang w:val="sr-Latn-RS"/>
        </w:rPr>
      </w:pPr>
    </w:p>
    <w:p w14:paraId="788C8E7B" w14:textId="5FFB3F2B" w:rsidR="00176F8E" w:rsidRPr="007223BC" w:rsidRDefault="00176F8E" w:rsidP="00805A14">
      <w:pPr>
        <w:tabs>
          <w:tab w:val="center" w:pos="4536"/>
          <w:tab w:val="right" w:pos="9072"/>
        </w:tabs>
        <w:jc w:val="both"/>
        <w:rPr>
          <w:bCs/>
          <w:sz w:val="22"/>
          <w:szCs w:val="22"/>
          <w:lang w:val="sr-Latn-RS"/>
        </w:rPr>
      </w:pPr>
    </w:p>
    <w:p w14:paraId="4342F11B" w14:textId="77777777" w:rsidR="00176F8E" w:rsidRPr="007223BC" w:rsidRDefault="00176F8E" w:rsidP="00805A14">
      <w:pPr>
        <w:tabs>
          <w:tab w:val="center" w:pos="4536"/>
          <w:tab w:val="right" w:pos="9072"/>
        </w:tabs>
        <w:jc w:val="both"/>
        <w:rPr>
          <w:bCs/>
          <w:sz w:val="22"/>
          <w:szCs w:val="22"/>
          <w:u w:val="single"/>
          <w:lang w:val="sr-Latn-RS"/>
        </w:rPr>
      </w:pPr>
      <w:r w:rsidRPr="007223BC">
        <w:rPr>
          <w:sz w:val="22"/>
          <w:szCs w:val="22"/>
          <w:u w:val="single"/>
          <w:lang w:val="sr-Latn-RS"/>
        </w:rPr>
        <w:t>Reakcije preosjetljivosti</w:t>
      </w:r>
    </w:p>
    <w:p w14:paraId="7A286C5A" w14:textId="77777777" w:rsidR="00176F8E" w:rsidRPr="007223BC" w:rsidRDefault="00176F8E" w:rsidP="00805A14">
      <w:pPr>
        <w:jc w:val="both"/>
        <w:rPr>
          <w:sz w:val="22"/>
          <w:szCs w:val="22"/>
          <w:u w:val="single"/>
          <w:lang w:val="sr-Latn-RS"/>
        </w:rPr>
      </w:pPr>
    </w:p>
    <w:p w14:paraId="7BD1A6D6" w14:textId="3A4D1C69" w:rsidR="00176F8E" w:rsidRPr="007223BC" w:rsidRDefault="00176F8E" w:rsidP="00805A14">
      <w:pPr>
        <w:tabs>
          <w:tab w:val="center" w:pos="4536"/>
          <w:tab w:val="right" w:pos="9072"/>
        </w:tabs>
        <w:jc w:val="both"/>
        <w:rPr>
          <w:sz w:val="22"/>
          <w:szCs w:val="22"/>
          <w:lang w:val="sr-Latn-RS"/>
        </w:rPr>
      </w:pPr>
      <w:r w:rsidRPr="007223BC">
        <w:rPr>
          <w:sz w:val="22"/>
          <w:szCs w:val="22"/>
          <w:lang w:val="sr-Latn-RS"/>
        </w:rPr>
        <w:t xml:space="preserve">Reakcije preosjetljivosti su prijavljene za dolutegravir, sa karakteristikama osipa, </w:t>
      </w:r>
      <w:r w:rsidR="00251A11">
        <w:rPr>
          <w:sz w:val="22"/>
          <w:szCs w:val="22"/>
          <w:lang w:val="sr-Latn-RS"/>
        </w:rPr>
        <w:t>sistemskim simptomima</w:t>
      </w:r>
      <w:r w:rsidRPr="007223BC">
        <w:rPr>
          <w:sz w:val="22"/>
          <w:szCs w:val="22"/>
          <w:lang w:val="sr-Latn-RS"/>
        </w:rPr>
        <w:t xml:space="preserve">, i ponekad, poremećajem funkcije organa, uključujući teške reakcije jetre. Potrebno je odmah prekinuti uzimanje lijeka </w:t>
      </w:r>
      <w:r w:rsidR="00DE74DF" w:rsidRPr="007223BC">
        <w:rPr>
          <w:sz w:val="22"/>
          <w:szCs w:val="22"/>
          <w:lang w:val="sr-Latn-RS"/>
        </w:rPr>
        <w:t>DOVATO</w:t>
      </w:r>
      <w:r w:rsidRPr="007223BC">
        <w:rPr>
          <w:sz w:val="22"/>
          <w:szCs w:val="22"/>
          <w:lang w:val="sr-Latn-RS"/>
        </w:rPr>
        <w:t xml:space="preserve"> i drugih ljekova za koje postoji sumnja da izazivaju reakcije preosjetljivosti u slučaju pojave znakova i simptoma razvoja reakcija preosjetljivosti (uključujući</w:t>
      </w:r>
      <w:r w:rsidR="00251A11">
        <w:rPr>
          <w:sz w:val="22"/>
          <w:szCs w:val="22"/>
          <w:lang w:val="sr-Latn-RS"/>
        </w:rPr>
        <w:t xml:space="preserve"> između ostalog</w:t>
      </w:r>
      <w:r w:rsidRPr="007223BC">
        <w:rPr>
          <w:sz w:val="22"/>
          <w:szCs w:val="22"/>
          <w:lang w:val="sr-Latn-RS"/>
        </w:rPr>
        <w:t xml:space="preserve">, težak osip ili osip udružen sa povećanim </w:t>
      </w:r>
      <w:r w:rsidR="00251A11">
        <w:rPr>
          <w:sz w:val="22"/>
          <w:szCs w:val="22"/>
          <w:lang w:val="sr-Latn-RS"/>
        </w:rPr>
        <w:t xml:space="preserve">vrijednostima </w:t>
      </w:r>
      <w:r w:rsidRPr="007223BC">
        <w:rPr>
          <w:sz w:val="22"/>
          <w:szCs w:val="22"/>
          <w:lang w:val="sr-Latn-RS"/>
        </w:rPr>
        <w:t xml:space="preserve">enzima jetre, povišenom temperaturom, opštom malaksalošću, zamorom, bolom u mišićima i zglobovima, plikovima, oralnim lezijama, konjunktivitisom, facijalnim edemom, eozinofilijom, angioedemom). Potrebno je pratiti klinički status, uključujući aminotransferaze jetre i bilirubin. Odlaganje prekida liječenja lijekom </w:t>
      </w:r>
      <w:r w:rsidR="00DE74DF" w:rsidRPr="007223BC">
        <w:rPr>
          <w:sz w:val="22"/>
          <w:szCs w:val="22"/>
          <w:lang w:val="sr-Latn-RS"/>
        </w:rPr>
        <w:t>DOVATO</w:t>
      </w:r>
      <w:r w:rsidRPr="007223BC">
        <w:rPr>
          <w:sz w:val="22"/>
          <w:szCs w:val="22"/>
          <w:lang w:val="sr-Latn-RS"/>
        </w:rPr>
        <w:t xml:space="preserve"> ili drugi</w:t>
      </w:r>
      <w:r w:rsidR="00623F25">
        <w:rPr>
          <w:sz w:val="22"/>
          <w:szCs w:val="22"/>
          <w:lang w:val="sr-Latn-RS"/>
        </w:rPr>
        <w:t>m</w:t>
      </w:r>
      <w:r w:rsidRPr="007223BC">
        <w:rPr>
          <w:sz w:val="22"/>
          <w:szCs w:val="22"/>
          <w:lang w:val="sr-Latn-RS"/>
        </w:rPr>
        <w:t xml:space="preserve"> su</w:t>
      </w:r>
      <w:r w:rsidR="00623F25">
        <w:rPr>
          <w:sz w:val="22"/>
          <w:szCs w:val="22"/>
          <w:lang w:val="sr-Latn-RS"/>
        </w:rPr>
        <w:t>spektnim</w:t>
      </w:r>
      <w:r w:rsidRPr="007223BC">
        <w:rPr>
          <w:sz w:val="22"/>
          <w:szCs w:val="22"/>
          <w:lang w:val="sr-Latn-RS"/>
        </w:rPr>
        <w:t xml:space="preserve"> aktivni</w:t>
      </w:r>
      <w:r w:rsidR="00623F25">
        <w:rPr>
          <w:sz w:val="22"/>
          <w:szCs w:val="22"/>
          <w:lang w:val="sr-Latn-RS"/>
        </w:rPr>
        <w:t>m</w:t>
      </w:r>
      <w:r w:rsidRPr="007223BC">
        <w:rPr>
          <w:sz w:val="22"/>
          <w:szCs w:val="22"/>
          <w:lang w:val="sr-Latn-RS"/>
        </w:rPr>
        <w:t xml:space="preserve"> supstanc</w:t>
      </w:r>
      <w:r w:rsidR="00623F25">
        <w:rPr>
          <w:sz w:val="22"/>
          <w:szCs w:val="22"/>
          <w:lang w:val="sr-Latn-RS"/>
        </w:rPr>
        <w:t>ama</w:t>
      </w:r>
      <w:r w:rsidRPr="007223BC">
        <w:rPr>
          <w:sz w:val="22"/>
          <w:szCs w:val="22"/>
          <w:lang w:val="sr-Latn-RS"/>
        </w:rPr>
        <w:t xml:space="preserve"> nakon po</w:t>
      </w:r>
      <w:r w:rsidR="00623F25">
        <w:rPr>
          <w:sz w:val="22"/>
          <w:szCs w:val="22"/>
          <w:lang w:val="sr-Latn-RS"/>
        </w:rPr>
        <w:t>jave</w:t>
      </w:r>
      <w:r w:rsidRPr="007223BC">
        <w:rPr>
          <w:sz w:val="22"/>
          <w:szCs w:val="22"/>
          <w:lang w:val="sr-Latn-RS"/>
        </w:rPr>
        <w:t xml:space="preserve"> preosjetljivosti može rezultirati alergijskom reakcijom opasnom po život.</w:t>
      </w:r>
    </w:p>
    <w:p w14:paraId="34FA608C" w14:textId="77777777" w:rsidR="00176F8E" w:rsidRPr="007223BC" w:rsidRDefault="00176F8E" w:rsidP="00805A14">
      <w:pPr>
        <w:tabs>
          <w:tab w:val="center" w:pos="4536"/>
          <w:tab w:val="right" w:pos="9072"/>
        </w:tabs>
        <w:jc w:val="both"/>
        <w:rPr>
          <w:sz w:val="22"/>
          <w:szCs w:val="22"/>
          <w:lang w:val="sr-Latn-RS"/>
        </w:rPr>
      </w:pPr>
    </w:p>
    <w:p w14:paraId="045697A1" w14:textId="77777777" w:rsidR="00E14EE3" w:rsidRPr="007223BC" w:rsidRDefault="00E14EE3" w:rsidP="00805A14">
      <w:pPr>
        <w:jc w:val="both"/>
        <w:rPr>
          <w:sz w:val="22"/>
          <w:szCs w:val="22"/>
          <w:u w:val="single"/>
          <w:lang w:val="sr-Latn-RS"/>
        </w:rPr>
      </w:pPr>
    </w:p>
    <w:p w14:paraId="0903BAE2" w14:textId="77777777" w:rsidR="00E14EE3" w:rsidRPr="007223BC" w:rsidRDefault="00E14EE3" w:rsidP="00805A14">
      <w:pPr>
        <w:jc w:val="both"/>
        <w:rPr>
          <w:sz w:val="22"/>
          <w:szCs w:val="22"/>
          <w:u w:val="single"/>
          <w:lang w:val="sr-Latn-RS"/>
        </w:rPr>
      </w:pPr>
    </w:p>
    <w:p w14:paraId="618EEF08" w14:textId="77777777" w:rsidR="00D74A9B" w:rsidRDefault="00D74A9B" w:rsidP="00805A14">
      <w:pPr>
        <w:jc w:val="both"/>
        <w:rPr>
          <w:sz w:val="22"/>
          <w:szCs w:val="22"/>
          <w:u w:val="single"/>
          <w:lang w:val="sr-Latn-RS"/>
        </w:rPr>
      </w:pPr>
    </w:p>
    <w:p w14:paraId="593DB9F6" w14:textId="77777777" w:rsidR="00D74A9B" w:rsidRDefault="00D74A9B" w:rsidP="00805A14">
      <w:pPr>
        <w:jc w:val="both"/>
        <w:rPr>
          <w:sz w:val="22"/>
          <w:szCs w:val="22"/>
          <w:u w:val="single"/>
          <w:lang w:val="sr-Latn-RS"/>
        </w:rPr>
      </w:pPr>
    </w:p>
    <w:p w14:paraId="7EA1DBD4" w14:textId="77777777" w:rsidR="00D74A9B" w:rsidRDefault="00D74A9B" w:rsidP="00805A14">
      <w:pPr>
        <w:jc w:val="both"/>
        <w:rPr>
          <w:sz w:val="22"/>
          <w:szCs w:val="22"/>
          <w:u w:val="single"/>
          <w:lang w:val="sr-Latn-RS"/>
        </w:rPr>
      </w:pPr>
    </w:p>
    <w:p w14:paraId="6F2516D6" w14:textId="509EFECD" w:rsidR="00176F8E" w:rsidRPr="007223BC" w:rsidRDefault="00176F8E" w:rsidP="00805A14">
      <w:pPr>
        <w:jc w:val="both"/>
        <w:rPr>
          <w:sz w:val="22"/>
          <w:szCs w:val="22"/>
          <w:u w:val="single"/>
          <w:lang w:val="sr-Latn-RS"/>
        </w:rPr>
      </w:pPr>
      <w:r w:rsidRPr="007223BC">
        <w:rPr>
          <w:sz w:val="22"/>
          <w:szCs w:val="22"/>
          <w:u w:val="single"/>
          <w:lang w:val="sr-Latn-RS"/>
        </w:rPr>
        <w:lastRenderedPageBreak/>
        <w:t>Tjelesna masa i metabolički parametri</w:t>
      </w:r>
    </w:p>
    <w:p w14:paraId="7CEA0C6B" w14:textId="77777777" w:rsidR="00176F8E" w:rsidRPr="007223BC" w:rsidRDefault="00176F8E" w:rsidP="00805A14">
      <w:pPr>
        <w:jc w:val="both"/>
        <w:rPr>
          <w:sz w:val="22"/>
          <w:szCs w:val="22"/>
          <w:u w:val="single"/>
          <w:lang w:val="sr-Latn-RS"/>
        </w:rPr>
      </w:pPr>
    </w:p>
    <w:p w14:paraId="39EB6EAA" w14:textId="24BCF4D7" w:rsidR="00176F8E" w:rsidRPr="007223BC" w:rsidRDefault="00176F8E" w:rsidP="00805A14">
      <w:pPr>
        <w:jc w:val="both"/>
        <w:rPr>
          <w:sz w:val="22"/>
          <w:szCs w:val="22"/>
          <w:lang w:val="sr-Latn-RS"/>
        </w:rPr>
      </w:pPr>
      <w:r w:rsidRPr="007223BC">
        <w:rPr>
          <w:sz w:val="22"/>
          <w:szCs w:val="22"/>
          <w:lang w:val="sr-Latn-RS"/>
        </w:rPr>
        <w:t xml:space="preserve">Povećanje tjelesne mase i nivoa lipida i glukoze u krvi moguće je tokom antiretrovirusne terapije. Ove promjene mogu biti djelimično povezane sa kontrolom bolesti i stilom života. </w:t>
      </w:r>
      <w:r w:rsidR="00623F25">
        <w:rPr>
          <w:sz w:val="22"/>
          <w:szCs w:val="22"/>
          <w:lang w:val="sr-Latn-RS"/>
        </w:rPr>
        <w:t>U</w:t>
      </w:r>
      <w:r w:rsidRPr="007223BC">
        <w:rPr>
          <w:sz w:val="22"/>
          <w:szCs w:val="22"/>
          <w:lang w:val="sr-Latn-RS"/>
        </w:rPr>
        <w:t xml:space="preserve"> nekim slučajevima postoji dokaz o efektu liječenja</w:t>
      </w:r>
      <w:r w:rsidR="00623F25" w:rsidRPr="00623F25">
        <w:rPr>
          <w:sz w:val="22"/>
          <w:szCs w:val="22"/>
          <w:lang w:val="sr-Latn-RS"/>
        </w:rPr>
        <w:t xml:space="preserve"> </w:t>
      </w:r>
      <w:r w:rsidR="00623F25">
        <w:rPr>
          <w:sz w:val="22"/>
          <w:szCs w:val="22"/>
          <w:lang w:val="sr-Latn-RS"/>
        </w:rPr>
        <w:t>n</w:t>
      </w:r>
      <w:r w:rsidR="00623F25" w:rsidRPr="007223BC">
        <w:rPr>
          <w:sz w:val="22"/>
          <w:szCs w:val="22"/>
          <w:lang w:val="sr-Latn-RS"/>
        </w:rPr>
        <w:t>a</w:t>
      </w:r>
      <w:r w:rsidR="00623F25">
        <w:rPr>
          <w:sz w:val="22"/>
          <w:szCs w:val="22"/>
          <w:lang w:val="sr-Latn-RS"/>
        </w:rPr>
        <w:t xml:space="preserve"> vrijednosti</w:t>
      </w:r>
      <w:r w:rsidR="00623F25" w:rsidRPr="007223BC">
        <w:rPr>
          <w:sz w:val="22"/>
          <w:szCs w:val="22"/>
          <w:lang w:val="sr-Latn-RS"/>
        </w:rPr>
        <w:t xml:space="preserve"> lipid</w:t>
      </w:r>
      <w:r w:rsidR="00623F25">
        <w:rPr>
          <w:sz w:val="22"/>
          <w:szCs w:val="22"/>
          <w:lang w:val="sr-Latn-RS"/>
        </w:rPr>
        <w:t>a</w:t>
      </w:r>
      <w:r w:rsidR="00623F25" w:rsidRPr="007223BC">
        <w:rPr>
          <w:sz w:val="22"/>
          <w:szCs w:val="22"/>
          <w:lang w:val="sr-Latn-RS"/>
        </w:rPr>
        <w:t xml:space="preserve"> </w:t>
      </w:r>
      <w:r w:rsidR="00623F25">
        <w:rPr>
          <w:sz w:val="22"/>
          <w:szCs w:val="22"/>
          <w:lang w:val="sr-Latn-RS"/>
        </w:rPr>
        <w:t>i tjelesnu masu</w:t>
      </w:r>
      <w:r w:rsidRPr="007223BC">
        <w:rPr>
          <w:sz w:val="22"/>
          <w:szCs w:val="22"/>
          <w:lang w:val="sr-Latn-RS"/>
        </w:rPr>
        <w:t xml:space="preserve">. Za praćenje </w:t>
      </w:r>
      <w:r w:rsidR="00623F25">
        <w:rPr>
          <w:sz w:val="22"/>
          <w:szCs w:val="22"/>
          <w:lang w:val="sr-Latn-RS"/>
        </w:rPr>
        <w:t xml:space="preserve">vrijednosti </w:t>
      </w:r>
      <w:r w:rsidRPr="007223BC">
        <w:rPr>
          <w:sz w:val="22"/>
          <w:szCs w:val="22"/>
          <w:lang w:val="sr-Latn-RS"/>
        </w:rPr>
        <w:t xml:space="preserve">lipida i glukoze u krvi date su preporuke u prihvaćenim smjernicama za liječenje HIV-a. Za </w:t>
      </w:r>
      <w:r w:rsidRPr="007223BC">
        <w:rPr>
          <w:rStyle w:val="highlight"/>
          <w:sz w:val="22"/>
          <w:szCs w:val="22"/>
          <w:lang w:val="sr-Latn-RS"/>
        </w:rPr>
        <w:t>poremećaje</w:t>
      </w:r>
      <w:r w:rsidR="00623F25">
        <w:rPr>
          <w:rStyle w:val="highlight"/>
          <w:sz w:val="22"/>
          <w:szCs w:val="22"/>
          <w:lang w:val="sr-Latn-RS"/>
        </w:rPr>
        <w:t xml:space="preserve"> vrijednosti</w:t>
      </w:r>
      <w:r w:rsidRPr="007223BC">
        <w:rPr>
          <w:sz w:val="22"/>
          <w:szCs w:val="22"/>
          <w:lang w:val="sr-Latn-RS"/>
        </w:rPr>
        <w:t xml:space="preserve"> lipida potrebno je odgovarajuće kliničko liječenje. </w:t>
      </w:r>
    </w:p>
    <w:p w14:paraId="18014B19" w14:textId="77777777" w:rsidR="00176F8E" w:rsidRPr="007223BC" w:rsidRDefault="00176F8E" w:rsidP="00805A14">
      <w:pPr>
        <w:jc w:val="both"/>
        <w:rPr>
          <w:sz w:val="22"/>
          <w:szCs w:val="22"/>
          <w:u w:val="single"/>
          <w:lang w:val="sr-Latn-RS"/>
        </w:rPr>
      </w:pPr>
    </w:p>
    <w:p w14:paraId="04AAC1AC" w14:textId="77777777" w:rsidR="00176F8E" w:rsidRPr="007223BC" w:rsidRDefault="00176F8E" w:rsidP="00805A14">
      <w:pPr>
        <w:jc w:val="both"/>
        <w:rPr>
          <w:snapToGrid w:val="0"/>
          <w:sz w:val="22"/>
          <w:szCs w:val="22"/>
          <w:u w:val="single"/>
          <w:lang w:val="sr-Latn-RS"/>
        </w:rPr>
      </w:pPr>
      <w:r w:rsidRPr="007223BC">
        <w:rPr>
          <w:snapToGrid w:val="0"/>
          <w:sz w:val="22"/>
          <w:szCs w:val="22"/>
          <w:u w:val="single"/>
          <w:lang w:val="sr-Latn-RS"/>
        </w:rPr>
        <w:t>Bolesti jetre</w:t>
      </w:r>
    </w:p>
    <w:p w14:paraId="25D490D1" w14:textId="77777777" w:rsidR="00176F8E" w:rsidRPr="007223BC" w:rsidRDefault="00176F8E" w:rsidP="00805A14">
      <w:pPr>
        <w:jc w:val="both"/>
        <w:rPr>
          <w:snapToGrid w:val="0"/>
          <w:sz w:val="22"/>
          <w:szCs w:val="22"/>
          <w:u w:val="single"/>
          <w:lang w:val="sr-Latn-RS"/>
        </w:rPr>
      </w:pPr>
    </w:p>
    <w:p w14:paraId="66C477A4" w14:textId="77777777" w:rsidR="00176F8E" w:rsidRPr="007223BC" w:rsidRDefault="00176F8E" w:rsidP="00805A14">
      <w:pPr>
        <w:jc w:val="both"/>
        <w:rPr>
          <w:sz w:val="22"/>
          <w:szCs w:val="22"/>
          <w:lang w:val="sr-Latn-RS"/>
        </w:rPr>
      </w:pPr>
      <w:r w:rsidRPr="007223BC">
        <w:rPr>
          <w:sz w:val="22"/>
          <w:szCs w:val="22"/>
          <w:lang w:val="sr-Latn-RS"/>
        </w:rPr>
        <w:t xml:space="preserve">Pacijenti sa hroničnim hepatitisom B ili C, koji se liječe kombinovanom antiretrovirusnom terapijom, izloženi su povećanom riziku od teških neželjenih dejstava na jetru koja mogu imati </w:t>
      </w:r>
      <w:r w:rsidR="008749A6" w:rsidRPr="007223BC">
        <w:rPr>
          <w:sz w:val="22"/>
          <w:szCs w:val="22"/>
          <w:lang w:val="sr-Latn-RS"/>
        </w:rPr>
        <w:t xml:space="preserve">smrtni </w:t>
      </w:r>
      <w:r w:rsidRPr="007223BC">
        <w:rPr>
          <w:sz w:val="22"/>
          <w:szCs w:val="22"/>
          <w:lang w:val="sr-Latn-RS"/>
        </w:rPr>
        <w:t xml:space="preserve">ishod. U slučaju istovremene antivirusne terapije za hepatitis </w:t>
      </w:r>
      <w:r w:rsidRPr="007223BC">
        <w:rPr>
          <w:rStyle w:val="highlight"/>
          <w:sz w:val="22"/>
          <w:szCs w:val="22"/>
          <w:lang w:val="sr-Latn-RS"/>
        </w:rPr>
        <w:t>B ili C</w:t>
      </w:r>
      <w:r w:rsidRPr="007223BC">
        <w:rPr>
          <w:sz w:val="22"/>
          <w:szCs w:val="22"/>
          <w:lang w:val="sr-Latn-RS"/>
        </w:rPr>
        <w:t>, molimo da pažljivo pročitate relevantne informacije o lijeku za navedene ljekove.</w:t>
      </w:r>
    </w:p>
    <w:p w14:paraId="1A2EC6FE" w14:textId="77777777" w:rsidR="00176F8E" w:rsidRPr="007223BC" w:rsidRDefault="00176F8E" w:rsidP="00805A14">
      <w:pPr>
        <w:jc w:val="both"/>
        <w:rPr>
          <w:sz w:val="22"/>
          <w:szCs w:val="22"/>
          <w:lang w:val="sr-Latn-RS"/>
        </w:rPr>
      </w:pPr>
    </w:p>
    <w:p w14:paraId="0F94ADC8" w14:textId="0F1A3C26" w:rsidR="00176F8E" w:rsidRPr="007223BC" w:rsidRDefault="00176F8E" w:rsidP="00805A14">
      <w:pPr>
        <w:jc w:val="both"/>
        <w:rPr>
          <w:sz w:val="22"/>
          <w:szCs w:val="22"/>
          <w:lang w:val="sr-Latn-RS"/>
        </w:rPr>
      </w:pPr>
      <w:r w:rsidRPr="007223BC">
        <w:rPr>
          <w:sz w:val="22"/>
          <w:szCs w:val="22"/>
          <w:lang w:val="sr-Latn-RS"/>
        </w:rPr>
        <w:t xml:space="preserve">Lijek </w:t>
      </w:r>
      <w:r w:rsidR="00DE74DF" w:rsidRPr="007223BC">
        <w:rPr>
          <w:sz w:val="22"/>
          <w:szCs w:val="22"/>
          <w:lang w:val="sr-Latn-RS"/>
        </w:rPr>
        <w:t>DOVATO</w:t>
      </w:r>
      <w:r w:rsidRPr="007223BC">
        <w:rPr>
          <w:sz w:val="22"/>
          <w:szCs w:val="22"/>
          <w:lang w:val="sr-Latn-RS"/>
        </w:rPr>
        <w:t xml:space="preserve"> sadrži lamivudin, koji djeluje protiv hepatitisa B. Dolutegravir nema takvo de</w:t>
      </w:r>
      <w:r w:rsidR="00623F25">
        <w:rPr>
          <w:sz w:val="22"/>
          <w:szCs w:val="22"/>
          <w:lang w:val="sr-Latn-RS"/>
        </w:rPr>
        <w:t>jstvo</w:t>
      </w:r>
      <w:r w:rsidRPr="007223BC">
        <w:rPr>
          <w:sz w:val="22"/>
          <w:szCs w:val="22"/>
          <w:lang w:val="sr-Latn-RS"/>
        </w:rPr>
        <w:t xml:space="preserve">. Zbog visokog rizika od razvoja rezistencije virusa hepatitisa B na liječenje, monoterapija lamivudinom obično se ne smatra prikladnim liječenjem za hepatitis B. Stoga, ako se </w:t>
      </w:r>
      <w:r w:rsidR="00623F25">
        <w:rPr>
          <w:sz w:val="22"/>
          <w:szCs w:val="22"/>
          <w:lang w:val="sr-Latn-RS"/>
        </w:rPr>
        <w:t xml:space="preserve">lijek </w:t>
      </w:r>
      <w:r w:rsidR="00DE74DF" w:rsidRPr="007223BC">
        <w:rPr>
          <w:sz w:val="22"/>
          <w:szCs w:val="22"/>
          <w:lang w:val="sr-Latn-RS"/>
        </w:rPr>
        <w:t>DOVATO</w:t>
      </w:r>
      <w:r w:rsidRPr="007223BC">
        <w:rPr>
          <w:sz w:val="22"/>
          <w:szCs w:val="22"/>
          <w:lang w:val="sr-Latn-RS"/>
        </w:rPr>
        <w:t xml:space="preserve"> primjenjuje kod pacijenata koji su u isto vrijeme zaraženi virusom hepatitisa B, u načelu je potrebno uvesti dodatni antivirusni lijek. Treba slijediti smjernice za liječenje.</w:t>
      </w:r>
    </w:p>
    <w:p w14:paraId="55DB8B46" w14:textId="77777777" w:rsidR="00176F8E" w:rsidRPr="007223BC" w:rsidRDefault="00176F8E" w:rsidP="00805A14">
      <w:pPr>
        <w:jc w:val="both"/>
        <w:rPr>
          <w:sz w:val="22"/>
          <w:szCs w:val="22"/>
          <w:lang w:val="sr-Latn-RS"/>
        </w:rPr>
      </w:pPr>
    </w:p>
    <w:p w14:paraId="627AF06B" w14:textId="77FDE97E" w:rsidR="00176F8E" w:rsidRPr="007223BC" w:rsidRDefault="00176F8E" w:rsidP="00805A14">
      <w:pPr>
        <w:jc w:val="both"/>
        <w:rPr>
          <w:sz w:val="22"/>
          <w:szCs w:val="22"/>
          <w:lang w:val="sr-Latn-RS"/>
        </w:rPr>
      </w:pPr>
      <w:r w:rsidRPr="007223BC">
        <w:rPr>
          <w:sz w:val="22"/>
          <w:szCs w:val="22"/>
          <w:lang w:val="sr-Latn-RS"/>
        </w:rPr>
        <w:t xml:space="preserve">Ako se kod pacijenata koji su u isto vrijeme zaraženi virusom hepatitisa B prekine liječenje lijekom </w:t>
      </w:r>
      <w:r w:rsidR="00DE74DF" w:rsidRPr="007223BC">
        <w:rPr>
          <w:sz w:val="22"/>
          <w:szCs w:val="22"/>
          <w:lang w:val="sr-Latn-RS"/>
        </w:rPr>
        <w:t>DOVATO</w:t>
      </w:r>
      <w:r w:rsidRPr="007223BC">
        <w:rPr>
          <w:sz w:val="22"/>
          <w:szCs w:val="22"/>
          <w:lang w:val="sr-Latn-RS"/>
        </w:rPr>
        <w:t xml:space="preserve">, preporučuje se periodično praćenje nalaza testova funkcije jetre i markera </w:t>
      </w:r>
      <w:r w:rsidR="00623F25">
        <w:rPr>
          <w:sz w:val="22"/>
          <w:szCs w:val="22"/>
          <w:lang w:val="sr-Latn-RS"/>
        </w:rPr>
        <w:t xml:space="preserve"> replikacije </w:t>
      </w:r>
      <w:r w:rsidRPr="007223BC">
        <w:rPr>
          <w:sz w:val="22"/>
          <w:szCs w:val="22"/>
          <w:lang w:val="sr-Latn-RS"/>
        </w:rPr>
        <w:t>HBV-a, jer prekid primjene lamivudina može da dovede do akutne egzacerbacije hepatitisa.</w:t>
      </w:r>
    </w:p>
    <w:p w14:paraId="2166199B" w14:textId="77777777" w:rsidR="00176F8E" w:rsidRPr="007223BC" w:rsidRDefault="00176F8E" w:rsidP="00805A14">
      <w:pPr>
        <w:jc w:val="both"/>
        <w:rPr>
          <w:sz w:val="22"/>
          <w:szCs w:val="22"/>
          <w:lang w:val="sr-Latn-RS"/>
        </w:rPr>
      </w:pPr>
    </w:p>
    <w:p w14:paraId="64F115E4" w14:textId="77777777" w:rsidR="00176F8E" w:rsidRPr="007223BC" w:rsidRDefault="00176F8E" w:rsidP="00805A14">
      <w:pPr>
        <w:jc w:val="both"/>
        <w:rPr>
          <w:sz w:val="22"/>
          <w:szCs w:val="22"/>
          <w:lang w:val="sr-Latn-RS"/>
        </w:rPr>
      </w:pPr>
      <w:r w:rsidRPr="007223BC">
        <w:rPr>
          <w:sz w:val="22"/>
          <w:szCs w:val="22"/>
          <w:lang w:val="sr-Latn-RS"/>
        </w:rPr>
        <w:t>Budući da je kod pacijenata sa već postojećom disfunkcijom jetre, uključujući hronični aktivni hepatitis, zabilježena povećana učestalost poremećaja funkcije jetre tokom kombinovane antiretrovirusne terapije, te pacijente treba nadzirati u skladu sa standardnom praksom. Ukoliko se kod tih pacijenata pojave znakovi pogoršanja bolesti jetre, mora se razmotriti privremeni ili trajni prekid liječenja.</w:t>
      </w:r>
    </w:p>
    <w:p w14:paraId="0FE1A9B7" w14:textId="77777777" w:rsidR="00176F8E" w:rsidRPr="007223BC" w:rsidRDefault="00176F8E" w:rsidP="00805A14">
      <w:pPr>
        <w:jc w:val="both"/>
        <w:rPr>
          <w:sz w:val="22"/>
          <w:szCs w:val="22"/>
          <w:lang w:val="sr-Latn-RS"/>
        </w:rPr>
      </w:pPr>
    </w:p>
    <w:p w14:paraId="5F389BCF" w14:textId="77777777" w:rsidR="00176F8E" w:rsidRPr="007223BC" w:rsidRDefault="00176F8E" w:rsidP="00805A14">
      <w:pPr>
        <w:jc w:val="both"/>
        <w:rPr>
          <w:sz w:val="22"/>
          <w:szCs w:val="22"/>
          <w:u w:val="single"/>
          <w:lang w:val="sr-Latn-RS"/>
        </w:rPr>
      </w:pPr>
      <w:r w:rsidRPr="007223BC">
        <w:rPr>
          <w:sz w:val="22"/>
          <w:szCs w:val="22"/>
          <w:u w:val="single"/>
          <w:lang w:val="sr-Latn-RS"/>
        </w:rPr>
        <w:t xml:space="preserve">Sindrom imunološke reaktivacije </w:t>
      </w:r>
    </w:p>
    <w:p w14:paraId="19BE353C" w14:textId="77777777" w:rsidR="00176F8E" w:rsidRPr="007223BC" w:rsidRDefault="00176F8E" w:rsidP="00805A14">
      <w:pPr>
        <w:jc w:val="both"/>
        <w:rPr>
          <w:sz w:val="22"/>
          <w:szCs w:val="22"/>
          <w:u w:val="single"/>
          <w:lang w:val="sr-Latn-RS"/>
        </w:rPr>
      </w:pPr>
    </w:p>
    <w:p w14:paraId="310CFAE4" w14:textId="77777777" w:rsidR="00176F8E" w:rsidRPr="007223BC" w:rsidRDefault="00176F8E" w:rsidP="00805A14">
      <w:pPr>
        <w:jc w:val="both"/>
        <w:rPr>
          <w:sz w:val="22"/>
          <w:szCs w:val="22"/>
          <w:lang w:val="sr-Latn-RS"/>
        </w:rPr>
      </w:pPr>
      <w:r w:rsidRPr="007223BC">
        <w:rPr>
          <w:sz w:val="22"/>
          <w:szCs w:val="22"/>
          <w:lang w:val="sr-Latn-RS"/>
        </w:rPr>
        <w:t xml:space="preserve">Kod pacijenata sa HIV infekcijom i teškom imunodeficijencijom u trenutku uvođenja kombinovane antiretrovirusne terapije (CART) može da se razvije upalna reakcija na asimptomatske ili rezidualne oportunističke patogene i </w:t>
      </w:r>
      <w:r w:rsidR="0002341C" w:rsidRPr="007223BC">
        <w:rPr>
          <w:sz w:val="22"/>
          <w:szCs w:val="22"/>
          <w:lang w:val="sr-Latn-RS"/>
        </w:rPr>
        <w:t xml:space="preserve">da se </w:t>
      </w:r>
      <w:r w:rsidRPr="007223BC">
        <w:rPr>
          <w:sz w:val="22"/>
          <w:szCs w:val="22"/>
          <w:lang w:val="sr-Latn-RS"/>
        </w:rPr>
        <w:t xml:space="preserve">uzrokuju ozbiljna klinička stanja ili pogoršanje simptoma. Takve su se reakcije obično javljale unutar prvih nekoliko nedjelja ili mjeseci nakon uvođenja kombinovane antiretrovirusne terapije. Relevantni primjeri su citomegalovirusni retinitis, generalizovane i/ili fokalne mikobakterijske infekcije i pneumonija čiji je uzročnik </w:t>
      </w:r>
      <w:r w:rsidRPr="007223BC">
        <w:rPr>
          <w:i/>
          <w:iCs/>
          <w:sz w:val="22"/>
          <w:szCs w:val="22"/>
          <w:lang w:val="sr-Latn-RS"/>
        </w:rPr>
        <w:t>Pneumocystis jirovecii</w:t>
      </w:r>
      <w:r w:rsidRPr="007223BC">
        <w:rPr>
          <w:sz w:val="22"/>
          <w:szCs w:val="22"/>
          <w:lang w:val="sr-Latn-RS"/>
        </w:rPr>
        <w:t xml:space="preserve"> (koja se često naziva PCP). Svaki upalni simptom potrebno je procijeniti i po potrebi započeti liječenje. U uslovima imunološke reaktivacije prijavljeni su i autoimuni poremećaji (poput </w:t>
      </w:r>
      <w:r w:rsidRPr="007223BC">
        <w:rPr>
          <w:i/>
          <w:sz w:val="22"/>
          <w:szCs w:val="22"/>
          <w:lang w:val="sr-Latn-RS"/>
        </w:rPr>
        <w:t>Graves</w:t>
      </w:r>
      <w:r w:rsidR="0002341C" w:rsidRPr="007223BC">
        <w:rPr>
          <w:sz w:val="22"/>
          <w:szCs w:val="22"/>
          <w:lang w:val="sr-Latn-RS"/>
        </w:rPr>
        <w:t>-</w:t>
      </w:r>
      <w:r w:rsidRPr="007223BC">
        <w:rPr>
          <w:sz w:val="22"/>
          <w:szCs w:val="22"/>
          <w:lang w:val="sr-Latn-RS"/>
        </w:rPr>
        <w:t>ove bolesti i autoimunog hepatitisa); međutim, prijavljeno vrijeme do pojave je različito, pa se navedeni događaji mogu javiti i mjesecima nakon uvođenja liječenja.</w:t>
      </w:r>
    </w:p>
    <w:p w14:paraId="5A01CA3A" w14:textId="77777777" w:rsidR="00176F8E" w:rsidRPr="007223BC" w:rsidRDefault="00176F8E" w:rsidP="00805A14">
      <w:pPr>
        <w:jc w:val="both"/>
        <w:rPr>
          <w:sz w:val="22"/>
          <w:szCs w:val="22"/>
          <w:lang w:val="sr-Latn-RS"/>
        </w:rPr>
      </w:pPr>
    </w:p>
    <w:p w14:paraId="11B80544" w14:textId="77777777" w:rsidR="00176F8E" w:rsidRPr="007223BC" w:rsidRDefault="00176F8E" w:rsidP="00805A14">
      <w:pPr>
        <w:jc w:val="both"/>
        <w:rPr>
          <w:sz w:val="22"/>
          <w:szCs w:val="22"/>
          <w:lang w:val="sr-Latn-RS"/>
        </w:rPr>
      </w:pPr>
      <w:r w:rsidRPr="007223BC">
        <w:rPr>
          <w:sz w:val="22"/>
          <w:szCs w:val="22"/>
          <w:lang w:val="sr-Latn-RS"/>
        </w:rPr>
        <w:t>Kod nekih pacijenata sa istovremenom infekcijom virusom hepatitisa B i/ili C su na početku liječenja dolutegravirom primijećena povišenja vrijednosti biohemijskih parametara funkcije jetre koja odgovaraju sindromu imunološke rekonstitucije. Kod pacijenata s istovremenom infekcijom virusom hepatitisa B i/ili C preporučuje se praćenje biohemijskih parametara funkcije jetre (vidjeti dio ‘Bolesti jetre’ naveden ranije u ovom dijelu, kao i dio 4.8)</w:t>
      </w:r>
      <w:r w:rsidR="0002341C" w:rsidRPr="007223BC">
        <w:rPr>
          <w:sz w:val="22"/>
          <w:szCs w:val="22"/>
          <w:lang w:val="sr-Latn-RS"/>
        </w:rPr>
        <w:t>.</w:t>
      </w:r>
    </w:p>
    <w:p w14:paraId="5BAEAE49" w14:textId="77777777" w:rsidR="00176F8E" w:rsidRPr="007223BC" w:rsidRDefault="00176F8E" w:rsidP="00805A14">
      <w:pPr>
        <w:jc w:val="both"/>
        <w:rPr>
          <w:sz w:val="22"/>
          <w:szCs w:val="22"/>
          <w:lang w:val="sr-Latn-RS"/>
        </w:rPr>
      </w:pPr>
    </w:p>
    <w:p w14:paraId="57610348" w14:textId="77777777" w:rsidR="00176F8E" w:rsidRPr="007223BC" w:rsidRDefault="00176F8E" w:rsidP="00805A14">
      <w:pPr>
        <w:jc w:val="both"/>
        <w:rPr>
          <w:sz w:val="22"/>
          <w:szCs w:val="22"/>
          <w:u w:val="single"/>
          <w:lang w:val="sr-Latn-RS" w:eastAsia="sr-Latn-RS"/>
        </w:rPr>
      </w:pPr>
      <w:r w:rsidRPr="007223BC">
        <w:rPr>
          <w:sz w:val="22"/>
          <w:szCs w:val="22"/>
          <w:u w:val="single"/>
          <w:lang w:val="sr-Latn-RS" w:eastAsia="sr-Latn-RS"/>
        </w:rPr>
        <w:t xml:space="preserve">Disfunkcija mitohondrija nakon izloženosti </w:t>
      </w:r>
      <w:r w:rsidRPr="007223BC">
        <w:rPr>
          <w:i/>
          <w:iCs/>
          <w:sz w:val="22"/>
          <w:szCs w:val="22"/>
          <w:u w:val="single"/>
          <w:lang w:val="sr-Latn-RS" w:eastAsia="sr-Latn-RS"/>
        </w:rPr>
        <w:t>in utero</w:t>
      </w:r>
      <w:r w:rsidRPr="007223BC">
        <w:rPr>
          <w:sz w:val="22"/>
          <w:szCs w:val="22"/>
          <w:u w:val="single"/>
          <w:lang w:val="sr-Latn-RS" w:eastAsia="sr-Latn-RS"/>
        </w:rPr>
        <w:t xml:space="preserve"> </w:t>
      </w:r>
    </w:p>
    <w:p w14:paraId="3FC7B60D" w14:textId="087E45A1" w:rsidR="00176F8E" w:rsidRPr="007223BC" w:rsidRDefault="00176F8E" w:rsidP="00805A14">
      <w:pPr>
        <w:spacing w:before="100" w:beforeAutospacing="1" w:after="100" w:afterAutospacing="1"/>
        <w:jc w:val="both"/>
        <w:rPr>
          <w:sz w:val="22"/>
          <w:szCs w:val="22"/>
          <w:lang w:val="sr-Latn-RS" w:eastAsia="sr-Latn-RS"/>
        </w:rPr>
      </w:pPr>
      <w:r w:rsidRPr="007223BC">
        <w:rPr>
          <w:sz w:val="22"/>
          <w:szCs w:val="22"/>
          <w:lang w:val="sr-Latn-RS" w:eastAsia="sr-Latn-RS"/>
        </w:rPr>
        <w:t xml:space="preserve">Nukleozidni i nukleotidni analozi mogu u različitoj mjeri da utiču na mitohondrijsku funkciju, a taj uticaj je najizraženiji kod primjene stavudina, didanozina i zidovudina. Prijavljeni su slučajevi disfunkcije mitohondrija kod HIV </w:t>
      </w:r>
      <w:r w:rsidR="006421AA" w:rsidRPr="007223BC">
        <w:rPr>
          <w:sz w:val="22"/>
          <w:szCs w:val="22"/>
          <w:lang w:val="sr-Latn-RS" w:eastAsia="sr-Latn-RS"/>
        </w:rPr>
        <w:t xml:space="preserve">negativne </w:t>
      </w:r>
      <w:r w:rsidRPr="007223BC">
        <w:rPr>
          <w:sz w:val="22"/>
          <w:szCs w:val="22"/>
          <w:lang w:val="sr-Latn-RS" w:eastAsia="sr-Latn-RS"/>
        </w:rPr>
        <w:t xml:space="preserve">odojčadi koja su izložena </w:t>
      </w:r>
      <w:r w:rsidRPr="007223BC">
        <w:rPr>
          <w:i/>
          <w:iCs/>
          <w:sz w:val="22"/>
          <w:szCs w:val="22"/>
          <w:lang w:val="sr-Latn-RS" w:eastAsia="sr-Latn-RS"/>
        </w:rPr>
        <w:t>in utero</w:t>
      </w:r>
      <w:r w:rsidRPr="007223BC">
        <w:rPr>
          <w:sz w:val="22"/>
          <w:szCs w:val="22"/>
          <w:lang w:val="sr-Latn-RS" w:eastAsia="sr-Latn-RS"/>
        </w:rPr>
        <w:t xml:space="preserve"> i/ili su nakon rođenja bila izložena nukleozidnim analozima, a prvenstveno se radilo o terapijskim režimima koji su uključivali zidovudin. Glavne prijavljene neželjene reakcije bile su hematološki poremećaji (anemija, neutropenija) i metabolički poremećaji (hiperlaktatemija, hiperlipazemija). Navedene neželjene reakcije su često bile </w:t>
      </w:r>
      <w:r w:rsidRPr="007223BC">
        <w:rPr>
          <w:sz w:val="22"/>
          <w:szCs w:val="22"/>
          <w:lang w:val="sr-Latn-RS" w:eastAsia="sr-Latn-RS"/>
        </w:rPr>
        <w:lastRenderedPageBreak/>
        <w:t>prolazne. Rijetko su prijavljeni neurološki poremećaji sa kasnim nastupom (hipertonija, konvulzije, neuobičajeno ponašanje). Trenutno nije poznato da li su navedeni neurološki poremećaji prolazni ili trajni. Navedene nalaze treba uzeti u obzir kod svakog djeteta koje je bilo izloženo nukleozidnim i nukleotidnim analozima</w:t>
      </w:r>
      <w:r w:rsidRPr="007223BC">
        <w:rPr>
          <w:sz w:val="22"/>
          <w:szCs w:val="22"/>
          <w:lang w:val="sr-Latn-RS"/>
        </w:rPr>
        <w:t xml:space="preserve"> </w:t>
      </w:r>
      <w:r w:rsidRPr="007223BC">
        <w:rPr>
          <w:i/>
          <w:sz w:val="22"/>
          <w:szCs w:val="22"/>
          <w:lang w:val="sr-Latn-RS"/>
        </w:rPr>
        <w:t>in utero</w:t>
      </w:r>
      <w:r w:rsidRPr="007223BC">
        <w:rPr>
          <w:sz w:val="22"/>
          <w:szCs w:val="22"/>
          <w:lang w:val="sr-Latn-RS"/>
        </w:rPr>
        <w:t>, a koje ima tešku kliničku sliku nepoznate etiologije, naročito ako se radi o neurološkim stanjima. Navedeni nalazi ne utiču na trenutno važeće nacionalne preporuke za primjenu antiretrovirusne terapije kod trudnica radi spr</w:t>
      </w:r>
      <w:r w:rsidR="00623F25">
        <w:rPr>
          <w:sz w:val="22"/>
          <w:szCs w:val="22"/>
          <w:lang w:val="sr-Latn-RS"/>
        </w:rPr>
        <w:t>j</w:t>
      </w:r>
      <w:r w:rsidRPr="007223BC">
        <w:rPr>
          <w:sz w:val="22"/>
          <w:szCs w:val="22"/>
          <w:lang w:val="sr-Latn-RS"/>
        </w:rPr>
        <w:t xml:space="preserve">ečavanja vertikalnog prenosa HIV-a.  </w:t>
      </w:r>
    </w:p>
    <w:p w14:paraId="6B9FE2D7" w14:textId="77777777" w:rsidR="00176F8E" w:rsidRPr="007223BC" w:rsidRDefault="00176F8E" w:rsidP="00805A14">
      <w:pPr>
        <w:jc w:val="both"/>
        <w:rPr>
          <w:noProof/>
          <w:sz w:val="22"/>
          <w:szCs w:val="22"/>
          <w:u w:val="single"/>
          <w:lang w:val="sr-Latn-RS"/>
        </w:rPr>
      </w:pPr>
      <w:r w:rsidRPr="007223BC">
        <w:rPr>
          <w:noProof/>
          <w:sz w:val="22"/>
          <w:szCs w:val="22"/>
          <w:u w:val="single"/>
          <w:lang w:val="sr-Latn-RS"/>
        </w:rPr>
        <w:t>Osteonekroza</w:t>
      </w:r>
    </w:p>
    <w:p w14:paraId="6FCE554D" w14:textId="77777777" w:rsidR="00176F8E" w:rsidRPr="007223BC" w:rsidRDefault="00176F8E" w:rsidP="00805A14">
      <w:pPr>
        <w:jc w:val="both"/>
        <w:rPr>
          <w:noProof/>
          <w:sz w:val="22"/>
          <w:szCs w:val="22"/>
          <w:u w:val="single"/>
          <w:lang w:val="sr-Latn-RS"/>
        </w:rPr>
      </w:pPr>
    </w:p>
    <w:p w14:paraId="59AB6D46" w14:textId="77777777" w:rsidR="00176F8E" w:rsidRPr="007223BC" w:rsidRDefault="00176F8E" w:rsidP="00805A14">
      <w:pPr>
        <w:jc w:val="both"/>
        <w:rPr>
          <w:sz w:val="22"/>
          <w:szCs w:val="22"/>
          <w:lang w:val="sr-Latn-RS"/>
        </w:rPr>
      </w:pPr>
      <w:r w:rsidRPr="007223BC">
        <w:rPr>
          <w:sz w:val="22"/>
          <w:szCs w:val="22"/>
          <w:lang w:val="sr-Latn-RS"/>
        </w:rPr>
        <w:t xml:space="preserve">Iako se smatra da je etiologija višeuzročna (uključujući primjenu kortikosteroida, bifosfonate, konzumiranje alkohola, </w:t>
      </w:r>
      <w:r w:rsidR="00367447" w:rsidRPr="007223BC">
        <w:rPr>
          <w:sz w:val="22"/>
          <w:szCs w:val="22"/>
          <w:lang w:val="sr-Latn-RS"/>
        </w:rPr>
        <w:t xml:space="preserve">tešku </w:t>
      </w:r>
      <w:r w:rsidRPr="007223BC">
        <w:rPr>
          <w:sz w:val="22"/>
          <w:szCs w:val="22"/>
          <w:lang w:val="sr-Latn-RS"/>
        </w:rPr>
        <w:t xml:space="preserve">imunosupresiju, viši indeks tjelesne mase), slučajevi osteonekroze prijavljeni su kod pacijenata sa </w:t>
      </w:r>
      <w:r w:rsidR="00367447" w:rsidRPr="007223BC">
        <w:rPr>
          <w:sz w:val="22"/>
          <w:szCs w:val="22"/>
          <w:lang w:val="sr-Latn-RS"/>
        </w:rPr>
        <w:t xml:space="preserve">uznapredovalom </w:t>
      </w:r>
      <w:r w:rsidRPr="007223BC">
        <w:rPr>
          <w:sz w:val="22"/>
          <w:szCs w:val="22"/>
          <w:lang w:val="sr-Latn-RS"/>
        </w:rPr>
        <w:t>HIV bolešću i/ili pacijenata dugotrajno izloženih kombinovanoj antiretrovirusnoj terapiji. Pacijente treba uputiti da potraže ljekarsku pomoć ako osjete bolove i probadanja u zglobovima, ukočenost zglobova ili teškoće pri kretnjama.</w:t>
      </w:r>
    </w:p>
    <w:p w14:paraId="208BEB7A" w14:textId="77777777" w:rsidR="00176F8E" w:rsidRPr="007223BC" w:rsidRDefault="00176F8E" w:rsidP="00805A14">
      <w:pPr>
        <w:jc w:val="both"/>
        <w:rPr>
          <w:sz w:val="22"/>
          <w:szCs w:val="22"/>
          <w:lang w:val="sr-Latn-RS"/>
        </w:rPr>
      </w:pPr>
    </w:p>
    <w:p w14:paraId="32D56104" w14:textId="77777777" w:rsidR="00176F8E" w:rsidRPr="007223BC" w:rsidRDefault="00176F8E" w:rsidP="00805A14">
      <w:pPr>
        <w:jc w:val="both"/>
        <w:rPr>
          <w:sz w:val="22"/>
          <w:szCs w:val="22"/>
          <w:u w:val="single"/>
          <w:lang w:val="sr-Latn-RS"/>
        </w:rPr>
      </w:pPr>
      <w:r w:rsidRPr="007223BC">
        <w:rPr>
          <w:sz w:val="22"/>
          <w:szCs w:val="22"/>
          <w:u w:val="single"/>
          <w:lang w:val="sr-Latn-RS"/>
        </w:rPr>
        <w:t>Oportunističke infekcije</w:t>
      </w:r>
    </w:p>
    <w:p w14:paraId="22782D67" w14:textId="6C5126CA" w:rsidR="00E36351" w:rsidRDefault="00176F8E" w:rsidP="00805A14">
      <w:pPr>
        <w:spacing w:before="100" w:beforeAutospacing="1" w:after="100" w:afterAutospacing="1"/>
        <w:jc w:val="both"/>
        <w:rPr>
          <w:sz w:val="22"/>
          <w:szCs w:val="22"/>
          <w:lang w:val="sr-Latn-RS" w:eastAsia="sr-Latn-RS"/>
        </w:rPr>
      </w:pPr>
      <w:r w:rsidRPr="007223BC">
        <w:rPr>
          <w:sz w:val="22"/>
          <w:szCs w:val="22"/>
          <w:lang w:val="sr-Latn-RS" w:eastAsia="sr-Latn-RS"/>
        </w:rPr>
        <w:t>Pacijente treba upozoriti da liječenje dolutegravirom, lamivudinom ili bilo kojim drugim antiretrovirusnim lijekom ne može izliječiti HIV infekciju, zbog čega se i dalje mogu javljati oportunističke infekcije i druge komplikacije povezane sa HIV infekcijom. Stoga pacijenti moraju biti pod strogim kliničkim nadzorom ljekara sa iskustvom u liječenju tih bolesti povezanih sa HIV infekcijom.</w:t>
      </w:r>
    </w:p>
    <w:p w14:paraId="1DAC03FA" w14:textId="473FBCC3" w:rsidR="00E36351" w:rsidRPr="00287AA6" w:rsidRDefault="00E36351" w:rsidP="00805A14">
      <w:pPr>
        <w:jc w:val="both"/>
        <w:rPr>
          <w:sz w:val="22"/>
          <w:szCs w:val="22"/>
          <w:u w:val="single"/>
          <w:lang w:val="sr-Latn-RS"/>
        </w:rPr>
      </w:pPr>
      <w:r w:rsidRPr="00287AA6">
        <w:rPr>
          <w:sz w:val="22"/>
          <w:szCs w:val="22"/>
          <w:u w:val="single"/>
          <w:lang w:val="sr-Latn-RS"/>
        </w:rPr>
        <w:t>Primjena kod pacijenata sa umjerenim oštećenjem bubrežne funkcije</w:t>
      </w:r>
    </w:p>
    <w:p w14:paraId="6B21433F" w14:textId="77777777" w:rsidR="00E36351" w:rsidRPr="00287AA6" w:rsidRDefault="00E36351" w:rsidP="00805A14">
      <w:pPr>
        <w:jc w:val="both"/>
        <w:rPr>
          <w:sz w:val="22"/>
          <w:szCs w:val="22"/>
          <w:lang w:val="sr-Latn-RS"/>
        </w:rPr>
      </w:pPr>
    </w:p>
    <w:p w14:paraId="6A732713" w14:textId="23C841D2" w:rsidR="00E36351" w:rsidRPr="00287AA6" w:rsidRDefault="00E36351" w:rsidP="00805A14">
      <w:pPr>
        <w:jc w:val="both"/>
        <w:rPr>
          <w:sz w:val="22"/>
          <w:szCs w:val="22"/>
          <w:lang w:val="sr-Latn-RS"/>
        </w:rPr>
      </w:pPr>
      <w:r w:rsidRPr="00287AA6">
        <w:rPr>
          <w:sz w:val="22"/>
          <w:szCs w:val="22"/>
          <w:lang w:val="sr-Latn-RS"/>
        </w:rPr>
        <w:t xml:space="preserve">Kod pacijenata sa klirensom kreatinina između 30 i 49 ml/min koji primenjuju lijek Dovato izloženost lamivudinu (AUC) može biti od 1,6 do 3,3 puta veća nego kod pacijenata kod kojih je klirens kreatinina ≥50 ml/min. Nema bezbjednosnih podataka iz randomizovanih, kontrolisanih studija u kojima se primjena lijeka Dovato poredi sa primjenom pojedinačnih komponenti kod pacijenata kod kojih je klirens kreatinina između 30 i 49 ml/min, koji su primjenjivali prilagođenu dozu lamivudina. U inicijalnim ispitivanjima lamivudina u svrhu registracije u kombinaciji sa zidovudinom, veća izloženost lamivudinu je povezivana sa većim stopama hematološke toksičnosti (neutropenija i anemija), iako se prekid učestvovanja u ispitivanju zbog neutropenije ili anemije </w:t>
      </w:r>
      <w:r w:rsidR="00B9662D">
        <w:rPr>
          <w:sz w:val="22"/>
          <w:szCs w:val="22"/>
          <w:lang w:val="sr-Latn-RS"/>
        </w:rPr>
        <w:t>zabilježen kod</w:t>
      </w:r>
      <w:r w:rsidRPr="00287AA6">
        <w:rPr>
          <w:sz w:val="22"/>
          <w:szCs w:val="22"/>
          <w:lang w:val="sr-Latn-RS"/>
        </w:rPr>
        <w:t xml:space="preserve"> &lt;1% ispitanika. Mogu se javiti i drugi neželjeni događaji povezani sa upotrebom lamivudina (kao što su gastro-intestinalni poremećaji i poremećaji funkcije jetre).</w:t>
      </w:r>
    </w:p>
    <w:p w14:paraId="672A0A1E" w14:textId="2DB5CC81" w:rsidR="00E36351" w:rsidRPr="00287AA6" w:rsidRDefault="00E36351" w:rsidP="00805A14">
      <w:pPr>
        <w:jc w:val="both"/>
        <w:rPr>
          <w:sz w:val="22"/>
          <w:szCs w:val="22"/>
          <w:lang w:val="sr-Latn-RS"/>
        </w:rPr>
      </w:pPr>
      <w:r w:rsidRPr="00287AA6">
        <w:rPr>
          <w:sz w:val="22"/>
          <w:szCs w:val="22"/>
          <w:lang w:val="sr-Latn-RS"/>
        </w:rPr>
        <w:t>Pacijente sa stalnim klirensom kreatinina između 30 i 49 ml/min koji primjenjuju lijek Dovato treba pratiti zbog pojave neželjenih događaja povezanih sa prim</w:t>
      </w:r>
      <w:r w:rsidR="0087193B">
        <w:rPr>
          <w:sz w:val="22"/>
          <w:szCs w:val="22"/>
          <w:lang w:val="sr-Latn-RS"/>
        </w:rPr>
        <w:t>j</w:t>
      </w:r>
      <w:r w:rsidRPr="00287AA6">
        <w:rPr>
          <w:sz w:val="22"/>
          <w:szCs w:val="22"/>
          <w:lang w:val="sr-Latn-RS"/>
        </w:rPr>
        <w:t>enom lamivudina, posebno zbog mogućnosti pojave hematološke toksičnosti. Ako se razvije nova ili se pogorša postojeća neutropenija ili anemija, dozu lamivudina treba prilagoditi kako je navedeno u informacijama o lijeku za lamivudin, a što se ne može postići lijekom Dovato. Terapiju lijekom Dovato treba prekinuti, a pojedinačne komponente primijeniti za uspostavljanje režima liječenja.</w:t>
      </w:r>
    </w:p>
    <w:p w14:paraId="1E7BFE4A" w14:textId="77777777" w:rsidR="0094234F" w:rsidRPr="00287AA6" w:rsidRDefault="0094234F" w:rsidP="00805A14">
      <w:pPr>
        <w:jc w:val="both"/>
        <w:rPr>
          <w:lang w:val="sr-Latn-RS"/>
        </w:rPr>
      </w:pPr>
    </w:p>
    <w:p w14:paraId="3E69C7F9" w14:textId="77777777" w:rsidR="00176F8E" w:rsidRPr="007223BC" w:rsidRDefault="00176F8E" w:rsidP="00805A14">
      <w:pPr>
        <w:jc w:val="both"/>
        <w:rPr>
          <w:sz w:val="22"/>
          <w:szCs w:val="22"/>
          <w:u w:val="single"/>
          <w:lang w:val="sr-Latn-RS" w:eastAsia="sr-Latn-RS"/>
        </w:rPr>
      </w:pPr>
      <w:r w:rsidRPr="007223BC">
        <w:rPr>
          <w:sz w:val="22"/>
          <w:szCs w:val="22"/>
          <w:u w:val="single"/>
          <w:lang w:val="sr-Latn-RS" w:eastAsia="sr-Latn-RS"/>
        </w:rPr>
        <w:t xml:space="preserve">Interakcije s drugim ljekovima </w:t>
      </w:r>
    </w:p>
    <w:p w14:paraId="7B296269" w14:textId="5E40BB63" w:rsidR="00176F8E" w:rsidRPr="007223BC" w:rsidRDefault="00176F8E" w:rsidP="00413968">
      <w:pPr>
        <w:spacing w:before="100" w:beforeAutospacing="1" w:after="100" w:afterAutospacing="1"/>
        <w:rPr>
          <w:sz w:val="22"/>
          <w:szCs w:val="22"/>
          <w:lang w:val="sr-Latn-RS" w:eastAsia="sr-Latn-RS"/>
        </w:rPr>
      </w:pPr>
      <w:r w:rsidRPr="007223BC">
        <w:rPr>
          <w:sz w:val="22"/>
          <w:szCs w:val="22"/>
          <w:lang w:val="sr-Latn-RS" w:eastAsia="sr-Latn-RS"/>
        </w:rPr>
        <w:t>Preporučena doza dolutegravira je 50 mg dva</w:t>
      </w:r>
      <w:r w:rsidR="00B9662D">
        <w:rPr>
          <w:sz w:val="22"/>
          <w:szCs w:val="22"/>
          <w:lang w:val="sr-Latn-RS" w:eastAsia="sr-Latn-RS"/>
        </w:rPr>
        <w:t xml:space="preserve"> </w:t>
      </w:r>
      <w:r w:rsidRPr="007223BC">
        <w:rPr>
          <w:sz w:val="22"/>
          <w:szCs w:val="22"/>
          <w:lang w:val="sr-Latn-RS" w:eastAsia="sr-Latn-RS"/>
        </w:rPr>
        <w:t>put</w:t>
      </w:r>
      <w:r w:rsidR="00B9662D">
        <w:rPr>
          <w:sz w:val="22"/>
          <w:szCs w:val="22"/>
          <w:lang w:val="sr-Latn-RS" w:eastAsia="sr-Latn-RS"/>
        </w:rPr>
        <w:t>a</w:t>
      </w:r>
      <w:r w:rsidRPr="007223BC">
        <w:rPr>
          <w:sz w:val="22"/>
          <w:szCs w:val="22"/>
          <w:lang w:val="sr-Latn-RS" w:eastAsia="sr-Latn-RS"/>
        </w:rPr>
        <w:t xml:space="preserve"> na dan</w:t>
      </w:r>
      <w:r w:rsidR="00761A07" w:rsidRPr="007223BC">
        <w:rPr>
          <w:sz w:val="22"/>
          <w:szCs w:val="22"/>
          <w:lang w:val="sr-Latn-RS" w:eastAsia="sr-Latn-RS"/>
        </w:rPr>
        <w:t>,</w:t>
      </w:r>
      <w:r w:rsidRPr="007223BC">
        <w:rPr>
          <w:sz w:val="22"/>
          <w:szCs w:val="22"/>
          <w:lang w:val="sr-Latn-RS" w:eastAsia="sr-Latn-RS"/>
        </w:rPr>
        <w:t xml:space="preserve"> kada se primjenjuje istovremeno sa rifampicinom, karbamazepinom, okskarbazepinom, fenitoinom, fenobarbitalom, kantarionom, etravirinom (bez pojačivača inhibitora proteaze), efavirencom, nevirapinom ili tipranavirom/ritonavirom (vidjeti dio 4.5)</w:t>
      </w:r>
    </w:p>
    <w:p w14:paraId="7DB156DE" w14:textId="77777777" w:rsidR="00176F8E" w:rsidRPr="007223BC" w:rsidRDefault="00176F8E" w:rsidP="00805A14">
      <w:pPr>
        <w:spacing w:before="100" w:beforeAutospacing="1" w:after="100" w:afterAutospacing="1"/>
        <w:jc w:val="both"/>
        <w:rPr>
          <w:sz w:val="22"/>
          <w:szCs w:val="22"/>
          <w:lang w:val="sr-Latn-RS" w:eastAsia="sr-Latn-RS"/>
        </w:rPr>
      </w:pPr>
      <w:r w:rsidRPr="007223BC">
        <w:rPr>
          <w:sz w:val="22"/>
          <w:szCs w:val="22"/>
          <w:lang w:val="sr-Latn-RS" w:eastAsia="sr-Latn-RS"/>
        </w:rPr>
        <w:t xml:space="preserve">Lijek </w:t>
      </w:r>
      <w:r w:rsidR="00DE74DF" w:rsidRPr="007223BC">
        <w:rPr>
          <w:sz w:val="22"/>
          <w:szCs w:val="22"/>
          <w:lang w:val="sr-Latn-RS" w:eastAsia="sr-Latn-RS"/>
        </w:rPr>
        <w:t>DOVATO</w:t>
      </w:r>
      <w:r w:rsidRPr="007223BC">
        <w:rPr>
          <w:sz w:val="22"/>
          <w:szCs w:val="22"/>
          <w:lang w:val="sr-Latn-RS" w:eastAsia="sr-Latn-RS"/>
        </w:rPr>
        <w:t xml:space="preserve"> ne smije da se primjenjuje istovremeno sa antacidima koji sadrže polivalentne katjone. Preporučuje se da se antacidi koji sadrže polivalentne katjone uzimaju 2 sata nakon ili 6 sati prije lijeka </w:t>
      </w:r>
      <w:r w:rsidR="00DE74DF" w:rsidRPr="007223BC">
        <w:rPr>
          <w:sz w:val="22"/>
          <w:szCs w:val="22"/>
          <w:lang w:val="sr-Latn-RS" w:eastAsia="sr-Latn-RS"/>
        </w:rPr>
        <w:t>DOVATO</w:t>
      </w:r>
      <w:r w:rsidRPr="007223BC">
        <w:rPr>
          <w:sz w:val="22"/>
          <w:szCs w:val="22"/>
          <w:lang w:val="sr-Latn-RS" w:eastAsia="sr-Latn-RS"/>
        </w:rPr>
        <w:t xml:space="preserve"> (vidjeti dio 4.5).</w:t>
      </w:r>
    </w:p>
    <w:p w14:paraId="175E8540" w14:textId="77777777" w:rsidR="00176F8E" w:rsidRPr="007223BC" w:rsidRDefault="00176F8E" w:rsidP="00805A14">
      <w:pPr>
        <w:spacing w:before="100" w:beforeAutospacing="1" w:after="100" w:afterAutospacing="1"/>
        <w:jc w:val="both"/>
        <w:rPr>
          <w:sz w:val="22"/>
          <w:szCs w:val="22"/>
          <w:lang w:val="sr-Latn-RS" w:eastAsia="sr-Latn-RS"/>
        </w:rPr>
      </w:pPr>
      <w:r w:rsidRPr="007223BC">
        <w:rPr>
          <w:sz w:val="22"/>
          <w:szCs w:val="22"/>
          <w:lang w:val="sr-Latn-RS" w:eastAsia="sr-Latn-RS"/>
        </w:rPr>
        <w:t xml:space="preserve">Kada se uzima sa hranom, lijek </w:t>
      </w:r>
      <w:r w:rsidR="00DE74DF" w:rsidRPr="007223BC">
        <w:rPr>
          <w:sz w:val="22"/>
          <w:szCs w:val="22"/>
          <w:lang w:val="sr-Latn-RS" w:eastAsia="sr-Latn-RS"/>
        </w:rPr>
        <w:t>DOVATO</w:t>
      </w:r>
      <w:r w:rsidRPr="007223BC">
        <w:rPr>
          <w:sz w:val="22"/>
          <w:szCs w:val="22"/>
          <w:lang w:val="sr-Latn-RS" w:eastAsia="sr-Latn-RS"/>
        </w:rPr>
        <w:t xml:space="preserve"> se može primjenjivati istovremeno sa dodacima ishrani ili multivitaminskim preparatima koji sadrže kalcijum, gvožđe ili magnezijum. Ako se lijek </w:t>
      </w:r>
      <w:r w:rsidR="00DE74DF" w:rsidRPr="007223BC">
        <w:rPr>
          <w:sz w:val="22"/>
          <w:szCs w:val="22"/>
          <w:lang w:val="sr-Latn-RS" w:eastAsia="sr-Latn-RS"/>
        </w:rPr>
        <w:t>DOVATO</w:t>
      </w:r>
      <w:r w:rsidRPr="007223BC">
        <w:rPr>
          <w:sz w:val="22"/>
          <w:szCs w:val="22"/>
          <w:lang w:val="sr-Latn-RS" w:eastAsia="sr-Latn-RS"/>
        </w:rPr>
        <w:t xml:space="preserve"> </w:t>
      </w:r>
      <w:r w:rsidRPr="007223BC">
        <w:rPr>
          <w:sz w:val="22"/>
          <w:szCs w:val="22"/>
          <w:lang w:val="sr-Latn-RS" w:eastAsia="sr-Latn-RS"/>
        </w:rPr>
        <w:lastRenderedPageBreak/>
        <w:t xml:space="preserve">uzima na prazan stomak, preporučuje se da se dodaci ishrani ili multivitaminski preparati koji sadrže kalcijum, gvožđe ili magnezijum uzmu 2 sata nakon ili 6 sati prije lijeka </w:t>
      </w:r>
      <w:r w:rsidR="00DE74DF" w:rsidRPr="007223BC">
        <w:rPr>
          <w:sz w:val="22"/>
          <w:szCs w:val="22"/>
          <w:lang w:val="sr-Latn-RS" w:eastAsia="sr-Latn-RS"/>
        </w:rPr>
        <w:t>DOVATO</w:t>
      </w:r>
      <w:r w:rsidRPr="007223BC">
        <w:rPr>
          <w:sz w:val="22"/>
          <w:szCs w:val="22"/>
          <w:lang w:val="sr-Latn-RS" w:eastAsia="sr-Latn-RS"/>
        </w:rPr>
        <w:t xml:space="preserve"> (vidjeti dio 4.5).</w:t>
      </w:r>
    </w:p>
    <w:p w14:paraId="202AB2CE" w14:textId="7C824895" w:rsidR="00176F8E" w:rsidRPr="007223BC" w:rsidRDefault="00176F8E" w:rsidP="00805A14">
      <w:pPr>
        <w:spacing w:before="100" w:beforeAutospacing="1" w:after="100" w:afterAutospacing="1"/>
        <w:jc w:val="both"/>
        <w:rPr>
          <w:sz w:val="22"/>
          <w:szCs w:val="22"/>
          <w:lang w:val="sr-Latn-RS" w:eastAsia="sr-Latn-RS"/>
        </w:rPr>
      </w:pPr>
      <w:r w:rsidRPr="007223BC">
        <w:rPr>
          <w:sz w:val="22"/>
          <w:szCs w:val="22"/>
          <w:lang w:val="sr-Latn-RS" w:eastAsia="sr-Latn-RS"/>
        </w:rPr>
        <w:t xml:space="preserve">Dolutegravir povećava koncentraciju metformina. Potrebno je razmotriti prilagođavanje doze metformina kod započinjanja i prekidanja istovremene primjene lijeka </w:t>
      </w:r>
      <w:r w:rsidR="00DE74DF" w:rsidRPr="007223BC">
        <w:rPr>
          <w:sz w:val="22"/>
          <w:szCs w:val="22"/>
          <w:lang w:val="sr-Latn-RS" w:eastAsia="sr-Latn-RS"/>
        </w:rPr>
        <w:t>DOVATO</w:t>
      </w:r>
      <w:r w:rsidRPr="007223BC">
        <w:rPr>
          <w:sz w:val="22"/>
          <w:szCs w:val="22"/>
          <w:lang w:val="sr-Latn-RS" w:eastAsia="sr-Latn-RS"/>
        </w:rPr>
        <w:t xml:space="preserve"> i metformina, da bi se održala kontrola glikemije (vidjeti </w:t>
      </w:r>
      <w:r w:rsidR="00D92B10" w:rsidRPr="007223BC">
        <w:rPr>
          <w:sz w:val="22"/>
          <w:szCs w:val="22"/>
          <w:lang w:val="sr-Latn-RS" w:eastAsia="sr-Latn-RS"/>
        </w:rPr>
        <w:t>dio</w:t>
      </w:r>
      <w:r w:rsidRPr="007223BC">
        <w:rPr>
          <w:sz w:val="22"/>
          <w:szCs w:val="22"/>
          <w:lang w:val="sr-Latn-RS" w:eastAsia="sr-Latn-RS"/>
        </w:rPr>
        <w:t xml:space="preserve"> 4.5). Metformin se izlučuje putem bubrega, pa je stoga važno nadzirati bubrežnu funkciju kada se primjenjuje istovremeno sa lijekom </w:t>
      </w:r>
      <w:r w:rsidR="00DE74DF" w:rsidRPr="007223BC">
        <w:rPr>
          <w:sz w:val="22"/>
          <w:szCs w:val="22"/>
          <w:lang w:val="sr-Latn-RS" w:eastAsia="sr-Latn-RS"/>
        </w:rPr>
        <w:t>DOVATO</w:t>
      </w:r>
      <w:r w:rsidRPr="007223BC">
        <w:rPr>
          <w:sz w:val="22"/>
          <w:szCs w:val="22"/>
          <w:lang w:val="sr-Latn-RS" w:eastAsia="sr-Latn-RS"/>
        </w:rPr>
        <w:t>. Navedena kombinacija može povećati rizik od laktatne acidoze kod pacijenata sa umjerenim oštećenjem bubrežne funkcije (stadijum 3a, klirens kreatinina 45 - 59 m</w:t>
      </w:r>
      <w:r w:rsidR="00B412CB">
        <w:rPr>
          <w:sz w:val="22"/>
          <w:szCs w:val="22"/>
          <w:lang w:val="sr-Latn-RS" w:eastAsia="sr-Latn-RS"/>
        </w:rPr>
        <w:t>l</w:t>
      </w:r>
      <w:r w:rsidRPr="007223BC">
        <w:rPr>
          <w:sz w:val="22"/>
          <w:szCs w:val="22"/>
          <w:lang w:val="sr-Latn-RS" w:eastAsia="sr-Latn-RS"/>
        </w:rPr>
        <w:t>/min) pa se preporučuje oprezan pristup. Potrebno je razmotriti smanjenje doze metformina.</w:t>
      </w:r>
    </w:p>
    <w:p w14:paraId="211A5869" w14:textId="77777777" w:rsidR="00176F8E" w:rsidRPr="007223BC" w:rsidRDefault="00176F8E" w:rsidP="00805A14">
      <w:pPr>
        <w:spacing w:before="100" w:beforeAutospacing="1" w:after="100" w:afterAutospacing="1"/>
        <w:jc w:val="both"/>
        <w:rPr>
          <w:sz w:val="22"/>
          <w:szCs w:val="22"/>
          <w:lang w:val="sr-Latn-RS" w:eastAsia="sr-Latn-RS"/>
        </w:rPr>
      </w:pPr>
      <w:r w:rsidRPr="007223BC">
        <w:rPr>
          <w:sz w:val="22"/>
          <w:szCs w:val="22"/>
          <w:lang w:val="sr-Latn-RS" w:eastAsia="sr-Latn-RS"/>
        </w:rPr>
        <w:t xml:space="preserve">Ne preporučuje se primjena lijeka </w:t>
      </w:r>
      <w:r w:rsidR="00DE74DF" w:rsidRPr="007223BC">
        <w:rPr>
          <w:sz w:val="22"/>
          <w:szCs w:val="22"/>
          <w:lang w:val="sr-Latn-RS" w:eastAsia="sr-Latn-RS"/>
        </w:rPr>
        <w:t>DOVATO</w:t>
      </w:r>
      <w:r w:rsidRPr="007223BC">
        <w:rPr>
          <w:sz w:val="22"/>
          <w:szCs w:val="22"/>
          <w:lang w:val="sr-Latn-RS" w:eastAsia="sr-Latn-RS"/>
        </w:rPr>
        <w:t xml:space="preserve"> u kombinaciji sa kladribinom (vidjeti dio 4.5).</w:t>
      </w:r>
    </w:p>
    <w:p w14:paraId="0ABE8A3E" w14:textId="77777777" w:rsidR="00057E35" w:rsidRPr="007223BC" w:rsidRDefault="00176F8E" w:rsidP="00805A14">
      <w:pPr>
        <w:spacing w:before="100" w:beforeAutospacing="1" w:after="100" w:afterAutospacing="1"/>
        <w:jc w:val="both"/>
        <w:rPr>
          <w:sz w:val="22"/>
          <w:szCs w:val="22"/>
          <w:lang w:val="sr-Latn-RS" w:eastAsia="sr-Latn-RS"/>
        </w:rPr>
      </w:pPr>
      <w:r w:rsidRPr="007223BC">
        <w:rPr>
          <w:sz w:val="22"/>
          <w:szCs w:val="22"/>
          <w:lang w:val="sr-Latn-RS" w:eastAsia="sr-Latn-RS"/>
        </w:rPr>
        <w:t xml:space="preserve">Lijek </w:t>
      </w:r>
      <w:r w:rsidR="00DE74DF" w:rsidRPr="007223BC">
        <w:rPr>
          <w:sz w:val="22"/>
          <w:szCs w:val="22"/>
          <w:lang w:val="sr-Latn-RS" w:eastAsia="sr-Latn-RS"/>
        </w:rPr>
        <w:t>DOVATO</w:t>
      </w:r>
      <w:r w:rsidRPr="007223BC">
        <w:rPr>
          <w:sz w:val="22"/>
          <w:szCs w:val="22"/>
          <w:lang w:val="sr-Latn-RS" w:eastAsia="sr-Latn-RS"/>
        </w:rPr>
        <w:t xml:space="preserve"> se ne smije uzimati ni sa jednim drugim lijekom koji sadrži dolutegravir</w:t>
      </w:r>
      <w:r w:rsidR="001B79CB" w:rsidRPr="007223BC">
        <w:rPr>
          <w:sz w:val="22"/>
          <w:szCs w:val="22"/>
          <w:lang w:val="sr-Latn-RS" w:eastAsia="sr-Latn-RS"/>
        </w:rPr>
        <w:t>, lamivudin</w:t>
      </w:r>
      <w:r w:rsidRPr="007223BC">
        <w:rPr>
          <w:sz w:val="22"/>
          <w:szCs w:val="22"/>
          <w:lang w:val="sr-Latn-RS" w:eastAsia="sr-Latn-RS"/>
        </w:rPr>
        <w:t xml:space="preserve"> ili</w:t>
      </w:r>
      <w:r w:rsidR="001B79CB" w:rsidRPr="007223BC">
        <w:rPr>
          <w:noProof/>
          <w:sz w:val="22"/>
          <w:szCs w:val="22"/>
          <w:lang w:val="sr-Latn-RS"/>
        </w:rPr>
        <w:t xml:space="preserve"> emtricitabin</w:t>
      </w:r>
      <w:r w:rsidRPr="007223BC">
        <w:rPr>
          <w:sz w:val="22"/>
          <w:szCs w:val="22"/>
          <w:lang w:val="sr-Latn-RS" w:eastAsia="sr-Latn-RS"/>
        </w:rPr>
        <w:t>, osim u slučajevima kada je zbog interakcija s drugim ljekovima potrebno prilagoditi dozu dolutegravira (vidjeti dio 4.5).</w:t>
      </w:r>
    </w:p>
    <w:p w14:paraId="4ACA14AF" w14:textId="77777777" w:rsidR="00E14EE3" w:rsidRPr="00287AA6" w:rsidRDefault="00E14EE3" w:rsidP="00805A14">
      <w:pPr>
        <w:tabs>
          <w:tab w:val="left" w:pos="540"/>
          <w:tab w:val="left" w:pos="569"/>
        </w:tabs>
        <w:jc w:val="both"/>
        <w:rPr>
          <w:b/>
          <w:bCs/>
          <w:sz w:val="22"/>
          <w:szCs w:val="22"/>
          <w:lang w:val="sr-Latn-RS"/>
        </w:rPr>
      </w:pPr>
    </w:p>
    <w:p w14:paraId="45886533" w14:textId="77777777" w:rsidR="00E14EE3" w:rsidRPr="00287AA6" w:rsidRDefault="00E14EE3" w:rsidP="00805A14">
      <w:pPr>
        <w:tabs>
          <w:tab w:val="left" w:pos="540"/>
          <w:tab w:val="left" w:pos="569"/>
        </w:tabs>
        <w:jc w:val="both"/>
        <w:rPr>
          <w:b/>
          <w:bCs/>
          <w:sz w:val="22"/>
          <w:szCs w:val="22"/>
          <w:lang w:val="sr-Latn-RS"/>
        </w:rPr>
      </w:pPr>
    </w:p>
    <w:p w14:paraId="1C9F3763" w14:textId="77777777" w:rsidR="00411B4B" w:rsidRPr="00287AA6" w:rsidRDefault="00411B4B" w:rsidP="00805A14">
      <w:pPr>
        <w:tabs>
          <w:tab w:val="left" w:pos="540"/>
          <w:tab w:val="left" w:pos="569"/>
        </w:tabs>
        <w:jc w:val="both"/>
        <w:rPr>
          <w:b/>
          <w:bCs/>
          <w:sz w:val="22"/>
          <w:szCs w:val="22"/>
          <w:lang w:val="sr-Latn-RS"/>
        </w:rPr>
      </w:pPr>
      <w:r w:rsidRPr="00287AA6">
        <w:rPr>
          <w:b/>
          <w:bCs/>
          <w:sz w:val="22"/>
          <w:szCs w:val="22"/>
          <w:lang w:val="sr-Latn-RS"/>
        </w:rPr>
        <w:t>4.5.</w:t>
      </w:r>
      <w:r w:rsidR="000D60CC" w:rsidRPr="00287AA6">
        <w:rPr>
          <w:b/>
          <w:bCs/>
          <w:sz w:val="22"/>
          <w:szCs w:val="22"/>
          <w:lang w:val="sr-Latn-RS"/>
        </w:rPr>
        <w:tab/>
      </w:r>
      <w:r w:rsidRPr="00287AA6">
        <w:rPr>
          <w:b/>
          <w:bCs/>
          <w:sz w:val="22"/>
          <w:szCs w:val="22"/>
          <w:lang w:val="sr-Latn-RS"/>
        </w:rPr>
        <w:t>Interakcije sa drugim ljekovima i druge vrste interakcija</w:t>
      </w:r>
    </w:p>
    <w:p w14:paraId="231C8CFC" w14:textId="77777777" w:rsidR="00DE74DF" w:rsidRPr="007223BC" w:rsidRDefault="00DE74DF" w:rsidP="00805A14">
      <w:pPr>
        <w:spacing w:before="100" w:beforeAutospacing="1" w:after="100" w:afterAutospacing="1"/>
        <w:jc w:val="both"/>
        <w:rPr>
          <w:sz w:val="22"/>
          <w:szCs w:val="22"/>
          <w:lang w:val="sr-Latn-RS" w:eastAsia="sr-Latn-RS"/>
        </w:rPr>
      </w:pPr>
      <w:r w:rsidRPr="007223BC">
        <w:rPr>
          <w:sz w:val="22"/>
          <w:szCs w:val="22"/>
          <w:lang w:val="sr-Latn-RS" w:eastAsia="sr-Latn-RS"/>
        </w:rPr>
        <w:t>Nijesu sprovedena klinička ispitivanja interakcija između lijeka DOVATO i drugih ljekova. Lijek DOVATO sadrži dolutegravir i lamivudin, pa su sve interakcije utvrđene kod njihove pojedinačne primjene relevantne i za lijek DOVATO. Ne očekuju se klinički značajne interakcije između dolutegravira i lamivudina.</w:t>
      </w:r>
    </w:p>
    <w:p w14:paraId="195965FB" w14:textId="77777777" w:rsidR="00DE74DF" w:rsidRPr="007223BC" w:rsidRDefault="00DE74DF" w:rsidP="00805A14">
      <w:pPr>
        <w:suppressLineNumbers/>
        <w:jc w:val="both"/>
        <w:rPr>
          <w:noProof/>
          <w:sz w:val="22"/>
          <w:szCs w:val="22"/>
          <w:u w:val="single"/>
          <w:lang w:val="sr-Latn-RS"/>
        </w:rPr>
      </w:pPr>
      <w:r w:rsidRPr="007223BC">
        <w:rPr>
          <w:noProof/>
          <w:sz w:val="22"/>
          <w:szCs w:val="22"/>
          <w:u w:val="single"/>
          <w:lang w:val="sr-Latn-RS"/>
        </w:rPr>
        <w:t>Dejstvo drugih ljekova na farmakokinetiku dolutegravira i lamivudina</w:t>
      </w:r>
    </w:p>
    <w:p w14:paraId="15AA1E23" w14:textId="2D276E44" w:rsidR="00DE74DF" w:rsidRPr="007223BC" w:rsidRDefault="00DE74DF" w:rsidP="00805A14">
      <w:pPr>
        <w:spacing w:before="100" w:beforeAutospacing="1" w:after="100" w:afterAutospacing="1"/>
        <w:jc w:val="both"/>
        <w:rPr>
          <w:sz w:val="22"/>
          <w:szCs w:val="22"/>
          <w:lang w:val="sr-Latn-RS" w:eastAsia="sr-Latn-RS"/>
        </w:rPr>
      </w:pPr>
      <w:r w:rsidRPr="007223BC">
        <w:rPr>
          <w:sz w:val="22"/>
          <w:szCs w:val="22"/>
          <w:lang w:val="sr-Latn-RS" w:eastAsia="sr-Latn-RS"/>
        </w:rPr>
        <w:t>Dolutegravir se uglavnom eliminiše metabolizmom u kojem posreduje uridin difosfat glukuronozil</w:t>
      </w:r>
      <w:r w:rsidR="00EE277B" w:rsidRPr="007223BC">
        <w:rPr>
          <w:sz w:val="22"/>
          <w:szCs w:val="22"/>
          <w:lang w:val="sr-Latn-RS" w:eastAsia="sr-Latn-RS"/>
        </w:rPr>
        <w:t xml:space="preserve"> </w:t>
      </w:r>
      <w:r w:rsidRPr="007223BC">
        <w:rPr>
          <w:sz w:val="22"/>
          <w:szCs w:val="22"/>
          <w:lang w:val="sr-Latn-RS" w:eastAsia="sr-Latn-RS"/>
        </w:rPr>
        <w:t xml:space="preserve">transferaza (UGT) 1A1. Takođe, dolutegravir je supstrat za UGT1A3, UGT1A9, CYP3A4, P-glikoprotein (P-gp) i protein rezistencije </w:t>
      </w:r>
      <w:r w:rsidR="00EE277B" w:rsidRPr="007223BC">
        <w:rPr>
          <w:sz w:val="22"/>
          <w:szCs w:val="22"/>
          <w:lang w:val="sr-Latn-RS" w:eastAsia="sr-Latn-RS"/>
        </w:rPr>
        <w:t xml:space="preserve">karcinoma </w:t>
      </w:r>
      <w:r w:rsidRPr="007223BC">
        <w:rPr>
          <w:sz w:val="22"/>
          <w:szCs w:val="22"/>
          <w:lang w:val="sr-Latn-RS" w:eastAsia="sr-Latn-RS"/>
        </w:rPr>
        <w:t xml:space="preserve">dojke (BCRP). Stoga istovremena primjena lijeka DOVATO i drugih ljekova koji inhibiraju UGT1A1, UGT1A3, UGT1A9, CYP3A4 i/ili P-gp može povećati koncentraciju dolutegravira u plazmi. Ljekovi koji indukuju navedene enzime ili transportere mogu smanjiti koncentraciju dolutegravira u plazmi i tako oslabiti njegov terapijski </w:t>
      </w:r>
      <w:r w:rsidR="00B9662D">
        <w:rPr>
          <w:sz w:val="22"/>
          <w:szCs w:val="22"/>
          <w:lang w:val="sr-Latn-RS" w:eastAsia="sr-Latn-RS"/>
        </w:rPr>
        <w:t>efekat</w:t>
      </w:r>
      <w:r w:rsidRPr="007223BC">
        <w:rPr>
          <w:sz w:val="22"/>
          <w:szCs w:val="22"/>
          <w:lang w:val="sr-Latn-RS" w:eastAsia="sr-Latn-RS"/>
        </w:rPr>
        <w:t>.</w:t>
      </w:r>
    </w:p>
    <w:p w14:paraId="3A52D0EC" w14:textId="77777777" w:rsidR="00DE74DF" w:rsidRPr="007223BC" w:rsidRDefault="00DE74DF" w:rsidP="00805A14">
      <w:pPr>
        <w:spacing w:before="100" w:beforeAutospacing="1" w:after="100" w:afterAutospacing="1"/>
        <w:jc w:val="both"/>
        <w:rPr>
          <w:sz w:val="22"/>
          <w:szCs w:val="22"/>
          <w:lang w:val="sr-Latn-RS" w:eastAsia="sr-Latn-RS"/>
        </w:rPr>
      </w:pPr>
      <w:r w:rsidRPr="007223BC">
        <w:rPr>
          <w:sz w:val="22"/>
          <w:szCs w:val="22"/>
          <w:lang w:val="sr-Latn-RS" w:eastAsia="sr-Latn-RS"/>
        </w:rPr>
        <w:t xml:space="preserve">Određeni dodaci ishrani i antacidi koji sadrže katjone metala smanjuju </w:t>
      </w:r>
      <w:r w:rsidR="00EE277B" w:rsidRPr="007223BC">
        <w:rPr>
          <w:sz w:val="22"/>
          <w:szCs w:val="22"/>
          <w:lang w:val="sr-Latn-RS" w:eastAsia="sr-Latn-RS"/>
        </w:rPr>
        <w:t xml:space="preserve">resorpciju </w:t>
      </w:r>
      <w:r w:rsidRPr="007223BC">
        <w:rPr>
          <w:sz w:val="22"/>
          <w:szCs w:val="22"/>
          <w:lang w:val="sr-Latn-RS" w:eastAsia="sr-Latn-RS"/>
        </w:rPr>
        <w:t xml:space="preserve">dolutegravira (vidjeti </w:t>
      </w:r>
      <w:r w:rsidR="00E40C6B" w:rsidRPr="007223BC">
        <w:rPr>
          <w:sz w:val="22"/>
          <w:szCs w:val="22"/>
          <w:lang w:val="sr-Latn-RS" w:eastAsia="sr-Latn-RS"/>
        </w:rPr>
        <w:t>T</w:t>
      </w:r>
      <w:r w:rsidRPr="007223BC">
        <w:rPr>
          <w:sz w:val="22"/>
          <w:szCs w:val="22"/>
          <w:lang w:val="sr-Latn-RS" w:eastAsia="sr-Latn-RS"/>
        </w:rPr>
        <w:t>abelu 1).</w:t>
      </w:r>
    </w:p>
    <w:p w14:paraId="1625CE05" w14:textId="5CBDEAF6" w:rsidR="00DE74DF" w:rsidRPr="007223BC" w:rsidRDefault="00DE74DF" w:rsidP="00805A14">
      <w:pPr>
        <w:spacing w:before="100" w:beforeAutospacing="1" w:after="100" w:afterAutospacing="1"/>
        <w:jc w:val="both"/>
        <w:rPr>
          <w:sz w:val="22"/>
          <w:szCs w:val="22"/>
          <w:lang w:val="sr-Latn-RS" w:eastAsia="sr-Latn-RS"/>
        </w:rPr>
      </w:pPr>
      <w:r w:rsidRPr="007223BC">
        <w:rPr>
          <w:sz w:val="22"/>
          <w:szCs w:val="22"/>
          <w:lang w:val="sr-Latn-RS" w:eastAsia="sr-Latn-RS"/>
        </w:rPr>
        <w:t xml:space="preserve">Lamivudin se izlučuje putem bubrega. U aktivnoj bubrežnoj sekreciji lamivudina putem urina posreduju OCT2 i transporteri za izlučivanje više ljekova i toksina (engl. </w:t>
      </w:r>
      <w:r w:rsidRPr="007223BC">
        <w:rPr>
          <w:i/>
          <w:sz w:val="22"/>
          <w:szCs w:val="22"/>
          <w:lang w:val="sr-Latn-RS" w:eastAsia="sr-Latn-RS"/>
        </w:rPr>
        <w:t>multidrug and toxin extrusion transporters</w:t>
      </w:r>
      <w:r w:rsidRPr="007223BC">
        <w:rPr>
          <w:sz w:val="22"/>
          <w:szCs w:val="22"/>
          <w:lang w:val="sr-Latn-RS" w:eastAsia="sr-Latn-RS"/>
        </w:rPr>
        <w:t xml:space="preserve">) MATE1 i MATE2-K. Pokazalo se da trimetoprim (inhibitor navedenih transportera) povećava </w:t>
      </w:r>
      <w:r w:rsidR="00BA559E" w:rsidRPr="007223BC">
        <w:rPr>
          <w:sz w:val="22"/>
          <w:szCs w:val="22"/>
          <w:lang w:val="sr-Latn-RS" w:eastAsia="sr-Latn-RS"/>
        </w:rPr>
        <w:t>plazm</w:t>
      </w:r>
      <w:r w:rsidR="00BA559E">
        <w:rPr>
          <w:sz w:val="22"/>
          <w:szCs w:val="22"/>
          <w:lang w:val="sr-Latn-RS" w:eastAsia="sr-Latn-RS"/>
        </w:rPr>
        <w:t>atsk</w:t>
      </w:r>
      <w:r w:rsidR="00BA559E" w:rsidRPr="007223BC">
        <w:rPr>
          <w:sz w:val="22"/>
          <w:szCs w:val="22"/>
          <w:lang w:val="sr-Latn-RS" w:eastAsia="sr-Latn-RS"/>
        </w:rPr>
        <w:t xml:space="preserve">e </w:t>
      </w:r>
      <w:r w:rsidRPr="007223BC">
        <w:rPr>
          <w:sz w:val="22"/>
          <w:szCs w:val="22"/>
          <w:lang w:val="sr-Latn-RS" w:eastAsia="sr-Latn-RS"/>
        </w:rPr>
        <w:t xml:space="preserve">koncentracije lamivudina, ali to povećanje nije bilo klinički značajno (vidjeti </w:t>
      </w:r>
      <w:r w:rsidR="00E40C6B" w:rsidRPr="007223BC">
        <w:rPr>
          <w:sz w:val="22"/>
          <w:szCs w:val="22"/>
          <w:lang w:val="sr-Latn-RS" w:eastAsia="sr-Latn-RS"/>
        </w:rPr>
        <w:t>T</w:t>
      </w:r>
      <w:r w:rsidRPr="007223BC">
        <w:rPr>
          <w:sz w:val="22"/>
          <w:szCs w:val="22"/>
          <w:lang w:val="sr-Latn-RS" w:eastAsia="sr-Latn-RS"/>
        </w:rPr>
        <w:t xml:space="preserve">abelu 1). Dolutegravir je inhibitor OCT2 i MATE1; međutim, analiza podataka iz različitih ispitivanja pokazala je da su koncentracije lamivudina bile slične i uz istovremenu primjenu dolutegravira i bez njega, što ukazuje na to da dolutegravir nema značajnog dejstva na izloženost lamivudinu </w:t>
      </w:r>
      <w:r w:rsidRPr="007223BC">
        <w:rPr>
          <w:i/>
          <w:iCs/>
          <w:sz w:val="22"/>
          <w:szCs w:val="22"/>
          <w:lang w:val="sr-Latn-RS" w:eastAsia="sr-Latn-RS"/>
        </w:rPr>
        <w:t>in vivo</w:t>
      </w:r>
      <w:r w:rsidRPr="007223BC">
        <w:rPr>
          <w:sz w:val="22"/>
          <w:szCs w:val="22"/>
          <w:lang w:val="sr-Latn-RS" w:eastAsia="sr-Latn-RS"/>
        </w:rPr>
        <w:t>. Lamivudin je i supstrat transportera jetre za unos OCT1. Budući da eliminacija putem jetre igra malu ulogu u klirensu lamivudina, nije vjerovatno da će zbog inhibicije OCT1 doći do klinički značajnih interakcija sa drugim ljekovima.</w:t>
      </w:r>
    </w:p>
    <w:p w14:paraId="435D58F4" w14:textId="77777777" w:rsidR="00DE74DF" w:rsidRPr="007223BC" w:rsidRDefault="00DE74DF" w:rsidP="00805A14">
      <w:pPr>
        <w:spacing w:before="100" w:beforeAutospacing="1" w:after="100" w:afterAutospacing="1"/>
        <w:jc w:val="both"/>
        <w:rPr>
          <w:sz w:val="22"/>
          <w:szCs w:val="22"/>
          <w:lang w:val="sr-Latn-RS" w:eastAsia="sr-Latn-RS"/>
        </w:rPr>
      </w:pPr>
      <w:r w:rsidRPr="007223BC">
        <w:rPr>
          <w:sz w:val="22"/>
          <w:szCs w:val="22"/>
          <w:lang w:val="sr-Latn-RS" w:eastAsia="sr-Latn-RS"/>
        </w:rPr>
        <w:t xml:space="preserve">Iako je lamivudin supstrat za BCRP i P-gp </w:t>
      </w:r>
      <w:r w:rsidRPr="007223BC">
        <w:rPr>
          <w:i/>
          <w:iCs/>
          <w:sz w:val="22"/>
          <w:szCs w:val="22"/>
          <w:lang w:val="sr-Latn-RS" w:eastAsia="sr-Latn-RS"/>
        </w:rPr>
        <w:t>in vitro</w:t>
      </w:r>
      <w:r w:rsidRPr="007223BC">
        <w:rPr>
          <w:sz w:val="22"/>
          <w:szCs w:val="22"/>
          <w:lang w:val="sr-Latn-RS" w:eastAsia="sr-Latn-RS"/>
        </w:rPr>
        <w:t xml:space="preserve">, s obzirom na njegovu veliku apsolutnu bioraspoloživost (vidjeti </w:t>
      </w:r>
      <w:r w:rsidR="00082351" w:rsidRPr="007223BC">
        <w:rPr>
          <w:sz w:val="22"/>
          <w:szCs w:val="22"/>
          <w:lang w:val="sr-Latn-RS" w:eastAsia="sr-Latn-RS"/>
        </w:rPr>
        <w:t>dio</w:t>
      </w:r>
      <w:r w:rsidRPr="007223BC">
        <w:rPr>
          <w:sz w:val="22"/>
          <w:szCs w:val="22"/>
          <w:lang w:val="sr-Latn-RS" w:eastAsia="sr-Latn-RS"/>
        </w:rPr>
        <w:t xml:space="preserve"> 5.2), nije vjerovatno da će inhibitori navedenih efluksnih transportera imati klinički značajnog uticaja na koncentracije lamivudina.</w:t>
      </w:r>
    </w:p>
    <w:p w14:paraId="1BD53D75" w14:textId="77777777" w:rsidR="00D74A9B" w:rsidRDefault="00D74A9B" w:rsidP="00805A14">
      <w:pPr>
        <w:jc w:val="both"/>
        <w:rPr>
          <w:sz w:val="22"/>
          <w:szCs w:val="22"/>
          <w:u w:val="single"/>
          <w:lang w:val="sr-Latn-RS" w:eastAsia="sr-Latn-RS"/>
        </w:rPr>
      </w:pPr>
    </w:p>
    <w:p w14:paraId="25CF7198" w14:textId="77777777" w:rsidR="00D74A9B" w:rsidRDefault="00D74A9B" w:rsidP="00805A14">
      <w:pPr>
        <w:jc w:val="both"/>
        <w:rPr>
          <w:sz w:val="22"/>
          <w:szCs w:val="22"/>
          <w:u w:val="single"/>
          <w:lang w:val="sr-Latn-RS" w:eastAsia="sr-Latn-RS"/>
        </w:rPr>
      </w:pPr>
    </w:p>
    <w:p w14:paraId="509B7218" w14:textId="77777777" w:rsidR="00D74A9B" w:rsidRDefault="00D74A9B" w:rsidP="00805A14">
      <w:pPr>
        <w:jc w:val="both"/>
        <w:rPr>
          <w:sz w:val="22"/>
          <w:szCs w:val="22"/>
          <w:u w:val="single"/>
          <w:lang w:val="sr-Latn-RS" w:eastAsia="sr-Latn-RS"/>
        </w:rPr>
      </w:pPr>
    </w:p>
    <w:p w14:paraId="6F2A58E3" w14:textId="4FD8F0D1" w:rsidR="00DE74DF" w:rsidRPr="007223BC" w:rsidRDefault="00DE74DF" w:rsidP="00805A14">
      <w:pPr>
        <w:jc w:val="both"/>
        <w:rPr>
          <w:sz w:val="22"/>
          <w:szCs w:val="22"/>
          <w:u w:val="single"/>
          <w:lang w:val="sr-Latn-RS" w:eastAsia="sr-Latn-RS"/>
        </w:rPr>
      </w:pPr>
      <w:r w:rsidRPr="007223BC">
        <w:rPr>
          <w:sz w:val="22"/>
          <w:szCs w:val="22"/>
          <w:u w:val="single"/>
          <w:lang w:val="sr-Latn-RS" w:eastAsia="sr-Latn-RS"/>
        </w:rPr>
        <w:lastRenderedPageBreak/>
        <w:t xml:space="preserve">Dejstvo dolutegravira i lamivudina na farmakokinetiku drugih ljekova </w:t>
      </w:r>
    </w:p>
    <w:p w14:paraId="46A0EAE9" w14:textId="77777777" w:rsidR="00DE74DF" w:rsidRPr="007223BC" w:rsidRDefault="00DE74DF" w:rsidP="00805A14">
      <w:pPr>
        <w:spacing w:before="100" w:beforeAutospacing="1" w:after="100" w:afterAutospacing="1"/>
        <w:jc w:val="both"/>
        <w:rPr>
          <w:sz w:val="22"/>
          <w:szCs w:val="22"/>
          <w:lang w:val="sr-Latn-RS" w:eastAsia="sr-Latn-RS"/>
        </w:rPr>
      </w:pPr>
      <w:r w:rsidRPr="007223BC">
        <w:rPr>
          <w:i/>
          <w:sz w:val="22"/>
          <w:szCs w:val="22"/>
          <w:lang w:val="sr-Latn-RS" w:eastAsia="sr-Latn-RS"/>
        </w:rPr>
        <w:t>In vivo</w:t>
      </w:r>
      <w:r w:rsidRPr="007223BC">
        <w:rPr>
          <w:sz w:val="22"/>
          <w:szCs w:val="22"/>
          <w:lang w:val="sr-Latn-RS" w:eastAsia="sr-Latn-RS"/>
        </w:rPr>
        <w:t xml:space="preserve"> dolutegravir nije uticao na midazolam, probni supstrat za CYP3A4. Na osnovu </w:t>
      </w:r>
      <w:r w:rsidRPr="007223BC">
        <w:rPr>
          <w:i/>
          <w:iCs/>
          <w:sz w:val="22"/>
          <w:szCs w:val="22"/>
          <w:lang w:val="sr-Latn-RS" w:eastAsia="sr-Latn-RS"/>
        </w:rPr>
        <w:t>in vivo</w:t>
      </w:r>
      <w:r w:rsidRPr="007223BC">
        <w:rPr>
          <w:sz w:val="22"/>
          <w:szCs w:val="22"/>
          <w:lang w:val="sr-Latn-RS" w:eastAsia="sr-Latn-RS"/>
        </w:rPr>
        <w:t xml:space="preserve"> i/ili </w:t>
      </w:r>
      <w:r w:rsidRPr="007223BC">
        <w:rPr>
          <w:i/>
          <w:iCs/>
          <w:sz w:val="22"/>
          <w:szCs w:val="22"/>
          <w:lang w:val="sr-Latn-RS" w:eastAsia="sr-Latn-RS"/>
        </w:rPr>
        <w:t>in vitro</w:t>
      </w:r>
      <w:r w:rsidRPr="007223BC">
        <w:rPr>
          <w:sz w:val="22"/>
          <w:szCs w:val="22"/>
          <w:lang w:val="sr-Latn-RS" w:eastAsia="sr-Latn-RS"/>
        </w:rPr>
        <w:t xml:space="preserve"> podataka, ne očekuje se da će dolutegravir uticati na farmakokinetiku ljekova koji su supstrati bilo kog od glavnih enzima ili transportera, kao što su CYP3A4, CYP2C9 i P-gp (za više informacija vidjeti </w:t>
      </w:r>
      <w:r w:rsidR="00082351" w:rsidRPr="007223BC">
        <w:rPr>
          <w:sz w:val="22"/>
          <w:szCs w:val="22"/>
          <w:lang w:val="sr-Latn-RS" w:eastAsia="sr-Latn-RS"/>
        </w:rPr>
        <w:t>dio</w:t>
      </w:r>
      <w:r w:rsidRPr="007223BC">
        <w:rPr>
          <w:sz w:val="22"/>
          <w:szCs w:val="22"/>
          <w:lang w:val="sr-Latn-RS" w:eastAsia="sr-Latn-RS"/>
        </w:rPr>
        <w:t xml:space="preserve"> 5.2).</w:t>
      </w:r>
    </w:p>
    <w:p w14:paraId="2660BC98" w14:textId="207CC151" w:rsidR="00DE74DF" w:rsidRPr="007223BC" w:rsidRDefault="00DE74DF" w:rsidP="00805A14">
      <w:pPr>
        <w:spacing w:before="100" w:beforeAutospacing="1" w:after="100" w:afterAutospacing="1"/>
        <w:jc w:val="both"/>
        <w:rPr>
          <w:sz w:val="22"/>
          <w:szCs w:val="22"/>
          <w:lang w:val="sr-Latn-RS" w:eastAsia="sr-Latn-RS"/>
        </w:rPr>
      </w:pPr>
      <w:r w:rsidRPr="007223BC">
        <w:rPr>
          <w:i/>
          <w:iCs/>
          <w:sz w:val="22"/>
          <w:szCs w:val="22"/>
          <w:lang w:val="sr-Latn-RS" w:eastAsia="sr-Latn-RS"/>
        </w:rPr>
        <w:t>In vitro</w:t>
      </w:r>
      <w:r w:rsidRPr="007223BC">
        <w:rPr>
          <w:sz w:val="22"/>
          <w:szCs w:val="22"/>
          <w:lang w:val="sr-Latn-RS" w:eastAsia="sr-Latn-RS"/>
        </w:rPr>
        <w:t xml:space="preserve">, dolutegravir je inhibirao bubrežne transportere OCT2 i MATE1. </w:t>
      </w:r>
      <w:r w:rsidRPr="007223BC">
        <w:rPr>
          <w:i/>
          <w:iCs/>
          <w:sz w:val="22"/>
          <w:szCs w:val="22"/>
          <w:lang w:val="sr-Latn-RS" w:eastAsia="sr-Latn-RS"/>
        </w:rPr>
        <w:t>In vivo</w:t>
      </w:r>
      <w:r w:rsidRPr="007223BC">
        <w:rPr>
          <w:sz w:val="22"/>
          <w:szCs w:val="22"/>
          <w:lang w:val="sr-Latn-RS" w:eastAsia="sr-Latn-RS"/>
        </w:rPr>
        <w:t xml:space="preserve">, kod pacijenata je primijećeno smanjenje klirensa kreatinina (dio koji se izlučuje zavisi od transportera OCT2 i MATE-1) za 10 - 14%. </w:t>
      </w:r>
      <w:r w:rsidRPr="007223BC">
        <w:rPr>
          <w:i/>
          <w:iCs/>
          <w:sz w:val="22"/>
          <w:szCs w:val="22"/>
          <w:lang w:val="sr-Latn-RS" w:eastAsia="sr-Latn-RS"/>
        </w:rPr>
        <w:t>In vivo</w:t>
      </w:r>
      <w:r w:rsidRPr="007223BC">
        <w:rPr>
          <w:sz w:val="22"/>
          <w:szCs w:val="22"/>
          <w:lang w:val="sr-Latn-RS" w:eastAsia="sr-Latn-RS"/>
        </w:rPr>
        <w:t xml:space="preserve"> dolutegravir može povećati koncentracije plazm</w:t>
      </w:r>
      <w:r w:rsidR="009D67ED">
        <w:rPr>
          <w:sz w:val="22"/>
          <w:szCs w:val="22"/>
          <w:lang w:val="sr-Latn-RS" w:eastAsia="sr-Latn-RS"/>
        </w:rPr>
        <w:t>atsk</w:t>
      </w:r>
      <w:r w:rsidRPr="007223BC">
        <w:rPr>
          <w:sz w:val="22"/>
          <w:szCs w:val="22"/>
          <w:lang w:val="sr-Latn-RS" w:eastAsia="sr-Latn-RS"/>
        </w:rPr>
        <w:t>e ljekova čije izlučivanje zavisi od OCT2 ili MATE-1 (npr.</w:t>
      </w:r>
      <w:r w:rsidR="00855F58" w:rsidRPr="007223BC">
        <w:rPr>
          <w:sz w:val="22"/>
          <w:szCs w:val="22"/>
          <w:lang w:val="sr-Latn-RS" w:eastAsia="sr-Latn-RS"/>
        </w:rPr>
        <w:t xml:space="preserve"> fampridin [takođe poznat kao dalfampridin], </w:t>
      </w:r>
      <w:r w:rsidRPr="007223BC">
        <w:rPr>
          <w:sz w:val="22"/>
          <w:szCs w:val="22"/>
          <w:lang w:val="sr-Latn-RS" w:eastAsia="sr-Latn-RS"/>
        </w:rPr>
        <w:t xml:space="preserve">metformin) (vidjeti </w:t>
      </w:r>
      <w:r w:rsidR="00E40C6B" w:rsidRPr="007223BC">
        <w:rPr>
          <w:sz w:val="22"/>
          <w:szCs w:val="22"/>
          <w:lang w:val="sr-Latn-RS" w:eastAsia="sr-Latn-RS"/>
        </w:rPr>
        <w:t>T</w:t>
      </w:r>
      <w:r w:rsidRPr="007223BC">
        <w:rPr>
          <w:sz w:val="22"/>
          <w:szCs w:val="22"/>
          <w:lang w:val="sr-Latn-RS" w:eastAsia="sr-Latn-RS"/>
        </w:rPr>
        <w:t xml:space="preserve">abelu 1 i </w:t>
      </w:r>
      <w:r w:rsidR="00082351" w:rsidRPr="007223BC">
        <w:rPr>
          <w:sz w:val="22"/>
          <w:szCs w:val="22"/>
          <w:lang w:val="sr-Latn-RS" w:eastAsia="sr-Latn-RS"/>
        </w:rPr>
        <w:t>dio</w:t>
      </w:r>
      <w:r w:rsidRPr="007223BC">
        <w:rPr>
          <w:sz w:val="22"/>
          <w:szCs w:val="22"/>
          <w:lang w:val="sr-Latn-RS" w:eastAsia="sr-Latn-RS"/>
        </w:rPr>
        <w:t xml:space="preserve"> 4.3).</w:t>
      </w:r>
    </w:p>
    <w:p w14:paraId="682FE5CA" w14:textId="77777777" w:rsidR="00DE74DF" w:rsidRPr="007223BC" w:rsidRDefault="00DE74DF" w:rsidP="00805A14">
      <w:pPr>
        <w:spacing w:before="100" w:beforeAutospacing="1" w:after="100" w:afterAutospacing="1"/>
        <w:jc w:val="both"/>
        <w:rPr>
          <w:sz w:val="22"/>
          <w:szCs w:val="22"/>
          <w:lang w:val="sr-Latn-RS" w:eastAsia="sr-Latn-RS"/>
        </w:rPr>
      </w:pPr>
      <w:r w:rsidRPr="007223BC">
        <w:rPr>
          <w:i/>
          <w:iCs/>
          <w:sz w:val="22"/>
          <w:szCs w:val="22"/>
          <w:lang w:val="sr-Latn-RS" w:eastAsia="sr-Latn-RS"/>
        </w:rPr>
        <w:t>In vitro</w:t>
      </w:r>
      <w:r w:rsidRPr="007223BC">
        <w:rPr>
          <w:sz w:val="22"/>
          <w:szCs w:val="22"/>
          <w:lang w:val="sr-Latn-RS" w:eastAsia="sr-Latn-RS"/>
        </w:rPr>
        <w:t xml:space="preserve">, dolutegravir je inhibirao bubrežne transportere za unos organskih anjona 1 i 3 (engl. </w:t>
      </w:r>
      <w:r w:rsidRPr="007223BC">
        <w:rPr>
          <w:i/>
          <w:sz w:val="22"/>
          <w:szCs w:val="22"/>
          <w:lang w:val="sr-Latn-RS" w:eastAsia="sr-Latn-RS"/>
        </w:rPr>
        <w:t>organic anion transporters</w:t>
      </w:r>
      <w:r w:rsidRPr="007223BC">
        <w:rPr>
          <w:sz w:val="22"/>
          <w:szCs w:val="22"/>
          <w:lang w:val="sr-Latn-RS" w:eastAsia="sr-Latn-RS"/>
        </w:rPr>
        <w:t xml:space="preserve">, OAT1 i OAT3). Budući da dolutegravir ne utiče na </w:t>
      </w:r>
      <w:r w:rsidRPr="007223BC">
        <w:rPr>
          <w:i/>
          <w:iCs/>
          <w:sz w:val="22"/>
          <w:szCs w:val="22"/>
          <w:lang w:val="sr-Latn-RS" w:eastAsia="sr-Latn-RS"/>
        </w:rPr>
        <w:t>in vivo</w:t>
      </w:r>
      <w:r w:rsidRPr="007223BC">
        <w:rPr>
          <w:sz w:val="22"/>
          <w:szCs w:val="22"/>
          <w:lang w:val="sr-Latn-RS" w:eastAsia="sr-Latn-RS"/>
        </w:rPr>
        <w:t xml:space="preserve"> farmakokinetiku tenofovira, supstrata za OAT, nije vjerovatna inhibicija OAT1 </w:t>
      </w:r>
      <w:r w:rsidRPr="007223BC">
        <w:rPr>
          <w:i/>
          <w:iCs/>
          <w:sz w:val="22"/>
          <w:szCs w:val="22"/>
          <w:lang w:val="sr-Latn-RS" w:eastAsia="sr-Latn-RS"/>
        </w:rPr>
        <w:t>in vivo</w:t>
      </w:r>
      <w:r w:rsidRPr="007223BC">
        <w:rPr>
          <w:sz w:val="22"/>
          <w:szCs w:val="22"/>
          <w:lang w:val="sr-Latn-RS" w:eastAsia="sr-Latn-RS"/>
        </w:rPr>
        <w:t xml:space="preserve">. Inhibicija OAT3 nije se ispitivala </w:t>
      </w:r>
      <w:r w:rsidRPr="007223BC">
        <w:rPr>
          <w:i/>
          <w:iCs/>
          <w:sz w:val="22"/>
          <w:szCs w:val="22"/>
          <w:lang w:val="sr-Latn-RS" w:eastAsia="sr-Latn-RS"/>
        </w:rPr>
        <w:t>in vivo.</w:t>
      </w:r>
      <w:r w:rsidRPr="007223BC">
        <w:rPr>
          <w:sz w:val="22"/>
          <w:szCs w:val="22"/>
          <w:lang w:val="sr-Latn-RS" w:eastAsia="sr-Latn-RS"/>
        </w:rPr>
        <w:t xml:space="preserve"> Dolutegravir može da poveća koncentracije u plazmi ljekova čije izlučivanje zavisi od OAT3.</w:t>
      </w:r>
    </w:p>
    <w:p w14:paraId="108F56AB" w14:textId="7CEBCB69" w:rsidR="00DE74DF" w:rsidRPr="007223BC" w:rsidRDefault="00DE74DF" w:rsidP="00805A14">
      <w:pPr>
        <w:spacing w:before="100" w:beforeAutospacing="1" w:after="100" w:afterAutospacing="1"/>
        <w:jc w:val="both"/>
        <w:rPr>
          <w:sz w:val="22"/>
          <w:szCs w:val="22"/>
          <w:lang w:val="sr-Latn-RS" w:eastAsia="sr-Latn-RS"/>
        </w:rPr>
      </w:pPr>
      <w:r w:rsidRPr="007223BC">
        <w:rPr>
          <w:i/>
          <w:iCs/>
          <w:sz w:val="22"/>
          <w:szCs w:val="22"/>
          <w:lang w:val="sr-Latn-RS" w:eastAsia="sr-Latn-RS"/>
        </w:rPr>
        <w:t>In vitro</w:t>
      </w:r>
      <w:r w:rsidRPr="007223BC">
        <w:rPr>
          <w:sz w:val="22"/>
          <w:szCs w:val="22"/>
          <w:lang w:val="sr-Latn-RS" w:eastAsia="sr-Latn-RS"/>
        </w:rPr>
        <w:t xml:space="preserve">, lamivudin je inhibirao OCT1 i OCT2, ali kliničke posljedice tog </w:t>
      </w:r>
      <w:r w:rsidR="00BA559E">
        <w:rPr>
          <w:sz w:val="22"/>
          <w:szCs w:val="22"/>
          <w:lang w:val="sr-Latn-RS" w:eastAsia="sr-Latn-RS"/>
        </w:rPr>
        <w:t>efekt</w:t>
      </w:r>
      <w:r w:rsidR="00BA559E" w:rsidRPr="007223BC">
        <w:rPr>
          <w:sz w:val="22"/>
          <w:szCs w:val="22"/>
          <w:lang w:val="sr-Latn-RS" w:eastAsia="sr-Latn-RS"/>
        </w:rPr>
        <w:t xml:space="preserve">a </w:t>
      </w:r>
      <w:r w:rsidRPr="007223BC">
        <w:rPr>
          <w:sz w:val="22"/>
          <w:szCs w:val="22"/>
          <w:lang w:val="sr-Latn-RS" w:eastAsia="sr-Latn-RS"/>
        </w:rPr>
        <w:t>nijesu poznate.</w:t>
      </w:r>
    </w:p>
    <w:p w14:paraId="65FCA141" w14:textId="77777777" w:rsidR="00DE74DF" w:rsidRPr="007223BC" w:rsidRDefault="00DE74DF" w:rsidP="00805A14">
      <w:pPr>
        <w:spacing w:before="100" w:beforeAutospacing="1" w:after="100" w:afterAutospacing="1"/>
        <w:jc w:val="both"/>
        <w:rPr>
          <w:sz w:val="22"/>
          <w:szCs w:val="22"/>
          <w:lang w:val="sr-Latn-RS" w:eastAsia="sr-Latn-RS"/>
        </w:rPr>
      </w:pPr>
      <w:r w:rsidRPr="007223BC">
        <w:rPr>
          <w:sz w:val="22"/>
          <w:szCs w:val="22"/>
          <w:lang w:val="sr-Latn-RS" w:eastAsia="sr-Latn-RS"/>
        </w:rPr>
        <w:t xml:space="preserve">Potvrđene i teorijske interakcije s odabranim antiretrovirusnim ljekovima i ljekovima koji nijesu antiretrovirotici navedene su u </w:t>
      </w:r>
      <w:r w:rsidR="0073270B" w:rsidRPr="007223BC">
        <w:rPr>
          <w:sz w:val="22"/>
          <w:szCs w:val="22"/>
          <w:lang w:val="sr-Latn-RS" w:eastAsia="sr-Latn-RS"/>
        </w:rPr>
        <w:t xml:space="preserve">Tabeli </w:t>
      </w:r>
      <w:r w:rsidRPr="007223BC">
        <w:rPr>
          <w:sz w:val="22"/>
          <w:szCs w:val="22"/>
          <w:lang w:val="sr-Latn-RS" w:eastAsia="sr-Latn-RS"/>
        </w:rPr>
        <w:t>1.</w:t>
      </w:r>
    </w:p>
    <w:p w14:paraId="27C3313A" w14:textId="77777777" w:rsidR="00DE74DF" w:rsidRPr="007223BC" w:rsidRDefault="00DE74DF" w:rsidP="00805A14">
      <w:pPr>
        <w:suppressLineNumbers/>
        <w:jc w:val="both"/>
        <w:rPr>
          <w:bCs/>
          <w:noProof/>
          <w:sz w:val="22"/>
          <w:szCs w:val="22"/>
          <w:u w:val="single"/>
          <w:lang w:val="sr-Latn-RS"/>
        </w:rPr>
      </w:pPr>
      <w:r w:rsidRPr="007223BC">
        <w:rPr>
          <w:noProof/>
          <w:sz w:val="22"/>
          <w:szCs w:val="22"/>
          <w:u w:val="single"/>
          <w:lang w:val="sr-Latn-RS"/>
        </w:rPr>
        <w:t>Tabela interakcija</w:t>
      </w:r>
    </w:p>
    <w:p w14:paraId="06444628" w14:textId="77777777" w:rsidR="00DE74DF" w:rsidRPr="007223BC" w:rsidRDefault="00DE74DF" w:rsidP="00805A14">
      <w:pPr>
        <w:spacing w:before="100" w:beforeAutospacing="1" w:after="100" w:afterAutospacing="1"/>
        <w:jc w:val="both"/>
        <w:rPr>
          <w:sz w:val="22"/>
          <w:szCs w:val="22"/>
          <w:lang w:val="sr-Latn-RS" w:eastAsia="sr-Latn-RS"/>
        </w:rPr>
      </w:pPr>
      <w:r w:rsidRPr="007223BC">
        <w:rPr>
          <w:sz w:val="22"/>
          <w:szCs w:val="22"/>
          <w:lang w:val="sr-Latn-RS" w:eastAsia="sr-Latn-RS"/>
        </w:rPr>
        <w:t xml:space="preserve">Interakcije između dolutegravira, lamivudina i istovremeno primijenjenih ljekova navedene su u </w:t>
      </w:r>
      <w:r w:rsidR="0073270B" w:rsidRPr="007223BC">
        <w:rPr>
          <w:sz w:val="22"/>
          <w:szCs w:val="22"/>
          <w:lang w:val="sr-Latn-RS" w:eastAsia="sr-Latn-RS"/>
        </w:rPr>
        <w:t xml:space="preserve">Tabeli </w:t>
      </w:r>
      <w:r w:rsidRPr="007223BC">
        <w:rPr>
          <w:sz w:val="22"/>
          <w:szCs w:val="22"/>
          <w:lang w:val="sr-Latn-RS" w:eastAsia="sr-Latn-RS"/>
        </w:rPr>
        <w:t>1 (povećanje je označeno kao „↑”, smanjenje kao „↓”, stanje bez promjene kao „↔”, površina ispod krive koncentracija-vrijeme kao „PIK”, maksimalna zabilježena koncentracija kao „C</w:t>
      </w:r>
      <w:r w:rsidRPr="007223BC">
        <w:rPr>
          <w:sz w:val="22"/>
          <w:szCs w:val="22"/>
          <w:vertAlign w:val="subscript"/>
          <w:lang w:val="sr-Latn-RS" w:eastAsia="sr-Latn-RS"/>
        </w:rPr>
        <w:t>max</w:t>
      </w:r>
      <w:r w:rsidR="00E342EA" w:rsidRPr="007223BC">
        <w:rPr>
          <w:sz w:val="22"/>
          <w:szCs w:val="22"/>
          <w:lang w:val="sr-Latn-RS"/>
        </w:rPr>
        <w:t xml:space="preserve">”, </w:t>
      </w:r>
      <w:bookmarkStart w:id="0" w:name="_Hlk9411816"/>
      <w:r w:rsidR="00E342EA" w:rsidRPr="007223BC">
        <w:rPr>
          <w:sz w:val="22"/>
          <w:szCs w:val="22"/>
          <w:lang w:val="sr-Latn-RS"/>
        </w:rPr>
        <w:t>koncentracija na kraju doznog intervala kao “C</w:t>
      </w:r>
      <w:r w:rsidR="00E342EA" w:rsidRPr="007223BC">
        <w:rPr>
          <w:sz w:val="22"/>
          <w:szCs w:val="22"/>
        </w:rPr>
        <w:t>τ</w:t>
      </w:r>
      <w:r w:rsidR="00E342EA" w:rsidRPr="007223BC">
        <w:rPr>
          <w:sz w:val="22"/>
          <w:szCs w:val="22"/>
          <w:lang w:val="sr-Latn-RS"/>
        </w:rPr>
        <w:t>”</w:t>
      </w:r>
      <w:bookmarkEnd w:id="0"/>
      <w:r w:rsidR="00E342EA" w:rsidRPr="007223BC">
        <w:rPr>
          <w:sz w:val="22"/>
          <w:szCs w:val="22"/>
          <w:lang w:val="sr-Latn-RS"/>
        </w:rPr>
        <w:t>)</w:t>
      </w:r>
      <w:r w:rsidRPr="007223BC">
        <w:rPr>
          <w:sz w:val="22"/>
          <w:szCs w:val="22"/>
          <w:lang w:val="sr-Latn-RS" w:eastAsia="sr-Latn-RS"/>
        </w:rPr>
        <w:t>. Tabela ne uključuje sve moguće interakcije, ali je reprezentativna za ispitivanu grupu ljekova.</w:t>
      </w:r>
    </w:p>
    <w:p w14:paraId="044415F8" w14:textId="77777777" w:rsidR="00DE74DF" w:rsidRPr="007223BC" w:rsidRDefault="00DE74DF" w:rsidP="00805A14">
      <w:pPr>
        <w:suppressLineNumbers/>
        <w:jc w:val="both"/>
        <w:rPr>
          <w:b/>
          <w:noProof/>
          <w:sz w:val="22"/>
          <w:szCs w:val="22"/>
          <w:lang w:val="sr-Latn-RS"/>
        </w:rPr>
      </w:pPr>
      <w:r w:rsidRPr="007223BC">
        <w:rPr>
          <w:b/>
          <w:noProof/>
          <w:sz w:val="22"/>
          <w:szCs w:val="22"/>
          <w:lang w:val="sr-Latn-RS"/>
        </w:rPr>
        <w:t>Tabela 1:</w:t>
      </w:r>
      <w:r w:rsidRPr="007223BC">
        <w:rPr>
          <w:b/>
          <w:noProof/>
          <w:sz w:val="22"/>
          <w:szCs w:val="22"/>
          <w:lang w:val="sr-Latn-RS"/>
        </w:rPr>
        <w:tab/>
        <w:t>Interakcije sa drugim ljekovima</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553"/>
        <w:gridCol w:w="3955"/>
      </w:tblGrid>
      <w:tr w:rsidR="00DE74DF" w:rsidRPr="007223BC" w14:paraId="3DE282E3" w14:textId="77777777" w:rsidTr="00104F5D">
        <w:tc>
          <w:tcPr>
            <w:tcW w:w="2972" w:type="dxa"/>
          </w:tcPr>
          <w:p w14:paraId="430B8FBA" w14:textId="77777777" w:rsidR="00DE74DF" w:rsidRPr="007223BC" w:rsidRDefault="00DE74DF" w:rsidP="00805A14">
            <w:pPr>
              <w:jc w:val="both"/>
              <w:rPr>
                <w:sz w:val="22"/>
                <w:szCs w:val="22"/>
                <w:lang w:val="sr-Latn-RS"/>
              </w:rPr>
            </w:pPr>
            <w:r w:rsidRPr="007223BC">
              <w:rPr>
                <w:b/>
                <w:sz w:val="22"/>
                <w:szCs w:val="22"/>
                <w:lang w:val="sr-Latn-RS"/>
              </w:rPr>
              <w:t>Ljekovi prema terapijskim oblastima</w:t>
            </w:r>
          </w:p>
        </w:tc>
        <w:tc>
          <w:tcPr>
            <w:tcW w:w="2553" w:type="dxa"/>
          </w:tcPr>
          <w:p w14:paraId="2D95BB19" w14:textId="77777777" w:rsidR="00DE74DF" w:rsidRPr="007223BC" w:rsidRDefault="00DE74DF" w:rsidP="00805A14">
            <w:pPr>
              <w:pStyle w:val="tabletextNS"/>
              <w:keepNext/>
              <w:jc w:val="both"/>
              <w:rPr>
                <w:rFonts w:ascii="Times New Roman" w:hAnsi="Times New Roman"/>
                <w:b/>
                <w:sz w:val="22"/>
                <w:szCs w:val="22"/>
                <w:lang w:val="sr-Latn-RS"/>
              </w:rPr>
            </w:pPr>
            <w:r w:rsidRPr="007223BC">
              <w:rPr>
                <w:rFonts w:ascii="Times New Roman" w:hAnsi="Times New Roman"/>
                <w:b/>
                <w:sz w:val="22"/>
                <w:szCs w:val="22"/>
                <w:lang w:val="sr-Latn-RS"/>
              </w:rPr>
              <w:t xml:space="preserve">Interakcija promjene geometrijske srednje vrijednosti (%) </w:t>
            </w:r>
          </w:p>
        </w:tc>
        <w:tc>
          <w:tcPr>
            <w:tcW w:w="3955" w:type="dxa"/>
          </w:tcPr>
          <w:p w14:paraId="64377077" w14:textId="77777777" w:rsidR="00DE74DF" w:rsidRPr="007223BC" w:rsidRDefault="00DE74DF" w:rsidP="00805A14">
            <w:pPr>
              <w:jc w:val="both"/>
              <w:rPr>
                <w:sz w:val="22"/>
                <w:szCs w:val="22"/>
                <w:lang w:val="sr-Latn-RS"/>
              </w:rPr>
            </w:pPr>
            <w:r w:rsidRPr="007223BC">
              <w:rPr>
                <w:b/>
                <w:sz w:val="22"/>
                <w:szCs w:val="22"/>
                <w:lang w:val="sr-Latn-RS"/>
              </w:rPr>
              <w:t>Preporuke za istovremenu primjenu</w:t>
            </w:r>
          </w:p>
        </w:tc>
      </w:tr>
      <w:tr w:rsidR="00DE74DF" w:rsidRPr="007223BC" w14:paraId="3CA933BF" w14:textId="77777777" w:rsidTr="00104F5D">
        <w:tc>
          <w:tcPr>
            <w:tcW w:w="9480" w:type="dxa"/>
            <w:gridSpan w:val="3"/>
          </w:tcPr>
          <w:p w14:paraId="35C40965" w14:textId="77777777" w:rsidR="00DE74DF" w:rsidRPr="007223BC" w:rsidRDefault="00DE74DF" w:rsidP="00805A14">
            <w:pPr>
              <w:jc w:val="both"/>
              <w:rPr>
                <w:sz w:val="22"/>
                <w:szCs w:val="22"/>
                <w:lang w:val="sr-Latn-RS"/>
              </w:rPr>
            </w:pPr>
            <w:r w:rsidRPr="007223BC">
              <w:rPr>
                <w:b/>
                <w:sz w:val="22"/>
                <w:szCs w:val="22"/>
                <w:lang w:val="sr-Latn-RS"/>
              </w:rPr>
              <w:t>Antiretrovirusni ljekovi</w:t>
            </w:r>
          </w:p>
        </w:tc>
      </w:tr>
      <w:tr w:rsidR="00DE74DF" w:rsidRPr="007223BC" w14:paraId="35F64CC6" w14:textId="77777777" w:rsidTr="00104F5D">
        <w:tc>
          <w:tcPr>
            <w:tcW w:w="9480" w:type="dxa"/>
            <w:gridSpan w:val="3"/>
          </w:tcPr>
          <w:p w14:paraId="4232E7E0" w14:textId="77777777" w:rsidR="00DE74DF" w:rsidRPr="007223BC" w:rsidRDefault="00DE74DF" w:rsidP="00805A14">
            <w:pPr>
              <w:jc w:val="both"/>
              <w:rPr>
                <w:i/>
                <w:iCs/>
                <w:sz w:val="22"/>
                <w:szCs w:val="22"/>
                <w:lang w:val="sr-Latn-RS"/>
              </w:rPr>
            </w:pPr>
            <w:r w:rsidRPr="007223BC">
              <w:rPr>
                <w:i/>
                <w:iCs/>
                <w:sz w:val="22"/>
                <w:szCs w:val="22"/>
                <w:lang w:val="sr-Latn-RS" w:eastAsia="sr-Latn-RS"/>
              </w:rPr>
              <w:t>Nenukleozidni inhibitori reverzne transkriptaze</w:t>
            </w:r>
          </w:p>
        </w:tc>
      </w:tr>
      <w:tr w:rsidR="00DE74DF" w:rsidRPr="00413968" w14:paraId="214A9028" w14:textId="77777777" w:rsidTr="00104F5D">
        <w:tc>
          <w:tcPr>
            <w:tcW w:w="2972" w:type="dxa"/>
          </w:tcPr>
          <w:p w14:paraId="44EC1DF3" w14:textId="77777777" w:rsidR="00DE74DF" w:rsidRPr="007223BC" w:rsidRDefault="00DE74DF" w:rsidP="00413968">
            <w:pPr>
              <w:rPr>
                <w:i/>
                <w:sz w:val="22"/>
                <w:szCs w:val="22"/>
                <w:lang w:val="sr-Latn-RS"/>
              </w:rPr>
            </w:pPr>
            <w:r w:rsidRPr="007223BC">
              <w:rPr>
                <w:sz w:val="22"/>
                <w:szCs w:val="22"/>
                <w:lang w:val="sr-Latn-RS"/>
              </w:rPr>
              <w:t>Etravirin bez pojačanih inhibitira proteaze / Dolutegravir</w:t>
            </w:r>
          </w:p>
        </w:tc>
        <w:tc>
          <w:tcPr>
            <w:tcW w:w="2553" w:type="dxa"/>
          </w:tcPr>
          <w:p w14:paraId="3145BAD6" w14:textId="77777777" w:rsidR="00DE74DF" w:rsidRPr="007223BC" w:rsidRDefault="00DE74DF" w:rsidP="00413968">
            <w:pPr>
              <w:rPr>
                <w:sz w:val="22"/>
                <w:szCs w:val="22"/>
                <w:lang w:val="sr-Latn-RS"/>
              </w:rPr>
            </w:pPr>
            <w:r w:rsidRPr="007223BC">
              <w:rPr>
                <w:sz w:val="22"/>
                <w:szCs w:val="22"/>
                <w:lang w:val="sr-Latn-RS"/>
              </w:rPr>
              <w:t xml:space="preserve">Dolutegravir </w:t>
            </w:r>
            <w:r w:rsidRPr="007223BC">
              <w:rPr>
                <w:sz w:val="22"/>
                <w:szCs w:val="22"/>
                <w:lang w:val="sr-Latn-RS"/>
              </w:rPr>
              <w:sym w:font="Symbol" w:char="F0AF"/>
            </w:r>
            <w:r w:rsidRPr="007223BC">
              <w:rPr>
                <w:sz w:val="22"/>
                <w:szCs w:val="22"/>
                <w:lang w:val="sr-Latn-RS"/>
              </w:rPr>
              <w:br/>
              <w:t xml:space="preserve">   PIK </w:t>
            </w:r>
            <w:r w:rsidRPr="007223BC">
              <w:rPr>
                <w:sz w:val="22"/>
                <w:szCs w:val="22"/>
                <w:lang w:val="sr-Latn-RS"/>
              </w:rPr>
              <w:sym w:font="Symbol" w:char="F0AF"/>
            </w:r>
            <w:r w:rsidRPr="007223BC">
              <w:rPr>
                <w:sz w:val="22"/>
                <w:szCs w:val="22"/>
                <w:lang w:val="sr-Latn-RS"/>
              </w:rPr>
              <w:t xml:space="preserve"> 71%</w:t>
            </w:r>
            <w:r w:rsidRPr="007223BC">
              <w:rPr>
                <w:sz w:val="22"/>
                <w:szCs w:val="22"/>
                <w:lang w:val="sr-Latn-RS"/>
              </w:rPr>
              <w:br/>
              <w:t xml:space="preserve">   C</w:t>
            </w:r>
            <w:r w:rsidRPr="007223BC">
              <w:rPr>
                <w:sz w:val="22"/>
                <w:szCs w:val="22"/>
                <w:vertAlign w:val="subscript"/>
                <w:lang w:val="sr-Latn-RS"/>
              </w:rPr>
              <w:t>max</w:t>
            </w:r>
            <w:r w:rsidRPr="007223BC">
              <w:rPr>
                <w:sz w:val="22"/>
                <w:szCs w:val="22"/>
                <w:lang w:val="sr-Latn-RS"/>
              </w:rPr>
              <w:t xml:space="preserve"> </w:t>
            </w:r>
            <w:r w:rsidRPr="007223BC">
              <w:rPr>
                <w:sz w:val="22"/>
                <w:szCs w:val="22"/>
                <w:lang w:val="sr-Latn-RS"/>
              </w:rPr>
              <w:sym w:font="Symbol" w:char="F0AF"/>
            </w:r>
            <w:r w:rsidRPr="007223BC">
              <w:rPr>
                <w:sz w:val="22"/>
                <w:szCs w:val="22"/>
                <w:lang w:val="sr-Latn-RS"/>
              </w:rPr>
              <w:t xml:space="preserve"> 52%</w:t>
            </w:r>
            <w:r w:rsidRPr="007223BC">
              <w:rPr>
                <w:sz w:val="22"/>
                <w:szCs w:val="22"/>
                <w:lang w:val="sr-Latn-RS"/>
              </w:rPr>
              <w:br/>
              <w:t xml:space="preserve">   C</w:t>
            </w:r>
            <w:r w:rsidRPr="007223BC">
              <w:rPr>
                <w:sz w:val="22"/>
                <w:szCs w:val="22"/>
                <w:lang w:val="sr-Latn-RS"/>
              </w:rPr>
              <w:sym w:font="Symbol" w:char="F074"/>
            </w:r>
            <w:r w:rsidRPr="007223BC">
              <w:rPr>
                <w:sz w:val="22"/>
                <w:szCs w:val="22"/>
                <w:lang w:val="sr-Latn-RS"/>
              </w:rPr>
              <w:t xml:space="preserve"> </w:t>
            </w:r>
            <w:r w:rsidRPr="007223BC">
              <w:rPr>
                <w:sz w:val="22"/>
                <w:szCs w:val="22"/>
                <w:lang w:val="sr-Latn-RS"/>
              </w:rPr>
              <w:sym w:font="Symbol" w:char="F0AF"/>
            </w:r>
            <w:r w:rsidRPr="007223BC">
              <w:rPr>
                <w:sz w:val="22"/>
                <w:szCs w:val="22"/>
                <w:lang w:val="sr-Latn-RS"/>
              </w:rPr>
              <w:t xml:space="preserve"> 88%</w:t>
            </w:r>
            <w:r w:rsidRPr="007223BC">
              <w:rPr>
                <w:sz w:val="22"/>
                <w:szCs w:val="22"/>
                <w:lang w:val="sr-Latn-RS"/>
              </w:rPr>
              <w:br/>
            </w:r>
          </w:p>
          <w:p w14:paraId="5B1D6920" w14:textId="77777777" w:rsidR="00DE74DF" w:rsidRPr="007223BC" w:rsidRDefault="00DE74DF" w:rsidP="00413968">
            <w:pPr>
              <w:rPr>
                <w:sz w:val="22"/>
                <w:szCs w:val="22"/>
                <w:lang w:val="sr-Latn-RS"/>
              </w:rPr>
            </w:pPr>
            <w:r w:rsidRPr="007223BC">
              <w:rPr>
                <w:sz w:val="22"/>
                <w:szCs w:val="22"/>
                <w:lang w:val="sr-Latn-RS"/>
              </w:rPr>
              <w:t>Etravirin</w:t>
            </w:r>
            <w:r w:rsidRPr="007223BC">
              <w:rPr>
                <w:sz w:val="22"/>
                <w:szCs w:val="22"/>
                <w:lang w:val="sr-Latn-RS"/>
              </w:rPr>
              <w:sym w:font="Symbol" w:char="F0AB"/>
            </w:r>
          </w:p>
          <w:p w14:paraId="1256D21C" w14:textId="77777777" w:rsidR="00DE74DF" w:rsidRPr="007223BC" w:rsidRDefault="00DE74DF" w:rsidP="00413968">
            <w:pPr>
              <w:rPr>
                <w:snapToGrid w:val="0"/>
                <w:sz w:val="22"/>
                <w:szCs w:val="22"/>
                <w:lang w:val="sr-Latn-RS"/>
              </w:rPr>
            </w:pPr>
            <w:r w:rsidRPr="007223BC">
              <w:rPr>
                <w:sz w:val="22"/>
                <w:szCs w:val="22"/>
                <w:lang w:val="sr-Latn-RS"/>
              </w:rPr>
              <w:t>(indukcija UGT1A1 i CYP3A enzima)</w:t>
            </w:r>
          </w:p>
        </w:tc>
        <w:tc>
          <w:tcPr>
            <w:tcW w:w="3955" w:type="dxa"/>
          </w:tcPr>
          <w:p w14:paraId="27C73BB6" w14:textId="77777777" w:rsidR="00DE74DF" w:rsidRPr="007223BC" w:rsidRDefault="00DE74DF" w:rsidP="00413968">
            <w:pPr>
              <w:rPr>
                <w:sz w:val="22"/>
                <w:szCs w:val="22"/>
                <w:lang w:val="sr-Latn-RS"/>
              </w:rPr>
            </w:pPr>
            <w:r w:rsidRPr="007223BC">
              <w:rPr>
                <w:sz w:val="22"/>
                <w:szCs w:val="22"/>
                <w:lang w:val="sr-Latn-RS" w:eastAsia="sr-Latn-RS"/>
              </w:rPr>
              <w:t>Etravirin bez pojačanih inhibitora proteaze smanjio je koncentraciju dolutegravira u plazmi. Za pacijente koji uzimaju etravirin bez pojačanih inhibitora proteaze</w:t>
            </w:r>
            <w:r w:rsidR="00D257AE" w:rsidRPr="007223BC">
              <w:rPr>
                <w:sz w:val="22"/>
                <w:szCs w:val="22"/>
                <w:lang w:val="sr-Latn-RS" w:eastAsia="sr-Latn-RS"/>
              </w:rPr>
              <w:t>,</w:t>
            </w:r>
            <w:r w:rsidRPr="007223BC">
              <w:rPr>
                <w:sz w:val="22"/>
                <w:szCs w:val="22"/>
                <w:lang w:val="sr-Latn-RS" w:eastAsia="sr-Latn-RS"/>
              </w:rPr>
              <w:t xml:space="preserve"> preporučena doza dolutegravira iznosi 50 mg dva puta na dan. Budući da je lijek DOVATO tableta sa fiksnom kombinacijom doza, tokom čitavog perioda istovremenog liječenja etravirinom bez pojačanih inhibitora proteaze potrebno je uzimati dodatnu tabletu dolutegravira od 50 mg, približno 12 sati nakon lijeka DOVATO (za to prilagođavanje doze dostupna je posebna formulacija dolutegravira, vidjeti </w:t>
            </w:r>
            <w:r w:rsidR="00340E08" w:rsidRPr="007223BC">
              <w:rPr>
                <w:sz w:val="22"/>
                <w:szCs w:val="22"/>
                <w:lang w:val="sr-Latn-RS" w:eastAsia="sr-Latn-RS"/>
              </w:rPr>
              <w:t>dio</w:t>
            </w:r>
            <w:r w:rsidRPr="007223BC">
              <w:rPr>
                <w:sz w:val="22"/>
                <w:szCs w:val="22"/>
                <w:lang w:val="sr-Latn-RS" w:eastAsia="sr-Latn-RS"/>
              </w:rPr>
              <w:t xml:space="preserve"> 4.2).</w:t>
            </w:r>
          </w:p>
        </w:tc>
      </w:tr>
      <w:tr w:rsidR="00DE74DF" w:rsidRPr="007223BC" w14:paraId="32D710A5" w14:textId="77777777" w:rsidTr="00104F5D">
        <w:tc>
          <w:tcPr>
            <w:tcW w:w="2972" w:type="dxa"/>
          </w:tcPr>
          <w:p w14:paraId="44891C9B" w14:textId="77777777" w:rsidR="00DE74DF" w:rsidRPr="007223BC" w:rsidRDefault="00DE74DF" w:rsidP="00413968">
            <w:pPr>
              <w:rPr>
                <w:sz w:val="22"/>
                <w:szCs w:val="22"/>
                <w:lang w:val="sr-Latn-RS"/>
              </w:rPr>
            </w:pPr>
            <w:r w:rsidRPr="007223BC">
              <w:rPr>
                <w:sz w:val="22"/>
                <w:szCs w:val="22"/>
                <w:lang w:val="sr-Latn-RS"/>
              </w:rPr>
              <w:t>Lopinavir+ritonavir+etravirin/ Dolutegravir</w:t>
            </w:r>
          </w:p>
        </w:tc>
        <w:tc>
          <w:tcPr>
            <w:tcW w:w="2553" w:type="dxa"/>
          </w:tcPr>
          <w:p w14:paraId="5B1B4A7D" w14:textId="77777777" w:rsidR="00DE74DF" w:rsidRPr="007223BC" w:rsidRDefault="00DE74DF" w:rsidP="00413968">
            <w:pPr>
              <w:rPr>
                <w:sz w:val="22"/>
                <w:szCs w:val="22"/>
                <w:lang w:val="sr-Latn-RS"/>
              </w:rPr>
            </w:pPr>
            <w:r w:rsidRPr="007223BC">
              <w:rPr>
                <w:sz w:val="22"/>
                <w:szCs w:val="22"/>
                <w:lang w:val="sr-Latn-RS"/>
              </w:rPr>
              <w:t xml:space="preserve">Dolutegravir </w:t>
            </w:r>
            <w:r w:rsidRPr="007223BC">
              <w:rPr>
                <w:sz w:val="22"/>
                <w:szCs w:val="22"/>
                <w:lang w:val="sr-Latn-RS"/>
              </w:rPr>
              <w:sym w:font="Symbol" w:char="F0AB"/>
            </w:r>
            <w:r w:rsidRPr="007223BC">
              <w:rPr>
                <w:sz w:val="22"/>
                <w:szCs w:val="22"/>
                <w:lang w:val="sr-Latn-RS"/>
              </w:rPr>
              <w:br/>
              <w:t xml:space="preserve">   PIK </w:t>
            </w:r>
            <w:r w:rsidRPr="007223BC">
              <w:rPr>
                <w:sz w:val="22"/>
                <w:szCs w:val="22"/>
                <w:lang w:val="sr-Latn-RS"/>
              </w:rPr>
              <w:sym w:font="Symbol" w:char="F0AD"/>
            </w:r>
            <w:r w:rsidRPr="007223BC">
              <w:rPr>
                <w:sz w:val="22"/>
                <w:szCs w:val="22"/>
                <w:lang w:val="sr-Latn-RS"/>
              </w:rPr>
              <w:t xml:space="preserve"> 11%</w:t>
            </w:r>
            <w:r w:rsidRPr="007223BC">
              <w:rPr>
                <w:sz w:val="22"/>
                <w:szCs w:val="22"/>
                <w:lang w:val="sr-Latn-RS"/>
              </w:rPr>
              <w:br/>
              <w:t xml:space="preserve">   C</w:t>
            </w:r>
            <w:r w:rsidRPr="007223BC">
              <w:rPr>
                <w:sz w:val="22"/>
                <w:szCs w:val="22"/>
                <w:vertAlign w:val="subscript"/>
                <w:lang w:val="sr-Latn-RS"/>
              </w:rPr>
              <w:t>max</w:t>
            </w:r>
            <w:r w:rsidRPr="007223BC">
              <w:rPr>
                <w:sz w:val="22"/>
                <w:szCs w:val="22"/>
                <w:lang w:val="sr-Latn-RS"/>
              </w:rPr>
              <w:t xml:space="preserve"> </w:t>
            </w:r>
            <w:r w:rsidRPr="007223BC">
              <w:rPr>
                <w:sz w:val="22"/>
                <w:szCs w:val="22"/>
                <w:lang w:val="sr-Latn-RS"/>
              </w:rPr>
              <w:sym w:font="Symbol" w:char="F0AD"/>
            </w:r>
            <w:r w:rsidRPr="007223BC">
              <w:rPr>
                <w:sz w:val="22"/>
                <w:szCs w:val="22"/>
                <w:lang w:val="sr-Latn-RS"/>
              </w:rPr>
              <w:t xml:space="preserve"> 7%</w:t>
            </w:r>
            <w:r w:rsidRPr="007223BC">
              <w:rPr>
                <w:sz w:val="22"/>
                <w:szCs w:val="22"/>
                <w:lang w:val="sr-Latn-RS"/>
              </w:rPr>
              <w:br/>
              <w:t xml:space="preserve">   C</w:t>
            </w:r>
            <w:r w:rsidRPr="007223BC">
              <w:rPr>
                <w:sz w:val="22"/>
                <w:szCs w:val="22"/>
                <w:lang w:val="sr-Latn-RS"/>
              </w:rPr>
              <w:sym w:font="Symbol" w:char="F074"/>
            </w:r>
            <w:r w:rsidRPr="007223BC">
              <w:rPr>
                <w:sz w:val="22"/>
                <w:szCs w:val="22"/>
                <w:lang w:val="sr-Latn-RS"/>
              </w:rPr>
              <w:t xml:space="preserve"> </w:t>
            </w:r>
            <w:r w:rsidRPr="007223BC">
              <w:rPr>
                <w:sz w:val="22"/>
                <w:szCs w:val="22"/>
                <w:lang w:val="sr-Latn-RS"/>
              </w:rPr>
              <w:sym w:font="Symbol" w:char="F0AD"/>
            </w:r>
            <w:r w:rsidRPr="007223BC">
              <w:rPr>
                <w:sz w:val="22"/>
                <w:szCs w:val="22"/>
                <w:lang w:val="sr-Latn-RS"/>
              </w:rPr>
              <w:t xml:space="preserve"> 28%</w:t>
            </w:r>
          </w:p>
          <w:p w14:paraId="410571A1" w14:textId="77777777" w:rsidR="00DE74DF" w:rsidRPr="007223BC" w:rsidRDefault="00DE74DF" w:rsidP="00413968">
            <w:pPr>
              <w:pStyle w:val="tabletextNS"/>
              <w:rPr>
                <w:rFonts w:ascii="Times New Roman" w:hAnsi="Times New Roman"/>
                <w:sz w:val="22"/>
                <w:szCs w:val="22"/>
                <w:lang w:val="sr-Latn-RS"/>
              </w:rPr>
            </w:pPr>
          </w:p>
          <w:p w14:paraId="08E50DA0" w14:textId="77777777" w:rsidR="00DE74DF" w:rsidRPr="007223BC" w:rsidRDefault="00DE74DF" w:rsidP="00413968">
            <w:pPr>
              <w:rPr>
                <w:sz w:val="22"/>
                <w:szCs w:val="22"/>
                <w:lang w:val="sr-Latn-RS"/>
              </w:rPr>
            </w:pPr>
            <w:r w:rsidRPr="007223BC">
              <w:rPr>
                <w:sz w:val="22"/>
                <w:szCs w:val="22"/>
                <w:lang w:val="sr-Latn-RS"/>
              </w:rPr>
              <w:t xml:space="preserve">Lopinavir </w:t>
            </w:r>
            <w:r w:rsidRPr="007223BC">
              <w:rPr>
                <w:sz w:val="22"/>
                <w:szCs w:val="22"/>
                <w:lang w:val="sr-Latn-RS"/>
              </w:rPr>
              <w:sym w:font="Symbol" w:char="F0AB"/>
            </w:r>
            <w:r w:rsidRPr="007223BC">
              <w:rPr>
                <w:sz w:val="22"/>
                <w:szCs w:val="22"/>
                <w:lang w:val="sr-Latn-RS"/>
              </w:rPr>
              <w:br/>
              <w:t xml:space="preserve">Ritonavir </w:t>
            </w:r>
            <w:r w:rsidRPr="007223BC">
              <w:rPr>
                <w:sz w:val="22"/>
                <w:szCs w:val="22"/>
                <w:lang w:val="sr-Latn-RS"/>
              </w:rPr>
              <w:sym w:font="Symbol" w:char="F0AB"/>
            </w:r>
            <w:r w:rsidRPr="007223BC">
              <w:rPr>
                <w:sz w:val="22"/>
                <w:szCs w:val="22"/>
                <w:lang w:val="sr-Latn-RS"/>
              </w:rPr>
              <w:br/>
              <w:t xml:space="preserve">Etravirin </w:t>
            </w:r>
            <w:r w:rsidRPr="007223BC">
              <w:rPr>
                <w:sz w:val="22"/>
                <w:szCs w:val="22"/>
                <w:lang w:val="sr-Latn-RS"/>
              </w:rPr>
              <w:sym w:font="Symbol" w:char="F0AB"/>
            </w:r>
          </w:p>
        </w:tc>
        <w:tc>
          <w:tcPr>
            <w:tcW w:w="3955" w:type="dxa"/>
          </w:tcPr>
          <w:p w14:paraId="56486853" w14:textId="77777777" w:rsidR="00DE74DF" w:rsidRPr="007223BC" w:rsidRDefault="00DE74DF" w:rsidP="00413968">
            <w:pPr>
              <w:rPr>
                <w:sz w:val="22"/>
                <w:szCs w:val="22"/>
                <w:lang w:val="sr-Latn-RS"/>
              </w:rPr>
            </w:pPr>
            <w:r w:rsidRPr="007223BC">
              <w:rPr>
                <w:sz w:val="22"/>
                <w:szCs w:val="22"/>
                <w:lang w:val="sr-Latn-RS"/>
              </w:rPr>
              <w:lastRenderedPageBreak/>
              <w:t>Nije potrebno prilagođavati dozu.</w:t>
            </w:r>
          </w:p>
        </w:tc>
      </w:tr>
      <w:tr w:rsidR="00DE74DF" w:rsidRPr="007223BC" w14:paraId="7E3EF778" w14:textId="77777777" w:rsidTr="00104F5D">
        <w:tc>
          <w:tcPr>
            <w:tcW w:w="2972" w:type="dxa"/>
          </w:tcPr>
          <w:p w14:paraId="7FA65145" w14:textId="77777777" w:rsidR="00DE74DF" w:rsidRPr="007223BC" w:rsidRDefault="00DE74DF" w:rsidP="00413968">
            <w:pPr>
              <w:rPr>
                <w:sz w:val="22"/>
                <w:szCs w:val="22"/>
                <w:lang w:val="sr-Latn-RS"/>
              </w:rPr>
            </w:pPr>
            <w:r w:rsidRPr="007223BC">
              <w:rPr>
                <w:sz w:val="22"/>
                <w:szCs w:val="22"/>
                <w:lang w:val="sr-Latn-RS"/>
              </w:rPr>
              <w:t>Darunavir+ritonavir+etravirin/ Dolutegravir</w:t>
            </w:r>
          </w:p>
        </w:tc>
        <w:tc>
          <w:tcPr>
            <w:tcW w:w="2553" w:type="dxa"/>
          </w:tcPr>
          <w:p w14:paraId="2A88C146" w14:textId="77777777" w:rsidR="00DE74DF" w:rsidRPr="007223BC" w:rsidRDefault="00DE74DF" w:rsidP="00413968">
            <w:pPr>
              <w:rPr>
                <w:sz w:val="22"/>
                <w:szCs w:val="22"/>
                <w:lang w:val="sr-Latn-RS"/>
              </w:rPr>
            </w:pPr>
            <w:r w:rsidRPr="007223BC">
              <w:rPr>
                <w:sz w:val="22"/>
                <w:szCs w:val="22"/>
                <w:lang w:val="sr-Latn-RS"/>
              </w:rPr>
              <w:t xml:space="preserve">Dolutegravir </w:t>
            </w:r>
            <w:r w:rsidRPr="007223BC">
              <w:rPr>
                <w:sz w:val="22"/>
                <w:szCs w:val="22"/>
                <w:lang w:val="sr-Latn-RS"/>
              </w:rPr>
              <w:sym w:font="Symbol" w:char="F0AF"/>
            </w:r>
            <w:r w:rsidRPr="007223BC">
              <w:rPr>
                <w:sz w:val="22"/>
                <w:szCs w:val="22"/>
                <w:lang w:val="sr-Latn-RS"/>
              </w:rPr>
              <w:br/>
              <w:t xml:space="preserve">   PIK </w:t>
            </w:r>
            <w:r w:rsidRPr="007223BC">
              <w:rPr>
                <w:sz w:val="22"/>
                <w:szCs w:val="22"/>
                <w:lang w:val="sr-Latn-RS"/>
              </w:rPr>
              <w:sym w:font="Symbol" w:char="F0AF"/>
            </w:r>
            <w:r w:rsidRPr="007223BC">
              <w:rPr>
                <w:sz w:val="22"/>
                <w:szCs w:val="22"/>
                <w:lang w:val="sr-Latn-RS"/>
              </w:rPr>
              <w:t xml:space="preserve"> 25%</w:t>
            </w:r>
            <w:r w:rsidRPr="007223BC">
              <w:rPr>
                <w:sz w:val="22"/>
                <w:szCs w:val="22"/>
                <w:lang w:val="sr-Latn-RS"/>
              </w:rPr>
              <w:br/>
              <w:t xml:space="preserve">   C</w:t>
            </w:r>
            <w:r w:rsidRPr="007223BC">
              <w:rPr>
                <w:sz w:val="22"/>
                <w:szCs w:val="22"/>
                <w:vertAlign w:val="subscript"/>
                <w:lang w:val="sr-Latn-RS"/>
              </w:rPr>
              <w:t>max</w:t>
            </w:r>
            <w:r w:rsidRPr="007223BC">
              <w:rPr>
                <w:sz w:val="22"/>
                <w:szCs w:val="22"/>
                <w:lang w:val="sr-Latn-RS"/>
              </w:rPr>
              <w:t xml:space="preserve"> </w:t>
            </w:r>
            <w:r w:rsidRPr="007223BC">
              <w:rPr>
                <w:sz w:val="22"/>
                <w:szCs w:val="22"/>
                <w:lang w:val="sr-Latn-RS"/>
              </w:rPr>
              <w:sym w:font="Symbol" w:char="F0AF"/>
            </w:r>
            <w:r w:rsidRPr="007223BC">
              <w:rPr>
                <w:sz w:val="22"/>
                <w:szCs w:val="22"/>
                <w:lang w:val="sr-Latn-RS"/>
              </w:rPr>
              <w:t xml:space="preserve"> 12%</w:t>
            </w:r>
            <w:r w:rsidRPr="007223BC">
              <w:rPr>
                <w:sz w:val="22"/>
                <w:szCs w:val="22"/>
                <w:lang w:val="sr-Latn-RS"/>
              </w:rPr>
              <w:br/>
              <w:t xml:space="preserve">   C</w:t>
            </w:r>
            <w:r w:rsidRPr="007223BC">
              <w:rPr>
                <w:sz w:val="22"/>
                <w:szCs w:val="22"/>
                <w:lang w:val="sr-Latn-RS"/>
              </w:rPr>
              <w:sym w:font="Symbol" w:char="F074"/>
            </w:r>
            <w:r w:rsidRPr="007223BC">
              <w:rPr>
                <w:sz w:val="22"/>
                <w:szCs w:val="22"/>
                <w:lang w:val="sr-Latn-RS"/>
              </w:rPr>
              <w:t xml:space="preserve"> </w:t>
            </w:r>
            <w:r w:rsidRPr="007223BC">
              <w:rPr>
                <w:sz w:val="22"/>
                <w:szCs w:val="22"/>
                <w:lang w:val="sr-Latn-RS"/>
              </w:rPr>
              <w:sym w:font="Symbol" w:char="F0AF"/>
            </w:r>
            <w:r w:rsidRPr="007223BC">
              <w:rPr>
                <w:sz w:val="22"/>
                <w:szCs w:val="22"/>
                <w:lang w:val="sr-Latn-RS"/>
              </w:rPr>
              <w:t xml:space="preserve"> 36%</w:t>
            </w:r>
          </w:p>
          <w:p w14:paraId="5B6B61FC" w14:textId="77777777" w:rsidR="00DE74DF" w:rsidRPr="007223BC" w:rsidRDefault="00DE74DF" w:rsidP="00413968">
            <w:pPr>
              <w:pStyle w:val="tabletextNS"/>
              <w:rPr>
                <w:rFonts w:ascii="Times New Roman" w:hAnsi="Times New Roman"/>
                <w:sz w:val="22"/>
                <w:szCs w:val="22"/>
                <w:lang w:val="sr-Latn-RS"/>
              </w:rPr>
            </w:pPr>
          </w:p>
          <w:p w14:paraId="419AEC4B" w14:textId="77777777" w:rsidR="00DE74DF" w:rsidRPr="007223BC" w:rsidRDefault="00DE74DF" w:rsidP="00413968">
            <w:pPr>
              <w:rPr>
                <w:sz w:val="22"/>
                <w:szCs w:val="22"/>
                <w:lang w:val="sr-Latn-RS"/>
              </w:rPr>
            </w:pPr>
            <w:r w:rsidRPr="007223BC">
              <w:rPr>
                <w:sz w:val="22"/>
                <w:szCs w:val="22"/>
                <w:lang w:val="sr-Latn-RS"/>
              </w:rPr>
              <w:t xml:space="preserve">Darunavir </w:t>
            </w:r>
            <w:r w:rsidRPr="007223BC">
              <w:rPr>
                <w:sz w:val="22"/>
                <w:szCs w:val="22"/>
                <w:lang w:val="sr-Latn-RS"/>
              </w:rPr>
              <w:sym w:font="Symbol" w:char="F0AB"/>
            </w:r>
            <w:r w:rsidRPr="007223BC">
              <w:rPr>
                <w:sz w:val="22"/>
                <w:szCs w:val="22"/>
                <w:lang w:val="sr-Latn-RS"/>
              </w:rPr>
              <w:br/>
              <w:t xml:space="preserve">Ritonavir </w:t>
            </w:r>
            <w:r w:rsidRPr="007223BC">
              <w:rPr>
                <w:sz w:val="22"/>
                <w:szCs w:val="22"/>
                <w:lang w:val="sr-Latn-RS"/>
              </w:rPr>
              <w:sym w:font="Symbol" w:char="F0AB"/>
            </w:r>
            <w:r w:rsidRPr="007223BC">
              <w:rPr>
                <w:sz w:val="22"/>
                <w:szCs w:val="22"/>
                <w:lang w:val="sr-Latn-RS"/>
              </w:rPr>
              <w:br/>
              <w:t xml:space="preserve">Etravirin </w:t>
            </w:r>
            <w:r w:rsidRPr="007223BC">
              <w:rPr>
                <w:sz w:val="22"/>
                <w:szCs w:val="22"/>
                <w:lang w:val="sr-Latn-RS"/>
              </w:rPr>
              <w:sym w:font="Symbol" w:char="F0AB"/>
            </w:r>
          </w:p>
        </w:tc>
        <w:tc>
          <w:tcPr>
            <w:tcW w:w="3955" w:type="dxa"/>
          </w:tcPr>
          <w:p w14:paraId="6F67DABA" w14:textId="77777777" w:rsidR="00DE74DF" w:rsidRPr="007223BC" w:rsidRDefault="00DE74DF" w:rsidP="00413968">
            <w:pPr>
              <w:rPr>
                <w:sz w:val="22"/>
                <w:szCs w:val="22"/>
                <w:lang w:val="sr-Latn-RS"/>
              </w:rPr>
            </w:pPr>
            <w:r w:rsidRPr="007223BC">
              <w:rPr>
                <w:sz w:val="22"/>
                <w:szCs w:val="22"/>
                <w:lang w:val="sr-Latn-RS"/>
              </w:rPr>
              <w:t>Nije potrebno prilagođavati dozu.</w:t>
            </w:r>
          </w:p>
        </w:tc>
      </w:tr>
      <w:tr w:rsidR="00DE74DF" w:rsidRPr="00413968" w14:paraId="6407B963" w14:textId="77777777" w:rsidTr="00104F5D">
        <w:tc>
          <w:tcPr>
            <w:tcW w:w="2972" w:type="dxa"/>
          </w:tcPr>
          <w:p w14:paraId="50A8B7FF" w14:textId="77777777" w:rsidR="00DE74DF" w:rsidRPr="007223BC" w:rsidRDefault="00DE74DF" w:rsidP="00413968">
            <w:pPr>
              <w:rPr>
                <w:sz w:val="22"/>
                <w:szCs w:val="22"/>
                <w:lang w:val="sr-Latn-RS"/>
              </w:rPr>
            </w:pPr>
            <w:r w:rsidRPr="007223BC">
              <w:rPr>
                <w:sz w:val="22"/>
                <w:szCs w:val="22"/>
                <w:lang w:val="sr-Latn-RS"/>
              </w:rPr>
              <w:t>Efavirenc/Dolutegravir</w:t>
            </w:r>
          </w:p>
        </w:tc>
        <w:tc>
          <w:tcPr>
            <w:tcW w:w="2553" w:type="dxa"/>
          </w:tcPr>
          <w:p w14:paraId="73A77FC9" w14:textId="77777777" w:rsidR="00DE74DF" w:rsidRPr="007223BC" w:rsidRDefault="00DE74DF" w:rsidP="00413968">
            <w:pPr>
              <w:pStyle w:val="tabletextNS"/>
              <w:rPr>
                <w:rFonts w:ascii="Times New Roman" w:hAnsi="Times New Roman"/>
                <w:sz w:val="22"/>
                <w:szCs w:val="22"/>
                <w:lang w:val="sr-Latn-RS"/>
              </w:rPr>
            </w:pPr>
            <w:r w:rsidRPr="007223BC">
              <w:rPr>
                <w:rFonts w:ascii="Times New Roman" w:hAnsi="Times New Roman"/>
                <w:sz w:val="22"/>
                <w:szCs w:val="22"/>
                <w:lang w:val="sr-Latn-RS"/>
              </w:rPr>
              <w:t xml:space="preserve">Dolutegravir </w:t>
            </w:r>
            <w:r w:rsidRPr="007223BC">
              <w:rPr>
                <w:rFonts w:ascii="Times New Roman" w:hAnsi="Times New Roman"/>
                <w:sz w:val="22"/>
                <w:szCs w:val="22"/>
                <w:lang w:val="sr-Latn-RS"/>
              </w:rPr>
              <w:sym w:font="Symbol" w:char="F0AF"/>
            </w:r>
            <w:r w:rsidRPr="007223BC">
              <w:rPr>
                <w:rFonts w:ascii="Times New Roman" w:hAnsi="Times New Roman"/>
                <w:sz w:val="22"/>
                <w:szCs w:val="22"/>
                <w:lang w:val="sr-Latn-RS"/>
              </w:rPr>
              <w:br/>
              <w:t xml:space="preserve">   PIK </w:t>
            </w:r>
            <w:r w:rsidRPr="007223BC">
              <w:rPr>
                <w:rFonts w:ascii="Times New Roman" w:hAnsi="Times New Roman"/>
                <w:sz w:val="22"/>
                <w:szCs w:val="22"/>
                <w:lang w:val="sr-Latn-RS"/>
              </w:rPr>
              <w:sym w:font="Symbol" w:char="F0AF"/>
            </w:r>
            <w:r w:rsidRPr="007223BC">
              <w:rPr>
                <w:rFonts w:ascii="Times New Roman" w:hAnsi="Times New Roman"/>
                <w:sz w:val="22"/>
                <w:szCs w:val="22"/>
                <w:lang w:val="sr-Latn-RS"/>
              </w:rPr>
              <w:t xml:space="preserve"> 57%</w:t>
            </w:r>
            <w:r w:rsidRPr="007223BC">
              <w:rPr>
                <w:rFonts w:ascii="Times New Roman" w:hAnsi="Times New Roman"/>
                <w:sz w:val="22"/>
                <w:szCs w:val="22"/>
                <w:lang w:val="sr-Latn-RS"/>
              </w:rPr>
              <w:br/>
              <w:t xml:space="preserve">   C</w:t>
            </w:r>
            <w:r w:rsidRPr="007223BC">
              <w:rPr>
                <w:rFonts w:ascii="Times New Roman" w:hAnsi="Times New Roman"/>
                <w:sz w:val="22"/>
                <w:szCs w:val="22"/>
                <w:vertAlign w:val="subscript"/>
                <w:lang w:val="sr-Latn-RS"/>
              </w:rPr>
              <w:t>max</w:t>
            </w:r>
            <w:r w:rsidRPr="007223BC">
              <w:rPr>
                <w:rFonts w:ascii="Times New Roman" w:hAnsi="Times New Roman"/>
                <w:sz w:val="22"/>
                <w:szCs w:val="22"/>
                <w:lang w:val="sr-Latn-RS"/>
              </w:rPr>
              <w:t xml:space="preserve"> </w:t>
            </w:r>
            <w:r w:rsidRPr="007223BC">
              <w:rPr>
                <w:rFonts w:ascii="Times New Roman" w:hAnsi="Times New Roman"/>
                <w:sz w:val="22"/>
                <w:szCs w:val="22"/>
                <w:lang w:val="sr-Latn-RS"/>
              </w:rPr>
              <w:sym w:font="Symbol" w:char="F0AF"/>
            </w:r>
            <w:r w:rsidRPr="007223BC">
              <w:rPr>
                <w:rFonts w:ascii="Times New Roman" w:hAnsi="Times New Roman"/>
                <w:sz w:val="22"/>
                <w:szCs w:val="22"/>
                <w:lang w:val="sr-Latn-RS"/>
              </w:rPr>
              <w:t xml:space="preserve"> 39%</w:t>
            </w:r>
            <w:r w:rsidRPr="007223BC">
              <w:rPr>
                <w:rFonts w:ascii="Times New Roman" w:hAnsi="Times New Roman"/>
                <w:sz w:val="22"/>
                <w:szCs w:val="22"/>
                <w:lang w:val="sr-Latn-RS"/>
              </w:rPr>
              <w:br/>
              <w:t xml:space="preserve">   C</w:t>
            </w:r>
            <w:r w:rsidRPr="007223BC">
              <w:rPr>
                <w:rFonts w:ascii="Times New Roman" w:hAnsi="Times New Roman"/>
                <w:sz w:val="22"/>
                <w:szCs w:val="22"/>
                <w:lang w:val="sr-Latn-RS"/>
              </w:rPr>
              <w:sym w:font="Symbol" w:char="F074"/>
            </w:r>
            <w:r w:rsidRPr="007223BC">
              <w:rPr>
                <w:rFonts w:ascii="Times New Roman" w:hAnsi="Times New Roman"/>
                <w:sz w:val="22"/>
                <w:szCs w:val="22"/>
                <w:lang w:val="sr-Latn-RS"/>
              </w:rPr>
              <w:t xml:space="preserve"> </w:t>
            </w:r>
            <w:r w:rsidRPr="007223BC">
              <w:rPr>
                <w:rFonts w:ascii="Times New Roman" w:hAnsi="Times New Roman"/>
                <w:sz w:val="22"/>
                <w:szCs w:val="22"/>
                <w:lang w:val="sr-Latn-RS"/>
              </w:rPr>
              <w:sym w:font="Symbol" w:char="F0AF"/>
            </w:r>
            <w:r w:rsidRPr="007223BC">
              <w:rPr>
                <w:rFonts w:ascii="Times New Roman" w:hAnsi="Times New Roman"/>
                <w:sz w:val="22"/>
                <w:szCs w:val="22"/>
                <w:lang w:val="sr-Latn-RS"/>
              </w:rPr>
              <w:t xml:space="preserve"> 75%</w:t>
            </w:r>
            <w:r w:rsidRPr="007223BC">
              <w:rPr>
                <w:rFonts w:ascii="Times New Roman" w:hAnsi="Times New Roman"/>
                <w:sz w:val="22"/>
                <w:szCs w:val="22"/>
                <w:lang w:val="sr-Latn-RS"/>
              </w:rPr>
              <w:br/>
            </w:r>
          </w:p>
          <w:p w14:paraId="7BDE2D2A" w14:textId="77777777" w:rsidR="00DE74DF" w:rsidRPr="007223BC" w:rsidRDefault="00DE74DF" w:rsidP="00413968">
            <w:pPr>
              <w:rPr>
                <w:sz w:val="22"/>
                <w:szCs w:val="22"/>
                <w:lang w:val="sr-Latn-RS"/>
              </w:rPr>
            </w:pPr>
            <w:r w:rsidRPr="007223BC">
              <w:rPr>
                <w:sz w:val="22"/>
                <w:szCs w:val="22"/>
                <w:lang w:val="sr-Latn-RS"/>
              </w:rPr>
              <w:t xml:space="preserve">Efavirenc </w:t>
            </w:r>
            <w:r w:rsidRPr="007223BC">
              <w:rPr>
                <w:sz w:val="22"/>
                <w:szCs w:val="22"/>
                <w:lang w:val="sr-Latn-RS"/>
              </w:rPr>
              <w:sym w:font="Symbol" w:char="F0AB"/>
            </w:r>
            <w:r w:rsidRPr="007223BC">
              <w:rPr>
                <w:sz w:val="22"/>
                <w:szCs w:val="22"/>
                <w:lang w:val="sr-Latn-RS"/>
              </w:rPr>
              <w:t xml:space="preserve"> (kontrole iz prethodnih ispitivanja)</w:t>
            </w:r>
          </w:p>
          <w:p w14:paraId="15779ADF" w14:textId="77777777" w:rsidR="00DE74DF" w:rsidRPr="007223BC" w:rsidRDefault="00DE74DF" w:rsidP="00413968">
            <w:pPr>
              <w:rPr>
                <w:snapToGrid w:val="0"/>
                <w:sz w:val="22"/>
                <w:szCs w:val="22"/>
                <w:lang w:val="sr-Latn-RS"/>
              </w:rPr>
            </w:pPr>
            <w:r w:rsidRPr="007223BC">
              <w:rPr>
                <w:sz w:val="22"/>
                <w:szCs w:val="22"/>
                <w:lang w:val="sr-Latn-RS"/>
              </w:rPr>
              <w:t>(indukcija enzima UGT1A1 i CYP3A)</w:t>
            </w:r>
          </w:p>
        </w:tc>
        <w:tc>
          <w:tcPr>
            <w:tcW w:w="3955" w:type="dxa"/>
          </w:tcPr>
          <w:p w14:paraId="287D252B" w14:textId="77777777" w:rsidR="00DE74DF" w:rsidRPr="007223BC" w:rsidRDefault="00DE74DF" w:rsidP="00413968">
            <w:pPr>
              <w:rPr>
                <w:sz w:val="22"/>
                <w:szCs w:val="22"/>
                <w:lang w:val="sr-Latn-RS"/>
              </w:rPr>
            </w:pPr>
            <w:r w:rsidRPr="007223BC">
              <w:rPr>
                <w:sz w:val="22"/>
                <w:szCs w:val="22"/>
                <w:lang w:val="sr-Latn-RS" w:eastAsia="sr-Latn-RS"/>
              </w:rPr>
              <w:t>Kod istovremene primjene sa efavirencom</w:t>
            </w:r>
            <w:r w:rsidR="009E67B5" w:rsidRPr="007223BC">
              <w:rPr>
                <w:sz w:val="22"/>
                <w:szCs w:val="22"/>
                <w:lang w:val="sr-Latn-RS" w:eastAsia="sr-Latn-RS"/>
              </w:rPr>
              <w:t>,</w:t>
            </w:r>
            <w:r w:rsidRPr="007223BC">
              <w:rPr>
                <w:sz w:val="22"/>
                <w:szCs w:val="22"/>
                <w:lang w:val="sr-Latn-RS" w:eastAsia="sr-Latn-RS"/>
              </w:rPr>
              <w:t xml:space="preserve"> preporučena doza dolutegravira iznosi 50 mg dva puta dnevno. Budući da je lijek DOVATO tableta sa fiksnom kombinacijom doza, tokom čitavog perioda istovremenog liječenja efavirencom potrebno je uzimati dodatnu tabletu dolutegravira od 50 mg, približno 12 sati nakon lijeka DOVATO (za to prilagođivanje doze dostupna je posebna formulacija dolutegravira, vidjeti </w:t>
            </w:r>
            <w:r w:rsidR="00340E08" w:rsidRPr="007223BC">
              <w:rPr>
                <w:sz w:val="22"/>
                <w:szCs w:val="22"/>
                <w:lang w:val="sr-Latn-RS" w:eastAsia="sr-Latn-RS"/>
              </w:rPr>
              <w:t>dio</w:t>
            </w:r>
            <w:r w:rsidRPr="007223BC">
              <w:rPr>
                <w:sz w:val="22"/>
                <w:szCs w:val="22"/>
                <w:lang w:val="sr-Latn-RS" w:eastAsia="sr-Latn-RS"/>
              </w:rPr>
              <w:t xml:space="preserve"> 4.2).</w:t>
            </w:r>
          </w:p>
        </w:tc>
      </w:tr>
      <w:tr w:rsidR="00DE74DF" w:rsidRPr="00413968" w14:paraId="1CBF5F16" w14:textId="77777777" w:rsidTr="00104F5D">
        <w:tc>
          <w:tcPr>
            <w:tcW w:w="2972" w:type="dxa"/>
          </w:tcPr>
          <w:p w14:paraId="175FF1D8" w14:textId="77777777" w:rsidR="00DE74DF" w:rsidRPr="007223BC" w:rsidRDefault="00DE74DF" w:rsidP="00413968">
            <w:pPr>
              <w:rPr>
                <w:sz w:val="22"/>
                <w:szCs w:val="22"/>
                <w:lang w:val="sr-Latn-RS"/>
              </w:rPr>
            </w:pPr>
            <w:r w:rsidRPr="007223BC">
              <w:rPr>
                <w:sz w:val="22"/>
                <w:szCs w:val="22"/>
                <w:lang w:val="sr-Latn-RS"/>
              </w:rPr>
              <w:t>Nevirapin/Dolutegravir</w:t>
            </w:r>
          </w:p>
        </w:tc>
        <w:tc>
          <w:tcPr>
            <w:tcW w:w="2553" w:type="dxa"/>
          </w:tcPr>
          <w:p w14:paraId="56CDAE01" w14:textId="77777777" w:rsidR="00DE74DF" w:rsidRPr="007223BC" w:rsidRDefault="00DE74DF" w:rsidP="00413968">
            <w:pPr>
              <w:rPr>
                <w:sz w:val="22"/>
                <w:szCs w:val="22"/>
                <w:lang w:val="sr-Latn-RS"/>
              </w:rPr>
            </w:pPr>
            <w:r w:rsidRPr="007223BC">
              <w:rPr>
                <w:sz w:val="22"/>
                <w:szCs w:val="22"/>
                <w:lang w:val="sr-Latn-RS"/>
              </w:rPr>
              <w:t xml:space="preserve">Dolutegravir </w:t>
            </w:r>
            <w:r w:rsidRPr="007223BC">
              <w:rPr>
                <w:sz w:val="22"/>
                <w:szCs w:val="22"/>
                <w:lang w:val="sr-Latn-RS"/>
              </w:rPr>
              <w:sym w:font="Symbol" w:char="F0AF"/>
            </w:r>
          </w:p>
          <w:p w14:paraId="2B994198" w14:textId="77777777" w:rsidR="00DE74DF" w:rsidRPr="007223BC" w:rsidRDefault="00DE74DF" w:rsidP="00413968">
            <w:pPr>
              <w:rPr>
                <w:snapToGrid w:val="0"/>
                <w:sz w:val="22"/>
                <w:szCs w:val="22"/>
                <w:lang w:val="sr-Latn-RS"/>
              </w:rPr>
            </w:pPr>
            <w:r w:rsidRPr="007223BC">
              <w:rPr>
                <w:snapToGrid w:val="0"/>
                <w:sz w:val="22"/>
                <w:szCs w:val="22"/>
                <w:lang w:val="sr-Latn-RS"/>
              </w:rPr>
              <w:t xml:space="preserve">(Interakcija se nije ispitivala, </w:t>
            </w:r>
            <w:r w:rsidRPr="007223BC">
              <w:rPr>
                <w:sz w:val="22"/>
                <w:szCs w:val="22"/>
                <w:lang w:val="sr-Latn-RS" w:eastAsia="sr-Latn-RS"/>
              </w:rPr>
              <w:t>zbog indukcije se očekuje smanjenje izloženosti slično onome opaženom kod primjene efavirenca</w:t>
            </w:r>
            <w:r w:rsidRPr="007223BC">
              <w:rPr>
                <w:snapToGrid w:val="0"/>
                <w:sz w:val="22"/>
                <w:szCs w:val="22"/>
                <w:lang w:val="sr-Latn-RS"/>
              </w:rPr>
              <w:t>)</w:t>
            </w:r>
          </w:p>
        </w:tc>
        <w:tc>
          <w:tcPr>
            <w:tcW w:w="3955" w:type="dxa"/>
          </w:tcPr>
          <w:p w14:paraId="317626E8" w14:textId="77777777" w:rsidR="00DE74DF" w:rsidRPr="007223BC" w:rsidRDefault="00DE74DF" w:rsidP="00413968">
            <w:pPr>
              <w:rPr>
                <w:sz w:val="22"/>
                <w:szCs w:val="22"/>
                <w:lang w:val="sr-Latn-RS" w:eastAsia="sr-Latn-RS"/>
              </w:rPr>
            </w:pPr>
            <w:r w:rsidRPr="007223BC">
              <w:rPr>
                <w:sz w:val="22"/>
                <w:szCs w:val="22"/>
                <w:lang w:val="sr-Latn-RS" w:eastAsia="sr-Latn-RS"/>
              </w:rPr>
              <w:t>Kod istovremene primjene sa nevirapinom</w:t>
            </w:r>
            <w:r w:rsidR="0078772F" w:rsidRPr="007223BC">
              <w:rPr>
                <w:sz w:val="22"/>
                <w:szCs w:val="22"/>
                <w:lang w:val="sr-Latn-RS" w:eastAsia="sr-Latn-RS"/>
              </w:rPr>
              <w:t>,</w:t>
            </w:r>
            <w:r w:rsidRPr="007223BC">
              <w:rPr>
                <w:sz w:val="22"/>
                <w:szCs w:val="22"/>
                <w:lang w:val="sr-Latn-RS" w:eastAsia="sr-Latn-RS"/>
              </w:rPr>
              <w:t xml:space="preserve"> preporučena doza dolutegravira iznosi 50 mg dva puta dnevno. Budući da je lijek DOVATO tableta sa fiksnom kombinacijom doza, tokom čitavog perioda istovremenog liječenja nevirapinom potrebno je uzimati dodatnu tabletu dolutegravira od 50 mg, približno 12 sati nakon lijeka DOVATO (za to prilagođavanje doze dostupna je posebna formulacija dolutegravira, vidjeti </w:t>
            </w:r>
            <w:r w:rsidR="00340E08" w:rsidRPr="007223BC">
              <w:rPr>
                <w:sz w:val="22"/>
                <w:szCs w:val="22"/>
                <w:lang w:val="sr-Latn-RS" w:eastAsia="sr-Latn-RS"/>
              </w:rPr>
              <w:t>dio</w:t>
            </w:r>
            <w:r w:rsidRPr="007223BC">
              <w:rPr>
                <w:sz w:val="22"/>
                <w:szCs w:val="22"/>
                <w:lang w:val="sr-Latn-RS" w:eastAsia="sr-Latn-RS"/>
              </w:rPr>
              <w:t xml:space="preserve"> 4.2).</w:t>
            </w:r>
          </w:p>
        </w:tc>
      </w:tr>
      <w:tr w:rsidR="00DE74DF" w:rsidRPr="007223BC" w14:paraId="16B0FE02" w14:textId="77777777" w:rsidTr="00104F5D">
        <w:tc>
          <w:tcPr>
            <w:tcW w:w="2972" w:type="dxa"/>
          </w:tcPr>
          <w:p w14:paraId="74AF896F" w14:textId="77777777" w:rsidR="00DE74DF" w:rsidRPr="007223BC" w:rsidRDefault="00DE74DF" w:rsidP="00413968">
            <w:pPr>
              <w:rPr>
                <w:sz w:val="22"/>
                <w:szCs w:val="22"/>
                <w:lang w:val="sr-Latn-RS"/>
              </w:rPr>
            </w:pPr>
            <w:r w:rsidRPr="007223BC">
              <w:rPr>
                <w:sz w:val="22"/>
                <w:szCs w:val="22"/>
                <w:lang w:val="sr-Latn-RS"/>
              </w:rPr>
              <w:t>Rilpivirin/Dolutegravir</w:t>
            </w:r>
          </w:p>
        </w:tc>
        <w:tc>
          <w:tcPr>
            <w:tcW w:w="2553" w:type="dxa"/>
          </w:tcPr>
          <w:p w14:paraId="0D385B3E" w14:textId="77777777" w:rsidR="00DE74DF" w:rsidRPr="007223BC" w:rsidRDefault="00DE74DF" w:rsidP="00413968">
            <w:pPr>
              <w:rPr>
                <w:sz w:val="22"/>
                <w:szCs w:val="22"/>
                <w:lang w:val="sr-Latn-RS"/>
              </w:rPr>
            </w:pPr>
            <w:r w:rsidRPr="007223BC">
              <w:rPr>
                <w:sz w:val="22"/>
                <w:szCs w:val="22"/>
                <w:lang w:val="sr-Latn-RS"/>
              </w:rPr>
              <w:t xml:space="preserve">Dolutegravir </w:t>
            </w:r>
            <w:r w:rsidRPr="007223BC">
              <w:rPr>
                <w:sz w:val="22"/>
                <w:szCs w:val="22"/>
                <w:lang w:val="sr-Latn-RS"/>
              </w:rPr>
              <w:sym w:font="Symbol" w:char="F0AB"/>
            </w:r>
          </w:p>
          <w:p w14:paraId="46110D00" w14:textId="77777777" w:rsidR="00DE74DF" w:rsidRPr="007223BC" w:rsidRDefault="00DE74DF" w:rsidP="00413968">
            <w:pPr>
              <w:rPr>
                <w:sz w:val="22"/>
                <w:szCs w:val="22"/>
                <w:lang w:val="sr-Latn-RS"/>
              </w:rPr>
            </w:pPr>
            <w:r w:rsidRPr="007223BC">
              <w:rPr>
                <w:sz w:val="22"/>
                <w:szCs w:val="22"/>
                <w:lang w:val="sr-Latn-RS"/>
              </w:rPr>
              <w:t xml:space="preserve">   PIK </w:t>
            </w:r>
            <w:r w:rsidRPr="007223BC">
              <w:rPr>
                <w:sz w:val="22"/>
                <w:szCs w:val="22"/>
                <w:lang w:val="sr-Latn-RS"/>
              </w:rPr>
              <w:sym w:font="Symbol" w:char="F0AD"/>
            </w:r>
            <w:r w:rsidRPr="007223BC">
              <w:rPr>
                <w:sz w:val="22"/>
                <w:szCs w:val="22"/>
                <w:lang w:val="sr-Latn-RS"/>
              </w:rPr>
              <w:t xml:space="preserve"> 12%</w:t>
            </w:r>
          </w:p>
          <w:p w14:paraId="172C8AAD" w14:textId="77777777" w:rsidR="00DE74DF" w:rsidRPr="007223BC" w:rsidRDefault="00DE74DF" w:rsidP="00413968">
            <w:pPr>
              <w:rPr>
                <w:sz w:val="22"/>
                <w:szCs w:val="22"/>
                <w:lang w:val="sr-Latn-RS"/>
              </w:rPr>
            </w:pPr>
            <w:r w:rsidRPr="007223BC">
              <w:rPr>
                <w:sz w:val="22"/>
                <w:szCs w:val="22"/>
                <w:lang w:val="sr-Latn-RS"/>
              </w:rPr>
              <w:t xml:space="preserve">   C</w:t>
            </w:r>
            <w:r w:rsidRPr="007223BC">
              <w:rPr>
                <w:sz w:val="22"/>
                <w:szCs w:val="22"/>
                <w:vertAlign w:val="subscript"/>
                <w:lang w:val="sr-Latn-RS"/>
              </w:rPr>
              <w:t>max</w:t>
            </w:r>
            <w:r w:rsidRPr="007223BC">
              <w:rPr>
                <w:sz w:val="22"/>
                <w:szCs w:val="22"/>
                <w:lang w:val="sr-Latn-RS"/>
              </w:rPr>
              <w:t xml:space="preserve"> </w:t>
            </w:r>
            <w:r w:rsidRPr="007223BC">
              <w:rPr>
                <w:sz w:val="22"/>
                <w:szCs w:val="22"/>
                <w:lang w:val="sr-Latn-RS"/>
              </w:rPr>
              <w:sym w:font="Symbol" w:char="F0AD"/>
            </w:r>
            <w:r w:rsidRPr="007223BC">
              <w:rPr>
                <w:sz w:val="22"/>
                <w:szCs w:val="22"/>
                <w:lang w:val="sr-Latn-RS"/>
              </w:rPr>
              <w:t xml:space="preserve"> 13%</w:t>
            </w:r>
          </w:p>
          <w:p w14:paraId="22D0C1E0" w14:textId="77777777" w:rsidR="00DE74DF" w:rsidRPr="007223BC" w:rsidRDefault="00DE74DF" w:rsidP="00413968">
            <w:pPr>
              <w:rPr>
                <w:sz w:val="22"/>
                <w:szCs w:val="22"/>
                <w:lang w:val="sr-Latn-RS"/>
              </w:rPr>
            </w:pPr>
            <w:r w:rsidRPr="007223BC">
              <w:rPr>
                <w:sz w:val="22"/>
                <w:szCs w:val="22"/>
                <w:lang w:val="sr-Latn-RS"/>
              </w:rPr>
              <w:t xml:space="preserve">   Cτ </w:t>
            </w:r>
            <w:r w:rsidRPr="007223BC">
              <w:rPr>
                <w:sz w:val="22"/>
                <w:szCs w:val="22"/>
                <w:lang w:val="sr-Latn-RS"/>
              </w:rPr>
              <w:sym w:font="Symbol" w:char="F0AD"/>
            </w:r>
            <w:r w:rsidRPr="007223BC">
              <w:rPr>
                <w:sz w:val="22"/>
                <w:szCs w:val="22"/>
                <w:lang w:val="sr-Latn-RS"/>
              </w:rPr>
              <w:t xml:space="preserve"> 22%</w:t>
            </w:r>
          </w:p>
          <w:p w14:paraId="3DAA7C9A" w14:textId="77777777" w:rsidR="00DE74DF" w:rsidRPr="007223BC" w:rsidRDefault="00DE74DF" w:rsidP="00413968">
            <w:pPr>
              <w:rPr>
                <w:snapToGrid w:val="0"/>
                <w:sz w:val="22"/>
                <w:szCs w:val="22"/>
                <w:lang w:val="sr-Latn-RS"/>
              </w:rPr>
            </w:pPr>
            <w:r w:rsidRPr="007223BC">
              <w:rPr>
                <w:sz w:val="22"/>
                <w:szCs w:val="22"/>
                <w:lang w:val="sr-Latn-RS"/>
              </w:rPr>
              <w:t xml:space="preserve">Rilpivirin </w:t>
            </w:r>
            <w:r w:rsidRPr="007223BC">
              <w:rPr>
                <w:sz w:val="22"/>
                <w:szCs w:val="22"/>
                <w:lang w:val="sr-Latn-RS"/>
              </w:rPr>
              <w:sym w:font="Symbol" w:char="F0AB"/>
            </w:r>
          </w:p>
        </w:tc>
        <w:tc>
          <w:tcPr>
            <w:tcW w:w="3955" w:type="dxa"/>
          </w:tcPr>
          <w:p w14:paraId="507AEBB2" w14:textId="77777777" w:rsidR="00DE74DF" w:rsidRPr="007223BC" w:rsidRDefault="00DE74DF" w:rsidP="00413968">
            <w:pPr>
              <w:rPr>
                <w:sz w:val="22"/>
                <w:szCs w:val="22"/>
                <w:lang w:val="sr-Latn-RS"/>
              </w:rPr>
            </w:pPr>
            <w:r w:rsidRPr="007223BC">
              <w:rPr>
                <w:sz w:val="22"/>
                <w:szCs w:val="22"/>
                <w:lang w:val="sr-Latn-RS" w:eastAsia="sr-Latn-RS"/>
              </w:rPr>
              <w:t>Nije potrebno prilagođavati dozu.</w:t>
            </w:r>
          </w:p>
        </w:tc>
      </w:tr>
      <w:tr w:rsidR="00DE74DF" w:rsidRPr="007223BC" w14:paraId="5C593E68" w14:textId="77777777" w:rsidTr="00104F5D">
        <w:tc>
          <w:tcPr>
            <w:tcW w:w="9480" w:type="dxa"/>
            <w:gridSpan w:val="3"/>
          </w:tcPr>
          <w:p w14:paraId="1F0D4D3F" w14:textId="77777777" w:rsidR="00DE74DF" w:rsidRPr="007223BC" w:rsidRDefault="00DE74DF" w:rsidP="00413968">
            <w:pPr>
              <w:rPr>
                <w:i/>
                <w:sz w:val="22"/>
                <w:szCs w:val="22"/>
                <w:lang w:val="sr-Latn-RS"/>
              </w:rPr>
            </w:pPr>
            <w:r w:rsidRPr="007223BC">
              <w:rPr>
                <w:i/>
                <w:iCs/>
                <w:sz w:val="22"/>
                <w:szCs w:val="22"/>
                <w:lang w:val="sr-Latn-RS" w:eastAsia="sr-Latn-RS"/>
              </w:rPr>
              <w:t>Nukleozidni inhibitori reverzne transkriptaze</w:t>
            </w:r>
            <w:r w:rsidRPr="007223BC">
              <w:rPr>
                <w:sz w:val="22"/>
                <w:szCs w:val="22"/>
                <w:lang w:val="sr-Latn-RS" w:eastAsia="sr-Latn-RS"/>
              </w:rPr>
              <w:t xml:space="preserve"> </w:t>
            </w:r>
            <w:r w:rsidRPr="007223BC">
              <w:rPr>
                <w:i/>
                <w:sz w:val="22"/>
                <w:szCs w:val="22"/>
                <w:lang w:val="sr-Latn-RS"/>
              </w:rPr>
              <w:t>(NRTIs)</w:t>
            </w:r>
          </w:p>
        </w:tc>
      </w:tr>
      <w:tr w:rsidR="00DE74DF" w:rsidRPr="00413968" w14:paraId="5E2C7575" w14:textId="77777777" w:rsidTr="00104F5D">
        <w:tc>
          <w:tcPr>
            <w:tcW w:w="2972" w:type="dxa"/>
          </w:tcPr>
          <w:p w14:paraId="66BBF16C" w14:textId="77777777" w:rsidR="00DE74DF" w:rsidRPr="007223BC" w:rsidRDefault="00DE74DF" w:rsidP="00413968">
            <w:pPr>
              <w:rPr>
                <w:sz w:val="22"/>
                <w:szCs w:val="22"/>
                <w:lang w:val="sr-Latn-RS"/>
              </w:rPr>
            </w:pPr>
            <w:r w:rsidRPr="007223BC">
              <w:rPr>
                <w:sz w:val="22"/>
                <w:szCs w:val="22"/>
                <w:lang w:val="sr-Latn-RS"/>
              </w:rPr>
              <w:t>Tenofovir</w:t>
            </w:r>
            <w:r w:rsidR="00B33219" w:rsidRPr="007223BC">
              <w:rPr>
                <w:sz w:val="22"/>
                <w:szCs w:val="22"/>
                <w:lang w:val="sr-Latn-RS"/>
              </w:rPr>
              <w:t xml:space="preserve"> </w:t>
            </w:r>
            <w:r w:rsidRPr="007223BC">
              <w:rPr>
                <w:sz w:val="22"/>
                <w:szCs w:val="22"/>
                <w:lang w:val="sr-Latn-RS"/>
              </w:rPr>
              <w:t>dizoproksil</w:t>
            </w:r>
            <w:r w:rsidRPr="007223BC" w:rsidDel="00CD20EB">
              <w:rPr>
                <w:sz w:val="22"/>
                <w:szCs w:val="22"/>
                <w:lang w:val="sr-Latn-RS"/>
              </w:rPr>
              <w:t xml:space="preserve"> </w:t>
            </w:r>
          </w:p>
          <w:p w14:paraId="5329ADAD" w14:textId="77777777" w:rsidR="00DE74DF" w:rsidRPr="007223BC" w:rsidRDefault="00DE74DF" w:rsidP="00413968">
            <w:pPr>
              <w:rPr>
                <w:sz w:val="22"/>
                <w:szCs w:val="22"/>
                <w:lang w:val="sr-Latn-RS"/>
              </w:rPr>
            </w:pPr>
          </w:p>
          <w:p w14:paraId="00F89FD7" w14:textId="77777777" w:rsidR="00DE74DF" w:rsidRPr="007223BC" w:rsidRDefault="00DE74DF" w:rsidP="00413968">
            <w:pPr>
              <w:rPr>
                <w:sz w:val="22"/>
                <w:szCs w:val="22"/>
                <w:lang w:val="sr-Latn-RS"/>
              </w:rPr>
            </w:pPr>
          </w:p>
          <w:p w14:paraId="5D18B459" w14:textId="77777777" w:rsidR="00DE74DF" w:rsidRPr="007223BC" w:rsidRDefault="00DE74DF" w:rsidP="00413968">
            <w:pPr>
              <w:rPr>
                <w:sz w:val="22"/>
                <w:szCs w:val="22"/>
                <w:lang w:val="sr-Latn-RS"/>
              </w:rPr>
            </w:pPr>
          </w:p>
          <w:p w14:paraId="17CBB1D9" w14:textId="77777777" w:rsidR="00DE74DF" w:rsidRPr="007223BC" w:rsidRDefault="00DE74DF" w:rsidP="00413968">
            <w:pPr>
              <w:rPr>
                <w:sz w:val="22"/>
                <w:szCs w:val="22"/>
                <w:lang w:val="sr-Latn-RS"/>
              </w:rPr>
            </w:pPr>
          </w:p>
          <w:p w14:paraId="7C7285E7" w14:textId="77777777" w:rsidR="00DE74DF" w:rsidRPr="007223BC" w:rsidRDefault="00DE74DF" w:rsidP="00413968">
            <w:pPr>
              <w:rPr>
                <w:sz w:val="22"/>
                <w:szCs w:val="22"/>
                <w:lang w:val="sr-Latn-RS"/>
              </w:rPr>
            </w:pPr>
          </w:p>
          <w:p w14:paraId="5087F856" w14:textId="77777777" w:rsidR="00DE74DF" w:rsidRPr="007223BC" w:rsidRDefault="00DE74DF" w:rsidP="00413968">
            <w:pPr>
              <w:rPr>
                <w:sz w:val="22"/>
                <w:szCs w:val="22"/>
                <w:lang w:val="sr-Latn-RS"/>
              </w:rPr>
            </w:pPr>
          </w:p>
          <w:p w14:paraId="0B4EDA2E" w14:textId="77777777" w:rsidR="00DE74DF" w:rsidRPr="007223BC" w:rsidRDefault="00DE74DF" w:rsidP="00413968">
            <w:pPr>
              <w:rPr>
                <w:sz w:val="22"/>
                <w:szCs w:val="22"/>
                <w:lang w:val="sr-Latn-RS"/>
              </w:rPr>
            </w:pPr>
            <w:r w:rsidRPr="007223BC">
              <w:rPr>
                <w:sz w:val="22"/>
                <w:szCs w:val="22"/>
                <w:lang w:val="sr-Latn-RS"/>
              </w:rPr>
              <w:t>Emtricitabin, didanozin, stavudin, tenofovir, alafenamid, zidovudin</w:t>
            </w:r>
          </w:p>
        </w:tc>
        <w:tc>
          <w:tcPr>
            <w:tcW w:w="2553" w:type="dxa"/>
          </w:tcPr>
          <w:p w14:paraId="6B14CF81" w14:textId="77777777" w:rsidR="00DE74DF" w:rsidRPr="007223BC" w:rsidRDefault="00DE74DF" w:rsidP="00413968">
            <w:pPr>
              <w:rPr>
                <w:sz w:val="22"/>
                <w:szCs w:val="22"/>
                <w:lang w:val="sr-Latn-RS"/>
              </w:rPr>
            </w:pPr>
            <w:r w:rsidRPr="007223BC">
              <w:rPr>
                <w:sz w:val="22"/>
                <w:szCs w:val="22"/>
                <w:lang w:val="sr-Latn-RS"/>
              </w:rPr>
              <w:t xml:space="preserve">Dolutegravir </w:t>
            </w:r>
            <w:r w:rsidRPr="007223BC">
              <w:rPr>
                <w:sz w:val="22"/>
                <w:szCs w:val="22"/>
                <w:lang w:val="sr-Latn-RS"/>
              </w:rPr>
              <w:sym w:font="Symbol" w:char="F0AB"/>
            </w:r>
          </w:p>
          <w:p w14:paraId="18697BEE" w14:textId="77777777" w:rsidR="00DE74DF" w:rsidRPr="007223BC" w:rsidRDefault="00DE74DF" w:rsidP="00413968">
            <w:pPr>
              <w:rPr>
                <w:sz w:val="22"/>
                <w:szCs w:val="22"/>
                <w:lang w:val="sr-Latn-RS"/>
              </w:rPr>
            </w:pPr>
            <w:r w:rsidRPr="007223BC">
              <w:rPr>
                <w:sz w:val="22"/>
                <w:szCs w:val="22"/>
                <w:lang w:val="sr-Latn-RS"/>
              </w:rPr>
              <w:t xml:space="preserve">   PIK </w:t>
            </w:r>
            <w:r w:rsidRPr="007223BC">
              <w:rPr>
                <w:sz w:val="22"/>
                <w:szCs w:val="22"/>
                <w:lang w:val="sr-Latn-RS"/>
              </w:rPr>
              <w:sym w:font="Symbol" w:char="F0AD"/>
            </w:r>
            <w:r w:rsidRPr="007223BC">
              <w:rPr>
                <w:sz w:val="22"/>
                <w:szCs w:val="22"/>
                <w:lang w:val="sr-Latn-RS"/>
              </w:rPr>
              <w:t xml:space="preserve"> 1%</w:t>
            </w:r>
          </w:p>
          <w:p w14:paraId="21C41AE0" w14:textId="77777777" w:rsidR="00DE74DF" w:rsidRPr="007223BC" w:rsidRDefault="00DE74DF" w:rsidP="00413968">
            <w:pPr>
              <w:rPr>
                <w:sz w:val="22"/>
                <w:szCs w:val="22"/>
                <w:lang w:val="sr-Latn-RS"/>
              </w:rPr>
            </w:pPr>
            <w:r w:rsidRPr="007223BC">
              <w:rPr>
                <w:sz w:val="22"/>
                <w:szCs w:val="22"/>
                <w:lang w:val="sr-Latn-RS"/>
              </w:rPr>
              <w:t xml:space="preserve">   C</w:t>
            </w:r>
            <w:r w:rsidRPr="007223BC">
              <w:rPr>
                <w:sz w:val="22"/>
                <w:szCs w:val="22"/>
                <w:vertAlign w:val="subscript"/>
                <w:lang w:val="sr-Latn-RS"/>
              </w:rPr>
              <w:t>max</w:t>
            </w:r>
            <w:r w:rsidRPr="007223BC">
              <w:rPr>
                <w:sz w:val="22"/>
                <w:szCs w:val="22"/>
                <w:lang w:val="sr-Latn-RS"/>
              </w:rPr>
              <w:t xml:space="preserve"> </w:t>
            </w:r>
            <w:r w:rsidRPr="007223BC">
              <w:rPr>
                <w:sz w:val="22"/>
                <w:szCs w:val="22"/>
                <w:lang w:val="sr-Latn-RS"/>
              </w:rPr>
              <w:sym w:font="Symbol" w:char="F0AF"/>
            </w:r>
            <w:r w:rsidRPr="007223BC">
              <w:rPr>
                <w:sz w:val="22"/>
                <w:szCs w:val="22"/>
                <w:lang w:val="sr-Latn-RS"/>
              </w:rPr>
              <w:t xml:space="preserve"> 3%</w:t>
            </w:r>
          </w:p>
          <w:p w14:paraId="7B47CCCD" w14:textId="77777777" w:rsidR="00DE74DF" w:rsidRPr="007223BC" w:rsidRDefault="00DE74DF" w:rsidP="00413968">
            <w:pPr>
              <w:rPr>
                <w:sz w:val="22"/>
                <w:szCs w:val="22"/>
                <w:lang w:val="sr-Latn-RS"/>
              </w:rPr>
            </w:pPr>
            <w:r w:rsidRPr="007223BC">
              <w:rPr>
                <w:sz w:val="22"/>
                <w:szCs w:val="22"/>
                <w:lang w:val="sr-Latn-RS"/>
              </w:rPr>
              <w:t xml:space="preserve">   Cτ </w:t>
            </w:r>
            <w:r w:rsidRPr="007223BC">
              <w:rPr>
                <w:sz w:val="22"/>
                <w:szCs w:val="22"/>
                <w:lang w:val="sr-Latn-RS"/>
              </w:rPr>
              <w:sym w:font="Symbol" w:char="F0AF"/>
            </w:r>
            <w:r w:rsidRPr="007223BC">
              <w:rPr>
                <w:sz w:val="22"/>
                <w:szCs w:val="22"/>
                <w:lang w:val="sr-Latn-RS"/>
              </w:rPr>
              <w:t xml:space="preserve"> 8%</w:t>
            </w:r>
          </w:p>
          <w:p w14:paraId="0C88D4FA" w14:textId="77777777" w:rsidR="00DE74DF" w:rsidRPr="007223BC" w:rsidRDefault="00DE74DF" w:rsidP="00413968">
            <w:pPr>
              <w:rPr>
                <w:sz w:val="22"/>
                <w:szCs w:val="22"/>
                <w:lang w:val="sr-Latn-RS"/>
              </w:rPr>
            </w:pPr>
            <w:r w:rsidRPr="007223BC">
              <w:rPr>
                <w:sz w:val="22"/>
                <w:szCs w:val="22"/>
                <w:lang w:val="sr-Latn-RS"/>
              </w:rPr>
              <w:t xml:space="preserve">Tenofovir </w:t>
            </w:r>
            <w:r w:rsidRPr="007223BC">
              <w:rPr>
                <w:sz w:val="22"/>
                <w:szCs w:val="22"/>
                <w:lang w:val="sr-Latn-RS"/>
              </w:rPr>
              <w:sym w:font="Symbol" w:char="F0AB"/>
            </w:r>
          </w:p>
          <w:p w14:paraId="785F4213" w14:textId="77777777" w:rsidR="00DE74DF" w:rsidRPr="007223BC" w:rsidRDefault="00DE74DF" w:rsidP="00413968">
            <w:pPr>
              <w:rPr>
                <w:sz w:val="22"/>
                <w:szCs w:val="22"/>
                <w:lang w:val="sr-Latn-RS"/>
              </w:rPr>
            </w:pPr>
          </w:p>
          <w:p w14:paraId="7976C923" w14:textId="77777777" w:rsidR="00DE74DF" w:rsidRPr="007223BC" w:rsidRDefault="00DE74DF" w:rsidP="00413968">
            <w:pPr>
              <w:rPr>
                <w:sz w:val="22"/>
                <w:szCs w:val="22"/>
                <w:lang w:val="sr-Latn-RS"/>
              </w:rPr>
            </w:pPr>
          </w:p>
          <w:p w14:paraId="5D0F35D4" w14:textId="77777777" w:rsidR="00DE74DF" w:rsidRPr="007223BC" w:rsidRDefault="00DE74DF" w:rsidP="00413968">
            <w:pPr>
              <w:rPr>
                <w:snapToGrid w:val="0"/>
                <w:sz w:val="22"/>
                <w:szCs w:val="22"/>
                <w:lang w:val="sr-Latn-RS"/>
              </w:rPr>
            </w:pPr>
            <w:r w:rsidRPr="007223BC">
              <w:rPr>
                <w:snapToGrid w:val="0"/>
                <w:sz w:val="22"/>
                <w:szCs w:val="22"/>
                <w:lang w:val="sr-Latn-RS"/>
              </w:rPr>
              <w:t>Interakcija se nije ispitivala</w:t>
            </w:r>
          </w:p>
          <w:p w14:paraId="2B90F86F" w14:textId="77777777" w:rsidR="00DE74DF" w:rsidRPr="007223BC" w:rsidRDefault="00DE74DF" w:rsidP="00413968">
            <w:pPr>
              <w:rPr>
                <w:snapToGrid w:val="0"/>
                <w:sz w:val="22"/>
                <w:szCs w:val="22"/>
                <w:lang w:val="sr-Latn-RS"/>
              </w:rPr>
            </w:pPr>
          </w:p>
        </w:tc>
        <w:tc>
          <w:tcPr>
            <w:tcW w:w="3955" w:type="dxa"/>
          </w:tcPr>
          <w:p w14:paraId="73977BCF" w14:textId="77777777" w:rsidR="00DE74DF" w:rsidRPr="007223BC" w:rsidRDefault="00DE74DF" w:rsidP="00413968">
            <w:pPr>
              <w:rPr>
                <w:sz w:val="22"/>
                <w:szCs w:val="22"/>
                <w:lang w:val="sr-Latn-RS"/>
              </w:rPr>
            </w:pPr>
            <w:r w:rsidRPr="007223BC">
              <w:rPr>
                <w:sz w:val="22"/>
                <w:szCs w:val="22"/>
                <w:lang w:val="sr-Latn-RS" w:eastAsia="sr-Latn-RS"/>
              </w:rPr>
              <w:t xml:space="preserve">Nije potrebno prilagođavati dozu kada se lijek DOVATO primjenjuje u kombinaciji sa tenofovirom, didanozinom, stavudinom ili zidovudinom. </w:t>
            </w:r>
          </w:p>
          <w:p w14:paraId="1575AAF7" w14:textId="77777777" w:rsidR="00DE74DF" w:rsidRPr="007223BC" w:rsidRDefault="00DE74DF" w:rsidP="00413968">
            <w:pPr>
              <w:rPr>
                <w:sz w:val="22"/>
                <w:szCs w:val="22"/>
                <w:lang w:val="sr-Latn-RS"/>
              </w:rPr>
            </w:pPr>
            <w:r w:rsidRPr="007223BC">
              <w:rPr>
                <w:sz w:val="22"/>
                <w:szCs w:val="22"/>
                <w:lang w:val="sr-Latn-RS" w:eastAsia="sr-Latn-RS"/>
              </w:rPr>
              <w:t>Ne preporučuje se primjena lijeka DOVATO u kombinaciji sa ljekovima koji sadrže emtricitabin, jer su i lamivudin (sastojak lijeka DOVATO) i emtricitabin citidinski analozi</w:t>
            </w:r>
            <w:r w:rsidR="00B33219" w:rsidRPr="007223BC">
              <w:rPr>
                <w:sz w:val="22"/>
                <w:szCs w:val="22"/>
                <w:lang w:val="sr-Latn-RS" w:eastAsia="sr-Latn-RS"/>
              </w:rPr>
              <w:t>,</w:t>
            </w:r>
            <w:r w:rsidRPr="007223BC">
              <w:rPr>
                <w:sz w:val="22"/>
                <w:szCs w:val="22"/>
                <w:lang w:val="sr-Latn-RS" w:eastAsia="sr-Latn-RS"/>
              </w:rPr>
              <w:t xml:space="preserve"> pa postoji rizik od unutarćelijskih interakcija (vidjeti </w:t>
            </w:r>
            <w:r w:rsidR="00340E08" w:rsidRPr="007223BC">
              <w:rPr>
                <w:sz w:val="22"/>
                <w:szCs w:val="22"/>
                <w:lang w:val="sr-Latn-RS" w:eastAsia="sr-Latn-RS"/>
              </w:rPr>
              <w:t>dio</w:t>
            </w:r>
            <w:r w:rsidRPr="007223BC">
              <w:rPr>
                <w:sz w:val="22"/>
                <w:szCs w:val="22"/>
                <w:lang w:val="sr-Latn-RS" w:eastAsia="sr-Latn-RS"/>
              </w:rPr>
              <w:t xml:space="preserve"> 4.4).</w:t>
            </w:r>
          </w:p>
        </w:tc>
      </w:tr>
      <w:tr w:rsidR="00DE74DF" w:rsidRPr="007223BC" w14:paraId="0A0629F5" w14:textId="77777777" w:rsidTr="00104F5D">
        <w:tc>
          <w:tcPr>
            <w:tcW w:w="9480" w:type="dxa"/>
            <w:gridSpan w:val="3"/>
          </w:tcPr>
          <w:p w14:paraId="6AA2FE64" w14:textId="77777777" w:rsidR="00DE74DF" w:rsidRPr="007223BC" w:rsidRDefault="00DE74DF" w:rsidP="00413968">
            <w:pPr>
              <w:rPr>
                <w:i/>
                <w:sz w:val="22"/>
                <w:szCs w:val="22"/>
                <w:lang w:val="sr-Latn-RS"/>
              </w:rPr>
            </w:pPr>
            <w:r w:rsidRPr="007223BC">
              <w:rPr>
                <w:i/>
                <w:sz w:val="22"/>
                <w:szCs w:val="22"/>
                <w:lang w:val="sr-Latn-RS"/>
              </w:rPr>
              <w:t>Inhibitori proteaze</w:t>
            </w:r>
          </w:p>
        </w:tc>
      </w:tr>
      <w:tr w:rsidR="00DE74DF" w:rsidRPr="007223BC" w14:paraId="7A8FD4DD" w14:textId="77777777" w:rsidTr="00104F5D">
        <w:tc>
          <w:tcPr>
            <w:tcW w:w="2972" w:type="dxa"/>
          </w:tcPr>
          <w:p w14:paraId="29845780" w14:textId="77777777" w:rsidR="00DE74DF" w:rsidRPr="007223BC" w:rsidRDefault="00DE74DF" w:rsidP="00413968">
            <w:pPr>
              <w:pStyle w:val="tabletextNS"/>
              <w:rPr>
                <w:rFonts w:ascii="Times New Roman" w:hAnsi="Times New Roman"/>
                <w:sz w:val="22"/>
                <w:szCs w:val="22"/>
                <w:lang w:val="sr-Latn-RS"/>
              </w:rPr>
            </w:pPr>
            <w:r w:rsidRPr="007223BC">
              <w:rPr>
                <w:rFonts w:ascii="Times New Roman" w:hAnsi="Times New Roman"/>
                <w:sz w:val="22"/>
                <w:szCs w:val="22"/>
                <w:lang w:val="sr-Latn-RS"/>
              </w:rPr>
              <w:t>Atazanavir/Dolutegravir</w:t>
            </w:r>
          </w:p>
        </w:tc>
        <w:tc>
          <w:tcPr>
            <w:tcW w:w="2553" w:type="dxa"/>
          </w:tcPr>
          <w:p w14:paraId="551D8584" w14:textId="77777777" w:rsidR="00DE74DF" w:rsidRPr="007223BC" w:rsidRDefault="00DE74DF" w:rsidP="00413968">
            <w:pPr>
              <w:pStyle w:val="tabletextNS"/>
              <w:rPr>
                <w:rFonts w:ascii="Times New Roman" w:hAnsi="Times New Roman"/>
                <w:sz w:val="22"/>
                <w:szCs w:val="22"/>
                <w:lang w:val="sr-Latn-RS"/>
              </w:rPr>
            </w:pPr>
            <w:r w:rsidRPr="007223BC">
              <w:rPr>
                <w:rFonts w:ascii="Times New Roman" w:hAnsi="Times New Roman"/>
                <w:sz w:val="22"/>
                <w:szCs w:val="22"/>
                <w:lang w:val="sr-Latn-RS"/>
              </w:rPr>
              <w:t xml:space="preserve">Dolutegravir </w:t>
            </w:r>
            <w:r w:rsidRPr="007223BC">
              <w:rPr>
                <w:rFonts w:ascii="Times New Roman" w:hAnsi="Times New Roman"/>
                <w:sz w:val="22"/>
                <w:szCs w:val="22"/>
                <w:lang w:val="sr-Latn-RS"/>
              </w:rPr>
              <w:sym w:font="Symbol" w:char="F0AD"/>
            </w:r>
            <w:r w:rsidRPr="007223BC">
              <w:rPr>
                <w:rFonts w:ascii="Times New Roman" w:hAnsi="Times New Roman"/>
                <w:sz w:val="22"/>
                <w:szCs w:val="22"/>
                <w:lang w:val="sr-Latn-RS"/>
              </w:rPr>
              <w:br/>
              <w:t xml:space="preserve">   PIK </w:t>
            </w:r>
            <w:r w:rsidRPr="007223BC">
              <w:rPr>
                <w:rFonts w:ascii="Times New Roman" w:hAnsi="Times New Roman"/>
                <w:sz w:val="22"/>
                <w:szCs w:val="22"/>
                <w:lang w:val="sr-Latn-RS"/>
              </w:rPr>
              <w:sym w:font="Symbol" w:char="F0AD"/>
            </w:r>
            <w:r w:rsidRPr="007223BC">
              <w:rPr>
                <w:rFonts w:ascii="Times New Roman" w:hAnsi="Times New Roman"/>
                <w:sz w:val="22"/>
                <w:szCs w:val="22"/>
                <w:lang w:val="sr-Latn-RS"/>
              </w:rPr>
              <w:t xml:space="preserve"> 91%</w:t>
            </w:r>
            <w:r w:rsidRPr="007223BC">
              <w:rPr>
                <w:rFonts w:ascii="Times New Roman" w:hAnsi="Times New Roman"/>
                <w:sz w:val="22"/>
                <w:szCs w:val="22"/>
                <w:lang w:val="sr-Latn-RS"/>
              </w:rPr>
              <w:br/>
            </w:r>
            <w:r w:rsidRPr="007223BC">
              <w:rPr>
                <w:rFonts w:ascii="Times New Roman" w:hAnsi="Times New Roman"/>
                <w:sz w:val="22"/>
                <w:szCs w:val="22"/>
                <w:lang w:val="sr-Latn-RS"/>
              </w:rPr>
              <w:lastRenderedPageBreak/>
              <w:t xml:space="preserve">   C</w:t>
            </w:r>
            <w:r w:rsidRPr="007223BC">
              <w:rPr>
                <w:rFonts w:ascii="Times New Roman" w:hAnsi="Times New Roman"/>
                <w:sz w:val="22"/>
                <w:szCs w:val="22"/>
                <w:vertAlign w:val="subscript"/>
                <w:lang w:val="sr-Latn-RS"/>
              </w:rPr>
              <w:t>max</w:t>
            </w:r>
            <w:r w:rsidRPr="007223BC">
              <w:rPr>
                <w:rFonts w:ascii="Times New Roman" w:hAnsi="Times New Roman"/>
                <w:sz w:val="22"/>
                <w:szCs w:val="22"/>
                <w:lang w:val="sr-Latn-RS"/>
              </w:rPr>
              <w:t xml:space="preserve"> </w:t>
            </w:r>
            <w:r w:rsidRPr="007223BC">
              <w:rPr>
                <w:rFonts w:ascii="Times New Roman" w:hAnsi="Times New Roman"/>
                <w:sz w:val="22"/>
                <w:szCs w:val="22"/>
                <w:lang w:val="sr-Latn-RS"/>
              </w:rPr>
              <w:sym w:font="Symbol" w:char="F0AD"/>
            </w:r>
            <w:r w:rsidRPr="007223BC">
              <w:rPr>
                <w:rFonts w:ascii="Times New Roman" w:hAnsi="Times New Roman"/>
                <w:sz w:val="22"/>
                <w:szCs w:val="22"/>
                <w:lang w:val="sr-Latn-RS"/>
              </w:rPr>
              <w:t xml:space="preserve"> 50%</w:t>
            </w:r>
            <w:r w:rsidRPr="007223BC">
              <w:rPr>
                <w:rFonts w:ascii="Times New Roman" w:hAnsi="Times New Roman"/>
                <w:sz w:val="22"/>
                <w:szCs w:val="22"/>
                <w:lang w:val="sr-Latn-RS"/>
              </w:rPr>
              <w:br/>
              <w:t xml:space="preserve">   C</w:t>
            </w:r>
            <w:r w:rsidRPr="007223BC">
              <w:rPr>
                <w:rFonts w:ascii="Times New Roman" w:hAnsi="Times New Roman"/>
                <w:sz w:val="22"/>
                <w:szCs w:val="22"/>
                <w:lang w:val="sr-Latn-RS"/>
              </w:rPr>
              <w:sym w:font="Symbol" w:char="F074"/>
            </w:r>
            <w:r w:rsidRPr="007223BC">
              <w:rPr>
                <w:rFonts w:ascii="Times New Roman" w:hAnsi="Times New Roman"/>
                <w:sz w:val="22"/>
                <w:szCs w:val="22"/>
                <w:lang w:val="sr-Latn-RS"/>
              </w:rPr>
              <w:t xml:space="preserve"> </w:t>
            </w:r>
            <w:r w:rsidRPr="007223BC">
              <w:rPr>
                <w:rFonts w:ascii="Times New Roman" w:hAnsi="Times New Roman"/>
                <w:sz w:val="22"/>
                <w:szCs w:val="22"/>
                <w:lang w:val="sr-Latn-RS"/>
              </w:rPr>
              <w:sym w:font="Symbol" w:char="F0AD"/>
            </w:r>
            <w:r w:rsidRPr="007223BC">
              <w:rPr>
                <w:rFonts w:ascii="Times New Roman" w:hAnsi="Times New Roman"/>
                <w:sz w:val="22"/>
                <w:szCs w:val="22"/>
                <w:lang w:val="sr-Latn-RS"/>
              </w:rPr>
              <w:t xml:space="preserve"> 180%</w:t>
            </w:r>
            <w:r w:rsidRPr="007223BC">
              <w:rPr>
                <w:rFonts w:ascii="Times New Roman" w:hAnsi="Times New Roman"/>
                <w:sz w:val="22"/>
                <w:szCs w:val="22"/>
                <w:lang w:val="sr-Latn-RS"/>
              </w:rPr>
              <w:br/>
            </w:r>
          </w:p>
          <w:p w14:paraId="689805BF" w14:textId="77777777" w:rsidR="00DE74DF" w:rsidRPr="007223BC" w:rsidRDefault="00DE74DF" w:rsidP="00413968">
            <w:pPr>
              <w:pStyle w:val="tabletextNS"/>
              <w:rPr>
                <w:rFonts w:ascii="Times New Roman" w:hAnsi="Times New Roman"/>
                <w:sz w:val="22"/>
                <w:szCs w:val="22"/>
                <w:lang w:val="sr-Latn-RS"/>
              </w:rPr>
            </w:pPr>
            <w:r w:rsidRPr="007223BC">
              <w:rPr>
                <w:rFonts w:ascii="Times New Roman" w:hAnsi="Times New Roman"/>
                <w:sz w:val="22"/>
                <w:szCs w:val="22"/>
                <w:lang w:val="sr-Latn-RS"/>
              </w:rPr>
              <w:t xml:space="preserve">Atazanavir </w:t>
            </w:r>
            <w:r w:rsidRPr="007223BC">
              <w:rPr>
                <w:rFonts w:ascii="Times New Roman" w:hAnsi="Times New Roman"/>
                <w:sz w:val="22"/>
                <w:szCs w:val="22"/>
                <w:lang w:val="sr-Latn-RS"/>
              </w:rPr>
              <w:sym w:font="Symbol" w:char="F0AB"/>
            </w:r>
            <w:r w:rsidRPr="007223BC">
              <w:rPr>
                <w:rFonts w:ascii="Times New Roman" w:hAnsi="Times New Roman"/>
                <w:sz w:val="22"/>
                <w:szCs w:val="22"/>
                <w:lang w:val="sr-Latn-RS"/>
              </w:rPr>
              <w:t xml:space="preserve"> (</w:t>
            </w:r>
            <w:r w:rsidRPr="007223BC">
              <w:rPr>
                <w:rFonts w:ascii="Times New Roman" w:hAnsi="Times New Roman"/>
                <w:sz w:val="22"/>
                <w:szCs w:val="22"/>
                <w:lang w:val="sr-Latn-RS" w:eastAsia="sr-Latn-RS"/>
              </w:rPr>
              <w:t>kontrole iz prethodnih ispitivanja)</w:t>
            </w:r>
          </w:p>
          <w:p w14:paraId="2B2166B3" w14:textId="77777777" w:rsidR="00DE74DF" w:rsidRPr="007223BC" w:rsidRDefault="00DE74DF" w:rsidP="00413968">
            <w:pPr>
              <w:pStyle w:val="tabletextNS"/>
              <w:rPr>
                <w:rFonts w:ascii="Times New Roman" w:hAnsi="Times New Roman"/>
                <w:snapToGrid w:val="0"/>
                <w:sz w:val="22"/>
                <w:szCs w:val="22"/>
                <w:lang w:val="sr-Latn-RS"/>
              </w:rPr>
            </w:pPr>
            <w:r w:rsidRPr="007223BC">
              <w:rPr>
                <w:rFonts w:ascii="Times New Roman" w:hAnsi="Times New Roman"/>
                <w:snapToGrid w:val="0"/>
                <w:sz w:val="22"/>
                <w:szCs w:val="22"/>
                <w:lang w:val="sr-Latn-RS"/>
              </w:rPr>
              <w:t>(inhibicija enzima UGT1A1 i CYP3A)</w:t>
            </w:r>
          </w:p>
        </w:tc>
        <w:tc>
          <w:tcPr>
            <w:tcW w:w="3955" w:type="dxa"/>
          </w:tcPr>
          <w:p w14:paraId="3B6DB399" w14:textId="77777777" w:rsidR="00DE74DF" w:rsidRPr="007223BC" w:rsidRDefault="00DE74DF" w:rsidP="00413968">
            <w:pPr>
              <w:rPr>
                <w:sz w:val="22"/>
                <w:szCs w:val="22"/>
                <w:lang w:val="sr-Latn-RS"/>
              </w:rPr>
            </w:pPr>
            <w:r w:rsidRPr="007223BC">
              <w:rPr>
                <w:sz w:val="22"/>
                <w:szCs w:val="22"/>
                <w:lang w:val="sr-Latn-RS" w:eastAsia="sr-Latn-RS"/>
              </w:rPr>
              <w:lastRenderedPageBreak/>
              <w:t>Nije potrebno prilagođavati dozu.</w:t>
            </w:r>
          </w:p>
        </w:tc>
      </w:tr>
      <w:tr w:rsidR="00DE74DF" w:rsidRPr="007223BC" w14:paraId="6A1E42D5" w14:textId="77777777" w:rsidTr="00104F5D">
        <w:tc>
          <w:tcPr>
            <w:tcW w:w="2972" w:type="dxa"/>
          </w:tcPr>
          <w:p w14:paraId="7AE60BC8" w14:textId="77777777" w:rsidR="00DE74DF" w:rsidRPr="007223BC" w:rsidRDefault="00DE74DF" w:rsidP="00413968">
            <w:pPr>
              <w:pStyle w:val="tabletextNS"/>
              <w:rPr>
                <w:rFonts w:ascii="Times New Roman" w:hAnsi="Times New Roman"/>
                <w:sz w:val="22"/>
                <w:szCs w:val="22"/>
                <w:lang w:val="sr-Latn-RS"/>
              </w:rPr>
            </w:pPr>
            <w:r w:rsidRPr="007223BC">
              <w:rPr>
                <w:rFonts w:ascii="Times New Roman" w:hAnsi="Times New Roman"/>
                <w:sz w:val="22"/>
                <w:szCs w:val="22"/>
                <w:lang w:val="sr-Latn-RS"/>
              </w:rPr>
              <w:t>Atazanavir+ ritonavir/ Dolutegravir</w:t>
            </w:r>
          </w:p>
        </w:tc>
        <w:tc>
          <w:tcPr>
            <w:tcW w:w="2553" w:type="dxa"/>
          </w:tcPr>
          <w:p w14:paraId="665EEE44" w14:textId="77777777" w:rsidR="00DE74DF" w:rsidRPr="007223BC" w:rsidRDefault="00DE74DF" w:rsidP="00413968">
            <w:pPr>
              <w:rPr>
                <w:sz w:val="22"/>
                <w:szCs w:val="22"/>
                <w:lang w:val="sr-Latn-RS"/>
              </w:rPr>
            </w:pPr>
            <w:r w:rsidRPr="007223BC">
              <w:rPr>
                <w:sz w:val="22"/>
                <w:szCs w:val="22"/>
                <w:lang w:val="sr-Latn-RS"/>
              </w:rPr>
              <w:t xml:space="preserve">Dolutegravir </w:t>
            </w:r>
            <w:r w:rsidRPr="007223BC">
              <w:rPr>
                <w:sz w:val="22"/>
                <w:szCs w:val="22"/>
                <w:lang w:val="sr-Latn-RS"/>
              </w:rPr>
              <w:sym w:font="Symbol" w:char="F0AD"/>
            </w:r>
            <w:r w:rsidRPr="007223BC">
              <w:rPr>
                <w:sz w:val="22"/>
                <w:szCs w:val="22"/>
                <w:lang w:val="sr-Latn-RS"/>
              </w:rPr>
              <w:br/>
              <w:t xml:space="preserve">   PIK </w:t>
            </w:r>
            <w:r w:rsidRPr="007223BC">
              <w:rPr>
                <w:sz w:val="22"/>
                <w:szCs w:val="22"/>
                <w:lang w:val="sr-Latn-RS"/>
              </w:rPr>
              <w:sym w:font="Symbol" w:char="F0AD"/>
            </w:r>
            <w:r w:rsidRPr="007223BC">
              <w:rPr>
                <w:sz w:val="22"/>
                <w:szCs w:val="22"/>
                <w:lang w:val="sr-Latn-RS"/>
              </w:rPr>
              <w:t xml:space="preserve"> 62%</w:t>
            </w:r>
            <w:r w:rsidRPr="007223BC">
              <w:rPr>
                <w:sz w:val="22"/>
                <w:szCs w:val="22"/>
                <w:lang w:val="sr-Latn-RS"/>
              </w:rPr>
              <w:br/>
              <w:t xml:space="preserve">   C</w:t>
            </w:r>
            <w:r w:rsidRPr="007223BC">
              <w:rPr>
                <w:sz w:val="22"/>
                <w:szCs w:val="22"/>
                <w:vertAlign w:val="subscript"/>
                <w:lang w:val="sr-Latn-RS"/>
              </w:rPr>
              <w:t>max</w:t>
            </w:r>
            <w:r w:rsidRPr="007223BC">
              <w:rPr>
                <w:sz w:val="22"/>
                <w:szCs w:val="22"/>
                <w:lang w:val="sr-Latn-RS"/>
              </w:rPr>
              <w:t xml:space="preserve"> </w:t>
            </w:r>
            <w:r w:rsidRPr="007223BC">
              <w:rPr>
                <w:sz w:val="22"/>
                <w:szCs w:val="22"/>
                <w:lang w:val="sr-Latn-RS"/>
              </w:rPr>
              <w:sym w:font="Symbol" w:char="F0AD"/>
            </w:r>
            <w:r w:rsidRPr="007223BC">
              <w:rPr>
                <w:sz w:val="22"/>
                <w:szCs w:val="22"/>
                <w:lang w:val="sr-Latn-RS"/>
              </w:rPr>
              <w:t xml:space="preserve"> 34%</w:t>
            </w:r>
            <w:r w:rsidRPr="007223BC">
              <w:rPr>
                <w:sz w:val="22"/>
                <w:szCs w:val="22"/>
                <w:lang w:val="sr-Latn-RS"/>
              </w:rPr>
              <w:br/>
              <w:t xml:space="preserve">   C</w:t>
            </w:r>
            <w:r w:rsidRPr="007223BC">
              <w:rPr>
                <w:sz w:val="22"/>
                <w:szCs w:val="22"/>
                <w:lang w:val="sr-Latn-RS"/>
              </w:rPr>
              <w:sym w:font="Symbol" w:char="F074"/>
            </w:r>
            <w:r w:rsidRPr="007223BC">
              <w:rPr>
                <w:sz w:val="22"/>
                <w:szCs w:val="22"/>
                <w:lang w:val="sr-Latn-RS"/>
              </w:rPr>
              <w:t xml:space="preserve"> </w:t>
            </w:r>
            <w:r w:rsidRPr="007223BC">
              <w:rPr>
                <w:sz w:val="22"/>
                <w:szCs w:val="22"/>
                <w:lang w:val="sr-Latn-RS"/>
              </w:rPr>
              <w:sym w:font="Symbol" w:char="F0AD"/>
            </w:r>
            <w:r w:rsidRPr="007223BC">
              <w:rPr>
                <w:sz w:val="22"/>
                <w:szCs w:val="22"/>
                <w:lang w:val="sr-Latn-RS"/>
              </w:rPr>
              <w:t xml:space="preserve"> 121%</w:t>
            </w:r>
            <w:r w:rsidRPr="007223BC">
              <w:rPr>
                <w:sz w:val="22"/>
                <w:szCs w:val="22"/>
                <w:lang w:val="sr-Latn-RS"/>
              </w:rPr>
              <w:br/>
            </w:r>
          </w:p>
          <w:p w14:paraId="62E79538" w14:textId="77777777" w:rsidR="00DE74DF" w:rsidRPr="007223BC" w:rsidRDefault="00DE74DF" w:rsidP="00413968">
            <w:pPr>
              <w:pStyle w:val="tabletextNS"/>
              <w:rPr>
                <w:rFonts w:ascii="Times New Roman" w:hAnsi="Times New Roman"/>
                <w:snapToGrid w:val="0"/>
                <w:sz w:val="22"/>
                <w:szCs w:val="22"/>
                <w:lang w:val="sr-Latn-RS"/>
              </w:rPr>
            </w:pPr>
            <w:r w:rsidRPr="007223BC">
              <w:rPr>
                <w:rFonts w:ascii="Times New Roman" w:hAnsi="Times New Roman"/>
                <w:sz w:val="22"/>
                <w:szCs w:val="22"/>
                <w:lang w:val="sr-Latn-RS"/>
              </w:rPr>
              <w:t xml:space="preserve">Atazanavir </w:t>
            </w:r>
            <w:r w:rsidRPr="007223BC">
              <w:rPr>
                <w:rFonts w:ascii="Times New Roman" w:hAnsi="Times New Roman"/>
                <w:sz w:val="22"/>
                <w:szCs w:val="22"/>
                <w:lang w:val="sr-Latn-RS"/>
              </w:rPr>
              <w:sym w:font="Symbol" w:char="F0AB"/>
            </w:r>
            <w:r w:rsidRPr="007223BC">
              <w:rPr>
                <w:rFonts w:ascii="Times New Roman" w:hAnsi="Times New Roman"/>
                <w:sz w:val="22"/>
                <w:szCs w:val="22"/>
                <w:lang w:val="sr-Latn-RS"/>
              </w:rPr>
              <w:br/>
              <w:t xml:space="preserve">Ritonavir </w:t>
            </w:r>
            <w:r w:rsidRPr="007223BC">
              <w:rPr>
                <w:rFonts w:ascii="Times New Roman" w:hAnsi="Times New Roman"/>
                <w:sz w:val="22"/>
                <w:szCs w:val="22"/>
                <w:lang w:val="sr-Latn-RS"/>
              </w:rPr>
              <w:sym w:font="Symbol" w:char="F0AB"/>
            </w:r>
          </w:p>
        </w:tc>
        <w:tc>
          <w:tcPr>
            <w:tcW w:w="3955" w:type="dxa"/>
          </w:tcPr>
          <w:p w14:paraId="69548279" w14:textId="77777777" w:rsidR="00DE74DF" w:rsidRPr="007223BC" w:rsidRDefault="00DE74DF" w:rsidP="00413968">
            <w:pPr>
              <w:rPr>
                <w:sz w:val="22"/>
                <w:szCs w:val="22"/>
                <w:lang w:val="sr-Latn-RS"/>
              </w:rPr>
            </w:pPr>
            <w:r w:rsidRPr="007223BC">
              <w:rPr>
                <w:sz w:val="22"/>
                <w:szCs w:val="22"/>
                <w:lang w:val="sr-Latn-RS" w:eastAsia="sr-Latn-RS"/>
              </w:rPr>
              <w:t>Nije potrebno prilagođavati dozu.</w:t>
            </w:r>
          </w:p>
        </w:tc>
      </w:tr>
      <w:tr w:rsidR="00DE74DF" w:rsidRPr="00413968" w14:paraId="3F92A40B" w14:textId="77777777" w:rsidTr="00104F5D">
        <w:tc>
          <w:tcPr>
            <w:tcW w:w="2972" w:type="dxa"/>
          </w:tcPr>
          <w:p w14:paraId="25F6CE48" w14:textId="77777777" w:rsidR="00DE74DF" w:rsidRPr="007223BC" w:rsidRDefault="00DE74DF" w:rsidP="00413968">
            <w:pPr>
              <w:pStyle w:val="tabletextNS"/>
              <w:rPr>
                <w:rFonts w:ascii="Times New Roman" w:hAnsi="Times New Roman"/>
                <w:sz w:val="22"/>
                <w:szCs w:val="22"/>
                <w:lang w:val="sr-Latn-RS"/>
              </w:rPr>
            </w:pPr>
            <w:r w:rsidRPr="007223BC">
              <w:rPr>
                <w:rFonts w:ascii="Times New Roman" w:hAnsi="Times New Roman"/>
                <w:sz w:val="22"/>
                <w:szCs w:val="22"/>
                <w:lang w:val="sr-Latn-RS"/>
              </w:rPr>
              <w:t>Tipranavir+ritonavir/ Dolutegravir</w:t>
            </w:r>
          </w:p>
        </w:tc>
        <w:tc>
          <w:tcPr>
            <w:tcW w:w="2553" w:type="dxa"/>
          </w:tcPr>
          <w:p w14:paraId="08545F06" w14:textId="77777777" w:rsidR="00DE74DF" w:rsidRPr="007223BC" w:rsidRDefault="00DE74DF" w:rsidP="00413968">
            <w:pPr>
              <w:pStyle w:val="tabletextNS"/>
              <w:rPr>
                <w:rFonts w:ascii="Times New Roman" w:hAnsi="Times New Roman"/>
                <w:snapToGrid w:val="0"/>
                <w:sz w:val="22"/>
                <w:szCs w:val="22"/>
                <w:lang w:val="sr-Latn-RS"/>
              </w:rPr>
            </w:pPr>
            <w:r w:rsidRPr="007223BC">
              <w:rPr>
                <w:rFonts w:ascii="Times New Roman" w:hAnsi="Times New Roman"/>
                <w:sz w:val="22"/>
                <w:szCs w:val="22"/>
                <w:lang w:val="sr-Latn-RS"/>
              </w:rPr>
              <w:t xml:space="preserve">Dolutegravir </w:t>
            </w:r>
            <w:r w:rsidRPr="007223BC">
              <w:rPr>
                <w:rFonts w:ascii="Times New Roman" w:hAnsi="Times New Roman"/>
                <w:sz w:val="22"/>
                <w:szCs w:val="22"/>
                <w:lang w:val="sr-Latn-RS"/>
              </w:rPr>
              <w:sym w:font="Symbol" w:char="F0AF"/>
            </w:r>
            <w:r w:rsidRPr="007223BC">
              <w:rPr>
                <w:rFonts w:ascii="Times New Roman" w:hAnsi="Times New Roman"/>
                <w:sz w:val="22"/>
                <w:szCs w:val="22"/>
                <w:lang w:val="sr-Latn-RS"/>
              </w:rPr>
              <w:br/>
              <w:t xml:space="preserve">   PIK </w:t>
            </w:r>
            <w:r w:rsidRPr="007223BC">
              <w:rPr>
                <w:rFonts w:ascii="Times New Roman" w:hAnsi="Times New Roman"/>
                <w:sz w:val="22"/>
                <w:szCs w:val="22"/>
                <w:lang w:val="sr-Latn-RS"/>
              </w:rPr>
              <w:sym w:font="Symbol" w:char="F0AF"/>
            </w:r>
            <w:r w:rsidRPr="007223BC">
              <w:rPr>
                <w:rFonts w:ascii="Times New Roman" w:hAnsi="Times New Roman"/>
                <w:sz w:val="22"/>
                <w:szCs w:val="22"/>
                <w:lang w:val="sr-Latn-RS"/>
              </w:rPr>
              <w:t xml:space="preserve"> 59%</w:t>
            </w:r>
            <w:r w:rsidRPr="007223BC">
              <w:rPr>
                <w:rFonts w:ascii="Times New Roman" w:hAnsi="Times New Roman"/>
                <w:sz w:val="22"/>
                <w:szCs w:val="22"/>
                <w:lang w:val="sr-Latn-RS"/>
              </w:rPr>
              <w:br/>
              <w:t xml:space="preserve">   C</w:t>
            </w:r>
            <w:r w:rsidRPr="007223BC">
              <w:rPr>
                <w:rFonts w:ascii="Times New Roman" w:hAnsi="Times New Roman"/>
                <w:sz w:val="22"/>
                <w:szCs w:val="22"/>
                <w:vertAlign w:val="subscript"/>
                <w:lang w:val="sr-Latn-RS"/>
              </w:rPr>
              <w:t>max</w:t>
            </w:r>
            <w:r w:rsidRPr="007223BC">
              <w:rPr>
                <w:rFonts w:ascii="Times New Roman" w:hAnsi="Times New Roman"/>
                <w:sz w:val="22"/>
                <w:szCs w:val="22"/>
                <w:lang w:val="sr-Latn-RS"/>
              </w:rPr>
              <w:t xml:space="preserve"> </w:t>
            </w:r>
            <w:r w:rsidRPr="007223BC">
              <w:rPr>
                <w:rFonts w:ascii="Times New Roman" w:hAnsi="Times New Roman"/>
                <w:sz w:val="22"/>
                <w:szCs w:val="22"/>
                <w:lang w:val="sr-Latn-RS"/>
              </w:rPr>
              <w:sym w:font="Symbol" w:char="F0AF"/>
            </w:r>
            <w:r w:rsidRPr="007223BC">
              <w:rPr>
                <w:rFonts w:ascii="Times New Roman" w:hAnsi="Times New Roman"/>
                <w:sz w:val="22"/>
                <w:szCs w:val="22"/>
                <w:lang w:val="sr-Latn-RS"/>
              </w:rPr>
              <w:t xml:space="preserve"> 47%</w:t>
            </w:r>
            <w:r w:rsidRPr="007223BC">
              <w:rPr>
                <w:rFonts w:ascii="Times New Roman" w:hAnsi="Times New Roman"/>
                <w:sz w:val="22"/>
                <w:szCs w:val="22"/>
                <w:lang w:val="sr-Latn-RS"/>
              </w:rPr>
              <w:br/>
              <w:t xml:space="preserve">   C</w:t>
            </w:r>
            <w:r w:rsidRPr="007223BC">
              <w:rPr>
                <w:rFonts w:ascii="Times New Roman" w:hAnsi="Times New Roman"/>
                <w:sz w:val="22"/>
                <w:szCs w:val="22"/>
                <w:lang w:val="sr-Latn-RS"/>
              </w:rPr>
              <w:sym w:font="Symbol" w:char="F074"/>
            </w:r>
            <w:r w:rsidRPr="007223BC">
              <w:rPr>
                <w:rFonts w:ascii="Times New Roman" w:hAnsi="Times New Roman"/>
                <w:sz w:val="22"/>
                <w:szCs w:val="22"/>
                <w:lang w:val="sr-Latn-RS"/>
              </w:rPr>
              <w:t xml:space="preserve"> </w:t>
            </w:r>
            <w:r w:rsidRPr="007223BC">
              <w:rPr>
                <w:rFonts w:ascii="Times New Roman" w:hAnsi="Times New Roman"/>
                <w:sz w:val="22"/>
                <w:szCs w:val="22"/>
                <w:lang w:val="sr-Latn-RS"/>
              </w:rPr>
              <w:sym w:font="Symbol" w:char="F0AF"/>
            </w:r>
            <w:r w:rsidRPr="007223BC">
              <w:rPr>
                <w:rFonts w:ascii="Times New Roman" w:hAnsi="Times New Roman"/>
                <w:sz w:val="22"/>
                <w:szCs w:val="22"/>
                <w:lang w:val="sr-Latn-RS"/>
              </w:rPr>
              <w:t xml:space="preserve"> 76%</w:t>
            </w:r>
            <w:r w:rsidRPr="007223BC">
              <w:rPr>
                <w:rFonts w:ascii="Times New Roman" w:hAnsi="Times New Roman"/>
                <w:sz w:val="22"/>
                <w:szCs w:val="22"/>
                <w:lang w:val="sr-Latn-RS"/>
              </w:rPr>
              <w:br/>
            </w:r>
          </w:p>
          <w:p w14:paraId="27CE2BDE" w14:textId="77777777" w:rsidR="00DE74DF" w:rsidRPr="007223BC" w:rsidRDefault="00DE74DF" w:rsidP="00413968">
            <w:pPr>
              <w:pStyle w:val="tabletextNS"/>
              <w:rPr>
                <w:rFonts w:ascii="Times New Roman" w:hAnsi="Times New Roman"/>
                <w:sz w:val="22"/>
                <w:szCs w:val="22"/>
                <w:lang w:val="sr-Latn-RS"/>
              </w:rPr>
            </w:pPr>
            <w:r w:rsidRPr="007223BC">
              <w:rPr>
                <w:rFonts w:ascii="Times New Roman" w:hAnsi="Times New Roman"/>
                <w:snapToGrid w:val="0"/>
                <w:sz w:val="22"/>
                <w:szCs w:val="22"/>
                <w:lang w:val="sr-Latn-RS"/>
              </w:rPr>
              <w:t xml:space="preserve">Tipranavir </w:t>
            </w:r>
            <w:r w:rsidRPr="007223BC">
              <w:rPr>
                <w:rFonts w:ascii="Times New Roman" w:hAnsi="Times New Roman"/>
                <w:sz w:val="22"/>
                <w:szCs w:val="22"/>
                <w:lang w:val="sr-Latn-RS"/>
              </w:rPr>
              <w:sym w:font="Symbol" w:char="F0AB"/>
            </w:r>
            <w:r w:rsidRPr="007223BC">
              <w:rPr>
                <w:rFonts w:ascii="Times New Roman" w:hAnsi="Times New Roman"/>
                <w:sz w:val="22"/>
                <w:szCs w:val="22"/>
                <w:lang w:val="sr-Latn-RS"/>
              </w:rPr>
              <w:br/>
            </w:r>
            <w:r w:rsidRPr="007223BC">
              <w:rPr>
                <w:rFonts w:ascii="Times New Roman" w:hAnsi="Times New Roman"/>
                <w:snapToGrid w:val="0"/>
                <w:sz w:val="22"/>
                <w:szCs w:val="22"/>
                <w:lang w:val="sr-Latn-RS"/>
              </w:rPr>
              <w:t xml:space="preserve">Ritonavir </w:t>
            </w:r>
            <w:r w:rsidRPr="007223BC">
              <w:rPr>
                <w:rFonts w:ascii="Times New Roman" w:hAnsi="Times New Roman"/>
                <w:sz w:val="22"/>
                <w:szCs w:val="22"/>
                <w:lang w:val="sr-Latn-RS"/>
              </w:rPr>
              <w:sym w:font="Symbol" w:char="F0AB"/>
            </w:r>
          </w:p>
          <w:p w14:paraId="2B75B074" w14:textId="7CE7787F" w:rsidR="00DE74DF" w:rsidRPr="007223BC" w:rsidRDefault="00DE74DF" w:rsidP="00413968">
            <w:pPr>
              <w:pStyle w:val="tabletextNS"/>
              <w:rPr>
                <w:rFonts w:ascii="Times New Roman" w:hAnsi="Times New Roman"/>
                <w:snapToGrid w:val="0"/>
                <w:sz w:val="22"/>
                <w:szCs w:val="22"/>
                <w:lang w:val="sr-Latn-RS"/>
              </w:rPr>
            </w:pPr>
            <w:r w:rsidRPr="007223BC">
              <w:rPr>
                <w:rFonts w:ascii="Times New Roman" w:hAnsi="Times New Roman"/>
                <w:snapToGrid w:val="0"/>
                <w:sz w:val="22"/>
                <w:szCs w:val="22"/>
                <w:lang w:val="sr-Latn-RS"/>
              </w:rPr>
              <w:t>(in</w:t>
            </w:r>
            <w:r w:rsidR="004D4749">
              <w:rPr>
                <w:rFonts w:ascii="Times New Roman" w:hAnsi="Times New Roman"/>
                <w:snapToGrid w:val="0"/>
                <w:sz w:val="22"/>
                <w:szCs w:val="22"/>
                <w:lang w:val="sr-Latn-RS"/>
              </w:rPr>
              <w:t>dukcija</w:t>
            </w:r>
            <w:r w:rsidRPr="007223BC">
              <w:rPr>
                <w:rFonts w:ascii="Times New Roman" w:hAnsi="Times New Roman"/>
                <w:snapToGrid w:val="0"/>
                <w:sz w:val="22"/>
                <w:szCs w:val="22"/>
                <w:lang w:val="sr-Latn-RS"/>
              </w:rPr>
              <w:t xml:space="preserve"> enzima UGT1A1 i CYP3A)</w:t>
            </w:r>
          </w:p>
        </w:tc>
        <w:tc>
          <w:tcPr>
            <w:tcW w:w="3955" w:type="dxa"/>
          </w:tcPr>
          <w:p w14:paraId="5CFF0C95" w14:textId="77777777" w:rsidR="00DE74DF" w:rsidRPr="007223BC" w:rsidRDefault="00DE74DF" w:rsidP="00413968">
            <w:pPr>
              <w:rPr>
                <w:sz w:val="22"/>
                <w:szCs w:val="22"/>
                <w:lang w:val="sr-Latn-RS"/>
              </w:rPr>
            </w:pPr>
            <w:r w:rsidRPr="007223BC">
              <w:rPr>
                <w:sz w:val="22"/>
                <w:szCs w:val="22"/>
                <w:lang w:val="sr-Latn-RS" w:eastAsia="sr-Latn-RS"/>
              </w:rPr>
              <w:t>Kod istovremene primjene sa tipranavirom/ritonavirom</w:t>
            </w:r>
            <w:r w:rsidR="00361F16" w:rsidRPr="007223BC">
              <w:rPr>
                <w:sz w:val="22"/>
                <w:szCs w:val="22"/>
                <w:lang w:val="sr-Latn-RS" w:eastAsia="sr-Latn-RS"/>
              </w:rPr>
              <w:t>,</w:t>
            </w:r>
            <w:r w:rsidRPr="007223BC">
              <w:rPr>
                <w:sz w:val="22"/>
                <w:szCs w:val="22"/>
                <w:lang w:val="sr-Latn-RS" w:eastAsia="sr-Latn-RS"/>
              </w:rPr>
              <w:t xml:space="preserve"> preporučena doza dolutegravira iznosi 50 mg dva puta dnevno. Budući da je lijek DOVATO tableta sa fiksnom kombinacijom doza, tokom čitavog perioda istovremenog liječenja tipranavirom/ritonavirom potrebno je uzimati dodatnu tabletu dolutegravira od 50 mg, približno 12 sati nakon lijeka DOVATO (za to prilagođavanje doze dostupna je posebna formulacija dolutegravira, vidjeti </w:t>
            </w:r>
            <w:r w:rsidR="00340E08" w:rsidRPr="007223BC">
              <w:rPr>
                <w:sz w:val="22"/>
                <w:szCs w:val="22"/>
                <w:lang w:val="sr-Latn-RS" w:eastAsia="sr-Latn-RS"/>
              </w:rPr>
              <w:t>dio</w:t>
            </w:r>
            <w:r w:rsidRPr="007223BC">
              <w:rPr>
                <w:sz w:val="22"/>
                <w:szCs w:val="22"/>
                <w:lang w:val="sr-Latn-RS" w:eastAsia="sr-Latn-RS"/>
              </w:rPr>
              <w:t xml:space="preserve"> 4.2).</w:t>
            </w:r>
          </w:p>
        </w:tc>
      </w:tr>
      <w:tr w:rsidR="00DE74DF" w:rsidRPr="007223BC" w14:paraId="0D7BCF4F" w14:textId="77777777" w:rsidTr="00104F5D">
        <w:tc>
          <w:tcPr>
            <w:tcW w:w="2972" w:type="dxa"/>
          </w:tcPr>
          <w:p w14:paraId="77AC13C2" w14:textId="77777777" w:rsidR="00DE74DF" w:rsidRPr="007223BC" w:rsidRDefault="00DE74DF" w:rsidP="00413968">
            <w:pPr>
              <w:pStyle w:val="tabletextNS"/>
              <w:rPr>
                <w:rFonts w:ascii="Times New Roman" w:hAnsi="Times New Roman"/>
                <w:sz w:val="22"/>
                <w:szCs w:val="22"/>
                <w:lang w:val="sr-Latn-RS"/>
              </w:rPr>
            </w:pPr>
            <w:r w:rsidRPr="007223BC">
              <w:rPr>
                <w:rFonts w:ascii="Times New Roman" w:hAnsi="Times New Roman"/>
                <w:sz w:val="22"/>
                <w:szCs w:val="22"/>
                <w:lang w:val="sr-Latn-RS"/>
              </w:rPr>
              <w:t>Fosamprenavir+ritonavir/ Dolutegravir</w:t>
            </w:r>
          </w:p>
        </w:tc>
        <w:tc>
          <w:tcPr>
            <w:tcW w:w="2553" w:type="dxa"/>
          </w:tcPr>
          <w:p w14:paraId="1F7EEA8C" w14:textId="77777777" w:rsidR="00DE74DF" w:rsidRPr="007223BC" w:rsidRDefault="00DE74DF" w:rsidP="00413968">
            <w:pPr>
              <w:pStyle w:val="tabletextNS"/>
              <w:rPr>
                <w:rFonts w:ascii="Times New Roman" w:hAnsi="Times New Roman"/>
                <w:snapToGrid w:val="0"/>
                <w:sz w:val="22"/>
                <w:szCs w:val="22"/>
                <w:lang w:val="sr-Latn-RS"/>
              </w:rPr>
            </w:pPr>
            <w:r w:rsidRPr="007223BC">
              <w:rPr>
                <w:rFonts w:ascii="Times New Roman" w:hAnsi="Times New Roman"/>
                <w:sz w:val="22"/>
                <w:szCs w:val="22"/>
                <w:lang w:val="sr-Latn-RS"/>
              </w:rPr>
              <w:t>Dolutegravir</w:t>
            </w:r>
            <w:r w:rsidRPr="007223BC">
              <w:rPr>
                <w:rFonts w:ascii="Times New Roman" w:hAnsi="Times New Roman"/>
                <w:sz w:val="22"/>
                <w:szCs w:val="22"/>
                <w:lang w:val="sr-Latn-RS"/>
              </w:rPr>
              <w:sym w:font="Symbol" w:char="F0AF"/>
            </w:r>
            <w:r w:rsidRPr="007223BC">
              <w:rPr>
                <w:rFonts w:ascii="Times New Roman" w:hAnsi="Times New Roman"/>
                <w:sz w:val="22"/>
                <w:szCs w:val="22"/>
                <w:lang w:val="sr-Latn-RS"/>
              </w:rPr>
              <w:br/>
              <w:t xml:space="preserve">   PIK </w:t>
            </w:r>
            <w:r w:rsidRPr="007223BC">
              <w:rPr>
                <w:rFonts w:ascii="Times New Roman" w:hAnsi="Times New Roman"/>
                <w:sz w:val="22"/>
                <w:szCs w:val="22"/>
                <w:lang w:val="sr-Latn-RS"/>
              </w:rPr>
              <w:sym w:font="Symbol" w:char="F0AF"/>
            </w:r>
            <w:r w:rsidRPr="007223BC">
              <w:rPr>
                <w:rFonts w:ascii="Times New Roman" w:hAnsi="Times New Roman"/>
                <w:sz w:val="22"/>
                <w:szCs w:val="22"/>
                <w:lang w:val="sr-Latn-RS"/>
              </w:rPr>
              <w:t xml:space="preserve"> 35%</w:t>
            </w:r>
            <w:r w:rsidRPr="007223BC">
              <w:rPr>
                <w:rFonts w:ascii="Times New Roman" w:hAnsi="Times New Roman"/>
                <w:sz w:val="22"/>
                <w:szCs w:val="22"/>
                <w:lang w:val="sr-Latn-RS"/>
              </w:rPr>
              <w:br/>
              <w:t xml:space="preserve">   C</w:t>
            </w:r>
            <w:r w:rsidRPr="007223BC">
              <w:rPr>
                <w:rFonts w:ascii="Times New Roman" w:hAnsi="Times New Roman"/>
                <w:sz w:val="22"/>
                <w:szCs w:val="22"/>
                <w:vertAlign w:val="subscript"/>
                <w:lang w:val="sr-Latn-RS"/>
              </w:rPr>
              <w:t>max</w:t>
            </w:r>
            <w:r w:rsidRPr="007223BC">
              <w:rPr>
                <w:rFonts w:ascii="Times New Roman" w:hAnsi="Times New Roman"/>
                <w:sz w:val="22"/>
                <w:szCs w:val="22"/>
                <w:lang w:val="sr-Latn-RS"/>
              </w:rPr>
              <w:t xml:space="preserve"> </w:t>
            </w:r>
            <w:r w:rsidRPr="007223BC">
              <w:rPr>
                <w:rFonts w:ascii="Times New Roman" w:hAnsi="Times New Roman"/>
                <w:sz w:val="22"/>
                <w:szCs w:val="22"/>
                <w:lang w:val="sr-Latn-RS"/>
              </w:rPr>
              <w:sym w:font="Symbol" w:char="F0AF"/>
            </w:r>
            <w:r w:rsidRPr="007223BC">
              <w:rPr>
                <w:rFonts w:ascii="Times New Roman" w:hAnsi="Times New Roman"/>
                <w:sz w:val="22"/>
                <w:szCs w:val="22"/>
                <w:lang w:val="sr-Latn-RS"/>
              </w:rPr>
              <w:t xml:space="preserve"> 24%</w:t>
            </w:r>
            <w:r w:rsidRPr="007223BC">
              <w:rPr>
                <w:rFonts w:ascii="Times New Roman" w:hAnsi="Times New Roman"/>
                <w:sz w:val="22"/>
                <w:szCs w:val="22"/>
                <w:lang w:val="sr-Latn-RS"/>
              </w:rPr>
              <w:br/>
              <w:t xml:space="preserve">   C</w:t>
            </w:r>
            <w:r w:rsidRPr="007223BC">
              <w:rPr>
                <w:rFonts w:ascii="Times New Roman" w:hAnsi="Times New Roman"/>
                <w:sz w:val="22"/>
                <w:szCs w:val="22"/>
                <w:lang w:val="sr-Latn-RS"/>
              </w:rPr>
              <w:sym w:font="Symbol" w:char="F074"/>
            </w:r>
            <w:r w:rsidRPr="007223BC">
              <w:rPr>
                <w:rFonts w:ascii="Times New Roman" w:hAnsi="Times New Roman"/>
                <w:sz w:val="22"/>
                <w:szCs w:val="22"/>
                <w:lang w:val="sr-Latn-RS"/>
              </w:rPr>
              <w:t xml:space="preserve"> </w:t>
            </w:r>
            <w:r w:rsidRPr="007223BC">
              <w:rPr>
                <w:rFonts w:ascii="Times New Roman" w:hAnsi="Times New Roman"/>
                <w:sz w:val="22"/>
                <w:szCs w:val="22"/>
                <w:lang w:val="sr-Latn-RS"/>
              </w:rPr>
              <w:sym w:font="Symbol" w:char="F0AF"/>
            </w:r>
            <w:r w:rsidRPr="007223BC">
              <w:rPr>
                <w:rFonts w:ascii="Times New Roman" w:hAnsi="Times New Roman"/>
                <w:sz w:val="22"/>
                <w:szCs w:val="22"/>
                <w:lang w:val="sr-Latn-RS"/>
              </w:rPr>
              <w:t xml:space="preserve"> 49%</w:t>
            </w:r>
            <w:r w:rsidRPr="007223BC">
              <w:rPr>
                <w:rFonts w:ascii="Times New Roman" w:hAnsi="Times New Roman"/>
                <w:sz w:val="22"/>
                <w:szCs w:val="22"/>
                <w:lang w:val="sr-Latn-RS"/>
              </w:rPr>
              <w:br/>
            </w:r>
          </w:p>
          <w:p w14:paraId="62F8B414" w14:textId="77777777" w:rsidR="00DE74DF" w:rsidRPr="007223BC" w:rsidRDefault="00DE74DF" w:rsidP="00413968">
            <w:pPr>
              <w:pStyle w:val="tabletextNS"/>
              <w:rPr>
                <w:rFonts w:ascii="Times New Roman" w:hAnsi="Times New Roman"/>
                <w:snapToGrid w:val="0"/>
                <w:sz w:val="22"/>
                <w:szCs w:val="22"/>
                <w:lang w:val="sr-Latn-RS"/>
              </w:rPr>
            </w:pPr>
            <w:r w:rsidRPr="007223BC">
              <w:rPr>
                <w:rFonts w:ascii="Times New Roman" w:hAnsi="Times New Roman"/>
                <w:snapToGrid w:val="0"/>
                <w:sz w:val="22"/>
                <w:szCs w:val="22"/>
                <w:lang w:val="sr-Latn-RS"/>
              </w:rPr>
              <w:t>Fosamprenavir</w:t>
            </w:r>
            <w:r w:rsidRPr="007223BC">
              <w:rPr>
                <w:rFonts w:ascii="Times New Roman" w:hAnsi="Times New Roman"/>
                <w:sz w:val="22"/>
                <w:szCs w:val="22"/>
                <w:lang w:val="sr-Latn-RS"/>
              </w:rPr>
              <w:sym w:font="Symbol" w:char="F0AB"/>
            </w:r>
          </w:p>
          <w:p w14:paraId="7A215E72" w14:textId="77777777" w:rsidR="00DE74DF" w:rsidRPr="007223BC" w:rsidRDefault="00DE74DF" w:rsidP="00413968">
            <w:pPr>
              <w:pStyle w:val="tabletextNS"/>
              <w:rPr>
                <w:rFonts w:ascii="Times New Roman" w:hAnsi="Times New Roman"/>
                <w:sz w:val="22"/>
                <w:szCs w:val="22"/>
                <w:lang w:val="sr-Latn-RS"/>
              </w:rPr>
            </w:pPr>
            <w:r w:rsidRPr="007223BC">
              <w:rPr>
                <w:rFonts w:ascii="Times New Roman" w:hAnsi="Times New Roman"/>
                <w:snapToGrid w:val="0"/>
                <w:sz w:val="22"/>
                <w:szCs w:val="22"/>
                <w:lang w:val="sr-Latn-RS"/>
              </w:rPr>
              <w:t xml:space="preserve">Ritonavir </w:t>
            </w:r>
            <w:r w:rsidRPr="007223BC">
              <w:rPr>
                <w:rFonts w:ascii="Times New Roman" w:hAnsi="Times New Roman"/>
                <w:sz w:val="22"/>
                <w:szCs w:val="22"/>
                <w:lang w:val="sr-Latn-RS"/>
              </w:rPr>
              <w:sym w:font="Symbol" w:char="F0AB"/>
            </w:r>
          </w:p>
          <w:p w14:paraId="6D312CEE" w14:textId="77777777" w:rsidR="00DE74DF" w:rsidRPr="007223BC" w:rsidRDefault="00DE74DF" w:rsidP="00413968">
            <w:pPr>
              <w:pStyle w:val="tabletextNS"/>
              <w:rPr>
                <w:rFonts w:ascii="Times New Roman" w:hAnsi="Times New Roman"/>
                <w:snapToGrid w:val="0"/>
                <w:sz w:val="22"/>
                <w:szCs w:val="22"/>
                <w:lang w:val="sr-Latn-RS"/>
              </w:rPr>
            </w:pPr>
            <w:r w:rsidRPr="007223BC">
              <w:rPr>
                <w:rFonts w:ascii="Times New Roman" w:hAnsi="Times New Roman"/>
                <w:snapToGrid w:val="0"/>
                <w:sz w:val="22"/>
                <w:szCs w:val="22"/>
                <w:lang w:val="sr-Latn-RS"/>
              </w:rPr>
              <w:t>(</w:t>
            </w:r>
            <w:r w:rsidR="00772696" w:rsidRPr="007223BC">
              <w:rPr>
                <w:rFonts w:ascii="Times New Roman" w:hAnsi="Times New Roman"/>
                <w:snapToGrid w:val="0"/>
                <w:sz w:val="22"/>
                <w:szCs w:val="22"/>
                <w:lang w:val="sr-Latn-RS"/>
              </w:rPr>
              <w:t xml:space="preserve">indukcija </w:t>
            </w:r>
            <w:r w:rsidRPr="007223BC">
              <w:rPr>
                <w:rFonts w:ascii="Times New Roman" w:hAnsi="Times New Roman"/>
                <w:snapToGrid w:val="0"/>
                <w:sz w:val="22"/>
                <w:szCs w:val="22"/>
                <w:lang w:val="sr-Latn-RS"/>
              </w:rPr>
              <w:t>enzima UGT1A1 i CYP3A)</w:t>
            </w:r>
          </w:p>
        </w:tc>
        <w:tc>
          <w:tcPr>
            <w:tcW w:w="3955" w:type="dxa"/>
          </w:tcPr>
          <w:p w14:paraId="1295877F" w14:textId="77777777" w:rsidR="00DE74DF" w:rsidRPr="007223BC" w:rsidRDefault="00DE74DF" w:rsidP="00413968">
            <w:pPr>
              <w:rPr>
                <w:sz w:val="22"/>
                <w:szCs w:val="22"/>
                <w:lang w:val="sr-Latn-RS"/>
              </w:rPr>
            </w:pPr>
            <w:r w:rsidRPr="007223BC">
              <w:rPr>
                <w:sz w:val="22"/>
                <w:szCs w:val="22"/>
                <w:lang w:val="sr-Latn-RS" w:eastAsia="sr-Latn-RS"/>
              </w:rPr>
              <w:t>Kombinacija fosamprenavir/ritonavir smanjuje koncentracije dolutegravira, ali sudeći prema ograničenim podacima to nije dovelo do smanjenja efikasnosti u kliničkim ispitivanjima faze III. Nije potrebno prilagođavati dozu.</w:t>
            </w:r>
          </w:p>
        </w:tc>
      </w:tr>
      <w:tr w:rsidR="00DE74DF" w:rsidRPr="007223BC" w14:paraId="1F410F7F" w14:textId="77777777" w:rsidTr="00104F5D">
        <w:tc>
          <w:tcPr>
            <w:tcW w:w="2972" w:type="dxa"/>
          </w:tcPr>
          <w:p w14:paraId="61CCB7B4" w14:textId="77777777" w:rsidR="00DE74DF" w:rsidRPr="007223BC" w:rsidRDefault="00DE74DF" w:rsidP="00413968">
            <w:pPr>
              <w:pStyle w:val="tabletextNS"/>
              <w:rPr>
                <w:rFonts w:ascii="Times New Roman" w:hAnsi="Times New Roman"/>
                <w:sz w:val="22"/>
                <w:szCs w:val="22"/>
                <w:lang w:val="sr-Latn-RS"/>
              </w:rPr>
            </w:pPr>
            <w:r w:rsidRPr="007223BC">
              <w:rPr>
                <w:rFonts w:ascii="Times New Roman" w:hAnsi="Times New Roman"/>
                <w:sz w:val="22"/>
                <w:szCs w:val="22"/>
                <w:lang w:val="sr-Latn-RS"/>
              </w:rPr>
              <w:t>Lopinavir+ritonavir/ Dolutegravir</w:t>
            </w:r>
          </w:p>
        </w:tc>
        <w:tc>
          <w:tcPr>
            <w:tcW w:w="2553" w:type="dxa"/>
          </w:tcPr>
          <w:p w14:paraId="05B06277" w14:textId="77777777" w:rsidR="00DE74DF" w:rsidRPr="007223BC" w:rsidRDefault="00DE74DF" w:rsidP="00413968">
            <w:pPr>
              <w:rPr>
                <w:sz w:val="22"/>
                <w:szCs w:val="22"/>
                <w:lang w:val="sr-Latn-RS"/>
              </w:rPr>
            </w:pPr>
            <w:r w:rsidRPr="007223BC">
              <w:rPr>
                <w:sz w:val="22"/>
                <w:szCs w:val="22"/>
                <w:lang w:val="sr-Latn-RS"/>
              </w:rPr>
              <w:t xml:space="preserve">Dolutegravir </w:t>
            </w:r>
            <w:r w:rsidRPr="007223BC">
              <w:rPr>
                <w:sz w:val="22"/>
                <w:szCs w:val="22"/>
                <w:lang w:val="sr-Latn-RS"/>
              </w:rPr>
              <w:sym w:font="Symbol" w:char="F0AB"/>
            </w:r>
            <w:r w:rsidRPr="007223BC">
              <w:rPr>
                <w:sz w:val="22"/>
                <w:szCs w:val="22"/>
                <w:lang w:val="sr-Latn-RS"/>
              </w:rPr>
              <w:br/>
              <w:t xml:space="preserve">   PIK </w:t>
            </w:r>
            <w:r w:rsidRPr="007223BC">
              <w:rPr>
                <w:sz w:val="22"/>
                <w:szCs w:val="22"/>
                <w:lang w:val="sr-Latn-RS"/>
              </w:rPr>
              <w:sym w:font="Symbol" w:char="F0AF"/>
            </w:r>
            <w:r w:rsidRPr="007223BC">
              <w:rPr>
                <w:sz w:val="22"/>
                <w:szCs w:val="22"/>
                <w:lang w:val="sr-Latn-RS"/>
              </w:rPr>
              <w:t xml:space="preserve"> 4%</w:t>
            </w:r>
            <w:r w:rsidRPr="007223BC">
              <w:rPr>
                <w:sz w:val="22"/>
                <w:szCs w:val="22"/>
                <w:lang w:val="sr-Latn-RS"/>
              </w:rPr>
              <w:br/>
              <w:t xml:space="preserve">   C</w:t>
            </w:r>
            <w:r w:rsidRPr="007223BC">
              <w:rPr>
                <w:sz w:val="22"/>
                <w:szCs w:val="22"/>
                <w:vertAlign w:val="subscript"/>
                <w:lang w:val="sr-Latn-RS"/>
              </w:rPr>
              <w:t>max</w:t>
            </w:r>
            <w:r w:rsidRPr="007223BC">
              <w:rPr>
                <w:sz w:val="22"/>
                <w:szCs w:val="22"/>
                <w:lang w:val="sr-Latn-RS"/>
              </w:rPr>
              <w:t xml:space="preserve"> </w:t>
            </w:r>
            <w:r w:rsidRPr="007223BC">
              <w:rPr>
                <w:sz w:val="22"/>
                <w:szCs w:val="22"/>
                <w:lang w:val="sr-Latn-RS"/>
              </w:rPr>
              <w:sym w:font="Symbol" w:char="F0AB"/>
            </w:r>
            <w:r w:rsidRPr="007223BC">
              <w:rPr>
                <w:sz w:val="22"/>
                <w:szCs w:val="22"/>
                <w:lang w:val="sr-Latn-RS"/>
              </w:rPr>
              <w:t xml:space="preserve"> 0%</w:t>
            </w:r>
            <w:r w:rsidRPr="007223BC">
              <w:rPr>
                <w:sz w:val="22"/>
                <w:szCs w:val="22"/>
                <w:lang w:val="sr-Latn-RS"/>
              </w:rPr>
              <w:br/>
              <w:t xml:space="preserve">   C</w:t>
            </w:r>
            <w:r w:rsidRPr="007223BC">
              <w:rPr>
                <w:sz w:val="22"/>
                <w:szCs w:val="22"/>
                <w:vertAlign w:val="subscript"/>
                <w:lang w:val="sr-Latn-RS"/>
              </w:rPr>
              <w:t>24</w:t>
            </w:r>
            <w:r w:rsidRPr="007223BC">
              <w:rPr>
                <w:sz w:val="22"/>
                <w:szCs w:val="22"/>
                <w:lang w:val="sr-Latn-RS"/>
              </w:rPr>
              <w:t xml:space="preserve"> </w:t>
            </w:r>
            <w:r w:rsidRPr="007223BC">
              <w:rPr>
                <w:sz w:val="22"/>
                <w:szCs w:val="22"/>
                <w:lang w:val="sr-Latn-RS"/>
              </w:rPr>
              <w:sym w:font="Symbol" w:char="F0AF"/>
            </w:r>
            <w:r w:rsidRPr="007223BC">
              <w:rPr>
                <w:sz w:val="22"/>
                <w:szCs w:val="22"/>
                <w:lang w:val="sr-Latn-RS"/>
              </w:rPr>
              <w:t xml:space="preserve"> 6%</w:t>
            </w:r>
          </w:p>
          <w:p w14:paraId="5ABE1C30" w14:textId="77777777" w:rsidR="00DE74DF" w:rsidRPr="007223BC" w:rsidRDefault="00DE74DF" w:rsidP="00413968">
            <w:pPr>
              <w:pStyle w:val="tabletextNS"/>
              <w:rPr>
                <w:rFonts w:ascii="Times New Roman" w:hAnsi="Times New Roman"/>
                <w:sz w:val="22"/>
                <w:szCs w:val="22"/>
                <w:lang w:val="sr-Latn-RS"/>
              </w:rPr>
            </w:pPr>
          </w:p>
          <w:p w14:paraId="4A4C36AD" w14:textId="77777777" w:rsidR="00DE74DF" w:rsidRPr="007223BC" w:rsidRDefault="00DE74DF" w:rsidP="00413968">
            <w:pPr>
              <w:pStyle w:val="tabletextNS"/>
              <w:rPr>
                <w:rFonts w:ascii="Times New Roman" w:hAnsi="Times New Roman"/>
                <w:sz w:val="22"/>
                <w:szCs w:val="22"/>
                <w:lang w:val="sr-Latn-RS"/>
              </w:rPr>
            </w:pPr>
            <w:r w:rsidRPr="007223BC">
              <w:rPr>
                <w:rFonts w:ascii="Times New Roman" w:hAnsi="Times New Roman"/>
                <w:sz w:val="22"/>
                <w:szCs w:val="22"/>
                <w:lang w:val="sr-Latn-RS"/>
              </w:rPr>
              <w:t xml:space="preserve">Lopinavir </w:t>
            </w:r>
            <w:r w:rsidRPr="007223BC">
              <w:rPr>
                <w:rFonts w:ascii="Times New Roman" w:hAnsi="Times New Roman"/>
                <w:sz w:val="22"/>
                <w:szCs w:val="22"/>
                <w:lang w:val="sr-Latn-RS"/>
              </w:rPr>
              <w:sym w:font="Symbol" w:char="F0AB"/>
            </w:r>
            <w:r w:rsidRPr="007223BC">
              <w:rPr>
                <w:rFonts w:ascii="Times New Roman" w:hAnsi="Times New Roman"/>
                <w:sz w:val="22"/>
                <w:szCs w:val="22"/>
                <w:lang w:val="sr-Latn-RS"/>
              </w:rPr>
              <w:br/>
              <w:t xml:space="preserve">Ritonavir </w:t>
            </w:r>
            <w:r w:rsidRPr="007223BC">
              <w:rPr>
                <w:rFonts w:ascii="Times New Roman" w:hAnsi="Times New Roman"/>
                <w:sz w:val="22"/>
                <w:szCs w:val="22"/>
                <w:lang w:val="sr-Latn-RS"/>
              </w:rPr>
              <w:sym w:font="Symbol" w:char="F0AB"/>
            </w:r>
          </w:p>
        </w:tc>
        <w:tc>
          <w:tcPr>
            <w:tcW w:w="3955" w:type="dxa"/>
          </w:tcPr>
          <w:p w14:paraId="68DA717F" w14:textId="77777777" w:rsidR="00DE74DF" w:rsidRPr="007223BC" w:rsidRDefault="00DE74DF" w:rsidP="00413968">
            <w:pPr>
              <w:rPr>
                <w:sz w:val="22"/>
                <w:szCs w:val="22"/>
                <w:lang w:val="sr-Latn-RS"/>
              </w:rPr>
            </w:pPr>
            <w:r w:rsidRPr="007223BC">
              <w:rPr>
                <w:sz w:val="22"/>
                <w:szCs w:val="22"/>
                <w:lang w:val="sr-Latn-RS" w:eastAsia="sr-Latn-RS"/>
              </w:rPr>
              <w:t>Nije potrebno prilagođavati dozu</w:t>
            </w:r>
          </w:p>
        </w:tc>
      </w:tr>
      <w:tr w:rsidR="00DE74DF" w:rsidRPr="007223BC" w14:paraId="307520D7" w14:textId="77777777" w:rsidTr="00104F5D">
        <w:tc>
          <w:tcPr>
            <w:tcW w:w="2972" w:type="dxa"/>
          </w:tcPr>
          <w:p w14:paraId="1DFC465E" w14:textId="77777777" w:rsidR="00DE74DF" w:rsidRPr="007223BC" w:rsidRDefault="00DE74DF" w:rsidP="00413968">
            <w:pPr>
              <w:pStyle w:val="tabletextNS"/>
              <w:rPr>
                <w:rFonts w:ascii="Times New Roman" w:hAnsi="Times New Roman"/>
                <w:sz w:val="22"/>
                <w:szCs w:val="22"/>
                <w:lang w:val="sr-Latn-RS"/>
              </w:rPr>
            </w:pPr>
            <w:r w:rsidRPr="007223BC">
              <w:rPr>
                <w:rFonts w:ascii="Times New Roman" w:hAnsi="Times New Roman"/>
                <w:sz w:val="22"/>
                <w:szCs w:val="22"/>
                <w:lang w:val="sr-Latn-RS"/>
              </w:rPr>
              <w:t>Darunavir+ritonavir/ Dolutegravir</w:t>
            </w:r>
          </w:p>
        </w:tc>
        <w:tc>
          <w:tcPr>
            <w:tcW w:w="2553" w:type="dxa"/>
          </w:tcPr>
          <w:p w14:paraId="722445B5" w14:textId="77777777" w:rsidR="00DE74DF" w:rsidRPr="007223BC" w:rsidRDefault="00DE74DF" w:rsidP="00413968">
            <w:pPr>
              <w:rPr>
                <w:sz w:val="22"/>
                <w:szCs w:val="22"/>
                <w:lang w:val="sr-Latn-RS"/>
              </w:rPr>
            </w:pPr>
            <w:r w:rsidRPr="007223BC">
              <w:rPr>
                <w:sz w:val="22"/>
                <w:szCs w:val="22"/>
                <w:lang w:val="sr-Latn-RS"/>
              </w:rPr>
              <w:t xml:space="preserve">Dolutegravir </w:t>
            </w:r>
            <w:r w:rsidRPr="007223BC">
              <w:rPr>
                <w:sz w:val="22"/>
                <w:szCs w:val="22"/>
                <w:lang w:val="sr-Latn-RS"/>
              </w:rPr>
              <w:sym w:font="Symbol" w:char="F0AF"/>
            </w:r>
            <w:r w:rsidRPr="007223BC">
              <w:rPr>
                <w:sz w:val="22"/>
                <w:szCs w:val="22"/>
                <w:lang w:val="sr-Latn-RS"/>
              </w:rPr>
              <w:br/>
              <w:t xml:space="preserve">   PIK </w:t>
            </w:r>
            <w:r w:rsidRPr="007223BC">
              <w:rPr>
                <w:sz w:val="22"/>
                <w:szCs w:val="22"/>
                <w:lang w:val="sr-Latn-RS"/>
              </w:rPr>
              <w:sym w:font="Symbol" w:char="F0AF"/>
            </w:r>
            <w:r w:rsidRPr="007223BC">
              <w:rPr>
                <w:sz w:val="22"/>
                <w:szCs w:val="22"/>
                <w:lang w:val="sr-Latn-RS"/>
              </w:rPr>
              <w:t xml:space="preserve"> 22% </w:t>
            </w:r>
            <w:r w:rsidRPr="007223BC">
              <w:rPr>
                <w:sz w:val="22"/>
                <w:szCs w:val="22"/>
                <w:lang w:val="sr-Latn-RS"/>
              </w:rPr>
              <w:br/>
              <w:t xml:space="preserve">   C</w:t>
            </w:r>
            <w:r w:rsidRPr="007223BC">
              <w:rPr>
                <w:sz w:val="22"/>
                <w:szCs w:val="22"/>
                <w:vertAlign w:val="subscript"/>
                <w:lang w:val="sr-Latn-RS"/>
              </w:rPr>
              <w:t>max</w:t>
            </w:r>
            <w:r w:rsidRPr="007223BC">
              <w:rPr>
                <w:sz w:val="22"/>
                <w:szCs w:val="22"/>
                <w:lang w:val="sr-Latn-RS"/>
              </w:rPr>
              <w:t xml:space="preserve"> </w:t>
            </w:r>
            <w:r w:rsidRPr="007223BC">
              <w:rPr>
                <w:sz w:val="22"/>
                <w:szCs w:val="22"/>
                <w:lang w:val="sr-Latn-RS"/>
              </w:rPr>
              <w:sym w:font="Symbol" w:char="F0AF"/>
            </w:r>
            <w:r w:rsidRPr="007223BC">
              <w:rPr>
                <w:sz w:val="22"/>
                <w:szCs w:val="22"/>
                <w:lang w:val="sr-Latn-RS"/>
              </w:rPr>
              <w:t xml:space="preserve"> 11%</w:t>
            </w:r>
            <w:r w:rsidRPr="007223BC">
              <w:rPr>
                <w:sz w:val="22"/>
                <w:szCs w:val="22"/>
                <w:lang w:val="sr-Latn-RS"/>
              </w:rPr>
              <w:br/>
              <w:t xml:space="preserve">   C</w:t>
            </w:r>
            <w:r w:rsidRPr="007223BC">
              <w:rPr>
                <w:sz w:val="22"/>
                <w:szCs w:val="22"/>
                <w:lang w:val="sr-Latn-RS"/>
              </w:rPr>
              <w:sym w:font="Symbol" w:char="F074"/>
            </w:r>
            <w:r w:rsidRPr="007223BC">
              <w:rPr>
                <w:sz w:val="22"/>
                <w:szCs w:val="22"/>
                <w:lang w:val="sr-Latn-RS"/>
              </w:rPr>
              <w:t xml:space="preserve"> </w:t>
            </w:r>
            <w:r w:rsidRPr="007223BC">
              <w:rPr>
                <w:sz w:val="22"/>
                <w:szCs w:val="22"/>
                <w:lang w:val="sr-Latn-RS"/>
              </w:rPr>
              <w:sym w:font="Symbol" w:char="F0AF"/>
            </w:r>
            <w:r w:rsidRPr="007223BC">
              <w:rPr>
                <w:sz w:val="22"/>
                <w:szCs w:val="22"/>
                <w:lang w:val="sr-Latn-RS"/>
              </w:rPr>
              <w:t xml:space="preserve"> 38%</w:t>
            </w:r>
          </w:p>
          <w:p w14:paraId="74932E7B" w14:textId="77777777" w:rsidR="00DE74DF" w:rsidRPr="007223BC" w:rsidRDefault="00DE74DF" w:rsidP="00413968">
            <w:pPr>
              <w:pStyle w:val="tabletextNS"/>
              <w:rPr>
                <w:rFonts w:ascii="Times New Roman" w:hAnsi="Times New Roman"/>
                <w:sz w:val="22"/>
                <w:szCs w:val="22"/>
                <w:lang w:val="sr-Latn-RS"/>
              </w:rPr>
            </w:pPr>
          </w:p>
          <w:p w14:paraId="4D6B1D18" w14:textId="77777777" w:rsidR="00DE74DF" w:rsidRPr="007223BC" w:rsidRDefault="00DE74DF" w:rsidP="00413968">
            <w:pPr>
              <w:pStyle w:val="tabletextNS"/>
              <w:rPr>
                <w:rFonts w:ascii="Times New Roman" w:hAnsi="Times New Roman"/>
                <w:sz w:val="22"/>
                <w:szCs w:val="22"/>
                <w:lang w:val="sr-Latn-RS"/>
              </w:rPr>
            </w:pPr>
            <w:r w:rsidRPr="007223BC">
              <w:rPr>
                <w:rFonts w:ascii="Times New Roman" w:hAnsi="Times New Roman"/>
                <w:sz w:val="22"/>
                <w:szCs w:val="22"/>
                <w:lang w:val="sr-Latn-RS"/>
              </w:rPr>
              <w:t xml:space="preserve">Darunavir </w:t>
            </w:r>
            <w:r w:rsidRPr="007223BC">
              <w:rPr>
                <w:rFonts w:ascii="Times New Roman" w:hAnsi="Times New Roman"/>
                <w:sz w:val="22"/>
                <w:szCs w:val="22"/>
                <w:lang w:val="sr-Latn-RS"/>
              </w:rPr>
              <w:sym w:font="Symbol" w:char="F0AB"/>
            </w:r>
            <w:r w:rsidRPr="007223BC">
              <w:rPr>
                <w:rFonts w:ascii="Times New Roman" w:hAnsi="Times New Roman"/>
                <w:sz w:val="22"/>
                <w:szCs w:val="22"/>
                <w:lang w:val="sr-Latn-RS"/>
              </w:rPr>
              <w:br/>
              <w:t xml:space="preserve">Ritonavir </w:t>
            </w:r>
            <w:r w:rsidRPr="007223BC">
              <w:rPr>
                <w:rFonts w:ascii="Times New Roman" w:hAnsi="Times New Roman"/>
                <w:sz w:val="22"/>
                <w:szCs w:val="22"/>
                <w:lang w:val="sr-Latn-RS"/>
              </w:rPr>
              <w:sym w:font="Symbol" w:char="F0AB"/>
            </w:r>
          </w:p>
          <w:p w14:paraId="2147F7AA" w14:textId="77777777" w:rsidR="00DE74DF" w:rsidRPr="007223BC" w:rsidRDefault="00DE74DF" w:rsidP="00413968">
            <w:pPr>
              <w:pStyle w:val="tabletextNS"/>
              <w:rPr>
                <w:rFonts w:ascii="Times New Roman" w:hAnsi="Times New Roman"/>
                <w:snapToGrid w:val="0"/>
                <w:sz w:val="22"/>
                <w:szCs w:val="22"/>
                <w:lang w:val="sr-Latn-RS"/>
              </w:rPr>
            </w:pPr>
            <w:r w:rsidRPr="007223BC">
              <w:rPr>
                <w:rFonts w:ascii="Times New Roman" w:hAnsi="Times New Roman"/>
                <w:snapToGrid w:val="0"/>
                <w:sz w:val="22"/>
                <w:szCs w:val="22"/>
                <w:lang w:val="sr-Latn-RS"/>
              </w:rPr>
              <w:t>(</w:t>
            </w:r>
            <w:r w:rsidR="00360AAD" w:rsidRPr="007223BC">
              <w:rPr>
                <w:rFonts w:ascii="Times New Roman" w:hAnsi="Times New Roman"/>
                <w:snapToGrid w:val="0"/>
                <w:sz w:val="22"/>
                <w:szCs w:val="22"/>
                <w:lang w:val="sr-Latn-RS"/>
              </w:rPr>
              <w:t xml:space="preserve">indukcija </w:t>
            </w:r>
            <w:r w:rsidRPr="007223BC">
              <w:rPr>
                <w:rFonts w:ascii="Times New Roman" w:hAnsi="Times New Roman"/>
                <w:snapToGrid w:val="0"/>
                <w:sz w:val="22"/>
                <w:szCs w:val="22"/>
                <w:lang w:val="sr-Latn-RS"/>
              </w:rPr>
              <w:t>enzima UGT1A1 i CYP3A)</w:t>
            </w:r>
          </w:p>
        </w:tc>
        <w:tc>
          <w:tcPr>
            <w:tcW w:w="3955" w:type="dxa"/>
          </w:tcPr>
          <w:p w14:paraId="60F4F558" w14:textId="77777777" w:rsidR="00DE74DF" w:rsidRPr="007223BC" w:rsidRDefault="00DE74DF" w:rsidP="00413968">
            <w:pPr>
              <w:rPr>
                <w:sz w:val="22"/>
                <w:szCs w:val="22"/>
                <w:lang w:val="sr-Latn-RS"/>
              </w:rPr>
            </w:pPr>
            <w:r w:rsidRPr="007223BC">
              <w:rPr>
                <w:sz w:val="22"/>
                <w:szCs w:val="22"/>
                <w:lang w:val="sr-Latn-RS" w:eastAsia="sr-Latn-RS"/>
              </w:rPr>
              <w:t>Nije potrebno prilagođavati dozu</w:t>
            </w:r>
          </w:p>
        </w:tc>
      </w:tr>
      <w:tr w:rsidR="00DE74DF" w:rsidRPr="007223BC" w14:paraId="0B037842" w14:textId="77777777" w:rsidTr="00104F5D">
        <w:tc>
          <w:tcPr>
            <w:tcW w:w="9480" w:type="dxa"/>
            <w:gridSpan w:val="3"/>
          </w:tcPr>
          <w:p w14:paraId="187992DA" w14:textId="77777777" w:rsidR="00DE74DF" w:rsidRPr="007223BC" w:rsidRDefault="00DE74DF" w:rsidP="00413968">
            <w:pPr>
              <w:rPr>
                <w:b/>
                <w:sz w:val="22"/>
                <w:szCs w:val="22"/>
                <w:lang w:val="sr-Latn-RS"/>
              </w:rPr>
            </w:pPr>
            <w:r w:rsidRPr="007223BC">
              <w:rPr>
                <w:b/>
                <w:sz w:val="22"/>
                <w:szCs w:val="22"/>
                <w:lang w:val="sr-Latn-RS"/>
              </w:rPr>
              <w:t>Druge antivirusne aktivne supstance</w:t>
            </w:r>
          </w:p>
        </w:tc>
      </w:tr>
      <w:tr w:rsidR="00DE74DF" w:rsidRPr="00413968" w14:paraId="346088C8" w14:textId="77777777" w:rsidTr="00104F5D">
        <w:tc>
          <w:tcPr>
            <w:tcW w:w="2972" w:type="dxa"/>
          </w:tcPr>
          <w:p w14:paraId="1F294542" w14:textId="77777777" w:rsidR="00DE74DF" w:rsidRPr="007223BC" w:rsidRDefault="00DE74DF" w:rsidP="00413968">
            <w:pPr>
              <w:rPr>
                <w:sz w:val="22"/>
                <w:szCs w:val="22"/>
                <w:lang w:val="sr-Latn-RS"/>
              </w:rPr>
            </w:pPr>
            <w:r w:rsidRPr="007223BC">
              <w:rPr>
                <w:sz w:val="22"/>
                <w:szCs w:val="22"/>
                <w:lang w:val="sr-Latn-RS"/>
              </w:rPr>
              <w:t>Daklatasvir/Dolutegravir</w:t>
            </w:r>
          </w:p>
        </w:tc>
        <w:tc>
          <w:tcPr>
            <w:tcW w:w="2553" w:type="dxa"/>
          </w:tcPr>
          <w:p w14:paraId="0D52C12F" w14:textId="77777777" w:rsidR="00DE74DF" w:rsidRPr="007223BC" w:rsidRDefault="00DE74DF" w:rsidP="00413968">
            <w:pPr>
              <w:pStyle w:val="tabletextNS"/>
              <w:keepNext/>
              <w:rPr>
                <w:rFonts w:ascii="Times New Roman" w:hAnsi="Times New Roman"/>
                <w:sz w:val="22"/>
                <w:szCs w:val="22"/>
                <w:lang w:val="sr-Latn-RS"/>
              </w:rPr>
            </w:pPr>
            <w:r w:rsidRPr="007223BC">
              <w:rPr>
                <w:rFonts w:ascii="Times New Roman" w:hAnsi="Times New Roman"/>
                <w:sz w:val="22"/>
                <w:szCs w:val="22"/>
                <w:lang w:val="sr-Latn-RS"/>
              </w:rPr>
              <w:t xml:space="preserve">Dolutegravir </w:t>
            </w:r>
            <w:r w:rsidRPr="007223BC">
              <w:rPr>
                <w:rFonts w:ascii="Times New Roman" w:hAnsi="Times New Roman"/>
                <w:sz w:val="22"/>
                <w:szCs w:val="22"/>
                <w:lang w:val="sr-Latn-RS"/>
              </w:rPr>
              <w:sym w:font="Symbol" w:char="F0AB"/>
            </w:r>
            <w:r w:rsidRPr="007223BC">
              <w:rPr>
                <w:rFonts w:ascii="Times New Roman" w:hAnsi="Times New Roman"/>
                <w:sz w:val="22"/>
                <w:szCs w:val="22"/>
                <w:lang w:val="sr-Latn-RS"/>
              </w:rPr>
              <w:br/>
              <w:t xml:space="preserve">   PIK </w:t>
            </w:r>
            <w:r w:rsidRPr="007223BC">
              <w:rPr>
                <w:rFonts w:ascii="Times New Roman" w:hAnsi="Times New Roman"/>
                <w:sz w:val="22"/>
                <w:szCs w:val="22"/>
                <w:lang w:val="sr-Latn-RS"/>
              </w:rPr>
              <w:sym w:font="Symbol" w:char="F0AD"/>
            </w:r>
            <w:r w:rsidRPr="007223BC">
              <w:rPr>
                <w:rFonts w:ascii="Times New Roman" w:hAnsi="Times New Roman"/>
                <w:sz w:val="22"/>
                <w:szCs w:val="22"/>
                <w:lang w:val="sr-Latn-RS"/>
              </w:rPr>
              <w:t xml:space="preserve"> 33% </w:t>
            </w:r>
            <w:r w:rsidRPr="007223BC">
              <w:rPr>
                <w:rFonts w:ascii="Times New Roman" w:hAnsi="Times New Roman"/>
                <w:sz w:val="22"/>
                <w:szCs w:val="22"/>
                <w:lang w:val="sr-Latn-RS"/>
              </w:rPr>
              <w:br/>
            </w:r>
            <w:r w:rsidRPr="007223BC">
              <w:rPr>
                <w:rFonts w:ascii="Times New Roman" w:hAnsi="Times New Roman"/>
                <w:sz w:val="22"/>
                <w:szCs w:val="22"/>
                <w:lang w:val="sr-Latn-RS"/>
              </w:rPr>
              <w:lastRenderedPageBreak/>
              <w:t xml:space="preserve">   C</w:t>
            </w:r>
            <w:r w:rsidRPr="007223BC">
              <w:rPr>
                <w:rFonts w:ascii="Times New Roman" w:hAnsi="Times New Roman"/>
                <w:sz w:val="22"/>
                <w:szCs w:val="22"/>
                <w:vertAlign w:val="subscript"/>
                <w:lang w:val="sr-Latn-RS"/>
              </w:rPr>
              <w:t>max</w:t>
            </w:r>
            <w:r w:rsidRPr="007223BC">
              <w:rPr>
                <w:rFonts w:ascii="Times New Roman" w:hAnsi="Times New Roman"/>
                <w:sz w:val="22"/>
                <w:szCs w:val="22"/>
                <w:lang w:val="sr-Latn-RS"/>
              </w:rPr>
              <w:t xml:space="preserve"> </w:t>
            </w:r>
            <w:r w:rsidRPr="007223BC">
              <w:rPr>
                <w:rFonts w:ascii="Times New Roman" w:hAnsi="Times New Roman"/>
                <w:sz w:val="22"/>
                <w:szCs w:val="22"/>
                <w:lang w:val="sr-Latn-RS"/>
              </w:rPr>
              <w:sym w:font="Symbol" w:char="F0AD"/>
            </w:r>
            <w:r w:rsidRPr="007223BC">
              <w:rPr>
                <w:rFonts w:ascii="Times New Roman" w:hAnsi="Times New Roman"/>
                <w:sz w:val="22"/>
                <w:szCs w:val="22"/>
                <w:lang w:val="sr-Latn-RS"/>
              </w:rPr>
              <w:t xml:space="preserve"> 29%</w:t>
            </w:r>
            <w:r w:rsidRPr="007223BC">
              <w:rPr>
                <w:rFonts w:ascii="Times New Roman" w:hAnsi="Times New Roman"/>
                <w:sz w:val="22"/>
                <w:szCs w:val="22"/>
                <w:lang w:val="sr-Latn-RS"/>
              </w:rPr>
              <w:br/>
              <w:t xml:space="preserve">   C</w:t>
            </w:r>
            <w:r w:rsidRPr="007223BC">
              <w:rPr>
                <w:rFonts w:ascii="Times New Roman" w:hAnsi="Times New Roman"/>
                <w:sz w:val="22"/>
                <w:szCs w:val="22"/>
                <w:lang w:val="sr-Latn-RS"/>
              </w:rPr>
              <w:sym w:font="Symbol" w:char="F074"/>
            </w:r>
            <w:r w:rsidRPr="007223BC">
              <w:rPr>
                <w:rFonts w:ascii="Times New Roman" w:hAnsi="Times New Roman"/>
                <w:sz w:val="22"/>
                <w:szCs w:val="22"/>
                <w:lang w:val="sr-Latn-RS"/>
              </w:rPr>
              <w:t xml:space="preserve"> </w:t>
            </w:r>
            <w:r w:rsidRPr="007223BC">
              <w:rPr>
                <w:rFonts w:ascii="Times New Roman" w:hAnsi="Times New Roman"/>
                <w:sz w:val="22"/>
                <w:szCs w:val="22"/>
                <w:lang w:val="sr-Latn-RS"/>
              </w:rPr>
              <w:sym w:font="Symbol" w:char="F0AD"/>
            </w:r>
            <w:r w:rsidRPr="007223BC">
              <w:rPr>
                <w:rFonts w:ascii="Times New Roman" w:hAnsi="Times New Roman"/>
                <w:sz w:val="22"/>
                <w:szCs w:val="22"/>
                <w:lang w:val="sr-Latn-RS"/>
              </w:rPr>
              <w:t xml:space="preserve"> 45%</w:t>
            </w:r>
          </w:p>
          <w:p w14:paraId="3AC9D123" w14:textId="77777777" w:rsidR="00DE74DF" w:rsidRPr="007223BC" w:rsidRDefault="00DE74DF" w:rsidP="00413968">
            <w:pPr>
              <w:pStyle w:val="tabletextNS"/>
              <w:keepNext/>
              <w:rPr>
                <w:rFonts w:ascii="Times New Roman" w:hAnsi="Times New Roman"/>
                <w:sz w:val="22"/>
                <w:szCs w:val="22"/>
                <w:lang w:val="sr-Latn-RS"/>
              </w:rPr>
            </w:pPr>
            <w:r w:rsidRPr="007223BC">
              <w:rPr>
                <w:rFonts w:ascii="Times New Roman" w:hAnsi="Times New Roman"/>
                <w:sz w:val="22"/>
                <w:szCs w:val="22"/>
                <w:lang w:val="sr-Latn-RS"/>
              </w:rPr>
              <w:t xml:space="preserve">Daklatasvir </w:t>
            </w:r>
            <w:r w:rsidRPr="007223BC">
              <w:rPr>
                <w:rFonts w:ascii="Times New Roman" w:hAnsi="Times New Roman"/>
                <w:sz w:val="22"/>
                <w:szCs w:val="22"/>
                <w:lang w:val="sr-Latn-RS"/>
              </w:rPr>
              <w:sym w:font="Symbol" w:char="F0AB"/>
            </w:r>
          </w:p>
        </w:tc>
        <w:tc>
          <w:tcPr>
            <w:tcW w:w="3955" w:type="dxa"/>
          </w:tcPr>
          <w:p w14:paraId="6B68F3DE" w14:textId="77777777" w:rsidR="00DE74DF" w:rsidRPr="007223BC" w:rsidRDefault="00DE74DF" w:rsidP="00413968">
            <w:pPr>
              <w:rPr>
                <w:sz w:val="22"/>
                <w:szCs w:val="22"/>
                <w:lang w:val="sr-Latn-RS"/>
              </w:rPr>
            </w:pPr>
            <w:r w:rsidRPr="007223BC">
              <w:rPr>
                <w:sz w:val="22"/>
                <w:szCs w:val="22"/>
                <w:lang w:val="sr-Latn-RS" w:eastAsia="sr-Latn-RS"/>
              </w:rPr>
              <w:lastRenderedPageBreak/>
              <w:t xml:space="preserve">Daklatasvir nije doveo do klinički značajne promjene koncentracije dolutegravira u plazmi. Dolutegravir nije </w:t>
            </w:r>
            <w:r w:rsidRPr="007223BC">
              <w:rPr>
                <w:sz w:val="22"/>
                <w:szCs w:val="22"/>
                <w:lang w:val="sr-Latn-RS" w:eastAsia="sr-Latn-RS"/>
              </w:rPr>
              <w:lastRenderedPageBreak/>
              <w:t>promijenio koncentraciju daklatazvira u plazmi. Nije potrebno prilagođavati dozu.</w:t>
            </w:r>
          </w:p>
        </w:tc>
      </w:tr>
      <w:tr w:rsidR="00DE74DF" w:rsidRPr="007223BC" w14:paraId="7C36306B" w14:textId="77777777" w:rsidTr="00104F5D">
        <w:tc>
          <w:tcPr>
            <w:tcW w:w="2972" w:type="dxa"/>
          </w:tcPr>
          <w:p w14:paraId="766C2151" w14:textId="300FC807" w:rsidR="00DE74DF" w:rsidRPr="007223BC" w:rsidRDefault="00DE74DF" w:rsidP="00413968">
            <w:pPr>
              <w:rPr>
                <w:sz w:val="22"/>
                <w:szCs w:val="22"/>
                <w:lang w:val="sr-Latn-RS"/>
              </w:rPr>
            </w:pPr>
            <w:r w:rsidRPr="007223BC">
              <w:rPr>
                <w:sz w:val="22"/>
                <w:szCs w:val="22"/>
                <w:lang w:val="sr-Latn-RS"/>
              </w:rPr>
              <w:lastRenderedPageBreak/>
              <w:t>Ledipasvir/Sofosbuvir/</w:t>
            </w:r>
            <w:r w:rsidRPr="007223BC">
              <w:rPr>
                <w:sz w:val="22"/>
                <w:szCs w:val="22"/>
                <w:lang w:val="sr-Latn-RS"/>
              </w:rPr>
              <w:br/>
              <w:t>Lamv</w:t>
            </w:r>
            <w:r w:rsidR="005257A2">
              <w:rPr>
                <w:sz w:val="22"/>
                <w:szCs w:val="22"/>
                <w:lang w:val="sr-Latn-RS"/>
              </w:rPr>
              <w:t>i</w:t>
            </w:r>
            <w:r w:rsidRPr="007223BC">
              <w:rPr>
                <w:sz w:val="22"/>
                <w:szCs w:val="22"/>
                <w:lang w:val="sr-Latn-RS"/>
              </w:rPr>
              <w:t>udin (sa abakavirom)</w:t>
            </w:r>
          </w:p>
        </w:tc>
        <w:tc>
          <w:tcPr>
            <w:tcW w:w="2553" w:type="dxa"/>
          </w:tcPr>
          <w:p w14:paraId="2D471743" w14:textId="77777777" w:rsidR="00DE74DF" w:rsidRPr="007223BC" w:rsidRDefault="00DE74DF" w:rsidP="00413968">
            <w:pPr>
              <w:pStyle w:val="tabletextNS"/>
              <w:rPr>
                <w:rFonts w:ascii="Times New Roman" w:hAnsi="Times New Roman"/>
                <w:sz w:val="22"/>
                <w:szCs w:val="22"/>
                <w:lang w:val="sr-Latn-RS"/>
              </w:rPr>
            </w:pPr>
            <w:r w:rsidRPr="007223BC">
              <w:rPr>
                <w:rFonts w:ascii="Times New Roman" w:hAnsi="Times New Roman"/>
                <w:sz w:val="22"/>
                <w:szCs w:val="22"/>
                <w:lang w:val="sr-Latn-RS"/>
              </w:rPr>
              <w:t xml:space="preserve">Lamivudin </w:t>
            </w:r>
            <w:r w:rsidRPr="007223BC">
              <w:rPr>
                <w:rFonts w:ascii="Times New Roman" w:hAnsi="Times New Roman"/>
                <w:sz w:val="22"/>
                <w:szCs w:val="22"/>
                <w:lang w:val="sr-Latn-RS"/>
              </w:rPr>
              <w:sym w:font="Symbol" w:char="F0AB"/>
            </w:r>
          </w:p>
          <w:p w14:paraId="1B54427A" w14:textId="77777777" w:rsidR="00DE74DF" w:rsidRPr="007223BC" w:rsidRDefault="00DE74DF" w:rsidP="00413968">
            <w:pPr>
              <w:pStyle w:val="tabletextNS"/>
              <w:rPr>
                <w:rFonts w:ascii="Times New Roman" w:hAnsi="Times New Roman"/>
                <w:sz w:val="22"/>
                <w:szCs w:val="22"/>
                <w:lang w:val="sr-Latn-RS"/>
              </w:rPr>
            </w:pPr>
            <w:r w:rsidRPr="007223BC">
              <w:rPr>
                <w:rFonts w:ascii="Times New Roman" w:hAnsi="Times New Roman"/>
                <w:sz w:val="22"/>
                <w:szCs w:val="22"/>
                <w:lang w:val="sr-Latn-RS"/>
              </w:rPr>
              <w:t xml:space="preserve">Ledipasvir </w:t>
            </w:r>
            <w:r w:rsidRPr="007223BC">
              <w:rPr>
                <w:rFonts w:ascii="Times New Roman" w:hAnsi="Times New Roman"/>
                <w:sz w:val="22"/>
                <w:szCs w:val="22"/>
                <w:lang w:val="sr-Latn-RS"/>
              </w:rPr>
              <w:sym w:font="Symbol" w:char="F0AB"/>
            </w:r>
          </w:p>
          <w:p w14:paraId="0A8713B2" w14:textId="77777777" w:rsidR="00DE74DF" w:rsidRPr="007223BC" w:rsidRDefault="00DE74DF" w:rsidP="00413968">
            <w:pPr>
              <w:pStyle w:val="tabletextNS"/>
              <w:rPr>
                <w:rFonts w:ascii="Times New Roman" w:hAnsi="Times New Roman"/>
                <w:snapToGrid w:val="0"/>
                <w:sz w:val="22"/>
                <w:szCs w:val="22"/>
                <w:lang w:val="sr-Latn-RS"/>
              </w:rPr>
            </w:pPr>
            <w:r w:rsidRPr="007223BC">
              <w:rPr>
                <w:rFonts w:ascii="Times New Roman" w:hAnsi="Times New Roman"/>
                <w:sz w:val="22"/>
                <w:szCs w:val="22"/>
                <w:lang w:val="sr-Latn-RS"/>
              </w:rPr>
              <w:t xml:space="preserve">Sofosbuvir </w:t>
            </w:r>
            <w:r w:rsidRPr="007223BC">
              <w:rPr>
                <w:rFonts w:ascii="Times New Roman" w:hAnsi="Times New Roman"/>
                <w:sz w:val="22"/>
                <w:szCs w:val="22"/>
                <w:lang w:val="sr-Latn-RS"/>
              </w:rPr>
              <w:sym w:font="Symbol" w:char="F0AB"/>
            </w:r>
          </w:p>
        </w:tc>
        <w:tc>
          <w:tcPr>
            <w:tcW w:w="3955" w:type="dxa"/>
          </w:tcPr>
          <w:p w14:paraId="7B0B512D" w14:textId="77777777" w:rsidR="00DE74DF" w:rsidRPr="007223BC" w:rsidRDefault="00DE74DF" w:rsidP="00413968">
            <w:pPr>
              <w:rPr>
                <w:sz w:val="22"/>
                <w:szCs w:val="22"/>
                <w:lang w:val="sr-Latn-RS"/>
              </w:rPr>
            </w:pPr>
            <w:r w:rsidRPr="007223BC">
              <w:rPr>
                <w:sz w:val="22"/>
                <w:szCs w:val="22"/>
                <w:lang w:val="sr-Latn-RS" w:eastAsia="sr-Latn-RS"/>
              </w:rPr>
              <w:t>Nije potrebno prilagođavati dozu</w:t>
            </w:r>
          </w:p>
        </w:tc>
      </w:tr>
      <w:tr w:rsidR="00DE74DF" w:rsidRPr="007223BC" w14:paraId="13A95A4C" w14:textId="77777777" w:rsidTr="00104F5D">
        <w:tc>
          <w:tcPr>
            <w:tcW w:w="2972" w:type="dxa"/>
          </w:tcPr>
          <w:p w14:paraId="45EC697D" w14:textId="77777777" w:rsidR="00DE74DF" w:rsidRPr="007223BC" w:rsidRDefault="00DE74DF" w:rsidP="00413968">
            <w:pPr>
              <w:rPr>
                <w:sz w:val="22"/>
                <w:szCs w:val="22"/>
                <w:lang w:val="sr-Latn-RS"/>
              </w:rPr>
            </w:pPr>
            <w:r w:rsidRPr="007223BC">
              <w:rPr>
                <w:sz w:val="22"/>
                <w:szCs w:val="22"/>
                <w:lang w:val="sr-Latn-RS"/>
              </w:rPr>
              <w:t>Sofosbuvir/ Velpatasvir/Dolutegravir</w:t>
            </w:r>
          </w:p>
        </w:tc>
        <w:tc>
          <w:tcPr>
            <w:tcW w:w="2553" w:type="dxa"/>
          </w:tcPr>
          <w:p w14:paraId="1997BA8D" w14:textId="77777777" w:rsidR="00DE74DF" w:rsidRPr="007223BC" w:rsidRDefault="00DE74DF" w:rsidP="00413968">
            <w:pPr>
              <w:pStyle w:val="tabletextNS"/>
              <w:rPr>
                <w:rFonts w:ascii="Times New Roman" w:hAnsi="Times New Roman"/>
                <w:sz w:val="22"/>
                <w:szCs w:val="22"/>
                <w:lang w:val="sr-Latn-RS"/>
              </w:rPr>
            </w:pPr>
            <w:r w:rsidRPr="007223BC">
              <w:rPr>
                <w:rFonts w:ascii="Times New Roman" w:hAnsi="Times New Roman"/>
                <w:sz w:val="22"/>
                <w:szCs w:val="22"/>
                <w:lang w:val="sr-Latn-RS"/>
              </w:rPr>
              <w:t xml:space="preserve">Dolutegravir </w:t>
            </w:r>
            <w:r w:rsidRPr="007223BC">
              <w:rPr>
                <w:rFonts w:ascii="Times New Roman" w:hAnsi="Times New Roman"/>
                <w:sz w:val="22"/>
                <w:szCs w:val="22"/>
                <w:lang w:val="sr-Latn-RS"/>
              </w:rPr>
              <w:sym w:font="Symbol" w:char="F0AB"/>
            </w:r>
          </w:p>
          <w:p w14:paraId="6CDC7A67" w14:textId="77777777" w:rsidR="00DE74DF" w:rsidRPr="007223BC" w:rsidRDefault="00DE74DF" w:rsidP="00413968">
            <w:pPr>
              <w:pStyle w:val="tabletextNS"/>
              <w:rPr>
                <w:rFonts w:ascii="Times New Roman" w:hAnsi="Times New Roman"/>
                <w:sz w:val="22"/>
                <w:szCs w:val="22"/>
                <w:lang w:val="sr-Latn-RS"/>
              </w:rPr>
            </w:pPr>
            <w:r w:rsidRPr="007223BC">
              <w:rPr>
                <w:rFonts w:ascii="Times New Roman" w:hAnsi="Times New Roman"/>
                <w:sz w:val="22"/>
                <w:szCs w:val="22"/>
                <w:lang w:val="sr-Latn-RS"/>
              </w:rPr>
              <w:t xml:space="preserve">Sofosbuvir </w:t>
            </w:r>
            <w:r w:rsidRPr="007223BC">
              <w:rPr>
                <w:rFonts w:ascii="Times New Roman" w:hAnsi="Times New Roman"/>
                <w:sz w:val="22"/>
                <w:szCs w:val="22"/>
                <w:lang w:val="sr-Latn-RS"/>
              </w:rPr>
              <w:sym w:font="Symbol" w:char="F0AB"/>
            </w:r>
          </w:p>
          <w:p w14:paraId="6150B0AF" w14:textId="77777777" w:rsidR="00DE74DF" w:rsidRPr="007223BC" w:rsidRDefault="00DE74DF" w:rsidP="00413968">
            <w:pPr>
              <w:pStyle w:val="tabletextNS"/>
              <w:rPr>
                <w:rFonts w:ascii="Times New Roman" w:hAnsi="Times New Roman"/>
                <w:snapToGrid w:val="0"/>
                <w:sz w:val="22"/>
                <w:szCs w:val="22"/>
                <w:lang w:val="sr-Latn-RS"/>
              </w:rPr>
            </w:pPr>
            <w:r w:rsidRPr="007223BC">
              <w:rPr>
                <w:rFonts w:ascii="Times New Roman" w:hAnsi="Times New Roman"/>
                <w:sz w:val="22"/>
                <w:szCs w:val="22"/>
                <w:lang w:val="sr-Latn-RS"/>
              </w:rPr>
              <w:t>Velpatasvir</w:t>
            </w:r>
            <w:r w:rsidRPr="007223BC">
              <w:rPr>
                <w:rFonts w:ascii="Times New Roman" w:hAnsi="Times New Roman"/>
                <w:sz w:val="22"/>
                <w:szCs w:val="22"/>
                <w:lang w:val="sr-Latn-RS"/>
              </w:rPr>
              <w:sym w:font="Symbol" w:char="F0AB"/>
            </w:r>
          </w:p>
        </w:tc>
        <w:tc>
          <w:tcPr>
            <w:tcW w:w="3955" w:type="dxa"/>
          </w:tcPr>
          <w:p w14:paraId="6F971FBC" w14:textId="77777777" w:rsidR="00DE74DF" w:rsidRPr="007223BC" w:rsidRDefault="00DE74DF" w:rsidP="00413968">
            <w:pPr>
              <w:rPr>
                <w:sz w:val="22"/>
                <w:szCs w:val="22"/>
                <w:lang w:val="sr-Latn-RS"/>
              </w:rPr>
            </w:pPr>
            <w:r w:rsidRPr="007223BC">
              <w:rPr>
                <w:sz w:val="22"/>
                <w:szCs w:val="22"/>
                <w:lang w:val="sr-Latn-RS" w:eastAsia="sr-Latn-RS"/>
              </w:rPr>
              <w:t>Nije potrebno prilagođavati dozu</w:t>
            </w:r>
          </w:p>
        </w:tc>
      </w:tr>
      <w:tr w:rsidR="00DE74DF" w:rsidRPr="007223BC" w14:paraId="5BBF6664" w14:textId="77777777" w:rsidTr="00104F5D">
        <w:tc>
          <w:tcPr>
            <w:tcW w:w="2972" w:type="dxa"/>
          </w:tcPr>
          <w:p w14:paraId="62F9D7C5" w14:textId="77777777" w:rsidR="00DE74DF" w:rsidRPr="007223BC" w:rsidRDefault="00DE74DF" w:rsidP="00413968">
            <w:pPr>
              <w:rPr>
                <w:sz w:val="22"/>
                <w:szCs w:val="22"/>
                <w:lang w:val="sr-Latn-RS"/>
              </w:rPr>
            </w:pPr>
            <w:r w:rsidRPr="007223BC">
              <w:rPr>
                <w:sz w:val="22"/>
                <w:szCs w:val="22"/>
                <w:lang w:val="sr-Latn-RS"/>
              </w:rPr>
              <w:t>Ribavirin</w:t>
            </w:r>
          </w:p>
        </w:tc>
        <w:tc>
          <w:tcPr>
            <w:tcW w:w="2553" w:type="dxa"/>
          </w:tcPr>
          <w:p w14:paraId="25D78951" w14:textId="77777777" w:rsidR="00DE74DF" w:rsidRPr="007223BC" w:rsidRDefault="00DE74DF" w:rsidP="00413968">
            <w:pPr>
              <w:pStyle w:val="tabletextNS"/>
              <w:rPr>
                <w:rFonts w:ascii="Times New Roman" w:hAnsi="Times New Roman"/>
                <w:snapToGrid w:val="0"/>
                <w:sz w:val="22"/>
                <w:szCs w:val="22"/>
                <w:lang w:val="sr-Latn-RS"/>
              </w:rPr>
            </w:pPr>
            <w:r w:rsidRPr="007223BC">
              <w:rPr>
                <w:rFonts w:ascii="Times New Roman" w:hAnsi="Times New Roman"/>
                <w:snapToGrid w:val="0"/>
                <w:sz w:val="22"/>
                <w:szCs w:val="22"/>
                <w:lang w:val="sr-Latn-RS"/>
              </w:rPr>
              <w:t xml:space="preserve">Interakcija se nije ispitivala. </w:t>
            </w:r>
          </w:p>
          <w:p w14:paraId="58BBBFB7" w14:textId="77777777" w:rsidR="00DE74DF" w:rsidRPr="007223BC" w:rsidRDefault="00DE74DF" w:rsidP="00413968">
            <w:pPr>
              <w:pStyle w:val="tabletextNS"/>
              <w:rPr>
                <w:rFonts w:ascii="Times New Roman" w:hAnsi="Times New Roman"/>
                <w:snapToGrid w:val="0"/>
                <w:sz w:val="22"/>
                <w:szCs w:val="22"/>
                <w:lang w:val="sr-Latn-RS"/>
              </w:rPr>
            </w:pPr>
            <w:r w:rsidRPr="007223BC">
              <w:rPr>
                <w:rFonts w:ascii="Times New Roman" w:hAnsi="Times New Roman"/>
                <w:snapToGrid w:val="0"/>
                <w:sz w:val="22"/>
                <w:szCs w:val="22"/>
                <w:lang w:val="sr-Latn-RS"/>
              </w:rPr>
              <w:t>Nije vjerovatno da će doći do klinički značajne interakcije.</w:t>
            </w:r>
          </w:p>
          <w:p w14:paraId="35B6C0C6" w14:textId="77777777" w:rsidR="00E14EE3" w:rsidRPr="007223BC" w:rsidRDefault="00E14EE3" w:rsidP="00413968">
            <w:pPr>
              <w:pStyle w:val="tabletextNS"/>
              <w:rPr>
                <w:rFonts w:ascii="Times New Roman" w:hAnsi="Times New Roman"/>
                <w:snapToGrid w:val="0"/>
                <w:sz w:val="22"/>
                <w:szCs w:val="22"/>
                <w:lang w:val="sr-Latn-RS"/>
              </w:rPr>
            </w:pPr>
          </w:p>
          <w:p w14:paraId="3F0E37FB" w14:textId="77777777" w:rsidR="00E14EE3" w:rsidRPr="007223BC" w:rsidRDefault="00E14EE3" w:rsidP="00413968">
            <w:pPr>
              <w:pStyle w:val="tabletextNS"/>
              <w:rPr>
                <w:rFonts w:ascii="Times New Roman" w:hAnsi="Times New Roman"/>
                <w:snapToGrid w:val="0"/>
                <w:sz w:val="22"/>
                <w:szCs w:val="22"/>
                <w:lang w:val="sr-Latn-RS"/>
              </w:rPr>
            </w:pPr>
          </w:p>
          <w:p w14:paraId="1F868009" w14:textId="77777777" w:rsidR="00E14EE3" w:rsidRPr="007223BC" w:rsidRDefault="00E14EE3" w:rsidP="00413968">
            <w:pPr>
              <w:pStyle w:val="tabletextNS"/>
              <w:rPr>
                <w:rFonts w:ascii="Times New Roman" w:hAnsi="Times New Roman"/>
                <w:snapToGrid w:val="0"/>
                <w:sz w:val="22"/>
                <w:szCs w:val="22"/>
                <w:lang w:val="sr-Latn-RS"/>
              </w:rPr>
            </w:pPr>
          </w:p>
          <w:p w14:paraId="05EAA9AC" w14:textId="77777777" w:rsidR="00E14EE3" w:rsidRPr="007223BC" w:rsidRDefault="00E14EE3" w:rsidP="00413968">
            <w:pPr>
              <w:pStyle w:val="tabletextNS"/>
              <w:rPr>
                <w:rFonts w:ascii="Times New Roman" w:hAnsi="Times New Roman"/>
                <w:snapToGrid w:val="0"/>
                <w:sz w:val="22"/>
                <w:szCs w:val="22"/>
                <w:lang w:val="sr-Latn-RS"/>
              </w:rPr>
            </w:pPr>
          </w:p>
          <w:p w14:paraId="167BDB24" w14:textId="77777777" w:rsidR="00E14EE3" w:rsidRPr="007223BC" w:rsidRDefault="00E14EE3" w:rsidP="00413968">
            <w:pPr>
              <w:pStyle w:val="tabletextNS"/>
              <w:rPr>
                <w:rFonts w:ascii="Times New Roman" w:hAnsi="Times New Roman"/>
                <w:snapToGrid w:val="0"/>
                <w:sz w:val="22"/>
                <w:szCs w:val="22"/>
                <w:lang w:val="sr-Latn-RS"/>
              </w:rPr>
            </w:pPr>
          </w:p>
          <w:p w14:paraId="2892BBA3" w14:textId="77777777" w:rsidR="00E14EE3" w:rsidRPr="007223BC" w:rsidRDefault="00E14EE3" w:rsidP="00413968">
            <w:pPr>
              <w:pStyle w:val="tabletextNS"/>
              <w:rPr>
                <w:rFonts w:ascii="Times New Roman" w:hAnsi="Times New Roman"/>
                <w:snapToGrid w:val="0"/>
                <w:sz w:val="22"/>
                <w:szCs w:val="22"/>
                <w:lang w:val="sr-Latn-RS"/>
              </w:rPr>
            </w:pPr>
          </w:p>
          <w:p w14:paraId="2035219A" w14:textId="77777777" w:rsidR="00E14EE3" w:rsidRPr="007223BC" w:rsidRDefault="00E14EE3" w:rsidP="00413968">
            <w:pPr>
              <w:pStyle w:val="tabletextNS"/>
              <w:rPr>
                <w:rFonts w:ascii="Times New Roman" w:hAnsi="Times New Roman"/>
                <w:snapToGrid w:val="0"/>
                <w:sz w:val="22"/>
                <w:szCs w:val="22"/>
                <w:lang w:val="sr-Latn-RS"/>
              </w:rPr>
            </w:pPr>
          </w:p>
          <w:p w14:paraId="3156CC11" w14:textId="77777777" w:rsidR="00E14EE3" w:rsidRPr="007223BC" w:rsidRDefault="00E14EE3" w:rsidP="00413968">
            <w:pPr>
              <w:pStyle w:val="tabletextNS"/>
              <w:rPr>
                <w:rFonts w:ascii="Times New Roman" w:hAnsi="Times New Roman"/>
                <w:snapToGrid w:val="0"/>
                <w:sz w:val="22"/>
                <w:szCs w:val="22"/>
                <w:lang w:val="sr-Latn-RS"/>
              </w:rPr>
            </w:pPr>
          </w:p>
          <w:p w14:paraId="69DF67B6" w14:textId="77777777" w:rsidR="00DE74DF" w:rsidRPr="007223BC" w:rsidRDefault="00DE74DF" w:rsidP="00413968">
            <w:pPr>
              <w:pStyle w:val="tabletextNS"/>
              <w:rPr>
                <w:rFonts w:ascii="Times New Roman" w:hAnsi="Times New Roman"/>
                <w:snapToGrid w:val="0"/>
                <w:sz w:val="22"/>
                <w:szCs w:val="22"/>
                <w:lang w:val="sr-Latn-RS"/>
              </w:rPr>
            </w:pPr>
          </w:p>
        </w:tc>
        <w:tc>
          <w:tcPr>
            <w:tcW w:w="3955" w:type="dxa"/>
          </w:tcPr>
          <w:p w14:paraId="3A9AB285" w14:textId="77777777" w:rsidR="00DE74DF" w:rsidRPr="007223BC" w:rsidRDefault="00DE74DF" w:rsidP="00413968">
            <w:pPr>
              <w:rPr>
                <w:sz w:val="22"/>
                <w:szCs w:val="22"/>
                <w:lang w:val="sr-Latn-RS"/>
              </w:rPr>
            </w:pPr>
            <w:r w:rsidRPr="007223BC">
              <w:rPr>
                <w:sz w:val="22"/>
                <w:szCs w:val="22"/>
                <w:lang w:val="sr-Latn-RS" w:eastAsia="sr-Latn-RS"/>
              </w:rPr>
              <w:t>Nije potrebno prilagođavati dozu</w:t>
            </w:r>
          </w:p>
        </w:tc>
      </w:tr>
      <w:tr w:rsidR="00DE74DF" w:rsidRPr="007223BC" w14:paraId="0915C573" w14:textId="77777777" w:rsidTr="00104F5D">
        <w:tc>
          <w:tcPr>
            <w:tcW w:w="9480" w:type="dxa"/>
            <w:gridSpan w:val="3"/>
          </w:tcPr>
          <w:p w14:paraId="58C7EE82" w14:textId="77777777" w:rsidR="00DE74DF" w:rsidRPr="007223BC" w:rsidRDefault="00DE74DF" w:rsidP="00413968">
            <w:pPr>
              <w:rPr>
                <w:sz w:val="22"/>
                <w:szCs w:val="22"/>
                <w:lang w:val="sr-Latn-RS"/>
              </w:rPr>
            </w:pPr>
            <w:r w:rsidRPr="007223BC">
              <w:rPr>
                <w:b/>
                <w:sz w:val="22"/>
                <w:szCs w:val="22"/>
                <w:lang w:val="sr-Latn-RS"/>
              </w:rPr>
              <w:t>Antiinfektivni ljekovi</w:t>
            </w:r>
          </w:p>
        </w:tc>
      </w:tr>
      <w:tr w:rsidR="00DE74DF" w:rsidRPr="007223BC" w14:paraId="45152297" w14:textId="77777777" w:rsidTr="00104F5D">
        <w:trPr>
          <w:trHeight w:val="3251"/>
        </w:trPr>
        <w:tc>
          <w:tcPr>
            <w:tcW w:w="2972" w:type="dxa"/>
          </w:tcPr>
          <w:p w14:paraId="2344868D" w14:textId="57069BFE" w:rsidR="00DE74DF" w:rsidRPr="007223BC" w:rsidRDefault="00DE74DF" w:rsidP="00413968">
            <w:pPr>
              <w:pStyle w:val="tabletextNS"/>
              <w:rPr>
                <w:rFonts w:ascii="Times New Roman" w:hAnsi="Times New Roman"/>
                <w:sz w:val="22"/>
                <w:szCs w:val="22"/>
                <w:lang w:val="sr-Latn-RS"/>
              </w:rPr>
            </w:pPr>
            <w:r w:rsidRPr="007223BC">
              <w:rPr>
                <w:rFonts w:ascii="Times New Roman" w:hAnsi="Times New Roman"/>
                <w:sz w:val="22"/>
                <w:szCs w:val="22"/>
                <w:lang w:val="sr-Latn-RS"/>
              </w:rPr>
              <w:t>Trimetoprim/sulfamet</w:t>
            </w:r>
            <w:r w:rsidR="005257A2">
              <w:rPr>
                <w:rFonts w:ascii="Times New Roman" w:hAnsi="Times New Roman"/>
                <w:sz w:val="22"/>
                <w:szCs w:val="22"/>
                <w:lang w:val="sr-Latn-RS"/>
              </w:rPr>
              <w:t>o</w:t>
            </w:r>
            <w:r w:rsidRPr="007223BC">
              <w:rPr>
                <w:rFonts w:ascii="Times New Roman" w:hAnsi="Times New Roman"/>
                <w:sz w:val="22"/>
                <w:szCs w:val="22"/>
                <w:lang w:val="sr-Latn-RS"/>
              </w:rPr>
              <w:t>ksazol</w:t>
            </w:r>
          </w:p>
          <w:p w14:paraId="16EA846D" w14:textId="77777777" w:rsidR="00DE74DF" w:rsidRPr="007223BC" w:rsidRDefault="00DE74DF" w:rsidP="00413968">
            <w:pPr>
              <w:pStyle w:val="tabletextNS"/>
              <w:rPr>
                <w:rFonts w:ascii="Times New Roman" w:hAnsi="Times New Roman"/>
                <w:sz w:val="22"/>
                <w:szCs w:val="22"/>
                <w:lang w:val="sr-Latn-RS"/>
              </w:rPr>
            </w:pPr>
            <w:r w:rsidRPr="007223BC">
              <w:rPr>
                <w:rFonts w:ascii="Times New Roman" w:hAnsi="Times New Roman"/>
                <w:sz w:val="22"/>
                <w:szCs w:val="22"/>
                <w:lang w:val="sr-Latn-RS"/>
              </w:rPr>
              <w:t>(kotrimoksazol)/Lamivudin</w:t>
            </w:r>
          </w:p>
          <w:p w14:paraId="3DE6FBBA" w14:textId="77777777" w:rsidR="00DE74DF" w:rsidRPr="007223BC" w:rsidRDefault="00DE74DF" w:rsidP="00413968">
            <w:pPr>
              <w:rPr>
                <w:sz w:val="22"/>
                <w:szCs w:val="22"/>
                <w:lang w:val="sr-Latn-RS"/>
              </w:rPr>
            </w:pPr>
            <w:r w:rsidRPr="007223BC">
              <w:rPr>
                <w:sz w:val="22"/>
                <w:szCs w:val="22"/>
                <w:lang w:val="sr-Latn-RS"/>
              </w:rPr>
              <w:t>(160 mg/800 mg jednom dnevno u period</w:t>
            </w:r>
            <w:r w:rsidR="004E2302" w:rsidRPr="007223BC">
              <w:rPr>
                <w:sz w:val="22"/>
                <w:szCs w:val="22"/>
                <w:lang w:val="sr-Latn-RS"/>
              </w:rPr>
              <w:t>u</w:t>
            </w:r>
            <w:r w:rsidRPr="007223BC">
              <w:rPr>
                <w:sz w:val="22"/>
                <w:szCs w:val="22"/>
                <w:lang w:val="sr-Latn-RS"/>
              </w:rPr>
              <w:t xml:space="preserve"> od 5 dana/300 mg jednokratno)</w:t>
            </w:r>
          </w:p>
        </w:tc>
        <w:tc>
          <w:tcPr>
            <w:tcW w:w="2553" w:type="dxa"/>
          </w:tcPr>
          <w:p w14:paraId="6153D5E6" w14:textId="77777777" w:rsidR="00DE74DF" w:rsidRPr="007223BC" w:rsidRDefault="00DE74DF" w:rsidP="00413968">
            <w:pPr>
              <w:pStyle w:val="tabletextNS"/>
              <w:rPr>
                <w:rFonts w:ascii="Times New Roman" w:hAnsi="Times New Roman"/>
                <w:snapToGrid w:val="0"/>
                <w:sz w:val="22"/>
                <w:szCs w:val="22"/>
                <w:lang w:val="sr-Latn-RS"/>
              </w:rPr>
            </w:pPr>
            <w:r w:rsidRPr="007223BC">
              <w:rPr>
                <w:rFonts w:ascii="Times New Roman" w:hAnsi="Times New Roman"/>
                <w:snapToGrid w:val="0"/>
                <w:sz w:val="22"/>
                <w:szCs w:val="22"/>
                <w:lang w:val="sr-Latn-RS"/>
              </w:rPr>
              <w:t xml:space="preserve">Lamivudin: </w:t>
            </w:r>
          </w:p>
          <w:p w14:paraId="6841D5C2" w14:textId="77777777" w:rsidR="00DE74DF" w:rsidRPr="007223BC" w:rsidRDefault="00DE74DF" w:rsidP="00413968">
            <w:pPr>
              <w:pStyle w:val="tabletextNS"/>
              <w:rPr>
                <w:rFonts w:ascii="Times New Roman" w:hAnsi="Times New Roman"/>
                <w:snapToGrid w:val="0"/>
                <w:sz w:val="22"/>
                <w:szCs w:val="22"/>
                <w:lang w:val="sr-Latn-RS"/>
              </w:rPr>
            </w:pPr>
            <w:r w:rsidRPr="007223BC">
              <w:rPr>
                <w:rFonts w:ascii="Times New Roman" w:hAnsi="Times New Roman"/>
                <w:snapToGrid w:val="0"/>
                <w:sz w:val="22"/>
                <w:szCs w:val="22"/>
                <w:lang w:val="sr-Latn-RS"/>
              </w:rPr>
              <w:t xml:space="preserve">   PIK </w:t>
            </w:r>
            <w:r w:rsidRPr="007223BC">
              <w:rPr>
                <w:rFonts w:ascii="Times New Roman" w:hAnsi="Times New Roman"/>
                <w:snapToGrid w:val="0"/>
                <w:sz w:val="22"/>
                <w:szCs w:val="22"/>
                <w:lang w:val="sr-Latn-RS"/>
              </w:rPr>
              <w:sym w:font="Symbol" w:char="F0AD"/>
            </w:r>
            <w:r w:rsidRPr="007223BC">
              <w:rPr>
                <w:rFonts w:ascii="Times New Roman" w:hAnsi="Times New Roman"/>
                <w:snapToGrid w:val="0"/>
                <w:sz w:val="22"/>
                <w:szCs w:val="22"/>
                <w:lang w:val="sr-Latn-RS"/>
              </w:rPr>
              <w:t xml:space="preserve"> 43%</w:t>
            </w:r>
          </w:p>
          <w:p w14:paraId="40B26152" w14:textId="77777777" w:rsidR="00DE74DF" w:rsidRPr="007223BC" w:rsidRDefault="00DE74DF" w:rsidP="00413968">
            <w:pPr>
              <w:pStyle w:val="tabletextNS"/>
              <w:rPr>
                <w:rFonts w:ascii="Times New Roman" w:hAnsi="Times New Roman"/>
                <w:snapToGrid w:val="0"/>
                <w:sz w:val="22"/>
                <w:szCs w:val="22"/>
                <w:lang w:val="sr-Latn-RS"/>
              </w:rPr>
            </w:pPr>
            <w:r w:rsidRPr="007223BC">
              <w:rPr>
                <w:rFonts w:ascii="Times New Roman" w:hAnsi="Times New Roman"/>
                <w:snapToGrid w:val="0"/>
                <w:sz w:val="22"/>
                <w:szCs w:val="22"/>
                <w:lang w:val="sr-Latn-RS"/>
              </w:rPr>
              <w:t xml:space="preserve">   C</w:t>
            </w:r>
            <w:r w:rsidRPr="007223BC">
              <w:rPr>
                <w:rFonts w:ascii="Times New Roman" w:hAnsi="Times New Roman"/>
                <w:snapToGrid w:val="0"/>
                <w:sz w:val="22"/>
                <w:szCs w:val="22"/>
                <w:vertAlign w:val="subscript"/>
                <w:lang w:val="sr-Latn-RS"/>
              </w:rPr>
              <w:t>max</w:t>
            </w:r>
            <w:r w:rsidRPr="007223BC">
              <w:rPr>
                <w:rFonts w:ascii="Times New Roman" w:hAnsi="Times New Roman"/>
                <w:snapToGrid w:val="0"/>
                <w:sz w:val="22"/>
                <w:szCs w:val="22"/>
                <w:lang w:val="sr-Latn-RS"/>
              </w:rPr>
              <w:t xml:space="preserve"> </w:t>
            </w:r>
            <w:r w:rsidRPr="007223BC">
              <w:rPr>
                <w:rFonts w:ascii="Times New Roman" w:hAnsi="Times New Roman"/>
                <w:snapToGrid w:val="0"/>
                <w:sz w:val="22"/>
                <w:szCs w:val="22"/>
                <w:lang w:val="sr-Latn-RS"/>
              </w:rPr>
              <w:sym w:font="Symbol" w:char="F0AD"/>
            </w:r>
            <w:r w:rsidRPr="007223BC">
              <w:rPr>
                <w:rFonts w:ascii="Times New Roman" w:hAnsi="Times New Roman"/>
                <w:snapToGrid w:val="0"/>
                <w:sz w:val="22"/>
                <w:szCs w:val="22"/>
                <w:lang w:val="sr-Latn-RS"/>
              </w:rPr>
              <w:t xml:space="preserve"> 7%</w:t>
            </w:r>
          </w:p>
          <w:p w14:paraId="164C6B92" w14:textId="77777777" w:rsidR="00DE74DF" w:rsidRPr="007223BC" w:rsidRDefault="00DE74DF" w:rsidP="00413968">
            <w:pPr>
              <w:pStyle w:val="tabletextNS"/>
              <w:rPr>
                <w:rFonts w:ascii="Times New Roman" w:hAnsi="Times New Roman"/>
                <w:snapToGrid w:val="0"/>
                <w:sz w:val="22"/>
                <w:szCs w:val="22"/>
                <w:lang w:val="sr-Latn-RS"/>
              </w:rPr>
            </w:pPr>
          </w:p>
          <w:p w14:paraId="0CC77F48" w14:textId="77777777" w:rsidR="00DE74DF" w:rsidRPr="007223BC" w:rsidRDefault="00DE74DF" w:rsidP="00413968">
            <w:pPr>
              <w:pStyle w:val="tabletextNS"/>
              <w:rPr>
                <w:rFonts w:ascii="Times New Roman" w:hAnsi="Times New Roman"/>
                <w:snapToGrid w:val="0"/>
                <w:sz w:val="22"/>
                <w:szCs w:val="22"/>
                <w:lang w:val="sr-Latn-RS"/>
              </w:rPr>
            </w:pPr>
            <w:r w:rsidRPr="007223BC">
              <w:rPr>
                <w:rFonts w:ascii="Times New Roman" w:hAnsi="Times New Roman"/>
                <w:snapToGrid w:val="0"/>
                <w:sz w:val="22"/>
                <w:szCs w:val="22"/>
                <w:lang w:val="sr-Latn-RS"/>
              </w:rPr>
              <w:t xml:space="preserve">Trimetoprim: </w:t>
            </w:r>
          </w:p>
          <w:p w14:paraId="5C6AAC52" w14:textId="77777777" w:rsidR="00DE74DF" w:rsidRPr="007223BC" w:rsidRDefault="00DE74DF" w:rsidP="00413968">
            <w:pPr>
              <w:pStyle w:val="tabletextNS"/>
              <w:rPr>
                <w:rFonts w:ascii="Times New Roman" w:hAnsi="Times New Roman"/>
                <w:snapToGrid w:val="0"/>
                <w:sz w:val="22"/>
                <w:szCs w:val="22"/>
                <w:lang w:val="sr-Latn-RS"/>
              </w:rPr>
            </w:pPr>
            <w:r w:rsidRPr="007223BC">
              <w:rPr>
                <w:rFonts w:ascii="Times New Roman" w:hAnsi="Times New Roman"/>
                <w:snapToGrid w:val="0"/>
                <w:sz w:val="22"/>
                <w:szCs w:val="22"/>
                <w:lang w:val="sr-Latn-RS"/>
              </w:rPr>
              <w:t xml:space="preserve">   PIK </w:t>
            </w:r>
            <w:r w:rsidRPr="007223BC">
              <w:rPr>
                <w:rFonts w:ascii="Times New Roman" w:hAnsi="Times New Roman"/>
                <w:snapToGrid w:val="0"/>
                <w:sz w:val="22"/>
                <w:szCs w:val="22"/>
                <w:lang w:val="sr-Latn-RS"/>
              </w:rPr>
              <w:sym w:font="Symbol" w:char="F0AB"/>
            </w:r>
          </w:p>
          <w:p w14:paraId="0361A45A" w14:textId="77777777" w:rsidR="00DE74DF" w:rsidRPr="007223BC" w:rsidRDefault="00DE74DF" w:rsidP="00413968">
            <w:pPr>
              <w:pStyle w:val="tabletextNS"/>
              <w:rPr>
                <w:rFonts w:ascii="Times New Roman" w:hAnsi="Times New Roman"/>
                <w:snapToGrid w:val="0"/>
                <w:sz w:val="22"/>
                <w:szCs w:val="22"/>
                <w:lang w:val="sr-Latn-RS"/>
              </w:rPr>
            </w:pPr>
          </w:p>
          <w:p w14:paraId="53EACD03" w14:textId="77777777" w:rsidR="00DE74DF" w:rsidRPr="007223BC" w:rsidRDefault="00DE74DF" w:rsidP="00413968">
            <w:pPr>
              <w:pStyle w:val="tabletextNS"/>
              <w:rPr>
                <w:rFonts w:ascii="Times New Roman" w:hAnsi="Times New Roman"/>
                <w:snapToGrid w:val="0"/>
                <w:sz w:val="22"/>
                <w:szCs w:val="22"/>
                <w:lang w:val="sr-Latn-RS"/>
              </w:rPr>
            </w:pPr>
            <w:r w:rsidRPr="007223BC">
              <w:rPr>
                <w:rFonts w:ascii="Times New Roman" w:hAnsi="Times New Roman"/>
                <w:snapToGrid w:val="0"/>
                <w:sz w:val="22"/>
                <w:szCs w:val="22"/>
                <w:lang w:val="sr-Latn-RS"/>
              </w:rPr>
              <w:t xml:space="preserve">Sulfametoksazol: </w:t>
            </w:r>
          </w:p>
          <w:p w14:paraId="71C7CE65" w14:textId="77777777" w:rsidR="00DE74DF" w:rsidRPr="007223BC" w:rsidRDefault="00DE74DF" w:rsidP="00413968">
            <w:pPr>
              <w:pStyle w:val="tabletextNS"/>
              <w:rPr>
                <w:rFonts w:ascii="Times New Roman" w:hAnsi="Times New Roman"/>
                <w:snapToGrid w:val="0"/>
                <w:sz w:val="22"/>
                <w:szCs w:val="22"/>
                <w:lang w:val="sr-Latn-RS"/>
              </w:rPr>
            </w:pPr>
            <w:r w:rsidRPr="007223BC">
              <w:rPr>
                <w:rFonts w:ascii="Times New Roman" w:hAnsi="Times New Roman"/>
                <w:snapToGrid w:val="0"/>
                <w:sz w:val="22"/>
                <w:szCs w:val="22"/>
                <w:lang w:val="sr-Latn-RS"/>
              </w:rPr>
              <w:t xml:space="preserve">   PIK </w:t>
            </w:r>
            <w:r w:rsidRPr="007223BC">
              <w:rPr>
                <w:rFonts w:ascii="Times New Roman" w:hAnsi="Times New Roman"/>
                <w:snapToGrid w:val="0"/>
                <w:sz w:val="22"/>
                <w:szCs w:val="22"/>
                <w:lang w:val="sr-Latn-RS"/>
              </w:rPr>
              <w:sym w:font="Symbol" w:char="F0AB"/>
            </w:r>
          </w:p>
          <w:p w14:paraId="1945DE86" w14:textId="77777777" w:rsidR="00DE74DF" w:rsidRPr="007223BC" w:rsidRDefault="00DE74DF" w:rsidP="00413968">
            <w:pPr>
              <w:pStyle w:val="tabletextNS"/>
              <w:rPr>
                <w:rFonts w:ascii="Times New Roman" w:hAnsi="Times New Roman"/>
                <w:snapToGrid w:val="0"/>
                <w:sz w:val="22"/>
                <w:szCs w:val="22"/>
                <w:lang w:val="sr-Latn-RS"/>
              </w:rPr>
            </w:pPr>
          </w:p>
          <w:p w14:paraId="28766876" w14:textId="77777777" w:rsidR="00DE74DF" w:rsidRPr="007223BC" w:rsidRDefault="00DE74DF" w:rsidP="00413968">
            <w:pPr>
              <w:rPr>
                <w:sz w:val="22"/>
                <w:szCs w:val="22"/>
                <w:lang w:val="sr-Latn-RS"/>
              </w:rPr>
            </w:pPr>
            <w:r w:rsidRPr="007223BC">
              <w:rPr>
                <w:snapToGrid w:val="0"/>
                <w:sz w:val="22"/>
                <w:szCs w:val="22"/>
                <w:lang w:val="sr-Latn-RS"/>
              </w:rPr>
              <w:t>(</w:t>
            </w:r>
            <w:r w:rsidRPr="007223BC">
              <w:rPr>
                <w:sz w:val="22"/>
                <w:szCs w:val="22"/>
                <w:lang w:val="sr-Latn-RS" w:eastAsia="sr-Latn-RS"/>
              </w:rPr>
              <w:t>inhibicija transportera organskih katjona</w:t>
            </w:r>
            <w:r w:rsidRPr="007223BC">
              <w:rPr>
                <w:snapToGrid w:val="0"/>
                <w:sz w:val="22"/>
                <w:szCs w:val="22"/>
                <w:lang w:val="sr-Latn-RS"/>
              </w:rPr>
              <w:t>)</w:t>
            </w:r>
          </w:p>
        </w:tc>
        <w:tc>
          <w:tcPr>
            <w:tcW w:w="3955" w:type="dxa"/>
          </w:tcPr>
          <w:p w14:paraId="61925008" w14:textId="77777777" w:rsidR="00DE74DF" w:rsidRPr="007223BC" w:rsidRDefault="00DE74DF" w:rsidP="00413968">
            <w:pPr>
              <w:rPr>
                <w:sz w:val="22"/>
                <w:szCs w:val="22"/>
                <w:lang w:val="sr-Latn-RS"/>
              </w:rPr>
            </w:pPr>
            <w:r w:rsidRPr="007223BC">
              <w:rPr>
                <w:sz w:val="22"/>
                <w:szCs w:val="22"/>
                <w:lang w:val="sr-Latn-RS" w:eastAsia="sr-Latn-RS"/>
              </w:rPr>
              <w:t>Nije potrebno prilagođavati dozu</w:t>
            </w:r>
            <w:r w:rsidR="004E2302" w:rsidRPr="007223BC">
              <w:rPr>
                <w:sz w:val="22"/>
                <w:szCs w:val="22"/>
                <w:lang w:val="sr-Latn-RS" w:eastAsia="sr-Latn-RS"/>
              </w:rPr>
              <w:t>.</w:t>
            </w:r>
          </w:p>
        </w:tc>
      </w:tr>
      <w:tr w:rsidR="00DE74DF" w:rsidRPr="007223BC" w14:paraId="7096654F" w14:textId="77777777" w:rsidTr="00104F5D">
        <w:tc>
          <w:tcPr>
            <w:tcW w:w="9480" w:type="dxa"/>
            <w:gridSpan w:val="3"/>
          </w:tcPr>
          <w:p w14:paraId="56DCD2F8" w14:textId="77777777" w:rsidR="00DE74DF" w:rsidRPr="007223BC" w:rsidRDefault="00DE74DF" w:rsidP="00413968">
            <w:pPr>
              <w:rPr>
                <w:b/>
                <w:bCs/>
                <w:sz w:val="22"/>
                <w:szCs w:val="22"/>
                <w:lang w:val="sr-Latn-RS"/>
              </w:rPr>
            </w:pPr>
            <w:r w:rsidRPr="007223BC">
              <w:rPr>
                <w:b/>
                <w:sz w:val="22"/>
                <w:szCs w:val="22"/>
                <w:lang w:val="sr-Latn-RS" w:eastAsia="sr-Latn-RS"/>
              </w:rPr>
              <w:t>Antimikobakterijski ljekovi</w:t>
            </w:r>
          </w:p>
        </w:tc>
      </w:tr>
      <w:tr w:rsidR="00DE74DF" w:rsidRPr="00413968" w14:paraId="6469CA8E" w14:textId="77777777" w:rsidTr="00104F5D">
        <w:tc>
          <w:tcPr>
            <w:tcW w:w="2972" w:type="dxa"/>
          </w:tcPr>
          <w:p w14:paraId="54B97325" w14:textId="77777777" w:rsidR="00DE74DF" w:rsidRPr="007223BC" w:rsidRDefault="00DE74DF" w:rsidP="00413968">
            <w:pPr>
              <w:rPr>
                <w:sz w:val="22"/>
                <w:szCs w:val="22"/>
                <w:lang w:val="sr-Latn-RS"/>
              </w:rPr>
            </w:pPr>
            <w:r w:rsidRPr="007223BC">
              <w:rPr>
                <w:sz w:val="22"/>
                <w:szCs w:val="22"/>
                <w:lang w:val="sr-Latn-RS"/>
              </w:rPr>
              <w:t>Rifampicin/Dolutegravir</w:t>
            </w:r>
          </w:p>
        </w:tc>
        <w:tc>
          <w:tcPr>
            <w:tcW w:w="2553" w:type="dxa"/>
          </w:tcPr>
          <w:p w14:paraId="69833E90" w14:textId="77777777" w:rsidR="00DE74DF" w:rsidRPr="007223BC" w:rsidRDefault="00DE74DF" w:rsidP="00413968">
            <w:pPr>
              <w:rPr>
                <w:rFonts w:eastAsia="MS Mincho"/>
                <w:sz w:val="22"/>
                <w:szCs w:val="22"/>
                <w:lang w:val="sr-Latn-RS" w:eastAsia="ja-JP"/>
              </w:rPr>
            </w:pPr>
            <w:r w:rsidRPr="007223BC">
              <w:rPr>
                <w:sz w:val="22"/>
                <w:szCs w:val="22"/>
                <w:lang w:val="sr-Latn-RS"/>
              </w:rPr>
              <w:t xml:space="preserve">Dolutegravir </w:t>
            </w:r>
            <w:r w:rsidRPr="007223BC">
              <w:rPr>
                <w:sz w:val="22"/>
                <w:szCs w:val="22"/>
                <w:lang w:val="sr-Latn-RS"/>
              </w:rPr>
              <w:sym w:font="Symbol" w:char="F0AF"/>
            </w:r>
            <w:r w:rsidRPr="007223BC">
              <w:rPr>
                <w:sz w:val="22"/>
                <w:szCs w:val="22"/>
                <w:lang w:val="sr-Latn-RS"/>
              </w:rPr>
              <w:br/>
              <w:t xml:space="preserve">   PIK </w:t>
            </w:r>
            <w:r w:rsidRPr="007223BC">
              <w:rPr>
                <w:sz w:val="22"/>
                <w:szCs w:val="22"/>
                <w:lang w:val="sr-Latn-RS"/>
              </w:rPr>
              <w:sym w:font="Symbol" w:char="F0AF"/>
            </w:r>
            <w:r w:rsidRPr="007223BC">
              <w:rPr>
                <w:sz w:val="22"/>
                <w:szCs w:val="22"/>
                <w:lang w:val="sr-Latn-RS"/>
              </w:rPr>
              <w:t xml:space="preserve"> 54%</w:t>
            </w:r>
            <w:r w:rsidRPr="007223BC">
              <w:rPr>
                <w:sz w:val="22"/>
                <w:szCs w:val="22"/>
                <w:lang w:val="sr-Latn-RS"/>
              </w:rPr>
              <w:br/>
              <w:t xml:space="preserve">   C</w:t>
            </w:r>
            <w:r w:rsidRPr="007223BC">
              <w:rPr>
                <w:sz w:val="22"/>
                <w:szCs w:val="22"/>
                <w:vertAlign w:val="subscript"/>
                <w:lang w:val="sr-Latn-RS"/>
              </w:rPr>
              <w:t>max</w:t>
            </w:r>
            <w:r w:rsidRPr="007223BC">
              <w:rPr>
                <w:sz w:val="22"/>
                <w:szCs w:val="22"/>
                <w:lang w:val="sr-Latn-RS"/>
              </w:rPr>
              <w:t xml:space="preserve"> </w:t>
            </w:r>
            <w:r w:rsidRPr="007223BC">
              <w:rPr>
                <w:sz w:val="22"/>
                <w:szCs w:val="22"/>
                <w:lang w:val="sr-Latn-RS"/>
              </w:rPr>
              <w:sym w:font="Symbol" w:char="F0AF"/>
            </w:r>
            <w:r w:rsidRPr="007223BC">
              <w:rPr>
                <w:sz w:val="22"/>
                <w:szCs w:val="22"/>
                <w:lang w:val="sr-Latn-RS"/>
              </w:rPr>
              <w:t xml:space="preserve"> 43%</w:t>
            </w:r>
            <w:r w:rsidRPr="007223BC">
              <w:rPr>
                <w:sz w:val="22"/>
                <w:szCs w:val="22"/>
                <w:lang w:val="sr-Latn-RS"/>
              </w:rPr>
              <w:br/>
              <w:t xml:space="preserve">   C</w:t>
            </w:r>
            <w:r w:rsidRPr="007223BC">
              <w:rPr>
                <w:sz w:val="22"/>
                <w:szCs w:val="22"/>
                <w:lang w:val="sr-Latn-RS"/>
              </w:rPr>
              <w:sym w:font="Symbol" w:char="F074"/>
            </w:r>
            <w:r w:rsidRPr="007223BC">
              <w:rPr>
                <w:sz w:val="22"/>
                <w:szCs w:val="22"/>
                <w:lang w:val="sr-Latn-RS"/>
              </w:rPr>
              <w:t xml:space="preserve"> </w:t>
            </w:r>
            <w:r w:rsidRPr="007223BC">
              <w:rPr>
                <w:sz w:val="22"/>
                <w:szCs w:val="22"/>
                <w:lang w:val="sr-Latn-RS"/>
              </w:rPr>
              <w:sym w:font="Symbol" w:char="F0AF"/>
            </w:r>
            <w:r w:rsidRPr="007223BC">
              <w:rPr>
                <w:sz w:val="22"/>
                <w:szCs w:val="22"/>
                <w:lang w:val="sr-Latn-RS"/>
              </w:rPr>
              <w:t xml:space="preserve"> 72%</w:t>
            </w:r>
          </w:p>
          <w:p w14:paraId="6B03F845" w14:textId="77777777" w:rsidR="00DE74DF" w:rsidRPr="007223BC" w:rsidRDefault="00DE74DF" w:rsidP="00413968">
            <w:pPr>
              <w:pStyle w:val="tabletextNS"/>
              <w:rPr>
                <w:rFonts w:ascii="Times New Roman" w:hAnsi="Times New Roman"/>
                <w:sz w:val="22"/>
                <w:szCs w:val="22"/>
                <w:lang w:val="sr-Latn-RS"/>
              </w:rPr>
            </w:pPr>
            <w:r w:rsidRPr="007223BC">
              <w:rPr>
                <w:rFonts w:ascii="Times New Roman" w:hAnsi="Times New Roman"/>
                <w:sz w:val="22"/>
                <w:szCs w:val="22"/>
                <w:lang w:val="sr-Latn-RS"/>
              </w:rPr>
              <w:t>(indukcija enzima UGT1A1 i CYP3A)</w:t>
            </w:r>
          </w:p>
        </w:tc>
        <w:tc>
          <w:tcPr>
            <w:tcW w:w="3955" w:type="dxa"/>
          </w:tcPr>
          <w:p w14:paraId="125866BB" w14:textId="77777777" w:rsidR="00DE74DF" w:rsidRPr="007223BC" w:rsidRDefault="00DE74DF" w:rsidP="00413968">
            <w:pPr>
              <w:rPr>
                <w:sz w:val="22"/>
                <w:szCs w:val="22"/>
                <w:lang w:val="sr-Latn-RS"/>
              </w:rPr>
            </w:pPr>
            <w:r w:rsidRPr="007223BC">
              <w:rPr>
                <w:sz w:val="22"/>
                <w:szCs w:val="22"/>
                <w:lang w:val="sr-Latn-RS" w:eastAsia="sr-Latn-RS"/>
              </w:rPr>
              <w:t>Kod istovremene primjene sa rifampicinom</w:t>
            </w:r>
            <w:r w:rsidR="00754BE5" w:rsidRPr="007223BC">
              <w:rPr>
                <w:sz w:val="22"/>
                <w:szCs w:val="22"/>
                <w:lang w:val="sr-Latn-RS" w:eastAsia="sr-Latn-RS"/>
              </w:rPr>
              <w:t>,</w:t>
            </w:r>
            <w:r w:rsidRPr="007223BC">
              <w:rPr>
                <w:sz w:val="22"/>
                <w:szCs w:val="22"/>
                <w:lang w:val="sr-Latn-RS" w:eastAsia="sr-Latn-RS"/>
              </w:rPr>
              <w:t xml:space="preserve"> preporučena doza dolutegravira iznosi 50 mg dva puta dnevno. S obzirom na to da je lijek DOVATO tableta sa fiksnom kombinacijom doza, tokom čitavog perioda istovremenog liječenja rifampicinom potrebno je uzimati dodatnu tabletu dolutegravira od 50 mg, približno 12 sati nakon lijeka DOVATO (za to prilagođavanje doze dostupna je posebna formulacija dolutegravira, vidjeti </w:t>
            </w:r>
            <w:r w:rsidR="00340E08" w:rsidRPr="007223BC">
              <w:rPr>
                <w:sz w:val="22"/>
                <w:szCs w:val="22"/>
                <w:lang w:val="sr-Latn-RS" w:eastAsia="sr-Latn-RS"/>
              </w:rPr>
              <w:t>dio</w:t>
            </w:r>
            <w:r w:rsidRPr="007223BC">
              <w:rPr>
                <w:sz w:val="22"/>
                <w:szCs w:val="22"/>
                <w:lang w:val="sr-Latn-RS" w:eastAsia="sr-Latn-RS"/>
              </w:rPr>
              <w:t xml:space="preserve"> 4.2).</w:t>
            </w:r>
          </w:p>
        </w:tc>
      </w:tr>
      <w:tr w:rsidR="00DE74DF" w:rsidRPr="007223BC" w14:paraId="14DFA749" w14:textId="77777777" w:rsidTr="00104F5D">
        <w:tc>
          <w:tcPr>
            <w:tcW w:w="2972" w:type="dxa"/>
          </w:tcPr>
          <w:p w14:paraId="498C9362" w14:textId="77777777" w:rsidR="00DE74DF" w:rsidRPr="007223BC" w:rsidRDefault="00DE74DF" w:rsidP="00413968">
            <w:pPr>
              <w:rPr>
                <w:sz w:val="22"/>
                <w:szCs w:val="22"/>
                <w:lang w:val="sr-Latn-RS"/>
              </w:rPr>
            </w:pPr>
            <w:r w:rsidRPr="007223BC">
              <w:rPr>
                <w:sz w:val="22"/>
                <w:szCs w:val="22"/>
                <w:lang w:val="sr-Latn-RS"/>
              </w:rPr>
              <w:t>Rifabutin/Dolutegravir</w:t>
            </w:r>
          </w:p>
        </w:tc>
        <w:tc>
          <w:tcPr>
            <w:tcW w:w="2553" w:type="dxa"/>
          </w:tcPr>
          <w:p w14:paraId="30FF02B9" w14:textId="77777777" w:rsidR="00DE74DF" w:rsidRPr="007223BC" w:rsidRDefault="00DE74DF" w:rsidP="00413968">
            <w:pPr>
              <w:pStyle w:val="tabletextNS"/>
              <w:rPr>
                <w:rFonts w:ascii="Times New Roman" w:hAnsi="Times New Roman"/>
                <w:sz w:val="22"/>
                <w:szCs w:val="22"/>
                <w:lang w:val="sr-Latn-RS"/>
              </w:rPr>
            </w:pPr>
            <w:r w:rsidRPr="007223BC">
              <w:rPr>
                <w:rFonts w:ascii="Times New Roman" w:hAnsi="Times New Roman"/>
                <w:sz w:val="22"/>
                <w:szCs w:val="22"/>
                <w:lang w:val="sr-Latn-RS"/>
              </w:rPr>
              <w:t xml:space="preserve">Dolutegravir </w:t>
            </w:r>
            <w:r w:rsidRPr="007223BC">
              <w:rPr>
                <w:rFonts w:ascii="Times New Roman" w:hAnsi="Times New Roman"/>
                <w:sz w:val="22"/>
                <w:szCs w:val="22"/>
                <w:lang w:val="sr-Latn-RS"/>
              </w:rPr>
              <w:sym w:font="Symbol" w:char="F0AB"/>
            </w:r>
            <w:r w:rsidRPr="007223BC">
              <w:rPr>
                <w:rFonts w:ascii="Times New Roman" w:hAnsi="Times New Roman"/>
                <w:sz w:val="22"/>
                <w:szCs w:val="22"/>
                <w:lang w:val="sr-Latn-RS"/>
              </w:rPr>
              <w:br/>
              <w:t xml:space="preserve">   PIK </w:t>
            </w:r>
            <w:r w:rsidRPr="007223BC">
              <w:rPr>
                <w:rFonts w:ascii="Times New Roman" w:hAnsi="Times New Roman"/>
                <w:sz w:val="22"/>
                <w:szCs w:val="22"/>
                <w:lang w:val="sr-Latn-RS"/>
              </w:rPr>
              <w:sym w:font="Symbol" w:char="F0AF"/>
            </w:r>
            <w:r w:rsidRPr="007223BC">
              <w:rPr>
                <w:rFonts w:ascii="Times New Roman" w:hAnsi="Times New Roman"/>
                <w:sz w:val="22"/>
                <w:szCs w:val="22"/>
                <w:lang w:val="sr-Latn-RS"/>
              </w:rPr>
              <w:t xml:space="preserve"> 5%</w:t>
            </w:r>
            <w:r w:rsidRPr="007223BC">
              <w:rPr>
                <w:rFonts w:ascii="Times New Roman" w:hAnsi="Times New Roman"/>
                <w:sz w:val="22"/>
                <w:szCs w:val="22"/>
                <w:lang w:val="sr-Latn-RS"/>
              </w:rPr>
              <w:br/>
              <w:t xml:space="preserve">   C</w:t>
            </w:r>
            <w:r w:rsidRPr="007223BC">
              <w:rPr>
                <w:rFonts w:ascii="Times New Roman" w:hAnsi="Times New Roman"/>
                <w:sz w:val="22"/>
                <w:szCs w:val="22"/>
                <w:vertAlign w:val="subscript"/>
                <w:lang w:val="sr-Latn-RS"/>
              </w:rPr>
              <w:t>max</w:t>
            </w:r>
            <w:r w:rsidRPr="007223BC">
              <w:rPr>
                <w:rFonts w:ascii="Times New Roman" w:hAnsi="Times New Roman"/>
                <w:sz w:val="22"/>
                <w:szCs w:val="22"/>
                <w:lang w:val="sr-Latn-RS"/>
              </w:rPr>
              <w:t xml:space="preserve"> </w:t>
            </w:r>
            <w:r w:rsidRPr="007223BC">
              <w:rPr>
                <w:rFonts w:ascii="Times New Roman" w:hAnsi="Times New Roman"/>
                <w:sz w:val="22"/>
                <w:szCs w:val="22"/>
                <w:lang w:val="sr-Latn-RS"/>
              </w:rPr>
              <w:sym w:font="Symbol" w:char="F0AD"/>
            </w:r>
            <w:r w:rsidRPr="007223BC">
              <w:rPr>
                <w:rFonts w:ascii="Times New Roman" w:hAnsi="Times New Roman"/>
                <w:sz w:val="22"/>
                <w:szCs w:val="22"/>
                <w:lang w:val="sr-Latn-RS"/>
              </w:rPr>
              <w:t xml:space="preserve"> 16%</w:t>
            </w:r>
            <w:r w:rsidRPr="007223BC">
              <w:rPr>
                <w:rFonts w:ascii="Times New Roman" w:hAnsi="Times New Roman"/>
                <w:sz w:val="22"/>
                <w:szCs w:val="22"/>
                <w:lang w:val="sr-Latn-RS"/>
              </w:rPr>
              <w:br/>
              <w:t xml:space="preserve">   Cτ </w:t>
            </w:r>
            <w:r w:rsidRPr="007223BC">
              <w:rPr>
                <w:rFonts w:ascii="Times New Roman" w:hAnsi="Times New Roman"/>
                <w:sz w:val="22"/>
                <w:szCs w:val="22"/>
                <w:lang w:val="sr-Latn-RS"/>
              </w:rPr>
              <w:sym w:font="Symbol" w:char="F0AF"/>
            </w:r>
            <w:r w:rsidRPr="007223BC">
              <w:rPr>
                <w:rFonts w:ascii="Times New Roman" w:hAnsi="Times New Roman"/>
                <w:sz w:val="22"/>
                <w:szCs w:val="22"/>
                <w:lang w:val="sr-Latn-RS"/>
              </w:rPr>
              <w:t xml:space="preserve"> 30%</w:t>
            </w:r>
          </w:p>
          <w:p w14:paraId="4218512B" w14:textId="77777777" w:rsidR="00DE74DF" w:rsidRPr="007223BC" w:rsidRDefault="00DE74DF" w:rsidP="00413968">
            <w:pPr>
              <w:pStyle w:val="tabletextNS"/>
              <w:rPr>
                <w:rFonts w:ascii="Times New Roman" w:hAnsi="Times New Roman"/>
                <w:sz w:val="22"/>
                <w:szCs w:val="22"/>
                <w:lang w:val="sr-Latn-RS"/>
              </w:rPr>
            </w:pPr>
            <w:r w:rsidRPr="007223BC">
              <w:rPr>
                <w:rFonts w:ascii="Times New Roman" w:hAnsi="Times New Roman"/>
                <w:sz w:val="22"/>
                <w:szCs w:val="22"/>
                <w:lang w:val="sr-Latn-RS"/>
              </w:rPr>
              <w:t>(indukcija enzima UGT1A1 i CYP3A)</w:t>
            </w:r>
          </w:p>
        </w:tc>
        <w:tc>
          <w:tcPr>
            <w:tcW w:w="3955" w:type="dxa"/>
          </w:tcPr>
          <w:p w14:paraId="39EEAFEB" w14:textId="77777777" w:rsidR="00DE74DF" w:rsidRPr="007223BC" w:rsidRDefault="00DE74DF" w:rsidP="00413968">
            <w:pPr>
              <w:rPr>
                <w:sz w:val="22"/>
                <w:szCs w:val="22"/>
                <w:lang w:val="sr-Latn-RS"/>
              </w:rPr>
            </w:pPr>
            <w:r w:rsidRPr="007223BC">
              <w:rPr>
                <w:sz w:val="22"/>
                <w:szCs w:val="22"/>
                <w:lang w:val="sr-Latn-RS" w:eastAsia="sr-Latn-RS"/>
              </w:rPr>
              <w:t>Nije potrebno prilagođavati dozu.</w:t>
            </w:r>
          </w:p>
        </w:tc>
      </w:tr>
      <w:tr w:rsidR="00DE74DF" w:rsidRPr="007223BC" w14:paraId="11394ECB" w14:textId="77777777" w:rsidTr="00104F5D">
        <w:tc>
          <w:tcPr>
            <w:tcW w:w="9480" w:type="dxa"/>
            <w:gridSpan w:val="3"/>
          </w:tcPr>
          <w:p w14:paraId="632157FC" w14:textId="77777777" w:rsidR="00DE74DF" w:rsidRPr="007223BC" w:rsidRDefault="00DE74DF" w:rsidP="00413968">
            <w:pPr>
              <w:rPr>
                <w:sz w:val="22"/>
                <w:szCs w:val="22"/>
                <w:lang w:val="sr-Latn-RS"/>
              </w:rPr>
            </w:pPr>
            <w:r w:rsidRPr="007223BC">
              <w:rPr>
                <w:b/>
                <w:sz w:val="22"/>
                <w:szCs w:val="22"/>
                <w:lang w:val="sr-Latn-RS"/>
              </w:rPr>
              <w:lastRenderedPageBreak/>
              <w:t>Antikonvulzivi</w:t>
            </w:r>
          </w:p>
        </w:tc>
      </w:tr>
      <w:tr w:rsidR="00DE74DF" w:rsidRPr="00413968" w14:paraId="5A7801AE" w14:textId="77777777" w:rsidTr="00104F5D">
        <w:tc>
          <w:tcPr>
            <w:tcW w:w="2972" w:type="dxa"/>
          </w:tcPr>
          <w:p w14:paraId="5E9078F7" w14:textId="77777777" w:rsidR="00DE74DF" w:rsidRPr="007223BC" w:rsidRDefault="00DE74DF" w:rsidP="00413968">
            <w:pPr>
              <w:rPr>
                <w:sz w:val="22"/>
                <w:szCs w:val="22"/>
                <w:lang w:val="sr-Latn-RS"/>
              </w:rPr>
            </w:pPr>
            <w:r w:rsidRPr="007223BC">
              <w:rPr>
                <w:sz w:val="22"/>
                <w:szCs w:val="22"/>
                <w:lang w:val="sr-Latn-RS"/>
              </w:rPr>
              <w:t>Karbamazepin/Dolutegravir</w:t>
            </w:r>
          </w:p>
        </w:tc>
        <w:tc>
          <w:tcPr>
            <w:tcW w:w="2553" w:type="dxa"/>
          </w:tcPr>
          <w:p w14:paraId="677D96E9" w14:textId="77777777" w:rsidR="00DE74DF" w:rsidRPr="007223BC" w:rsidRDefault="00DE74DF" w:rsidP="00413968">
            <w:pPr>
              <w:rPr>
                <w:sz w:val="22"/>
                <w:szCs w:val="22"/>
                <w:lang w:val="sr-Latn-RS"/>
              </w:rPr>
            </w:pPr>
            <w:r w:rsidRPr="007223BC">
              <w:rPr>
                <w:sz w:val="22"/>
                <w:szCs w:val="22"/>
                <w:lang w:val="sr-Latn-RS"/>
              </w:rPr>
              <w:t xml:space="preserve">Dolutegravir </w:t>
            </w:r>
            <w:r w:rsidRPr="007223BC">
              <w:rPr>
                <w:sz w:val="22"/>
                <w:szCs w:val="22"/>
                <w:lang w:val="sr-Latn-RS"/>
              </w:rPr>
              <w:sym w:font="Symbol" w:char="F0AF"/>
            </w:r>
            <w:r w:rsidRPr="007223BC">
              <w:rPr>
                <w:sz w:val="22"/>
                <w:szCs w:val="22"/>
                <w:lang w:val="sr-Latn-RS"/>
              </w:rPr>
              <w:br/>
              <w:t xml:space="preserve">   PIK </w:t>
            </w:r>
            <w:r w:rsidRPr="007223BC">
              <w:rPr>
                <w:sz w:val="22"/>
                <w:szCs w:val="22"/>
                <w:lang w:val="sr-Latn-RS"/>
              </w:rPr>
              <w:sym w:font="Symbol" w:char="F0AF"/>
            </w:r>
            <w:r w:rsidRPr="007223BC">
              <w:rPr>
                <w:sz w:val="22"/>
                <w:szCs w:val="22"/>
                <w:lang w:val="sr-Latn-RS"/>
              </w:rPr>
              <w:t xml:space="preserve"> 49%</w:t>
            </w:r>
            <w:r w:rsidRPr="007223BC">
              <w:rPr>
                <w:sz w:val="22"/>
                <w:szCs w:val="22"/>
                <w:lang w:val="sr-Latn-RS"/>
              </w:rPr>
              <w:br/>
              <w:t xml:space="preserve">   C</w:t>
            </w:r>
            <w:r w:rsidRPr="007223BC">
              <w:rPr>
                <w:sz w:val="22"/>
                <w:szCs w:val="22"/>
                <w:vertAlign w:val="subscript"/>
                <w:lang w:val="sr-Latn-RS"/>
              </w:rPr>
              <w:t>max</w:t>
            </w:r>
            <w:r w:rsidRPr="007223BC">
              <w:rPr>
                <w:sz w:val="22"/>
                <w:szCs w:val="22"/>
                <w:lang w:val="sr-Latn-RS"/>
              </w:rPr>
              <w:t xml:space="preserve"> </w:t>
            </w:r>
            <w:r w:rsidRPr="007223BC">
              <w:rPr>
                <w:sz w:val="22"/>
                <w:szCs w:val="22"/>
                <w:lang w:val="sr-Latn-RS"/>
              </w:rPr>
              <w:sym w:font="Symbol" w:char="F0AF"/>
            </w:r>
            <w:r w:rsidRPr="007223BC">
              <w:rPr>
                <w:sz w:val="22"/>
                <w:szCs w:val="22"/>
                <w:lang w:val="sr-Latn-RS"/>
              </w:rPr>
              <w:t xml:space="preserve"> 33%</w:t>
            </w:r>
            <w:r w:rsidRPr="007223BC">
              <w:rPr>
                <w:sz w:val="22"/>
                <w:szCs w:val="22"/>
                <w:lang w:val="sr-Latn-RS"/>
              </w:rPr>
              <w:br/>
              <w:t xml:space="preserve">   C</w:t>
            </w:r>
            <w:r w:rsidRPr="007223BC">
              <w:rPr>
                <w:sz w:val="22"/>
                <w:szCs w:val="22"/>
                <w:lang w:val="sr-Latn-RS"/>
              </w:rPr>
              <w:sym w:font="Symbol" w:char="F074"/>
            </w:r>
            <w:r w:rsidRPr="007223BC">
              <w:rPr>
                <w:sz w:val="22"/>
                <w:szCs w:val="22"/>
                <w:lang w:val="sr-Latn-RS"/>
              </w:rPr>
              <w:t xml:space="preserve"> </w:t>
            </w:r>
            <w:r w:rsidRPr="007223BC">
              <w:rPr>
                <w:sz w:val="22"/>
                <w:szCs w:val="22"/>
                <w:lang w:val="sr-Latn-RS"/>
              </w:rPr>
              <w:sym w:font="Symbol" w:char="F0AF"/>
            </w:r>
            <w:r w:rsidRPr="007223BC">
              <w:rPr>
                <w:sz w:val="22"/>
                <w:szCs w:val="22"/>
                <w:lang w:val="sr-Latn-RS"/>
              </w:rPr>
              <w:t xml:space="preserve"> 73%</w:t>
            </w:r>
          </w:p>
          <w:p w14:paraId="58135A29" w14:textId="77777777" w:rsidR="00DE74DF" w:rsidRPr="007223BC" w:rsidRDefault="00DE74DF" w:rsidP="00413968">
            <w:pPr>
              <w:rPr>
                <w:sz w:val="22"/>
                <w:szCs w:val="22"/>
                <w:lang w:val="sr-Latn-RS"/>
              </w:rPr>
            </w:pPr>
          </w:p>
        </w:tc>
        <w:tc>
          <w:tcPr>
            <w:tcW w:w="3955" w:type="dxa"/>
            <w:vMerge w:val="restart"/>
          </w:tcPr>
          <w:p w14:paraId="7976B7D9" w14:textId="77777777" w:rsidR="00DE74DF" w:rsidRPr="007223BC" w:rsidRDefault="00DE74DF" w:rsidP="00413968">
            <w:pPr>
              <w:rPr>
                <w:sz w:val="22"/>
                <w:szCs w:val="22"/>
                <w:lang w:val="sr-Latn-RS"/>
              </w:rPr>
            </w:pPr>
            <w:r w:rsidRPr="007223BC">
              <w:rPr>
                <w:sz w:val="22"/>
                <w:szCs w:val="22"/>
                <w:lang w:val="sr-Latn-RS"/>
              </w:rPr>
              <w:t>Kod istovremene primjene sa navedenim metaboličkim induktorima</w:t>
            </w:r>
            <w:r w:rsidR="009172A2" w:rsidRPr="007223BC">
              <w:rPr>
                <w:sz w:val="22"/>
                <w:szCs w:val="22"/>
                <w:lang w:val="sr-Latn-RS"/>
              </w:rPr>
              <w:t>,</w:t>
            </w:r>
            <w:r w:rsidRPr="007223BC">
              <w:rPr>
                <w:sz w:val="22"/>
                <w:szCs w:val="22"/>
                <w:lang w:val="sr-Latn-RS"/>
              </w:rPr>
              <w:t xml:space="preserve"> preporučena doza dolutegravira iznosi 50 mg dva puta dnevno. S obzirom na to da je DOVATO tableta sa fiksnom kombinacijom doza, tokom istovremene primjene sa ovim metaboličkim induktorima treba da se uzme dodatna tableta dolutegravira od 50 mg, oko 12 sati nakon uzimanja lijeka DOVATO (dostupna je posebna formulacija dolutegravira za ovo prilagođavanje doze, vidjeti </w:t>
            </w:r>
            <w:r w:rsidR="00340E08" w:rsidRPr="007223BC">
              <w:rPr>
                <w:sz w:val="22"/>
                <w:szCs w:val="22"/>
                <w:lang w:val="sr-Latn-RS"/>
              </w:rPr>
              <w:t xml:space="preserve">dio </w:t>
            </w:r>
            <w:r w:rsidRPr="007223BC">
              <w:rPr>
                <w:sz w:val="22"/>
                <w:szCs w:val="22"/>
                <w:lang w:val="sr-Latn-RS"/>
              </w:rPr>
              <w:t xml:space="preserve">4.2). </w:t>
            </w:r>
          </w:p>
        </w:tc>
      </w:tr>
      <w:tr w:rsidR="00DE74DF" w:rsidRPr="00413968" w14:paraId="10B6CE90" w14:textId="77777777" w:rsidTr="00104F5D">
        <w:tc>
          <w:tcPr>
            <w:tcW w:w="2972" w:type="dxa"/>
          </w:tcPr>
          <w:p w14:paraId="48E5682C" w14:textId="77777777" w:rsidR="00DE74DF" w:rsidRPr="007223BC" w:rsidRDefault="00DE74DF" w:rsidP="00413968">
            <w:pPr>
              <w:rPr>
                <w:sz w:val="22"/>
                <w:szCs w:val="22"/>
                <w:lang w:val="sr-Latn-RS"/>
              </w:rPr>
            </w:pPr>
            <w:r w:rsidRPr="007223BC">
              <w:rPr>
                <w:sz w:val="22"/>
                <w:szCs w:val="22"/>
                <w:lang w:val="sr-Latn-RS"/>
              </w:rPr>
              <w:t>Fenobarbital/Dolutegravir</w:t>
            </w:r>
          </w:p>
          <w:p w14:paraId="23DA3268" w14:textId="77777777" w:rsidR="00DE74DF" w:rsidRPr="007223BC" w:rsidRDefault="00DE74DF" w:rsidP="00413968">
            <w:pPr>
              <w:rPr>
                <w:sz w:val="22"/>
                <w:szCs w:val="22"/>
                <w:lang w:val="sr-Latn-RS"/>
              </w:rPr>
            </w:pPr>
            <w:r w:rsidRPr="007223BC">
              <w:rPr>
                <w:sz w:val="22"/>
                <w:szCs w:val="22"/>
                <w:lang w:val="sr-Latn-RS"/>
              </w:rPr>
              <w:t>Fenitoin/Dolutegravir</w:t>
            </w:r>
          </w:p>
          <w:p w14:paraId="04CC9222" w14:textId="50E9CD56" w:rsidR="00DE74DF" w:rsidRPr="007223BC" w:rsidRDefault="00DE74DF" w:rsidP="00413968">
            <w:pPr>
              <w:rPr>
                <w:sz w:val="22"/>
                <w:szCs w:val="22"/>
                <w:lang w:val="sr-Latn-RS"/>
              </w:rPr>
            </w:pPr>
            <w:r w:rsidRPr="007223BC">
              <w:rPr>
                <w:sz w:val="22"/>
                <w:szCs w:val="22"/>
                <w:lang w:val="sr-Latn-RS"/>
              </w:rPr>
              <w:t>O</w:t>
            </w:r>
            <w:r w:rsidR="005257A2">
              <w:rPr>
                <w:sz w:val="22"/>
                <w:szCs w:val="22"/>
                <w:lang w:val="sr-Latn-RS"/>
              </w:rPr>
              <w:t>k</w:t>
            </w:r>
            <w:r w:rsidRPr="007223BC">
              <w:rPr>
                <w:sz w:val="22"/>
                <w:szCs w:val="22"/>
                <w:lang w:val="sr-Latn-RS"/>
              </w:rPr>
              <w:t>skarbazepin/Dolutegravir</w:t>
            </w:r>
          </w:p>
          <w:p w14:paraId="370EC75E" w14:textId="77777777" w:rsidR="00DE74DF" w:rsidRPr="007223BC" w:rsidRDefault="00DE74DF" w:rsidP="00413968">
            <w:pPr>
              <w:rPr>
                <w:sz w:val="22"/>
                <w:szCs w:val="22"/>
                <w:lang w:val="sr-Latn-RS"/>
              </w:rPr>
            </w:pPr>
          </w:p>
        </w:tc>
        <w:tc>
          <w:tcPr>
            <w:tcW w:w="2553" w:type="dxa"/>
          </w:tcPr>
          <w:p w14:paraId="4D0330A6" w14:textId="77777777" w:rsidR="00DE74DF" w:rsidRPr="007223BC" w:rsidRDefault="00DE74DF" w:rsidP="00413968">
            <w:pPr>
              <w:rPr>
                <w:sz w:val="22"/>
                <w:szCs w:val="22"/>
                <w:lang w:val="sr-Latn-RS"/>
              </w:rPr>
            </w:pPr>
            <w:r w:rsidRPr="007223BC">
              <w:rPr>
                <w:sz w:val="22"/>
                <w:szCs w:val="22"/>
                <w:lang w:val="sr-Latn-RS"/>
              </w:rPr>
              <w:t xml:space="preserve">Dolutegravir </w:t>
            </w:r>
            <w:r w:rsidRPr="007223BC">
              <w:rPr>
                <w:sz w:val="22"/>
                <w:szCs w:val="22"/>
                <w:lang w:val="sr-Latn-RS"/>
              </w:rPr>
              <w:sym w:font="Symbol" w:char="F0AF"/>
            </w:r>
          </w:p>
          <w:p w14:paraId="0E6E1F6F" w14:textId="77777777" w:rsidR="00DE74DF" w:rsidRPr="007223BC" w:rsidRDefault="00DE74DF" w:rsidP="00413968">
            <w:pPr>
              <w:rPr>
                <w:sz w:val="22"/>
                <w:szCs w:val="22"/>
                <w:lang w:val="sr-Latn-RS"/>
              </w:rPr>
            </w:pPr>
            <w:r w:rsidRPr="007223BC">
              <w:rPr>
                <w:sz w:val="22"/>
                <w:szCs w:val="22"/>
                <w:lang w:val="sr-Latn-RS"/>
              </w:rPr>
              <w:t>(Nije se ispitivalo, očekuje se smanjenje zbog indukcije enzima  UGT1A1 i CYP3A</w:t>
            </w:r>
            <w:r w:rsidRPr="007223BC">
              <w:rPr>
                <w:snapToGrid w:val="0"/>
                <w:sz w:val="22"/>
                <w:szCs w:val="22"/>
                <w:lang w:val="sr-Latn-RS"/>
              </w:rPr>
              <w:t xml:space="preserve">, očekuje se smanjenje izloženosti slično onome opaženom kod primjene karbamazepina). </w:t>
            </w:r>
          </w:p>
        </w:tc>
        <w:tc>
          <w:tcPr>
            <w:tcW w:w="3955" w:type="dxa"/>
            <w:vMerge/>
          </w:tcPr>
          <w:p w14:paraId="31B8919C" w14:textId="77777777" w:rsidR="00DE74DF" w:rsidRPr="007223BC" w:rsidRDefault="00DE74DF" w:rsidP="00413968">
            <w:pPr>
              <w:rPr>
                <w:sz w:val="22"/>
                <w:szCs w:val="22"/>
                <w:lang w:val="sr-Latn-RS"/>
              </w:rPr>
            </w:pPr>
          </w:p>
        </w:tc>
      </w:tr>
      <w:tr w:rsidR="00DE74DF" w:rsidRPr="00413968" w14:paraId="56814C23" w14:textId="77777777" w:rsidTr="00104F5D">
        <w:tc>
          <w:tcPr>
            <w:tcW w:w="9480" w:type="dxa"/>
            <w:gridSpan w:val="3"/>
          </w:tcPr>
          <w:p w14:paraId="501F2954" w14:textId="77777777" w:rsidR="00DE74DF" w:rsidRPr="007223BC" w:rsidRDefault="00DE74DF" w:rsidP="00413968">
            <w:pPr>
              <w:rPr>
                <w:sz w:val="22"/>
                <w:szCs w:val="22"/>
                <w:lang w:val="sr-Latn-RS"/>
              </w:rPr>
            </w:pPr>
            <w:r w:rsidRPr="007223BC">
              <w:rPr>
                <w:b/>
                <w:sz w:val="22"/>
                <w:szCs w:val="22"/>
                <w:lang w:val="sr-Latn-RS"/>
              </w:rPr>
              <w:t>Antihistaminici (antagonisti histaminskih H2 receptora)</w:t>
            </w:r>
          </w:p>
        </w:tc>
      </w:tr>
      <w:tr w:rsidR="00DE74DF" w:rsidRPr="007223BC" w14:paraId="437EA8C2" w14:textId="77777777" w:rsidTr="00104F5D">
        <w:tc>
          <w:tcPr>
            <w:tcW w:w="2972" w:type="dxa"/>
          </w:tcPr>
          <w:p w14:paraId="3952C5A3" w14:textId="77777777" w:rsidR="00DE74DF" w:rsidRPr="007223BC" w:rsidRDefault="00DE74DF" w:rsidP="00413968">
            <w:pPr>
              <w:rPr>
                <w:sz w:val="22"/>
                <w:szCs w:val="22"/>
                <w:lang w:val="sr-Latn-RS"/>
              </w:rPr>
            </w:pPr>
            <w:r w:rsidRPr="007223BC">
              <w:rPr>
                <w:sz w:val="22"/>
                <w:szCs w:val="22"/>
                <w:lang w:val="sr-Latn-RS"/>
              </w:rPr>
              <w:t>Ranitidin</w:t>
            </w:r>
          </w:p>
        </w:tc>
        <w:tc>
          <w:tcPr>
            <w:tcW w:w="2553" w:type="dxa"/>
          </w:tcPr>
          <w:p w14:paraId="3774DFC6" w14:textId="77777777" w:rsidR="00DE74DF" w:rsidRPr="007223BC" w:rsidRDefault="00DE74DF" w:rsidP="00413968">
            <w:pPr>
              <w:pStyle w:val="tabletextNS"/>
              <w:rPr>
                <w:rFonts w:ascii="Times New Roman" w:hAnsi="Times New Roman"/>
                <w:snapToGrid w:val="0"/>
                <w:sz w:val="22"/>
                <w:szCs w:val="22"/>
                <w:lang w:val="sr-Latn-RS"/>
              </w:rPr>
            </w:pPr>
            <w:r w:rsidRPr="007223BC">
              <w:rPr>
                <w:rFonts w:ascii="Times New Roman" w:hAnsi="Times New Roman"/>
                <w:snapToGrid w:val="0"/>
                <w:sz w:val="22"/>
                <w:szCs w:val="22"/>
                <w:lang w:val="sr-Latn-RS"/>
              </w:rPr>
              <w:t xml:space="preserve">Interakcija se nije ispitivala. </w:t>
            </w:r>
          </w:p>
          <w:p w14:paraId="19B97571" w14:textId="77777777" w:rsidR="00DE74DF" w:rsidRPr="007223BC" w:rsidRDefault="00DE74DF" w:rsidP="00413968">
            <w:pPr>
              <w:rPr>
                <w:snapToGrid w:val="0"/>
                <w:sz w:val="22"/>
                <w:szCs w:val="22"/>
                <w:lang w:val="sr-Latn-RS"/>
              </w:rPr>
            </w:pPr>
            <w:r w:rsidRPr="007223BC">
              <w:rPr>
                <w:snapToGrid w:val="0"/>
                <w:sz w:val="22"/>
                <w:szCs w:val="22"/>
                <w:lang w:val="sr-Latn-RS"/>
              </w:rPr>
              <w:t>Nije vjerovatno da će doći do klinički značajne interakcije.</w:t>
            </w:r>
          </w:p>
        </w:tc>
        <w:tc>
          <w:tcPr>
            <w:tcW w:w="3955" w:type="dxa"/>
          </w:tcPr>
          <w:p w14:paraId="7ADB209A" w14:textId="77777777" w:rsidR="00DE74DF" w:rsidRPr="007223BC" w:rsidRDefault="00DE74DF" w:rsidP="00413968">
            <w:pPr>
              <w:rPr>
                <w:sz w:val="22"/>
                <w:szCs w:val="22"/>
                <w:lang w:val="sr-Latn-RS"/>
              </w:rPr>
            </w:pPr>
            <w:r w:rsidRPr="007223BC">
              <w:rPr>
                <w:sz w:val="22"/>
                <w:szCs w:val="22"/>
                <w:lang w:val="sr-Latn-RS" w:eastAsia="sr-Latn-RS"/>
              </w:rPr>
              <w:t>Nije potrebno prilagođavati dozu.</w:t>
            </w:r>
          </w:p>
        </w:tc>
      </w:tr>
      <w:tr w:rsidR="00DE74DF" w:rsidRPr="007223BC" w14:paraId="643E958E" w14:textId="77777777" w:rsidTr="00104F5D">
        <w:tc>
          <w:tcPr>
            <w:tcW w:w="2972" w:type="dxa"/>
          </w:tcPr>
          <w:p w14:paraId="6D1CFB35" w14:textId="77777777" w:rsidR="00DE74DF" w:rsidRPr="007223BC" w:rsidRDefault="00DE74DF" w:rsidP="00413968">
            <w:pPr>
              <w:rPr>
                <w:sz w:val="22"/>
                <w:szCs w:val="22"/>
                <w:lang w:val="sr-Latn-RS"/>
              </w:rPr>
            </w:pPr>
            <w:r w:rsidRPr="007223BC">
              <w:rPr>
                <w:sz w:val="22"/>
                <w:szCs w:val="22"/>
                <w:lang w:val="sr-Latn-RS"/>
              </w:rPr>
              <w:t>Cimetidin</w:t>
            </w:r>
          </w:p>
        </w:tc>
        <w:tc>
          <w:tcPr>
            <w:tcW w:w="2553" w:type="dxa"/>
          </w:tcPr>
          <w:p w14:paraId="0BDE0D34" w14:textId="77777777" w:rsidR="00DE74DF" w:rsidRPr="007223BC" w:rsidRDefault="00DE74DF" w:rsidP="00413968">
            <w:pPr>
              <w:pStyle w:val="tabletextNS"/>
              <w:rPr>
                <w:rFonts w:ascii="Times New Roman" w:hAnsi="Times New Roman"/>
                <w:snapToGrid w:val="0"/>
                <w:sz w:val="22"/>
                <w:szCs w:val="22"/>
                <w:lang w:val="sr-Latn-RS"/>
              </w:rPr>
            </w:pPr>
            <w:r w:rsidRPr="007223BC">
              <w:rPr>
                <w:rFonts w:ascii="Times New Roman" w:hAnsi="Times New Roman"/>
                <w:snapToGrid w:val="0"/>
                <w:sz w:val="22"/>
                <w:szCs w:val="22"/>
                <w:lang w:val="sr-Latn-RS"/>
              </w:rPr>
              <w:t xml:space="preserve">Interakcija se nije ispitivala. </w:t>
            </w:r>
          </w:p>
          <w:p w14:paraId="60AD3B90" w14:textId="77777777" w:rsidR="00DE74DF" w:rsidRPr="007223BC" w:rsidRDefault="00DE74DF" w:rsidP="00413968">
            <w:pPr>
              <w:rPr>
                <w:snapToGrid w:val="0"/>
                <w:sz w:val="22"/>
                <w:szCs w:val="22"/>
                <w:lang w:val="sr-Latn-RS"/>
              </w:rPr>
            </w:pPr>
            <w:r w:rsidRPr="007223BC">
              <w:rPr>
                <w:snapToGrid w:val="0"/>
                <w:sz w:val="22"/>
                <w:szCs w:val="22"/>
                <w:lang w:val="sr-Latn-RS"/>
              </w:rPr>
              <w:t>Nije vjerovatno da će doći do klinički značajne interakcije.</w:t>
            </w:r>
          </w:p>
        </w:tc>
        <w:tc>
          <w:tcPr>
            <w:tcW w:w="3955" w:type="dxa"/>
          </w:tcPr>
          <w:p w14:paraId="70D2DB93" w14:textId="77777777" w:rsidR="00DE74DF" w:rsidRPr="007223BC" w:rsidRDefault="00DE74DF" w:rsidP="00413968">
            <w:pPr>
              <w:rPr>
                <w:sz w:val="22"/>
                <w:szCs w:val="22"/>
                <w:lang w:val="sr-Latn-RS"/>
              </w:rPr>
            </w:pPr>
            <w:r w:rsidRPr="007223BC">
              <w:rPr>
                <w:sz w:val="22"/>
                <w:szCs w:val="22"/>
                <w:lang w:val="sr-Latn-RS" w:eastAsia="sr-Latn-RS"/>
              </w:rPr>
              <w:t>Nije potrebno prilagođavati dozu.</w:t>
            </w:r>
          </w:p>
        </w:tc>
      </w:tr>
      <w:tr w:rsidR="00DE74DF" w:rsidRPr="007223BC" w14:paraId="1CF750FA" w14:textId="77777777" w:rsidTr="00104F5D">
        <w:tc>
          <w:tcPr>
            <w:tcW w:w="9480" w:type="dxa"/>
            <w:gridSpan w:val="3"/>
          </w:tcPr>
          <w:p w14:paraId="4FFC4BDE" w14:textId="77777777" w:rsidR="00DE74DF" w:rsidRPr="007223BC" w:rsidRDefault="00DE74DF" w:rsidP="00413968">
            <w:pPr>
              <w:rPr>
                <w:sz w:val="22"/>
                <w:szCs w:val="22"/>
                <w:lang w:val="sr-Latn-RS"/>
              </w:rPr>
            </w:pPr>
            <w:bookmarkStart w:id="1" w:name="_Hlk518565042"/>
            <w:r w:rsidRPr="007223BC">
              <w:rPr>
                <w:b/>
                <w:sz w:val="22"/>
                <w:szCs w:val="22"/>
                <w:lang w:val="sr-Latn-RS"/>
              </w:rPr>
              <w:t>Citotoksici</w:t>
            </w:r>
          </w:p>
        </w:tc>
      </w:tr>
      <w:bookmarkEnd w:id="1"/>
      <w:tr w:rsidR="00DE74DF" w:rsidRPr="00413968" w14:paraId="4DA1A96B" w14:textId="77777777" w:rsidTr="00104F5D">
        <w:trPr>
          <w:trHeight w:val="3676"/>
        </w:trPr>
        <w:tc>
          <w:tcPr>
            <w:tcW w:w="2972" w:type="dxa"/>
          </w:tcPr>
          <w:p w14:paraId="56EA4BAE" w14:textId="77777777" w:rsidR="00DE74DF" w:rsidRPr="007223BC" w:rsidRDefault="00DE74DF" w:rsidP="00413968">
            <w:pPr>
              <w:rPr>
                <w:sz w:val="22"/>
                <w:szCs w:val="22"/>
                <w:lang w:val="sr-Latn-RS"/>
              </w:rPr>
            </w:pPr>
            <w:r w:rsidRPr="007223BC">
              <w:rPr>
                <w:sz w:val="22"/>
                <w:szCs w:val="22"/>
                <w:lang w:val="sr-Latn-RS"/>
              </w:rPr>
              <w:t>Kladribin/Lamivudin</w:t>
            </w:r>
          </w:p>
        </w:tc>
        <w:tc>
          <w:tcPr>
            <w:tcW w:w="2553" w:type="dxa"/>
          </w:tcPr>
          <w:p w14:paraId="75662946" w14:textId="77777777" w:rsidR="00DE74DF" w:rsidRPr="007223BC" w:rsidRDefault="00DE74DF" w:rsidP="00413968">
            <w:pPr>
              <w:pStyle w:val="tabletextNS"/>
              <w:rPr>
                <w:rFonts w:ascii="Times New Roman" w:hAnsi="Times New Roman"/>
                <w:sz w:val="22"/>
                <w:szCs w:val="22"/>
                <w:lang w:val="sr-Latn-RS"/>
              </w:rPr>
            </w:pPr>
            <w:r w:rsidRPr="007223BC">
              <w:rPr>
                <w:rFonts w:ascii="Times New Roman" w:hAnsi="Times New Roman"/>
                <w:snapToGrid w:val="0"/>
                <w:sz w:val="22"/>
                <w:szCs w:val="22"/>
                <w:lang w:val="sr-Latn-RS"/>
              </w:rPr>
              <w:t>Interakcija se nije ispitivala</w:t>
            </w:r>
            <w:r w:rsidRPr="007223BC">
              <w:rPr>
                <w:rFonts w:ascii="Times New Roman" w:hAnsi="Times New Roman"/>
                <w:sz w:val="22"/>
                <w:szCs w:val="22"/>
                <w:lang w:val="sr-Latn-RS"/>
              </w:rPr>
              <w:t>.</w:t>
            </w:r>
          </w:p>
          <w:p w14:paraId="6B4A652D" w14:textId="77777777" w:rsidR="00295DCA" w:rsidRPr="007223BC" w:rsidRDefault="00295DCA" w:rsidP="00413968">
            <w:pPr>
              <w:pStyle w:val="tabletextNS"/>
              <w:rPr>
                <w:rFonts w:ascii="Times New Roman" w:hAnsi="Times New Roman"/>
                <w:sz w:val="22"/>
                <w:szCs w:val="22"/>
                <w:lang w:val="sr-Latn-RS"/>
              </w:rPr>
            </w:pPr>
          </w:p>
          <w:p w14:paraId="20186E34" w14:textId="77777777" w:rsidR="00DE74DF" w:rsidRPr="007223BC" w:rsidRDefault="00DE74DF" w:rsidP="00413968">
            <w:pPr>
              <w:pStyle w:val="tabletextNS"/>
              <w:rPr>
                <w:rFonts w:ascii="Times New Roman" w:hAnsi="Times New Roman"/>
                <w:sz w:val="22"/>
                <w:szCs w:val="22"/>
                <w:lang w:val="sr-Latn-RS" w:eastAsia="sr-Latn-RS"/>
              </w:rPr>
            </w:pPr>
            <w:r w:rsidRPr="007223BC">
              <w:rPr>
                <w:rFonts w:ascii="Times New Roman" w:hAnsi="Times New Roman"/>
                <w:i/>
                <w:iCs/>
                <w:sz w:val="22"/>
                <w:szCs w:val="22"/>
                <w:lang w:val="sr-Latn-RS" w:eastAsia="sr-Latn-RS"/>
              </w:rPr>
              <w:t>In vitro</w:t>
            </w:r>
            <w:r w:rsidRPr="007223BC">
              <w:rPr>
                <w:rFonts w:ascii="Times New Roman" w:hAnsi="Times New Roman"/>
                <w:sz w:val="22"/>
                <w:szCs w:val="22"/>
                <w:lang w:val="sr-Latn-RS" w:eastAsia="sr-Latn-RS"/>
              </w:rPr>
              <w:t xml:space="preserve"> lamivudin inhibira unutarćelijsku fosforilaciju kladribina, što može dovesti do rizika od gubitka efikasnosti kladribina u slučaju kombinovane primjene u kliničkim uslovima. Neki klinički nalazi takođe ukazuju na moguću interakciju između lamivudina i kladribina.</w:t>
            </w:r>
          </w:p>
        </w:tc>
        <w:tc>
          <w:tcPr>
            <w:tcW w:w="3955" w:type="dxa"/>
          </w:tcPr>
          <w:p w14:paraId="6448884C" w14:textId="77777777" w:rsidR="00DE74DF" w:rsidRPr="007223BC" w:rsidRDefault="00DE74DF" w:rsidP="00413968">
            <w:pPr>
              <w:rPr>
                <w:sz w:val="22"/>
                <w:szCs w:val="22"/>
                <w:lang w:val="sr-Latn-RS"/>
              </w:rPr>
            </w:pPr>
            <w:r w:rsidRPr="007223BC">
              <w:rPr>
                <w:sz w:val="22"/>
                <w:szCs w:val="22"/>
                <w:lang w:val="sr-Latn-RS" w:eastAsia="sr-Latn-RS"/>
              </w:rPr>
              <w:t>Istovremena primjena lijeka DOVATO i kladribina se ne preporučuje (vidjeti dio 4.4).</w:t>
            </w:r>
          </w:p>
        </w:tc>
      </w:tr>
      <w:tr w:rsidR="00DE74DF" w:rsidRPr="007223BC" w14:paraId="25464760" w14:textId="77777777" w:rsidTr="00104F5D">
        <w:tc>
          <w:tcPr>
            <w:tcW w:w="9480" w:type="dxa"/>
            <w:gridSpan w:val="3"/>
          </w:tcPr>
          <w:p w14:paraId="4DED5798" w14:textId="77777777" w:rsidR="00DE74DF" w:rsidRPr="007223BC" w:rsidRDefault="00DE74DF" w:rsidP="00413968">
            <w:pPr>
              <w:keepNext/>
              <w:rPr>
                <w:sz w:val="22"/>
                <w:szCs w:val="22"/>
                <w:lang w:val="sr-Latn-RS"/>
              </w:rPr>
            </w:pPr>
            <w:r w:rsidRPr="007223BC">
              <w:rPr>
                <w:b/>
                <w:sz w:val="22"/>
                <w:szCs w:val="22"/>
                <w:lang w:val="sr-Latn-RS"/>
              </w:rPr>
              <w:t>Razno</w:t>
            </w:r>
          </w:p>
        </w:tc>
      </w:tr>
      <w:tr w:rsidR="00DE74DF" w:rsidRPr="007223BC" w14:paraId="1A0A3D25" w14:textId="77777777" w:rsidTr="00104F5D">
        <w:tc>
          <w:tcPr>
            <w:tcW w:w="9480" w:type="dxa"/>
            <w:gridSpan w:val="3"/>
          </w:tcPr>
          <w:p w14:paraId="142CE999" w14:textId="77777777" w:rsidR="00DE74DF" w:rsidRPr="007223BC" w:rsidRDefault="00DE74DF" w:rsidP="00413968">
            <w:pPr>
              <w:rPr>
                <w:i/>
                <w:sz w:val="22"/>
                <w:szCs w:val="22"/>
                <w:lang w:val="sr-Latn-RS"/>
              </w:rPr>
            </w:pPr>
            <w:r w:rsidRPr="007223BC">
              <w:rPr>
                <w:i/>
                <w:sz w:val="22"/>
                <w:szCs w:val="22"/>
                <w:lang w:val="sr-Latn-RS"/>
              </w:rPr>
              <w:t>Sorbitol</w:t>
            </w:r>
          </w:p>
        </w:tc>
      </w:tr>
      <w:tr w:rsidR="00DE74DF" w:rsidRPr="00413968" w14:paraId="329D2BCA" w14:textId="77777777" w:rsidTr="00104F5D">
        <w:tc>
          <w:tcPr>
            <w:tcW w:w="2972" w:type="dxa"/>
          </w:tcPr>
          <w:p w14:paraId="15D86E84" w14:textId="77777777" w:rsidR="00DE74DF" w:rsidRPr="007223BC" w:rsidRDefault="000B2FA4" w:rsidP="00413968">
            <w:pPr>
              <w:pStyle w:val="tabletextNS"/>
              <w:rPr>
                <w:rFonts w:ascii="Times New Roman" w:hAnsi="Times New Roman"/>
                <w:sz w:val="22"/>
                <w:szCs w:val="22"/>
                <w:lang w:val="sr-Latn-RS"/>
              </w:rPr>
            </w:pPr>
            <w:r w:rsidRPr="007223BC">
              <w:rPr>
                <w:rFonts w:ascii="Times New Roman" w:hAnsi="Times New Roman"/>
                <w:sz w:val="22"/>
                <w:szCs w:val="22"/>
                <w:lang w:val="sr-Latn-RS"/>
              </w:rPr>
              <w:t xml:space="preserve">Rastvor sorbitola </w:t>
            </w:r>
            <w:r w:rsidR="00DE74DF" w:rsidRPr="007223BC">
              <w:rPr>
                <w:rFonts w:ascii="Times New Roman" w:hAnsi="Times New Roman"/>
                <w:sz w:val="22"/>
                <w:szCs w:val="22"/>
                <w:lang w:val="sr-Latn-RS"/>
              </w:rPr>
              <w:t>(3</w:t>
            </w:r>
            <w:r w:rsidRPr="007223BC">
              <w:rPr>
                <w:rFonts w:ascii="Times New Roman" w:hAnsi="Times New Roman"/>
                <w:sz w:val="22"/>
                <w:szCs w:val="22"/>
                <w:lang w:val="sr-Latn-RS"/>
              </w:rPr>
              <w:t>,</w:t>
            </w:r>
            <w:r w:rsidR="00DE74DF" w:rsidRPr="007223BC">
              <w:rPr>
                <w:rFonts w:ascii="Times New Roman" w:hAnsi="Times New Roman"/>
                <w:sz w:val="22"/>
                <w:szCs w:val="22"/>
                <w:lang w:val="sr-Latn-RS"/>
              </w:rPr>
              <w:t>2</w:t>
            </w:r>
            <w:r w:rsidR="00DE74DF" w:rsidRPr="007223BC">
              <w:rPr>
                <w:rFonts w:ascii="Times New Roman" w:hAnsi="Times New Roman"/>
                <w:bCs/>
                <w:sz w:val="22"/>
                <w:szCs w:val="22"/>
                <w:lang w:val="sr-Latn-RS"/>
              </w:rPr>
              <w:t> </w:t>
            </w:r>
            <w:r w:rsidR="00DE74DF" w:rsidRPr="007223BC">
              <w:rPr>
                <w:rFonts w:ascii="Times New Roman" w:hAnsi="Times New Roman"/>
                <w:sz w:val="22"/>
                <w:szCs w:val="22"/>
                <w:lang w:val="sr-Latn-RS"/>
              </w:rPr>
              <w:t>g, 10</w:t>
            </w:r>
            <w:r w:rsidRPr="007223BC">
              <w:rPr>
                <w:rFonts w:ascii="Times New Roman" w:hAnsi="Times New Roman"/>
                <w:sz w:val="22"/>
                <w:szCs w:val="22"/>
                <w:lang w:val="sr-Latn-RS"/>
              </w:rPr>
              <w:t>,</w:t>
            </w:r>
            <w:r w:rsidR="00DE74DF" w:rsidRPr="007223BC">
              <w:rPr>
                <w:rFonts w:ascii="Times New Roman" w:hAnsi="Times New Roman"/>
                <w:sz w:val="22"/>
                <w:szCs w:val="22"/>
                <w:lang w:val="sr-Latn-RS"/>
              </w:rPr>
              <w:t>2</w:t>
            </w:r>
            <w:r w:rsidR="00DE74DF" w:rsidRPr="007223BC">
              <w:rPr>
                <w:rFonts w:ascii="Times New Roman" w:hAnsi="Times New Roman"/>
                <w:bCs/>
                <w:sz w:val="22"/>
                <w:szCs w:val="22"/>
                <w:lang w:val="sr-Latn-RS"/>
              </w:rPr>
              <w:t> </w:t>
            </w:r>
            <w:r w:rsidR="00DE74DF" w:rsidRPr="007223BC">
              <w:rPr>
                <w:rFonts w:ascii="Times New Roman" w:hAnsi="Times New Roman"/>
                <w:sz w:val="22"/>
                <w:szCs w:val="22"/>
                <w:lang w:val="sr-Latn-RS"/>
              </w:rPr>
              <w:t>g, 13</w:t>
            </w:r>
            <w:r w:rsidRPr="007223BC">
              <w:rPr>
                <w:rFonts w:ascii="Times New Roman" w:hAnsi="Times New Roman"/>
                <w:sz w:val="22"/>
                <w:szCs w:val="22"/>
                <w:lang w:val="sr-Latn-RS"/>
              </w:rPr>
              <w:t>,</w:t>
            </w:r>
            <w:r w:rsidR="00DE74DF" w:rsidRPr="007223BC">
              <w:rPr>
                <w:rFonts w:ascii="Times New Roman" w:hAnsi="Times New Roman"/>
                <w:sz w:val="22"/>
                <w:szCs w:val="22"/>
                <w:lang w:val="sr-Latn-RS"/>
              </w:rPr>
              <w:t>4</w:t>
            </w:r>
            <w:r w:rsidR="00DE74DF" w:rsidRPr="007223BC">
              <w:rPr>
                <w:rFonts w:ascii="Times New Roman" w:hAnsi="Times New Roman"/>
                <w:bCs/>
                <w:sz w:val="22"/>
                <w:szCs w:val="22"/>
                <w:lang w:val="sr-Latn-RS"/>
              </w:rPr>
              <w:t> </w:t>
            </w:r>
            <w:r w:rsidR="00DE74DF" w:rsidRPr="007223BC">
              <w:rPr>
                <w:rFonts w:ascii="Times New Roman" w:hAnsi="Times New Roman"/>
                <w:sz w:val="22"/>
                <w:szCs w:val="22"/>
                <w:lang w:val="sr-Latn-RS"/>
              </w:rPr>
              <w:t>g)/Lamivudin</w:t>
            </w:r>
          </w:p>
        </w:tc>
        <w:tc>
          <w:tcPr>
            <w:tcW w:w="2553" w:type="dxa"/>
          </w:tcPr>
          <w:p w14:paraId="2B1468AA" w14:textId="77777777" w:rsidR="00DE74DF" w:rsidRPr="007223BC" w:rsidRDefault="00DE74DF" w:rsidP="00413968">
            <w:pPr>
              <w:spacing w:after="120"/>
              <w:rPr>
                <w:sz w:val="22"/>
                <w:szCs w:val="22"/>
                <w:lang w:val="sr-Latn-RS"/>
              </w:rPr>
            </w:pPr>
            <w:r w:rsidRPr="007223BC">
              <w:rPr>
                <w:sz w:val="22"/>
                <w:szCs w:val="22"/>
                <w:lang w:val="sr-Latn-RS"/>
              </w:rPr>
              <w:t>Jedna doza oralnog rastvora lamivudina od 300 mg.</w:t>
            </w:r>
          </w:p>
          <w:p w14:paraId="490009C4" w14:textId="77777777" w:rsidR="00DE74DF" w:rsidRPr="007223BC" w:rsidRDefault="00DE74DF" w:rsidP="00413968">
            <w:pPr>
              <w:spacing w:after="120"/>
              <w:rPr>
                <w:sz w:val="22"/>
                <w:szCs w:val="22"/>
                <w:lang w:val="sr-Latn-RS"/>
              </w:rPr>
            </w:pPr>
            <w:r w:rsidRPr="007223BC">
              <w:rPr>
                <w:sz w:val="22"/>
                <w:szCs w:val="22"/>
                <w:lang w:val="sr-Latn-RS"/>
              </w:rPr>
              <w:t>Lamivudin:</w:t>
            </w:r>
          </w:p>
          <w:p w14:paraId="21836D09" w14:textId="77777777" w:rsidR="00DE74DF" w:rsidRPr="007223BC" w:rsidRDefault="00DE74DF" w:rsidP="00413968">
            <w:pPr>
              <w:spacing w:after="120"/>
              <w:rPr>
                <w:sz w:val="22"/>
                <w:szCs w:val="22"/>
                <w:lang w:val="sr-Latn-RS"/>
              </w:rPr>
            </w:pPr>
            <w:r w:rsidRPr="007223BC">
              <w:rPr>
                <w:sz w:val="22"/>
                <w:szCs w:val="22"/>
                <w:lang w:val="sr-Latn-RS"/>
              </w:rPr>
              <w:t xml:space="preserve">PIK </w:t>
            </w:r>
            <w:r w:rsidRPr="007223BC">
              <w:rPr>
                <w:sz w:val="22"/>
                <w:szCs w:val="22"/>
                <w:lang w:val="sr-Latn-RS"/>
              </w:rPr>
              <w:sym w:font="Symbol" w:char="F0AF"/>
            </w:r>
            <w:r w:rsidRPr="007223BC">
              <w:rPr>
                <w:sz w:val="22"/>
                <w:szCs w:val="22"/>
                <w:lang w:val="sr-Latn-RS"/>
              </w:rPr>
              <w:t xml:space="preserve"> 14%; 32%; 36%</w:t>
            </w:r>
          </w:p>
          <w:p w14:paraId="49FABB06" w14:textId="77777777" w:rsidR="00DE74DF" w:rsidRPr="007223BC" w:rsidRDefault="00DE74DF" w:rsidP="00413968">
            <w:pPr>
              <w:pStyle w:val="tabletextNS"/>
              <w:tabs>
                <w:tab w:val="left" w:pos="809"/>
              </w:tabs>
              <w:rPr>
                <w:rFonts w:ascii="Times New Roman" w:hAnsi="Times New Roman"/>
                <w:sz w:val="22"/>
                <w:szCs w:val="22"/>
                <w:lang w:val="sr-Latn-RS"/>
              </w:rPr>
            </w:pPr>
            <w:r w:rsidRPr="007223BC">
              <w:rPr>
                <w:rFonts w:ascii="Times New Roman" w:hAnsi="Times New Roman"/>
                <w:sz w:val="22"/>
                <w:szCs w:val="22"/>
                <w:lang w:val="sr-Latn-RS"/>
              </w:rPr>
              <w:t>C</w:t>
            </w:r>
            <w:r w:rsidRPr="007223BC">
              <w:rPr>
                <w:rFonts w:ascii="Times New Roman" w:hAnsi="Times New Roman"/>
                <w:sz w:val="22"/>
                <w:szCs w:val="22"/>
                <w:vertAlign w:val="subscript"/>
                <w:lang w:val="sr-Latn-RS"/>
              </w:rPr>
              <w:t>max</w:t>
            </w:r>
            <w:r w:rsidRPr="007223BC">
              <w:rPr>
                <w:rFonts w:ascii="Times New Roman" w:hAnsi="Times New Roman"/>
                <w:sz w:val="22"/>
                <w:szCs w:val="22"/>
                <w:lang w:val="sr-Latn-RS"/>
              </w:rPr>
              <w:t xml:space="preserve"> </w:t>
            </w:r>
            <w:r w:rsidRPr="007223BC">
              <w:rPr>
                <w:rFonts w:ascii="Times New Roman" w:hAnsi="Times New Roman"/>
                <w:sz w:val="22"/>
                <w:szCs w:val="22"/>
                <w:lang w:val="sr-Latn-RS"/>
              </w:rPr>
              <w:sym w:font="Symbol" w:char="F0AF"/>
            </w:r>
            <w:r w:rsidRPr="007223BC">
              <w:rPr>
                <w:rFonts w:ascii="Times New Roman" w:hAnsi="Times New Roman"/>
                <w:sz w:val="22"/>
                <w:szCs w:val="22"/>
                <w:lang w:val="sr-Latn-RS"/>
              </w:rPr>
              <w:t xml:space="preserve"> 28%; 52%, 55%.</w:t>
            </w:r>
          </w:p>
        </w:tc>
        <w:tc>
          <w:tcPr>
            <w:tcW w:w="3955" w:type="dxa"/>
          </w:tcPr>
          <w:p w14:paraId="32E5BD55" w14:textId="77777777" w:rsidR="00DE74DF" w:rsidRPr="007223BC" w:rsidRDefault="00DE74DF" w:rsidP="00413968">
            <w:pPr>
              <w:rPr>
                <w:sz w:val="22"/>
                <w:szCs w:val="22"/>
                <w:lang w:val="sr-Latn-RS"/>
              </w:rPr>
            </w:pPr>
            <w:r w:rsidRPr="007223BC">
              <w:rPr>
                <w:sz w:val="22"/>
                <w:szCs w:val="22"/>
                <w:lang w:val="sr-Latn-RS"/>
              </w:rPr>
              <w:t xml:space="preserve">Ako je moguće, </w:t>
            </w:r>
            <w:r w:rsidR="000B2FA4" w:rsidRPr="007223BC">
              <w:rPr>
                <w:sz w:val="22"/>
                <w:szCs w:val="22"/>
                <w:lang w:val="sr-Latn-RS"/>
              </w:rPr>
              <w:t xml:space="preserve">izbjegavati </w:t>
            </w:r>
            <w:r w:rsidRPr="007223BC">
              <w:rPr>
                <w:sz w:val="22"/>
                <w:szCs w:val="22"/>
                <w:lang w:val="sr-Latn-RS"/>
              </w:rPr>
              <w:t xml:space="preserve">dugotrajnu istovremenu primjenu lijeka DOVATO sa ljekovima koji sadrže sorbitol ili neki drugi polialkohol ili monosaharidni alkohol sa osmotskim dejstvom (npr.: ksilitol, manitol, laktitol, maltitol). </w:t>
            </w:r>
            <w:r w:rsidRPr="007223BC">
              <w:rPr>
                <w:sz w:val="22"/>
                <w:szCs w:val="22"/>
                <w:lang w:val="sr-Latn-RS" w:eastAsia="sr-Latn-RS"/>
              </w:rPr>
              <w:t>Ukoliko se dugotrajna istovremena primjena tih ljekova ne može izbjeći, potrebno je razmotriti češće praćenje količine virusa HIV-1 u krvi.</w:t>
            </w:r>
          </w:p>
        </w:tc>
      </w:tr>
      <w:tr w:rsidR="000F4230" w:rsidRPr="007223BC" w14:paraId="3874656D" w14:textId="77777777" w:rsidTr="00104F5D">
        <w:tc>
          <w:tcPr>
            <w:tcW w:w="9480" w:type="dxa"/>
            <w:gridSpan w:val="3"/>
          </w:tcPr>
          <w:p w14:paraId="52A5A9EA" w14:textId="339B42DB" w:rsidR="000F4230" w:rsidRPr="007223BC" w:rsidRDefault="005257A2" w:rsidP="00413968">
            <w:pPr>
              <w:rPr>
                <w:i/>
                <w:sz w:val="22"/>
                <w:szCs w:val="22"/>
                <w:lang w:val="sr-Latn-RS"/>
              </w:rPr>
            </w:pPr>
            <w:r>
              <w:rPr>
                <w:i/>
                <w:sz w:val="22"/>
                <w:szCs w:val="22"/>
              </w:rPr>
              <w:t>Blokatori</w:t>
            </w:r>
            <w:r w:rsidRPr="007223BC">
              <w:rPr>
                <w:i/>
                <w:sz w:val="22"/>
                <w:szCs w:val="22"/>
              </w:rPr>
              <w:t xml:space="preserve"> </w:t>
            </w:r>
            <w:r w:rsidR="000F4230" w:rsidRPr="007223BC">
              <w:rPr>
                <w:i/>
                <w:sz w:val="22"/>
                <w:szCs w:val="22"/>
              </w:rPr>
              <w:t>kalijumovih kanala</w:t>
            </w:r>
          </w:p>
        </w:tc>
      </w:tr>
      <w:tr w:rsidR="000F4230" w:rsidRPr="007223BC" w14:paraId="37FC1821" w14:textId="77777777" w:rsidTr="000F4230">
        <w:tc>
          <w:tcPr>
            <w:tcW w:w="2972" w:type="dxa"/>
            <w:tcBorders>
              <w:top w:val="single" w:sz="4" w:space="0" w:color="auto"/>
              <w:left w:val="single" w:sz="4" w:space="0" w:color="auto"/>
              <w:bottom w:val="single" w:sz="4" w:space="0" w:color="auto"/>
              <w:right w:val="single" w:sz="4" w:space="0" w:color="auto"/>
            </w:tcBorders>
            <w:hideMark/>
          </w:tcPr>
          <w:p w14:paraId="6463E442" w14:textId="77777777" w:rsidR="000F4230" w:rsidRPr="007223BC" w:rsidRDefault="000F4230" w:rsidP="00413968">
            <w:pPr>
              <w:pStyle w:val="tabletextNS"/>
              <w:rPr>
                <w:rFonts w:ascii="Times New Roman" w:hAnsi="Times New Roman"/>
                <w:sz w:val="22"/>
                <w:szCs w:val="22"/>
              </w:rPr>
            </w:pPr>
            <w:r w:rsidRPr="007223BC">
              <w:rPr>
                <w:rFonts w:ascii="Times New Roman" w:hAnsi="Times New Roman"/>
                <w:sz w:val="22"/>
                <w:szCs w:val="22"/>
              </w:rPr>
              <w:lastRenderedPageBreak/>
              <w:t>Fampridin (takođe poznat kao dalfampridin)/Dolutegravir</w:t>
            </w:r>
          </w:p>
        </w:tc>
        <w:tc>
          <w:tcPr>
            <w:tcW w:w="2553" w:type="dxa"/>
            <w:tcBorders>
              <w:top w:val="single" w:sz="4" w:space="0" w:color="auto"/>
              <w:left w:val="single" w:sz="4" w:space="0" w:color="auto"/>
              <w:bottom w:val="single" w:sz="4" w:space="0" w:color="auto"/>
              <w:right w:val="single" w:sz="4" w:space="0" w:color="auto"/>
            </w:tcBorders>
            <w:hideMark/>
          </w:tcPr>
          <w:p w14:paraId="673893C3" w14:textId="77777777" w:rsidR="000F4230" w:rsidRPr="007223BC" w:rsidRDefault="000F4230" w:rsidP="00413968">
            <w:pPr>
              <w:spacing w:after="120"/>
              <w:rPr>
                <w:sz w:val="22"/>
                <w:szCs w:val="22"/>
              </w:rPr>
            </w:pPr>
            <w:r w:rsidRPr="007223BC">
              <w:rPr>
                <w:sz w:val="22"/>
                <w:szCs w:val="22"/>
              </w:rPr>
              <w:t>Fampridin</w:t>
            </w:r>
            <w:r w:rsidRPr="007223BC">
              <w:rPr>
                <w:sz w:val="22"/>
                <w:szCs w:val="22"/>
              </w:rPr>
              <w:sym w:font="Symbol" w:char="F0AD"/>
            </w:r>
            <w:r w:rsidRPr="007223BC">
              <w:rPr>
                <w:sz w:val="22"/>
                <w:szCs w:val="22"/>
              </w:rPr>
              <w:br/>
            </w:r>
          </w:p>
        </w:tc>
        <w:tc>
          <w:tcPr>
            <w:tcW w:w="3955" w:type="dxa"/>
            <w:tcBorders>
              <w:top w:val="single" w:sz="4" w:space="0" w:color="auto"/>
              <w:left w:val="single" w:sz="4" w:space="0" w:color="auto"/>
              <w:bottom w:val="single" w:sz="4" w:space="0" w:color="auto"/>
              <w:right w:val="single" w:sz="4" w:space="0" w:color="auto"/>
            </w:tcBorders>
            <w:hideMark/>
          </w:tcPr>
          <w:p w14:paraId="00898D3D" w14:textId="77777777" w:rsidR="000F4230" w:rsidRPr="007223BC" w:rsidRDefault="000F4230" w:rsidP="00413968">
            <w:pPr>
              <w:rPr>
                <w:sz w:val="22"/>
                <w:szCs w:val="22"/>
              </w:rPr>
            </w:pPr>
            <w:r w:rsidRPr="007223BC">
              <w:rPr>
                <w:sz w:val="22"/>
                <w:szCs w:val="22"/>
              </w:rPr>
              <w:t>Istovremena prim</w:t>
            </w:r>
            <w:r w:rsidR="009C5EF3" w:rsidRPr="007223BC">
              <w:rPr>
                <w:sz w:val="22"/>
                <w:szCs w:val="22"/>
              </w:rPr>
              <w:t>j</w:t>
            </w:r>
            <w:r w:rsidRPr="007223BC">
              <w:rPr>
                <w:sz w:val="22"/>
                <w:szCs w:val="22"/>
              </w:rPr>
              <w:t>ena dolutegravira ima potencijal da izazove napade usl</w:t>
            </w:r>
            <w:r w:rsidR="009C5EF3" w:rsidRPr="007223BC">
              <w:rPr>
                <w:sz w:val="22"/>
                <w:szCs w:val="22"/>
              </w:rPr>
              <w:t>j</w:t>
            </w:r>
            <w:r w:rsidRPr="007223BC">
              <w:rPr>
                <w:sz w:val="22"/>
                <w:szCs w:val="22"/>
              </w:rPr>
              <w:t>ed povećane koncentracije fampridina u plazmi putem inhibicije OCT2 transportera; istovremena prim</w:t>
            </w:r>
            <w:r w:rsidR="009C5EF3" w:rsidRPr="007223BC">
              <w:rPr>
                <w:sz w:val="22"/>
                <w:szCs w:val="22"/>
              </w:rPr>
              <w:t>j</w:t>
            </w:r>
            <w:r w:rsidRPr="007223BC">
              <w:rPr>
                <w:sz w:val="22"/>
                <w:szCs w:val="22"/>
              </w:rPr>
              <w:t>ena nije proučavana. Kontraindikovana je istovremena prim</w:t>
            </w:r>
            <w:r w:rsidR="009C5EF3" w:rsidRPr="007223BC">
              <w:rPr>
                <w:sz w:val="22"/>
                <w:szCs w:val="22"/>
              </w:rPr>
              <w:t>j</w:t>
            </w:r>
            <w:r w:rsidRPr="007223BC">
              <w:rPr>
                <w:sz w:val="22"/>
                <w:szCs w:val="22"/>
              </w:rPr>
              <w:t>ena fampridina sa l</w:t>
            </w:r>
            <w:r w:rsidR="009C5EF3" w:rsidRPr="007223BC">
              <w:rPr>
                <w:sz w:val="22"/>
                <w:szCs w:val="22"/>
              </w:rPr>
              <w:t>ij</w:t>
            </w:r>
            <w:r w:rsidRPr="007223BC">
              <w:rPr>
                <w:sz w:val="22"/>
                <w:szCs w:val="22"/>
              </w:rPr>
              <w:t>ekom D</w:t>
            </w:r>
            <w:r w:rsidR="009C5EF3" w:rsidRPr="007223BC">
              <w:rPr>
                <w:sz w:val="22"/>
                <w:szCs w:val="22"/>
              </w:rPr>
              <w:t>OVATO</w:t>
            </w:r>
            <w:r w:rsidRPr="007223BC">
              <w:rPr>
                <w:sz w:val="22"/>
                <w:szCs w:val="22"/>
              </w:rPr>
              <w:t xml:space="preserve"> (vid</w:t>
            </w:r>
            <w:r w:rsidR="0089605F" w:rsidRPr="007223BC">
              <w:rPr>
                <w:sz w:val="22"/>
                <w:szCs w:val="22"/>
              </w:rPr>
              <w:t>je</w:t>
            </w:r>
            <w:r w:rsidRPr="007223BC">
              <w:rPr>
                <w:sz w:val="22"/>
                <w:szCs w:val="22"/>
              </w:rPr>
              <w:t>t</w:t>
            </w:r>
            <w:r w:rsidR="0089605F" w:rsidRPr="007223BC">
              <w:rPr>
                <w:sz w:val="22"/>
                <w:szCs w:val="22"/>
              </w:rPr>
              <w:t>i</w:t>
            </w:r>
            <w:r w:rsidRPr="007223BC">
              <w:rPr>
                <w:sz w:val="22"/>
                <w:szCs w:val="22"/>
              </w:rPr>
              <w:t xml:space="preserve"> </w:t>
            </w:r>
            <w:r w:rsidR="009C5EF3" w:rsidRPr="007223BC">
              <w:rPr>
                <w:sz w:val="22"/>
                <w:szCs w:val="22"/>
              </w:rPr>
              <w:t>dio</w:t>
            </w:r>
            <w:r w:rsidRPr="007223BC">
              <w:rPr>
                <w:sz w:val="22"/>
                <w:szCs w:val="22"/>
              </w:rPr>
              <w:t xml:space="preserve"> 4.3) </w:t>
            </w:r>
          </w:p>
        </w:tc>
      </w:tr>
      <w:tr w:rsidR="00DE74DF" w:rsidRPr="007223BC" w14:paraId="0F245C63" w14:textId="77777777" w:rsidTr="00104F5D">
        <w:tc>
          <w:tcPr>
            <w:tcW w:w="9480" w:type="dxa"/>
            <w:gridSpan w:val="3"/>
          </w:tcPr>
          <w:p w14:paraId="5D3681F4" w14:textId="77777777" w:rsidR="00DE74DF" w:rsidRPr="007223BC" w:rsidRDefault="00DE74DF" w:rsidP="00413968">
            <w:pPr>
              <w:rPr>
                <w:i/>
                <w:sz w:val="22"/>
                <w:szCs w:val="22"/>
                <w:lang w:val="sr-Latn-RS"/>
              </w:rPr>
            </w:pPr>
            <w:r w:rsidRPr="007223BC">
              <w:rPr>
                <w:i/>
                <w:sz w:val="22"/>
                <w:szCs w:val="22"/>
                <w:lang w:val="sr-Latn-RS"/>
              </w:rPr>
              <w:t>Antacidi i dodaci ishrani</w:t>
            </w:r>
          </w:p>
        </w:tc>
      </w:tr>
      <w:tr w:rsidR="00DE74DF" w:rsidRPr="00413968" w14:paraId="2F987B68" w14:textId="77777777" w:rsidTr="00104F5D">
        <w:tc>
          <w:tcPr>
            <w:tcW w:w="2972" w:type="dxa"/>
          </w:tcPr>
          <w:p w14:paraId="00F90747" w14:textId="77777777" w:rsidR="00DE74DF" w:rsidRPr="007223BC" w:rsidRDefault="00DE74DF" w:rsidP="00413968">
            <w:pPr>
              <w:pStyle w:val="tabletextNS"/>
              <w:rPr>
                <w:rFonts w:ascii="Times New Roman" w:hAnsi="Times New Roman"/>
                <w:sz w:val="22"/>
                <w:szCs w:val="22"/>
                <w:lang w:val="sr-Latn-RS"/>
              </w:rPr>
            </w:pPr>
            <w:r w:rsidRPr="007223BC">
              <w:rPr>
                <w:rFonts w:ascii="Times New Roman" w:hAnsi="Times New Roman"/>
                <w:sz w:val="22"/>
                <w:szCs w:val="22"/>
                <w:lang w:val="sr-Latn-RS"/>
              </w:rPr>
              <w:t>Antacidi koji sadrže magnezijum/</w:t>
            </w:r>
          </w:p>
          <w:p w14:paraId="6C98E2F1" w14:textId="77777777" w:rsidR="00DE74DF" w:rsidRPr="007223BC" w:rsidRDefault="00DE74DF" w:rsidP="00413968">
            <w:pPr>
              <w:pStyle w:val="tabletextNS"/>
              <w:rPr>
                <w:rFonts w:ascii="Times New Roman" w:hAnsi="Times New Roman"/>
                <w:sz w:val="22"/>
                <w:szCs w:val="22"/>
                <w:lang w:val="sr-Latn-RS"/>
              </w:rPr>
            </w:pPr>
            <w:r w:rsidRPr="007223BC">
              <w:rPr>
                <w:rFonts w:ascii="Times New Roman" w:hAnsi="Times New Roman"/>
                <w:sz w:val="22"/>
                <w:szCs w:val="22"/>
                <w:lang w:val="sr-Latn-RS"/>
              </w:rPr>
              <w:t>Aluminijum/Dolutegravir</w:t>
            </w:r>
          </w:p>
        </w:tc>
        <w:tc>
          <w:tcPr>
            <w:tcW w:w="2553" w:type="dxa"/>
          </w:tcPr>
          <w:p w14:paraId="40472193" w14:textId="77777777" w:rsidR="00DE74DF" w:rsidRPr="007223BC" w:rsidRDefault="00DE74DF" w:rsidP="00413968">
            <w:pPr>
              <w:pStyle w:val="tabletextNS"/>
              <w:tabs>
                <w:tab w:val="left" w:pos="809"/>
              </w:tabs>
              <w:rPr>
                <w:rFonts w:ascii="Times New Roman" w:hAnsi="Times New Roman"/>
                <w:sz w:val="22"/>
                <w:szCs w:val="22"/>
                <w:lang w:val="sr-Latn-RS"/>
              </w:rPr>
            </w:pPr>
            <w:r w:rsidRPr="007223BC">
              <w:rPr>
                <w:rFonts w:ascii="Times New Roman" w:hAnsi="Times New Roman"/>
                <w:sz w:val="22"/>
                <w:szCs w:val="22"/>
                <w:lang w:val="sr-Latn-RS"/>
              </w:rPr>
              <w:t xml:space="preserve">Dolutegravir </w:t>
            </w:r>
            <w:r w:rsidRPr="007223BC">
              <w:rPr>
                <w:rFonts w:ascii="Times New Roman" w:hAnsi="Times New Roman"/>
                <w:sz w:val="22"/>
                <w:szCs w:val="22"/>
                <w:lang w:val="sr-Latn-RS"/>
              </w:rPr>
              <w:sym w:font="Symbol" w:char="F0AF"/>
            </w:r>
            <w:r w:rsidRPr="007223BC">
              <w:rPr>
                <w:rFonts w:ascii="Times New Roman" w:hAnsi="Times New Roman"/>
                <w:sz w:val="22"/>
                <w:szCs w:val="22"/>
                <w:lang w:val="sr-Latn-RS"/>
              </w:rPr>
              <w:br/>
              <w:t xml:space="preserve">PIK </w:t>
            </w:r>
            <w:r w:rsidRPr="007223BC">
              <w:rPr>
                <w:rFonts w:ascii="Times New Roman" w:hAnsi="Times New Roman"/>
                <w:sz w:val="22"/>
                <w:szCs w:val="22"/>
                <w:lang w:val="sr-Latn-RS"/>
              </w:rPr>
              <w:sym w:font="Symbol" w:char="F0AF"/>
            </w:r>
            <w:r w:rsidRPr="007223BC">
              <w:rPr>
                <w:rFonts w:ascii="Times New Roman" w:hAnsi="Times New Roman"/>
                <w:sz w:val="22"/>
                <w:szCs w:val="22"/>
                <w:lang w:val="sr-Latn-RS"/>
              </w:rPr>
              <w:t xml:space="preserve"> 74% </w:t>
            </w:r>
            <w:r w:rsidRPr="007223BC">
              <w:rPr>
                <w:rFonts w:ascii="Times New Roman" w:hAnsi="Times New Roman"/>
                <w:sz w:val="22"/>
                <w:szCs w:val="22"/>
                <w:lang w:val="sr-Latn-RS"/>
              </w:rPr>
              <w:br/>
              <w:t>C</w:t>
            </w:r>
            <w:r w:rsidRPr="007223BC">
              <w:rPr>
                <w:rFonts w:ascii="Times New Roman" w:hAnsi="Times New Roman"/>
                <w:sz w:val="22"/>
                <w:szCs w:val="22"/>
                <w:vertAlign w:val="subscript"/>
                <w:lang w:val="sr-Latn-RS"/>
              </w:rPr>
              <w:t>max</w:t>
            </w:r>
            <w:r w:rsidRPr="007223BC">
              <w:rPr>
                <w:rFonts w:ascii="Times New Roman" w:hAnsi="Times New Roman"/>
                <w:sz w:val="22"/>
                <w:szCs w:val="22"/>
                <w:lang w:val="sr-Latn-RS"/>
              </w:rPr>
              <w:t xml:space="preserve"> </w:t>
            </w:r>
            <w:r w:rsidRPr="007223BC">
              <w:rPr>
                <w:rFonts w:ascii="Times New Roman" w:hAnsi="Times New Roman"/>
                <w:sz w:val="22"/>
                <w:szCs w:val="22"/>
                <w:lang w:val="sr-Latn-RS"/>
              </w:rPr>
              <w:sym w:font="Symbol" w:char="F0AF"/>
            </w:r>
            <w:r w:rsidRPr="007223BC">
              <w:rPr>
                <w:rFonts w:ascii="Times New Roman" w:hAnsi="Times New Roman"/>
                <w:sz w:val="22"/>
                <w:szCs w:val="22"/>
                <w:lang w:val="sr-Latn-RS"/>
              </w:rPr>
              <w:t xml:space="preserve"> 72%</w:t>
            </w:r>
            <w:r w:rsidRPr="007223BC">
              <w:rPr>
                <w:rFonts w:ascii="Times New Roman" w:hAnsi="Times New Roman"/>
                <w:sz w:val="22"/>
                <w:szCs w:val="22"/>
                <w:lang w:val="sr-Latn-RS"/>
              </w:rPr>
              <w:br/>
            </w:r>
          </w:p>
          <w:p w14:paraId="03DFEAAF" w14:textId="77777777" w:rsidR="00DE74DF" w:rsidRPr="007223BC" w:rsidRDefault="00DE74DF" w:rsidP="00413968">
            <w:pPr>
              <w:pStyle w:val="tabletextNS"/>
              <w:tabs>
                <w:tab w:val="left" w:pos="809"/>
              </w:tabs>
              <w:rPr>
                <w:rFonts w:ascii="Times New Roman" w:hAnsi="Times New Roman"/>
                <w:sz w:val="22"/>
                <w:szCs w:val="22"/>
                <w:lang w:val="sr-Latn-RS"/>
              </w:rPr>
            </w:pPr>
            <w:r w:rsidRPr="007223BC">
              <w:rPr>
                <w:rFonts w:ascii="Times New Roman" w:hAnsi="Times New Roman"/>
                <w:sz w:val="22"/>
                <w:szCs w:val="22"/>
                <w:lang w:val="sr-Latn-RS"/>
              </w:rPr>
              <w:t>(</w:t>
            </w:r>
            <w:r w:rsidRPr="007223BC">
              <w:rPr>
                <w:rFonts w:ascii="Times New Roman" w:hAnsi="Times New Roman"/>
                <w:sz w:val="22"/>
                <w:szCs w:val="22"/>
                <w:lang w:val="sr-Latn-RS" w:eastAsia="sr-Latn-RS"/>
              </w:rPr>
              <w:t>stvaranje kompleksa s polivalentnim jonima</w:t>
            </w:r>
            <w:r w:rsidRPr="007223BC">
              <w:rPr>
                <w:rFonts w:ascii="Times New Roman" w:hAnsi="Times New Roman"/>
                <w:sz w:val="22"/>
                <w:szCs w:val="22"/>
                <w:lang w:val="sr-Latn-RS"/>
              </w:rPr>
              <w:t>)</w:t>
            </w:r>
          </w:p>
        </w:tc>
        <w:tc>
          <w:tcPr>
            <w:tcW w:w="3955" w:type="dxa"/>
          </w:tcPr>
          <w:p w14:paraId="403AECBA" w14:textId="77777777" w:rsidR="00DE74DF" w:rsidRPr="007223BC" w:rsidRDefault="00DE74DF" w:rsidP="00413968">
            <w:pPr>
              <w:rPr>
                <w:sz w:val="22"/>
                <w:szCs w:val="22"/>
                <w:lang w:val="sr-Latn-RS"/>
              </w:rPr>
            </w:pPr>
            <w:r w:rsidRPr="007223BC">
              <w:rPr>
                <w:sz w:val="22"/>
                <w:szCs w:val="22"/>
                <w:lang w:val="sr-Latn-RS" w:eastAsia="sr-Latn-RS"/>
              </w:rPr>
              <w:t xml:space="preserve">Antacide koji sadrže magnezijum/aluminijum treba uzimati sa značajnim vremenskim razmakom u odnosu na primjenu lijeka DOVATO (najmanje 2 sata nakon ili 6 sati prije). </w:t>
            </w:r>
          </w:p>
        </w:tc>
      </w:tr>
      <w:tr w:rsidR="00DE74DF" w:rsidRPr="00413968" w14:paraId="2588E329" w14:textId="77777777" w:rsidTr="00104F5D">
        <w:tc>
          <w:tcPr>
            <w:tcW w:w="2972" w:type="dxa"/>
          </w:tcPr>
          <w:p w14:paraId="07C30479" w14:textId="77777777" w:rsidR="00DE74DF" w:rsidRPr="007223BC" w:rsidRDefault="00DE74DF" w:rsidP="00413968">
            <w:pPr>
              <w:pStyle w:val="tabletextNS"/>
              <w:rPr>
                <w:rFonts w:ascii="Times New Roman" w:hAnsi="Times New Roman"/>
                <w:sz w:val="22"/>
                <w:szCs w:val="22"/>
                <w:lang w:val="sr-Latn-RS"/>
              </w:rPr>
            </w:pPr>
            <w:bookmarkStart w:id="2" w:name="_Hlk5285328"/>
            <w:r w:rsidRPr="007223BC">
              <w:rPr>
                <w:rFonts w:ascii="Times New Roman" w:hAnsi="Times New Roman"/>
                <w:sz w:val="22"/>
                <w:szCs w:val="22"/>
                <w:lang w:val="sr-Latn-RS"/>
              </w:rPr>
              <w:t>Suplementi kalcijuma/Dolutegravir</w:t>
            </w:r>
            <w:r w:rsidRPr="007223BC">
              <w:rPr>
                <w:rFonts w:ascii="Times New Roman" w:hAnsi="Times New Roman"/>
                <w:sz w:val="22"/>
                <w:szCs w:val="22"/>
                <w:lang w:val="sr-Latn-RS"/>
              </w:rPr>
              <w:br/>
              <w:t>(kada se uzima na prazan stomak)</w:t>
            </w:r>
          </w:p>
        </w:tc>
        <w:tc>
          <w:tcPr>
            <w:tcW w:w="2553" w:type="dxa"/>
          </w:tcPr>
          <w:p w14:paraId="5F8F5891" w14:textId="77777777" w:rsidR="00DE74DF" w:rsidRPr="007223BC" w:rsidRDefault="00DE74DF" w:rsidP="00413968">
            <w:pPr>
              <w:pStyle w:val="tabletextNS"/>
              <w:tabs>
                <w:tab w:val="left" w:pos="809"/>
              </w:tabs>
              <w:rPr>
                <w:rFonts w:ascii="Times New Roman" w:hAnsi="Times New Roman"/>
                <w:sz w:val="22"/>
                <w:szCs w:val="22"/>
                <w:lang w:val="sr-Latn-RS"/>
              </w:rPr>
            </w:pPr>
            <w:r w:rsidRPr="007223BC">
              <w:rPr>
                <w:rFonts w:ascii="Times New Roman" w:hAnsi="Times New Roman"/>
                <w:sz w:val="22"/>
                <w:szCs w:val="22"/>
                <w:lang w:val="sr-Latn-RS"/>
              </w:rPr>
              <w:t xml:space="preserve">Dolutegravir </w:t>
            </w:r>
            <w:r w:rsidRPr="007223BC">
              <w:rPr>
                <w:rFonts w:ascii="Times New Roman" w:hAnsi="Times New Roman"/>
                <w:sz w:val="22"/>
                <w:szCs w:val="22"/>
                <w:lang w:val="sr-Latn-RS"/>
              </w:rPr>
              <w:sym w:font="Symbol" w:char="F0AF"/>
            </w:r>
            <w:r w:rsidRPr="007223BC">
              <w:rPr>
                <w:rFonts w:ascii="Times New Roman" w:hAnsi="Times New Roman"/>
                <w:sz w:val="22"/>
                <w:szCs w:val="22"/>
                <w:lang w:val="sr-Latn-RS"/>
              </w:rPr>
              <w:br/>
              <w:t xml:space="preserve">   PIK </w:t>
            </w:r>
            <w:r w:rsidRPr="007223BC">
              <w:rPr>
                <w:rFonts w:ascii="Times New Roman" w:hAnsi="Times New Roman"/>
                <w:sz w:val="22"/>
                <w:szCs w:val="22"/>
                <w:lang w:val="sr-Latn-RS"/>
              </w:rPr>
              <w:sym w:font="Symbol" w:char="F0AF"/>
            </w:r>
            <w:r w:rsidRPr="007223BC">
              <w:rPr>
                <w:rFonts w:ascii="Times New Roman" w:hAnsi="Times New Roman"/>
                <w:sz w:val="22"/>
                <w:szCs w:val="22"/>
                <w:lang w:val="sr-Latn-RS"/>
              </w:rPr>
              <w:t xml:space="preserve"> 39% </w:t>
            </w:r>
            <w:r w:rsidRPr="007223BC">
              <w:rPr>
                <w:rFonts w:ascii="Times New Roman" w:hAnsi="Times New Roman"/>
                <w:sz w:val="22"/>
                <w:szCs w:val="22"/>
                <w:lang w:val="sr-Latn-RS"/>
              </w:rPr>
              <w:br/>
              <w:t xml:space="preserve">   C</w:t>
            </w:r>
            <w:r w:rsidRPr="007223BC">
              <w:rPr>
                <w:rFonts w:ascii="Times New Roman" w:hAnsi="Times New Roman"/>
                <w:sz w:val="22"/>
                <w:szCs w:val="22"/>
                <w:vertAlign w:val="subscript"/>
                <w:lang w:val="sr-Latn-RS"/>
              </w:rPr>
              <w:t>max</w:t>
            </w:r>
            <w:r w:rsidRPr="007223BC">
              <w:rPr>
                <w:rFonts w:ascii="Times New Roman" w:hAnsi="Times New Roman"/>
                <w:sz w:val="22"/>
                <w:szCs w:val="22"/>
                <w:lang w:val="sr-Latn-RS"/>
              </w:rPr>
              <w:t xml:space="preserve"> </w:t>
            </w:r>
            <w:r w:rsidRPr="007223BC">
              <w:rPr>
                <w:rFonts w:ascii="Times New Roman" w:hAnsi="Times New Roman"/>
                <w:sz w:val="22"/>
                <w:szCs w:val="22"/>
                <w:lang w:val="sr-Latn-RS"/>
              </w:rPr>
              <w:sym w:font="Symbol" w:char="F0AF"/>
            </w:r>
            <w:r w:rsidRPr="007223BC">
              <w:rPr>
                <w:rFonts w:ascii="Times New Roman" w:hAnsi="Times New Roman"/>
                <w:sz w:val="22"/>
                <w:szCs w:val="22"/>
                <w:lang w:val="sr-Latn-RS"/>
              </w:rPr>
              <w:t xml:space="preserve"> 37%</w:t>
            </w:r>
            <w:r w:rsidRPr="007223BC">
              <w:rPr>
                <w:rFonts w:ascii="Times New Roman" w:hAnsi="Times New Roman"/>
                <w:sz w:val="22"/>
                <w:szCs w:val="22"/>
                <w:lang w:val="sr-Latn-RS"/>
              </w:rPr>
              <w:br/>
              <w:t xml:space="preserve">   C</w:t>
            </w:r>
            <w:r w:rsidRPr="007223BC">
              <w:rPr>
                <w:rFonts w:ascii="Times New Roman" w:hAnsi="Times New Roman"/>
                <w:sz w:val="22"/>
                <w:szCs w:val="22"/>
                <w:vertAlign w:val="subscript"/>
                <w:lang w:val="sr-Latn-RS"/>
              </w:rPr>
              <w:t>24</w:t>
            </w:r>
            <w:r w:rsidRPr="007223BC">
              <w:rPr>
                <w:rFonts w:ascii="Times New Roman" w:hAnsi="Times New Roman"/>
                <w:sz w:val="22"/>
                <w:szCs w:val="22"/>
                <w:lang w:val="sr-Latn-RS"/>
              </w:rPr>
              <w:t xml:space="preserve"> </w:t>
            </w:r>
            <w:r w:rsidRPr="007223BC">
              <w:rPr>
                <w:rFonts w:ascii="Times New Roman" w:hAnsi="Times New Roman"/>
                <w:sz w:val="22"/>
                <w:szCs w:val="22"/>
                <w:lang w:val="sr-Latn-RS"/>
              </w:rPr>
              <w:sym w:font="Symbol" w:char="F0AF"/>
            </w:r>
            <w:r w:rsidRPr="007223BC">
              <w:rPr>
                <w:rFonts w:ascii="Times New Roman" w:hAnsi="Times New Roman"/>
                <w:sz w:val="22"/>
                <w:szCs w:val="22"/>
                <w:lang w:val="sr-Latn-RS"/>
              </w:rPr>
              <w:t xml:space="preserve"> 39%</w:t>
            </w:r>
          </w:p>
          <w:p w14:paraId="19459EE0" w14:textId="77777777" w:rsidR="00DE74DF" w:rsidRPr="007223BC" w:rsidRDefault="00DE74DF" w:rsidP="00413968">
            <w:pPr>
              <w:pStyle w:val="tabletextNS"/>
              <w:tabs>
                <w:tab w:val="left" w:pos="809"/>
              </w:tabs>
              <w:rPr>
                <w:rFonts w:ascii="Times New Roman" w:hAnsi="Times New Roman"/>
                <w:sz w:val="22"/>
                <w:szCs w:val="22"/>
                <w:lang w:val="sr-Latn-RS"/>
              </w:rPr>
            </w:pPr>
            <w:r w:rsidRPr="007223BC">
              <w:rPr>
                <w:rFonts w:ascii="Times New Roman" w:hAnsi="Times New Roman"/>
                <w:sz w:val="22"/>
                <w:szCs w:val="22"/>
                <w:lang w:val="sr-Latn-RS"/>
              </w:rPr>
              <w:t>(</w:t>
            </w:r>
            <w:r w:rsidRPr="007223BC">
              <w:rPr>
                <w:rFonts w:ascii="Times New Roman" w:hAnsi="Times New Roman"/>
                <w:sz w:val="22"/>
                <w:szCs w:val="22"/>
                <w:lang w:val="sr-Latn-RS" w:eastAsia="sr-Latn-RS"/>
              </w:rPr>
              <w:t>stvaranje kompleksa sa polivalentnim jonima</w:t>
            </w:r>
            <w:r w:rsidRPr="007223BC">
              <w:rPr>
                <w:rFonts w:ascii="Times New Roman" w:hAnsi="Times New Roman"/>
                <w:sz w:val="22"/>
                <w:szCs w:val="22"/>
                <w:lang w:val="sr-Latn-RS"/>
              </w:rPr>
              <w:t xml:space="preserve">) </w:t>
            </w:r>
          </w:p>
        </w:tc>
        <w:tc>
          <w:tcPr>
            <w:tcW w:w="3955" w:type="dxa"/>
            <w:vMerge w:val="restart"/>
          </w:tcPr>
          <w:p w14:paraId="1EECB5F1" w14:textId="66608E65" w:rsidR="00DE74DF" w:rsidRPr="007223BC" w:rsidRDefault="00DE74DF" w:rsidP="00413968">
            <w:pPr>
              <w:rPr>
                <w:sz w:val="22"/>
                <w:szCs w:val="22"/>
                <w:lang w:val="sr-Latn-RS"/>
              </w:rPr>
            </w:pPr>
            <w:r w:rsidRPr="007223BC">
              <w:rPr>
                <w:sz w:val="22"/>
                <w:szCs w:val="22"/>
                <w:lang w:val="sr-Latn-RS"/>
              </w:rPr>
              <w:t>- Kada se uzimaju uz obrok, lijek DOVATO i dodaci ishrani ili multivitamin</w:t>
            </w:r>
            <w:r w:rsidR="005257A2">
              <w:rPr>
                <w:sz w:val="22"/>
                <w:szCs w:val="22"/>
                <w:lang w:val="sr-Latn-RS"/>
              </w:rPr>
              <w:t>ski preparati</w:t>
            </w:r>
            <w:r w:rsidRPr="007223BC">
              <w:rPr>
                <w:sz w:val="22"/>
                <w:szCs w:val="22"/>
                <w:lang w:val="sr-Latn-RS"/>
              </w:rPr>
              <w:t xml:space="preserve"> koji sadrže kalcijum, gvožđe ili magnezijum mogu da se uzmu u isto vrijeme. </w:t>
            </w:r>
          </w:p>
          <w:p w14:paraId="7A0CABB9" w14:textId="2143936F" w:rsidR="00DE74DF" w:rsidRPr="007223BC" w:rsidRDefault="00DE74DF" w:rsidP="00413968">
            <w:pPr>
              <w:rPr>
                <w:sz w:val="22"/>
                <w:szCs w:val="22"/>
                <w:lang w:val="sr-Latn-RS"/>
              </w:rPr>
            </w:pPr>
            <w:r w:rsidRPr="007223BC">
              <w:rPr>
                <w:sz w:val="22"/>
                <w:szCs w:val="22"/>
                <w:lang w:val="sr-Latn-RS"/>
              </w:rPr>
              <w:t xml:space="preserve">- Ako se lijek DOVATO uzima na prazan stomak, dodaci ishrani treba da se uzmu </w:t>
            </w:r>
            <w:r w:rsidR="005257A2">
              <w:rPr>
                <w:sz w:val="22"/>
                <w:szCs w:val="22"/>
                <w:lang w:val="sr-Latn-RS"/>
              </w:rPr>
              <w:t>najmanje</w:t>
            </w:r>
            <w:r w:rsidR="005257A2" w:rsidRPr="007223BC">
              <w:rPr>
                <w:sz w:val="22"/>
                <w:szCs w:val="22"/>
                <w:lang w:val="sr-Latn-RS"/>
              </w:rPr>
              <w:t xml:space="preserve"> </w:t>
            </w:r>
            <w:r w:rsidRPr="007223BC">
              <w:rPr>
                <w:sz w:val="22"/>
                <w:szCs w:val="22"/>
                <w:lang w:val="sr-Latn-RS"/>
              </w:rPr>
              <w:t xml:space="preserve">2 sata nakon ili 6 sati prije uzimanja lijeka DOVATO. </w:t>
            </w:r>
          </w:p>
          <w:p w14:paraId="5324DBDB" w14:textId="77777777" w:rsidR="00DF2E63" w:rsidRPr="007223BC" w:rsidRDefault="00DF2E63" w:rsidP="00413968">
            <w:pPr>
              <w:rPr>
                <w:sz w:val="22"/>
                <w:szCs w:val="22"/>
                <w:lang w:val="sr-Latn-RS"/>
              </w:rPr>
            </w:pPr>
          </w:p>
          <w:p w14:paraId="48133FF1" w14:textId="387BBB87" w:rsidR="00DE74DF" w:rsidRPr="007223BC" w:rsidRDefault="00DE74DF" w:rsidP="00413968">
            <w:pPr>
              <w:rPr>
                <w:sz w:val="22"/>
                <w:szCs w:val="22"/>
                <w:lang w:val="sr-Latn-RS"/>
              </w:rPr>
            </w:pPr>
            <w:r w:rsidRPr="007223BC">
              <w:rPr>
                <w:sz w:val="22"/>
                <w:szCs w:val="22"/>
                <w:lang w:val="sr-Latn-RS"/>
              </w:rPr>
              <w:t xml:space="preserve">Navedena smanjenja izloženosti dolutegraviru opažena su kada su se dolutegravir i navedeni dodaci ishrani uzimali na prazan stomak. </w:t>
            </w:r>
            <w:r w:rsidRPr="007223BC">
              <w:rPr>
                <w:sz w:val="22"/>
                <w:szCs w:val="22"/>
                <w:lang w:val="sr-Latn-RS" w:eastAsia="sr-Latn-RS"/>
              </w:rPr>
              <w:t xml:space="preserve">Kada su se uzimali na pun želudac, </w:t>
            </w:r>
            <w:r w:rsidR="005257A2">
              <w:rPr>
                <w:sz w:val="22"/>
                <w:szCs w:val="22"/>
                <w:lang w:val="sr-Latn-RS" w:eastAsia="sr-Latn-RS"/>
              </w:rPr>
              <w:t>efekat</w:t>
            </w:r>
            <w:r w:rsidR="005257A2" w:rsidRPr="007223BC">
              <w:rPr>
                <w:sz w:val="22"/>
                <w:szCs w:val="22"/>
                <w:lang w:val="sr-Latn-RS" w:eastAsia="sr-Latn-RS"/>
              </w:rPr>
              <w:t xml:space="preserve"> </w:t>
            </w:r>
            <w:r w:rsidRPr="007223BC">
              <w:rPr>
                <w:sz w:val="22"/>
                <w:szCs w:val="22"/>
                <w:lang w:val="sr-Latn-RS" w:eastAsia="sr-Latn-RS"/>
              </w:rPr>
              <w:t>hrane modifikovao je promjene izloženosti dolutegraviru do kojih dolazi nakon istovremenog uzimanja suplemenata kalcijuma ili gvožđa</w:t>
            </w:r>
            <w:r w:rsidR="00DF2E63" w:rsidRPr="007223BC">
              <w:rPr>
                <w:sz w:val="22"/>
                <w:szCs w:val="22"/>
                <w:lang w:val="sr-Latn-RS" w:eastAsia="sr-Latn-RS"/>
              </w:rPr>
              <w:t>,</w:t>
            </w:r>
            <w:r w:rsidRPr="007223BC">
              <w:rPr>
                <w:sz w:val="22"/>
                <w:szCs w:val="22"/>
                <w:lang w:val="sr-Latn-RS" w:eastAsia="sr-Latn-RS"/>
              </w:rPr>
              <w:t xml:space="preserve"> pa je izloženost bila slična onoj koja se postiže kada se dolutegravir primjenjuje na prazan stomak.</w:t>
            </w:r>
          </w:p>
        </w:tc>
      </w:tr>
      <w:bookmarkEnd w:id="2"/>
      <w:tr w:rsidR="00DE74DF" w:rsidRPr="00413968" w14:paraId="082427A4" w14:textId="77777777" w:rsidTr="00104F5D">
        <w:tc>
          <w:tcPr>
            <w:tcW w:w="2972" w:type="dxa"/>
          </w:tcPr>
          <w:p w14:paraId="0F7F50DF" w14:textId="77777777" w:rsidR="00DE74DF" w:rsidRPr="007223BC" w:rsidRDefault="00DE74DF" w:rsidP="00413968">
            <w:pPr>
              <w:pStyle w:val="tabletextNS"/>
              <w:rPr>
                <w:rFonts w:ascii="Times New Roman" w:hAnsi="Times New Roman"/>
                <w:sz w:val="22"/>
                <w:szCs w:val="22"/>
                <w:lang w:val="sr-Latn-RS"/>
              </w:rPr>
            </w:pPr>
            <w:r w:rsidRPr="007223BC">
              <w:rPr>
                <w:rFonts w:ascii="Times New Roman" w:hAnsi="Times New Roman"/>
                <w:sz w:val="22"/>
                <w:szCs w:val="22"/>
                <w:lang w:val="sr-Latn-RS"/>
              </w:rPr>
              <w:t>Suplementi gvožđa/Dolutegravir</w:t>
            </w:r>
            <w:r w:rsidRPr="007223BC">
              <w:rPr>
                <w:rFonts w:ascii="Times New Roman" w:hAnsi="Times New Roman"/>
                <w:sz w:val="22"/>
                <w:szCs w:val="22"/>
                <w:lang w:val="sr-Latn-RS"/>
              </w:rPr>
              <w:br/>
              <w:t>(kada se uzima na prazan stomak)</w:t>
            </w:r>
          </w:p>
        </w:tc>
        <w:tc>
          <w:tcPr>
            <w:tcW w:w="2553" w:type="dxa"/>
          </w:tcPr>
          <w:p w14:paraId="224E3E99" w14:textId="77777777" w:rsidR="00DE74DF" w:rsidRPr="007223BC" w:rsidRDefault="00DE74DF" w:rsidP="00413968">
            <w:pPr>
              <w:pStyle w:val="tabletextNS"/>
              <w:tabs>
                <w:tab w:val="left" w:pos="809"/>
              </w:tabs>
              <w:rPr>
                <w:rFonts w:ascii="Times New Roman" w:hAnsi="Times New Roman"/>
                <w:sz w:val="22"/>
                <w:szCs w:val="22"/>
                <w:lang w:val="sr-Latn-RS"/>
              </w:rPr>
            </w:pPr>
            <w:r w:rsidRPr="007223BC">
              <w:rPr>
                <w:rFonts w:ascii="Times New Roman" w:hAnsi="Times New Roman"/>
                <w:sz w:val="22"/>
                <w:szCs w:val="22"/>
                <w:lang w:val="sr-Latn-RS"/>
              </w:rPr>
              <w:t xml:space="preserve">Dolutegravir </w:t>
            </w:r>
            <w:r w:rsidRPr="007223BC">
              <w:rPr>
                <w:rFonts w:ascii="Times New Roman" w:hAnsi="Times New Roman"/>
                <w:sz w:val="22"/>
                <w:szCs w:val="22"/>
                <w:lang w:val="sr-Latn-RS"/>
              </w:rPr>
              <w:sym w:font="Symbol" w:char="F0AF"/>
            </w:r>
            <w:r w:rsidRPr="007223BC">
              <w:rPr>
                <w:rFonts w:ascii="Times New Roman" w:hAnsi="Times New Roman"/>
                <w:sz w:val="22"/>
                <w:szCs w:val="22"/>
                <w:lang w:val="sr-Latn-RS"/>
              </w:rPr>
              <w:br/>
              <w:t xml:space="preserve">   PIK </w:t>
            </w:r>
            <w:r w:rsidRPr="007223BC">
              <w:rPr>
                <w:rFonts w:ascii="Times New Roman" w:hAnsi="Times New Roman"/>
                <w:sz w:val="22"/>
                <w:szCs w:val="22"/>
                <w:lang w:val="sr-Latn-RS"/>
              </w:rPr>
              <w:sym w:font="Symbol" w:char="F0AF"/>
            </w:r>
            <w:r w:rsidRPr="007223BC">
              <w:rPr>
                <w:rFonts w:ascii="Times New Roman" w:hAnsi="Times New Roman"/>
                <w:sz w:val="22"/>
                <w:szCs w:val="22"/>
                <w:lang w:val="sr-Latn-RS"/>
              </w:rPr>
              <w:t xml:space="preserve"> 54% </w:t>
            </w:r>
            <w:r w:rsidRPr="007223BC">
              <w:rPr>
                <w:rFonts w:ascii="Times New Roman" w:hAnsi="Times New Roman"/>
                <w:sz w:val="22"/>
                <w:szCs w:val="22"/>
                <w:lang w:val="sr-Latn-RS"/>
              </w:rPr>
              <w:br/>
              <w:t xml:space="preserve">   C</w:t>
            </w:r>
            <w:r w:rsidRPr="007223BC">
              <w:rPr>
                <w:rFonts w:ascii="Times New Roman" w:hAnsi="Times New Roman"/>
                <w:sz w:val="22"/>
                <w:szCs w:val="22"/>
                <w:vertAlign w:val="subscript"/>
                <w:lang w:val="sr-Latn-RS"/>
              </w:rPr>
              <w:t>max</w:t>
            </w:r>
            <w:r w:rsidRPr="007223BC">
              <w:rPr>
                <w:rFonts w:ascii="Times New Roman" w:hAnsi="Times New Roman"/>
                <w:sz w:val="22"/>
                <w:szCs w:val="22"/>
                <w:lang w:val="sr-Latn-RS"/>
              </w:rPr>
              <w:t xml:space="preserve"> </w:t>
            </w:r>
            <w:r w:rsidRPr="007223BC">
              <w:rPr>
                <w:rFonts w:ascii="Times New Roman" w:hAnsi="Times New Roman"/>
                <w:sz w:val="22"/>
                <w:szCs w:val="22"/>
                <w:lang w:val="sr-Latn-RS"/>
              </w:rPr>
              <w:sym w:font="Symbol" w:char="F0AF"/>
            </w:r>
            <w:r w:rsidRPr="007223BC">
              <w:rPr>
                <w:rFonts w:ascii="Times New Roman" w:hAnsi="Times New Roman"/>
                <w:sz w:val="22"/>
                <w:szCs w:val="22"/>
                <w:lang w:val="sr-Latn-RS"/>
              </w:rPr>
              <w:t xml:space="preserve"> 57%</w:t>
            </w:r>
            <w:r w:rsidRPr="007223BC">
              <w:rPr>
                <w:rFonts w:ascii="Times New Roman" w:hAnsi="Times New Roman"/>
                <w:sz w:val="22"/>
                <w:szCs w:val="22"/>
                <w:lang w:val="sr-Latn-RS"/>
              </w:rPr>
              <w:br/>
              <w:t xml:space="preserve">   C</w:t>
            </w:r>
            <w:r w:rsidRPr="007223BC">
              <w:rPr>
                <w:rFonts w:ascii="Times New Roman" w:hAnsi="Times New Roman"/>
                <w:sz w:val="22"/>
                <w:szCs w:val="22"/>
                <w:vertAlign w:val="subscript"/>
                <w:lang w:val="sr-Latn-RS"/>
              </w:rPr>
              <w:t>24</w:t>
            </w:r>
            <w:r w:rsidRPr="007223BC">
              <w:rPr>
                <w:rFonts w:ascii="Times New Roman" w:hAnsi="Times New Roman"/>
                <w:sz w:val="22"/>
                <w:szCs w:val="22"/>
                <w:lang w:val="sr-Latn-RS"/>
              </w:rPr>
              <w:t xml:space="preserve"> </w:t>
            </w:r>
            <w:r w:rsidRPr="007223BC">
              <w:rPr>
                <w:rFonts w:ascii="Times New Roman" w:hAnsi="Times New Roman"/>
                <w:sz w:val="22"/>
                <w:szCs w:val="22"/>
                <w:lang w:val="sr-Latn-RS"/>
              </w:rPr>
              <w:sym w:font="Symbol" w:char="F0AF"/>
            </w:r>
            <w:r w:rsidRPr="007223BC">
              <w:rPr>
                <w:rFonts w:ascii="Times New Roman" w:hAnsi="Times New Roman"/>
                <w:sz w:val="22"/>
                <w:szCs w:val="22"/>
                <w:lang w:val="sr-Latn-RS"/>
              </w:rPr>
              <w:t xml:space="preserve"> 56%</w:t>
            </w:r>
          </w:p>
          <w:p w14:paraId="2EC44747" w14:textId="77777777" w:rsidR="00DE74DF" w:rsidRPr="007223BC" w:rsidRDefault="00DE74DF" w:rsidP="00413968">
            <w:pPr>
              <w:pStyle w:val="tabletextNS"/>
              <w:tabs>
                <w:tab w:val="left" w:pos="809"/>
              </w:tabs>
              <w:rPr>
                <w:rFonts w:ascii="Times New Roman" w:hAnsi="Times New Roman"/>
                <w:sz w:val="22"/>
                <w:szCs w:val="22"/>
                <w:lang w:val="sr-Latn-RS"/>
              </w:rPr>
            </w:pPr>
            <w:r w:rsidRPr="007223BC">
              <w:rPr>
                <w:rFonts w:ascii="Times New Roman" w:hAnsi="Times New Roman"/>
                <w:sz w:val="22"/>
                <w:szCs w:val="22"/>
                <w:lang w:val="sr-Latn-RS"/>
              </w:rPr>
              <w:t>(</w:t>
            </w:r>
            <w:r w:rsidRPr="007223BC">
              <w:rPr>
                <w:rFonts w:ascii="Times New Roman" w:hAnsi="Times New Roman"/>
                <w:sz w:val="22"/>
                <w:szCs w:val="22"/>
                <w:lang w:val="sr-Latn-RS" w:eastAsia="sr-Latn-RS"/>
              </w:rPr>
              <w:t>stvaranje kompleksa sa polivalentnim jonima</w:t>
            </w:r>
            <w:r w:rsidRPr="007223BC">
              <w:rPr>
                <w:rFonts w:ascii="Times New Roman" w:hAnsi="Times New Roman"/>
                <w:sz w:val="22"/>
                <w:szCs w:val="22"/>
                <w:lang w:val="sr-Latn-RS"/>
              </w:rPr>
              <w:t>)</w:t>
            </w:r>
          </w:p>
        </w:tc>
        <w:tc>
          <w:tcPr>
            <w:tcW w:w="3955" w:type="dxa"/>
            <w:vMerge/>
          </w:tcPr>
          <w:p w14:paraId="3AEF4483" w14:textId="77777777" w:rsidR="00DE74DF" w:rsidRPr="007223BC" w:rsidRDefault="00DE74DF" w:rsidP="00413968">
            <w:pPr>
              <w:rPr>
                <w:sz w:val="22"/>
                <w:szCs w:val="22"/>
                <w:lang w:val="sr-Latn-RS"/>
              </w:rPr>
            </w:pPr>
          </w:p>
        </w:tc>
      </w:tr>
      <w:tr w:rsidR="00DE74DF" w:rsidRPr="00413968" w14:paraId="46B85089" w14:textId="77777777" w:rsidTr="00104F5D">
        <w:tc>
          <w:tcPr>
            <w:tcW w:w="2972" w:type="dxa"/>
          </w:tcPr>
          <w:p w14:paraId="6E116E15" w14:textId="181BD962" w:rsidR="00DE74DF" w:rsidRPr="007223BC" w:rsidRDefault="00DE74DF" w:rsidP="00413968">
            <w:pPr>
              <w:pStyle w:val="tabletextNS"/>
              <w:rPr>
                <w:rFonts w:ascii="Times New Roman" w:hAnsi="Times New Roman"/>
                <w:sz w:val="22"/>
                <w:szCs w:val="22"/>
                <w:lang w:val="sr-Latn-RS"/>
              </w:rPr>
            </w:pPr>
            <w:r w:rsidRPr="007223BC">
              <w:rPr>
                <w:rFonts w:ascii="Times New Roman" w:hAnsi="Times New Roman"/>
                <w:sz w:val="22"/>
                <w:szCs w:val="22"/>
                <w:lang w:val="sr-Latn-RS"/>
              </w:rPr>
              <w:t>Multivitamin</w:t>
            </w:r>
            <w:r w:rsidR="005257A2">
              <w:rPr>
                <w:rFonts w:ascii="Times New Roman" w:hAnsi="Times New Roman"/>
                <w:sz w:val="22"/>
                <w:szCs w:val="22"/>
                <w:lang w:val="sr-Latn-RS"/>
              </w:rPr>
              <w:t>ski preparati</w:t>
            </w:r>
            <w:r w:rsidRPr="007223BC">
              <w:rPr>
                <w:rFonts w:ascii="Times New Roman" w:hAnsi="Times New Roman"/>
                <w:sz w:val="22"/>
                <w:szCs w:val="22"/>
                <w:lang w:val="sr-Latn-RS"/>
              </w:rPr>
              <w:t xml:space="preserve"> (koji sadrže kalcijum, gvožđe i magnezijum) /Dolutegravir</w:t>
            </w:r>
            <w:r w:rsidRPr="007223BC">
              <w:rPr>
                <w:rFonts w:ascii="Times New Roman" w:hAnsi="Times New Roman"/>
                <w:sz w:val="22"/>
                <w:szCs w:val="22"/>
                <w:lang w:val="sr-Latn-RS"/>
              </w:rPr>
              <w:br/>
              <w:t>(kada se uzima na prazan stomak)</w:t>
            </w:r>
          </w:p>
        </w:tc>
        <w:tc>
          <w:tcPr>
            <w:tcW w:w="2553" w:type="dxa"/>
          </w:tcPr>
          <w:p w14:paraId="2DB8FB9D" w14:textId="77777777" w:rsidR="00DE74DF" w:rsidRPr="007223BC" w:rsidRDefault="00DE74DF" w:rsidP="00413968">
            <w:pPr>
              <w:rPr>
                <w:sz w:val="22"/>
                <w:szCs w:val="22"/>
                <w:lang w:val="sr-Latn-RS"/>
              </w:rPr>
            </w:pPr>
            <w:r w:rsidRPr="007223BC">
              <w:rPr>
                <w:sz w:val="22"/>
                <w:szCs w:val="22"/>
                <w:lang w:val="sr-Latn-RS"/>
              </w:rPr>
              <w:t xml:space="preserve">Dolutegravir </w:t>
            </w:r>
            <w:r w:rsidRPr="007223BC">
              <w:rPr>
                <w:sz w:val="22"/>
                <w:szCs w:val="22"/>
                <w:lang w:val="sr-Latn-RS"/>
              </w:rPr>
              <w:sym w:font="Symbol" w:char="F0AF"/>
            </w:r>
          </w:p>
          <w:p w14:paraId="2C9983BD" w14:textId="77777777" w:rsidR="00DE74DF" w:rsidRPr="007223BC" w:rsidRDefault="00DE74DF" w:rsidP="00413968">
            <w:pPr>
              <w:rPr>
                <w:sz w:val="22"/>
                <w:szCs w:val="22"/>
                <w:lang w:val="sr-Latn-RS"/>
              </w:rPr>
            </w:pPr>
            <w:r w:rsidRPr="007223BC">
              <w:rPr>
                <w:sz w:val="22"/>
                <w:szCs w:val="22"/>
                <w:lang w:val="sr-Latn-RS"/>
              </w:rPr>
              <w:t xml:space="preserve">   PIK </w:t>
            </w:r>
            <w:r w:rsidRPr="007223BC">
              <w:rPr>
                <w:sz w:val="22"/>
                <w:szCs w:val="22"/>
                <w:lang w:val="sr-Latn-RS"/>
              </w:rPr>
              <w:sym w:font="Symbol" w:char="F0AF"/>
            </w:r>
            <w:r w:rsidRPr="007223BC">
              <w:rPr>
                <w:sz w:val="22"/>
                <w:szCs w:val="22"/>
                <w:lang w:val="sr-Latn-RS"/>
              </w:rPr>
              <w:t xml:space="preserve"> 33% </w:t>
            </w:r>
          </w:p>
          <w:p w14:paraId="185FAB00" w14:textId="77777777" w:rsidR="00DE74DF" w:rsidRPr="007223BC" w:rsidRDefault="00DE74DF" w:rsidP="00413968">
            <w:pPr>
              <w:rPr>
                <w:sz w:val="22"/>
                <w:szCs w:val="22"/>
                <w:lang w:val="sr-Latn-RS"/>
              </w:rPr>
            </w:pPr>
            <w:r w:rsidRPr="007223BC">
              <w:rPr>
                <w:sz w:val="22"/>
                <w:szCs w:val="22"/>
                <w:lang w:val="sr-Latn-RS"/>
              </w:rPr>
              <w:t xml:space="preserve">   C</w:t>
            </w:r>
            <w:r w:rsidRPr="007223BC">
              <w:rPr>
                <w:sz w:val="22"/>
                <w:szCs w:val="22"/>
                <w:vertAlign w:val="subscript"/>
                <w:lang w:val="sr-Latn-RS"/>
              </w:rPr>
              <w:t>max</w:t>
            </w:r>
            <w:r w:rsidRPr="007223BC">
              <w:rPr>
                <w:sz w:val="22"/>
                <w:szCs w:val="22"/>
                <w:lang w:val="sr-Latn-RS"/>
              </w:rPr>
              <w:t xml:space="preserve"> </w:t>
            </w:r>
            <w:r w:rsidRPr="007223BC">
              <w:rPr>
                <w:sz w:val="22"/>
                <w:szCs w:val="22"/>
                <w:lang w:val="sr-Latn-RS"/>
              </w:rPr>
              <w:sym w:font="Symbol" w:char="F0AF"/>
            </w:r>
            <w:r w:rsidRPr="007223BC">
              <w:rPr>
                <w:sz w:val="22"/>
                <w:szCs w:val="22"/>
                <w:lang w:val="sr-Latn-RS"/>
              </w:rPr>
              <w:t xml:space="preserve"> 35%</w:t>
            </w:r>
          </w:p>
          <w:p w14:paraId="292FE177" w14:textId="77777777" w:rsidR="00DE74DF" w:rsidRPr="007223BC" w:rsidRDefault="00DE74DF" w:rsidP="00413968">
            <w:pPr>
              <w:pStyle w:val="tabletextNS"/>
              <w:tabs>
                <w:tab w:val="left" w:pos="809"/>
              </w:tabs>
              <w:rPr>
                <w:rFonts w:ascii="Times New Roman" w:hAnsi="Times New Roman"/>
                <w:sz w:val="22"/>
                <w:szCs w:val="22"/>
                <w:lang w:val="sr-Latn-RS"/>
              </w:rPr>
            </w:pPr>
            <w:r w:rsidRPr="007223BC">
              <w:rPr>
                <w:rFonts w:ascii="Times New Roman" w:hAnsi="Times New Roman"/>
                <w:sz w:val="22"/>
                <w:szCs w:val="22"/>
                <w:lang w:val="sr-Latn-RS"/>
              </w:rPr>
              <w:t xml:space="preserve">   C</w:t>
            </w:r>
            <w:r w:rsidRPr="007223BC">
              <w:rPr>
                <w:rFonts w:ascii="Times New Roman" w:hAnsi="Times New Roman"/>
                <w:sz w:val="22"/>
                <w:szCs w:val="22"/>
                <w:vertAlign w:val="subscript"/>
                <w:lang w:val="sr-Latn-RS"/>
              </w:rPr>
              <w:t>24</w:t>
            </w:r>
            <w:r w:rsidRPr="007223BC">
              <w:rPr>
                <w:rFonts w:ascii="Times New Roman" w:hAnsi="Times New Roman"/>
                <w:sz w:val="22"/>
                <w:szCs w:val="22"/>
                <w:lang w:val="sr-Latn-RS"/>
              </w:rPr>
              <w:t xml:space="preserve"> </w:t>
            </w:r>
            <w:r w:rsidRPr="007223BC">
              <w:rPr>
                <w:rFonts w:ascii="Times New Roman" w:hAnsi="Times New Roman"/>
                <w:sz w:val="22"/>
                <w:szCs w:val="22"/>
                <w:lang w:val="sr-Latn-RS"/>
              </w:rPr>
              <w:sym w:font="Symbol" w:char="F0AF"/>
            </w:r>
            <w:r w:rsidRPr="007223BC">
              <w:rPr>
                <w:rFonts w:ascii="Times New Roman" w:hAnsi="Times New Roman"/>
                <w:sz w:val="22"/>
                <w:szCs w:val="22"/>
                <w:lang w:val="sr-Latn-RS"/>
              </w:rPr>
              <w:t xml:space="preserve"> 32%</w:t>
            </w:r>
          </w:p>
          <w:p w14:paraId="2CE94A21" w14:textId="77777777" w:rsidR="00DE74DF" w:rsidRPr="007223BC" w:rsidRDefault="00DE74DF" w:rsidP="00413968">
            <w:pPr>
              <w:pStyle w:val="tabletextNS"/>
              <w:tabs>
                <w:tab w:val="left" w:pos="809"/>
              </w:tabs>
              <w:rPr>
                <w:rFonts w:ascii="Times New Roman" w:hAnsi="Times New Roman"/>
                <w:sz w:val="22"/>
                <w:szCs w:val="22"/>
                <w:lang w:val="sr-Latn-RS"/>
              </w:rPr>
            </w:pPr>
            <w:r w:rsidRPr="007223BC">
              <w:rPr>
                <w:rFonts w:ascii="Times New Roman" w:hAnsi="Times New Roman"/>
                <w:sz w:val="22"/>
                <w:szCs w:val="22"/>
                <w:lang w:val="sr-Latn-RS"/>
              </w:rPr>
              <w:t>(</w:t>
            </w:r>
            <w:r w:rsidRPr="007223BC">
              <w:rPr>
                <w:rFonts w:ascii="Times New Roman" w:hAnsi="Times New Roman"/>
                <w:sz w:val="22"/>
                <w:szCs w:val="22"/>
                <w:lang w:val="sr-Latn-RS" w:eastAsia="sr-Latn-RS"/>
              </w:rPr>
              <w:t>stvaranje kompleksa sa polivalentnim jonima</w:t>
            </w:r>
            <w:r w:rsidRPr="007223BC">
              <w:rPr>
                <w:rFonts w:ascii="Times New Roman" w:hAnsi="Times New Roman"/>
                <w:sz w:val="22"/>
                <w:szCs w:val="22"/>
                <w:lang w:val="sr-Latn-RS"/>
              </w:rPr>
              <w:t>)</w:t>
            </w:r>
          </w:p>
        </w:tc>
        <w:tc>
          <w:tcPr>
            <w:tcW w:w="3955" w:type="dxa"/>
            <w:vMerge/>
          </w:tcPr>
          <w:p w14:paraId="0CCD9ACD" w14:textId="77777777" w:rsidR="00DE74DF" w:rsidRPr="007223BC" w:rsidRDefault="00DE74DF" w:rsidP="00413968">
            <w:pPr>
              <w:rPr>
                <w:strike/>
                <w:sz w:val="22"/>
                <w:szCs w:val="22"/>
                <w:lang w:val="sr-Latn-RS"/>
              </w:rPr>
            </w:pPr>
          </w:p>
        </w:tc>
      </w:tr>
      <w:tr w:rsidR="00DE74DF" w:rsidRPr="007223BC" w14:paraId="3603AD3D" w14:textId="77777777" w:rsidTr="00104F5D">
        <w:tc>
          <w:tcPr>
            <w:tcW w:w="9480" w:type="dxa"/>
            <w:gridSpan w:val="3"/>
          </w:tcPr>
          <w:p w14:paraId="27F67C1A" w14:textId="77777777" w:rsidR="00DE74DF" w:rsidRPr="007223BC" w:rsidRDefault="00DE74DF" w:rsidP="00413968">
            <w:pPr>
              <w:rPr>
                <w:i/>
                <w:sz w:val="22"/>
                <w:szCs w:val="22"/>
                <w:lang w:val="sr-Latn-RS"/>
              </w:rPr>
            </w:pPr>
            <w:r w:rsidRPr="007223BC">
              <w:rPr>
                <w:i/>
                <w:sz w:val="22"/>
                <w:szCs w:val="22"/>
                <w:lang w:val="sr-Latn-RS"/>
              </w:rPr>
              <w:t>Inhibitori protonske pumpe</w:t>
            </w:r>
          </w:p>
        </w:tc>
      </w:tr>
      <w:tr w:rsidR="00DE74DF" w:rsidRPr="007223BC" w14:paraId="43E64954" w14:textId="77777777" w:rsidTr="00104F5D">
        <w:tc>
          <w:tcPr>
            <w:tcW w:w="2972" w:type="dxa"/>
          </w:tcPr>
          <w:p w14:paraId="4619D50D" w14:textId="77777777" w:rsidR="00DE74DF" w:rsidRPr="007223BC" w:rsidRDefault="00DE74DF" w:rsidP="00413968">
            <w:pPr>
              <w:rPr>
                <w:sz w:val="22"/>
                <w:szCs w:val="22"/>
                <w:lang w:val="sr-Latn-RS"/>
              </w:rPr>
            </w:pPr>
            <w:r w:rsidRPr="007223BC">
              <w:rPr>
                <w:sz w:val="22"/>
                <w:szCs w:val="22"/>
                <w:lang w:val="sr-Latn-RS"/>
              </w:rPr>
              <w:t>Omeprazol</w:t>
            </w:r>
          </w:p>
        </w:tc>
        <w:tc>
          <w:tcPr>
            <w:tcW w:w="2553" w:type="dxa"/>
          </w:tcPr>
          <w:p w14:paraId="680F3008" w14:textId="77777777" w:rsidR="00DE74DF" w:rsidRPr="007223BC" w:rsidRDefault="00DE74DF" w:rsidP="00413968">
            <w:pPr>
              <w:pStyle w:val="tabletextNS"/>
              <w:rPr>
                <w:rFonts w:ascii="Times New Roman" w:hAnsi="Times New Roman"/>
                <w:snapToGrid w:val="0"/>
                <w:sz w:val="22"/>
                <w:szCs w:val="22"/>
                <w:lang w:val="sr-Latn-RS"/>
              </w:rPr>
            </w:pPr>
            <w:r w:rsidRPr="007223BC">
              <w:rPr>
                <w:rFonts w:ascii="Times New Roman" w:hAnsi="Times New Roman"/>
                <w:sz w:val="22"/>
                <w:szCs w:val="22"/>
                <w:lang w:val="sr-Latn-RS"/>
              </w:rPr>
              <w:t xml:space="preserve">Dolutegravir </w:t>
            </w:r>
            <w:r w:rsidRPr="007223BC">
              <w:rPr>
                <w:rFonts w:ascii="Times New Roman" w:hAnsi="Times New Roman"/>
                <w:sz w:val="22"/>
                <w:szCs w:val="22"/>
                <w:lang w:val="sr-Latn-RS"/>
              </w:rPr>
              <w:sym w:font="Symbol" w:char="F0AB"/>
            </w:r>
          </w:p>
        </w:tc>
        <w:tc>
          <w:tcPr>
            <w:tcW w:w="3955" w:type="dxa"/>
          </w:tcPr>
          <w:p w14:paraId="29B29AB8" w14:textId="77777777" w:rsidR="00DE74DF" w:rsidRPr="007223BC" w:rsidRDefault="00DE74DF" w:rsidP="00413968">
            <w:pPr>
              <w:rPr>
                <w:sz w:val="22"/>
                <w:szCs w:val="22"/>
                <w:lang w:val="sr-Latn-RS"/>
              </w:rPr>
            </w:pPr>
            <w:r w:rsidRPr="007223BC">
              <w:rPr>
                <w:sz w:val="22"/>
                <w:szCs w:val="22"/>
                <w:lang w:val="sr-Latn-RS" w:eastAsia="sr-Latn-RS"/>
              </w:rPr>
              <w:t>Nije potrebno prilagođavati dozu.</w:t>
            </w:r>
          </w:p>
        </w:tc>
      </w:tr>
      <w:tr w:rsidR="00DE74DF" w:rsidRPr="007223BC" w14:paraId="04C93471" w14:textId="77777777" w:rsidTr="00104F5D">
        <w:tc>
          <w:tcPr>
            <w:tcW w:w="9480" w:type="dxa"/>
            <w:gridSpan w:val="3"/>
          </w:tcPr>
          <w:p w14:paraId="7497F61A" w14:textId="77777777" w:rsidR="00DE74DF" w:rsidRPr="007223BC" w:rsidRDefault="00DE74DF" w:rsidP="00413968">
            <w:pPr>
              <w:rPr>
                <w:i/>
                <w:sz w:val="22"/>
                <w:szCs w:val="22"/>
                <w:lang w:val="sr-Latn-RS"/>
              </w:rPr>
            </w:pPr>
            <w:r w:rsidRPr="007223BC">
              <w:rPr>
                <w:i/>
                <w:sz w:val="22"/>
                <w:szCs w:val="22"/>
                <w:lang w:val="sr-Latn-RS"/>
              </w:rPr>
              <w:t>Kortikosteroidi</w:t>
            </w:r>
          </w:p>
        </w:tc>
      </w:tr>
      <w:tr w:rsidR="00DE74DF" w:rsidRPr="007223BC" w14:paraId="413124D6" w14:textId="77777777" w:rsidTr="00104F5D">
        <w:tc>
          <w:tcPr>
            <w:tcW w:w="2972" w:type="dxa"/>
          </w:tcPr>
          <w:p w14:paraId="35ED833B" w14:textId="77777777" w:rsidR="00DE74DF" w:rsidRPr="007223BC" w:rsidRDefault="00DE74DF" w:rsidP="00413968">
            <w:pPr>
              <w:pStyle w:val="tabletextNS"/>
              <w:rPr>
                <w:rFonts w:ascii="Times New Roman" w:hAnsi="Times New Roman"/>
                <w:sz w:val="22"/>
                <w:szCs w:val="22"/>
                <w:lang w:val="sr-Latn-RS"/>
              </w:rPr>
            </w:pPr>
            <w:r w:rsidRPr="007223BC">
              <w:rPr>
                <w:rFonts w:ascii="Times New Roman" w:hAnsi="Times New Roman"/>
                <w:sz w:val="22"/>
                <w:szCs w:val="22"/>
                <w:lang w:val="sr-Latn-RS"/>
              </w:rPr>
              <w:t>Prednizon/Dolutegravir</w:t>
            </w:r>
          </w:p>
        </w:tc>
        <w:tc>
          <w:tcPr>
            <w:tcW w:w="2553" w:type="dxa"/>
          </w:tcPr>
          <w:p w14:paraId="73D04067" w14:textId="77777777" w:rsidR="00DE74DF" w:rsidRPr="007223BC" w:rsidRDefault="00DE74DF" w:rsidP="00413968">
            <w:pPr>
              <w:pStyle w:val="tabletextNS"/>
              <w:tabs>
                <w:tab w:val="left" w:pos="809"/>
              </w:tabs>
              <w:rPr>
                <w:rFonts w:ascii="Times New Roman" w:hAnsi="Times New Roman"/>
                <w:sz w:val="22"/>
                <w:szCs w:val="22"/>
                <w:lang w:val="sr-Latn-RS"/>
              </w:rPr>
            </w:pPr>
            <w:r w:rsidRPr="007223BC">
              <w:rPr>
                <w:rFonts w:ascii="Times New Roman" w:hAnsi="Times New Roman"/>
                <w:sz w:val="22"/>
                <w:szCs w:val="22"/>
                <w:lang w:val="sr-Latn-RS"/>
              </w:rPr>
              <w:t xml:space="preserve">Dolutegravir </w:t>
            </w:r>
            <w:r w:rsidRPr="007223BC">
              <w:rPr>
                <w:rFonts w:ascii="Times New Roman" w:hAnsi="Times New Roman"/>
                <w:sz w:val="22"/>
                <w:szCs w:val="22"/>
                <w:lang w:val="sr-Latn-RS"/>
              </w:rPr>
              <w:sym w:font="Symbol" w:char="F0AB"/>
            </w:r>
          </w:p>
          <w:p w14:paraId="1743A4AF" w14:textId="77777777" w:rsidR="00DE74DF" w:rsidRPr="007223BC" w:rsidRDefault="00DE74DF" w:rsidP="00413968">
            <w:pPr>
              <w:rPr>
                <w:sz w:val="22"/>
                <w:szCs w:val="22"/>
                <w:lang w:val="sr-Latn-RS"/>
              </w:rPr>
            </w:pPr>
            <w:r w:rsidRPr="007223BC">
              <w:rPr>
                <w:sz w:val="22"/>
                <w:szCs w:val="22"/>
                <w:lang w:val="sr-Latn-RS"/>
              </w:rPr>
              <w:t xml:space="preserve">   PIK </w:t>
            </w:r>
            <w:r w:rsidRPr="007223BC">
              <w:rPr>
                <w:sz w:val="22"/>
                <w:szCs w:val="22"/>
                <w:lang w:val="sr-Latn-RS"/>
              </w:rPr>
              <w:sym w:font="Symbol" w:char="F0AD"/>
            </w:r>
            <w:r w:rsidRPr="007223BC">
              <w:rPr>
                <w:sz w:val="22"/>
                <w:szCs w:val="22"/>
                <w:lang w:val="sr-Latn-RS"/>
              </w:rPr>
              <w:t xml:space="preserve"> 11%</w:t>
            </w:r>
          </w:p>
          <w:p w14:paraId="19118B65" w14:textId="77777777" w:rsidR="00DE74DF" w:rsidRPr="007223BC" w:rsidRDefault="00DE74DF" w:rsidP="00413968">
            <w:pPr>
              <w:rPr>
                <w:sz w:val="22"/>
                <w:szCs w:val="22"/>
                <w:lang w:val="sr-Latn-RS"/>
              </w:rPr>
            </w:pPr>
            <w:r w:rsidRPr="007223BC">
              <w:rPr>
                <w:sz w:val="22"/>
                <w:szCs w:val="22"/>
                <w:lang w:val="sr-Latn-RS"/>
              </w:rPr>
              <w:t xml:space="preserve">   C</w:t>
            </w:r>
            <w:r w:rsidRPr="007223BC">
              <w:rPr>
                <w:sz w:val="22"/>
                <w:szCs w:val="22"/>
                <w:vertAlign w:val="subscript"/>
                <w:lang w:val="sr-Latn-RS"/>
              </w:rPr>
              <w:t>max</w:t>
            </w:r>
            <w:r w:rsidRPr="007223BC">
              <w:rPr>
                <w:sz w:val="22"/>
                <w:szCs w:val="22"/>
                <w:lang w:val="sr-Latn-RS"/>
              </w:rPr>
              <w:t xml:space="preserve"> </w:t>
            </w:r>
            <w:r w:rsidRPr="007223BC">
              <w:rPr>
                <w:sz w:val="22"/>
                <w:szCs w:val="22"/>
                <w:lang w:val="sr-Latn-RS"/>
              </w:rPr>
              <w:sym w:font="Symbol" w:char="F0AD"/>
            </w:r>
            <w:r w:rsidRPr="007223BC">
              <w:rPr>
                <w:sz w:val="22"/>
                <w:szCs w:val="22"/>
                <w:lang w:val="sr-Latn-RS"/>
              </w:rPr>
              <w:t xml:space="preserve"> 6%</w:t>
            </w:r>
          </w:p>
          <w:p w14:paraId="511D4F8C" w14:textId="77777777" w:rsidR="00DE74DF" w:rsidRPr="007223BC" w:rsidRDefault="00DE74DF" w:rsidP="00413968">
            <w:pPr>
              <w:pStyle w:val="tabletextNS"/>
              <w:tabs>
                <w:tab w:val="left" w:pos="809"/>
              </w:tabs>
              <w:rPr>
                <w:rFonts w:ascii="Times New Roman" w:hAnsi="Times New Roman"/>
                <w:sz w:val="22"/>
                <w:szCs w:val="22"/>
                <w:lang w:val="sr-Latn-RS"/>
              </w:rPr>
            </w:pPr>
            <w:r w:rsidRPr="007223BC">
              <w:rPr>
                <w:rFonts w:ascii="Times New Roman" w:hAnsi="Times New Roman"/>
                <w:sz w:val="22"/>
                <w:szCs w:val="22"/>
                <w:lang w:val="sr-Latn-RS"/>
              </w:rPr>
              <w:t xml:space="preserve">   Cτ </w:t>
            </w:r>
            <w:r w:rsidRPr="007223BC">
              <w:rPr>
                <w:rFonts w:ascii="Times New Roman" w:hAnsi="Times New Roman"/>
                <w:sz w:val="22"/>
                <w:szCs w:val="22"/>
                <w:lang w:val="sr-Latn-RS"/>
              </w:rPr>
              <w:sym w:font="Symbol" w:char="F0AD"/>
            </w:r>
            <w:r w:rsidRPr="007223BC">
              <w:rPr>
                <w:rFonts w:ascii="Times New Roman" w:hAnsi="Times New Roman"/>
                <w:sz w:val="22"/>
                <w:szCs w:val="22"/>
                <w:lang w:val="sr-Latn-RS"/>
              </w:rPr>
              <w:t xml:space="preserve"> 17%</w:t>
            </w:r>
          </w:p>
        </w:tc>
        <w:tc>
          <w:tcPr>
            <w:tcW w:w="3955" w:type="dxa"/>
          </w:tcPr>
          <w:p w14:paraId="6C818DFD" w14:textId="77777777" w:rsidR="00DE74DF" w:rsidRPr="007223BC" w:rsidRDefault="00DE74DF" w:rsidP="00413968">
            <w:pPr>
              <w:rPr>
                <w:sz w:val="22"/>
                <w:szCs w:val="22"/>
                <w:lang w:val="sr-Latn-RS"/>
              </w:rPr>
            </w:pPr>
            <w:r w:rsidRPr="007223BC">
              <w:rPr>
                <w:sz w:val="22"/>
                <w:szCs w:val="22"/>
                <w:lang w:val="sr-Latn-RS" w:eastAsia="sr-Latn-RS"/>
              </w:rPr>
              <w:t>Nije potrebno prilagođavati dozu.</w:t>
            </w:r>
          </w:p>
        </w:tc>
      </w:tr>
      <w:tr w:rsidR="00DE74DF" w:rsidRPr="007223BC" w14:paraId="7851CADE" w14:textId="77777777" w:rsidTr="00104F5D">
        <w:tc>
          <w:tcPr>
            <w:tcW w:w="9480" w:type="dxa"/>
            <w:gridSpan w:val="3"/>
          </w:tcPr>
          <w:p w14:paraId="155EFE63" w14:textId="77777777" w:rsidR="00DE74DF" w:rsidRPr="007223BC" w:rsidRDefault="00DE74DF" w:rsidP="00413968">
            <w:pPr>
              <w:rPr>
                <w:i/>
                <w:sz w:val="22"/>
                <w:szCs w:val="22"/>
                <w:lang w:val="sr-Latn-RS"/>
              </w:rPr>
            </w:pPr>
            <w:r w:rsidRPr="007223BC">
              <w:rPr>
                <w:i/>
                <w:sz w:val="22"/>
                <w:szCs w:val="22"/>
                <w:lang w:val="sr-Latn-RS"/>
              </w:rPr>
              <w:t>Antidijabetici</w:t>
            </w:r>
          </w:p>
        </w:tc>
      </w:tr>
      <w:tr w:rsidR="00DE74DF" w:rsidRPr="00413968" w14:paraId="639E4ACC" w14:textId="77777777" w:rsidTr="00104F5D">
        <w:tc>
          <w:tcPr>
            <w:tcW w:w="2972" w:type="dxa"/>
          </w:tcPr>
          <w:p w14:paraId="74E09B9C" w14:textId="77777777" w:rsidR="00DE74DF" w:rsidRPr="007223BC" w:rsidRDefault="00DE74DF" w:rsidP="00413968">
            <w:pPr>
              <w:pStyle w:val="tabletextNS"/>
              <w:rPr>
                <w:rFonts w:ascii="Times New Roman" w:hAnsi="Times New Roman"/>
                <w:sz w:val="22"/>
                <w:szCs w:val="22"/>
                <w:lang w:val="sr-Latn-RS"/>
              </w:rPr>
            </w:pPr>
            <w:r w:rsidRPr="007223BC">
              <w:rPr>
                <w:rFonts w:ascii="Times New Roman" w:hAnsi="Times New Roman"/>
                <w:sz w:val="22"/>
                <w:szCs w:val="22"/>
                <w:lang w:val="sr-Latn-RS"/>
              </w:rPr>
              <w:t>Metformin/Dolutegravir</w:t>
            </w:r>
          </w:p>
        </w:tc>
        <w:tc>
          <w:tcPr>
            <w:tcW w:w="2553" w:type="dxa"/>
          </w:tcPr>
          <w:p w14:paraId="67BE9E57" w14:textId="77777777" w:rsidR="00DE74DF" w:rsidRPr="007223BC" w:rsidRDefault="00DE74DF" w:rsidP="00413968">
            <w:pPr>
              <w:pStyle w:val="tabletextNS"/>
              <w:tabs>
                <w:tab w:val="left" w:pos="809"/>
              </w:tabs>
              <w:rPr>
                <w:rFonts w:ascii="Times New Roman" w:hAnsi="Times New Roman"/>
                <w:sz w:val="22"/>
                <w:szCs w:val="22"/>
                <w:lang w:val="sr-Latn-RS"/>
              </w:rPr>
            </w:pPr>
            <w:r w:rsidRPr="007223BC">
              <w:rPr>
                <w:rFonts w:ascii="Times New Roman" w:hAnsi="Times New Roman"/>
                <w:sz w:val="22"/>
                <w:szCs w:val="22"/>
                <w:lang w:val="sr-Latn-RS"/>
              </w:rPr>
              <w:t xml:space="preserve">Metformin </w:t>
            </w:r>
            <w:r w:rsidRPr="007223BC">
              <w:rPr>
                <w:rFonts w:ascii="Times New Roman" w:hAnsi="Times New Roman"/>
                <w:sz w:val="22"/>
                <w:szCs w:val="22"/>
                <w:lang w:val="sr-Latn-RS"/>
              </w:rPr>
              <w:sym w:font="Symbol" w:char="F0AD"/>
            </w:r>
          </w:p>
          <w:p w14:paraId="16CD5463" w14:textId="77777777" w:rsidR="00DE74DF" w:rsidRPr="007223BC" w:rsidRDefault="00DE74DF" w:rsidP="00413968">
            <w:pPr>
              <w:pStyle w:val="tabletextNS"/>
              <w:tabs>
                <w:tab w:val="left" w:pos="809"/>
              </w:tabs>
              <w:rPr>
                <w:rFonts w:ascii="Times New Roman" w:hAnsi="Times New Roman"/>
                <w:sz w:val="22"/>
                <w:szCs w:val="22"/>
                <w:lang w:val="sr-Latn-RS"/>
              </w:rPr>
            </w:pPr>
            <w:r w:rsidRPr="007223BC">
              <w:rPr>
                <w:rFonts w:ascii="Times New Roman" w:hAnsi="Times New Roman"/>
                <w:sz w:val="22"/>
                <w:szCs w:val="22"/>
                <w:lang w:val="sr-Latn-RS"/>
              </w:rPr>
              <w:t xml:space="preserve">Dolutegravir </w:t>
            </w:r>
            <w:r w:rsidRPr="007223BC">
              <w:rPr>
                <w:rFonts w:ascii="Times New Roman" w:hAnsi="Times New Roman"/>
                <w:sz w:val="22"/>
                <w:szCs w:val="22"/>
                <w:lang w:val="sr-Latn-RS"/>
              </w:rPr>
              <w:sym w:font="Symbol" w:char="F0AB"/>
            </w:r>
          </w:p>
          <w:p w14:paraId="5E2B1934" w14:textId="77777777" w:rsidR="00DE74DF" w:rsidRPr="007223BC" w:rsidRDefault="00DE74DF" w:rsidP="00413968">
            <w:pPr>
              <w:pStyle w:val="tabletextNS"/>
              <w:tabs>
                <w:tab w:val="left" w:pos="809"/>
              </w:tabs>
              <w:rPr>
                <w:rFonts w:ascii="Times New Roman" w:hAnsi="Times New Roman"/>
                <w:sz w:val="22"/>
                <w:szCs w:val="22"/>
                <w:lang w:val="sr-Latn-RS"/>
              </w:rPr>
            </w:pPr>
            <w:r w:rsidRPr="007223BC">
              <w:rPr>
                <w:rFonts w:ascii="Times New Roman" w:hAnsi="Times New Roman"/>
                <w:sz w:val="22"/>
                <w:szCs w:val="22"/>
                <w:lang w:val="sr-Latn-RS"/>
              </w:rPr>
              <w:t xml:space="preserve">Kada se istovremeno primjenjuje sa dolutegravirom 50 mg </w:t>
            </w:r>
            <w:r w:rsidR="00DF2E63" w:rsidRPr="007223BC">
              <w:rPr>
                <w:rFonts w:ascii="Times New Roman" w:hAnsi="Times New Roman"/>
                <w:sz w:val="22"/>
                <w:szCs w:val="22"/>
                <w:lang w:val="sr-Latn-RS"/>
              </w:rPr>
              <w:t>jednom dnevno</w:t>
            </w:r>
            <w:r w:rsidRPr="007223BC">
              <w:rPr>
                <w:rFonts w:ascii="Times New Roman" w:hAnsi="Times New Roman"/>
                <w:sz w:val="22"/>
                <w:szCs w:val="22"/>
                <w:lang w:val="sr-Latn-RS"/>
              </w:rPr>
              <w:t>:</w:t>
            </w:r>
          </w:p>
          <w:p w14:paraId="3672C56B" w14:textId="77777777" w:rsidR="00DE74DF" w:rsidRPr="007223BC" w:rsidRDefault="00DE74DF" w:rsidP="00413968">
            <w:pPr>
              <w:pStyle w:val="tabletextNS"/>
              <w:tabs>
                <w:tab w:val="left" w:pos="809"/>
              </w:tabs>
              <w:rPr>
                <w:rFonts w:ascii="Times New Roman" w:hAnsi="Times New Roman"/>
                <w:sz w:val="22"/>
                <w:szCs w:val="22"/>
                <w:lang w:val="sr-Latn-RS"/>
              </w:rPr>
            </w:pPr>
            <w:r w:rsidRPr="007223BC">
              <w:rPr>
                <w:rFonts w:ascii="Times New Roman" w:hAnsi="Times New Roman"/>
                <w:sz w:val="22"/>
                <w:szCs w:val="22"/>
                <w:lang w:val="sr-Latn-RS"/>
              </w:rPr>
              <w:t>Metformin</w:t>
            </w:r>
            <w:r w:rsidRPr="007223BC">
              <w:rPr>
                <w:rFonts w:ascii="Times New Roman" w:hAnsi="Times New Roman"/>
                <w:sz w:val="22"/>
                <w:szCs w:val="22"/>
                <w:lang w:val="sr-Latn-RS"/>
              </w:rPr>
              <w:br/>
              <w:t xml:space="preserve">   PIK </w:t>
            </w:r>
            <w:r w:rsidRPr="007223BC">
              <w:rPr>
                <w:rFonts w:ascii="Times New Roman" w:hAnsi="Times New Roman"/>
                <w:sz w:val="22"/>
                <w:szCs w:val="22"/>
                <w:lang w:val="sr-Latn-RS"/>
              </w:rPr>
              <w:sym w:font="Symbol" w:char="F0AD"/>
            </w:r>
            <w:r w:rsidRPr="007223BC">
              <w:rPr>
                <w:rFonts w:ascii="Times New Roman" w:hAnsi="Times New Roman"/>
                <w:sz w:val="22"/>
                <w:szCs w:val="22"/>
                <w:lang w:val="sr-Latn-RS"/>
              </w:rPr>
              <w:t xml:space="preserve"> 79% </w:t>
            </w:r>
            <w:r w:rsidRPr="007223BC">
              <w:rPr>
                <w:rFonts w:ascii="Times New Roman" w:hAnsi="Times New Roman"/>
                <w:sz w:val="22"/>
                <w:szCs w:val="22"/>
                <w:lang w:val="sr-Latn-RS"/>
              </w:rPr>
              <w:br/>
              <w:t xml:space="preserve">   C</w:t>
            </w:r>
            <w:r w:rsidRPr="007223BC">
              <w:rPr>
                <w:rFonts w:ascii="Times New Roman" w:hAnsi="Times New Roman"/>
                <w:sz w:val="22"/>
                <w:szCs w:val="22"/>
                <w:vertAlign w:val="subscript"/>
                <w:lang w:val="sr-Latn-RS"/>
              </w:rPr>
              <w:t>max</w:t>
            </w:r>
            <w:r w:rsidRPr="007223BC">
              <w:rPr>
                <w:rFonts w:ascii="Times New Roman" w:hAnsi="Times New Roman"/>
                <w:sz w:val="22"/>
                <w:szCs w:val="22"/>
                <w:lang w:val="sr-Latn-RS"/>
              </w:rPr>
              <w:t xml:space="preserve"> </w:t>
            </w:r>
            <w:r w:rsidRPr="007223BC">
              <w:rPr>
                <w:rFonts w:ascii="Times New Roman" w:hAnsi="Times New Roman"/>
                <w:sz w:val="22"/>
                <w:szCs w:val="22"/>
                <w:lang w:val="sr-Latn-RS"/>
              </w:rPr>
              <w:sym w:font="Symbol" w:char="F0AD"/>
            </w:r>
            <w:r w:rsidRPr="007223BC">
              <w:rPr>
                <w:rFonts w:ascii="Times New Roman" w:hAnsi="Times New Roman"/>
                <w:sz w:val="22"/>
                <w:szCs w:val="22"/>
                <w:lang w:val="sr-Latn-RS"/>
              </w:rPr>
              <w:t xml:space="preserve"> 66%</w:t>
            </w:r>
          </w:p>
          <w:p w14:paraId="6C0C786E" w14:textId="3541C2AD" w:rsidR="00DE74DF" w:rsidRPr="007223BC" w:rsidRDefault="00DE74DF" w:rsidP="00413968">
            <w:pPr>
              <w:pStyle w:val="tabletextNS"/>
              <w:tabs>
                <w:tab w:val="left" w:pos="809"/>
              </w:tabs>
              <w:rPr>
                <w:rFonts w:ascii="Times New Roman" w:hAnsi="Times New Roman"/>
                <w:sz w:val="22"/>
                <w:szCs w:val="22"/>
                <w:lang w:val="sr-Latn-RS"/>
              </w:rPr>
            </w:pPr>
            <w:r w:rsidRPr="007223BC">
              <w:rPr>
                <w:rFonts w:ascii="Times New Roman" w:hAnsi="Times New Roman"/>
                <w:sz w:val="22"/>
                <w:szCs w:val="22"/>
                <w:lang w:val="sr-Latn-RS"/>
              </w:rPr>
              <w:t xml:space="preserve">Kada se istovremeno primjenjuje sa </w:t>
            </w:r>
            <w:r w:rsidRPr="007223BC">
              <w:rPr>
                <w:rFonts w:ascii="Times New Roman" w:hAnsi="Times New Roman"/>
                <w:sz w:val="22"/>
                <w:szCs w:val="22"/>
                <w:lang w:val="sr-Latn-RS"/>
              </w:rPr>
              <w:lastRenderedPageBreak/>
              <w:t xml:space="preserve">dolutegravirom 50 mg </w:t>
            </w:r>
            <w:r w:rsidR="00DF2E63" w:rsidRPr="007223BC">
              <w:rPr>
                <w:rFonts w:ascii="Times New Roman" w:hAnsi="Times New Roman"/>
                <w:sz w:val="22"/>
                <w:szCs w:val="22"/>
                <w:lang w:val="sr-Latn-RS"/>
              </w:rPr>
              <w:t>dva</w:t>
            </w:r>
            <w:r w:rsidR="005257A2">
              <w:rPr>
                <w:rFonts w:ascii="Times New Roman" w:hAnsi="Times New Roman"/>
                <w:sz w:val="22"/>
                <w:szCs w:val="22"/>
                <w:lang w:val="sr-Latn-RS"/>
              </w:rPr>
              <w:t xml:space="preserve"> </w:t>
            </w:r>
            <w:r w:rsidR="00DF2E63" w:rsidRPr="007223BC">
              <w:rPr>
                <w:rFonts w:ascii="Times New Roman" w:hAnsi="Times New Roman"/>
                <w:sz w:val="22"/>
                <w:szCs w:val="22"/>
                <w:lang w:val="sr-Latn-RS"/>
              </w:rPr>
              <w:t>put</w:t>
            </w:r>
            <w:r w:rsidR="005257A2">
              <w:rPr>
                <w:rFonts w:ascii="Times New Roman" w:hAnsi="Times New Roman"/>
                <w:sz w:val="22"/>
                <w:szCs w:val="22"/>
                <w:lang w:val="sr-Latn-RS"/>
              </w:rPr>
              <w:t>a</w:t>
            </w:r>
            <w:r w:rsidR="00DF2E63" w:rsidRPr="007223BC">
              <w:rPr>
                <w:rFonts w:ascii="Times New Roman" w:hAnsi="Times New Roman"/>
                <w:sz w:val="22"/>
                <w:szCs w:val="22"/>
                <w:lang w:val="sr-Latn-RS"/>
              </w:rPr>
              <w:t xml:space="preserve"> dnevno</w:t>
            </w:r>
            <w:r w:rsidRPr="007223BC">
              <w:rPr>
                <w:rFonts w:ascii="Times New Roman" w:hAnsi="Times New Roman"/>
                <w:sz w:val="22"/>
                <w:szCs w:val="22"/>
                <w:lang w:val="sr-Latn-RS"/>
              </w:rPr>
              <w:t xml:space="preserve">: </w:t>
            </w:r>
          </w:p>
          <w:p w14:paraId="3574F6A4" w14:textId="77777777" w:rsidR="00DE74DF" w:rsidRPr="007223BC" w:rsidRDefault="00DE74DF" w:rsidP="00413968">
            <w:pPr>
              <w:pStyle w:val="tabletextNS"/>
              <w:tabs>
                <w:tab w:val="left" w:pos="809"/>
              </w:tabs>
              <w:rPr>
                <w:rFonts w:ascii="Times New Roman" w:hAnsi="Times New Roman"/>
                <w:sz w:val="22"/>
                <w:szCs w:val="22"/>
                <w:lang w:val="sr-Latn-RS"/>
              </w:rPr>
            </w:pPr>
            <w:r w:rsidRPr="007223BC">
              <w:rPr>
                <w:rFonts w:ascii="Times New Roman" w:hAnsi="Times New Roman"/>
                <w:sz w:val="22"/>
                <w:szCs w:val="22"/>
                <w:lang w:val="sr-Latn-RS"/>
              </w:rPr>
              <w:t xml:space="preserve">   Metformin</w:t>
            </w:r>
            <w:r w:rsidRPr="007223BC">
              <w:rPr>
                <w:rFonts w:ascii="Times New Roman" w:hAnsi="Times New Roman"/>
                <w:sz w:val="22"/>
                <w:szCs w:val="22"/>
                <w:lang w:val="sr-Latn-RS"/>
              </w:rPr>
              <w:br/>
              <w:t xml:space="preserve">   PIK </w:t>
            </w:r>
            <w:r w:rsidRPr="007223BC">
              <w:rPr>
                <w:rFonts w:ascii="Times New Roman" w:hAnsi="Times New Roman"/>
                <w:sz w:val="22"/>
                <w:szCs w:val="22"/>
                <w:lang w:val="sr-Latn-RS"/>
              </w:rPr>
              <w:sym w:font="Symbol" w:char="F0AD"/>
            </w:r>
            <w:r w:rsidRPr="007223BC">
              <w:rPr>
                <w:rFonts w:ascii="Times New Roman" w:hAnsi="Times New Roman"/>
                <w:sz w:val="22"/>
                <w:szCs w:val="22"/>
                <w:lang w:val="sr-Latn-RS"/>
              </w:rPr>
              <w:t xml:space="preserve"> 145 % </w:t>
            </w:r>
            <w:r w:rsidRPr="007223BC">
              <w:rPr>
                <w:rFonts w:ascii="Times New Roman" w:hAnsi="Times New Roman"/>
                <w:sz w:val="22"/>
                <w:szCs w:val="22"/>
                <w:lang w:val="sr-Latn-RS"/>
              </w:rPr>
              <w:br/>
              <w:t xml:space="preserve">   C</w:t>
            </w:r>
            <w:r w:rsidRPr="007223BC">
              <w:rPr>
                <w:rFonts w:ascii="Times New Roman" w:hAnsi="Times New Roman"/>
                <w:sz w:val="22"/>
                <w:szCs w:val="22"/>
                <w:vertAlign w:val="subscript"/>
                <w:lang w:val="sr-Latn-RS"/>
              </w:rPr>
              <w:t>max</w:t>
            </w:r>
            <w:r w:rsidRPr="007223BC">
              <w:rPr>
                <w:rFonts w:ascii="Times New Roman" w:hAnsi="Times New Roman"/>
                <w:sz w:val="22"/>
                <w:szCs w:val="22"/>
                <w:lang w:val="sr-Latn-RS"/>
              </w:rPr>
              <w:t xml:space="preserve"> </w:t>
            </w:r>
            <w:r w:rsidRPr="007223BC">
              <w:rPr>
                <w:rFonts w:ascii="Times New Roman" w:hAnsi="Times New Roman"/>
                <w:sz w:val="22"/>
                <w:szCs w:val="22"/>
                <w:lang w:val="sr-Latn-RS"/>
              </w:rPr>
              <w:sym w:font="Symbol" w:char="F0AD"/>
            </w:r>
            <w:r w:rsidRPr="007223BC">
              <w:rPr>
                <w:rFonts w:ascii="Times New Roman" w:hAnsi="Times New Roman"/>
                <w:sz w:val="22"/>
                <w:szCs w:val="22"/>
                <w:lang w:val="sr-Latn-RS"/>
              </w:rPr>
              <w:t xml:space="preserve"> 111% </w:t>
            </w:r>
          </w:p>
        </w:tc>
        <w:tc>
          <w:tcPr>
            <w:tcW w:w="3955" w:type="dxa"/>
          </w:tcPr>
          <w:p w14:paraId="6326D3F5" w14:textId="77777777" w:rsidR="00DE74DF" w:rsidRPr="007223BC" w:rsidRDefault="00DE74DF" w:rsidP="00413968">
            <w:pPr>
              <w:rPr>
                <w:sz w:val="22"/>
                <w:szCs w:val="22"/>
                <w:lang w:val="sr-Latn-RS"/>
              </w:rPr>
            </w:pPr>
            <w:r w:rsidRPr="007223BC">
              <w:rPr>
                <w:sz w:val="22"/>
                <w:szCs w:val="22"/>
                <w:lang w:val="sr-Latn-RS" w:eastAsia="sr-Latn-RS"/>
              </w:rPr>
              <w:lastRenderedPageBreak/>
              <w:t xml:space="preserve">Potrebno je razmotriti prilagođavanje doze metformina kod započinjanja i prekidanja istovremene primjene lijeka DOVATO i metformina, kako bi se održala kontrola glikemije. Kod pacijenata sa umjerenim oštećenjem bubrežne funkcije treba razmotriti prilagođavanje doze metformina kad se primjenjuje istovremeno sa dolutegravirom, zbog povećanog rizika od laktatne acidoze kojoj su navedeni </w:t>
            </w:r>
            <w:r w:rsidRPr="007223BC">
              <w:rPr>
                <w:sz w:val="22"/>
                <w:szCs w:val="22"/>
                <w:lang w:val="sr-Latn-RS" w:eastAsia="sr-Latn-RS"/>
              </w:rPr>
              <w:lastRenderedPageBreak/>
              <w:t>pacijenti izloženi usljed povećane koncentracije metformina (vidjeti dio 4.4).</w:t>
            </w:r>
          </w:p>
        </w:tc>
      </w:tr>
      <w:tr w:rsidR="00DE74DF" w:rsidRPr="007223BC" w14:paraId="50ECA666" w14:textId="77777777" w:rsidTr="00104F5D">
        <w:tc>
          <w:tcPr>
            <w:tcW w:w="2972" w:type="dxa"/>
          </w:tcPr>
          <w:p w14:paraId="4AA86A6C" w14:textId="77777777" w:rsidR="00DE74DF" w:rsidRPr="007223BC" w:rsidRDefault="00DE74DF" w:rsidP="00413968">
            <w:pPr>
              <w:pStyle w:val="tabletextNS"/>
              <w:rPr>
                <w:rFonts w:ascii="Times New Roman" w:hAnsi="Times New Roman"/>
                <w:i/>
                <w:sz w:val="22"/>
                <w:szCs w:val="22"/>
                <w:lang w:val="sr-Latn-RS"/>
              </w:rPr>
            </w:pPr>
            <w:r w:rsidRPr="007223BC">
              <w:rPr>
                <w:rFonts w:ascii="Times New Roman" w:hAnsi="Times New Roman"/>
                <w:i/>
                <w:sz w:val="22"/>
                <w:szCs w:val="22"/>
                <w:lang w:val="sr-Latn-RS"/>
              </w:rPr>
              <w:lastRenderedPageBreak/>
              <w:t>Biljni ljekovi</w:t>
            </w:r>
          </w:p>
        </w:tc>
        <w:tc>
          <w:tcPr>
            <w:tcW w:w="2553" w:type="dxa"/>
          </w:tcPr>
          <w:p w14:paraId="3A0783CE" w14:textId="77777777" w:rsidR="00DE74DF" w:rsidRPr="007223BC" w:rsidRDefault="00DE74DF" w:rsidP="00413968">
            <w:pPr>
              <w:pStyle w:val="tabletextNS"/>
              <w:tabs>
                <w:tab w:val="left" w:pos="809"/>
              </w:tabs>
              <w:rPr>
                <w:rFonts w:ascii="Times New Roman" w:hAnsi="Times New Roman"/>
                <w:sz w:val="22"/>
                <w:szCs w:val="22"/>
                <w:lang w:val="sr-Latn-RS"/>
              </w:rPr>
            </w:pPr>
          </w:p>
        </w:tc>
        <w:tc>
          <w:tcPr>
            <w:tcW w:w="3955" w:type="dxa"/>
          </w:tcPr>
          <w:p w14:paraId="4D58561E" w14:textId="77777777" w:rsidR="00DE74DF" w:rsidRPr="007223BC" w:rsidRDefault="00DE74DF" w:rsidP="00413968">
            <w:pPr>
              <w:rPr>
                <w:sz w:val="22"/>
                <w:szCs w:val="22"/>
                <w:lang w:val="sr-Latn-RS"/>
              </w:rPr>
            </w:pPr>
          </w:p>
        </w:tc>
      </w:tr>
      <w:tr w:rsidR="00DE74DF" w:rsidRPr="00413968" w14:paraId="358930FC" w14:textId="77777777" w:rsidTr="00104F5D">
        <w:tc>
          <w:tcPr>
            <w:tcW w:w="2972" w:type="dxa"/>
          </w:tcPr>
          <w:p w14:paraId="21B8674E" w14:textId="77777777" w:rsidR="00DE74DF" w:rsidRPr="007223BC" w:rsidRDefault="00DE74DF" w:rsidP="00413968">
            <w:pPr>
              <w:rPr>
                <w:sz w:val="22"/>
                <w:szCs w:val="22"/>
                <w:lang w:val="sr-Latn-RS"/>
              </w:rPr>
            </w:pPr>
            <w:r w:rsidRPr="007223BC">
              <w:rPr>
                <w:sz w:val="22"/>
                <w:szCs w:val="22"/>
                <w:lang w:val="sr-Latn-RS"/>
              </w:rPr>
              <w:t>Kantarion/Dolutegravir</w:t>
            </w:r>
          </w:p>
          <w:p w14:paraId="3A5FE36B" w14:textId="77777777" w:rsidR="00DE74DF" w:rsidRPr="007223BC" w:rsidRDefault="00DE74DF" w:rsidP="00413968">
            <w:pPr>
              <w:pStyle w:val="tabletextNS"/>
              <w:keepNext/>
              <w:rPr>
                <w:rFonts w:ascii="Times New Roman" w:hAnsi="Times New Roman"/>
                <w:sz w:val="22"/>
                <w:szCs w:val="22"/>
                <w:lang w:val="sr-Latn-RS"/>
              </w:rPr>
            </w:pPr>
          </w:p>
        </w:tc>
        <w:tc>
          <w:tcPr>
            <w:tcW w:w="2553" w:type="dxa"/>
          </w:tcPr>
          <w:p w14:paraId="0BA44FAC" w14:textId="77777777" w:rsidR="00DE74DF" w:rsidRPr="007223BC" w:rsidRDefault="00DE74DF" w:rsidP="00413968">
            <w:pPr>
              <w:pStyle w:val="tabletextNS"/>
              <w:keepNext/>
              <w:tabs>
                <w:tab w:val="left" w:pos="809"/>
              </w:tabs>
              <w:rPr>
                <w:rFonts w:ascii="Times New Roman" w:hAnsi="Times New Roman"/>
                <w:sz w:val="22"/>
                <w:szCs w:val="22"/>
                <w:lang w:val="sr-Latn-RS"/>
              </w:rPr>
            </w:pPr>
            <w:r w:rsidRPr="007223BC">
              <w:rPr>
                <w:rFonts w:ascii="Times New Roman" w:hAnsi="Times New Roman"/>
                <w:sz w:val="22"/>
                <w:szCs w:val="22"/>
                <w:lang w:val="sr-Latn-RS"/>
              </w:rPr>
              <w:t xml:space="preserve">Dolutegravir </w:t>
            </w:r>
            <w:r w:rsidRPr="007223BC">
              <w:rPr>
                <w:rFonts w:ascii="Times New Roman" w:hAnsi="Times New Roman"/>
                <w:sz w:val="22"/>
                <w:szCs w:val="22"/>
                <w:lang w:val="sr-Latn-RS"/>
              </w:rPr>
              <w:sym w:font="Symbol" w:char="F0AF"/>
            </w:r>
          </w:p>
          <w:p w14:paraId="39913E1F" w14:textId="77777777" w:rsidR="00DE74DF" w:rsidRPr="007223BC" w:rsidRDefault="00DE74DF" w:rsidP="00413968">
            <w:pPr>
              <w:pStyle w:val="tabletextNS"/>
              <w:keepNext/>
              <w:tabs>
                <w:tab w:val="left" w:pos="809"/>
              </w:tabs>
              <w:rPr>
                <w:rFonts w:ascii="Times New Roman" w:hAnsi="Times New Roman"/>
                <w:sz w:val="22"/>
                <w:szCs w:val="22"/>
                <w:lang w:val="sr-Latn-RS"/>
              </w:rPr>
            </w:pPr>
            <w:r w:rsidRPr="007223BC">
              <w:rPr>
                <w:rFonts w:ascii="Times New Roman" w:hAnsi="Times New Roman"/>
                <w:sz w:val="22"/>
                <w:szCs w:val="22"/>
                <w:lang w:val="sr-Latn-RS"/>
              </w:rPr>
              <w:t xml:space="preserve">(Interakcija se nije ispitivala, </w:t>
            </w:r>
            <w:r w:rsidRPr="007223BC">
              <w:rPr>
                <w:rFonts w:ascii="Times New Roman" w:hAnsi="Times New Roman"/>
                <w:sz w:val="22"/>
                <w:szCs w:val="22"/>
                <w:lang w:val="sr-Latn-RS" w:eastAsia="sr-Latn-RS"/>
              </w:rPr>
              <w:t>očekuje se smanjenje koncentracija zbog indukcije enzima UGT1A1 i CYP3A i time smanjenje izloženosti slično uočenom kod primjene karbamazepina).</w:t>
            </w:r>
          </w:p>
        </w:tc>
        <w:tc>
          <w:tcPr>
            <w:tcW w:w="3955" w:type="dxa"/>
          </w:tcPr>
          <w:p w14:paraId="1408ED6D" w14:textId="77777777" w:rsidR="00DE74DF" w:rsidRPr="007223BC" w:rsidRDefault="00DE74DF" w:rsidP="00413968">
            <w:pPr>
              <w:rPr>
                <w:sz w:val="22"/>
                <w:szCs w:val="22"/>
                <w:lang w:val="sr-Latn-RS"/>
              </w:rPr>
            </w:pPr>
            <w:r w:rsidRPr="007223BC">
              <w:rPr>
                <w:sz w:val="22"/>
                <w:szCs w:val="22"/>
                <w:lang w:val="sr-Latn-RS" w:eastAsia="sr-Latn-RS"/>
              </w:rPr>
              <w:t>Kod istovremene primjene sa kantarionom</w:t>
            </w:r>
            <w:r w:rsidR="00DF2E63" w:rsidRPr="007223BC">
              <w:rPr>
                <w:sz w:val="22"/>
                <w:szCs w:val="22"/>
                <w:lang w:val="sr-Latn-RS" w:eastAsia="sr-Latn-RS"/>
              </w:rPr>
              <w:t>,</w:t>
            </w:r>
            <w:r w:rsidRPr="007223BC">
              <w:rPr>
                <w:sz w:val="22"/>
                <w:szCs w:val="22"/>
                <w:lang w:val="sr-Latn-RS" w:eastAsia="sr-Latn-RS"/>
              </w:rPr>
              <w:t xml:space="preserve"> preporučena doza dolutegravira iznosi 50 mg dva puta na dan. Budući da je lijek DOVATO tableta sa fiksnom kombinacijom doza, tokom čitavog perioda istovremenog liječenja kantarionom treba uzimati dodatnu tabletu dolutegravira od 50 mg, približno 12 sati nakon lijeka DOVATO (za tu prilagođenu dozu dostupna je zasebna formulacija dolutegravira, vidjeti </w:t>
            </w:r>
            <w:r w:rsidR="00340E08" w:rsidRPr="007223BC">
              <w:rPr>
                <w:sz w:val="22"/>
                <w:szCs w:val="22"/>
                <w:lang w:val="sr-Latn-RS" w:eastAsia="sr-Latn-RS"/>
              </w:rPr>
              <w:t>dio</w:t>
            </w:r>
            <w:r w:rsidRPr="007223BC">
              <w:rPr>
                <w:sz w:val="22"/>
                <w:szCs w:val="22"/>
                <w:lang w:val="sr-Latn-RS" w:eastAsia="sr-Latn-RS"/>
              </w:rPr>
              <w:t xml:space="preserve"> 4.2).</w:t>
            </w:r>
          </w:p>
        </w:tc>
      </w:tr>
      <w:tr w:rsidR="00DE74DF" w:rsidRPr="007223BC" w14:paraId="2091A509" w14:textId="77777777" w:rsidTr="00104F5D">
        <w:tc>
          <w:tcPr>
            <w:tcW w:w="9480" w:type="dxa"/>
            <w:gridSpan w:val="3"/>
          </w:tcPr>
          <w:p w14:paraId="6B290AD6" w14:textId="77777777" w:rsidR="00DE74DF" w:rsidRPr="007223BC" w:rsidRDefault="00DE74DF" w:rsidP="00413968">
            <w:pPr>
              <w:rPr>
                <w:i/>
                <w:sz w:val="22"/>
                <w:szCs w:val="22"/>
                <w:lang w:val="sr-Latn-RS"/>
              </w:rPr>
            </w:pPr>
            <w:r w:rsidRPr="007223BC">
              <w:rPr>
                <w:i/>
                <w:sz w:val="22"/>
                <w:szCs w:val="22"/>
                <w:lang w:val="sr-Latn-RS"/>
              </w:rPr>
              <w:t>Oralni kontraceptivi</w:t>
            </w:r>
          </w:p>
        </w:tc>
      </w:tr>
      <w:tr w:rsidR="00DE74DF" w:rsidRPr="00413968" w14:paraId="46723D98" w14:textId="77777777" w:rsidTr="00104F5D">
        <w:tc>
          <w:tcPr>
            <w:tcW w:w="2972" w:type="dxa"/>
          </w:tcPr>
          <w:p w14:paraId="0E751653" w14:textId="77777777" w:rsidR="00DE74DF" w:rsidRPr="007223BC" w:rsidRDefault="00DE74DF" w:rsidP="00413968">
            <w:pPr>
              <w:rPr>
                <w:sz w:val="22"/>
                <w:szCs w:val="22"/>
                <w:lang w:val="sr-Latn-RS"/>
              </w:rPr>
            </w:pPr>
            <w:r w:rsidRPr="007223BC">
              <w:rPr>
                <w:sz w:val="22"/>
                <w:szCs w:val="22"/>
                <w:lang w:val="sr-Latn-RS"/>
              </w:rPr>
              <w:t>Etinil</w:t>
            </w:r>
            <w:r w:rsidR="00DF2E63" w:rsidRPr="007223BC">
              <w:rPr>
                <w:sz w:val="22"/>
                <w:szCs w:val="22"/>
                <w:lang w:val="sr-Latn-RS"/>
              </w:rPr>
              <w:t xml:space="preserve"> </w:t>
            </w:r>
            <w:r w:rsidRPr="007223BC">
              <w:rPr>
                <w:sz w:val="22"/>
                <w:szCs w:val="22"/>
                <w:lang w:val="sr-Latn-RS"/>
              </w:rPr>
              <w:t>estradiol (EE) i Norelgestromin (NGMN)/Dolutegravir</w:t>
            </w:r>
          </w:p>
        </w:tc>
        <w:tc>
          <w:tcPr>
            <w:tcW w:w="2553" w:type="dxa"/>
          </w:tcPr>
          <w:p w14:paraId="3CE62FA4" w14:textId="7F6F45A3" w:rsidR="00E14EE3" w:rsidRPr="007223BC" w:rsidRDefault="00306B8F" w:rsidP="00413968">
            <w:pPr>
              <w:pStyle w:val="Action"/>
              <w:numPr>
                <w:ilvl w:val="0"/>
                <w:numId w:val="0"/>
              </w:numPr>
              <w:rPr>
                <w:szCs w:val="22"/>
                <w:lang w:val="sr-Latn-RS"/>
              </w:rPr>
            </w:pPr>
            <w:r>
              <w:rPr>
                <w:szCs w:val="22"/>
                <w:lang w:val="sr-Latn-RS"/>
              </w:rPr>
              <w:t>Efekat</w:t>
            </w:r>
          </w:p>
          <w:p w14:paraId="65BE76F9" w14:textId="77777777" w:rsidR="00DE74DF" w:rsidRPr="007223BC" w:rsidRDefault="00DE74DF" w:rsidP="00413968">
            <w:pPr>
              <w:pStyle w:val="Action"/>
              <w:numPr>
                <w:ilvl w:val="0"/>
                <w:numId w:val="0"/>
              </w:numPr>
              <w:rPr>
                <w:szCs w:val="22"/>
                <w:lang w:val="sr-Latn-RS"/>
              </w:rPr>
            </w:pPr>
            <w:r w:rsidRPr="007223BC">
              <w:rPr>
                <w:szCs w:val="22"/>
                <w:lang w:val="sr-Latn-RS"/>
              </w:rPr>
              <w:t>dolutegravira:</w:t>
            </w:r>
          </w:p>
          <w:p w14:paraId="56E72AD6" w14:textId="77777777" w:rsidR="00DE74DF" w:rsidRPr="007223BC" w:rsidRDefault="00DE74DF" w:rsidP="00413968">
            <w:pPr>
              <w:rPr>
                <w:sz w:val="22"/>
                <w:szCs w:val="22"/>
                <w:lang w:val="sr-Latn-RS"/>
              </w:rPr>
            </w:pPr>
            <w:r w:rsidRPr="007223BC">
              <w:rPr>
                <w:sz w:val="22"/>
                <w:szCs w:val="22"/>
                <w:lang w:val="sr-Latn-RS"/>
              </w:rPr>
              <w:t xml:space="preserve">   EE </w:t>
            </w:r>
            <w:r w:rsidRPr="007223BC">
              <w:rPr>
                <w:sz w:val="22"/>
                <w:szCs w:val="22"/>
                <w:lang w:val="sr-Latn-RS"/>
              </w:rPr>
              <w:sym w:font="Symbol" w:char="F0AB"/>
            </w:r>
            <w:r w:rsidRPr="007223BC">
              <w:rPr>
                <w:sz w:val="22"/>
                <w:szCs w:val="22"/>
                <w:lang w:val="sr-Latn-RS"/>
              </w:rPr>
              <w:br/>
              <w:t xml:space="preserve">   PIK </w:t>
            </w:r>
            <w:r w:rsidRPr="007223BC">
              <w:rPr>
                <w:sz w:val="22"/>
                <w:szCs w:val="22"/>
                <w:lang w:val="sr-Latn-RS"/>
              </w:rPr>
              <w:sym w:font="Symbol" w:char="F0AD"/>
            </w:r>
            <w:r w:rsidRPr="007223BC">
              <w:rPr>
                <w:sz w:val="22"/>
                <w:szCs w:val="22"/>
                <w:lang w:val="sr-Latn-RS"/>
              </w:rPr>
              <w:t xml:space="preserve"> 3% </w:t>
            </w:r>
            <w:r w:rsidRPr="007223BC">
              <w:rPr>
                <w:sz w:val="22"/>
                <w:szCs w:val="22"/>
                <w:lang w:val="sr-Latn-RS"/>
              </w:rPr>
              <w:br/>
              <w:t xml:space="preserve">   C</w:t>
            </w:r>
            <w:r w:rsidRPr="007223BC">
              <w:rPr>
                <w:sz w:val="22"/>
                <w:szCs w:val="22"/>
                <w:vertAlign w:val="subscript"/>
                <w:lang w:val="sr-Latn-RS"/>
              </w:rPr>
              <w:t>max</w:t>
            </w:r>
            <w:r w:rsidRPr="007223BC">
              <w:rPr>
                <w:sz w:val="22"/>
                <w:szCs w:val="22"/>
                <w:lang w:val="sr-Latn-RS"/>
              </w:rPr>
              <w:t xml:space="preserve"> </w:t>
            </w:r>
            <w:r w:rsidRPr="007223BC">
              <w:rPr>
                <w:sz w:val="22"/>
                <w:szCs w:val="22"/>
                <w:lang w:val="sr-Latn-RS"/>
              </w:rPr>
              <w:sym w:font="Symbol" w:char="F0AF"/>
            </w:r>
            <w:r w:rsidRPr="007223BC">
              <w:rPr>
                <w:sz w:val="22"/>
                <w:szCs w:val="22"/>
                <w:lang w:val="sr-Latn-RS"/>
              </w:rPr>
              <w:t xml:space="preserve"> 1%</w:t>
            </w:r>
            <w:r w:rsidRPr="007223BC">
              <w:rPr>
                <w:sz w:val="22"/>
                <w:szCs w:val="22"/>
                <w:lang w:val="sr-Latn-RS"/>
              </w:rPr>
              <w:br/>
            </w:r>
          </w:p>
          <w:p w14:paraId="7D6341A9" w14:textId="6ACF7187" w:rsidR="00DE74DF" w:rsidRPr="007223BC" w:rsidRDefault="00306B8F" w:rsidP="00413968">
            <w:pPr>
              <w:rPr>
                <w:sz w:val="22"/>
                <w:szCs w:val="22"/>
                <w:lang w:val="sr-Latn-RS"/>
              </w:rPr>
            </w:pPr>
            <w:r>
              <w:rPr>
                <w:sz w:val="22"/>
                <w:szCs w:val="22"/>
                <w:lang w:val="sr-Latn-RS"/>
              </w:rPr>
              <w:t>Efekat</w:t>
            </w:r>
            <w:r w:rsidRPr="007223BC">
              <w:rPr>
                <w:sz w:val="22"/>
                <w:szCs w:val="22"/>
                <w:lang w:val="sr-Latn-RS"/>
              </w:rPr>
              <w:t xml:space="preserve"> </w:t>
            </w:r>
            <w:r w:rsidR="00DE74DF" w:rsidRPr="007223BC">
              <w:rPr>
                <w:sz w:val="22"/>
                <w:szCs w:val="22"/>
                <w:lang w:val="sr-Latn-RS"/>
              </w:rPr>
              <w:t>dolutegravira:</w:t>
            </w:r>
          </w:p>
          <w:p w14:paraId="63DADC24" w14:textId="77777777" w:rsidR="00DE74DF" w:rsidRPr="007223BC" w:rsidRDefault="00DE74DF" w:rsidP="00413968">
            <w:pPr>
              <w:pStyle w:val="tabletextNS"/>
              <w:keepNext/>
              <w:tabs>
                <w:tab w:val="left" w:pos="809"/>
              </w:tabs>
              <w:rPr>
                <w:rFonts w:ascii="Times New Roman" w:hAnsi="Times New Roman"/>
                <w:sz w:val="22"/>
                <w:szCs w:val="22"/>
                <w:lang w:val="sr-Latn-RS"/>
              </w:rPr>
            </w:pPr>
            <w:r w:rsidRPr="007223BC">
              <w:rPr>
                <w:rFonts w:ascii="Times New Roman" w:hAnsi="Times New Roman"/>
                <w:sz w:val="22"/>
                <w:szCs w:val="22"/>
                <w:lang w:val="sr-Latn-RS"/>
              </w:rPr>
              <w:t xml:space="preserve">NGMN </w:t>
            </w:r>
            <w:r w:rsidRPr="007223BC">
              <w:rPr>
                <w:rFonts w:ascii="Times New Roman" w:hAnsi="Times New Roman"/>
                <w:sz w:val="22"/>
                <w:szCs w:val="22"/>
                <w:lang w:val="sr-Latn-RS"/>
              </w:rPr>
              <w:sym w:font="Symbol" w:char="F0AB"/>
            </w:r>
            <w:r w:rsidRPr="007223BC">
              <w:rPr>
                <w:rFonts w:ascii="Times New Roman" w:hAnsi="Times New Roman"/>
                <w:sz w:val="22"/>
                <w:szCs w:val="22"/>
                <w:lang w:val="sr-Latn-RS"/>
              </w:rPr>
              <w:br/>
              <w:t xml:space="preserve">   PIK </w:t>
            </w:r>
            <w:r w:rsidRPr="007223BC">
              <w:rPr>
                <w:rFonts w:ascii="Times New Roman" w:hAnsi="Times New Roman"/>
                <w:sz w:val="22"/>
                <w:szCs w:val="22"/>
                <w:lang w:val="sr-Latn-RS"/>
              </w:rPr>
              <w:sym w:font="Symbol" w:char="F0AF"/>
            </w:r>
            <w:r w:rsidRPr="007223BC">
              <w:rPr>
                <w:rFonts w:ascii="Times New Roman" w:hAnsi="Times New Roman"/>
                <w:sz w:val="22"/>
                <w:szCs w:val="22"/>
                <w:lang w:val="sr-Latn-RS"/>
              </w:rPr>
              <w:t xml:space="preserve"> 2% </w:t>
            </w:r>
            <w:r w:rsidRPr="007223BC">
              <w:rPr>
                <w:rFonts w:ascii="Times New Roman" w:hAnsi="Times New Roman"/>
                <w:sz w:val="22"/>
                <w:szCs w:val="22"/>
                <w:lang w:val="sr-Latn-RS"/>
              </w:rPr>
              <w:br/>
              <w:t xml:space="preserve">   C</w:t>
            </w:r>
            <w:r w:rsidRPr="007223BC">
              <w:rPr>
                <w:rFonts w:ascii="Times New Roman" w:hAnsi="Times New Roman"/>
                <w:sz w:val="22"/>
                <w:szCs w:val="22"/>
                <w:vertAlign w:val="subscript"/>
                <w:lang w:val="sr-Latn-RS"/>
              </w:rPr>
              <w:t>max</w:t>
            </w:r>
            <w:r w:rsidRPr="007223BC">
              <w:rPr>
                <w:rFonts w:ascii="Times New Roman" w:hAnsi="Times New Roman"/>
                <w:sz w:val="22"/>
                <w:szCs w:val="22"/>
                <w:lang w:val="sr-Latn-RS"/>
              </w:rPr>
              <w:t xml:space="preserve"> </w:t>
            </w:r>
            <w:r w:rsidRPr="007223BC">
              <w:rPr>
                <w:rFonts w:ascii="Times New Roman" w:hAnsi="Times New Roman"/>
                <w:sz w:val="22"/>
                <w:szCs w:val="22"/>
                <w:lang w:val="sr-Latn-RS"/>
              </w:rPr>
              <w:sym w:font="Symbol" w:char="F0AF"/>
            </w:r>
            <w:r w:rsidRPr="007223BC">
              <w:rPr>
                <w:rFonts w:ascii="Times New Roman" w:hAnsi="Times New Roman"/>
                <w:sz w:val="22"/>
                <w:szCs w:val="22"/>
                <w:lang w:val="sr-Latn-RS"/>
              </w:rPr>
              <w:t xml:space="preserve"> 11%</w:t>
            </w:r>
          </w:p>
        </w:tc>
        <w:tc>
          <w:tcPr>
            <w:tcW w:w="3955" w:type="dxa"/>
          </w:tcPr>
          <w:p w14:paraId="5E3C32B5" w14:textId="77777777" w:rsidR="00DE74DF" w:rsidRPr="007223BC" w:rsidRDefault="00DE74DF" w:rsidP="00413968">
            <w:pPr>
              <w:rPr>
                <w:sz w:val="22"/>
                <w:szCs w:val="22"/>
                <w:lang w:val="sr-Latn-RS"/>
              </w:rPr>
            </w:pPr>
            <w:r w:rsidRPr="007223BC">
              <w:rPr>
                <w:sz w:val="22"/>
                <w:szCs w:val="22"/>
                <w:lang w:val="sr-Latn-RS" w:eastAsia="sr-Latn-RS"/>
              </w:rPr>
              <w:t>Dolutegravir nije uticao na farmakodinamiku luteinizirajućeg hormona (LH), folikulostimulirajućeg hormona (FSH), kao ni progesterona. Nije potrebno prilagođavati dozu oralnih kontraceptiva kod istovremene primjene sa lijekom DOVATO.</w:t>
            </w:r>
          </w:p>
        </w:tc>
      </w:tr>
    </w:tbl>
    <w:p w14:paraId="27B1C304" w14:textId="77777777" w:rsidR="00DE74DF" w:rsidRPr="007223BC" w:rsidRDefault="00DE74DF" w:rsidP="00413968">
      <w:pPr>
        <w:rPr>
          <w:noProof/>
          <w:sz w:val="22"/>
          <w:szCs w:val="22"/>
          <w:lang w:val="sr-Latn-RS"/>
        </w:rPr>
      </w:pPr>
    </w:p>
    <w:p w14:paraId="69933F47" w14:textId="77777777" w:rsidR="00DE74DF" w:rsidRPr="007223BC" w:rsidRDefault="00DE74DF" w:rsidP="00805A14">
      <w:pPr>
        <w:jc w:val="both"/>
        <w:rPr>
          <w:sz w:val="22"/>
          <w:szCs w:val="22"/>
          <w:u w:val="single"/>
          <w:lang w:val="sr-Latn-RS"/>
        </w:rPr>
      </w:pPr>
      <w:r w:rsidRPr="007223BC">
        <w:rPr>
          <w:sz w:val="22"/>
          <w:szCs w:val="22"/>
          <w:u w:val="single"/>
          <w:lang w:val="sr-Latn-RS"/>
        </w:rPr>
        <w:t>Pedijatrijska populacija</w:t>
      </w:r>
    </w:p>
    <w:p w14:paraId="50EF63EE" w14:textId="77777777" w:rsidR="00DE74DF" w:rsidRPr="007223BC" w:rsidRDefault="00DE74DF" w:rsidP="00805A14">
      <w:pPr>
        <w:jc w:val="both"/>
        <w:rPr>
          <w:sz w:val="22"/>
          <w:szCs w:val="22"/>
          <w:lang w:val="sr-Latn-RS"/>
        </w:rPr>
      </w:pPr>
    </w:p>
    <w:p w14:paraId="0AD972D6" w14:textId="77777777" w:rsidR="00DE74DF" w:rsidRPr="007223BC" w:rsidRDefault="00DE74DF" w:rsidP="00805A14">
      <w:pPr>
        <w:jc w:val="both"/>
        <w:rPr>
          <w:sz w:val="22"/>
          <w:szCs w:val="22"/>
          <w:lang w:val="sr-Latn-RS"/>
        </w:rPr>
      </w:pPr>
      <w:r w:rsidRPr="007223BC">
        <w:rPr>
          <w:sz w:val="22"/>
          <w:szCs w:val="22"/>
          <w:lang w:val="sr-Latn-RS"/>
        </w:rPr>
        <w:t>Ispitivanja interakcija su sprovedena samo kod odraslih osoba.</w:t>
      </w:r>
    </w:p>
    <w:p w14:paraId="53173942" w14:textId="77777777" w:rsidR="0072020E" w:rsidRPr="00287AA6" w:rsidRDefault="0072020E" w:rsidP="00805A14">
      <w:pPr>
        <w:tabs>
          <w:tab w:val="left" w:pos="540"/>
          <w:tab w:val="left" w:pos="569"/>
        </w:tabs>
        <w:jc w:val="both"/>
        <w:rPr>
          <w:bCs/>
          <w:sz w:val="22"/>
          <w:szCs w:val="22"/>
          <w:lang w:val="sr-Latn-RS"/>
        </w:rPr>
      </w:pPr>
    </w:p>
    <w:p w14:paraId="3CFC77B0" w14:textId="77777777" w:rsidR="0072020E" w:rsidRPr="007223BC" w:rsidRDefault="0072020E" w:rsidP="00805A14">
      <w:pPr>
        <w:tabs>
          <w:tab w:val="left" w:pos="540"/>
          <w:tab w:val="left" w:pos="569"/>
        </w:tabs>
        <w:jc w:val="both"/>
        <w:rPr>
          <w:b/>
          <w:sz w:val="22"/>
          <w:szCs w:val="22"/>
          <w:lang w:val="sr-Latn-CS"/>
        </w:rPr>
      </w:pPr>
      <w:r w:rsidRPr="00287AA6">
        <w:rPr>
          <w:b/>
          <w:bCs/>
          <w:sz w:val="22"/>
          <w:szCs w:val="22"/>
          <w:lang w:val="sr-Latn-RS"/>
        </w:rPr>
        <w:t xml:space="preserve">4.6. </w:t>
      </w:r>
      <w:r w:rsidR="00480FB1" w:rsidRPr="00287AA6">
        <w:rPr>
          <w:b/>
          <w:bCs/>
          <w:sz w:val="22"/>
          <w:szCs w:val="22"/>
          <w:lang w:val="sr-Latn-RS"/>
        </w:rPr>
        <w:tab/>
      </w:r>
      <w:r w:rsidR="006D20A5" w:rsidRPr="007223BC">
        <w:rPr>
          <w:b/>
          <w:sz w:val="22"/>
          <w:szCs w:val="22"/>
          <w:lang w:val="sr-Latn-CS"/>
        </w:rPr>
        <w:t>Plodnost, trudnoća i dojenje</w:t>
      </w:r>
    </w:p>
    <w:p w14:paraId="3C886531" w14:textId="77777777" w:rsidR="002031B3" w:rsidRPr="00287AA6" w:rsidRDefault="002031B3" w:rsidP="00805A14">
      <w:pPr>
        <w:tabs>
          <w:tab w:val="left" w:pos="540"/>
          <w:tab w:val="left" w:pos="569"/>
        </w:tabs>
        <w:jc w:val="both"/>
        <w:rPr>
          <w:sz w:val="22"/>
          <w:szCs w:val="22"/>
          <w:u w:val="single"/>
          <w:lang w:val="sr-Latn-RS"/>
        </w:rPr>
      </w:pPr>
    </w:p>
    <w:p w14:paraId="328EFF8E" w14:textId="5B64DDD9" w:rsidR="00082351" w:rsidRPr="007223BC" w:rsidRDefault="00082351" w:rsidP="00805A14">
      <w:pPr>
        <w:jc w:val="both"/>
        <w:rPr>
          <w:sz w:val="22"/>
          <w:szCs w:val="22"/>
          <w:u w:val="single"/>
          <w:lang w:val="sr-Latn-RS"/>
        </w:rPr>
      </w:pPr>
    </w:p>
    <w:p w14:paraId="32EEAABA" w14:textId="77777777" w:rsidR="00082351" w:rsidRPr="007223BC" w:rsidRDefault="00082351" w:rsidP="00805A14">
      <w:pPr>
        <w:suppressLineNumbers/>
        <w:jc w:val="both"/>
        <w:rPr>
          <w:sz w:val="22"/>
          <w:szCs w:val="22"/>
          <w:lang w:val="sr-Latn-RS"/>
        </w:rPr>
      </w:pPr>
      <w:r w:rsidRPr="007223BC">
        <w:rPr>
          <w:sz w:val="22"/>
          <w:szCs w:val="22"/>
          <w:u w:val="single"/>
          <w:lang w:val="sr-Latn-RS"/>
        </w:rPr>
        <w:t>Trudnoća</w:t>
      </w:r>
    </w:p>
    <w:p w14:paraId="091867A2" w14:textId="77777777" w:rsidR="00082351" w:rsidRPr="007223BC" w:rsidRDefault="00082351" w:rsidP="00805A14">
      <w:pPr>
        <w:jc w:val="both"/>
        <w:rPr>
          <w:sz w:val="22"/>
          <w:szCs w:val="22"/>
          <w:lang w:val="sr-Latn-RS"/>
        </w:rPr>
      </w:pPr>
    </w:p>
    <w:p w14:paraId="48BEFB68" w14:textId="4566490D" w:rsidR="00B37AB3" w:rsidRDefault="00B37AB3" w:rsidP="00805A14">
      <w:pPr>
        <w:jc w:val="both"/>
        <w:rPr>
          <w:sz w:val="22"/>
          <w:szCs w:val="22"/>
          <w:lang w:val="sr-Latn-RS"/>
        </w:rPr>
      </w:pPr>
      <w:r>
        <w:rPr>
          <w:sz w:val="22"/>
          <w:szCs w:val="22"/>
          <w:lang w:val="sr-Latn-RS"/>
        </w:rPr>
        <w:t>Lijek Dovato se može primjenjivati tokom trudnoće, ukoliko je to klinički potrebno.</w:t>
      </w:r>
    </w:p>
    <w:p w14:paraId="61BF9D32" w14:textId="77777777" w:rsidR="00B37AB3" w:rsidRDefault="00B37AB3" w:rsidP="00805A14">
      <w:pPr>
        <w:jc w:val="both"/>
        <w:rPr>
          <w:sz w:val="22"/>
          <w:szCs w:val="22"/>
          <w:lang w:val="sr-Latn-RS"/>
        </w:rPr>
      </w:pPr>
    </w:p>
    <w:p w14:paraId="0EFE6DE5" w14:textId="3188B429" w:rsidR="00B37AB3" w:rsidRDefault="00B37AB3" w:rsidP="00805A14">
      <w:pPr>
        <w:jc w:val="both"/>
        <w:rPr>
          <w:sz w:val="22"/>
          <w:szCs w:val="22"/>
          <w:lang w:val="sr-Latn-RS"/>
        </w:rPr>
      </w:pPr>
      <w:r>
        <w:rPr>
          <w:sz w:val="22"/>
          <w:szCs w:val="22"/>
          <w:lang w:val="sr-Latn-RS"/>
        </w:rPr>
        <w:t xml:space="preserve">Opsežni podaci kod trudnica (više od 1000 ishoda izloženih trudnoća) ukazuju da aktivna supstanca </w:t>
      </w:r>
      <w:r w:rsidR="00E50C49">
        <w:rPr>
          <w:sz w:val="22"/>
          <w:szCs w:val="22"/>
          <w:lang w:val="sr-Latn-RS"/>
        </w:rPr>
        <w:t xml:space="preserve">dolutegravir </w:t>
      </w:r>
      <w:r>
        <w:rPr>
          <w:sz w:val="22"/>
          <w:szCs w:val="22"/>
          <w:lang w:val="sr-Latn-RS"/>
        </w:rPr>
        <w:t>ne uzrokuje malformacije i da nema feto/neonatalni toksični efekat.</w:t>
      </w:r>
      <w:r w:rsidR="00E50C49">
        <w:rPr>
          <w:sz w:val="22"/>
          <w:szCs w:val="22"/>
          <w:lang w:val="sr-Latn-RS"/>
        </w:rPr>
        <w:t xml:space="preserve"> Opsežni podaci kod trudnica (više od 1000 ishoda izloženih trudnoća) ukazuju da aktivna supstanca lamivudin ne uzrokuje malformacije i da nema feto/neonatalni toksični efekat.</w:t>
      </w:r>
    </w:p>
    <w:p w14:paraId="3920954F" w14:textId="17444A90" w:rsidR="00D12AAD" w:rsidRPr="00287AA6" w:rsidRDefault="00D12AAD" w:rsidP="00805A14">
      <w:pPr>
        <w:jc w:val="both"/>
        <w:rPr>
          <w:sz w:val="22"/>
          <w:szCs w:val="22"/>
          <w:lang w:val="sr-Latn-RS"/>
        </w:rPr>
      </w:pPr>
      <w:r>
        <w:rPr>
          <w:sz w:val="22"/>
          <w:szCs w:val="22"/>
          <w:lang w:val="sr-Latn-RS"/>
        </w:rPr>
        <w:t xml:space="preserve">Podaci o primjeni </w:t>
      </w:r>
      <w:r w:rsidRPr="005521D4">
        <w:rPr>
          <w:sz w:val="22"/>
          <w:szCs w:val="22"/>
          <w:lang w:val="sr-Latn-RS"/>
        </w:rPr>
        <w:t xml:space="preserve">ove dvojne kombinacije </w:t>
      </w:r>
      <w:r w:rsidRPr="00C400FC">
        <w:rPr>
          <w:sz w:val="22"/>
          <w:szCs w:val="22"/>
          <w:lang w:val="sr-Latn-RS"/>
        </w:rPr>
        <w:t>u trudnoći</w:t>
      </w:r>
      <w:r w:rsidRPr="00D12AAD">
        <w:rPr>
          <w:sz w:val="22"/>
          <w:szCs w:val="22"/>
          <w:lang w:val="sr-Latn-RS"/>
        </w:rPr>
        <w:t xml:space="preserve"> </w:t>
      </w:r>
      <w:r>
        <w:rPr>
          <w:sz w:val="22"/>
          <w:szCs w:val="22"/>
          <w:lang w:val="sr-Latn-RS"/>
        </w:rPr>
        <w:t>n</w:t>
      </w:r>
      <w:r w:rsidRPr="00287AA6">
        <w:rPr>
          <w:sz w:val="22"/>
          <w:szCs w:val="22"/>
          <w:lang w:val="sr-Latn-RS"/>
        </w:rPr>
        <w:t>e postoj</w:t>
      </w:r>
      <w:r>
        <w:rPr>
          <w:sz w:val="22"/>
          <w:szCs w:val="22"/>
          <w:lang w:val="sr-Latn-RS"/>
        </w:rPr>
        <w:t>e ili je njihova količina</w:t>
      </w:r>
      <w:r w:rsidRPr="00287AA6">
        <w:rPr>
          <w:sz w:val="22"/>
          <w:szCs w:val="22"/>
          <w:lang w:val="sr-Latn-RS"/>
        </w:rPr>
        <w:t xml:space="preserve"> ograničen</w:t>
      </w:r>
      <w:r>
        <w:rPr>
          <w:sz w:val="22"/>
          <w:szCs w:val="22"/>
          <w:lang w:val="sr-Latn-RS"/>
        </w:rPr>
        <w:t>a</w:t>
      </w:r>
      <w:r w:rsidRPr="00287AA6">
        <w:rPr>
          <w:sz w:val="22"/>
          <w:szCs w:val="22"/>
          <w:lang w:val="sr-Latn-RS"/>
        </w:rPr>
        <w:t xml:space="preserve"> (manje od 300 </w:t>
      </w:r>
      <w:r>
        <w:rPr>
          <w:sz w:val="22"/>
          <w:szCs w:val="22"/>
          <w:lang w:val="sr-Latn-RS"/>
        </w:rPr>
        <w:t xml:space="preserve">ishoda </w:t>
      </w:r>
      <w:r w:rsidRPr="00287AA6">
        <w:rPr>
          <w:sz w:val="22"/>
          <w:szCs w:val="22"/>
          <w:lang w:val="sr-Latn-RS"/>
        </w:rPr>
        <w:t xml:space="preserve">izloženih </w:t>
      </w:r>
      <w:r>
        <w:rPr>
          <w:sz w:val="22"/>
          <w:szCs w:val="22"/>
          <w:lang w:val="sr-Latn-RS"/>
        </w:rPr>
        <w:t>trudnoć</w:t>
      </w:r>
      <w:r w:rsidRPr="00287AA6">
        <w:rPr>
          <w:sz w:val="22"/>
          <w:szCs w:val="22"/>
          <w:lang w:val="sr-Latn-RS"/>
        </w:rPr>
        <w:t>a).</w:t>
      </w:r>
    </w:p>
    <w:p w14:paraId="320CC986" w14:textId="77777777" w:rsidR="00D12AAD" w:rsidRPr="00287AA6" w:rsidRDefault="00D12AAD" w:rsidP="00805A14">
      <w:pPr>
        <w:jc w:val="both"/>
        <w:rPr>
          <w:sz w:val="22"/>
          <w:szCs w:val="22"/>
          <w:lang w:val="sr-Latn-RS"/>
        </w:rPr>
      </w:pPr>
    </w:p>
    <w:p w14:paraId="2F9BDAA5" w14:textId="18D26CAF" w:rsidR="00D12AAD" w:rsidRPr="00287AA6" w:rsidRDefault="00D12AAD" w:rsidP="00805A14">
      <w:pPr>
        <w:jc w:val="both"/>
        <w:rPr>
          <w:sz w:val="22"/>
          <w:szCs w:val="22"/>
          <w:lang w:val="sr-Latn-RS"/>
        </w:rPr>
      </w:pPr>
      <w:r w:rsidRPr="00287AA6">
        <w:rPr>
          <w:sz w:val="22"/>
          <w:szCs w:val="22"/>
          <w:lang w:val="sr-Latn-RS"/>
        </w:rPr>
        <w:t>Bezb</w:t>
      </w:r>
      <w:r>
        <w:rPr>
          <w:sz w:val="22"/>
          <w:szCs w:val="22"/>
          <w:lang w:val="sr-Latn-RS"/>
        </w:rPr>
        <w:t>j</w:t>
      </w:r>
      <w:r w:rsidRPr="00287AA6">
        <w:rPr>
          <w:sz w:val="22"/>
          <w:szCs w:val="22"/>
          <w:lang w:val="sr-Latn-RS"/>
        </w:rPr>
        <w:t>ednost i efikasnost ove dvojne terapije dolutegravirom + lamivudinom ni</w:t>
      </w:r>
      <w:r>
        <w:rPr>
          <w:sz w:val="22"/>
          <w:szCs w:val="22"/>
          <w:lang w:val="sr-Latn-RS"/>
        </w:rPr>
        <w:t>su se</w:t>
      </w:r>
      <w:r w:rsidRPr="00287AA6">
        <w:rPr>
          <w:sz w:val="22"/>
          <w:szCs w:val="22"/>
          <w:lang w:val="sr-Latn-RS"/>
        </w:rPr>
        <w:t xml:space="preserve"> </w:t>
      </w:r>
      <w:r>
        <w:rPr>
          <w:sz w:val="22"/>
          <w:szCs w:val="22"/>
          <w:lang w:val="sr-Latn-RS"/>
        </w:rPr>
        <w:t xml:space="preserve">ispitivale </w:t>
      </w:r>
      <w:r w:rsidRPr="00287AA6">
        <w:rPr>
          <w:sz w:val="22"/>
          <w:szCs w:val="22"/>
          <w:lang w:val="sr-Latn-RS"/>
        </w:rPr>
        <w:t>u trudnoći.</w:t>
      </w:r>
    </w:p>
    <w:p w14:paraId="74E3C42D" w14:textId="76C4C061" w:rsidR="00082351" w:rsidRPr="007223BC" w:rsidRDefault="00D12AAD" w:rsidP="00805A14">
      <w:pPr>
        <w:jc w:val="both"/>
        <w:rPr>
          <w:sz w:val="22"/>
          <w:szCs w:val="22"/>
          <w:lang w:val="sr-Latn-RS" w:eastAsia="sr-Latn-RS"/>
        </w:rPr>
      </w:pPr>
      <w:r w:rsidRPr="00287AA6">
        <w:rPr>
          <w:sz w:val="22"/>
          <w:szCs w:val="22"/>
          <w:lang w:val="sr-Latn-RS"/>
        </w:rPr>
        <w:t>Dv</w:t>
      </w:r>
      <w:r w:rsidR="00F223A7">
        <w:rPr>
          <w:sz w:val="22"/>
          <w:szCs w:val="22"/>
          <w:lang w:val="sr-Latn-RS"/>
        </w:rPr>
        <w:t>ij</w:t>
      </w:r>
      <w:r w:rsidRPr="00287AA6">
        <w:rPr>
          <w:sz w:val="22"/>
          <w:szCs w:val="22"/>
          <w:lang w:val="sr-Latn-RS"/>
        </w:rPr>
        <w:t xml:space="preserve">e velike studije o praćenju ishoda </w:t>
      </w:r>
      <w:r w:rsidR="00F223A7">
        <w:rPr>
          <w:sz w:val="22"/>
          <w:szCs w:val="22"/>
          <w:lang w:val="sr-Latn-RS"/>
        </w:rPr>
        <w:t>po</w:t>
      </w:r>
      <w:r w:rsidRPr="00287AA6">
        <w:rPr>
          <w:sz w:val="22"/>
          <w:szCs w:val="22"/>
          <w:lang w:val="sr-Latn-RS"/>
        </w:rPr>
        <w:t>rođ</w:t>
      </w:r>
      <w:r w:rsidR="00F223A7">
        <w:rPr>
          <w:sz w:val="22"/>
          <w:szCs w:val="22"/>
          <w:lang w:val="sr-Latn-RS"/>
        </w:rPr>
        <w:t>aj</w:t>
      </w:r>
      <w:r w:rsidRPr="00287AA6">
        <w:rPr>
          <w:sz w:val="22"/>
          <w:szCs w:val="22"/>
          <w:lang w:val="sr-Latn-RS"/>
        </w:rPr>
        <w:t>a (više od 14000 ishoda trudnoć</w:t>
      </w:r>
      <w:r w:rsidR="00F223A7">
        <w:rPr>
          <w:sz w:val="22"/>
          <w:szCs w:val="22"/>
          <w:lang w:val="sr-Latn-RS"/>
        </w:rPr>
        <w:t>a</w:t>
      </w:r>
      <w:r w:rsidRPr="00287AA6">
        <w:rPr>
          <w:sz w:val="22"/>
          <w:szCs w:val="22"/>
          <w:lang w:val="sr-Latn-RS"/>
        </w:rPr>
        <w:t>) u Bocvani (</w:t>
      </w:r>
      <w:r w:rsidR="00F223A7">
        <w:rPr>
          <w:sz w:val="22"/>
          <w:szCs w:val="22"/>
          <w:lang w:val="sr-Latn-RS"/>
        </w:rPr>
        <w:t xml:space="preserve">ispitivanje </w:t>
      </w:r>
      <w:r w:rsidRPr="00287AA6">
        <w:rPr>
          <w:sz w:val="22"/>
          <w:szCs w:val="22"/>
          <w:lang w:val="sr-Latn-RS"/>
        </w:rPr>
        <w:t>Tsepamo) i Esvatiniju, kao i drugi izvori, ne ukazuju na povećan rizik od defekata neuralne c</w:t>
      </w:r>
      <w:r w:rsidR="00F223A7">
        <w:rPr>
          <w:sz w:val="22"/>
          <w:szCs w:val="22"/>
          <w:lang w:val="sr-Latn-RS"/>
        </w:rPr>
        <w:t>ij</w:t>
      </w:r>
      <w:r w:rsidRPr="00287AA6">
        <w:rPr>
          <w:sz w:val="22"/>
          <w:szCs w:val="22"/>
          <w:lang w:val="sr-Latn-RS"/>
        </w:rPr>
        <w:t>evi nakon izlaganja dolutegraviru.</w:t>
      </w:r>
      <w:r w:rsidR="00F223A7">
        <w:rPr>
          <w:sz w:val="22"/>
          <w:szCs w:val="22"/>
          <w:lang w:val="sr-Latn-RS"/>
        </w:rPr>
        <w:t xml:space="preserve"> </w:t>
      </w:r>
    </w:p>
    <w:p w14:paraId="60E9F71E" w14:textId="6CBE935E" w:rsidR="00082351" w:rsidRDefault="00082351" w:rsidP="00805A14">
      <w:pPr>
        <w:jc w:val="both"/>
        <w:rPr>
          <w:sz w:val="22"/>
          <w:szCs w:val="22"/>
          <w:lang w:val="sr-Latn-RS" w:eastAsia="sr-Latn-RS"/>
        </w:rPr>
      </w:pPr>
      <w:r w:rsidRPr="007223BC">
        <w:rPr>
          <w:sz w:val="22"/>
          <w:szCs w:val="22"/>
          <w:lang w:val="sr-Latn-RS" w:eastAsia="sr-Latn-RS"/>
        </w:rPr>
        <w:t xml:space="preserve">Incidenca defekata neuralne cijevi </w:t>
      </w:r>
      <w:r w:rsidRPr="007223BC">
        <w:rPr>
          <w:sz w:val="22"/>
          <w:szCs w:val="22"/>
          <w:lang w:val="sr-Latn-RS"/>
        </w:rPr>
        <w:t>u opštoj populaciji kreće se u rasponu od 0,5 do 1 slučaja na 1000 živorođene djece (0</w:t>
      </w:r>
      <w:r w:rsidR="00220D68" w:rsidRPr="007223BC">
        <w:rPr>
          <w:sz w:val="22"/>
          <w:szCs w:val="22"/>
          <w:lang w:val="sr-Latn-RS"/>
        </w:rPr>
        <w:t>,</w:t>
      </w:r>
      <w:r w:rsidRPr="007223BC">
        <w:rPr>
          <w:sz w:val="22"/>
          <w:szCs w:val="22"/>
          <w:lang w:val="sr-Latn-RS"/>
        </w:rPr>
        <w:t>05-0</w:t>
      </w:r>
      <w:r w:rsidR="00220D68" w:rsidRPr="007223BC">
        <w:rPr>
          <w:sz w:val="22"/>
          <w:szCs w:val="22"/>
          <w:lang w:val="sr-Latn-RS"/>
        </w:rPr>
        <w:t>,</w:t>
      </w:r>
      <w:r w:rsidRPr="007223BC">
        <w:rPr>
          <w:sz w:val="22"/>
          <w:szCs w:val="22"/>
          <w:lang w:val="sr-Latn-RS"/>
        </w:rPr>
        <w:t>1%).</w:t>
      </w:r>
      <w:r w:rsidR="006630FD" w:rsidRPr="007223BC">
        <w:rPr>
          <w:sz w:val="22"/>
          <w:szCs w:val="22"/>
          <w:lang w:val="sr-Latn-RS"/>
        </w:rPr>
        <w:t xml:space="preserve"> </w:t>
      </w:r>
    </w:p>
    <w:p w14:paraId="69790D19" w14:textId="77777777" w:rsidR="006E0871" w:rsidRDefault="006E0871" w:rsidP="00805A14">
      <w:pPr>
        <w:tabs>
          <w:tab w:val="center" w:pos="4320"/>
          <w:tab w:val="right" w:pos="8640"/>
        </w:tabs>
        <w:jc w:val="both"/>
        <w:rPr>
          <w:sz w:val="22"/>
          <w:szCs w:val="22"/>
          <w:lang w:val="sr-Latn-RS"/>
        </w:rPr>
      </w:pPr>
      <w:r>
        <w:rPr>
          <w:sz w:val="22"/>
          <w:szCs w:val="22"/>
          <w:lang w:val="sr-Latn-RS"/>
        </w:rPr>
        <w:t xml:space="preserve">Podaci iz ispitivanja Tsepamo pokazuju da nema značajne razlike u prevalenci defekata neuralne cijevi (0,11%) između odojčadi čije su majke u vrijeme začeća uzimale dolutegravir (više od 9400 izloženih </w:t>
      </w:r>
      <w:r>
        <w:rPr>
          <w:sz w:val="22"/>
          <w:szCs w:val="22"/>
          <w:lang w:val="sr-Latn-RS"/>
        </w:rPr>
        <w:lastRenderedPageBreak/>
        <w:t>trudnoća) i one čije su majke tokom začeća uzimale antiretrovirusne režime koji nijesu uključivali dolutegravir (0,11%) ili one čije majke nijesu bile zaražene HIV-om (0,07%).</w:t>
      </w:r>
    </w:p>
    <w:p w14:paraId="63F87330" w14:textId="77777777" w:rsidR="006E0871" w:rsidRDefault="006E0871" w:rsidP="00805A14">
      <w:pPr>
        <w:tabs>
          <w:tab w:val="center" w:pos="4320"/>
          <w:tab w:val="right" w:pos="8640"/>
        </w:tabs>
        <w:jc w:val="both"/>
        <w:rPr>
          <w:sz w:val="22"/>
          <w:szCs w:val="22"/>
          <w:lang w:val="sr-Latn-RS"/>
        </w:rPr>
      </w:pPr>
    </w:p>
    <w:p w14:paraId="4D67E2FC" w14:textId="77777777" w:rsidR="006E0871" w:rsidRDefault="006E0871" w:rsidP="00805A14">
      <w:pPr>
        <w:tabs>
          <w:tab w:val="center" w:pos="4320"/>
          <w:tab w:val="right" w:pos="8640"/>
        </w:tabs>
        <w:jc w:val="both"/>
        <w:rPr>
          <w:sz w:val="22"/>
          <w:szCs w:val="22"/>
          <w:lang w:val="sr-Latn-RS"/>
        </w:rPr>
      </w:pPr>
      <w:r>
        <w:rPr>
          <w:sz w:val="22"/>
          <w:szCs w:val="22"/>
          <w:lang w:val="sr-Latn-RS"/>
        </w:rPr>
        <w:t>Podaci iz ispitivanja u Esvatiniju pokazuju istu prevalencu defekata neuralne cijevi (0,08%) kod odojčadi čije su majke u vrijeme začeća uzimale dolutegravir (više od 4800 izloženih trudnoća) i odojčadi čije majke nijesu bile zaražene HIV-om (0,08%).</w:t>
      </w:r>
    </w:p>
    <w:p w14:paraId="0ABA3502" w14:textId="77777777" w:rsidR="00B437AB" w:rsidRPr="007223BC" w:rsidRDefault="00B437AB" w:rsidP="00805A14">
      <w:pPr>
        <w:jc w:val="both"/>
        <w:rPr>
          <w:sz w:val="22"/>
          <w:szCs w:val="22"/>
          <w:lang w:val="sr-Latn-RS"/>
        </w:rPr>
      </w:pPr>
    </w:p>
    <w:p w14:paraId="4495CE60" w14:textId="7D30C1CD" w:rsidR="00C745E8" w:rsidRDefault="00B437AB" w:rsidP="00805A14">
      <w:pPr>
        <w:jc w:val="both"/>
        <w:rPr>
          <w:sz w:val="22"/>
          <w:szCs w:val="22"/>
          <w:lang w:val="sr-Latn-RS" w:eastAsia="sr-Latn-RS"/>
        </w:rPr>
      </w:pPr>
      <w:r w:rsidRPr="007223BC">
        <w:rPr>
          <w:sz w:val="22"/>
          <w:szCs w:val="22"/>
          <w:lang w:val="sr-Latn-RS" w:eastAsia="sr-Latn-RS"/>
        </w:rPr>
        <w:t>Analizirani podaci</w:t>
      </w:r>
      <w:r w:rsidR="00412148">
        <w:rPr>
          <w:sz w:val="22"/>
          <w:szCs w:val="22"/>
          <w:lang w:val="sr-Latn-RS" w:eastAsia="sr-Latn-RS"/>
        </w:rPr>
        <w:t xml:space="preserve"> </w:t>
      </w:r>
      <w:r w:rsidR="00412148">
        <w:rPr>
          <w:sz w:val="22"/>
          <w:szCs w:val="22"/>
          <w:lang w:val="sr-Latn-RS" w:eastAsia="sr-Latn-RS" w:bidi="hr-HR"/>
        </w:rPr>
        <w:t>o više od 1000 trudnoća u kojima se tokom prvog trimestra sprovodilo liječenje dolutegravirom</w:t>
      </w:r>
      <w:r w:rsidRPr="007223BC">
        <w:rPr>
          <w:sz w:val="22"/>
          <w:szCs w:val="22"/>
          <w:lang w:val="sr-Latn-RS" w:eastAsia="sr-Latn-RS"/>
        </w:rPr>
        <w:t xml:space="preserve"> </w:t>
      </w:r>
      <w:r w:rsidR="002849CB">
        <w:rPr>
          <w:lang w:val="sr-Latn-RS" w:eastAsia="sr-Latn-RS" w:bidi="hr-HR"/>
        </w:rPr>
        <w:t xml:space="preserve">i više od 1000 trudnoća u kojima se tokom prvog trimestra sprovodilo liječenje lamivudinom, </w:t>
      </w:r>
      <w:r w:rsidRPr="007223BC">
        <w:rPr>
          <w:sz w:val="22"/>
          <w:szCs w:val="22"/>
          <w:lang w:val="sr-Latn-RS" w:eastAsia="sr-Latn-RS"/>
        </w:rPr>
        <w:t xml:space="preserve">iz </w:t>
      </w:r>
      <w:r w:rsidRPr="007223BC">
        <w:rPr>
          <w:sz w:val="22"/>
          <w:szCs w:val="22"/>
          <w:lang w:val="sr-Latn-RS" w:eastAsia="sr-Latn-RS" w:bidi="hr-HR"/>
        </w:rPr>
        <w:t xml:space="preserve">Registra trudnica </w:t>
      </w:r>
      <w:r w:rsidR="00412148">
        <w:rPr>
          <w:sz w:val="22"/>
          <w:szCs w:val="22"/>
          <w:lang w:val="sr-Latn-RS" w:eastAsia="sr-Latn-RS" w:bidi="hr-HR"/>
        </w:rPr>
        <w:t>liječenih</w:t>
      </w:r>
      <w:r w:rsidRPr="007223BC">
        <w:rPr>
          <w:sz w:val="22"/>
          <w:szCs w:val="22"/>
          <w:lang w:val="sr-Latn-RS" w:eastAsia="sr-Latn-RS" w:bidi="hr-HR"/>
        </w:rPr>
        <w:t xml:space="preserve"> antiretrovirusn</w:t>
      </w:r>
      <w:r w:rsidR="00412148">
        <w:rPr>
          <w:sz w:val="22"/>
          <w:szCs w:val="22"/>
          <w:lang w:val="sr-Latn-RS" w:eastAsia="sr-Latn-RS" w:bidi="hr-HR"/>
        </w:rPr>
        <w:t>im</w:t>
      </w:r>
      <w:r w:rsidRPr="007223BC">
        <w:rPr>
          <w:sz w:val="22"/>
          <w:szCs w:val="22"/>
          <w:lang w:val="sr-Latn-RS" w:eastAsia="sr-Latn-RS" w:bidi="hr-HR"/>
        </w:rPr>
        <w:t xml:space="preserve"> ljekov</w:t>
      </w:r>
      <w:r w:rsidR="00412148">
        <w:rPr>
          <w:sz w:val="22"/>
          <w:szCs w:val="22"/>
          <w:lang w:val="sr-Latn-RS" w:eastAsia="sr-Latn-RS" w:bidi="hr-HR"/>
        </w:rPr>
        <w:t>ima</w:t>
      </w:r>
      <w:r w:rsidRPr="007223BC">
        <w:rPr>
          <w:sz w:val="22"/>
          <w:szCs w:val="22"/>
          <w:lang w:val="sr-Latn-RS" w:eastAsia="sr-Latn-RS" w:bidi="hr-HR"/>
        </w:rPr>
        <w:t xml:space="preserve"> (eng. </w:t>
      </w:r>
      <w:r w:rsidRPr="007223BC">
        <w:rPr>
          <w:i/>
          <w:iCs/>
          <w:sz w:val="22"/>
          <w:szCs w:val="22"/>
          <w:lang w:val="sr-Latn-RS" w:eastAsia="sr-Latn-RS" w:bidi="hr-HR"/>
        </w:rPr>
        <w:t>Antiretroviral Pregnancy Registry</w:t>
      </w:r>
      <w:r w:rsidRPr="007223BC">
        <w:rPr>
          <w:sz w:val="22"/>
          <w:szCs w:val="22"/>
          <w:lang w:val="sr-Latn-RS" w:eastAsia="sr-Latn-RS" w:bidi="hr-HR"/>
        </w:rPr>
        <w:t xml:space="preserve">, APR) </w:t>
      </w:r>
      <w:r w:rsidRPr="007223BC">
        <w:rPr>
          <w:sz w:val="22"/>
          <w:szCs w:val="22"/>
          <w:lang w:val="sr-Latn-RS" w:eastAsia="sr-Latn-RS"/>
        </w:rPr>
        <w:t xml:space="preserve">ne ukazuju na povećan rizik od većih urođenih defekata </w:t>
      </w:r>
      <w:r w:rsidR="00C745E8">
        <w:rPr>
          <w:sz w:val="22"/>
          <w:szCs w:val="22"/>
          <w:lang w:val="sr-Latn-RS" w:eastAsia="sr-Latn-RS"/>
        </w:rPr>
        <w:t xml:space="preserve">uzrokovanih dolutegravirom ili lamivudinom </w:t>
      </w:r>
      <w:r w:rsidR="00C745E8" w:rsidRPr="00C745E8">
        <w:rPr>
          <w:sz w:val="22"/>
          <w:szCs w:val="22"/>
          <w:lang w:val="sr-Latn-RS" w:eastAsia="sr-Latn-RS"/>
        </w:rPr>
        <w:t>u odnosu na njihovu osnovnu stopu ili</w:t>
      </w:r>
      <w:r w:rsidR="00C745E8">
        <w:rPr>
          <w:sz w:val="22"/>
          <w:szCs w:val="22"/>
          <w:lang w:val="sr-Latn-RS" w:eastAsia="sr-Latn-RS"/>
        </w:rPr>
        <w:t xml:space="preserve"> </w:t>
      </w:r>
      <w:r w:rsidR="00C745E8" w:rsidRPr="00C745E8">
        <w:rPr>
          <w:sz w:val="22"/>
          <w:szCs w:val="22"/>
          <w:lang w:val="sr-Latn-RS" w:eastAsia="sr-Latn-RS"/>
        </w:rPr>
        <w:t xml:space="preserve">stopu </w:t>
      </w:r>
      <w:r w:rsidR="00C745E8">
        <w:rPr>
          <w:sz w:val="22"/>
          <w:szCs w:val="22"/>
          <w:lang w:val="sr-Latn-RS" w:eastAsia="sr-Latn-RS"/>
        </w:rPr>
        <w:t>kod</w:t>
      </w:r>
      <w:r w:rsidR="00C745E8" w:rsidRPr="00C745E8">
        <w:rPr>
          <w:sz w:val="22"/>
          <w:szCs w:val="22"/>
          <w:lang w:val="sr-Latn-RS" w:eastAsia="sr-Latn-RS"/>
        </w:rPr>
        <w:t xml:space="preserve"> žena zaraženih HIV-om. Podaci iz tog registra o primjeni dolutegravira + lamivudina </w:t>
      </w:r>
      <w:r w:rsidR="00C745E8">
        <w:rPr>
          <w:sz w:val="22"/>
          <w:szCs w:val="22"/>
          <w:lang w:val="sr-Latn-RS" w:eastAsia="sr-Latn-RS"/>
        </w:rPr>
        <w:t xml:space="preserve">kod </w:t>
      </w:r>
      <w:r w:rsidR="00C745E8" w:rsidRPr="00C745E8">
        <w:rPr>
          <w:sz w:val="22"/>
          <w:szCs w:val="22"/>
          <w:lang w:val="sr-Latn-RS" w:eastAsia="sr-Latn-RS"/>
        </w:rPr>
        <w:t>trudnica ne postoje ili je njihova količina ograničena (manje od 300 trudnoća izloženih u prvom</w:t>
      </w:r>
      <w:r w:rsidR="00C745E8">
        <w:rPr>
          <w:sz w:val="22"/>
          <w:szCs w:val="22"/>
          <w:lang w:val="sr-Latn-RS" w:eastAsia="sr-Latn-RS"/>
        </w:rPr>
        <w:t xml:space="preserve"> </w:t>
      </w:r>
      <w:r w:rsidR="00C745E8" w:rsidRPr="00C745E8">
        <w:rPr>
          <w:sz w:val="22"/>
          <w:szCs w:val="22"/>
          <w:lang w:val="sr-Latn-RS" w:eastAsia="sr-Latn-RS"/>
        </w:rPr>
        <w:t>tr</w:t>
      </w:r>
      <w:r w:rsidR="00C745E8">
        <w:rPr>
          <w:sz w:val="22"/>
          <w:szCs w:val="22"/>
          <w:lang w:val="sr-Latn-RS" w:eastAsia="sr-Latn-RS"/>
        </w:rPr>
        <w:t>i</w:t>
      </w:r>
      <w:r w:rsidR="00C745E8" w:rsidRPr="00C745E8">
        <w:rPr>
          <w:sz w:val="22"/>
          <w:szCs w:val="22"/>
          <w:lang w:val="sr-Latn-RS" w:eastAsia="sr-Latn-RS"/>
        </w:rPr>
        <w:t>mes</w:t>
      </w:r>
      <w:r w:rsidR="00C745E8">
        <w:rPr>
          <w:sz w:val="22"/>
          <w:szCs w:val="22"/>
          <w:lang w:val="sr-Latn-RS" w:eastAsia="sr-Latn-RS"/>
        </w:rPr>
        <w:t>tr</w:t>
      </w:r>
      <w:r w:rsidR="00C745E8" w:rsidRPr="00C745E8">
        <w:rPr>
          <w:sz w:val="22"/>
          <w:szCs w:val="22"/>
          <w:lang w:val="sr-Latn-RS" w:eastAsia="sr-Latn-RS"/>
        </w:rPr>
        <w:t>u).</w:t>
      </w:r>
    </w:p>
    <w:p w14:paraId="4FA33CB9" w14:textId="28C56F12" w:rsidR="00CC6F19" w:rsidRPr="007223BC" w:rsidRDefault="00CC6F19" w:rsidP="00805A14">
      <w:pPr>
        <w:jc w:val="both"/>
        <w:rPr>
          <w:sz w:val="22"/>
          <w:szCs w:val="22"/>
          <w:lang w:val="sr-Latn-RS"/>
        </w:rPr>
      </w:pPr>
    </w:p>
    <w:p w14:paraId="445D6052" w14:textId="538C3469" w:rsidR="00B437AB" w:rsidRPr="007223BC" w:rsidRDefault="00B437AB" w:rsidP="00805A14">
      <w:pPr>
        <w:jc w:val="both"/>
        <w:rPr>
          <w:sz w:val="22"/>
          <w:szCs w:val="22"/>
          <w:lang w:val="sr-Latn-RS"/>
        </w:rPr>
      </w:pPr>
      <w:r w:rsidRPr="007223BC">
        <w:rPr>
          <w:sz w:val="22"/>
          <w:szCs w:val="22"/>
          <w:lang w:val="sr-Latn-RS"/>
        </w:rPr>
        <w:t xml:space="preserve">Studije na životinjama ne ukazuju na direktna ili indirektna štetna dejstva u pogledu reproduktivne toksičnosti, uključujući defekte neuralne cijevi (vidjeti dio 5.3).  </w:t>
      </w:r>
    </w:p>
    <w:p w14:paraId="4596B11E" w14:textId="33B59709" w:rsidR="00F66E51" w:rsidRDefault="00F66E51" w:rsidP="00805A14">
      <w:pPr>
        <w:spacing w:before="100" w:beforeAutospacing="1" w:after="100" w:afterAutospacing="1"/>
        <w:jc w:val="both"/>
        <w:rPr>
          <w:sz w:val="22"/>
          <w:szCs w:val="22"/>
          <w:lang w:val="sr-Latn-RS" w:eastAsia="sr-Latn-RS"/>
        </w:rPr>
      </w:pPr>
      <w:r>
        <w:rPr>
          <w:sz w:val="22"/>
          <w:szCs w:val="22"/>
          <w:lang w:val="sr-Latn-RS" w:eastAsia="sr-Latn-RS"/>
        </w:rPr>
        <w:t xml:space="preserve">Dolutegravir prolazi kroz placentu kod ljudi. Kod trudnica koje žive sa HIV-om, srednja koncentracija dolutegravira u pupčanoj vrpci fetusa je približno 1,3 puta veća od koncentracije u perifernoj plazmi majke. </w:t>
      </w:r>
    </w:p>
    <w:p w14:paraId="15AE2006" w14:textId="48003E76" w:rsidR="001324C5" w:rsidRDefault="00F66E51" w:rsidP="00805A14">
      <w:pPr>
        <w:spacing w:before="100" w:beforeAutospacing="1" w:after="100" w:afterAutospacing="1"/>
        <w:jc w:val="both"/>
        <w:rPr>
          <w:sz w:val="22"/>
          <w:szCs w:val="22"/>
          <w:lang w:val="sr-Latn-RS" w:eastAsia="sr-Latn-RS"/>
        </w:rPr>
      </w:pPr>
      <w:r w:rsidRPr="00F66E51">
        <w:rPr>
          <w:sz w:val="22"/>
          <w:szCs w:val="22"/>
          <w:lang w:val="sr-Latn-RS" w:eastAsia="sr-Latn-RS"/>
        </w:rPr>
        <w:t xml:space="preserve">Nema dovoljno podataka o </w:t>
      </w:r>
      <w:r>
        <w:rPr>
          <w:sz w:val="22"/>
          <w:szCs w:val="22"/>
          <w:lang w:val="sr-Latn-RS" w:eastAsia="sr-Latn-RS"/>
        </w:rPr>
        <w:t>uticajim</w:t>
      </w:r>
      <w:r w:rsidRPr="00F66E51">
        <w:rPr>
          <w:sz w:val="22"/>
          <w:szCs w:val="22"/>
          <w:lang w:val="sr-Latn-RS" w:eastAsia="sr-Latn-RS"/>
        </w:rPr>
        <w:t>a dolutegravira na novorođenčad</w:t>
      </w:r>
      <w:r w:rsidR="000019EA">
        <w:rPr>
          <w:sz w:val="22"/>
          <w:szCs w:val="22"/>
          <w:lang w:val="sr-Latn-RS" w:eastAsia="sr-Latn-RS"/>
        </w:rPr>
        <w:t>.</w:t>
      </w:r>
    </w:p>
    <w:p w14:paraId="45B286EB" w14:textId="55A52BEE" w:rsidR="001324C5" w:rsidRPr="001324C5" w:rsidRDefault="001324C5" w:rsidP="00805A14">
      <w:pPr>
        <w:spacing w:before="100" w:beforeAutospacing="1" w:after="100" w:afterAutospacing="1"/>
        <w:jc w:val="both"/>
        <w:rPr>
          <w:sz w:val="22"/>
          <w:szCs w:val="22"/>
          <w:lang w:val="sr-Latn-RS" w:eastAsia="sr-Latn-RS"/>
        </w:rPr>
      </w:pPr>
      <w:r>
        <w:rPr>
          <w:sz w:val="22"/>
          <w:szCs w:val="22"/>
          <w:lang w:val="sr-Latn-RS" w:eastAsia="sr-Latn-RS"/>
        </w:rPr>
        <w:t xml:space="preserve">Ispitivanja lamivudina </w:t>
      </w:r>
      <w:r w:rsidRPr="00287AA6">
        <w:rPr>
          <w:sz w:val="22"/>
          <w:szCs w:val="22"/>
          <w:lang w:val="sr-Latn-RS" w:eastAsia="sr-Latn-RS"/>
        </w:rPr>
        <w:t xml:space="preserve">na životinjama </w:t>
      </w:r>
      <w:r>
        <w:rPr>
          <w:sz w:val="22"/>
          <w:szCs w:val="22"/>
          <w:lang w:val="sr-Latn-RS" w:eastAsia="sr-Latn-RS"/>
        </w:rPr>
        <w:t>pokazala su porast rane smrtnosti embriona kod kunića</w:t>
      </w:r>
      <w:r w:rsidRPr="00287AA6">
        <w:rPr>
          <w:sz w:val="22"/>
          <w:szCs w:val="22"/>
          <w:lang w:val="sr-Latn-RS" w:eastAsia="sr-Latn-RS"/>
        </w:rPr>
        <w:t xml:space="preserve"> ali ne kod pacova (videti </w:t>
      </w:r>
      <w:r w:rsidR="000019EA">
        <w:rPr>
          <w:sz w:val="22"/>
          <w:szCs w:val="22"/>
          <w:lang w:val="sr-Latn-RS" w:eastAsia="sr-Latn-RS"/>
        </w:rPr>
        <w:t>di</w:t>
      </w:r>
      <w:r w:rsidRPr="00287AA6">
        <w:rPr>
          <w:sz w:val="22"/>
          <w:szCs w:val="22"/>
          <w:lang w:val="sr-Latn-RS" w:eastAsia="sr-Latn-RS"/>
        </w:rPr>
        <w:t>o 5.3).</w:t>
      </w:r>
    </w:p>
    <w:p w14:paraId="3D36CA48" w14:textId="7CD9AC43" w:rsidR="00082351" w:rsidRPr="007223BC" w:rsidRDefault="00082351" w:rsidP="00805A14">
      <w:pPr>
        <w:spacing w:before="100" w:beforeAutospacing="1" w:after="100" w:afterAutospacing="1"/>
        <w:jc w:val="both"/>
        <w:rPr>
          <w:sz w:val="22"/>
          <w:szCs w:val="22"/>
          <w:lang w:val="sr-Latn-RS" w:eastAsia="sr-Latn-RS"/>
        </w:rPr>
      </w:pPr>
      <w:r w:rsidRPr="007223BC">
        <w:rPr>
          <w:sz w:val="22"/>
          <w:szCs w:val="22"/>
          <w:lang w:val="sr-Latn-RS" w:eastAsia="sr-Latn-RS"/>
        </w:rPr>
        <w:t>Ispitivanja na životinjama pokazala su da lamivudin može da inhibira replikaciju ćelijske DNK (vidjeti dio 5.3). Klinički značaj tih nalaza nije poznat.</w:t>
      </w:r>
    </w:p>
    <w:p w14:paraId="79FB08D7" w14:textId="77777777" w:rsidR="00082351" w:rsidRPr="007223BC" w:rsidRDefault="00082351" w:rsidP="00805A14">
      <w:pPr>
        <w:widowControl w:val="0"/>
        <w:autoSpaceDE w:val="0"/>
        <w:autoSpaceDN w:val="0"/>
        <w:adjustRightInd w:val="0"/>
        <w:jc w:val="both"/>
        <w:rPr>
          <w:i/>
          <w:sz w:val="22"/>
          <w:szCs w:val="22"/>
          <w:lang w:val="sr-Latn-RS"/>
        </w:rPr>
      </w:pPr>
      <w:r w:rsidRPr="007223BC">
        <w:rPr>
          <w:i/>
          <w:sz w:val="22"/>
          <w:szCs w:val="22"/>
          <w:lang w:val="sr-Latn-RS"/>
        </w:rPr>
        <w:t>Mitohondrijalna disfunkcija</w:t>
      </w:r>
    </w:p>
    <w:p w14:paraId="2E8F1465" w14:textId="77777777" w:rsidR="00082351" w:rsidRPr="007223BC" w:rsidRDefault="00082351" w:rsidP="00805A14">
      <w:pPr>
        <w:spacing w:before="100" w:beforeAutospacing="1" w:after="100" w:afterAutospacing="1"/>
        <w:jc w:val="both"/>
        <w:rPr>
          <w:sz w:val="22"/>
          <w:szCs w:val="22"/>
          <w:lang w:val="sr-Latn-RS" w:eastAsia="sr-Latn-RS"/>
        </w:rPr>
      </w:pPr>
      <w:r w:rsidRPr="007223BC">
        <w:rPr>
          <w:sz w:val="22"/>
          <w:szCs w:val="22"/>
          <w:lang w:val="sr-Latn-RS" w:eastAsia="sr-Latn-RS"/>
        </w:rPr>
        <w:t xml:space="preserve">Pokazalo se da nukleozidni i nukleotidni analozi uzrokuju različite stepene mitohondrijskog oštećenja </w:t>
      </w:r>
      <w:r w:rsidRPr="007223BC">
        <w:rPr>
          <w:i/>
          <w:iCs/>
          <w:sz w:val="22"/>
          <w:szCs w:val="22"/>
          <w:lang w:val="sr-Latn-RS" w:eastAsia="sr-Latn-RS"/>
        </w:rPr>
        <w:t>in vitro</w:t>
      </w:r>
      <w:r w:rsidRPr="007223BC">
        <w:rPr>
          <w:sz w:val="22"/>
          <w:szCs w:val="22"/>
          <w:lang w:val="sr-Latn-RS" w:eastAsia="sr-Latn-RS"/>
        </w:rPr>
        <w:t xml:space="preserve"> i </w:t>
      </w:r>
      <w:r w:rsidRPr="007223BC">
        <w:rPr>
          <w:i/>
          <w:iCs/>
          <w:sz w:val="22"/>
          <w:szCs w:val="22"/>
          <w:lang w:val="sr-Latn-RS" w:eastAsia="sr-Latn-RS"/>
        </w:rPr>
        <w:t>in vivo.</w:t>
      </w:r>
      <w:r w:rsidRPr="007223BC">
        <w:rPr>
          <w:sz w:val="22"/>
          <w:szCs w:val="22"/>
          <w:lang w:val="sr-Latn-RS" w:eastAsia="sr-Latn-RS"/>
        </w:rPr>
        <w:t xml:space="preserve"> Prijavljeni su slučajevi mitohondrijske disfunkcije kod HIV negativne odojčadi koja </w:t>
      </w:r>
      <w:r w:rsidR="002C4597" w:rsidRPr="007223BC">
        <w:rPr>
          <w:sz w:val="22"/>
          <w:szCs w:val="22"/>
          <w:lang w:val="sr-Latn-RS" w:eastAsia="sr-Latn-RS"/>
        </w:rPr>
        <w:t xml:space="preserve">su </w:t>
      </w:r>
      <w:r w:rsidRPr="007223BC">
        <w:rPr>
          <w:sz w:val="22"/>
          <w:szCs w:val="22"/>
          <w:lang w:val="sr-Latn-RS" w:eastAsia="sr-Latn-RS"/>
        </w:rPr>
        <w:t xml:space="preserve">bila izložena nukleozidnim analozima </w:t>
      </w:r>
      <w:r w:rsidRPr="007223BC">
        <w:rPr>
          <w:i/>
          <w:iCs/>
          <w:sz w:val="22"/>
          <w:szCs w:val="22"/>
          <w:lang w:val="sr-Latn-RS" w:eastAsia="sr-Latn-RS"/>
        </w:rPr>
        <w:t>in utero</w:t>
      </w:r>
      <w:r w:rsidRPr="007223BC">
        <w:rPr>
          <w:sz w:val="22"/>
          <w:szCs w:val="22"/>
          <w:lang w:val="sr-Latn-RS" w:eastAsia="sr-Latn-RS"/>
        </w:rPr>
        <w:t xml:space="preserve"> i/ili nakon rođenja (vidjeti dio 4.4).</w:t>
      </w:r>
    </w:p>
    <w:p w14:paraId="420E3CEF" w14:textId="77777777" w:rsidR="00082351" w:rsidRPr="007223BC" w:rsidRDefault="00082351" w:rsidP="00805A14">
      <w:pPr>
        <w:suppressLineNumbers/>
        <w:jc w:val="both"/>
        <w:rPr>
          <w:noProof/>
          <w:sz w:val="22"/>
          <w:szCs w:val="22"/>
          <w:u w:val="single"/>
          <w:lang w:val="sr-Latn-RS"/>
        </w:rPr>
      </w:pPr>
      <w:r w:rsidRPr="007223BC">
        <w:rPr>
          <w:noProof/>
          <w:sz w:val="22"/>
          <w:szCs w:val="22"/>
          <w:u w:val="single"/>
          <w:lang w:val="sr-Latn-RS"/>
        </w:rPr>
        <w:t>Dojenje</w:t>
      </w:r>
    </w:p>
    <w:p w14:paraId="37447949" w14:textId="30394B47" w:rsidR="00082351" w:rsidRPr="007223BC" w:rsidRDefault="00017CE7" w:rsidP="00805A14">
      <w:pPr>
        <w:spacing w:before="100" w:beforeAutospacing="1" w:after="100" w:afterAutospacing="1"/>
        <w:jc w:val="both"/>
        <w:rPr>
          <w:sz w:val="22"/>
          <w:szCs w:val="22"/>
          <w:lang w:val="sr-Latn-RS" w:eastAsia="sr-Latn-RS"/>
        </w:rPr>
      </w:pPr>
      <w:r w:rsidRPr="007223BC">
        <w:rPr>
          <w:sz w:val="22"/>
          <w:szCs w:val="22"/>
          <w:lang w:val="sr-Latn-RS" w:eastAsia="sr-Latn-RS"/>
        </w:rPr>
        <w:t>D</w:t>
      </w:r>
      <w:r w:rsidR="00082351" w:rsidRPr="007223BC">
        <w:rPr>
          <w:sz w:val="22"/>
          <w:szCs w:val="22"/>
          <w:lang w:val="sr-Latn-RS" w:eastAsia="sr-Latn-RS"/>
        </w:rPr>
        <w:t xml:space="preserve">olutegravir </w:t>
      </w:r>
      <w:r w:rsidR="00DD08A4" w:rsidRPr="007223BC">
        <w:rPr>
          <w:sz w:val="22"/>
          <w:szCs w:val="22"/>
          <w:lang w:val="sr-Latn-RS" w:eastAsia="sr-Latn-RS"/>
        </w:rPr>
        <w:t xml:space="preserve">se </w:t>
      </w:r>
      <w:r w:rsidR="00082351" w:rsidRPr="007223BC">
        <w:rPr>
          <w:sz w:val="22"/>
          <w:szCs w:val="22"/>
          <w:lang w:val="sr-Latn-RS" w:eastAsia="sr-Latn-RS"/>
        </w:rPr>
        <w:t>izlučuje u majčino mlijeko</w:t>
      </w:r>
      <w:r w:rsidRPr="007223BC">
        <w:rPr>
          <w:sz w:val="22"/>
          <w:szCs w:val="22"/>
          <w:lang w:val="sr-Latn-RS" w:eastAsia="sr-Latn-RS"/>
        </w:rPr>
        <w:t xml:space="preserve"> u malim količinama</w:t>
      </w:r>
      <w:r w:rsidR="009802C7">
        <w:rPr>
          <w:sz w:val="22"/>
          <w:szCs w:val="22"/>
          <w:lang w:val="sr-Latn-RS" w:eastAsia="sr-Latn-RS"/>
        </w:rPr>
        <w:t xml:space="preserve"> (utvrđena je medijana odnosa koncentracije dolutegravira u majčinom mlijeku i plazmi majke od 0,033)</w:t>
      </w:r>
      <w:r w:rsidR="00082351" w:rsidRPr="007223BC">
        <w:rPr>
          <w:sz w:val="22"/>
          <w:szCs w:val="22"/>
          <w:lang w:val="sr-Latn-RS" w:eastAsia="sr-Latn-RS"/>
        </w:rPr>
        <w:t>.</w:t>
      </w:r>
      <w:r w:rsidR="00DA5626" w:rsidRPr="007223BC">
        <w:rPr>
          <w:sz w:val="22"/>
          <w:szCs w:val="22"/>
          <w:lang w:val="hr-HR" w:bidi="hr-HR"/>
        </w:rPr>
        <w:t xml:space="preserve"> Nema dovoljno podataka o uticaju dolutegravira na novorođenčad i djecu.</w:t>
      </w:r>
    </w:p>
    <w:p w14:paraId="58EDC4E7" w14:textId="77777777" w:rsidR="00082351" w:rsidRPr="007223BC" w:rsidRDefault="00082351" w:rsidP="00805A14">
      <w:pPr>
        <w:spacing w:before="100" w:beforeAutospacing="1" w:after="100" w:afterAutospacing="1"/>
        <w:jc w:val="both"/>
        <w:rPr>
          <w:sz w:val="22"/>
          <w:szCs w:val="22"/>
          <w:lang w:val="sr-Latn-RS" w:eastAsia="sr-Latn-RS"/>
        </w:rPr>
      </w:pPr>
      <w:r w:rsidRPr="007223BC">
        <w:rPr>
          <w:sz w:val="22"/>
          <w:szCs w:val="22"/>
          <w:lang w:val="sr-Latn-RS" w:eastAsia="sr-Latn-RS"/>
        </w:rPr>
        <w:t>Na osnovu podataka o više od 200 parova majka-dijete liječenih zbog HIV infekcije, serumske koncentracije lamivudina kod odojčadi čije su majke liječene zbog HIV infekcije vrlo su niske (&lt; 4% serumskih koncentracija kod majke) i progresivno se smanjuju do nemjerljivih nivoa nakon što odojče navrši 24 nedjelje. Nema dostupnih podataka o bezbjednosti lamivudina primijenjenog na djeci mlađoj od tri mjeseca.</w:t>
      </w:r>
    </w:p>
    <w:p w14:paraId="34A7B486" w14:textId="60830DCB" w:rsidR="00082351" w:rsidRPr="007223BC" w:rsidRDefault="00082351" w:rsidP="00805A14">
      <w:pPr>
        <w:spacing w:before="100" w:beforeAutospacing="1" w:after="100" w:afterAutospacing="1"/>
        <w:jc w:val="both"/>
        <w:rPr>
          <w:sz w:val="22"/>
          <w:szCs w:val="22"/>
          <w:lang w:val="sr-Latn-RS" w:eastAsia="sr-Latn-RS"/>
        </w:rPr>
      </w:pPr>
      <w:r w:rsidRPr="007223BC">
        <w:rPr>
          <w:sz w:val="22"/>
          <w:szCs w:val="22"/>
          <w:lang w:val="sr-Latn-RS" w:eastAsia="sr-Latn-RS"/>
        </w:rPr>
        <w:t>Preporučuje se da žene</w:t>
      </w:r>
      <w:r w:rsidR="003E31C4">
        <w:rPr>
          <w:sz w:val="22"/>
          <w:szCs w:val="22"/>
          <w:lang w:val="sr-Latn-RS" w:eastAsia="sr-Latn-RS"/>
        </w:rPr>
        <w:t xml:space="preserve"> koje žive </w:t>
      </w:r>
      <w:r w:rsidRPr="007223BC">
        <w:rPr>
          <w:sz w:val="22"/>
          <w:szCs w:val="22"/>
          <w:lang w:val="sr-Latn-RS" w:eastAsia="sr-Latn-RS"/>
        </w:rPr>
        <w:t>s</w:t>
      </w:r>
      <w:r w:rsidR="003E31C4">
        <w:rPr>
          <w:sz w:val="22"/>
          <w:szCs w:val="22"/>
          <w:lang w:val="sr-Latn-RS" w:eastAsia="sr-Latn-RS"/>
        </w:rPr>
        <w:t>a</w:t>
      </w:r>
      <w:r w:rsidRPr="007223BC">
        <w:rPr>
          <w:sz w:val="22"/>
          <w:szCs w:val="22"/>
          <w:lang w:val="sr-Latn-RS" w:eastAsia="sr-Latn-RS"/>
        </w:rPr>
        <w:t xml:space="preserve"> HIV</w:t>
      </w:r>
      <w:r w:rsidR="00E04B53">
        <w:rPr>
          <w:sz w:val="22"/>
          <w:szCs w:val="22"/>
          <w:lang w:val="sr-Latn-RS" w:eastAsia="sr-Latn-RS"/>
        </w:rPr>
        <w:t>-</w:t>
      </w:r>
      <w:r w:rsidRPr="007223BC">
        <w:rPr>
          <w:sz w:val="22"/>
          <w:szCs w:val="22"/>
          <w:lang w:val="sr-Latn-RS" w:eastAsia="sr-Latn-RS"/>
        </w:rPr>
        <w:t>om ne doje svoju djecu, kako bi se izbjegao prenos HIV-a.</w:t>
      </w:r>
    </w:p>
    <w:p w14:paraId="20C55405" w14:textId="77777777" w:rsidR="00082351" w:rsidRPr="007223BC" w:rsidRDefault="00082351" w:rsidP="00805A14">
      <w:pPr>
        <w:suppressLineNumbers/>
        <w:jc w:val="both"/>
        <w:rPr>
          <w:noProof/>
          <w:sz w:val="22"/>
          <w:szCs w:val="22"/>
          <w:lang w:val="sr-Latn-RS"/>
        </w:rPr>
      </w:pPr>
      <w:r w:rsidRPr="007223BC">
        <w:rPr>
          <w:noProof/>
          <w:sz w:val="22"/>
          <w:szCs w:val="22"/>
          <w:u w:val="single"/>
          <w:lang w:val="sr-Latn-RS"/>
        </w:rPr>
        <w:t>Plodnost</w:t>
      </w:r>
    </w:p>
    <w:p w14:paraId="4D350767" w14:textId="77777777" w:rsidR="00227BDB" w:rsidRPr="007223BC" w:rsidRDefault="00082351" w:rsidP="00805A14">
      <w:pPr>
        <w:spacing w:before="100" w:beforeAutospacing="1" w:after="100" w:afterAutospacing="1"/>
        <w:jc w:val="both"/>
        <w:rPr>
          <w:snapToGrid w:val="0"/>
          <w:sz w:val="22"/>
          <w:szCs w:val="22"/>
          <w:lang w:val="sr-Latn-RS"/>
        </w:rPr>
      </w:pPr>
      <w:r w:rsidRPr="007223BC">
        <w:rPr>
          <w:sz w:val="22"/>
          <w:szCs w:val="22"/>
          <w:lang w:val="sr-Latn-RS" w:eastAsia="sr-Latn-RS"/>
        </w:rPr>
        <w:t>Nema podataka o dejstvu dolutegravira ili lamivudina na plodnost muškaraca ili žena. Ispitivanja na životinjama nijesu pokazala da dolutegravir ili lamivudin utiču na plodnost mužjaka ili ženki (vidjeti dio 5.3).</w:t>
      </w:r>
      <w:r w:rsidRPr="007223BC">
        <w:rPr>
          <w:sz w:val="22"/>
          <w:szCs w:val="22"/>
          <w:lang w:val="sr-Latn-RS"/>
        </w:rPr>
        <w:t xml:space="preserve"> </w:t>
      </w:r>
    </w:p>
    <w:p w14:paraId="0669CE1E" w14:textId="77777777" w:rsidR="0072020E" w:rsidRPr="00287AA6" w:rsidRDefault="0072020E" w:rsidP="00805A14">
      <w:pPr>
        <w:tabs>
          <w:tab w:val="left" w:pos="540"/>
          <w:tab w:val="left" w:pos="569"/>
        </w:tabs>
        <w:ind w:left="540" w:hanging="540"/>
        <w:jc w:val="both"/>
        <w:rPr>
          <w:b/>
          <w:bCs/>
          <w:sz w:val="22"/>
          <w:szCs w:val="22"/>
          <w:lang w:val="sr-Latn-RS"/>
        </w:rPr>
      </w:pPr>
      <w:r w:rsidRPr="00287AA6">
        <w:rPr>
          <w:b/>
          <w:bCs/>
          <w:sz w:val="22"/>
          <w:szCs w:val="22"/>
          <w:lang w:val="sr-Latn-RS"/>
        </w:rPr>
        <w:lastRenderedPageBreak/>
        <w:t xml:space="preserve">4.7. </w:t>
      </w:r>
      <w:r w:rsidR="00480FB1" w:rsidRPr="00287AA6">
        <w:rPr>
          <w:b/>
          <w:bCs/>
          <w:sz w:val="22"/>
          <w:szCs w:val="22"/>
          <w:lang w:val="sr-Latn-RS"/>
        </w:rPr>
        <w:tab/>
      </w:r>
      <w:r w:rsidRPr="00287AA6">
        <w:rPr>
          <w:b/>
          <w:bCs/>
          <w:sz w:val="22"/>
          <w:szCs w:val="22"/>
          <w:lang w:val="sr-Latn-RS"/>
        </w:rPr>
        <w:t xml:space="preserve">Uticaj na </w:t>
      </w:r>
      <w:r w:rsidR="002031B3" w:rsidRPr="00287AA6">
        <w:rPr>
          <w:b/>
          <w:bCs/>
          <w:sz w:val="22"/>
          <w:szCs w:val="22"/>
          <w:lang w:val="sr-Latn-RS"/>
        </w:rPr>
        <w:t xml:space="preserve">sposobnost </w:t>
      </w:r>
      <w:r w:rsidR="00F34554" w:rsidRPr="00287AA6">
        <w:rPr>
          <w:b/>
          <w:bCs/>
          <w:sz w:val="22"/>
          <w:szCs w:val="22"/>
          <w:lang w:val="sr-Latn-RS"/>
        </w:rPr>
        <w:t>upravljanja vozili</w:t>
      </w:r>
      <w:r w:rsidRPr="00287AA6">
        <w:rPr>
          <w:b/>
          <w:bCs/>
          <w:sz w:val="22"/>
          <w:szCs w:val="22"/>
          <w:lang w:val="sr-Latn-RS"/>
        </w:rPr>
        <w:t>m</w:t>
      </w:r>
      <w:r w:rsidR="00F34554" w:rsidRPr="00287AA6">
        <w:rPr>
          <w:b/>
          <w:bCs/>
          <w:sz w:val="22"/>
          <w:szCs w:val="22"/>
          <w:lang w:val="sr-Latn-RS"/>
        </w:rPr>
        <w:t>a</w:t>
      </w:r>
      <w:r w:rsidRPr="00287AA6">
        <w:rPr>
          <w:b/>
          <w:bCs/>
          <w:sz w:val="22"/>
          <w:szCs w:val="22"/>
          <w:lang w:val="sr-Latn-RS"/>
        </w:rPr>
        <w:t xml:space="preserve"> i </w:t>
      </w:r>
      <w:r w:rsidR="000D3449" w:rsidRPr="00287AA6">
        <w:rPr>
          <w:b/>
          <w:bCs/>
          <w:sz w:val="22"/>
          <w:szCs w:val="22"/>
          <w:lang w:val="sr-Latn-RS"/>
        </w:rPr>
        <w:t xml:space="preserve">rukovanje </w:t>
      </w:r>
      <w:r w:rsidRPr="00287AA6">
        <w:rPr>
          <w:b/>
          <w:bCs/>
          <w:sz w:val="22"/>
          <w:szCs w:val="22"/>
          <w:lang w:val="sr-Latn-RS"/>
        </w:rPr>
        <w:t>mašinama</w:t>
      </w:r>
    </w:p>
    <w:p w14:paraId="24150441" w14:textId="77777777" w:rsidR="0072020E" w:rsidRPr="007223BC" w:rsidRDefault="000A4367" w:rsidP="00805A14">
      <w:pPr>
        <w:spacing w:before="100" w:beforeAutospacing="1" w:after="100" w:afterAutospacing="1"/>
        <w:jc w:val="both"/>
        <w:rPr>
          <w:sz w:val="22"/>
          <w:szCs w:val="22"/>
          <w:lang w:val="sr-Latn-RS" w:eastAsia="sr-Latn-RS"/>
        </w:rPr>
      </w:pPr>
      <w:r w:rsidRPr="007223BC">
        <w:rPr>
          <w:sz w:val="22"/>
          <w:szCs w:val="22"/>
          <w:lang w:val="sr-Latn-RS" w:eastAsia="sr-Latn-RS"/>
        </w:rPr>
        <w:t xml:space="preserve">Lijek DOVATO ne utiče ili zanemarljivo utiče na sposobnost upravljanja vozilima i </w:t>
      </w:r>
      <w:r w:rsidR="002C4597" w:rsidRPr="007223BC">
        <w:rPr>
          <w:sz w:val="22"/>
          <w:szCs w:val="22"/>
          <w:lang w:val="sr-Latn-RS" w:eastAsia="sr-Latn-RS"/>
        </w:rPr>
        <w:t xml:space="preserve">rukovanja </w:t>
      </w:r>
      <w:r w:rsidRPr="007223BC">
        <w:rPr>
          <w:sz w:val="22"/>
          <w:szCs w:val="22"/>
          <w:lang w:val="sr-Latn-RS" w:eastAsia="sr-Latn-RS"/>
        </w:rPr>
        <w:t xml:space="preserve">mašinama. Pacijente treba upozoriti da su tokom liječenja dolutegravirom prijavljeni vrtoglavica i pospanost. Kada se razmatra pacijentova sposobnost upravljanja vozilima ili rukovanja mašinama, u obzir treba uzeti kliničko stanje pacijenata i profil neželjenih reakcija lijeka DOVATO. </w:t>
      </w:r>
    </w:p>
    <w:p w14:paraId="555103A9" w14:textId="77777777" w:rsidR="0072020E" w:rsidRPr="00287AA6" w:rsidRDefault="0072020E" w:rsidP="00805A14">
      <w:pPr>
        <w:tabs>
          <w:tab w:val="left" w:pos="540"/>
          <w:tab w:val="left" w:pos="569"/>
        </w:tabs>
        <w:jc w:val="both"/>
        <w:rPr>
          <w:b/>
          <w:bCs/>
          <w:sz w:val="22"/>
          <w:szCs w:val="22"/>
          <w:lang w:val="sr-Latn-RS"/>
        </w:rPr>
      </w:pPr>
      <w:r w:rsidRPr="00287AA6">
        <w:rPr>
          <w:b/>
          <w:bCs/>
          <w:sz w:val="22"/>
          <w:szCs w:val="22"/>
          <w:lang w:val="sr-Latn-RS"/>
        </w:rPr>
        <w:t xml:space="preserve">4.8. </w:t>
      </w:r>
      <w:r w:rsidR="00480FB1" w:rsidRPr="00287AA6">
        <w:rPr>
          <w:b/>
          <w:bCs/>
          <w:sz w:val="22"/>
          <w:szCs w:val="22"/>
          <w:lang w:val="sr-Latn-RS"/>
        </w:rPr>
        <w:tab/>
      </w:r>
      <w:r w:rsidRPr="00287AA6">
        <w:rPr>
          <w:b/>
          <w:bCs/>
          <w:sz w:val="22"/>
          <w:szCs w:val="22"/>
          <w:lang w:val="sr-Latn-RS"/>
        </w:rPr>
        <w:t>Neželjena dejstva</w:t>
      </w:r>
    </w:p>
    <w:p w14:paraId="20064044" w14:textId="77777777" w:rsidR="00C43029" w:rsidRPr="00287AA6" w:rsidRDefault="00C43029" w:rsidP="00805A14">
      <w:pPr>
        <w:tabs>
          <w:tab w:val="left" w:pos="540"/>
          <w:tab w:val="left" w:pos="569"/>
        </w:tabs>
        <w:jc w:val="both"/>
        <w:rPr>
          <w:b/>
          <w:bCs/>
          <w:sz w:val="22"/>
          <w:szCs w:val="22"/>
          <w:lang w:val="sr-Latn-RS"/>
        </w:rPr>
      </w:pPr>
    </w:p>
    <w:p w14:paraId="2ADC2A53" w14:textId="77777777" w:rsidR="00920037" w:rsidRPr="007223BC" w:rsidRDefault="00920037" w:rsidP="00805A14">
      <w:pPr>
        <w:suppressLineNumbers/>
        <w:autoSpaceDE w:val="0"/>
        <w:autoSpaceDN w:val="0"/>
        <w:adjustRightInd w:val="0"/>
        <w:jc w:val="both"/>
        <w:rPr>
          <w:noProof/>
          <w:sz w:val="22"/>
          <w:szCs w:val="22"/>
          <w:u w:val="single"/>
          <w:lang w:val="sr-Latn-RS"/>
        </w:rPr>
      </w:pPr>
      <w:r w:rsidRPr="007223BC">
        <w:rPr>
          <w:noProof/>
          <w:sz w:val="22"/>
          <w:szCs w:val="22"/>
          <w:u w:val="single"/>
          <w:lang w:val="sr-Latn-RS"/>
        </w:rPr>
        <w:t>Sažetak bezbjednosnog profila</w:t>
      </w:r>
    </w:p>
    <w:p w14:paraId="5B507FC7" w14:textId="77777777" w:rsidR="00920037" w:rsidRPr="007223BC" w:rsidRDefault="00920037" w:rsidP="00805A14">
      <w:pPr>
        <w:spacing w:before="100" w:beforeAutospacing="1" w:after="100" w:afterAutospacing="1"/>
        <w:jc w:val="both"/>
        <w:rPr>
          <w:sz w:val="22"/>
          <w:szCs w:val="22"/>
          <w:lang w:val="sr-Latn-RS" w:eastAsia="sr-Latn-RS"/>
        </w:rPr>
      </w:pPr>
      <w:r w:rsidRPr="007223BC">
        <w:rPr>
          <w:sz w:val="22"/>
          <w:szCs w:val="22"/>
          <w:lang w:val="sr-Latn-RS" w:eastAsia="sr-Latn-RS"/>
        </w:rPr>
        <w:t>Najčešće prijavljene neželjene reakcije bile su glavobolja (3%), proliv (2%), mučnina (2%) i nesanica (2%).</w:t>
      </w:r>
    </w:p>
    <w:p w14:paraId="3A42D607" w14:textId="77777777" w:rsidR="00920037" w:rsidRPr="007223BC" w:rsidRDefault="00920037" w:rsidP="00805A14">
      <w:pPr>
        <w:spacing w:before="100" w:beforeAutospacing="1" w:after="100" w:afterAutospacing="1"/>
        <w:jc w:val="both"/>
        <w:rPr>
          <w:sz w:val="22"/>
          <w:szCs w:val="22"/>
          <w:lang w:val="sr-Latn-RS" w:eastAsia="sr-Latn-RS"/>
        </w:rPr>
      </w:pPr>
      <w:r w:rsidRPr="007223BC">
        <w:rPr>
          <w:sz w:val="22"/>
          <w:szCs w:val="22"/>
          <w:lang w:val="sr-Latn-RS" w:eastAsia="sr-Latn-RS"/>
        </w:rPr>
        <w:t xml:space="preserve">Najteža neželjena reakcija prijavljena kod primjene dolutergravira bila je reakcija preosjetljivosti koja je uključivala osip i teška </w:t>
      </w:r>
      <w:r w:rsidR="00621611" w:rsidRPr="007223BC">
        <w:rPr>
          <w:sz w:val="22"/>
          <w:szCs w:val="22"/>
          <w:lang w:val="sr-Latn-RS" w:eastAsia="sr-Latn-RS"/>
        </w:rPr>
        <w:t xml:space="preserve">neželjena </w:t>
      </w:r>
      <w:r w:rsidRPr="007223BC">
        <w:rPr>
          <w:sz w:val="22"/>
          <w:szCs w:val="22"/>
          <w:lang w:val="sr-Latn-RS" w:eastAsia="sr-Latn-RS"/>
        </w:rPr>
        <w:t xml:space="preserve">dejstva na jetru (vidjeti </w:t>
      </w:r>
      <w:r w:rsidR="007E44E1" w:rsidRPr="007223BC">
        <w:rPr>
          <w:sz w:val="22"/>
          <w:szCs w:val="22"/>
          <w:lang w:val="sr-Latn-RS" w:eastAsia="sr-Latn-RS"/>
        </w:rPr>
        <w:t>dio</w:t>
      </w:r>
      <w:r w:rsidRPr="007223BC">
        <w:rPr>
          <w:sz w:val="22"/>
          <w:szCs w:val="22"/>
          <w:lang w:val="sr-Latn-RS" w:eastAsia="sr-Latn-RS"/>
        </w:rPr>
        <w:t xml:space="preserve"> 4.4).</w:t>
      </w:r>
    </w:p>
    <w:p w14:paraId="31199120" w14:textId="77777777" w:rsidR="00920037" w:rsidRPr="007223BC" w:rsidRDefault="00920037" w:rsidP="00805A14">
      <w:pPr>
        <w:suppressLineNumbers/>
        <w:autoSpaceDE w:val="0"/>
        <w:autoSpaceDN w:val="0"/>
        <w:adjustRightInd w:val="0"/>
        <w:jc w:val="both"/>
        <w:rPr>
          <w:noProof/>
          <w:sz w:val="22"/>
          <w:szCs w:val="22"/>
          <w:u w:val="single"/>
          <w:lang w:val="sr-Latn-RS"/>
        </w:rPr>
      </w:pPr>
      <w:r w:rsidRPr="007223BC">
        <w:rPr>
          <w:noProof/>
          <w:sz w:val="22"/>
          <w:szCs w:val="22"/>
          <w:u w:val="single"/>
          <w:lang w:val="sr-Latn-RS"/>
        </w:rPr>
        <w:t>Tabelarni prikaz neželjenih reakcija</w:t>
      </w:r>
    </w:p>
    <w:p w14:paraId="3CE15683" w14:textId="77777777" w:rsidR="00920037" w:rsidRPr="007223BC" w:rsidRDefault="00920037" w:rsidP="00805A14">
      <w:pPr>
        <w:spacing w:before="100" w:beforeAutospacing="1" w:after="100" w:afterAutospacing="1"/>
        <w:jc w:val="both"/>
        <w:rPr>
          <w:sz w:val="22"/>
          <w:szCs w:val="22"/>
          <w:lang w:val="sr-Latn-RS" w:eastAsia="sr-Latn-RS"/>
        </w:rPr>
      </w:pPr>
      <w:r w:rsidRPr="007223BC">
        <w:rPr>
          <w:sz w:val="22"/>
          <w:szCs w:val="22"/>
          <w:lang w:val="sr-Latn-RS" w:eastAsia="sr-Latn-RS"/>
        </w:rPr>
        <w:t xml:space="preserve">Neželjene reakcije prijavljene u kliničkim ispitivanjima i nakon stavljanja lijeka u promet navedene su u </w:t>
      </w:r>
      <w:r w:rsidR="009A0929" w:rsidRPr="007223BC">
        <w:rPr>
          <w:sz w:val="22"/>
          <w:szCs w:val="22"/>
          <w:lang w:val="sr-Latn-RS" w:eastAsia="sr-Latn-RS"/>
        </w:rPr>
        <w:t>T</w:t>
      </w:r>
      <w:r w:rsidRPr="007223BC">
        <w:rPr>
          <w:sz w:val="22"/>
          <w:szCs w:val="22"/>
          <w:lang w:val="sr-Latn-RS" w:eastAsia="sr-Latn-RS"/>
        </w:rPr>
        <w:t xml:space="preserve">abeli 2 </w:t>
      </w:r>
      <w:r w:rsidR="00F962B3" w:rsidRPr="007223BC">
        <w:rPr>
          <w:sz w:val="22"/>
          <w:szCs w:val="22"/>
          <w:lang w:val="sr-Latn-RS" w:eastAsia="sr-Latn-RS"/>
        </w:rPr>
        <w:t>prema organskom sistemu</w:t>
      </w:r>
      <w:r w:rsidRPr="007223BC">
        <w:rPr>
          <w:sz w:val="22"/>
          <w:szCs w:val="22"/>
          <w:lang w:val="sr-Latn-RS" w:eastAsia="sr-Latn-RS"/>
        </w:rPr>
        <w:t xml:space="preserve"> i apsolutnoj učestalosti. Učestalost je definisana kao v</w:t>
      </w:r>
      <w:r w:rsidR="00C43029" w:rsidRPr="007223BC">
        <w:rPr>
          <w:sz w:val="22"/>
          <w:szCs w:val="22"/>
          <w:lang w:val="sr-Latn-RS" w:eastAsia="sr-Latn-RS"/>
        </w:rPr>
        <w:t>eoma</w:t>
      </w:r>
      <w:r w:rsidRPr="007223BC">
        <w:rPr>
          <w:sz w:val="22"/>
          <w:szCs w:val="22"/>
          <w:lang w:val="sr-Latn-RS" w:eastAsia="sr-Latn-RS"/>
        </w:rPr>
        <w:t xml:space="preserve"> često (≥ 1/10), često (≥ 1/100 i &lt; 1/10), povremeno (≥ 1/1000 i &lt; 1/100), rijetko (≥1/10 000 i &lt; 1/1000), </w:t>
      </w:r>
      <w:r w:rsidR="00C43029" w:rsidRPr="007223BC">
        <w:rPr>
          <w:sz w:val="22"/>
          <w:szCs w:val="22"/>
          <w:lang w:val="sr-Latn-RS" w:eastAsia="sr-Latn-RS"/>
        </w:rPr>
        <w:t>veoma</w:t>
      </w:r>
      <w:r w:rsidRPr="007223BC">
        <w:rPr>
          <w:sz w:val="22"/>
          <w:szCs w:val="22"/>
          <w:lang w:val="sr-Latn-RS" w:eastAsia="sr-Latn-RS"/>
        </w:rPr>
        <w:t xml:space="preserve"> rijetko (&lt; 1/10 000), nepoznato (ne može se procijeniti </w:t>
      </w:r>
      <w:r w:rsidR="00C43029" w:rsidRPr="007223BC">
        <w:rPr>
          <w:sz w:val="22"/>
          <w:szCs w:val="22"/>
          <w:lang w:val="sr-Latn-RS" w:eastAsia="sr-Latn-RS"/>
        </w:rPr>
        <w:t>na osnovu</w:t>
      </w:r>
      <w:r w:rsidRPr="007223BC">
        <w:rPr>
          <w:sz w:val="22"/>
          <w:szCs w:val="22"/>
          <w:lang w:val="sr-Latn-RS" w:eastAsia="sr-Latn-RS"/>
        </w:rPr>
        <w:t xml:space="preserve"> dostupnih podataka).</w:t>
      </w:r>
    </w:p>
    <w:p w14:paraId="2BC0A9EC" w14:textId="1EB51750" w:rsidR="00920037" w:rsidRPr="007223BC" w:rsidRDefault="00920037" w:rsidP="00805A14">
      <w:pPr>
        <w:suppressLineNumbers/>
        <w:autoSpaceDE w:val="0"/>
        <w:autoSpaceDN w:val="0"/>
        <w:adjustRightInd w:val="0"/>
        <w:ind w:left="1440" w:hanging="1440"/>
        <w:jc w:val="both"/>
        <w:rPr>
          <w:b/>
          <w:noProof/>
          <w:sz w:val="22"/>
          <w:szCs w:val="22"/>
          <w:lang w:val="sr-Latn-RS"/>
        </w:rPr>
      </w:pPr>
      <w:r w:rsidRPr="007223BC">
        <w:rPr>
          <w:b/>
          <w:noProof/>
          <w:sz w:val="22"/>
          <w:szCs w:val="22"/>
          <w:lang w:val="sr-Latn-RS"/>
        </w:rPr>
        <w:t>Tabela 2:</w:t>
      </w:r>
      <w:r w:rsidRPr="007223BC">
        <w:rPr>
          <w:b/>
          <w:noProof/>
          <w:sz w:val="22"/>
          <w:szCs w:val="22"/>
          <w:lang w:val="sr-Latn-RS"/>
        </w:rPr>
        <w:tab/>
        <w:t>Tabelarni prikaz neželjenih reakcija lijeka DOVATO</w:t>
      </w:r>
      <w:r w:rsidR="001221EB" w:rsidRPr="007223BC">
        <w:rPr>
          <w:b/>
          <w:noProof/>
          <w:sz w:val="22"/>
          <w:szCs w:val="22"/>
          <w:lang w:val="sr-Latn-RS"/>
        </w:rPr>
        <w:t xml:space="preserve"> </w:t>
      </w:r>
      <w:r w:rsidRPr="007223BC">
        <w:rPr>
          <w:b/>
          <w:noProof/>
          <w:sz w:val="22"/>
          <w:szCs w:val="22"/>
          <w:lang w:val="sr-Latn-RS"/>
        </w:rPr>
        <w:t>na osnovu iskustva iz kliničkih ispitivanja lijeka DOVATO</w:t>
      </w:r>
      <w:r w:rsidR="001221EB" w:rsidRPr="007223BC">
        <w:rPr>
          <w:b/>
          <w:noProof/>
          <w:sz w:val="22"/>
          <w:szCs w:val="22"/>
          <w:lang w:val="sr-Latn-RS"/>
        </w:rPr>
        <w:t xml:space="preserve"> </w:t>
      </w:r>
      <w:r w:rsidRPr="007223BC">
        <w:rPr>
          <w:b/>
          <w:noProof/>
          <w:sz w:val="22"/>
          <w:szCs w:val="22"/>
          <w:lang w:val="sr-Latn-RS"/>
        </w:rPr>
        <w:t xml:space="preserve">i njegovih pojedinačnih sastojaka i nakon stavljanja lijeka u promet </w:t>
      </w:r>
    </w:p>
    <w:p w14:paraId="19437D68" w14:textId="77777777" w:rsidR="00920037" w:rsidRPr="007223BC" w:rsidRDefault="00920037" w:rsidP="00805A14">
      <w:pPr>
        <w:suppressLineNumbers/>
        <w:autoSpaceDE w:val="0"/>
        <w:autoSpaceDN w:val="0"/>
        <w:adjustRightInd w:val="0"/>
        <w:ind w:left="1440" w:hanging="1440"/>
        <w:jc w:val="both"/>
        <w:rPr>
          <w:b/>
          <w:noProof/>
          <w:sz w:val="22"/>
          <w:szCs w:val="22"/>
          <w:lang w:val="sr-Latn-RS"/>
        </w:rPr>
      </w:pPr>
    </w:p>
    <w:p w14:paraId="4D2EBAE0" w14:textId="77777777" w:rsidR="00920037" w:rsidRPr="007223BC" w:rsidRDefault="00920037" w:rsidP="00805A14">
      <w:pPr>
        <w:suppressLineNumbers/>
        <w:autoSpaceDE w:val="0"/>
        <w:autoSpaceDN w:val="0"/>
        <w:adjustRightInd w:val="0"/>
        <w:ind w:left="1440" w:hanging="1440"/>
        <w:jc w:val="both"/>
        <w:rPr>
          <w:b/>
          <w:noProof/>
          <w:sz w:val="22"/>
          <w:szCs w:val="22"/>
          <w:lang w:val="sr-Latn-RS"/>
        </w:rPr>
      </w:pPr>
    </w:p>
    <w:tbl>
      <w:tblPr>
        <w:tblW w:w="8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5652"/>
      </w:tblGrid>
      <w:tr w:rsidR="00920037" w:rsidRPr="007223BC" w14:paraId="53084E35" w14:textId="77777777" w:rsidTr="006F142D">
        <w:trPr>
          <w:jc w:val="center"/>
        </w:trPr>
        <w:tc>
          <w:tcPr>
            <w:tcW w:w="2376" w:type="dxa"/>
          </w:tcPr>
          <w:p w14:paraId="14C3F0C7" w14:textId="77777777" w:rsidR="00920037" w:rsidRPr="007223BC" w:rsidRDefault="00920037" w:rsidP="00805A14">
            <w:pPr>
              <w:widowControl w:val="0"/>
              <w:spacing w:before="60" w:after="60"/>
              <w:jc w:val="both"/>
              <w:rPr>
                <w:b/>
                <w:sz w:val="22"/>
                <w:szCs w:val="22"/>
                <w:lang w:val="sr-Latn-RS"/>
              </w:rPr>
            </w:pPr>
            <w:r w:rsidRPr="007223BC">
              <w:rPr>
                <w:b/>
                <w:sz w:val="22"/>
                <w:szCs w:val="22"/>
                <w:lang w:val="sr-Latn-RS"/>
              </w:rPr>
              <w:t>Učestalost</w:t>
            </w:r>
          </w:p>
        </w:tc>
        <w:tc>
          <w:tcPr>
            <w:tcW w:w="5652" w:type="dxa"/>
          </w:tcPr>
          <w:p w14:paraId="3BF8CE1F" w14:textId="77777777" w:rsidR="00920037" w:rsidRPr="007223BC" w:rsidRDefault="00920037" w:rsidP="00805A14">
            <w:pPr>
              <w:widowControl w:val="0"/>
              <w:spacing w:before="60" w:after="60"/>
              <w:jc w:val="both"/>
              <w:rPr>
                <w:b/>
                <w:sz w:val="22"/>
                <w:szCs w:val="22"/>
                <w:lang w:val="sr-Latn-RS"/>
              </w:rPr>
            </w:pPr>
            <w:r w:rsidRPr="007223BC">
              <w:rPr>
                <w:b/>
                <w:sz w:val="22"/>
                <w:szCs w:val="22"/>
                <w:lang w:val="sr-Latn-RS"/>
              </w:rPr>
              <w:t>Neželjene reakcije</w:t>
            </w:r>
          </w:p>
        </w:tc>
      </w:tr>
      <w:tr w:rsidR="00920037" w:rsidRPr="007223BC" w14:paraId="0D4B825A" w14:textId="77777777" w:rsidTr="006F142D">
        <w:trPr>
          <w:jc w:val="center"/>
        </w:trPr>
        <w:tc>
          <w:tcPr>
            <w:tcW w:w="8028" w:type="dxa"/>
            <w:gridSpan w:val="2"/>
          </w:tcPr>
          <w:p w14:paraId="00AD2405" w14:textId="77777777" w:rsidR="00920037" w:rsidRPr="007223BC" w:rsidRDefault="00920037" w:rsidP="00805A14">
            <w:pPr>
              <w:widowControl w:val="0"/>
              <w:spacing w:before="60" w:after="60"/>
              <w:jc w:val="both"/>
              <w:rPr>
                <w:i/>
                <w:sz w:val="22"/>
                <w:szCs w:val="22"/>
                <w:lang w:val="sr-Latn-RS"/>
              </w:rPr>
            </w:pPr>
            <w:r w:rsidRPr="007223BC">
              <w:rPr>
                <w:i/>
                <w:sz w:val="22"/>
                <w:szCs w:val="22"/>
                <w:lang w:val="sr-Latn-RS"/>
              </w:rPr>
              <w:t>Poremećaji krvi i limfnog sistema:</w:t>
            </w:r>
          </w:p>
        </w:tc>
      </w:tr>
      <w:tr w:rsidR="00920037" w:rsidRPr="007223BC" w14:paraId="493706D5" w14:textId="77777777" w:rsidTr="006F142D">
        <w:trPr>
          <w:jc w:val="center"/>
        </w:trPr>
        <w:tc>
          <w:tcPr>
            <w:tcW w:w="2376" w:type="dxa"/>
          </w:tcPr>
          <w:p w14:paraId="24D46275" w14:textId="77777777" w:rsidR="00920037" w:rsidRPr="007223BC" w:rsidRDefault="00920037" w:rsidP="00805A14">
            <w:pPr>
              <w:widowControl w:val="0"/>
              <w:spacing w:before="60" w:after="60"/>
              <w:jc w:val="both"/>
              <w:rPr>
                <w:sz w:val="22"/>
                <w:szCs w:val="22"/>
                <w:lang w:val="sr-Latn-RS"/>
              </w:rPr>
            </w:pPr>
            <w:r w:rsidRPr="007223BC">
              <w:rPr>
                <w:sz w:val="22"/>
                <w:szCs w:val="22"/>
                <w:lang w:val="sr-Latn-RS"/>
              </w:rPr>
              <w:t>Povremeno:</w:t>
            </w:r>
          </w:p>
        </w:tc>
        <w:tc>
          <w:tcPr>
            <w:tcW w:w="5652" w:type="dxa"/>
          </w:tcPr>
          <w:p w14:paraId="02D1E47B" w14:textId="77777777" w:rsidR="00920037" w:rsidRPr="007223BC" w:rsidRDefault="00920037" w:rsidP="00805A14">
            <w:pPr>
              <w:widowControl w:val="0"/>
              <w:spacing w:before="60" w:after="60"/>
              <w:jc w:val="both"/>
              <w:rPr>
                <w:i/>
                <w:snapToGrid w:val="0"/>
                <w:sz w:val="22"/>
                <w:szCs w:val="22"/>
                <w:lang w:val="sr-Latn-RS"/>
              </w:rPr>
            </w:pPr>
            <w:r w:rsidRPr="007223BC">
              <w:rPr>
                <w:sz w:val="22"/>
                <w:szCs w:val="22"/>
                <w:lang w:val="sr-Latn-RS"/>
              </w:rPr>
              <w:t>neutropenija, anemija, trombocitopenija</w:t>
            </w:r>
          </w:p>
        </w:tc>
      </w:tr>
      <w:tr w:rsidR="00920037" w:rsidRPr="00413968" w14:paraId="259FCFE1" w14:textId="77777777" w:rsidTr="006F142D">
        <w:trPr>
          <w:jc w:val="center"/>
        </w:trPr>
        <w:tc>
          <w:tcPr>
            <w:tcW w:w="2376" w:type="dxa"/>
          </w:tcPr>
          <w:p w14:paraId="5F0DE7CB" w14:textId="77777777" w:rsidR="00920037" w:rsidRPr="007223BC" w:rsidRDefault="00920037" w:rsidP="00805A14">
            <w:pPr>
              <w:widowControl w:val="0"/>
              <w:spacing w:before="60" w:after="60"/>
              <w:jc w:val="both"/>
              <w:rPr>
                <w:sz w:val="22"/>
                <w:szCs w:val="22"/>
                <w:lang w:val="sr-Latn-RS"/>
              </w:rPr>
            </w:pPr>
            <w:r w:rsidRPr="007223BC">
              <w:rPr>
                <w:sz w:val="22"/>
                <w:szCs w:val="22"/>
                <w:lang w:val="sr-Latn-RS"/>
              </w:rPr>
              <w:t>Veoma rijetko:</w:t>
            </w:r>
          </w:p>
        </w:tc>
        <w:tc>
          <w:tcPr>
            <w:tcW w:w="5652" w:type="dxa"/>
          </w:tcPr>
          <w:p w14:paraId="338237B4" w14:textId="244C277D" w:rsidR="00920037" w:rsidRPr="007223BC" w:rsidRDefault="00D030A9" w:rsidP="00805A14">
            <w:pPr>
              <w:widowControl w:val="0"/>
              <w:spacing w:before="60" w:after="60"/>
              <w:jc w:val="both"/>
              <w:rPr>
                <w:sz w:val="22"/>
                <w:szCs w:val="22"/>
                <w:lang w:val="sr-Latn-RS"/>
              </w:rPr>
            </w:pPr>
            <w:r>
              <w:rPr>
                <w:sz w:val="22"/>
                <w:szCs w:val="22"/>
                <w:lang w:val="sr-Latn-RS"/>
              </w:rPr>
              <w:t>izolovan</w:t>
            </w:r>
            <w:r w:rsidR="00920037" w:rsidRPr="007223BC">
              <w:rPr>
                <w:sz w:val="22"/>
                <w:szCs w:val="22"/>
                <w:lang w:val="sr-Latn-RS"/>
              </w:rPr>
              <w:t xml:space="preserve">a aplazija crvenih krvnih ćelija </w:t>
            </w:r>
          </w:p>
        </w:tc>
      </w:tr>
      <w:tr w:rsidR="00920037" w:rsidRPr="007223BC" w14:paraId="5AA121CB" w14:textId="77777777" w:rsidTr="006F142D">
        <w:trPr>
          <w:jc w:val="center"/>
        </w:trPr>
        <w:tc>
          <w:tcPr>
            <w:tcW w:w="8028" w:type="dxa"/>
            <w:gridSpan w:val="2"/>
          </w:tcPr>
          <w:p w14:paraId="7EF6BC42" w14:textId="77777777" w:rsidR="00920037" w:rsidRPr="007223BC" w:rsidRDefault="00920037" w:rsidP="00805A14">
            <w:pPr>
              <w:widowControl w:val="0"/>
              <w:spacing w:before="60" w:after="60"/>
              <w:jc w:val="both"/>
              <w:rPr>
                <w:i/>
                <w:snapToGrid w:val="0"/>
                <w:sz w:val="22"/>
                <w:szCs w:val="22"/>
                <w:lang w:val="sr-Latn-RS"/>
              </w:rPr>
            </w:pPr>
            <w:r w:rsidRPr="007223BC">
              <w:rPr>
                <w:i/>
                <w:sz w:val="22"/>
                <w:szCs w:val="22"/>
                <w:lang w:val="sr-Latn-RS"/>
              </w:rPr>
              <w:t>Poremećaji imunog sistema:</w:t>
            </w:r>
          </w:p>
        </w:tc>
      </w:tr>
      <w:tr w:rsidR="00920037" w:rsidRPr="007223BC" w14:paraId="5BEB5F9B" w14:textId="77777777" w:rsidTr="006F142D">
        <w:trPr>
          <w:jc w:val="center"/>
        </w:trPr>
        <w:tc>
          <w:tcPr>
            <w:tcW w:w="2376" w:type="dxa"/>
          </w:tcPr>
          <w:p w14:paraId="729A3F49" w14:textId="77777777" w:rsidR="00920037" w:rsidRPr="007223BC" w:rsidRDefault="00F962B3" w:rsidP="00805A14">
            <w:pPr>
              <w:widowControl w:val="0"/>
              <w:spacing w:before="60" w:after="60"/>
              <w:jc w:val="both"/>
              <w:rPr>
                <w:sz w:val="22"/>
                <w:szCs w:val="22"/>
                <w:lang w:val="sr-Latn-RS"/>
              </w:rPr>
            </w:pPr>
            <w:r w:rsidRPr="007223BC">
              <w:rPr>
                <w:sz w:val="22"/>
                <w:szCs w:val="22"/>
                <w:lang w:val="sr-Latn-RS"/>
              </w:rPr>
              <w:t>Povremeno</w:t>
            </w:r>
            <w:r w:rsidR="00920037" w:rsidRPr="007223BC">
              <w:rPr>
                <w:sz w:val="22"/>
                <w:szCs w:val="22"/>
                <w:lang w:val="sr-Latn-RS"/>
              </w:rPr>
              <w:t>:</w:t>
            </w:r>
          </w:p>
        </w:tc>
        <w:tc>
          <w:tcPr>
            <w:tcW w:w="5652" w:type="dxa"/>
          </w:tcPr>
          <w:p w14:paraId="227ACBDB" w14:textId="77777777" w:rsidR="00920037" w:rsidRPr="007223BC" w:rsidRDefault="00920037" w:rsidP="00805A14">
            <w:pPr>
              <w:widowControl w:val="0"/>
              <w:spacing w:before="60" w:after="60"/>
              <w:jc w:val="both"/>
              <w:rPr>
                <w:i/>
                <w:snapToGrid w:val="0"/>
                <w:sz w:val="22"/>
                <w:szCs w:val="22"/>
                <w:lang w:val="sr-Latn-RS"/>
              </w:rPr>
            </w:pPr>
            <w:r w:rsidRPr="007223BC">
              <w:rPr>
                <w:snapToGrid w:val="0"/>
                <w:sz w:val="22"/>
                <w:szCs w:val="22"/>
                <w:lang w:val="sr-Latn-RS"/>
              </w:rPr>
              <w:t xml:space="preserve">preosjetljivost (vidjeti </w:t>
            </w:r>
            <w:r w:rsidR="001221EB" w:rsidRPr="007223BC">
              <w:rPr>
                <w:snapToGrid w:val="0"/>
                <w:sz w:val="22"/>
                <w:szCs w:val="22"/>
                <w:lang w:val="sr-Latn-RS"/>
              </w:rPr>
              <w:t>dio</w:t>
            </w:r>
            <w:r w:rsidRPr="007223BC">
              <w:rPr>
                <w:snapToGrid w:val="0"/>
                <w:sz w:val="22"/>
                <w:szCs w:val="22"/>
                <w:lang w:val="sr-Latn-RS"/>
              </w:rPr>
              <w:t xml:space="preserve"> 4.4), sindrom imunološke rekonstitucije (vidjeti </w:t>
            </w:r>
            <w:r w:rsidR="001221EB" w:rsidRPr="007223BC">
              <w:rPr>
                <w:snapToGrid w:val="0"/>
                <w:sz w:val="22"/>
                <w:szCs w:val="22"/>
                <w:lang w:val="sr-Latn-RS"/>
              </w:rPr>
              <w:t>dio</w:t>
            </w:r>
            <w:r w:rsidRPr="007223BC">
              <w:rPr>
                <w:snapToGrid w:val="0"/>
                <w:sz w:val="22"/>
                <w:szCs w:val="22"/>
                <w:lang w:val="sr-Latn-RS"/>
              </w:rPr>
              <w:t xml:space="preserve"> 4.4)</w:t>
            </w:r>
          </w:p>
        </w:tc>
      </w:tr>
      <w:tr w:rsidR="00920037" w:rsidRPr="007223BC" w14:paraId="27B6D4B5" w14:textId="77777777" w:rsidTr="006F142D">
        <w:trPr>
          <w:jc w:val="center"/>
        </w:trPr>
        <w:tc>
          <w:tcPr>
            <w:tcW w:w="8028" w:type="dxa"/>
            <w:gridSpan w:val="2"/>
          </w:tcPr>
          <w:p w14:paraId="6FBFAF59" w14:textId="77777777" w:rsidR="00920037" w:rsidRPr="007223BC" w:rsidRDefault="00920037" w:rsidP="00805A14">
            <w:pPr>
              <w:widowControl w:val="0"/>
              <w:spacing w:before="60" w:after="60"/>
              <w:jc w:val="both"/>
              <w:rPr>
                <w:i/>
                <w:snapToGrid w:val="0"/>
                <w:sz w:val="22"/>
                <w:szCs w:val="22"/>
                <w:lang w:val="sr-Latn-RS"/>
              </w:rPr>
            </w:pPr>
            <w:r w:rsidRPr="007223BC">
              <w:rPr>
                <w:i/>
                <w:sz w:val="22"/>
                <w:szCs w:val="22"/>
                <w:lang w:val="sr-Latn-RS"/>
              </w:rPr>
              <w:t>Poremećaji metabolizma i ishrane:</w:t>
            </w:r>
          </w:p>
        </w:tc>
      </w:tr>
      <w:tr w:rsidR="00920037" w:rsidRPr="007223BC" w14:paraId="448524CC" w14:textId="77777777" w:rsidTr="006F142D">
        <w:trPr>
          <w:jc w:val="center"/>
        </w:trPr>
        <w:tc>
          <w:tcPr>
            <w:tcW w:w="2376" w:type="dxa"/>
          </w:tcPr>
          <w:p w14:paraId="2C0AE278" w14:textId="77777777" w:rsidR="00920037" w:rsidRPr="007223BC" w:rsidRDefault="00920037" w:rsidP="00805A14">
            <w:pPr>
              <w:widowControl w:val="0"/>
              <w:spacing w:before="60" w:after="60"/>
              <w:jc w:val="both"/>
              <w:rPr>
                <w:sz w:val="22"/>
                <w:szCs w:val="22"/>
                <w:lang w:val="sr-Latn-RS"/>
              </w:rPr>
            </w:pPr>
            <w:r w:rsidRPr="007223BC">
              <w:rPr>
                <w:sz w:val="22"/>
                <w:szCs w:val="22"/>
                <w:lang w:val="sr-Latn-RS"/>
              </w:rPr>
              <w:t>V</w:t>
            </w:r>
            <w:r w:rsidR="00C43029" w:rsidRPr="007223BC">
              <w:rPr>
                <w:sz w:val="22"/>
                <w:szCs w:val="22"/>
                <w:lang w:val="sr-Latn-RS"/>
              </w:rPr>
              <w:t>eoma</w:t>
            </w:r>
            <w:r w:rsidRPr="007223BC">
              <w:rPr>
                <w:sz w:val="22"/>
                <w:szCs w:val="22"/>
                <w:lang w:val="sr-Latn-RS"/>
              </w:rPr>
              <w:t xml:space="preserve"> rijetko:</w:t>
            </w:r>
          </w:p>
        </w:tc>
        <w:tc>
          <w:tcPr>
            <w:tcW w:w="5652" w:type="dxa"/>
          </w:tcPr>
          <w:p w14:paraId="389EF0B5" w14:textId="77777777" w:rsidR="00920037" w:rsidRPr="007223BC" w:rsidRDefault="00920037" w:rsidP="00805A14">
            <w:pPr>
              <w:widowControl w:val="0"/>
              <w:spacing w:before="60" w:after="60"/>
              <w:jc w:val="both"/>
              <w:rPr>
                <w:snapToGrid w:val="0"/>
                <w:sz w:val="22"/>
                <w:szCs w:val="22"/>
                <w:lang w:val="sr-Latn-RS"/>
              </w:rPr>
            </w:pPr>
            <w:r w:rsidRPr="007223BC">
              <w:rPr>
                <w:snapToGrid w:val="0"/>
                <w:sz w:val="22"/>
                <w:szCs w:val="22"/>
                <w:lang w:val="sr-Latn-RS"/>
              </w:rPr>
              <w:t>laktatna acidoza</w:t>
            </w:r>
          </w:p>
        </w:tc>
      </w:tr>
      <w:tr w:rsidR="00920037" w:rsidRPr="007223BC" w14:paraId="60E4F437" w14:textId="77777777" w:rsidTr="006F142D">
        <w:trPr>
          <w:jc w:val="center"/>
        </w:trPr>
        <w:tc>
          <w:tcPr>
            <w:tcW w:w="8028" w:type="dxa"/>
            <w:gridSpan w:val="2"/>
          </w:tcPr>
          <w:p w14:paraId="42E1862B" w14:textId="77777777" w:rsidR="00920037" w:rsidRPr="007223BC" w:rsidRDefault="00920037" w:rsidP="00805A14">
            <w:pPr>
              <w:widowControl w:val="0"/>
              <w:spacing w:before="60" w:after="60"/>
              <w:jc w:val="both"/>
              <w:rPr>
                <w:i/>
                <w:snapToGrid w:val="0"/>
                <w:sz w:val="22"/>
                <w:szCs w:val="22"/>
                <w:lang w:val="sr-Latn-RS"/>
              </w:rPr>
            </w:pPr>
            <w:r w:rsidRPr="007223BC">
              <w:rPr>
                <w:i/>
                <w:sz w:val="22"/>
                <w:szCs w:val="22"/>
                <w:lang w:val="sr-Latn-RS"/>
              </w:rPr>
              <w:t>Psihijatrijski poremećaji:</w:t>
            </w:r>
            <w:r w:rsidRPr="007223BC">
              <w:rPr>
                <w:i/>
                <w:snapToGrid w:val="0"/>
                <w:sz w:val="22"/>
                <w:szCs w:val="22"/>
                <w:lang w:val="sr-Latn-RS"/>
              </w:rPr>
              <w:t xml:space="preserve"> </w:t>
            </w:r>
          </w:p>
        </w:tc>
      </w:tr>
      <w:tr w:rsidR="00920037" w:rsidRPr="007223BC" w14:paraId="5AEE5CB6" w14:textId="77777777" w:rsidTr="006F142D">
        <w:trPr>
          <w:jc w:val="center"/>
        </w:trPr>
        <w:tc>
          <w:tcPr>
            <w:tcW w:w="2376" w:type="dxa"/>
          </w:tcPr>
          <w:p w14:paraId="4A79BE97" w14:textId="77777777" w:rsidR="00920037" w:rsidRPr="007223BC" w:rsidRDefault="00920037" w:rsidP="00805A14">
            <w:pPr>
              <w:widowControl w:val="0"/>
              <w:spacing w:before="60" w:after="60"/>
              <w:jc w:val="both"/>
              <w:rPr>
                <w:sz w:val="22"/>
                <w:szCs w:val="22"/>
                <w:lang w:val="sr-Latn-RS"/>
              </w:rPr>
            </w:pPr>
            <w:r w:rsidRPr="007223BC">
              <w:rPr>
                <w:sz w:val="22"/>
                <w:szCs w:val="22"/>
                <w:lang w:val="sr-Latn-RS"/>
              </w:rPr>
              <w:t>Često:</w:t>
            </w:r>
          </w:p>
        </w:tc>
        <w:tc>
          <w:tcPr>
            <w:tcW w:w="5652" w:type="dxa"/>
          </w:tcPr>
          <w:p w14:paraId="3B91942D" w14:textId="77777777" w:rsidR="00920037" w:rsidRPr="007223BC" w:rsidRDefault="00920037" w:rsidP="00805A14">
            <w:pPr>
              <w:widowControl w:val="0"/>
              <w:spacing w:before="60" w:after="60"/>
              <w:jc w:val="both"/>
              <w:rPr>
                <w:snapToGrid w:val="0"/>
                <w:sz w:val="22"/>
                <w:szCs w:val="22"/>
                <w:lang w:val="sr-Latn-RS"/>
              </w:rPr>
            </w:pPr>
            <w:r w:rsidRPr="007223BC">
              <w:rPr>
                <w:snapToGrid w:val="0"/>
                <w:sz w:val="22"/>
                <w:szCs w:val="22"/>
                <w:lang w:val="sr-Latn-RS"/>
              </w:rPr>
              <w:t>depresija, anksioznost, nesanica, neuobičajeni snovi</w:t>
            </w:r>
          </w:p>
        </w:tc>
      </w:tr>
      <w:tr w:rsidR="00B73A51" w:rsidRPr="00413968" w14:paraId="54567814" w14:textId="77777777" w:rsidTr="006F142D">
        <w:trPr>
          <w:jc w:val="center"/>
        </w:trPr>
        <w:tc>
          <w:tcPr>
            <w:tcW w:w="2376" w:type="dxa"/>
          </w:tcPr>
          <w:p w14:paraId="17AE48C9" w14:textId="564DA6CD" w:rsidR="00B73A51" w:rsidRPr="007223BC" w:rsidRDefault="00B73A51" w:rsidP="00805A14">
            <w:pPr>
              <w:widowControl w:val="0"/>
              <w:spacing w:before="60" w:after="60"/>
              <w:jc w:val="both"/>
              <w:rPr>
                <w:sz w:val="22"/>
                <w:szCs w:val="22"/>
                <w:lang w:val="sr-Latn-RS"/>
              </w:rPr>
            </w:pPr>
            <w:r w:rsidRPr="007223BC">
              <w:rPr>
                <w:sz w:val="22"/>
                <w:szCs w:val="22"/>
                <w:lang w:val="sr-Latn-RS"/>
              </w:rPr>
              <w:t>Povremeno:</w:t>
            </w:r>
          </w:p>
        </w:tc>
        <w:tc>
          <w:tcPr>
            <w:tcW w:w="5652" w:type="dxa"/>
          </w:tcPr>
          <w:p w14:paraId="142B1878" w14:textId="3D9C20EE" w:rsidR="00B73A51" w:rsidRPr="007223BC" w:rsidRDefault="00B73A51" w:rsidP="00805A14">
            <w:pPr>
              <w:widowControl w:val="0"/>
              <w:spacing w:before="60" w:after="60"/>
              <w:jc w:val="both"/>
              <w:rPr>
                <w:snapToGrid w:val="0"/>
                <w:sz w:val="22"/>
                <w:szCs w:val="22"/>
                <w:lang w:val="sr-Latn-RS"/>
              </w:rPr>
            </w:pPr>
            <w:r w:rsidRPr="007223BC">
              <w:rPr>
                <w:snapToGrid w:val="0"/>
                <w:sz w:val="22"/>
                <w:szCs w:val="22"/>
                <w:lang w:val="sr-Latn-RS"/>
              </w:rPr>
              <w:t>suicidne misli*, pokušaj suicida*</w:t>
            </w:r>
            <w:r w:rsidR="00D030A9">
              <w:rPr>
                <w:snapToGrid w:val="0"/>
                <w:sz w:val="22"/>
                <w:szCs w:val="22"/>
                <w:lang w:val="sr-Latn-RS"/>
              </w:rPr>
              <w:t xml:space="preserve">, </w:t>
            </w:r>
            <w:r w:rsidR="00D030A9" w:rsidRPr="00586A4F">
              <w:rPr>
                <w:snapToGrid w:val="0"/>
                <w:sz w:val="22"/>
                <w:szCs w:val="22"/>
                <w:lang w:val="sr-Latn-RS"/>
              </w:rPr>
              <w:t>napadi panike</w:t>
            </w:r>
            <w:r w:rsidRPr="007223BC">
              <w:rPr>
                <w:snapToGrid w:val="0"/>
                <w:sz w:val="22"/>
                <w:szCs w:val="22"/>
                <w:lang w:val="sr-Latn-RS"/>
              </w:rPr>
              <w:br/>
              <w:t xml:space="preserve">*naročito kod pacijenata sa </w:t>
            </w:r>
            <w:r w:rsidR="00662028" w:rsidRPr="00F22AE9">
              <w:rPr>
                <w:noProof/>
                <w:sz w:val="22"/>
                <w:szCs w:val="22"/>
                <w:lang w:val="sr-Latn-RS"/>
              </w:rPr>
              <w:t xml:space="preserve">već postojećom istorijom </w:t>
            </w:r>
            <w:r w:rsidRPr="007223BC">
              <w:rPr>
                <w:snapToGrid w:val="0"/>
                <w:sz w:val="22"/>
                <w:szCs w:val="22"/>
                <w:lang w:val="sr-Latn-RS"/>
              </w:rPr>
              <w:t>depresij</w:t>
            </w:r>
            <w:r w:rsidR="00662028">
              <w:rPr>
                <w:snapToGrid w:val="0"/>
                <w:sz w:val="22"/>
                <w:szCs w:val="22"/>
                <w:lang w:val="sr-Latn-RS"/>
              </w:rPr>
              <w:t>e</w:t>
            </w:r>
            <w:r w:rsidRPr="007223BC">
              <w:rPr>
                <w:snapToGrid w:val="0"/>
                <w:sz w:val="22"/>
                <w:szCs w:val="22"/>
                <w:lang w:val="sr-Latn-RS"/>
              </w:rPr>
              <w:t xml:space="preserve"> ili psihijatrijsk</w:t>
            </w:r>
            <w:r w:rsidR="00662028">
              <w:rPr>
                <w:snapToGrid w:val="0"/>
                <w:sz w:val="22"/>
                <w:szCs w:val="22"/>
                <w:lang w:val="sr-Latn-RS"/>
              </w:rPr>
              <w:t>ih bol</w:t>
            </w:r>
            <w:r w:rsidR="00011754">
              <w:rPr>
                <w:snapToGrid w:val="0"/>
                <w:sz w:val="22"/>
                <w:szCs w:val="22"/>
                <w:lang w:val="sr-Latn-RS"/>
              </w:rPr>
              <w:t>e</w:t>
            </w:r>
            <w:r w:rsidR="00662028">
              <w:rPr>
                <w:snapToGrid w:val="0"/>
                <w:sz w:val="22"/>
                <w:szCs w:val="22"/>
                <w:lang w:val="sr-Latn-RS"/>
              </w:rPr>
              <w:t>sti</w:t>
            </w:r>
          </w:p>
        </w:tc>
      </w:tr>
      <w:tr w:rsidR="00B73A51" w:rsidRPr="00413968" w14:paraId="2780B9F5" w14:textId="77777777" w:rsidTr="006F142D">
        <w:trPr>
          <w:jc w:val="center"/>
        </w:trPr>
        <w:tc>
          <w:tcPr>
            <w:tcW w:w="2376" w:type="dxa"/>
          </w:tcPr>
          <w:p w14:paraId="05678E35" w14:textId="7F4D3789" w:rsidR="00B73A51" w:rsidRPr="007223BC" w:rsidRDefault="00B73A51" w:rsidP="00805A14">
            <w:pPr>
              <w:widowControl w:val="0"/>
              <w:spacing w:before="60" w:after="60"/>
              <w:jc w:val="both"/>
              <w:rPr>
                <w:sz w:val="22"/>
                <w:szCs w:val="22"/>
                <w:lang w:val="sr-Latn-RS"/>
              </w:rPr>
            </w:pPr>
            <w:r w:rsidRPr="00F22AE9">
              <w:rPr>
                <w:noProof/>
                <w:sz w:val="22"/>
                <w:szCs w:val="22"/>
                <w:lang w:val="sr-Latn-RS"/>
              </w:rPr>
              <w:t>Rijetk</w:t>
            </w:r>
            <w:r>
              <w:rPr>
                <w:noProof/>
                <w:sz w:val="22"/>
                <w:szCs w:val="22"/>
                <w:lang w:val="sr-Latn-RS"/>
              </w:rPr>
              <w:t>o</w:t>
            </w:r>
          </w:p>
        </w:tc>
        <w:tc>
          <w:tcPr>
            <w:tcW w:w="5652" w:type="dxa"/>
          </w:tcPr>
          <w:p w14:paraId="7F3F65A3" w14:textId="77777777" w:rsidR="00B73A51" w:rsidRPr="00F22AE9" w:rsidRDefault="00B73A51" w:rsidP="00805A14">
            <w:pPr>
              <w:tabs>
                <w:tab w:val="center" w:pos="4320"/>
                <w:tab w:val="right" w:pos="8640"/>
              </w:tabs>
              <w:jc w:val="both"/>
              <w:rPr>
                <w:noProof/>
                <w:sz w:val="22"/>
                <w:szCs w:val="22"/>
                <w:lang w:val="sr-Latn-RS"/>
              </w:rPr>
            </w:pPr>
            <w:r w:rsidRPr="00F22AE9">
              <w:rPr>
                <w:noProof/>
                <w:sz w:val="22"/>
                <w:szCs w:val="22"/>
                <w:lang w:val="sr-Latn-RS"/>
              </w:rPr>
              <w:t xml:space="preserve">izvršen suicid* </w:t>
            </w:r>
          </w:p>
          <w:p w14:paraId="70C743CB" w14:textId="08479D5D" w:rsidR="00B73A51" w:rsidRPr="007223BC" w:rsidRDefault="00B73A51" w:rsidP="00805A14">
            <w:pPr>
              <w:widowControl w:val="0"/>
              <w:spacing w:before="60" w:after="60"/>
              <w:jc w:val="both"/>
              <w:rPr>
                <w:snapToGrid w:val="0"/>
                <w:sz w:val="22"/>
                <w:szCs w:val="22"/>
                <w:lang w:val="sr-Latn-RS"/>
              </w:rPr>
            </w:pPr>
            <w:r w:rsidRPr="00F22AE9">
              <w:rPr>
                <w:noProof/>
                <w:sz w:val="22"/>
                <w:szCs w:val="22"/>
                <w:lang w:val="sr-Latn-RS"/>
              </w:rPr>
              <w:t>*naročito kod pacijenata s</w:t>
            </w:r>
            <w:r w:rsidR="00662028">
              <w:rPr>
                <w:noProof/>
                <w:sz w:val="22"/>
                <w:szCs w:val="22"/>
                <w:lang w:val="sr-Latn-RS"/>
              </w:rPr>
              <w:t>a</w:t>
            </w:r>
            <w:r w:rsidRPr="00F22AE9">
              <w:rPr>
                <w:noProof/>
                <w:sz w:val="22"/>
                <w:szCs w:val="22"/>
                <w:lang w:val="sr-Latn-RS"/>
              </w:rPr>
              <w:t xml:space="preserve"> već postojećom istorijom depresije ili psihijatrijskih bolesti</w:t>
            </w:r>
          </w:p>
        </w:tc>
      </w:tr>
      <w:tr w:rsidR="00920037" w:rsidRPr="007223BC" w14:paraId="6B2941A8" w14:textId="77777777" w:rsidTr="006F142D">
        <w:trPr>
          <w:jc w:val="center"/>
        </w:trPr>
        <w:tc>
          <w:tcPr>
            <w:tcW w:w="8028" w:type="dxa"/>
            <w:gridSpan w:val="2"/>
          </w:tcPr>
          <w:p w14:paraId="106AC58C" w14:textId="77777777" w:rsidR="00920037" w:rsidRPr="007223BC" w:rsidRDefault="00920037" w:rsidP="00805A14">
            <w:pPr>
              <w:widowControl w:val="0"/>
              <w:spacing w:before="60" w:after="60"/>
              <w:jc w:val="both"/>
              <w:rPr>
                <w:i/>
                <w:snapToGrid w:val="0"/>
                <w:sz w:val="22"/>
                <w:szCs w:val="22"/>
                <w:lang w:val="sr-Latn-RS"/>
              </w:rPr>
            </w:pPr>
            <w:r w:rsidRPr="007223BC">
              <w:rPr>
                <w:i/>
                <w:sz w:val="22"/>
                <w:szCs w:val="22"/>
                <w:lang w:val="sr-Latn-RS"/>
              </w:rPr>
              <w:t xml:space="preserve">Poremećaji nervnog sistema: </w:t>
            </w:r>
          </w:p>
        </w:tc>
      </w:tr>
      <w:tr w:rsidR="00920037" w:rsidRPr="007223BC" w14:paraId="49993E70" w14:textId="77777777" w:rsidTr="006F142D">
        <w:trPr>
          <w:jc w:val="center"/>
        </w:trPr>
        <w:tc>
          <w:tcPr>
            <w:tcW w:w="2376" w:type="dxa"/>
          </w:tcPr>
          <w:p w14:paraId="28C8B3E8" w14:textId="77777777" w:rsidR="00920037" w:rsidRPr="007223BC" w:rsidRDefault="00920037" w:rsidP="00805A14">
            <w:pPr>
              <w:widowControl w:val="0"/>
              <w:spacing w:before="60" w:after="60"/>
              <w:jc w:val="both"/>
              <w:rPr>
                <w:sz w:val="22"/>
                <w:szCs w:val="22"/>
                <w:lang w:val="sr-Latn-RS"/>
              </w:rPr>
            </w:pPr>
            <w:r w:rsidRPr="007223BC">
              <w:rPr>
                <w:sz w:val="22"/>
                <w:szCs w:val="22"/>
                <w:lang w:val="sr-Latn-RS"/>
              </w:rPr>
              <w:t>V</w:t>
            </w:r>
            <w:r w:rsidR="00C43029" w:rsidRPr="007223BC">
              <w:rPr>
                <w:sz w:val="22"/>
                <w:szCs w:val="22"/>
                <w:lang w:val="sr-Latn-RS"/>
              </w:rPr>
              <w:t>eoma</w:t>
            </w:r>
            <w:r w:rsidRPr="007223BC">
              <w:rPr>
                <w:sz w:val="22"/>
                <w:szCs w:val="22"/>
                <w:lang w:val="sr-Latn-RS"/>
              </w:rPr>
              <w:t xml:space="preserve"> često:</w:t>
            </w:r>
          </w:p>
        </w:tc>
        <w:tc>
          <w:tcPr>
            <w:tcW w:w="5652" w:type="dxa"/>
          </w:tcPr>
          <w:p w14:paraId="36AA9815" w14:textId="77777777" w:rsidR="00920037" w:rsidRPr="007223BC" w:rsidRDefault="00920037" w:rsidP="00805A14">
            <w:pPr>
              <w:widowControl w:val="0"/>
              <w:spacing w:before="60" w:after="60"/>
              <w:jc w:val="both"/>
              <w:rPr>
                <w:i/>
                <w:sz w:val="22"/>
                <w:szCs w:val="22"/>
                <w:lang w:val="sr-Latn-RS"/>
              </w:rPr>
            </w:pPr>
            <w:r w:rsidRPr="007223BC">
              <w:rPr>
                <w:snapToGrid w:val="0"/>
                <w:sz w:val="22"/>
                <w:szCs w:val="22"/>
                <w:lang w:val="sr-Latn-RS"/>
              </w:rPr>
              <w:t>glavobolja</w:t>
            </w:r>
          </w:p>
        </w:tc>
      </w:tr>
      <w:tr w:rsidR="00920037" w:rsidRPr="007223BC" w14:paraId="042233CE" w14:textId="77777777" w:rsidTr="006F142D">
        <w:trPr>
          <w:jc w:val="center"/>
        </w:trPr>
        <w:tc>
          <w:tcPr>
            <w:tcW w:w="2376" w:type="dxa"/>
          </w:tcPr>
          <w:p w14:paraId="16FD1C3E" w14:textId="77777777" w:rsidR="00920037" w:rsidRPr="007223BC" w:rsidRDefault="00920037" w:rsidP="00805A14">
            <w:pPr>
              <w:widowControl w:val="0"/>
              <w:spacing w:before="60" w:after="60"/>
              <w:jc w:val="both"/>
              <w:rPr>
                <w:sz w:val="22"/>
                <w:szCs w:val="22"/>
                <w:lang w:val="sr-Latn-RS"/>
              </w:rPr>
            </w:pPr>
            <w:r w:rsidRPr="007223BC">
              <w:rPr>
                <w:sz w:val="22"/>
                <w:szCs w:val="22"/>
                <w:lang w:val="sr-Latn-RS"/>
              </w:rPr>
              <w:t>Često:</w:t>
            </w:r>
          </w:p>
        </w:tc>
        <w:tc>
          <w:tcPr>
            <w:tcW w:w="5652" w:type="dxa"/>
          </w:tcPr>
          <w:p w14:paraId="073129EE" w14:textId="77777777" w:rsidR="00920037" w:rsidRPr="007223BC" w:rsidRDefault="00920037" w:rsidP="00805A14">
            <w:pPr>
              <w:widowControl w:val="0"/>
              <w:spacing w:before="60" w:after="60"/>
              <w:jc w:val="both"/>
              <w:rPr>
                <w:i/>
                <w:sz w:val="22"/>
                <w:szCs w:val="22"/>
                <w:lang w:val="sr-Latn-RS"/>
              </w:rPr>
            </w:pPr>
            <w:r w:rsidRPr="007223BC">
              <w:rPr>
                <w:snapToGrid w:val="0"/>
                <w:sz w:val="22"/>
                <w:szCs w:val="22"/>
                <w:lang w:val="sr-Latn-RS"/>
              </w:rPr>
              <w:t xml:space="preserve">vrtoglavica, </w:t>
            </w:r>
            <w:r w:rsidR="00F962B3" w:rsidRPr="007223BC">
              <w:rPr>
                <w:snapToGrid w:val="0"/>
                <w:sz w:val="22"/>
                <w:szCs w:val="22"/>
                <w:lang w:val="sr-Latn-RS"/>
              </w:rPr>
              <w:t>somnolencija</w:t>
            </w:r>
          </w:p>
        </w:tc>
      </w:tr>
      <w:tr w:rsidR="00920037" w:rsidRPr="007223BC" w14:paraId="00BCC155" w14:textId="77777777" w:rsidTr="006F142D">
        <w:trPr>
          <w:jc w:val="center"/>
        </w:trPr>
        <w:tc>
          <w:tcPr>
            <w:tcW w:w="2376" w:type="dxa"/>
          </w:tcPr>
          <w:p w14:paraId="2F2A1CFC" w14:textId="77777777" w:rsidR="00920037" w:rsidRPr="007223BC" w:rsidRDefault="00920037" w:rsidP="00805A14">
            <w:pPr>
              <w:widowControl w:val="0"/>
              <w:spacing w:before="60" w:after="60"/>
              <w:jc w:val="both"/>
              <w:rPr>
                <w:sz w:val="22"/>
                <w:szCs w:val="22"/>
                <w:lang w:val="sr-Latn-RS"/>
              </w:rPr>
            </w:pPr>
            <w:r w:rsidRPr="007223BC">
              <w:rPr>
                <w:sz w:val="22"/>
                <w:szCs w:val="22"/>
                <w:lang w:val="sr-Latn-RS"/>
              </w:rPr>
              <w:lastRenderedPageBreak/>
              <w:t>V</w:t>
            </w:r>
            <w:r w:rsidR="00621611" w:rsidRPr="007223BC">
              <w:rPr>
                <w:sz w:val="22"/>
                <w:szCs w:val="22"/>
                <w:lang w:val="sr-Latn-RS"/>
              </w:rPr>
              <w:t>eoma</w:t>
            </w:r>
            <w:r w:rsidRPr="007223BC">
              <w:rPr>
                <w:sz w:val="22"/>
                <w:szCs w:val="22"/>
                <w:lang w:val="sr-Latn-RS"/>
              </w:rPr>
              <w:t xml:space="preserve"> rijetko:</w:t>
            </w:r>
          </w:p>
        </w:tc>
        <w:tc>
          <w:tcPr>
            <w:tcW w:w="5652" w:type="dxa"/>
            <w:shd w:val="clear" w:color="auto" w:fill="auto"/>
          </w:tcPr>
          <w:p w14:paraId="7DA6BD65" w14:textId="77777777" w:rsidR="00920037" w:rsidRPr="007223BC" w:rsidRDefault="00920037" w:rsidP="00805A14">
            <w:pPr>
              <w:widowControl w:val="0"/>
              <w:spacing w:before="60" w:after="60"/>
              <w:jc w:val="both"/>
              <w:rPr>
                <w:sz w:val="22"/>
                <w:szCs w:val="22"/>
                <w:lang w:val="sr-Latn-RS"/>
              </w:rPr>
            </w:pPr>
            <w:r w:rsidRPr="007223BC">
              <w:rPr>
                <w:sz w:val="22"/>
                <w:szCs w:val="22"/>
                <w:lang w:val="sr-Latn-RS"/>
              </w:rPr>
              <w:t>periferna neuropatija,</w:t>
            </w:r>
            <w:r w:rsidRPr="007223BC">
              <w:rPr>
                <w:snapToGrid w:val="0"/>
                <w:sz w:val="22"/>
                <w:szCs w:val="22"/>
                <w:lang w:val="sr-Latn-RS"/>
              </w:rPr>
              <w:t xml:space="preserve"> par</w:t>
            </w:r>
            <w:r w:rsidR="00F962B3" w:rsidRPr="007223BC">
              <w:rPr>
                <w:snapToGrid w:val="0"/>
                <w:sz w:val="22"/>
                <w:szCs w:val="22"/>
                <w:lang w:val="sr-Latn-RS"/>
              </w:rPr>
              <w:t>es</w:t>
            </w:r>
            <w:r w:rsidRPr="007223BC">
              <w:rPr>
                <w:snapToGrid w:val="0"/>
                <w:sz w:val="22"/>
                <w:szCs w:val="22"/>
                <w:lang w:val="sr-Latn-RS"/>
              </w:rPr>
              <w:t>tezija</w:t>
            </w:r>
          </w:p>
        </w:tc>
      </w:tr>
      <w:tr w:rsidR="00920037" w:rsidRPr="007223BC" w14:paraId="28B121D6" w14:textId="77777777" w:rsidTr="006F142D">
        <w:trPr>
          <w:jc w:val="center"/>
        </w:trPr>
        <w:tc>
          <w:tcPr>
            <w:tcW w:w="8028" w:type="dxa"/>
            <w:gridSpan w:val="2"/>
          </w:tcPr>
          <w:p w14:paraId="6451943F" w14:textId="77777777" w:rsidR="00920037" w:rsidRPr="007223BC" w:rsidRDefault="00920037" w:rsidP="00805A14">
            <w:pPr>
              <w:widowControl w:val="0"/>
              <w:spacing w:before="60" w:after="60"/>
              <w:jc w:val="both"/>
              <w:rPr>
                <w:i/>
                <w:snapToGrid w:val="0"/>
                <w:sz w:val="22"/>
                <w:szCs w:val="22"/>
                <w:lang w:val="sr-Latn-RS"/>
              </w:rPr>
            </w:pPr>
            <w:r w:rsidRPr="007223BC">
              <w:rPr>
                <w:i/>
                <w:sz w:val="22"/>
                <w:szCs w:val="22"/>
                <w:lang w:val="sr-Latn-RS"/>
              </w:rPr>
              <w:t xml:space="preserve">Poremećaji gastrointerstinalnog sistema: </w:t>
            </w:r>
          </w:p>
        </w:tc>
      </w:tr>
      <w:tr w:rsidR="00920037" w:rsidRPr="007223BC" w14:paraId="018B0237" w14:textId="77777777" w:rsidTr="006F142D">
        <w:trPr>
          <w:jc w:val="center"/>
        </w:trPr>
        <w:tc>
          <w:tcPr>
            <w:tcW w:w="2376" w:type="dxa"/>
          </w:tcPr>
          <w:p w14:paraId="2E6BD1BB" w14:textId="77777777" w:rsidR="00920037" w:rsidRPr="007223BC" w:rsidRDefault="00920037" w:rsidP="00805A14">
            <w:pPr>
              <w:widowControl w:val="0"/>
              <w:spacing w:before="60" w:after="60"/>
              <w:jc w:val="both"/>
              <w:rPr>
                <w:sz w:val="22"/>
                <w:szCs w:val="22"/>
                <w:lang w:val="sr-Latn-RS"/>
              </w:rPr>
            </w:pPr>
            <w:r w:rsidRPr="007223BC">
              <w:rPr>
                <w:sz w:val="22"/>
                <w:szCs w:val="22"/>
                <w:lang w:val="sr-Latn-RS"/>
              </w:rPr>
              <w:t>V</w:t>
            </w:r>
            <w:r w:rsidR="00621611" w:rsidRPr="007223BC">
              <w:rPr>
                <w:sz w:val="22"/>
                <w:szCs w:val="22"/>
                <w:lang w:val="sr-Latn-RS"/>
              </w:rPr>
              <w:t>eoma</w:t>
            </w:r>
            <w:r w:rsidRPr="007223BC">
              <w:rPr>
                <w:sz w:val="22"/>
                <w:szCs w:val="22"/>
                <w:lang w:val="sr-Latn-RS"/>
              </w:rPr>
              <w:t xml:space="preserve"> često:</w:t>
            </w:r>
          </w:p>
        </w:tc>
        <w:tc>
          <w:tcPr>
            <w:tcW w:w="5652" w:type="dxa"/>
          </w:tcPr>
          <w:p w14:paraId="7959B53E" w14:textId="77777777" w:rsidR="00920037" w:rsidRPr="007223BC" w:rsidRDefault="00920037" w:rsidP="00805A14">
            <w:pPr>
              <w:widowControl w:val="0"/>
              <w:spacing w:before="60" w:after="60"/>
              <w:jc w:val="both"/>
              <w:rPr>
                <w:i/>
                <w:sz w:val="22"/>
                <w:szCs w:val="22"/>
                <w:lang w:val="sr-Latn-RS"/>
              </w:rPr>
            </w:pPr>
            <w:r w:rsidRPr="007223BC">
              <w:rPr>
                <w:snapToGrid w:val="0"/>
                <w:sz w:val="22"/>
                <w:szCs w:val="22"/>
                <w:lang w:val="sr-Latn-RS"/>
              </w:rPr>
              <w:t>mučnina, dijareja</w:t>
            </w:r>
          </w:p>
        </w:tc>
      </w:tr>
      <w:tr w:rsidR="00920037" w:rsidRPr="007223BC" w14:paraId="3E8007F2" w14:textId="77777777" w:rsidTr="006F142D">
        <w:trPr>
          <w:jc w:val="center"/>
        </w:trPr>
        <w:tc>
          <w:tcPr>
            <w:tcW w:w="2376" w:type="dxa"/>
          </w:tcPr>
          <w:p w14:paraId="4CE0A0AB" w14:textId="77777777" w:rsidR="00920037" w:rsidRPr="007223BC" w:rsidRDefault="00920037" w:rsidP="00805A14">
            <w:pPr>
              <w:widowControl w:val="0"/>
              <w:spacing w:before="60" w:after="60"/>
              <w:jc w:val="both"/>
              <w:rPr>
                <w:sz w:val="22"/>
                <w:szCs w:val="22"/>
                <w:lang w:val="sr-Latn-RS"/>
              </w:rPr>
            </w:pPr>
            <w:r w:rsidRPr="007223BC">
              <w:rPr>
                <w:sz w:val="22"/>
                <w:szCs w:val="22"/>
                <w:lang w:val="sr-Latn-RS"/>
              </w:rPr>
              <w:t>Često:</w:t>
            </w:r>
          </w:p>
        </w:tc>
        <w:tc>
          <w:tcPr>
            <w:tcW w:w="5652" w:type="dxa"/>
          </w:tcPr>
          <w:p w14:paraId="60808BCC" w14:textId="77777777" w:rsidR="00920037" w:rsidRPr="007223BC" w:rsidRDefault="00920037" w:rsidP="00805A14">
            <w:pPr>
              <w:widowControl w:val="0"/>
              <w:spacing w:before="60" w:after="60"/>
              <w:jc w:val="both"/>
              <w:rPr>
                <w:i/>
                <w:sz w:val="22"/>
                <w:szCs w:val="22"/>
                <w:lang w:val="sr-Latn-RS"/>
              </w:rPr>
            </w:pPr>
            <w:r w:rsidRPr="007223BC">
              <w:rPr>
                <w:snapToGrid w:val="0"/>
                <w:sz w:val="22"/>
                <w:szCs w:val="22"/>
                <w:lang w:val="sr-Latn-RS"/>
              </w:rPr>
              <w:t xml:space="preserve">povraćanje, </w:t>
            </w:r>
            <w:r w:rsidR="00F962B3" w:rsidRPr="007223BC">
              <w:rPr>
                <w:snapToGrid w:val="0"/>
                <w:sz w:val="22"/>
                <w:szCs w:val="22"/>
                <w:lang w:val="sr-Latn-RS"/>
              </w:rPr>
              <w:t>flatulencija</w:t>
            </w:r>
            <w:r w:rsidRPr="007223BC">
              <w:rPr>
                <w:snapToGrid w:val="0"/>
                <w:sz w:val="22"/>
                <w:szCs w:val="22"/>
                <w:lang w:val="sr-Latn-RS"/>
              </w:rPr>
              <w:t>, bol/nelagoda u abdomenu</w:t>
            </w:r>
          </w:p>
        </w:tc>
      </w:tr>
      <w:tr w:rsidR="00920037" w:rsidRPr="007223BC" w14:paraId="04E0E8D2" w14:textId="77777777" w:rsidTr="006F142D">
        <w:trPr>
          <w:jc w:val="center"/>
        </w:trPr>
        <w:tc>
          <w:tcPr>
            <w:tcW w:w="2376" w:type="dxa"/>
          </w:tcPr>
          <w:p w14:paraId="50BDABE6" w14:textId="77777777" w:rsidR="00920037" w:rsidRPr="007223BC" w:rsidRDefault="00920037" w:rsidP="00805A14">
            <w:pPr>
              <w:widowControl w:val="0"/>
              <w:spacing w:before="60" w:after="60"/>
              <w:jc w:val="both"/>
              <w:rPr>
                <w:sz w:val="22"/>
                <w:szCs w:val="22"/>
                <w:lang w:val="sr-Latn-RS"/>
              </w:rPr>
            </w:pPr>
            <w:r w:rsidRPr="007223BC">
              <w:rPr>
                <w:sz w:val="22"/>
                <w:szCs w:val="22"/>
                <w:lang w:val="sr-Latn-RS"/>
              </w:rPr>
              <w:t>Rijetko:</w:t>
            </w:r>
          </w:p>
        </w:tc>
        <w:tc>
          <w:tcPr>
            <w:tcW w:w="5652" w:type="dxa"/>
          </w:tcPr>
          <w:p w14:paraId="1778805B" w14:textId="77777777" w:rsidR="00920037" w:rsidRPr="007223BC" w:rsidRDefault="00920037" w:rsidP="00805A14">
            <w:pPr>
              <w:widowControl w:val="0"/>
              <w:spacing w:before="60" w:after="60"/>
              <w:jc w:val="both"/>
              <w:rPr>
                <w:i/>
                <w:sz w:val="22"/>
                <w:szCs w:val="22"/>
                <w:lang w:val="sr-Latn-RS"/>
              </w:rPr>
            </w:pPr>
            <w:r w:rsidRPr="007223BC">
              <w:rPr>
                <w:sz w:val="22"/>
                <w:szCs w:val="22"/>
                <w:lang w:val="sr-Latn-RS"/>
              </w:rPr>
              <w:t xml:space="preserve">pankreatitis </w:t>
            </w:r>
          </w:p>
        </w:tc>
      </w:tr>
      <w:tr w:rsidR="00920037" w:rsidRPr="007223BC" w14:paraId="011410C4" w14:textId="77777777" w:rsidTr="006F142D">
        <w:trPr>
          <w:jc w:val="center"/>
        </w:trPr>
        <w:tc>
          <w:tcPr>
            <w:tcW w:w="8028" w:type="dxa"/>
            <w:gridSpan w:val="2"/>
          </w:tcPr>
          <w:p w14:paraId="435077E3" w14:textId="77777777" w:rsidR="00920037" w:rsidRPr="007223BC" w:rsidRDefault="00920037" w:rsidP="00805A14">
            <w:pPr>
              <w:widowControl w:val="0"/>
              <w:spacing w:before="60" w:after="60"/>
              <w:jc w:val="both"/>
              <w:rPr>
                <w:i/>
                <w:sz w:val="22"/>
                <w:szCs w:val="22"/>
                <w:lang w:val="sr-Latn-RS"/>
              </w:rPr>
            </w:pPr>
            <w:r w:rsidRPr="007223BC">
              <w:rPr>
                <w:i/>
                <w:sz w:val="22"/>
                <w:szCs w:val="22"/>
                <w:lang w:val="sr-Latn-RS"/>
              </w:rPr>
              <w:t>Hepatobilijarni poremećaji:</w:t>
            </w:r>
          </w:p>
        </w:tc>
      </w:tr>
      <w:tr w:rsidR="001E5F47" w:rsidRPr="00413968" w14:paraId="1AA4FEA0" w14:textId="77777777" w:rsidTr="006F142D">
        <w:trPr>
          <w:jc w:val="center"/>
        </w:trPr>
        <w:tc>
          <w:tcPr>
            <w:tcW w:w="2376" w:type="dxa"/>
          </w:tcPr>
          <w:p w14:paraId="79D3E5BF" w14:textId="77777777" w:rsidR="001E5F47" w:rsidRPr="007223BC" w:rsidRDefault="001E5F47" w:rsidP="00805A14">
            <w:pPr>
              <w:widowControl w:val="0"/>
              <w:spacing w:before="60" w:after="60"/>
              <w:jc w:val="both"/>
              <w:rPr>
                <w:sz w:val="22"/>
                <w:szCs w:val="22"/>
                <w:lang w:val="sr-Latn-RS"/>
              </w:rPr>
            </w:pPr>
            <w:r w:rsidRPr="007223BC">
              <w:rPr>
                <w:sz w:val="22"/>
                <w:szCs w:val="22"/>
                <w:lang w:val="sr-Latn-RS"/>
              </w:rPr>
              <w:t>Često:</w:t>
            </w:r>
          </w:p>
        </w:tc>
        <w:tc>
          <w:tcPr>
            <w:tcW w:w="5652" w:type="dxa"/>
          </w:tcPr>
          <w:p w14:paraId="5121D995" w14:textId="77777777" w:rsidR="001E5F47" w:rsidRPr="007223BC" w:rsidRDefault="001E5F47" w:rsidP="00805A14">
            <w:pPr>
              <w:widowControl w:val="0"/>
              <w:spacing w:before="60" w:after="60"/>
              <w:jc w:val="both"/>
              <w:rPr>
                <w:sz w:val="22"/>
                <w:szCs w:val="22"/>
                <w:lang w:val="sr-Latn-RS"/>
              </w:rPr>
            </w:pPr>
            <w:r w:rsidRPr="00287AA6">
              <w:rPr>
                <w:snapToGrid w:val="0"/>
                <w:sz w:val="22"/>
                <w:szCs w:val="22"/>
                <w:lang w:val="sr-Latn-RS"/>
              </w:rPr>
              <w:t>povišene vrijednosti alanin aminotransferaze (ALT) i/ili aspartat aminotransferaze (AST)</w:t>
            </w:r>
          </w:p>
        </w:tc>
      </w:tr>
      <w:tr w:rsidR="00920037" w:rsidRPr="007223BC" w14:paraId="18D5DEB0" w14:textId="77777777" w:rsidTr="006F142D">
        <w:trPr>
          <w:jc w:val="center"/>
        </w:trPr>
        <w:tc>
          <w:tcPr>
            <w:tcW w:w="2376" w:type="dxa"/>
          </w:tcPr>
          <w:p w14:paraId="46C8FD44" w14:textId="77777777" w:rsidR="00920037" w:rsidRPr="007223BC" w:rsidRDefault="00920037" w:rsidP="00805A14">
            <w:pPr>
              <w:widowControl w:val="0"/>
              <w:spacing w:before="60" w:after="60"/>
              <w:jc w:val="both"/>
              <w:rPr>
                <w:sz w:val="22"/>
                <w:szCs w:val="22"/>
                <w:lang w:val="sr-Latn-RS"/>
              </w:rPr>
            </w:pPr>
            <w:r w:rsidRPr="007223BC">
              <w:rPr>
                <w:sz w:val="22"/>
                <w:szCs w:val="22"/>
                <w:lang w:val="sr-Latn-RS"/>
              </w:rPr>
              <w:t>Povremeno:</w:t>
            </w:r>
          </w:p>
        </w:tc>
        <w:tc>
          <w:tcPr>
            <w:tcW w:w="5652" w:type="dxa"/>
          </w:tcPr>
          <w:p w14:paraId="27A8FBF0" w14:textId="77777777" w:rsidR="00920037" w:rsidRPr="007223BC" w:rsidRDefault="00920037" w:rsidP="00805A14">
            <w:pPr>
              <w:widowControl w:val="0"/>
              <w:spacing w:before="60" w:after="60"/>
              <w:jc w:val="both"/>
              <w:rPr>
                <w:i/>
                <w:snapToGrid w:val="0"/>
                <w:sz w:val="22"/>
                <w:szCs w:val="22"/>
                <w:lang w:val="sr-Latn-RS"/>
              </w:rPr>
            </w:pPr>
            <w:r w:rsidRPr="007223BC">
              <w:rPr>
                <w:sz w:val="22"/>
                <w:szCs w:val="22"/>
                <w:lang w:val="sr-Latn-RS"/>
              </w:rPr>
              <w:t>hepatitis</w:t>
            </w:r>
          </w:p>
        </w:tc>
      </w:tr>
      <w:tr w:rsidR="00920037" w:rsidRPr="00413968" w14:paraId="207E4982" w14:textId="77777777" w:rsidTr="006F142D">
        <w:trPr>
          <w:jc w:val="center"/>
        </w:trPr>
        <w:tc>
          <w:tcPr>
            <w:tcW w:w="2376" w:type="dxa"/>
          </w:tcPr>
          <w:p w14:paraId="5FCCB7C3" w14:textId="77777777" w:rsidR="00920037" w:rsidRPr="007223BC" w:rsidRDefault="00920037" w:rsidP="00805A14">
            <w:pPr>
              <w:widowControl w:val="0"/>
              <w:spacing w:before="60" w:after="60"/>
              <w:jc w:val="both"/>
              <w:rPr>
                <w:sz w:val="22"/>
                <w:szCs w:val="22"/>
                <w:lang w:val="sr-Latn-RS"/>
              </w:rPr>
            </w:pPr>
            <w:r w:rsidRPr="007223BC">
              <w:rPr>
                <w:sz w:val="22"/>
                <w:szCs w:val="22"/>
                <w:lang w:val="sr-Latn-RS"/>
              </w:rPr>
              <w:t>Rijetko</w:t>
            </w:r>
          </w:p>
        </w:tc>
        <w:tc>
          <w:tcPr>
            <w:tcW w:w="5652" w:type="dxa"/>
          </w:tcPr>
          <w:p w14:paraId="4BB2AC06" w14:textId="77777777" w:rsidR="00920037" w:rsidRPr="007223BC" w:rsidRDefault="00920037" w:rsidP="00805A14">
            <w:pPr>
              <w:widowControl w:val="0"/>
              <w:spacing w:before="60" w:after="60"/>
              <w:jc w:val="both"/>
              <w:rPr>
                <w:sz w:val="22"/>
                <w:szCs w:val="22"/>
                <w:lang w:val="sr-Latn-RS"/>
              </w:rPr>
            </w:pPr>
            <w:r w:rsidRPr="007223BC">
              <w:rPr>
                <w:sz w:val="22"/>
                <w:szCs w:val="22"/>
                <w:lang w:val="sr-Latn-RS"/>
              </w:rPr>
              <w:t>akutna insufijencija jetre</w:t>
            </w:r>
            <w:r w:rsidRPr="007223BC">
              <w:rPr>
                <w:sz w:val="22"/>
                <w:szCs w:val="22"/>
                <w:vertAlign w:val="superscript"/>
                <w:lang w:val="sr-Latn-RS"/>
              </w:rPr>
              <w:t>1</w:t>
            </w:r>
            <w:r w:rsidR="001E5F47" w:rsidRPr="00287AA6">
              <w:rPr>
                <w:sz w:val="22"/>
                <w:szCs w:val="22"/>
                <w:lang w:val="sr-Latn-RS"/>
              </w:rPr>
              <w:t>, povišene vrijednosti bilirubina</w:t>
            </w:r>
            <w:r w:rsidR="001E5F47" w:rsidRPr="00287AA6">
              <w:rPr>
                <w:sz w:val="22"/>
                <w:szCs w:val="22"/>
                <w:vertAlign w:val="superscript"/>
                <w:lang w:val="sr-Latn-RS"/>
              </w:rPr>
              <w:t>2</w:t>
            </w:r>
          </w:p>
        </w:tc>
      </w:tr>
      <w:tr w:rsidR="00920037" w:rsidRPr="00413968" w14:paraId="757ED21E" w14:textId="77777777" w:rsidTr="006F142D">
        <w:trPr>
          <w:jc w:val="center"/>
        </w:trPr>
        <w:tc>
          <w:tcPr>
            <w:tcW w:w="8028" w:type="dxa"/>
            <w:gridSpan w:val="2"/>
          </w:tcPr>
          <w:p w14:paraId="27D6C636" w14:textId="77777777" w:rsidR="00920037" w:rsidRPr="007223BC" w:rsidRDefault="00920037" w:rsidP="00805A14">
            <w:pPr>
              <w:widowControl w:val="0"/>
              <w:spacing w:before="60" w:after="60"/>
              <w:jc w:val="both"/>
              <w:rPr>
                <w:i/>
                <w:snapToGrid w:val="0"/>
                <w:sz w:val="22"/>
                <w:szCs w:val="22"/>
                <w:lang w:val="sr-Latn-RS"/>
              </w:rPr>
            </w:pPr>
            <w:r w:rsidRPr="007223BC">
              <w:rPr>
                <w:i/>
                <w:sz w:val="22"/>
                <w:szCs w:val="22"/>
                <w:lang w:val="sr-Latn-RS"/>
              </w:rPr>
              <w:t>Poremećaji kože i potkožnog tkiva:</w:t>
            </w:r>
            <w:r w:rsidRPr="007223BC">
              <w:rPr>
                <w:i/>
                <w:snapToGrid w:val="0"/>
                <w:sz w:val="22"/>
                <w:szCs w:val="22"/>
                <w:lang w:val="sr-Latn-RS"/>
              </w:rPr>
              <w:t xml:space="preserve"> </w:t>
            </w:r>
          </w:p>
        </w:tc>
      </w:tr>
      <w:tr w:rsidR="00920037" w:rsidRPr="007223BC" w14:paraId="1E9A3CCC" w14:textId="77777777" w:rsidTr="006F142D">
        <w:trPr>
          <w:jc w:val="center"/>
        </w:trPr>
        <w:tc>
          <w:tcPr>
            <w:tcW w:w="2376" w:type="dxa"/>
          </w:tcPr>
          <w:p w14:paraId="1D4FB433" w14:textId="77777777" w:rsidR="00920037" w:rsidRPr="007223BC" w:rsidRDefault="00920037" w:rsidP="00805A14">
            <w:pPr>
              <w:widowControl w:val="0"/>
              <w:spacing w:before="60" w:after="60"/>
              <w:jc w:val="both"/>
              <w:rPr>
                <w:sz w:val="22"/>
                <w:szCs w:val="22"/>
                <w:lang w:val="sr-Latn-RS"/>
              </w:rPr>
            </w:pPr>
            <w:r w:rsidRPr="007223BC">
              <w:rPr>
                <w:sz w:val="22"/>
                <w:szCs w:val="22"/>
                <w:lang w:val="sr-Latn-RS"/>
              </w:rPr>
              <w:t>Često:</w:t>
            </w:r>
          </w:p>
        </w:tc>
        <w:tc>
          <w:tcPr>
            <w:tcW w:w="5652" w:type="dxa"/>
          </w:tcPr>
          <w:p w14:paraId="15C0C034" w14:textId="77777777" w:rsidR="00920037" w:rsidRPr="007223BC" w:rsidRDefault="00920037" w:rsidP="00805A14">
            <w:pPr>
              <w:widowControl w:val="0"/>
              <w:spacing w:before="60" w:after="60"/>
              <w:jc w:val="both"/>
              <w:rPr>
                <w:i/>
                <w:sz w:val="22"/>
                <w:szCs w:val="22"/>
                <w:lang w:val="sr-Latn-RS"/>
              </w:rPr>
            </w:pPr>
            <w:r w:rsidRPr="007223BC">
              <w:rPr>
                <w:snapToGrid w:val="0"/>
                <w:sz w:val="22"/>
                <w:szCs w:val="22"/>
                <w:lang w:val="sr-Latn-RS"/>
              </w:rPr>
              <w:t xml:space="preserve">osip, </w:t>
            </w:r>
            <w:r w:rsidR="00F962B3" w:rsidRPr="007223BC">
              <w:rPr>
                <w:snapToGrid w:val="0"/>
                <w:sz w:val="22"/>
                <w:szCs w:val="22"/>
                <w:lang w:val="sr-Latn-RS"/>
              </w:rPr>
              <w:t>pruritus</w:t>
            </w:r>
            <w:r w:rsidRPr="007223BC">
              <w:rPr>
                <w:snapToGrid w:val="0"/>
                <w:sz w:val="22"/>
                <w:szCs w:val="22"/>
                <w:lang w:val="sr-Latn-RS"/>
              </w:rPr>
              <w:t>, alopecija</w:t>
            </w:r>
          </w:p>
        </w:tc>
      </w:tr>
      <w:tr w:rsidR="00920037" w:rsidRPr="007223BC" w14:paraId="7A214F2D" w14:textId="77777777" w:rsidTr="006F142D">
        <w:trPr>
          <w:jc w:val="center"/>
        </w:trPr>
        <w:tc>
          <w:tcPr>
            <w:tcW w:w="2376" w:type="dxa"/>
          </w:tcPr>
          <w:p w14:paraId="1E1B108A" w14:textId="77777777" w:rsidR="00920037" w:rsidRPr="007223BC" w:rsidRDefault="00920037" w:rsidP="00805A14">
            <w:pPr>
              <w:widowControl w:val="0"/>
              <w:spacing w:before="60" w:after="60"/>
              <w:jc w:val="both"/>
              <w:rPr>
                <w:sz w:val="22"/>
                <w:szCs w:val="22"/>
                <w:lang w:val="sr-Latn-RS"/>
              </w:rPr>
            </w:pPr>
            <w:r w:rsidRPr="007223BC">
              <w:rPr>
                <w:sz w:val="22"/>
                <w:szCs w:val="22"/>
                <w:lang w:val="sr-Latn-RS"/>
              </w:rPr>
              <w:t>Rijetko:</w:t>
            </w:r>
          </w:p>
        </w:tc>
        <w:tc>
          <w:tcPr>
            <w:tcW w:w="5652" w:type="dxa"/>
          </w:tcPr>
          <w:p w14:paraId="0F563AFA" w14:textId="77777777" w:rsidR="00920037" w:rsidRPr="007223BC" w:rsidRDefault="00920037" w:rsidP="00805A14">
            <w:pPr>
              <w:widowControl w:val="0"/>
              <w:spacing w:before="60" w:after="60"/>
              <w:jc w:val="both"/>
              <w:rPr>
                <w:snapToGrid w:val="0"/>
                <w:sz w:val="22"/>
                <w:szCs w:val="22"/>
                <w:lang w:val="sr-Latn-RS"/>
              </w:rPr>
            </w:pPr>
            <w:r w:rsidRPr="007223BC">
              <w:rPr>
                <w:snapToGrid w:val="0"/>
                <w:sz w:val="22"/>
                <w:szCs w:val="22"/>
                <w:lang w:val="sr-Latn-RS"/>
              </w:rPr>
              <w:t>angioedem</w:t>
            </w:r>
          </w:p>
        </w:tc>
      </w:tr>
      <w:tr w:rsidR="00920037" w:rsidRPr="007223BC" w14:paraId="49753D24" w14:textId="77777777" w:rsidTr="006F142D">
        <w:trPr>
          <w:jc w:val="center"/>
        </w:trPr>
        <w:tc>
          <w:tcPr>
            <w:tcW w:w="8028" w:type="dxa"/>
            <w:gridSpan w:val="2"/>
          </w:tcPr>
          <w:p w14:paraId="6AE760B0" w14:textId="77777777" w:rsidR="00920037" w:rsidRPr="007223BC" w:rsidRDefault="00920037" w:rsidP="00805A14">
            <w:pPr>
              <w:widowControl w:val="0"/>
              <w:spacing w:before="60" w:after="60"/>
              <w:jc w:val="both"/>
              <w:rPr>
                <w:i/>
                <w:iCs/>
                <w:sz w:val="22"/>
                <w:szCs w:val="22"/>
                <w:lang w:val="sr-Latn-RS"/>
              </w:rPr>
            </w:pPr>
            <w:r w:rsidRPr="007223BC">
              <w:rPr>
                <w:i/>
                <w:iCs/>
                <w:sz w:val="22"/>
                <w:szCs w:val="22"/>
                <w:lang w:val="sr-Latn-RS" w:eastAsia="sr-Latn-RS"/>
              </w:rPr>
              <w:t>Poremećaji mišićno-koštanog sistema i vezivnog tkiva</w:t>
            </w:r>
            <w:r w:rsidRPr="007223BC">
              <w:rPr>
                <w:i/>
                <w:iCs/>
                <w:sz w:val="22"/>
                <w:szCs w:val="22"/>
                <w:lang w:val="sr-Latn-RS"/>
              </w:rPr>
              <w:t>:</w:t>
            </w:r>
          </w:p>
        </w:tc>
      </w:tr>
      <w:tr w:rsidR="00920037" w:rsidRPr="00413968" w14:paraId="57997E15" w14:textId="77777777" w:rsidTr="006F142D">
        <w:trPr>
          <w:jc w:val="center"/>
        </w:trPr>
        <w:tc>
          <w:tcPr>
            <w:tcW w:w="2376" w:type="dxa"/>
          </w:tcPr>
          <w:p w14:paraId="31B77C00" w14:textId="77777777" w:rsidR="00920037" w:rsidRPr="007223BC" w:rsidRDefault="00920037" w:rsidP="00805A14">
            <w:pPr>
              <w:widowControl w:val="0"/>
              <w:spacing w:before="60" w:after="60"/>
              <w:jc w:val="both"/>
              <w:rPr>
                <w:sz w:val="22"/>
                <w:szCs w:val="22"/>
                <w:lang w:val="sr-Latn-RS"/>
              </w:rPr>
            </w:pPr>
            <w:r w:rsidRPr="007223BC">
              <w:rPr>
                <w:sz w:val="22"/>
                <w:szCs w:val="22"/>
                <w:lang w:val="sr-Latn-RS"/>
              </w:rPr>
              <w:t>Često:</w:t>
            </w:r>
          </w:p>
        </w:tc>
        <w:tc>
          <w:tcPr>
            <w:tcW w:w="5652" w:type="dxa"/>
          </w:tcPr>
          <w:p w14:paraId="671CD162" w14:textId="77777777" w:rsidR="00920037" w:rsidRPr="007223BC" w:rsidRDefault="00920037" w:rsidP="00805A14">
            <w:pPr>
              <w:widowControl w:val="0"/>
              <w:spacing w:before="60" w:after="60"/>
              <w:jc w:val="both"/>
              <w:rPr>
                <w:i/>
                <w:snapToGrid w:val="0"/>
                <w:sz w:val="22"/>
                <w:szCs w:val="22"/>
                <w:lang w:val="sr-Latn-RS"/>
              </w:rPr>
            </w:pPr>
            <w:r w:rsidRPr="007223BC">
              <w:rPr>
                <w:sz w:val="22"/>
                <w:szCs w:val="22"/>
                <w:lang w:val="sr-Latn-RS"/>
              </w:rPr>
              <w:t>artralgija, poremećaji mišića (uključujući mijalgiju)</w:t>
            </w:r>
          </w:p>
        </w:tc>
      </w:tr>
      <w:tr w:rsidR="00920037" w:rsidRPr="007223BC" w14:paraId="2C3FC87E" w14:textId="77777777" w:rsidTr="006F142D">
        <w:trPr>
          <w:jc w:val="center"/>
        </w:trPr>
        <w:tc>
          <w:tcPr>
            <w:tcW w:w="2376" w:type="dxa"/>
          </w:tcPr>
          <w:p w14:paraId="3686D188" w14:textId="77777777" w:rsidR="00920037" w:rsidRPr="007223BC" w:rsidRDefault="00920037" w:rsidP="00805A14">
            <w:pPr>
              <w:widowControl w:val="0"/>
              <w:spacing w:before="60" w:after="60"/>
              <w:jc w:val="both"/>
              <w:rPr>
                <w:sz w:val="22"/>
                <w:szCs w:val="22"/>
                <w:lang w:val="sr-Latn-RS"/>
              </w:rPr>
            </w:pPr>
            <w:r w:rsidRPr="007223BC">
              <w:rPr>
                <w:sz w:val="22"/>
                <w:szCs w:val="22"/>
                <w:lang w:val="sr-Latn-RS"/>
              </w:rPr>
              <w:t>Rijetko:</w:t>
            </w:r>
          </w:p>
        </w:tc>
        <w:tc>
          <w:tcPr>
            <w:tcW w:w="5652" w:type="dxa"/>
          </w:tcPr>
          <w:p w14:paraId="6D212971" w14:textId="77777777" w:rsidR="00920037" w:rsidRPr="007223BC" w:rsidRDefault="00920037" w:rsidP="00805A14">
            <w:pPr>
              <w:widowControl w:val="0"/>
              <w:spacing w:before="60" w:after="60"/>
              <w:jc w:val="both"/>
              <w:rPr>
                <w:i/>
                <w:snapToGrid w:val="0"/>
                <w:sz w:val="22"/>
                <w:szCs w:val="22"/>
                <w:lang w:val="sr-Latn-RS"/>
              </w:rPr>
            </w:pPr>
            <w:r w:rsidRPr="007223BC">
              <w:rPr>
                <w:sz w:val="22"/>
                <w:szCs w:val="22"/>
                <w:lang w:val="sr-Latn-RS"/>
              </w:rPr>
              <w:t>rabdomioliza</w:t>
            </w:r>
          </w:p>
        </w:tc>
      </w:tr>
      <w:tr w:rsidR="00920037" w:rsidRPr="00413968" w14:paraId="33FBFFD1" w14:textId="77777777" w:rsidTr="006F142D">
        <w:trPr>
          <w:jc w:val="center"/>
        </w:trPr>
        <w:tc>
          <w:tcPr>
            <w:tcW w:w="8028" w:type="dxa"/>
            <w:gridSpan w:val="2"/>
          </w:tcPr>
          <w:p w14:paraId="25FB47BE" w14:textId="77777777" w:rsidR="00920037" w:rsidRPr="007223BC" w:rsidRDefault="00920037" w:rsidP="00805A14">
            <w:pPr>
              <w:widowControl w:val="0"/>
              <w:spacing w:before="60" w:after="60"/>
              <w:jc w:val="both"/>
              <w:rPr>
                <w:i/>
                <w:iCs/>
                <w:snapToGrid w:val="0"/>
                <w:sz w:val="22"/>
                <w:szCs w:val="22"/>
                <w:lang w:val="sr-Latn-RS"/>
              </w:rPr>
            </w:pPr>
            <w:r w:rsidRPr="007223BC">
              <w:rPr>
                <w:i/>
                <w:iCs/>
                <w:sz w:val="22"/>
                <w:szCs w:val="22"/>
                <w:lang w:val="sr-Latn-RS" w:eastAsia="sr-Latn-RS"/>
              </w:rPr>
              <w:t>Opšti poremećaji i reakcije na mjestu primjene:</w:t>
            </w:r>
          </w:p>
        </w:tc>
      </w:tr>
      <w:tr w:rsidR="00920037" w:rsidRPr="007223BC" w14:paraId="200BD79C" w14:textId="77777777" w:rsidTr="006F142D">
        <w:trPr>
          <w:jc w:val="center"/>
        </w:trPr>
        <w:tc>
          <w:tcPr>
            <w:tcW w:w="2376" w:type="dxa"/>
          </w:tcPr>
          <w:p w14:paraId="6591CCD1" w14:textId="77777777" w:rsidR="00920037" w:rsidRPr="007223BC" w:rsidRDefault="00920037" w:rsidP="00805A14">
            <w:pPr>
              <w:widowControl w:val="0"/>
              <w:spacing w:before="60" w:after="60"/>
              <w:jc w:val="both"/>
              <w:rPr>
                <w:sz w:val="22"/>
                <w:szCs w:val="22"/>
                <w:lang w:val="sr-Latn-RS"/>
              </w:rPr>
            </w:pPr>
            <w:r w:rsidRPr="007223BC">
              <w:rPr>
                <w:sz w:val="22"/>
                <w:szCs w:val="22"/>
                <w:lang w:val="sr-Latn-RS"/>
              </w:rPr>
              <w:t>Često:</w:t>
            </w:r>
          </w:p>
        </w:tc>
        <w:tc>
          <w:tcPr>
            <w:tcW w:w="5652" w:type="dxa"/>
          </w:tcPr>
          <w:p w14:paraId="256B4A3D" w14:textId="77777777" w:rsidR="00920037" w:rsidRPr="007223BC" w:rsidRDefault="00920037" w:rsidP="00805A14">
            <w:pPr>
              <w:widowControl w:val="0"/>
              <w:spacing w:before="60" w:after="60"/>
              <w:jc w:val="both"/>
              <w:rPr>
                <w:b/>
                <w:i/>
                <w:snapToGrid w:val="0"/>
                <w:sz w:val="22"/>
                <w:szCs w:val="22"/>
                <w:u w:val="single"/>
                <w:lang w:val="sr-Latn-RS"/>
              </w:rPr>
            </w:pPr>
            <w:r w:rsidRPr="007223BC">
              <w:rPr>
                <w:snapToGrid w:val="0"/>
                <w:sz w:val="22"/>
                <w:szCs w:val="22"/>
                <w:lang w:val="sr-Latn-RS"/>
              </w:rPr>
              <w:t>umor</w:t>
            </w:r>
          </w:p>
        </w:tc>
      </w:tr>
      <w:tr w:rsidR="00920037" w:rsidRPr="007223BC" w14:paraId="24B9191F" w14:textId="77777777" w:rsidTr="006F142D">
        <w:trPr>
          <w:jc w:val="center"/>
        </w:trPr>
        <w:tc>
          <w:tcPr>
            <w:tcW w:w="8028" w:type="dxa"/>
            <w:gridSpan w:val="2"/>
          </w:tcPr>
          <w:p w14:paraId="015B4029" w14:textId="77777777" w:rsidR="00920037" w:rsidRPr="007223BC" w:rsidRDefault="00920037" w:rsidP="00805A14">
            <w:pPr>
              <w:widowControl w:val="0"/>
              <w:spacing w:before="60" w:after="60"/>
              <w:jc w:val="both"/>
              <w:rPr>
                <w:i/>
                <w:sz w:val="22"/>
                <w:szCs w:val="22"/>
                <w:lang w:val="sr-Latn-RS"/>
              </w:rPr>
            </w:pPr>
            <w:r w:rsidRPr="007223BC">
              <w:rPr>
                <w:i/>
                <w:sz w:val="22"/>
                <w:szCs w:val="22"/>
                <w:lang w:val="sr-Latn-RS"/>
              </w:rPr>
              <w:t>Ispitivanja:</w:t>
            </w:r>
          </w:p>
        </w:tc>
      </w:tr>
      <w:tr w:rsidR="00920037" w:rsidRPr="00413968" w14:paraId="1924A4F9" w14:textId="77777777" w:rsidTr="006F142D">
        <w:trPr>
          <w:jc w:val="center"/>
        </w:trPr>
        <w:tc>
          <w:tcPr>
            <w:tcW w:w="2376" w:type="dxa"/>
          </w:tcPr>
          <w:p w14:paraId="6C0584E4" w14:textId="77777777" w:rsidR="00920037" w:rsidRPr="007223BC" w:rsidRDefault="00920037" w:rsidP="00805A14">
            <w:pPr>
              <w:widowControl w:val="0"/>
              <w:spacing w:before="60" w:after="60"/>
              <w:jc w:val="both"/>
              <w:rPr>
                <w:sz w:val="22"/>
                <w:szCs w:val="22"/>
                <w:lang w:val="sr-Latn-RS"/>
              </w:rPr>
            </w:pPr>
            <w:r w:rsidRPr="007223BC">
              <w:rPr>
                <w:sz w:val="22"/>
                <w:szCs w:val="22"/>
                <w:lang w:val="sr-Latn-RS"/>
              </w:rPr>
              <w:t>Često:</w:t>
            </w:r>
          </w:p>
        </w:tc>
        <w:tc>
          <w:tcPr>
            <w:tcW w:w="5652" w:type="dxa"/>
          </w:tcPr>
          <w:p w14:paraId="2AC800E0" w14:textId="29A80D13" w:rsidR="00920037" w:rsidRPr="007223BC" w:rsidRDefault="00920037" w:rsidP="00805A14">
            <w:pPr>
              <w:widowControl w:val="0"/>
              <w:spacing w:before="60" w:after="60"/>
              <w:jc w:val="both"/>
              <w:rPr>
                <w:snapToGrid w:val="0"/>
                <w:sz w:val="22"/>
                <w:szCs w:val="22"/>
                <w:lang w:val="sr-Latn-RS"/>
              </w:rPr>
            </w:pPr>
            <w:r w:rsidRPr="007223BC">
              <w:rPr>
                <w:sz w:val="22"/>
                <w:szCs w:val="22"/>
                <w:lang w:val="sr-Latn-RS" w:eastAsia="sr-Latn-RS"/>
              </w:rPr>
              <w:t xml:space="preserve">povišene vrijednosti kreatin fosfokinaze </w:t>
            </w:r>
            <w:r w:rsidRPr="007223BC">
              <w:rPr>
                <w:snapToGrid w:val="0"/>
                <w:sz w:val="22"/>
                <w:szCs w:val="22"/>
                <w:lang w:val="sr-Latn-RS"/>
              </w:rPr>
              <w:t>(CPK)</w:t>
            </w:r>
            <w:r w:rsidR="00147F79">
              <w:rPr>
                <w:snapToGrid w:val="0"/>
                <w:sz w:val="22"/>
                <w:szCs w:val="22"/>
                <w:lang w:val="sr-Latn-RS"/>
              </w:rPr>
              <w:t xml:space="preserve">, povećanje tjelesne </w:t>
            </w:r>
            <w:r w:rsidR="00A828E1">
              <w:rPr>
                <w:snapToGrid w:val="0"/>
                <w:sz w:val="22"/>
                <w:szCs w:val="22"/>
                <w:lang w:val="sr-Latn-RS"/>
              </w:rPr>
              <w:t>mas</w:t>
            </w:r>
            <w:r w:rsidR="00147F79">
              <w:rPr>
                <w:snapToGrid w:val="0"/>
                <w:sz w:val="22"/>
                <w:szCs w:val="22"/>
                <w:lang w:val="sr-Latn-RS"/>
              </w:rPr>
              <w:t>e</w:t>
            </w:r>
          </w:p>
          <w:p w14:paraId="55D64BBE" w14:textId="77777777" w:rsidR="003F53C9" w:rsidRPr="007223BC" w:rsidRDefault="003F53C9" w:rsidP="00805A14">
            <w:pPr>
              <w:widowControl w:val="0"/>
              <w:spacing w:before="60" w:after="60"/>
              <w:jc w:val="both"/>
              <w:rPr>
                <w:snapToGrid w:val="0"/>
                <w:sz w:val="22"/>
                <w:szCs w:val="22"/>
                <w:lang w:val="sr-Latn-RS"/>
              </w:rPr>
            </w:pPr>
          </w:p>
        </w:tc>
      </w:tr>
      <w:tr w:rsidR="00920037" w:rsidRPr="007223BC" w14:paraId="4403A09F" w14:textId="77777777" w:rsidTr="006F142D">
        <w:trPr>
          <w:jc w:val="center"/>
        </w:trPr>
        <w:tc>
          <w:tcPr>
            <w:tcW w:w="2376" w:type="dxa"/>
          </w:tcPr>
          <w:p w14:paraId="2DD99BFB" w14:textId="77777777" w:rsidR="00920037" w:rsidRPr="007223BC" w:rsidRDefault="00920037" w:rsidP="00805A14">
            <w:pPr>
              <w:widowControl w:val="0"/>
              <w:spacing w:before="60" w:after="60"/>
              <w:jc w:val="both"/>
              <w:rPr>
                <w:sz w:val="22"/>
                <w:szCs w:val="22"/>
                <w:lang w:val="sr-Latn-RS"/>
              </w:rPr>
            </w:pPr>
            <w:r w:rsidRPr="007223BC">
              <w:rPr>
                <w:sz w:val="22"/>
                <w:szCs w:val="22"/>
                <w:lang w:val="sr-Latn-RS"/>
              </w:rPr>
              <w:t>Rijetko:</w:t>
            </w:r>
          </w:p>
        </w:tc>
        <w:tc>
          <w:tcPr>
            <w:tcW w:w="5652" w:type="dxa"/>
          </w:tcPr>
          <w:p w14:paraId="1041B684" w14:textId="77777777" w:rsidR="00920037" w:rsidRPr="007223BC" w:rsidRDefault="00920037" w:rsidP="00805A14">
            <w:pPr>
              <w:widowControl w:val="0"/>
              <w:spacing w:before="60" w:after="60"/>
              <w:jc w:val="both"/>
              <w:rPr>
                <w:snapToGrid w:val="0"/>
                <w:sz w:val="22"/>
                <w:szCs w:val="22"/>
                <w:lang w:val="sr-Latn-RS"/>
              </w:rPr>
            </w:pPr>
            <w:r w:rsidRPr="007223BC">
              <w:rPr>
                <w:sz w:val="22"/>
                <w:szCs w:val="22"/>
                <w:lang w:val="sr-Latn-RS" w:eastAsia="sr-Latn-RS"/>
              </w:rPr>
              <w:t>povišene vrijednosti amilaze</w:t>
            </w:r>
          </w:p>
        </w:tc>
      </w:tr>
      <w:tr w:rsidR="00920037" w:rsidRPr="00413968" w14:paraId="54653E37" w14:textId="77777777" w:rsidTr="006F142D">
        <w:trPr>
          <w:jc w:val="center"/>
        </w:trPr>
        <w:tc>
          <w:tcPr>
            <w:tcW w:w="8028" w:type="dxa"/>
            <w:gridSpan w:val="2"/>
          </w:tcPr>
          <w:p w14:paraId="5A35D637" w14:textId="77777777" w:rsidR="00920037" w:rsidRPr="007223BC" w:rsidRDefault="00920037" w:rsidP="00805A14">
            <w:pPr>
              <w:widowControl w:val="0"/>
              <w:spacing w:before="60" w:after="60"/>
              <w:jc w:val="both"/>
              <w:rPr>
                <w:sz w:val="22"/>
                <w:szCs w:val="22"/>
                <w:lang w:val="sr-Latn-RS" w:eastAsia="sr-Latn-RS"/>
              </w:rPr>
            </w:pPr>
            <w:r w:rsidRPr="007223BC">
              <w:rPr>
                <w:sz w:val="22"/>
                <w:szCs w:val="22"/>
                <w:vertAlign w:val="superscript"/>
                <w:lang w:val="sr-Latn-RS"/>
              </w:rPr>
              <w:t>1</w:t>
            </w:r>
            <w:r w:rsidRPr="007223BC">
              <w:rPr>
                <w:sz w:val="22"/>
                <w:szCs w:val="22"/>
                <w:lang w:val="sr-Latn-RS"/>
              </w:rPr>
              <w:t xml:space="preserve"> </w:t>
            </w:r>
            <w:r w:rsidRPr="007223BC">
              <w:rPr>
                <w:sz w:val="22"/>
                <w:szCs w:val="22"/>
                <w:lang w:val="sr-Latn-RS" w:eastAsia="sr-Latn-RS"/>
              </w:rPr>
              <w:t>Ova neželjena reakcija je utvrđena tokom praćenja bezbjednosti dolutegravira u kombinaciji sa drugim antiretrovirusnim ljekovima nakon stavljanja lijeka u promet. Kategorija učestalosti „rijetko” procijenjena je na osnovu prijava nakon stavljanja lijeka u promet.</w:t>
            </w:r>
          </w:p>
          <w:p w14:paraId="5E67EFBE" w14:textId="77777777" w:rsidR="001E5F47" w:rsidRPr="007223BC" w:rsidRDefault="001E5F47" w:rsidP="00805A14">
            <w:pPr>
              <w:widowControl w:val="0"/>
              <w:spacing w:before="60" w:after="60"/>
              <w:jc w:val="both"/>
              <w:rPr>
                <w:snapToGrid w:val="0"/>
                <w:sz w:val="22"/>
                <w:szCs w:val="22"/>
                <w:lang w:val="sr-Latn-RS"/>
              </w:rPr>
            </w:pPr>
            <w:r w:rsidRPr="00287AA6">
              <w:rPr>
                <w:sz w:val="22"/>
                <w:szCs w:val="22"/>
                <w:vertAlign w:val="superscript"/>
                <w:lang w:val="pl-PL"/>
              </w:rPr>
              <w:t>2</w:t>
            </w:r>
            <w:r w:rsidRPr="00287AA6">
              <w:rPr>
                <w:sz w:val="22"/>
                <w:szCs w:val="22"/>
                <w:lang w:val="pl-PL"/>
              </w:rPr>
              <w:t xml:space="preserve"> U kombinaciji s povišenim vrijednostima transaminaza.</w:t>
            </w:r>
          </w:p>
        </w:tc>
      </w:tr>
    </w:tbl>
    <w:p w14:paraId="4B1096ED" w14:textId="77777777" w:rsidR="00920037" w:rsidRPr="007223BC" w:rsidRDefault="00920037" w:rsidP="00805A14">
      <w:pPr>
        <w:suppressLineNumbers/>
        <w:autoSpaceDE w:val="0"/>
        <w:autoSpaceDN w:val="0"/>
        <w:adjustRightInd w:val="0"/>
        <w:jc w:val="both"/>
        <w:rPr>
          <w:noProof/>
          <w:sz w:val="22"/>
          <w:szCs w:val="22"/>
          <w:u w:val="single"/>
          <w:lang w:val="sr-Latn-RS"/>
        </w:rPr>
      </w:pPr>
    </w:p>
    <w:p w14:paraId="567ADEDC" w14:textId="77777777" w:rsidR="00920037" w:rsidRPr="007223BC" w:rsidRDefault="00920037" w:rsidP="00805A14">
      <w:pPr>
        <w:suppressLineNumbers/>
        <w:autoSpaceDE w:val="0"/>
        <w:autoSpaceDN w:val="0"/>
        <w:adjustRightInd w:val="0"/>
        <w:jc w:val="both"/>
        <w:rPr>
          <w:noProof/>
          <w:sz w:val="22"/>
          <w:szCs w:val="22"/>
          <w:u w:val="single"/>
          <w:lang w:val="sr-Latn-RS"/>
        </w:rPr>
      </w:pPr>
      <w:r w:rsidRPr="007223BC">
        <w:rPr>
          <w:noProof/>
          <w:sz w:val="22"/>
          <w:szCs w:val="22"/>
          <w:u w:val="single"/>
          <w:lang w:val="sr-Latn-RS"/>
        </w:rPr>
        <w:t>Opis odabranih neželjenih dejstava</w:t>
      </w:r>
    </w:p>
    <w:p w14:paraId="42C472D1" w14:textId="77777777" w:rsidR="00920037" w:rsidRPr="007223BC" w:rsidRDefault="00920037" w:rsidP="00805A14">
      <w:pPr>
        <w:suppressLineNumbers/>
        <w:autoSpaceDE w:val="0"/>
        <w:autoSpaceDN w:val="0"/>
        <w:adjustRightInd w:val="0"/>
        <w:jc w:val="both"/>
        <w:rPr>
          <w:noProof/>
          <w:sz w:val="22"/>
          <w:szCs w:val="22"/>
          <w:u w:val="single"/>
          <w:lang w:val="sr-Latn-RS"/>
        </w:rPr>
      </w:pPr>
    </w:p>
    <w:p w14:paraId="05758E0D" w14:textId="77777777" w:rsidR="00920037" w:rsidRPr="007223BC" w:rsidRDefault="00920037" w:rsidP="00805A14">
      <w:pPr>
        <w:jc w:val="both"/>
        <w:rPr>
          <w:i/>
          <w:sz w:val="22"/>
          <w:szCs w:val="22"/>
          <w:lang w:val="sr-Latn-RS" w:eastAsia="sr-Latn-RS"/>
        </w:rPr>
      </w:pPr>
      <w:r w:rsidRPr="007223BC">
        <w:rPr>
          <w:i/>
          <w:sz w:val="22"/>
          <w:szCs w:val="22"/>
          <w:lang w:val="sr-Latn-RS" w:eastAsia="sr-Latn-RS"/>
        </w:rPr>
        <w:t>Promjene u laboratorijskim nalazima biohemijskih parametara</w:t>
      </w:r>
    </w:p>
    <w:p w14:paraId="09D73F33" w14:textId="0BDFFA40" w:rsidR="00920037" w:rsidRPr="007223BC" w:rsidRDefault="00920037" w:rsidP="00805A14">
      <w:pPr>
        <w:jc w:val="both"/>
        <w:rPr>
          <w:sz w:val="22"/>
          <w:szCs w:val="22"/>
          <w:lang w:val="sr-Latn-RS" w:eastAsia="sr-Latn-RS"/>
        </w:rPr>
      </w:pPr>
      <w:r w:rsidRPr="007223BC">
        <w:rPr>
          <w:sz w:val="22"/>
          <w:szCs w:val="22"/>
          <w:lang w:val="sr-Latn-RS" w:eastAsia="sr-Latn-RS"/>
        </w:rPr>
        <w:t>Dolutegravir se povezuje sa povećanjem koncentracije kreatinina u serumu u prvoj nedjelji liječenja kada se primjenjuje istovremeno sa drugim antiretrovirusnim ljekovima. Povećanja koncentracije kreatinina u serumu nastupila su unutar prve četiri nedjelje liječenja dolutegravirom u kombinaciji sa lamivudinom, nakon čega su vrijednosti bile stabilne do 48. nedjelje. Na osnovu objedinjenih podataka iz ispitivanja u okviru kliničkog ispitivanja GEMINI, nakon 48 nedjelja liječenja opažena je srednja vrijednost promjene od 10,3 µmol/</w:t>
      </w:r>
      <w:r w:rsidR="00C90057">
        <w:rPr>
          <w:sz w:val="22"/>
          <w:szCs w:val="22"/>
          <w:lang w:val="sr-Latn-RS" w:eastAsia="sr-Latn-RS"/>
        </w:rPr>
        <w:t>l</w:t>
      </w:r>
      <w:r w:rsidRPr="007223BC">
        <w:rPr>
          <w:sz w:val="22"/>
          <w:szCs w:val="22"/>
          <w:lang w:val="sr-Latn-RS" w:eastAsia="sr-Latn-RS"/>
        </w:rPr>
        <w:t xml:space="preserve"> (raspon od -36,3 µmol/</w:t>
      </w:r>
      <w:r w:rsidR="00C90057">
        <w:rPr>
          <w:sz w:val="22"/>
          <w:szCs w:val="22"/>
          <w:lang w:val="sr-Latn-RS" w:eastAsia="sr-Latn-RS"/>
        </w:rPr>
        <w:t>l</w:t>
      </w:r>
      <w:r w:rsidRPr="007223BC">
        <w:rPr>
          <w:sz w:val="22"/>
          <w:szCs w:val="22"/>
          <w:lang w:val="sr-Latn-RS" w:eastAsia="sr-Latn-RS"/>
        </w:rPr>
        <w:t xml:space="preserve"> do 55,7 µmol/</w:t>
      </w:r>
      <w:r w:rsidR="00C90057">
        <w:rPr>
          <w:sz w:val="22"/>
          <w:szCs w:val="22"/>
          <w:lang w:val="sr-Latn-RS" w:eastAsia="sr-Latn-RS"/>
        </w:rPr>
        <w:t>l</w:t>
      </w:r>
      <w:r w:rsidRPr="007223BC">
        <w:rPr>
          <w:sz w:val="22"/>
          <w:szCs w:val="22"/>
          <w:lang w:val="sr-Latn-RS" w:eastAsia="sr-Latn-RS"/>
        </w:rPr>
        <w:t>) u odnosu na početne vrijednosti. Nav</w:t>
      </w:r>
      <w:r w:rsidR="00C90057">
        <w:rPr>
          <w:sz w:val="22"/>
          <w:szCs w:val="22"/>
          <w:lang w:val="sr-Latn-RS" w:eastAsia="sr-Latn-RS"/>
        </w:rPr>
        <w:t>e</w:t>
      </w:r>
      <w:r w:rsidRPr="007223BC">
        <w:rPr>
          <w:sz w:val="22"/>
          <w:szCs w:val="22"/>
          <w:lang w:val="sr-Latn-RS" w:eastAsia="sr-Latn-RS"/>
        </w:rPr>
        <w:t>dene promjene su povezane sa inhibitornim dejstvom dolutegravira na transportere kreatinina u bubrežnim tubulima. Navedene promjene se ne smatraju klinički značajnim i ne odražavaju promjenu brzine glomerularne filtracije.</w:t>
      </w:r>
    </w:p>
    <w:p w14:paraId="21A03D07" w14:textId="77777777" w:rsidR="00920037" w:rsidRPr="007223BC" w:rsidRDefault="00920037" w:rsidP="00805A14">
      <w:pPr>
        <w:jc w:val="both"/>
        <w:rPr>
          <w:i/>
          <w:sz w:val="22"/>
          <w:szCs w:val="22"/>
          <w:lang w:val="sr-Latn-RS" w:eastAsia="sr-Latn-RS"/>
        </w:rPr>
      </w:pPr>
    </w:p>
    <w:p w14:paraId="1B52038C" w14:textId="77777777" w:rsidR="00920037" w:rsidRPr="007223BC" w:rsidRDefault="00920037" w:rsidP="00805A14">
      <w:pPr>
        <w:jc w:val="both"/>
        <w:rPr>
          <w:i/>
          <w:sz w:val="22"/>
          <w:szCs w:val="22"/>
          <w:lang w:val="sr-Latn-RS" w:eastAsia="sr-Latn-RS"/>
        </w:rPr>
      </w:pPr>
      <w:r w:rsidRPr="007223BC">
        <w:rPr>
          <w:i/>
          <w:sz w:val="22"/>
          <w:szCs w:val="22"/>
          <w:lang w:val="sr-Latn-RS" w:eastAsia="sr-Latn-RS"/>
        </w:rPr>
        <w:t>Istovremena infekcija virusom hepatitisa B ili C</w:t>
      </w:r>
    </w:p>
    <w:p w14:paraId="345EC8B5" w14:textId="2A90202D" w:rsidR="00920037" w:rsidRPr="007223BC" w:rsidRDefault="00920037" w:rsidP="00805A14">
      <w:pPr>
        <w:jc w:val="both"/>
        <w:rPr>
          <w:sz w:val="22"/>
          <w:szCs w:val="22"/>
          <w:lang w:val="sr-Latn-RS" w:eastAsia="sr-Latn-RS"/>
        </w:rPr>
      </w:pPr>
      <w:r w:rsidRPr="007223BC">
        <w:rPr>
          <w:sz w:val="22"/>
          <w:szCs w:val="22"/>
          <w:lang w:val="sr-Latn-RS" w:eastAsia="sr-Latn-RS"/>
        </w:rPr>
        <w:t xml:space="preserve">U kliničkim ispitivanjima faze III u kojima se dolutegravir primjenjivao u monoterapiji mogli su biti uključeni pacijenti sa istovremenom infekcijom virusom hepatitisa B i/ili C, pod uslovom da im biohemijski parametri funkcije jetre na početku ispitivanja nijesu bili više od 5 puta iznad gornje granice </w:t>
      </w:r>
      <w:r w:rsidRPr="007223BC">
        <w:rPr>
          <w:sz w:val="22"/>
          <w:szCs w:val="22"/>
          <w:lang w:val="sr-Latn-RS" w:eastAsia="sr-Latn-RS"/>
        </w:rPr>
        <w:lastRenderedPageBreak/>
        <w:t>normale (GGN). Uopšteno, bezbjednosni profil je kod pacijenata sa istovremenom infekcijom virusom hepatitisa B i/ili C bio sličan uočenom kod pacijenata koji nijesu imali istovremenu infekciju virusom hepatitisa B ili C, mada su u svim liječenim grupama stope odstupanja vrijednosti AST-a i ALT-a bile više u podgrupi pacijenata s istovremenom infekcijom virusom hepatitisa B i/ili C. Na početku liječenja dolutegravirom kod nekih ispitanika sa istovremenom infekcijom virus</w:t>
      </w:r>
      <w:r w:rsidR="00C90057">
        <w:rPr>
          <w:sz w:val="22"/>
          <w:szCs w:val="22"/>
          <w:lang w:val="sr-Latn-RS" w:eastAsia="sr-Latn-RS"/>
        </w:rPr>
        <w:t>om</w:t>
      </w:r>
      <w:r w:rsidRPr="007223BC">
        <w:rPr>
          <w:sz w:val="22"/>
          <w:szCs w:val="22"/>
          <w:lang w:val="sr-Latn-RS" w:eastAsia="sr-Latn-RS"/>
        </w:rPr>
        <w:t xml:space="preserve"> hepatitisa B i/ili C primijećene su povišene vrijednosti biohemijskih parametara funkcije jetre koje odgovaraju sindromu imunološke rekonstitucije. Navedeni slučajevi su prvenstveno zabilježeni kod ispitanika kojima je prekinuta terapija za hepatitis B (vidjeti dio 4.4).</w:t>
      </w:r>
    </w:p>
    <w:p w14:paraId="3346A018" w14:textId="77777777" w:rsidR="00920037" w:rsidRPr="007223BC" w:rsidRDefault="00920037" w:rsidP="00805A14">
      <w:pPr>
        <w:jc w:val="both"/>
        <w:rPr>
          <w:sz w:val="22"/>
          <w:szCs w:val="22"/>
          <w:lang w:val="sr-Latn-RS" w:eastAsia="sr-Latn-RS"/>
        </w:rPr>
      </w:pPr>
    </w:p>
    <w:p w14:paraId="3778987A" w14:textId="77777777" w:rsidR="00920037" w:rsidRPr="007223BC" w:rsidRDefault="00920037" w:rsidP="00805A14">
      <w:pPr>
        <w:jc w:val="both"/>
        <w:rPr>
          <w:i/>
          <w:sz w:val="22"/>
          <w:szCs w:val="22"/>
          <w:lang w:val="sr-Latn-RS" w:eastAsia="sr-Latn-RS"/>
        </w:rPr>
      </w:pPr>
      <w:r w:rsidRPr="007223BC">
        <w:rPr>
          <w:i/>
          <w:sz w:val="22"/>
          <w:szCs w:val="22"/>
          <w:lang w:val="sr-Latn-RS" w:eastAsia="sr-Latn-RS"/>
        </w:rPr>
        <w:t>Metabolički parametri</w:t>
      </w:r>
    </w:p>
    <w:p w14:paraId="287E5F68" w14:textId="77777777" w:rsidR="00920037" w:rsidRPr="007223BC" w:rsidRDefault="00920037" w:rsidP="00805A14">
      <w:pPr>
        <w:jc w:val="both"/>
        <w:rPr>
          <w:sz w:val="22"/>
          <w:szCs w:val="22"/>
          <w:lang w:val="sr-Latn-RS" w:eastAsia="sr-Latn-RS"/>
        </w:rPr>
      </w:pPr>
      <w:r w:rsidRPr="007223BC">
        <w:rPr>
          <w:sz w:val="22"/>
          <w:szCs w:val="22"/>
          <w:lang w:val="sr-Latn-RS" w:eastAsia="sr-Latn-RS"/>
        </w:rPr>
        <w:t xml:space="preserve">Tokom antiretrovirusne terapije može doći do povećanja tjelesne mase </w:t>
      </w:r>
      <w:r w:rsidR="00DE61B2" w:rsidRPr="007223BC">
        <w:rPr>
          <w:sz w:val="22"/>
          <w:szCs w:val="22"/>
          <w:lang w:val="sr-Latn-RS" w:eastAsia="sr-Latn-RS"/>
        </w:rPr>
        <w:t xml:space="preserve">te </w:t>
      </w:r>
      <w:r w:rsidRPr="007223BC">
        <w:rPr>
          <w:sz w:val="22"/>
          <w:szCs w:val="22"/>
          <w:lang w:val="sr-Latn-RS" w:eastAsia="sr-Latn-RS"/>
        </w:rPr>
        <w:t>povišenja nivoa lipida i glukoze u krvi (vidjeti dio 4.4).</w:t>
      </w:r>
    </w:p>
    <w:p w14:paraId="131EDF84" w14:textId="77777777" w:rsidR="00920037" w:rsidRPr="007223BC" w:rsidRDefault="00920037" w:rsidP="00805A14">
      <w:pPr>
        <w:suppressLineNumbers/>
        <w:autoSpaceDE w:val="0"/>
        <w:autoSpaceDN w:val="0"/>
        <w:adjustRightInd w:val="0"/>
        <w:jc w:val="both"/>
        <w:rPr>
          <w:i/>
          <w:noProof/>
          <w:sz w:val="22"/>
          <w:szCs w:val="22"/>
          <w:lang w:val="sr-Latn-RS"/>
        </w:rPr>
      </w:pPr>
    </w:p>
    <w:p w14:paraId="2271906A" w14:textId="77777777" w:rsidR="00920037" w:rsidRPr="007223BC" w:rsidRDefault="00920037" w:rsidP="00805A14">
      <w:pPr>
        <w:suppressLineNumbers/>
        <w:autoSpaceDE w:val="0"/>
        <w:autoSpaceDN w:val="0"/>
        <w:adjustRightInd w:val="0"/>
        <w:jc w:val="both"/>
        <w:rPr>
          <w:i/>
          <w:noProof/>
          <w:sz w:val="22"/>
          <w:szCs w:val="22"/>
          <w:lang w:val="sr-Latn-RS"/>
        </w:rPr>
      </w:pPr>
      <w:r w:rsidRPr="007223BC">
        <w:rPr>
          <w:i/>
          <w:noProof/>
          <w:sz w:val="22"/>
          <w:szCs w:val="22"/>
          <w:lang w:val="sr-Latn-RS"/>
        </w:rPr>
        <w:t>Osteonekroza</w:t>
      </w:r>
    </w:p>
    <w:p w14:paraId="79BDF497" w14:textId="079D73E3" w:rsidR="00920037" w:rsidRPr="007223BC" w:rsidRDefault="00920037" w:rsidP="00805A14">
      <w:pPr>
        <w:suppressLineNumbers/>
        <w:autoSpaceDE w:val="0"/>
        <w:autoSpaceDN w:val="0"/>
        <w:adjustRightInd w:val="0"/>
        <w:jc w:val="both"/>
        <w:rPr>
          <w:i/>
          <w:noProof/>
          <w:sz w:val="22"/>
          <w:szCs w:val="22"/>
          <w:lang w:val="sr-Latn-RS"/>
        </w:rPr>
      </w:pPr>
      <w:r w:rsidRPr="007223BC">
        <w:rPr>
          <w:sz w:val="22"/>
          <w:szCs w:val="22"/>
          <w:lang w:val="sr-Latn-RS" w:eastAsia="sr-Latn-RS"/>
        </w:rPr>
        <w:t>Prijavljeni su slučajevi osteonekroze, naročito kod pacijenata sa opšt</w:t>
      </w:r>
      <w:r w:rsidR="00C90057">
        <w:rPr>
          <w:sz w:val="22"/>
          <w:szCs w:val="22"/>
          <w:lang w:val="sr-Latn-RS" w:eastAsia="sr-Latn-RS"/>
        </w:rPr>
        <w:t>epoznatim</w:t>
      </w:r>
      <w:r w:rsidRPr="007223BC">
        <w:rPr>
          <w:sz w:val="22"/>
          <w:szCs w:val="22"/>
          <w:lang w:val="sr-Latn-RS" w:eastAsia="sr-Latn-RS"/>
        </w:rPr>
        <w:t xml:space="preserve"> faktorima rizika, uznapredova</w:t>
      </w:r>
      <w:r w:rsidR="00C90057">
        <w:rPr>
          <w:sz w:val="22"/>
          <w:szCs w:val="22"/>
          <w:lang w:val="sr-Latn-RS" w:eastAsia="sr-Latn-RS"/>
        </w:rPr>
        <w:t>l</w:t>
      </w:r>
      <w:r w:rsidRPr="007223BC">
        <w:rPr>
          <w:sz w:val="22"/>
          <w:szCs w:val="22"/>
          <w:lang w:val="sr-Latn-RS" w:eastAsia="sr-Latn-RS"/>
        </w:rPr>
        <w:t>om HIV bolešću ili dugotrajnom izloženošću kombinovanoj antiretrovirusnoj terapiji. Učestalost tih događaja nije poznata (vidjeti dio 4.4).</w:t>
      </w:r>
    </w:p>
    <w:p w14:paraId="075D4D01" w14:textId="77777777" w:rsidR="00920037" w:rsidRPr="007223BC" w:rsidRDefault="00920037" w:rsidP="00805A14">
      <w:pPr>
        <w:suppressLineNumbers/>
        <w:autoSpaceDE w:val="0"/>
        <w:autoSpaceDN w:val="0"/>
        <w:adjustRightInd w:val="0"/>
        <w:jc w:val="both"/>
        <w:rPr>
          <w:i/>
          <w:noProof/>
          <w:sz w:val="22"/>
          <w:szCs w:val="22"/>
          <w:lang w:val="sr-Latn-RS"/>
        </w:rPr>
      </w:pPr>
    </w:p>
    <w:p w14:paraId="215FD47D" w14:textId="77777777" w:rsidR="00920037" w:rsidRPr="007223BC" w:rsidRDefault="00920037" w:rsidP="00805A14">
      <w:pPr>
        <w:suppressLineNumbers/>
        <w:autoSpaceDE w:val="0"/>
        <w:autoSpaceDN w:val="0"/>
        <w:adjustRightInd w:val="0"/>
        <w:jc w:val="both"/>
        <w:rPr>
          <w:i/>
          <w:noProof/>
          <w:sz w:val="22"/>
          <w:szCs w:val="22"/>
          <w:lang w:val="sr-Latn-RS"/>
        </w:rPr>
      </w:pPr>
      <w:r w:rsidRPr="007223BC">
        <w:rPr>
          <w:i/>
          <w:noProof/>
          <w:sz w:val="22"/>
          <w:szCs w:val="22"/>
          <w:lang w:val="sr-Latn-RS"/>
        </w:rPr>
        <w:t>Sindrom imunološkog odgovora</w:t>
      </w:r>
    </w:p>
    <w:p w14:paraId="746790EE" w14:textId="3E7384A3" w:rsidR="00920037" w:rsidRPr="007223BC" w:rsidRDefault="00920037" w:rsidP="00805A14">
      <w:pPr>
        <w:suppressLineNumbers/>
        <w:autoSpaceDE w:val="0"/>
        <w:autoSpaceDN w:val="0"/>
        <w:adjustRightInd w:val="0"/>
        <w:jc w:val="both"/>
        <w:rPr>
          <w:sz w:val="22"/>
          <w:szCs w:val="22"/>
          <w:lang w:val="sr-Latn-RS" w:eastAsia="sr-Latn-RS"/>
        </w:rPr>
      </w:pPr>
      <w:r w:rsidRPr="007223BC">
        <w:rPr>
          <w:sz w:val="22"/>
          <w:szCs w:val="22"/>
          <w:lang w:val="sr-Latn-RS" w:eastAsia="sr-Latn-RS"/>
        </w:rPr>
        <w:t xml:space="preserve">Kod pacijenata sa HIV infekcijom i teškom imunodeficijencijom u trenutku uvođenja kombinovane antiretrovirusne terapije može se razviti upalna reakcija na asimptomatske ili rezidualne oportunističke infekcije. Prijavljeni su i autoimuni poremećaji (poput </w:t>
      </w:r>
      <w:r w:rsidRPr="00287AA6">
        <w:rPr>
          <w:i/>
          <w:iCs/>
          <w:sz w:val="22"/>
          <w:szCs w:val="22"/>
          <w:lang w:val="sr-Latn-RS" w:eastAsia="sr-Latn-RS"/>
        </w:rPr>
        <w:t>Grave</w:t>
      </w:r>
      <w:r w:rsidR="00C90057" w:rsidRPr="00287AA6">
        <w:rPr>
          <w:i/>
          <w:iCs/>
          <w:sz w:val="22"/>
          <w:szCs w:val="22"/>
          <w:lang w:val="sr-Latn-RS" w:eastAsia="sr-Latn-RS"/>
        </w:rPr>
        <w:t>s</w:t>
      </w:r>
      <w:r w:rsidR="00C90057">
        <w:rPr>
          <w:sz w:val="22"/>
          <w:szCs w:val="22"/>
          <w:lang w:val="sr-Latn-RS" w:eastAsia="sr-Latn-RS"/>
        </w:rPr>
        <w:t>-</w:t>
      </w:r>
      <w:r w:rsidRPr="007223BC">
        <w:rPr>
          <w:sz w:val="22"/>
          <w:szCs w:val="22"/>
          <w:lang w:val="sr-Latn-RS" w:eastAsia="sr-Latn-RS"/>
        </w:rPr>
        <w:t>ove bolesti i autoimunog hepatitisa); međutim, prijavljeno vrijeme do pojave je različito, pa se navedeni događaji mogu javiti i mjesecima nakon početka liječenja (vidjeti dio 4.4)</w:t>
      </w:r>
    </w:p>
    <w:p w14:paraId="442FEC47" w14:textId="77777777" w:rsidR="00920037" w:rsidRPr="007223BC" w:rsidRDefault="00920037" w:rsidP="00805A14">
      <w:pPr>
        <w:suppressLineNumbers/>
        <w:autoSpaceDE w:val="0"/>
        <w:autoSpaceDN w:val="0"/>
        <w:adjustRightInd w:val="0"/>
        <w:jc w:val="both"/>
        <w:rPr>
          <w:i/>
          <w:noProof/>
          <w:sz w:val="22"/>
          <w:szCs w:val="22"/>
          <w:lang w:val="sr-Latn-RS"/>
        </w:rPr>
      </w:pPr>
    </w:p>
    <w:p w14:paraId="7D883655" w14:textId="77777777" w:rsidR="00920037" w:rsidRPr="007223BC" w:rsidRDefault="00920037" w:rsidP="00805A14">
      <w:pPr>
        <w:widowControl w:val="0"/>
        <w:jc w:val="both"/>
        <w:rPr>
          <w:color w:val="000000"/>
          <w:sz w:val="22"/>
          <w:szCs w:val="22"/>
          <w:u w:val="single"/>
          <w:lang w:val="sr-Latn-RS"/>
        </w:rPr>
      </w:pPr>
      <w:r w:rsidRPr="007223BC">
        <w:rPr>
          <w:color w:val="000000"/>
          <w:sz w:val="22"/>
          <w:szCs w:val="22"/>
          <w:u w:val="single"/>
          <w:lang w:val="sr-Latn-RS"/>
        </w:rPr>
        <w:t>Pedijatrijska populacija</w:t>
      </w:r>
    </w:p>
    <w:p w14:paraId="6D995336" w14:textId="77777777" w:rsidR="00920037" w:rsidRPr="007223BC" w:rsidRDefault="00920037" w:rsidP="00805A14">
      <w:pPr>
        <w:spacing w:before="100" w:beforeAutospacing="1" w:after="100" w:afterAutospacing="1"/>
        <w:jc w:val="both"/>
        <w:rPr>
          <w:sz w:val="22"/>
          <w:szCs w:val="22"/>
          <w:lang w:val="sr-Latn-RS" w:eastAsia="sr-Latn-RS"/>
        </w:rPr>
      </w:pPr>
      <w:r w:rsidRPr="007223BC">
        <w:rPr>
          <w:sz w:val="22"/>
          <w:szCs w:val="22"/>
          <w:lang w:val="sr-Latn-RS" w:eastAsia="sr-Latn-RS"/>
        </w:rPr>
        <w:t>Nema podataka iz kliničkih ispitivanja o efektima lijeka DOVATO</w:t>
      </w:r>
      <w:r w:rsidR="00C0738A" w:rsidRPr="007223BC">
        <w:rPr>
          <w:sz w:val="22"/>
          <w:szCs w:val="22"/>
          <w:lang w:val="sr-Latn-RS" w:eastAsia="sr-Latn-RS"/>
        </w:rPr>
        <w:t xml:space="preserve"> </w:t>
      </w:r>
      <w:r w:rsidRPr="007223BC">
        <w:rPr>
          <w:sz w:val="22"/>
          <w:szCs w:val="22"/>
          <w:lang w:val="sr-Latn-RS" w:eastAsia="sr-Latn-RS"/>
        </w:rPr>
        <w:t>u pedijatrijskoj populaciji. Pojedinačne komponente lijeka su ispitivane kod adolescenata (od 12 do 17 godina).</w:t>
      </w:r>
    </w:p>
    <w:p w14:paraId="2E1A3408" w14:textId="77777777" w:rsidR="00920037" w:rsidRPr="007223BC" w:rsidRDefault="00920037" w:rsidP="00805A14">
      <w:pPr>
        <w:spacing w:before="100" w:beforeAutospacing="1" w:after="100" w:afterAutospacing="1"/>
        <w:jc w:val="both"/>
        <w:rPr>
          <w:sz w:val="22"/>
          <w:szCs w:val="22"/>
          <w:lang w:val="sr-Latn-RS" w:eastAsia="sr-Latn-RS"/>
        </w:rPr>
      </w:pPr>
      <w:r w:rsidRPr="007223BC">
        <w:rPr>
          <w:sz w:val="22"/>
          <w:szCs w:val="22"/>
          <w:lang w:val="sr-Latn-RS" w:eastAsia="sr-Latn-RS"/>
        </w:rPr>
        <w:t>Ograničeni dostupni podaci o zasebnoj primjeni dolutegravira odnosno zasebnoj primjeni lamivudina u kombinaciji sa drugim antiretroviroticima za liječenje adolescenata (od 12 do 17 godina) nijesu ukazali na dodatne tipove neželjenih reakcija u odnosu na one primijećene u populaciji odraslih.</w:t>
      </w:r>
    </w:p>
    <w:p w14:paraId="3E4AE2A9" w14:textId="77777777" w:rsidR="00853B69" w:rsidRPr="007223BC" w:rsidRDefault="00853B69" w:rsidP="00805A14">
      <w:pPr>
        <w:spacing w:after="200" w:line="276" w:lineRule="auto"/>
        <w:jc w:val="both"/>
        <w:rPr>
          <w:rFonts w:eastAsia="Calibri"/>
          <w:sz w:val="22"/>
          <w:szCs w:val="22"/>
          <w:u w:val="single"/>
          <w:lang w:val="sr-Latn-RS"/>
        </w:rPr>
      </w:pPr>
      <w:r w:rsidRPr="007223BC">
        <w:rPr>
          <w:rFonts w:eastAsia="Calibri"/>
          <w:sz w:val="22"/>
          <w:szCs w:val="22"/>
          <w:u w:val="single"/>
          <w:lang w:val="sr-Latn-RS"/>
        </w:rPr>
        <w:t>Prijavljivanje sumnji na neželjena dejstva</w:t>
      </w:r>
    </w:p>
    <w:p w14:paraId="59E6395F" w14:textId="77777777" w:rsidR="00853B69" w:rsidRPr="007223BC" w:rsidRDefault="00853B69" w:rsidP="00805A14">
      <w:pPr>
        <w:spacing w:after="200"/>
        <w:jc w:val="both"/>
        <w:rPr>
          <w:rFonts w:eastAsia="Calibri"/>
          <w:sz w:val="22"/>
          <w:szCs w:val="22"/>
          <w:lang w:val="sr-Latn-RS"/>
        </w:rPr>
      </w:pPr>
      <w:r w:rsidRPr="007223BC">
        <w:rPr>
          <w:rFonts w:eastAsia="Calibri"/>
          <w:sz w:val="22"/>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7033D264" w14:textId="77777777" w:rsidR="00853B69" w:rsidRPr="007223BC" w:rsidRDefault="00853B69" w:rsidP="00805A14">
      <w:pPr>
        <w:pStyle w:val="NoSpacing"/>
        <w:jc w:val="both"/>
        <w:rPr>
          <w:rFonts w:eastAsia="Calibri"/>
          <w:sz w:val="22"/>
          <w:szCs w:val="22"/>
          <w:lang w:val="sr-Latn-RS"/>
        </w:rPr>
      </w:pPr>
      <w:r w:rsidRPr="007223BC">
        <w:rPr>
          <w:rFonts w:eastAsia="Calibri"/>
          <w:sz w:val="22"/>
          <w:szCs w:val="22"/>
          <w:lang w:val="sr-Latn-RS"/>
        </w:rPr>
        <w:t xml:space="preserve">Institut za ljekove i medicinska sredstva </w:t>
      </w:r>
    </w:p>
    <w:p w14:paraId="0F1B4137" w14:textId="77777777" w:rsidR="00853B69" w:rsidRPr="007223BC" w:rsidRDefault="00853B69" w:rsidP="00805A14">
      <w:pPr>
        <w:pStyle w:val="NoSpacing"/>
        <w:jc w:val="both"/>
        <w:rPr>
          <w:rFonts w:eastAsia="Calibri"/>
          <w:sz w:val="22"/>
          <w:szCs w:val="22"/>
          <w:lang w:val="sr-Latn-RS"/>
        </w:rPr>
      </w:pPr>
      <w:r w:rsidRPr="007223BC">
        <w:rPr>
          <w:rFonts w:eastAsia="Calibri"/>
          <w:sz w:val="22"/>
          <w:szCs w:val="22"/>
          <w:lang w:val="sr-Latn-RS"/>
        </w:rPr>
        <w:t>Odjeljenje za farmakovigilancu</w:t>
      </w:r>
    </w:p>
    <w:p w14:paraId="23A18A43" w14:textId="77777777" w:rsidR="00853B69" w:rsidRPr="007223BC" w:rsidRDefault="00853B69" w:rsidP="00805A14">
      <w:pPr>
        <w:pStyle w:val="NoSpacing"/>
        <w:jc w:val="both"/>
        <w:rPr>
          <w:rFonts w:eastAsia="Calibri"/>
          <w:sz w:val="22"/>
          <w:szCs w:val="22"/>
          <w:lang w:val="sr-Latn-RS"/>
        </w:rPr>
      </w:pPr>
      <w:r w:rsidRPr="007223BC">
        <w:rPr>
          <w:rFonts w:eastAsia="Calibri"/>
          <w:sz w:val="22"/>
          <w:szCs w:val="22"/>
          <w:lang w:val="sr-Latn-RS"/>
        </w:rPr>
        <w:t>Bulevar Ivana Crnojevića 64a, 81000 Podgorica</w:t>
      </w:r>
    </w:p>
    <w:p w14:paraId="0741F76C" w14:textId="77777777" w:rsidR="00853B69" w:rsidRPr="007223BC" w:rsidRDefault="00853B69" w:rsidP="00805A14">
      <w:pPr>
        <w:pStyle w:val="NoSpacing"/>
        <w:jc w:val="both"/>
        <w:rPr>
          <w:rFonts w:eastAsia="Calibri"/>
          <w:sz w:val="22"/>
          <w:szCs w:val="22"/>
          <w:lang w:val="sr-Latn-RS"/>
        </w:rPr>
      </w:pPr>
    </w:p>
    <w:p w14:paraId="08BD9DDD" w14:textId="77777777" w:rsidR="00853B69" w:rsidRPr="007223BC" w:rsidRDefault="00853B69" w:rsidP="00805A14">
      <w:pPr>
        <w:pStyle w:val="NoSpacing"/>
        <w:jc w:val="both"/>
        <w:rPr>
          <w:rFonts w:eastAsia="Calibri"/>
          <w:sz w:val="22"/>
          <w:szCs w:val="22"/>
          <w:lang w:val="sr-Latn-RS"/>
        </w:rPr>
      </w:pPr>
      <w:r w:rsidRPr="007223BC">
        <w:rPr>
          <w:rFonts w:eastAsia="Calibri"/>
          <w:sz w:val="22"/>
          <w:szCs w:val="22"/>
          <w:lang w:val="sr-Latn-RS"/>
        </w:rPr>
        <w:t>tel: +382 (0) 20 310 280</w:t>
      </w:r>
    </w:p>
    <w:p w14:paraId="6D5DE087" w14:textId="77777777" w:rsidR="00853B69" w:rsidRPr="007223BC" w:rsidRDefault="00853B69" w:rsidP="00805A14">
      <w:pPr>
        <w:pStyle w:val="NoSpacing"/>
        <w:jc w:val="both"/>
        <w:rPr>
          <w:rFonts w:eastAsia="Calibri"/>
          <w:sz w:val="22"/>
          <w:szCs w:val="22"/>
          <w:lang w:val="sr-Latn-RS"/>
        </w:rPr>
      </w:pPr>
      <w:r w:rsidRPr="007223BC">
        <w:rPr>
          <w:rFonts w:eastAsia="Calibri"/>
          <w:sz w:val="22"/>
          <w:szCs w:val="22"/>
          <w:lang w:val="sr-Latn-RS"/>
        </w:rPr>
        <w:t>fax: +382 (0) 20 310 581</w:t>
      </w:r>
    </w:p>
    <w:p w14:paraId="457B928E" w14:textId="77777777" w:rsidR="00853B69" w:rsidRPr="007223BC" w:rsidRDefault="00060D3A" w:rsidP="00805A14">
      <w:pPr>
        <w:pStyle w:val="NoSpacing"/>
        <w:jc w:val="both"/>
        <w:rPr>
          <w:rFonts w:eastAsia="Calibri"/>
          <w:sz w:val="22"/>
          <w:szCs w:val="22"/>
          <w:lang w:val="sr-Latn-RS"/>
        </w:rPr>
      </w:pPr>
      <w:hyperlink r:id="rId8" w:history="1">
        <w:r w:rsidR="00853B69" w:rsidRPr="007223BC">
          <w:rPr>
            <w:rStyle w:val="Hyperlink"/>
            <w:rFonts w:eastAsia="Calibri"/>
            <w:sz w:val="22"/>
            <w:szCs w:val="22"/>
            <w:lang w:val="sr-Latn-RS"/>
          </w:rPr>
          <w:t>www.cinmed.me</w:t>
        </w:r>
      </w:hyperlink>
    </w:p>
    <w:p w14:paraId="30B220A3" w14:textId="77777777" w:rsidR="00853B69" w:rsidRPr="007223BC" w:rsidRDefault="00060D3A" w:rsidP="00805A14">
      <w:pPr>
        <w:pStyle w:val="NoSpacing"/>
        <w:jc w:val="both"/>
        <w:rPr>
          <w:rFonts w:eastAsia="Calibri"/>
          <w:color w:val="0000FF"/>
          <w:sz w:val="22"/>
          <w:szCs w:val="22"/>
          <w:u w:val="single"/>
          <w:lang w:val="sr-Latn-RS"/>
        </w:rPr>
      </w:pPr>
      <w:hyperlink r:id="rId9" w:history="1">
        <w:r w:rsidR="00853B69" w:rsidRPr="007223BC">
          <w:rPr>
            <w:rStyle w:val="Hyperlink"/>
            <w:rFonts w:eastAsia="Calibri"/>
            <w:sz w:val="22"/>
            <w:szCs w:val="22"/>
            <w:lang w:val="sr-Latn-RS"/>
          </w:rPr>
          <w:t>nezeljenadejstva@cinmed.me</w:t>
        </w:r>
      </w:hyperlink>
    </w:p>
    <w:p w14:paraId="3C9AD8E5" w14:textId="77777777" w:rsidR="00853B69" w:rsidRDefault="00853B69" w:rsidP="00805A14">
      <w:pPr>
        <w:pStyle w:val="NoSpacing"/>
        <w:jc w:val="both"/>
        <w:rPr>
          <w:rFonts w:eastAsia="Calibri"/>
          <w:sz w:val="22"/>
          <w:szCs w:val="22"/>
          <w:lang w:val="sr-Latn-RS"/>
        </w:rPr>
      </w:pPr>
      <w:r w:rsidRPr="007223BC">
        <w:rPr>
          <w:rFonts w:eastAsia="Calibri"/>
          <w:sz w:val="22"/>
          <w:szCs w:val="22"/>
          <w:lang w:val="sr-Latn-RS"/>
        </w:rPr>
        <w:t>putem IS zdravstvene zaštite</w:t>
      </w:r>
    </w:p>
    <w:p w14:paraId="2F2ADB37" w14:textId="77777777" w:rsidR="00B84E2E" w:rsidRDefault="00B84E2E" w:rsidP="00805A14">
      <w:pPr>
        <w:pStyle w:val="NoSpacing"/>
        <w:jc w:val="both"/>
        <w:rPr>
          <w:rFonts w:eastAsia="Calibri"/>
          <w:sz w:val="22"/>
          <w:szCs w:val="22"/>
          <w:lang w:val="sr-Latn-RS"/>
        </w:rPr>
      </w:pPr>
      <w:r>
        <w:rPr>
          <w:rFonts w:eastAsia="Calibri"/>
          <w:sz w:val="22"/>
          <w:szCs w:val="22"/>
          <w:lang w:val="sr-Latn-RS"/>
        </w:rPr>
        <w:t>QR kod za online prijavu sumnje na neželjeno dejstvo lijeka:</w:t>
      </w:r>
    </w:p>
    <w:p w14:paraId="589CAADA" w14:textId="77777777" w:rsidR="00B84E2E" w:rsidRDefault="00B84E2E" w:rsidP="00805A14">
      <w:pPr>
        <w:pStyle w:val="NoSpacing"/>
        <w:jc w:val="both"/>
        <w:rPr>
          <w:rFonts w:eastAsia="Calibri"/>
          <w:sz w:val="22"/>
          <w:szCs w:val="22"/>
          <w:lang w:val="sr-Latn-RS"/>
        </w:rPr>
      </w:pPr>
    </w:p>
    <w:p w14:paraId="216E7014" w14:textId="0FF441C4" w:rsidR="00B84E2E" w:rsidRPr="007223BC" w:rsidRDefault="00B84E2E" w:rsidP="00805A14">
      <w:pPr>
        <w:pStyle w:val="NoSpacing"/>
        <w:jc w:val="both"/>
        <w:rPr>
          <w:rFonts w:eastAsia="Calibri"/>
          <w:sz w:val="22"/>
          <w:szCs w:val="22"/>
          <w:lang w:val="sr-Latn-RS"/>
        </w:rPr>
      </w:pPr>
      <w:r w:rsidRPr="007F661E">
        <w:rPr>
          <w:b/>
          <w:bCs/>
          <w:noProof/>
          <w:sz w:val="22"/>
          <w:szCs w:val="22"/>
        </w:rPr>
        <w:drawing>
          <wp:inline distT="0" distB="0" distL="0" distR="0" wp14:anchorId="288BA8F0" wp14:editId="65BBDCCE">
            <wp:extent cx="980796" cy="972000"/>
            <wp:effectExtent l="0" t="0" r="0" b="0"/>
            <wp:docPr id="10" name="Picture 9" descr="A qr code on a white background&#10;&#10;AI-generated content may be incorrec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AI-generated content may be incorrect.">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1B7F8E34" w14:textId="77777777" w:rsidR="00836B35" w:rsidRPr="00287AA6" w:rsidRDefault="00836B35" w:rsidP="00805A14">
      <w:pPr>
        <w:tabs>
          <w:tab w:val="left" w:pos="540"/>
          <w:tab w:val="left" w:pos="569"/>
        </w:tabs>
        <w:jc w:val="both"/>
        <w:rPr>
          <w:b/>
          <w:bCs/>
          <w:sz w:val="22"/>
          <w:szCs w:val="22"/>
          <w:lang w:val="sr-Latn-RS"/>
        </w:rPr>
      </w:pPr>
    </w:p>
    <w:p w14:paraId="077F1F89" w14:textId="77777777" w:rsidR="00CD6F02" w:rsidRPr="00287AA6" w:rsidRDefault="0072020E" w:rsidP="00805A14">
      <w:pPr>
        <w:tabs>
          <w:tab w:val="left" w:pos="540"/>
          <w:tab w:val="left" w:pos="569"/>
        </w:tabs>
        <w:jc w:val="both"/>
        <w:rPr>
          <w:b/>
          <w:bCs/>
          <w:sz w:val="22"/>
          <w:szCs w:val="22"/>
          <w:lang w:val="sr-Latn-RS"/>
        </w:rPr>
      </w:pPr>
      <w:r w:rsidRPr="00287AA6">
        <w:rPr>
          <w:b/>
          <w:bCs/>
          <w:sz w:val="22"/>
          <w:szCs w:val="22"/>
          <w:lang w:val="sr-Latn-RS"/>
        </w:rPr>
        <w:t xml:space="preserve">4.9. </w:t>
      </w:r>
      <w:r w:rsidR="00480FB1" w:rsidRPr="00287AA6">
        <w:rPr>
          <w:b/>
          <w:bCs/>
          <w:sz w:val="22"/>
          <w:szCs w:val="22"/>
          <w:lang w:val="sr-Latn-RS"/>
        </w:rPr>
        <w:tab/>
      </w:r>
      <w:r w:rsidRPr="00287AA6">
        <w:rPr>
          <w:b/>
          <w:bCs/>
          <w:sz w:val="22"/>
          <w:szCs w:val="22"/>
          <w:lang w:val="sr-Latn-RS"/>
        </w:rPr>
        <w:t>Predoziranje</w:t>
      </w:r>
      <w:r w:rsidR="002846DB" w:rsidRPr="00287AA6">
        <w:rPr>
          <w:b/>
          <w:bCs/>
          <w:sz w:val="22"/>
          <w:szCs w:val="22"/>
          <w:lang w:val="sr-Latn-RS"/>
        </w:rPr>
        <w:t xml:space="preserve"> </w:t>
      </w:r>
    </w:p>
    <w:p w14:paraId="32E9788D" w14:textId="77777777" w:rsidR="00F66C4F" w:rsidRPr="007223BC" w:rsidRDefault="00F66C4F" w:rsidP="00805A14">
      <w:pPr>
        <w:spacing w:before="100" w:beforeAutospacing="1" w:after="100" w:afterAutospacing="1"/>
        <w:jc w:val="both"/>
        <w:rPr>
          <w:sz w:val="22"/>
          <w:szCs w:val="22"/>
          <w:lang w:val="sr-Latn-RS" w:eastAsia="sr-Latn-RS"/>
        </w:rPr>
      </w:pPr>
      <w:r w:rsidRPr="007223BC">
        <w:rPr>
          <w:sz w:val="22"/>
          <w:szCs w:val="22"/>
          <w:lang w:val="sr-Latn-RS" w:eastAsia="sr-Latn-RS"/>
        </w:rPr>
        <w:t>Nakon akutnog predoziranja dolutegravirom ili lamivudinom nijesu primijećeni nikakvi specifični simptomi ni znakovi, osim onih navedenih u listi neželjenih reakcija.</w:t>
      </w:r>
    </w:p>
    <w:p w14:paraId="41C29263" w14:textId="7B14B85D" w:rsidR="00227BDB" w:rsidRPr="007223BC" w:rsidRDefault="00F66C4F" w:rsidP="00805A14">
      <w:pPr>
        <w:spacing w:before="100" w:beforeAutospacing="1" w:after="100" w:afterAutospacing="1"/>
        <w:jc w:val="both"/>
        <w:rPr>
          <w:sz w:val="22"/>
          <w:szCs w:val="22"/>
          <w:lang w:val="sr-Latn-RS" w:eastAsia="sr-Latn-RS"/>
        </w:rPr>
      </w:pPr>
      <w:r w:rsidRPr="007223BC">
        <w:rPr>
          <w:sz w:val="22"/>
          <w:szCs w:val="22"/>
          <w:lang w:val="sr-Latn-RS" w:eastAsia="sr-Latn-RS"/>
        </w:rPr>
        <w:t>Nema specifičnog liječenja za predoziranje lijekom DOVATO. Ukoliko dođe do predoziranja, pacijenta treba liječiti suportivno i po potrebi uvesti odgovarajuće praćenje. S obzirom na to da se lamivudin može ukloniti dijalizom, predoziranje se može liječiti kontinuiranom hemodijalizom, mada se to nije ispitivalo. Budu</w:t>
      </w:r>
      <w:r w:rsidRPr="007223BC">
        <w:rPr>
          <w:sz w:val="22"/>
          <w:szCs w:val="22"/>
          <w:lang w:val="sr-Latn-CS" w:eastAsia="sr-Latn-RS"/>
        </w:rPr>
        <w:t>ći</w:t>
      </w:r>
      <w:r w:rsidRPr="007223BC">
        <w:rPr>
          <w:sz w:val="22"/>
          <w:szCs w:val="22"/>
          <w:lang w:val="sr-Latn-RS" w:eastAsia="sr-Latn-RS"/>
        </w:rPr>
        <w:t xml:space="preserve"> da se dolutegravir u velikoj mjeri vezuje za proteine u plazmi, nije vjerovatno da će se u značajnoj mjeri ukloniti dijalizom.</w:t>
      </w:r>
    </w:p>
    <w:p w14:paraId="6076BFA6" w14:textId="77777777" w:rsidR="00DB45B7" w:rsidRPr="007223BC" w:rsidRDefault="00DB45B7" w:rsidP="00805A14">
      <w:pPr>
        <w:spacing w:before="100" w:beforeAutospacing="1"/>
        <w:jc w:val="both"/>
        <w:rPr>
          <w:sz w:val="22"/>
          <w:szCs w:val="22"/>
          <w:lang w:val="sr-Latn-RS" w:eastAsia="sr-Latn-RS"/>
        </w:rPr>
      </w:pPr>
    </w:p>
    <w:p w14:paraId="46A31B6C" w14:textId="77777777" w:rsidR="0072020E" w:rsidRPr="00287AA6" w:rsidRDefault="0072020E" w:rsidP="00805A14">
      <w:pPr>
        <w:tabs>
          <w:tab w:val="left" w:pos="540"/>
          <w:tab w:val="left" w:pos="569"/>
        </w:tabs>
        <w:jc w:val="both"/>
        <w:rPr>
          <w:b/>
          <w:bCs/>
          <w:sz w:val="22"/>
          <w:szCs w:val="22"/>
          <w:lang w:val="sr-Latn-RS"/>
        </w:rPr>
      </w:pPr>
      <w:r w:rsidRPr="00287AA6">
        <w:rPr>
          <w:b/>
          <w:bCs/>
          <w:sz w:val="22"/>
          <w:szCs w:val="22"/>
          <w:lang w:val="sr-Latn-RS"/>
        </w:rPr>
        <w:t xml:space="preserve">5. </w:t>
      </w:r>
      <w:r w:rsidR="00480FB1" w:rsidRPr="00287AA6">
        <w:rPr>
          <w:b/>
          <w:bCs/>
          <w:sz w:val="22"/>
          <w:szCs w:val="22"/>
          <w:lang w:val="sr-Latn-RS"/>
        </w:rPr>
        <w:tab/>
      </w:r>
      <w:r w:rsidRPr="00287AA6">
        <w:rPr>
          <w:b/>
          <w:bCs/>
          <w:sz w:val="22"/>
          <w:szCs w:val="22"/>
          <w:lang w:val="sr-Latn-RS"/>
        </w:rPr>
        <w:t>FARMAKOLOŠK</w:t>
      </w:r>
      <w:r w:rsidR="000D425A" w:rsidRPr="00287AA6">
        <w:rPr>
          <w:b/>
          <w:bCs/>
          <w:sz w:val="22"/>
          <w:szCs w:val="22"/>
          <w:lang w:val="sr-Latn-RS"/>
        </w:rPr>
        <w:t>I</w:t>
      </w:r>
      <w:r w:rsidRPr="00287AA6">
        <w:rPr>
          <w:b/>
          <w:bCs/>
          <w:sz w:val="22"/>
          <w:szCs w:val="22"/>
          <w:lang w:val="sr-Latn-RS"/>
        </w:rPr>
        <w:t xml:space="preserve"> PODACI</w:t>
      </w:r>
    </w:p>
    <w:p w14:paraId="7A5FC916" w14:textId="77777777" w:rsidR="0072020E" w:rsidRPr="00287AA6" w:rsidRDefault="0072020E" w:rsidP="00805A14">
      <w:pPr>
        <w:tabs>
          <w:tab w:val="left" w:pos="540"/>
          <w:tab w:val="left" w:pos="569"/>
        </w:tabs>
        <w:jc w:val="both"/>
        <w:rPr>
          <w:b/>
          <w:bCs/>
          <w:sz w:val="22"/>
          <w:szCs w:val="22"/>
          <w:lang w:val="sr-Latn-RS"/>
        </w:rPr>
      </w:pPr>
    </w:p>
    <w:p w14:paraId="47B23C70" w14:textId="77777777" w:rsidR="0072020E" w:rsidRPr="00287AA6" w:rsidRDefault="0072020E" w:rsidP="00805A14">
      <w:pPr>
        <w:tabs>
          <w:tab w:val="left" w:pos="540"/>
          <w:tab w:val="left" w:pos="569"/>
        </w:tabs>
        <w:jc w:val="both"/>
        <w:rPr>
          <w:b/>
          <w:bCs/>
          <w:sz w:val="22"/>
          <w:szCs w:val="22"/>
          <w:lang w:val="sr-Latn-RS"/>
        </w:rPr>
      </w:pPr>
      <w:r w:rsidRPr="00287AA6">
        <w:rPr>
          <w:b/>
          <w:bCs/>
          <w:sz w:val="22"/>
          <w:szCs w:val="22"/>
          <w:lang w:val="sr-Latn-RS"/>
        </w:rPr>
        <w:t xml:space="preserve">5.1. </w:t>
      </w:r>
      <w:r w:rsidR="00480FB1" w:rsidRPr="00287AA6">
        <w:rPr>
          <w:b/>
          <w:bCs/>
          <w:sz w:val="22"/>
          <w:szCs w:val="22"/>
          <w:lang w:val="sr-Latn-RS"/>
        </w:rPr>
        <w:tab/>
      </w:r>
      <w:r w:rsidRPr="00287AA6">
        <w:rPr>
          <w:b/>
          <w:bCs/>
          <w:sz w:val="22"/>
          <w:szCs w:val="22"/>
          <w:lang w:val="sr-Latn-RS"/>
        </w:rPr>
        <w:t>Farmakodinamski podaci</w:t>
      </w:r>
      <w:r w:rsidR="003A7059" w:rsidRPr="00287AA6">
        <w:rPr>
          <w:b/>
          <w:bCs/>
          <w:sz w:val="22"/>
          <w:szCs w:val="22"/>
          <w:lang w:val="sr-Latn-RS"/>
        </w:rPr>
        <w:t xml:space="preserve"> </w:t>
      </w:r>
    </w:p>
    <w:p w14:paraId="1BC580D0" w14:textId="77777777" w:rsidR="00E10C7D" w:rsidRPr="007223BC" w:rsidRDefault="00E10C7D" w:rsidP="00805A14">
      <w:pPr>
        <w:jc w:val="both"/>
        <w:rPr>
          <w:b/>
          <w:bCs/>
          <w:sz w:val="22"/>
          <w:szCs w:val="22"/>
          <w:lang w:val="sl-SI"/>
        </w:rPr>
      </w:pPr>
    </w:p>
    <w:p w14:paraId="02EB632A" w14:textId="77777777" w:rsidR="00E10C7D" w:rsidRPr="007223BC" w:rsidRDefault="00E10C7D" w:rsidP="00805A14">
      <w:pPr>
        <w:jc w:val="both"/>
        <w:rPr>
          <w:bCs/>
          <w:sz w:val="22"/>
          <w:szCs w:val="22"/>
          <w:lang w:val="sl-SI"/>
        </w:rPr>
      </w:pPr>
      <w:r w:rsidRPr="007223BC">
        <w:rPr>
          <w:sz w:val="22"/>
          <w:szCs w:val="22"/>
          <w:lang w:val="sl-SI"/>
        </w:rPr>
        <w:t>Farmakoterapijska grupa:</w:t>
      </w:r>
      <w:r w:rsidRPr="007223BC">
        <w:rPr>
          <w:b/>
          <w:sz w:val="22"/>
          <w:szCs w:val="22"/>
          <w:lang w:val="sl-SI"/>
        </w:rPr>
        <w:t xml:space="preserve"> </w:t>
      </w:r>
      <w:r w:rsidRPr="007223BC">
        <w:rPr>
          <w:sz w:val="22"/>
          <w:szCs w:val="22"/>
          <w:lang w:val="sl-SI"/>
        </w:rPr>
        <w:t>antivirusni ljekovi za sistemsku primjenu, antivirusni ljekovi za terapiju HIV infekcija, kombinacije</w:t>
      </w:r>
    </w:p>
    <w:p w14:paraId="1B47ED32" w14:textId="77777777" w:rsidR="00E10C7D" w:rsidRPr="007223BC" w:rsidRDefault="00E10C7D" w:rsidP="00805A14">
      <w:pPr>
        <w:jc w:val="both"/>
        <w:rPr>
          <w:sz w:val="22"/>
          <w:szCs w:val="22"/>
          <w:lang w:val="sl-SI"/>
        </w:rPr>
      </w:pPr>
    </w:p>
    <w:p w14:paraId="31634DB7" w14:textId="77777777" w:rsidR="00E10C7D" w:rsidRPr="007223BC" w:rsidRDefault="00E10C7D" w:rsidP="00805A14">
      <w:pPr>
        <w:jc w:val="both"/>
        <w:rPr>
          <w:b/>
          <w:bCs/>
          <w:sz w:val="22"/>
          <w:szCs w:val="22"/>
          <w:lang w:val="sl-SI"/>
        </w:rPr>
      </w:pPr>
      <w:r w:rsidRPr="007223BC">
        <w:rPr>
          <w:sz w:val="22"/>
          <w:szCs w:val="22"/>
          <w:lang w:val="sl-SI"/>
        </w:rPr>
        <w:t xml:space="preserve">ATC </w:t>
      </w:r>
      <w:r w:rsidR="006B052D" w:rsidRPr="007223BC">
        <w:rPr>
          <w:sz w:val="22"/>
          <w:szCs w:val="22"/>
          <w:lang w:val="sl-SI"/>
        </w:rPr>
        <w:t>kod</w:t>
      </w:r>
      <w:r w:rsidRPr="007223BC">
        <w:rPr>
          <w:sz w:val="22"/>
          <w:szCs w:val="22"/>
          <w:lang w:val="sl-SI"/>
        </w:rPr>
        <w:t>:</w:t>
      </w:r>
      <w:r w:rsidRPr="007223BC">
        <w:rPr>
          <w:b/>
          <w:sz w:val="22"/>
          <w:szCs w:val="22"/>
          <w:lang w:val="sl-SI"/>
        </w:rPr>
        <w:t xml:space="preserve"> </w:t>
      </w:r>
      <w:r w:rsidRPr="007223BC">
        <w:rPr>
          <w:sz w:val="22"/>
          <w:szCs w:val="22"/>
          <w:lang w:val="sl-SI"/>
        </w:rPr>
        <w:t>J05AR25</w:t>
      </w:r>
    </w:p>
    <w:p w14:paraId="49A938F3" w14:textId="77777777" w:rsidR="00E10C7D" w:rsidRPr="007223BC" w:rsidRDefault="00E10C7D" w:rsidP="00805A14">
      <w:pPr>
        <w:suppressLineNumbers/>
        <w:jc w:val="both"/>
        <w:rPr>
          <w:noProof/>
          <w:sz w:val="22"/>
          <w:szCs w:val="22"/>
          <w:lang w:val="sr-Latn-RS"/>
        </w:rPr>
      </w:pPr>
    </w:p>
    <w:p w14:paraId="7BFAA973" w14:textId="77777777" w:rsidR="00E10C7D" w:rsidRPr="007223BC" w:rsidRDefault="00E10C7D" w:rsidP="00805A14">
      <w:pPr>
        <w:suppressLineNumbers/>
        <w:autoSpaceDE w:val="0"/>
        <w:autoSpaceDN w:val="0"/>
        <w:adjustRightInd w:val="0"/>
        <w:jc w:val="both"/>
        <w:rPr>
          <w:sz w:val="22"/>
          <w:szCs w:val="22"/>
          <w:lang w:val="sr-Latn-RS"/>
        </w:rPr>
      </w:pPr>
      <w:r w:rsidRPr="007223BC">
        <w:rPr>
          <w:sz w:val="22"/>
          <w:szCs w:val="22"/>
          <w:u w:val="single"/>
          <w:lang w:val="sr-Latn-RS"/>
        </w:rPr>
        <w:t>Mehanizam dejstva</w:t>
      </w:r>
    </w:p>
    <w:p w14:paraId="5A43A58D" w14:textId="77777777" w:rsidR="00E10C7D" w:rsidRPr="007223BC" w:rsidRDefault="00E10C7D" w:rsidP="00805A14">
      <w:pPr>
        <w:spacing w:before="100" w:beforeAutospacing="1" w:after="100" w:afterAutospacing="1"/>
        <w:jc w:val="both"/>
        <w:rPr>
          <w:sz w:val="22"/>
          <w:szCs w:val="22"/>
          <w:lang w:val="sr-Latn-RS" w:eastAsia="sr-Latn-RS"/>
        </w:rPr>
      </w:pPr>
      <w:r w:rsidRPr="007223BC">
        <w:rPr>
          <w:sz w:val="22"/>
          <w:szCs w:val="22"/>
          <w:lang w:val="sr-Latn-RS" w:eastAsia="sr-Latn-RS"/>
        </w:rPr>
        <w:t>Dolutegravir inhibira HIV integrazu vezivanjem za aktivno mjesto integraze i blokiranjem koraka prenosa lanca u sklopu integracije retrovirusne dezoksiribonukleinske kiseline (DNK), koji je ključan za ciklus replikacije HIV-a.</w:t>
      </w:r>
    </w:p>
    <w:p w14:paraId="7032E6F7" w14:textId="77777777" w:rsidR="00E10C7D" w:rsidRPr="007223BC" w:rsidRDefault="00E10C7D" w:rsidP="00805A14">
      <w:pPr>
        <w:spacing w:before="100" w:beforeAutospacing="1" w:after="100" w:afterAutospacing="1"/>
        <w:jc w:val="both"/>
        <w:rPr>
          <w:sz w:val="22"/>
          <w:szCs w:val="22"/>
          <w:lang w:val="sr-Latn-RS" w:eastAsia="sr-Latn-RS"/>
        </w:rPr>
      </w:pPr>
      <w:r w:rsidRPr="007223BC">
        <w:rPr>
          <w:sz w:val="22"/>
          <w:szCs w:val="22"/>
          <w:lang w:val="sr-Latn-RS" w:eastAsia="sr-Latn-RS"/>
        </w:rPr>
        <w:t>Lamivudin putem svojih aktivnih 5’-trifosfatnih metabolita (TP) (analoga citidina) inhibira reverznu transkriptazu HIV-1 i HIV-2 ubacivanjem monofosfatnog oblika u lanac virusne DNK, što dovodi do prekida tog lanca. Lamivudin</w:t>
      </w:r>
      <w:r w:rsidR="00347014" w:rsidRPr="007223BC">
        <w:rPr>
          <w:sz w:val="22"/>
          <w:szCs w:val="22"/>
          <w:lang w:val="sr-Latn-RS" w:eastAsia="sr-Latn-RS"/>
        </w:rPr>
        <w:t xml:space="preserve"> </w:t>
      </w:r>
      <w:r w:rsidRPr="007223BC">
        <w:rPr>
          <w:sz w:val="22"/>
          <w:szCs w:val="22"/>
          <w:lang w:val="sr-Latn-RS" w:eastAsia="sr-Latn-RS"/>
        </w:rPr>
        <w:t>trifosfat pokazuje značajno manju sklonost za DNK polimeraze ćelija domaćina.</w:t>
      </w:r>
    </w:p>
    <w:p w14:paraId="6BD37C47" w14:textId="77777777" w:rsidR="00E10C7D" w:rsidRPr="007223BC" w:rsidRDefault="00E10C7D" w:rsidP="00805A14">
      <w:pPr>
        <w:suppressLineNumbers/>
        <w:autoSpaceDE w:val="0"/>
        <w:autoSpaceDN w:val="0"/>
        <w:adjustRightInd w:val="0"/>
        <w:jc w:val="both"/>
        <w:rPr>
          <w:sz w:val="22"/>
          <w:szCs w:val="22"/>
          <w:lang w:val="sr-Latn-RS"/>
        </w:rPr>
      </w:pPr>
      <w:bookmarkStart w:id="3" w:name="_Hlk521493931"/>
      <w:r w:rsidRPr="007223BC">
        <w:rPr>
          <w:sz w:val="22"/>
          <w:szCs w:val="22"/>
          <w:u w:val="single"/>
          <w:lang w:val="sr-Latn-RS"/>
        </w:rPr>
        <w:t>Farmakodinamska dejstva</w:t>
      </w:r>
    </w:p>
    <w:p w14:paraId="2B539506" w14:textId="77777777" w:rsidR="00E10C7D" w:rsidRPr="007223BC" w:rsidRDefault="00E10C7D" w:rsidP="00805A14">
      <w:pPr>
        <w:suppressLineNumbers/>
        <w:autoSpaceDE w:val="0"/>
        <w:autoSpaceDN w:val="0"/>
        <w:adjustRightInd w:val="0"/>
        <w:jc w:val="both"/>
        <w:rPr>
          <w:i/>
          <w:sz w:val="22"/>
          <w:szCs w:val="22"/>
          <w:lang w:val="sr-Latn-RS"/>
        </w:rPr>
      </w:pPr>
    </w:p>
    <w:p w14:paraId="4088C9F1" w14:textId="77777777" w:rsidR="00E10C7D" w:rsidRPr="007223BC" w:rsidRDefault="00E10C7D" w:rsidP="00805A14">
      <w:pPr>
        <w:suppressLineNumbers/>
        <w:autoSpaceDE w:val="0"/>
        <w:autoSpaceDN w:val="0"/>
        <w:adjustRightInd w:val="0"/>
        <w:jc w:val="both"/>
        <w:rPr>
          <w:i/>
          <w:sz w:val="22"/>
          <w:szCs w:val="22"/>
          <w:lang w:val="sr-Latn-RS"/>
        </w:rPr>
      </w:pPr>
      <w:r w:rsidRPr="007223BC">
        <w:rPr>
          <w:i/>
          <w:sz w:val="22"/>
          <w:szCs w:val="22"/>
          <w:lang w:val="sr-Latn-RS"/>
        </w:rPr>
        <w:t xml:space="preserve">Antivirusna aktivnost u ćelijskoj kulturi </w:t>
      </w:r>
    </w:p>
    <w:p w14:paraId="5AB7F652" w14:textId="77777777" w:rsidR="00E10C7D" w:rsidRPr="007223BC" w:rsidRDefault="00E10C7D" w:rsidP="00805A14">
      <w:pPr>
        <w:suppressLineNumbers/>
        <w:autoSpaceDE w:val="0"/>
        <w:autoSpaceDN w:val="0"/>
        <w:adjustRightInd w:val="0"/>
        <w:jc w:val="both"/>
        <w:rPr>
          <w:i/>
          <w:sz w:val="22"/>
          <w:szCs w:val="22"/>
          <w:lang w:val="sr-Latn-RS"/>
        </w:rPr>
      </w:pPr>
      <w:r w:rsidRPr="007223BC">
        <w:rPr>
          <w:sz w:val="22"/>
          <w:szCs w:val="22"/>
          <w:lang w:val="sr-Latn-RS" w:eastAsia="sr-Latn-RS"/>
        </w:rPr>
        <w:t>Pokazalo se da dolutegravir i lamivudin inhibiraju replikaciju laboratorijskih sojeva i kliničkih izolata HIV-a u nizu različitih vrsta ćelija, uključujući transformirane ćelijske linije T-limfocita, ćelijske linije nastale od monocita/makrofaga i primarne kulture aktiviranih mononuklearnih ćelija periferne krvi i monocita/makrofaga. Koncentracija aktivne supstance potrebna da bi se virusna replikacija smanjila za 50% (IC</w:t>
      </w:r>
      <w:r w:rsidRPr="007223BC">
        <w:rPr>
          <w:sz w:val="22"/>
          <w:szCs w:val="22"/>
          <w:vertAlign w:val="subscript"/>
          <w:lang w:val="sr-Latn-RS" w:eastAsia="sr-Latn-RS"/>
        </w:rPr>
        <w:t>50</w:t>
      </w:r>
      <w:r w:rsidRPr="007223BC">
        <w:rPr>
          <w:sz w:val="22"/>
          <w:szCs w:val="22"/>
          <w:lang w:val="sr-Latn-RS" w:eastAsia="sr-Latn-RS"/>
        </w:rPr>
        <w:t xml:space="preserve"> - polovina maksimalne inhibitorne koncentracije) zavisila je od vrste virusa i ćelije domaćina.</w:t>
      </w:r>
    </w:p>
    <w:p w14:paraId="5E718479" w14:textId="64F1BCE5" w:rsidR="00E10C7D" w:rsidRPr="007223BC" w:rsidRDefault="00E10C7D" w:rsidP="00805A14">
      <w:pPr>
        <w:spacing w:before="100" w:beforeAutospacing="1" w:after="100" w:afterAutospacing="1"/>
        <w:jc w:val="both"/>
        <w:rPr>
          <w:sz w:val="22"/>
          <w:szCs w:val="22"/>
          <w:lang w:val="sr-Latn-RS" w:eastAsia="sr-Latn-RS"/>
        </w:rPr>
      </w:pPr>
      <w:r w:rsidRPr="007223BC">
        <w:rPr>
          <w:sz w:val="22"/>
          <w:szCs w:val="22"/>
          <w:lang w:val="sr-Latn-RS" w:eastAsia="sr-Latn-RS"/>
        </w:rPr>
        <w:t>IC</w:t>
      </w:r>
      <w:r w:rsidRPr="007223BC">
        <w:rPr>
          <w:sz w:val="22"/>
          <w:szCs w:val="22"/>
          <w:vertAlign w:val="subscript"/>
          <w:lang w:val="sr-Latn-RS" w:eastAsia="sr-Latn-RS"/>
        </w:rPr>
        <w:t>50</w:t>
      </w:r>
      <w:r w:rsidRPr="007223BC">
        <w:rPr>
          <w:sz w:val="22"/>
          <w:szCs w:val="22"/>
          <w:lang w:val="sr-Latn-RS" w:eastAsia="sr-Latn-RS"/>
        </w:rPr>
        <w:t xml:space="preserve"> dolutegravira protiv različitih laboratorijskih sojeva u mononuklearnim ćelijama periferne krvi iznosio je 0,5 nM, dok se u MT-4 ćelijama kretao u rasponu od 0,7 do 2 nM. Slične vrijednosti IC</w:t>
      </w:r>
      <w:r w:rsidRPr="007223BC">
        <w:rPr>
          <w:sz w:val="22"/>
          <w:szCs w:val="22"/>
          <w:vertAlign w:val="subscript"/>
          <w:lang w:val="sr-Latn-RS" w:eastAsia="sr-Latn-RS"/>
        </w:rPr>
        <w:t>50</w:t>
      </w:r>
      <w:r w:rsidRPr="007223BC">
        <w:rPr>
          <w:sz w:val="22"/>
          <w:szCs w:val="22"/>
          <w:lang w:val="sr-Latn-RS" w:eastAsia="sr-Latn-RS"/>
        </w:rPr>
        <w:t xml:space="preserve"> primijećene su i kod kliničkih izolata, bez većih razlika među podvrstama; na panelu od 24 izolata HIV-1 iz grupa A, B, C, D, E, F i G i grupe O</w:t>
      </w:r>
      <w:r w:rsidR="008C35DA" w:rsidRPr="007223BC">
        <w:rPr>
          <w:sz w:val="22"/>
          <w:szCs w:val="22"/>
          <w:lang w:val="sr-Latn-RS" w:eastAsia="sr-Latn-RS"/>
        </w:rPr>
        <w:t>,</w:t>
      </w:r>
      <w:r w:rsidRPr="007223BC">
        <w:rPr>
          <w:sz w:val="22"/>
          <w:szCs w:val="22"/>
          <w:lang w:val="sr-Latn-RS" w:eastAsia="sr-Latn-RS"/>
        </w:rPr>
        <w:t xml:space="preserve"> srednja vrijednost IC</w:t>
      </w:r>
      <w:r w:rsidRPr="007223BC">
        <w:rPr>
          <w:sz w:val="22"/>
          <w:szCs w:val="22"/>
          <w:vertAlign w:val="subscript"/>
          <w:lang w:val="sr-Latn-RS" w:eastAsia="sr-Latn-RS"/>
        </w:rPr>
        <w:t>50</w:t>
      </w:r>
      <w:r w:rsidRPr="007223BC">
        <w:rPr>
          <w:sz w:val="22"/>
          <w:szCs w:val="22"/>
          <w:lang w:val="sr-Latn-RS" w:eastAsia="sr-Latn-RS"/>
        </w:rPr>
        <w:t xml:space="preserve"> iznosila je 0,2 nM (raspon: 0,02 - 2,14). Srednja vrijednost IC</w:t>
      </w:r>
      <w:r w:rsidRPr="007223BC">
        <w:rPr>
          <w:sz w:val="22"/>
          <w:szCs w:val="22"/>
          <w:vertAlign w:val="subscript"/>
          <w:lang w:val="sr-Latn-RS" w:eastAsia="sr-Latn-RS"/>
        </w:rPr>
        <w:t>50</w:t>
      </w:r>
      <w:r w:rsidRPr="007223BC">
        <w:rPr>
          <w:sz w:val="22"/>
          <w:szCs w:val="22"/>
          <w:lang w:val="sr-Latn-RS" w:eastAsia="sr-Latn-RS"/>
        </w:rPr>
        <w:t xml:space="preserve"> za 3 izolata HIV-2 iznosila je 0,18 nM (raspon: 0,09 - 0,61).</w:t>
      </w:r>
    </w:p>
    <w:p w14:paraId="43F40A3F" w14:textId="77777777" w:rsidR="00E10C7D" w:rsidRPr="007223BC" w:rsidRDefault="00E10C7D" w:rsidP="00805A14">
      <w:pPr>
        <w:spacing w:before="100" w:beforeAutospacing="1" w:after="100" w:afterAutospacing="1"/>
        <w:jc w:val="both"/>
        <w:rPr>
          <w:sz w:val="22"/>
          <w:szCs w:val="22"/>
          <w:lang w:val="sr-Latn-RS" w:eastAsia="sr-Latn-RS"/>
        </w:rPr>
      </w:pPr>
      <w:r w:rsidRPr="007223BC">
        <w:rPr>
          <w:sz w:val="22"/>
          <w:szCs w:val="22"/>
          <w:lang w:val="sr-Latn-RS" w:eastAsia="sr-Latn-RS"/>
        </w:rPr>
        <w:t>Medijana ili srednje vrijednosti IC</w:t>
      </w:r>
      <w:r w:rsidRPr="007223BC">
        <w:rPr>
          <w:sz w:val="22"/>
          <w:szCs w:val="22"/>
          <w:vertAlign w:val="subscript"/>
          <w:lang w:val="sr-Latn-RS" w:eastAsia="sr-Latn-RS"/>
        </w:rPr>
        <w:t xml:space="preserve">50 </w:t>
      </w:r>
      <w:r w:rsidRPr="007223BC">
        <w:rPr>
          <w:sz w:val="22"/>
          <w:szCs w:val="22"/>
          <w:lang w:val="sr-Latn-RS" w:eastAsia="sr-Latn-RS"/>
        </w:rPr>
        <w:t>lamivudina protiv laboratorijskih sojeva HIV-1 kretala se u rasponu od 0,007 do 2,3 µM. Srednja vrijednost IC</w:t>
      </w:r>
      <w:r w:rsidRPr="007223BC">
        <w:rPr>
          <w:sz w:val="22"/>
          <w:szCs w:val="22"/>
          <w:vertAlign w:val="subscript"/>
          <w:lang w:val="sr-Latn-RS" w:eastAsia="sr-Latn-RS"/>
        </w:rPr>
        <w:t>50</w:t>
      </w:r>
      <w:r w:rsidRPr="007223BC">
        <w:rPr>
          <w:sz w:val="22"/>
          <w:szCs w:val="22"/>
          <w:lang w:val="sr-Latn-RS" w:eastAsia="sr-Latn-RS"/>
        </w:rPr>
        <w:t xml:space="preserve"> lamivudina protiv laboratorijskih sojeva HIV-2 (LAV2 i EHO) kretala se u rasponu od 0,16 do 0,51 µM. Kod mononuklearnih ćelija periferne krvi</w:t>
      </w:r>
      <w:r w:rsidR="008C35DA" w:rsidRPr="007223BC">
        <w:rPr>
          <w:sz w:val="22"/>
          <w:szCs w:val="22"/>
          <w:lang w:val="sr-Latn-RS" w:eastAsia="sr-Latn-RS"/>
        </w:rPr>
        <w:t>,</w:t>
      </w:r>
      <w:r w:rsidRPr="007223BC">
        <w:rPr>
          <w:sz w:val="22"/>
          <w:szCs w:val="22"/>
          <w:lang w:val="sr-Latn-RS" w:eastAsia="sr-Latn-RS"/>
        </w:rPr>
        <w:t xml:space="preserve"> vrijednosti IC50 lamivudina protiv podvrsta HIV-1 (A - G) kretale su se u rasponu od 0,001 do 0,170 µM, dok su se protiv grupe O kretale u rasponu od 0,030 do 0,160 µM, a protiv izolata HIV-2 u rasponu od 0,002 do 0,120 µM.</w:t>
      </w:r>
    </w:p>
    <w:p w14:paraId="0439E922" w14:textId="77777777" w:rsidR="00E10C7D" w:rsidRPr="007223BC" w:rsidRDefault="00E10C7D" w:rsidP="00805A14">
      <w:pPr>
        <w:spacing w:before="100" w:beforeAutospacing="1" w:after="100" w:afterAutospacing="1"/>
        <w:jc w:val="both"/>
        <w:rPr>
          <w:sz w:val="22"/>
          <w:szCs w:val="22"/>
          <w:lang w:val="sr-Latn-RS" w:eastAsia="sr-Latn-RS"/>
        </w:rPr>
      </w:pPr>
      <w:r w:rsidRPr="007223BC">
        <w:rPr>
          <w:sz w:val="22"/>
          <w:szCs w:val="22"/>
          <w:lang w:val="sr-Latn-RS" w:eastAsia="sr-Latn-RS"/>
        </w:rPr>
        <w:lastRenderedPageBreak/>
        <w:t>Izolati HIV-1 (CRF01_AE, n=12; CRF02_AG, n=12; podvrsta C ili CRF_AC, n=13) prikupljeni od 37 neliječenih pacijenata u Africi i Aziji bili su osjetljivi na lamivudin (promjena IC</w:t>
      </w:r>
      <w:r w:rsidRPr="007223BC">
        <w:rPr>
          <w:sz w:val="22"/>
          <w:szCs w:val="22"/>
          <w:vertAlign w:val="subscript"/>
          <w:lang w:val="sr-Latn-RS" w:eastAsia="sr-Latn-RS"/>
        </w:rPr>
        <w:t>50</w:t>
      </w:r>
      <w:r w:rsidRPr="007223BC">
        <w:rPr>
          <w:sz w:val="22"/>
          <w:szCs w:val="22"/>
          <w:lang w:val="sr-Latn-RS" w:eastAsia="sr-Latn-RS"/>
        </w:rPr>
        <w:t xml:space="preserve"> za &lt; 3,0 puta). Izolati grupe O prikupljeni kod pacijenata koji prethodno nijesu primali antivirusnu terapiju pokazali su se vrlo osjetljivim na aktivnost lamivudina.</w:t>
      </w:r>
    </w:p>
    <w:p w14:paraId="3CB17373" w14:textId="77777777" w:rsidR="00E10C7D" w:rsidRPr="007223BC" w:rsidRDefault="00E10C7D" w:rsidP="00805A14">
      <w:pPr>
        <w:suppressLineNumbers/>
        <w:autoSpaceDE w:val="0"/>
        <w:autoSpaceDN w:val="0"/>
        <w:adjustRightInd w:val="0"/>
        <w:jc w:val="both"/>
        <w:rPr>
          <w:i/>
          <w:sz w:val="22"/>
          <w:szCs w:val="22"/>
          <w:lang w:val="sr-Latn-RS"/>
        </w:rPr>
      </w:pPr>
      <w:r w:rsidRPr="007223BC">
        <w:rPr>
          <w:i/>
          <w:sz w:val="22"/>
          <w:szCs w:val="22"/>
          <w:lang w:val="sr-Latn-RS"/>
        </w:rPr>
        <w:t xml:space="preserve">Dejstvo </w:t>
      </w:r>
      <w:r w:rsidR="00BF1E6D" w:rsidRPr="007223BC">
        <w:rPr>
          <w:i/>
          <w:sz w:val="22"/>
          <w:szCs w:val="22"/>
          <w:lang w:val="sr-Latn-RS"/>
        </w:rPr>
        <w:t xml:space="preserve">humanog </w:t>
      </w:r>
      <w:r w:rsidRPr="007223BC">
        <w:rPr>
          <w:i/>
          <w:sz w:val="22"/>
          <w:szCs w:val="22"/>
          <w:lang w:val="sr-Latn-RS"/>
        </w:rPr>
        <w:t>seruma</w:t>
      </w:r>
    </w:p>
    <w:p w14:paraId="7EA6E228" w14:textId="28E899CD" w:rsidR="00E10C7D" w:rsidRPr="007223BC" w:rsidRDefault="00E10C7D" w:rsidP="00805A14">
      <w:pPr>
        <w:suppressLineNumbers/>
        <w:autoSpaceDE w:val="0"/>
        <w:autoSpaceDN w:val="0"/>
        <w:adjustRightInd w:val="0"/>
        <w:jc w:val="both"/>
        <w:rPr>
          <w:iCs/>
          <w:sz w:val="22"/>
          <w:szCs w:val="22"/>
          <w:lang w:val="sr-Latn-RS"/>
        </w:rPr>
      </w:pPr>
      <w:r w:rsidRPr="007223BC">
        <w:rPr>
          <w:iCs/>
          <w:sz w:val="22"/>
          <w:szCs w:val="22"/>
          <w:lang w:val="sr-Latn-RS"/>
        </w:rPr>
        <w:t xml:space="preserve">U 100%-tnom </w:t>
      </w:r>
      <w:r w:rsidR="00BF1E6D" w:rsidRPr="007223BC">
        <w:rPr>
          <w:iCs/>
          <w:sz w:val="22"/>
          <w:szCs w:val="22"/>
          <w:lang w:val="sr-Latn-RS"/>
        </w:rPr>
        <w:t xml:space="preserve">humanom </w:t>
      </w:r>
      <w:r w:rsidRPr="007223BC">
        <w:rPr>
          <w:iCs/>
          <w:sz w:val="22"/>
          <w:szCs w:val="22"/>
          <w:lang w:val="sr-Latn-RS"/>
        </w:rPr>
        <w:t>serumu</w:t>
      </w:r>
      <w:r w:rsidR="00BF1E6D" w:rsidRPr="007223BC">
        <w:rPr>
          <w:iCs/>
          <w:sz w:val="22"/>
          <w:szCs w:val="22"/>
          <w:lang w:val="sr-Latn-RS"/>
        </w:rPr>
        <w:t>,</w:t>
      </w:r>
      <w:r w:rsidRPr="007223BC">
        <w:rPr>
          <w:iCs/>
          <w:sz w:val="22"/>
          <w:szCs w:val="22"/>
          <w:lang w:val="sr-Latn-RS"/>
        </w:rPr>
        <w:t xml:space="preserve"> srednja vrijednost promjene aktivnosti dolutegravira iznosila je 75 puta, što je za posljedicu imalo vrijednost IC</w:t>
      </w:r>
      <w:r w:rsidRPr="007223BC">
        <w:rPr>
          <w:iCs/>
          <w:sz w:val="22"/>
          <w:szCs w:val="22"/>
          <w:vertAlign w:val="subscript"/>
          <w:lang w:val="sr-Latn-RS"/>
        </w:rPr>
        <w:t>90</w:t>
      </w:r>
      <w:r w:rsidRPr="007223BC">
        <w:rPr>
          <w:iCs/>
          <w:sz w:val="22"/>
          <w:szCs w:val="22"/>
          <w:lang w:val="sr-Latn-RS"/>
        </w:rPr>
        <w:t xml:space="preserve"> prilagođenu za proteine od 0,064 µg/m</w:t>
      </w:r>
      <w:r w:rsidR="00B412CB">
        <w:rPr>
          <w:iCs/>
          <w:sz w:val="22"/>
          <w:szCs w:val="22"/>
          <w:lang w:val="sr-Latn-RS"/>
        </w:rPr>
        <w:t>l</w:t>
      </w:r>
      <w:r w:rsidRPr="007223BC">
        <w:rPr>
          <w:iCs/>
          <w:sz w:val="22"/>
          <w:szCs w:val="22"/>
          <w:lang w:val="sr-Latn-RS"/>
        </w:rPr>
        <w:t>. Lamivudin pokazuje linearnu farmakokinetiku kod primjene terapijskih doza</w:t>
      </w:r>
      <w:r w:rsidR="00BF1E6D" w:rsidRPr="007223BC">
        <w:rPr>
          <w:iCs/>
          <w:sz w:val="22"/>
          <w:szCs w:val="22"/>
          <w:lang w:val="sr-Latn-RS"/>
        </w:rPr>
        <w:t>,</w:t>
      </w:r>
      <w:r w:rsidRPr="007223BC">
        <w:rPr>
          <w:iCs/>
          <w:sz w:val="22"/>
          <w:szCs w:val="22"/>
          <w:lang w:val="sr-Latn-RS"/>
        </w:rPr>
        <w:t xml:space="preserve"> pa se u maloj mjeri veže za proteine u plazmi (manje od 36%).</w:t>
      </w:r>
    </w:p>
    <w:p w14:paraId="633F2180" w14:textId="77777777" w:rsidR="00E10C7D" w:rsidRPr="007223BC" w:rsidRDefault="00E10C7D" w:rsidP="00805A14">
      <w:pPr>
        <w:suppressLineNumbers/>
        <w:autoSpaceDE w:val="0"/>
        <w:autoSpaceDN w:val="0"/>
        <w:adjustRightInd w:val="0"/>
        <w:jc w:val="both"/>
        <w:rPr>
          <w:sz w:val="22"/>
          <w:szCs w:val="22"/>
          <w:lang w:val="sr-Latn-RS"/>
        </w:rPr>
      </w:pPr>
    </w:p>
    <w:p w14:paraId="07F506D7" w14:textId="77777777" w:rsidR="00E10C7D" w:rsidRPr="007223BC" w:rsidRDefault="00E10C7D" w:rsidP="00805A14">
      <w:pPr>
        <w:suppressLineNumbers/>
        <w:autoSpaceDE w:val="0"/>
        <w:autoSpaceDN w:val="0"/>
        <w:adjustRightInd w:val="0"/>
        <w:jc w:val="both"/>
        <w:rPr>
          <w:sz w:val="22"/>
          <w:szCs w:val="22"/>
          <w:u w:val="single"/>
          <w:lang w:val="sr-Latn-RS"/>
        </w:rPr>
      </w:pPr>
      <w:r w:rsidRPr="007223BC">
        <w:rPr>
          <w:sz w:val="22"/>
          <w:szCs w:val="22"/>
          <w:u w:val="single"/>
          <w:lang w:val="sr-Latn-RS"/>
        </w:rPr>
        <w:t>Rezistencija</w:t>
      </w:r>
    </w:p>
    <w:p w14:paraId="5E1429B0" w14:textId="77777777" w:rsidR="00E10C7D" w:rsidRPr="007223BC" w:rsidRDefault="00E10C7D" w:rsidP="00805A14">
      <w:pPr>
        <w:spacing w:before="100" w:beforeAutospacing="1" w:after="100" w:afterAutospacing="1"/>
        <w:jc w:val="both"/>
        <w:rPr>
          <w:sz w:val="22"/>
          <w:szCs w:val="22"/>
          <w:lang w:val="sr-Latn-RS" w:eastAsia="sr-Latn-RS"/>
        </w:rPr>
      </w:pPr>
      <w:r w:rsidRPr="007223BC">
        <w:rPr>
          <w:sz w:val="22"/>
          <w:szCs w:val="22"/>
          <w:lang w:val="sr-Latn-RS" w:eastAsia="sr-Latn-RS"/>
        </w:rPr>
        <w:t>Lijek DOVATO</w:t>
      </w:r>
      <w:r w:rsidR="004E69C4" w:rsidRPr="007223BC">
        <w:rPr>
          <w:sz w:val="22"/>
          <w:szCs w:val="22"/>
          <w:lang w:val="sr-Latn-RS" w:eastAsia="sr-Latn-RS"/>
        </w:rPr>
        <w:t xml:space="preserve"> </w:t>
      </w:r>
      <w:r w:rsidRPr="007223BC">
        <w:rPr>
          <w:sz w:val="22"/>
          <w:szCs w:val="22"/>
          <w:lang w:val="sr-Latn-RS" w:eastAsia="sr-Latn-RS"/>
        </w:rPr>
        <w:t xml:space="preserve">je indikovan u slučajevima kada ne postoji dokumentovana rezistencija ili sumnja na rezistenciju na klasu ljekova inhibitora integraze i lamivudin (vidjeti </w:t>
      </w:r>
      <w:r w:rsidR="00C0738A" w:rsidRPr="007223BC">
        <w:rPr>
          <w:sz w:val="22"/>
          <w:szCs w:val="22"/>
          <w:lang w:val="sr-Latn-RS" w:eastAsia="sr-Latn-RS"/>
        </w:rPr>
        <w:t>dio</w:t>
      </w:r>
      <w:r w:rsidRPr="007223BC">
        <w:rPr>
          <w:sz w:val="22"/>
          <w:szCs w:val="22"/>
          <w:lang w:val="sr-Latn-RS" w:eastAsia="sr-Latn-RS"/>
        </w:rPr>
        <w:t xml:space="preserve"> 4.1). Za informacije o rezistenciji </w:t>
      </w:r>
      <w:r w:rsidRPr="007223BC">
        <w:rPr>
          <w:i/>
          <w:sz w:val="22"/>
          <w:szCs w:val="22"/>
          <w:lang w:val="sr-Latn-RS" w:eastAsia="sr-Latn-RS"/>
        </w:rPr>
        <w:t>in vitro</w:t>
      </w:r>
      <w:r w:rsidRPr="007223BC">
        <w:rPr>
          <w:sz w:val="22"/>
          <w:szCs w:val="22"/>
          <w:lang w:val="sr-Latn-RS" w:eastAsia="sr-Latn-RS"/>
        </w:rPr>
        <w:t xml:space="preserve"> i unakrsnoj rezistenciji na druge ljekove iz grupe inhibitora integraze i NRTI, vidjeti Sažetke karakteristika lijeka za dolutegravir i lamivudin.</w:t>
      </w:r>
    </w:p>
    <w:p w14:paraId="46903EFF" w14:textId="7E610391" w:rsidR="00E10C7D" w:rsidRPr="007223BC" w:rsidRDefault="00E10C7D" w:rsidP="00805A14">
      <w:pPr>
        <w:spacing w:before="100" w:beforeAutospacing="1" w:after="100" w:afterAutospacing="1"/>
        <w:jc w:val="both"/>
        <w:rPr>
          <w:sz w:val="22"/>
          <w:szCs w:val="22"/>
          <w:lang w:val="sr-Latn-RS" w:eastAsia="sr-Latn-RS"/>
        </w:rPr>
      </w:pPr>
      <w:r w:rsidRPr="007223BC">
        <w:rPr>
          <w:sz w:val="22"/>
          <w:szCs w:val="22"/>
          <w:lang w:val="sr-Latn-RS" w:eastAsia="sr-Latn-RS"/>
        </w:rPr>
        <w:t xml:space="preserve">Ni kod jednog od </w:t>
      </w:r>
      <w:r w:rsidR="00210BC2" w:rsidRPr="007223BC">
        <w:rPr>
          <w:sz w:val="22"/>
          <w:szCs w:val="22"/>
          <w:lang w:val="sr-Latn-RS" w:eastAsia="sr-Latn-RS"/>
        </w:rPr>
        <w:t>dvanaest</w:t>
      </w:r>
      <w:r w:rsidRPr="007223BC">
        <w:rPr>
          <w:sz w:val="22"/>
          <w:szCs w:val="22"/>
          <w:lang w:val="sr-Latn-RS" w:eastAsia="sr-Latn-RS"/>
        </w:rPr>
        <w:t xml:space="preserve"> ispitanika iz grupe koja je primala dolutegravir i lamivudin, odnosno </w:t>
      </w:r>
      <w:r w:rsidR="00210BC2" w:rsidRPr="007223BC">
        <w:rPr>
          <w:sz w:val="22"/>
          <w:szCs w:val="22"/>
          <w:lang w:val="sr-Latn-RS" w:eastAsia="sr-Latn-RS"/>
        </w:rPr>
        <w:t>devet</w:t>
      </w:r>
      <w:r w:rsidRPr="007223BC">
        <w:rPr>
          <w:sz w:val="22"/>
          <w:szCs w:val="22"/>
          <w:lang w:val="sr-Latn-RS" w:eastAsia="sr-Latn-RS"/>
        </w:rPr>
        <w:t xml:space="preserve"> ispitanika iz grupe koja je primala dolutegravir i kombinaciju fiksnih doza tenofovir-dizoproksila/emtricitabina, a koji su zadovoljili kriterijume za virusološki neusp</w:t>
      </w:r>
      <w:r w:rsidR="00BF1E6D" w:rsidRPr="007223BC">
        <w:rPr>
          <w:sz w:val="22"/>
          <w:szCs w:val="22"/>
          <w:lang w:val="sr-Latn-RS" w:eastAsia="sr-Latn-RS"/>
        </w:rPr>
        <w:t>j</w:t>
      </w:r>
      <w:r w:rsidRPr="007223BC">
        <w:rPr>
          <w:sz w:val="22"/>
          <w:szCs w:val="22"/>
          <w:lang w:val="sr-Latn-RS" w:eastAsia="sr-Latn-RS"/>
        </w:rPr>
        <w:t xml:space="preserve">eh </w:t>
      </w:r>
      <w:r w:rsidR="0089572E">
        <w:rPr>
          <w:sz w:val="22"/>
          <w:szCs w:val="22"/>
          <w:lang w:val="sr-Latn-RS" w:eastAsia="sr-Latn-RS"/>
        </w:rPr>
        <w:t>do</w:t>
      </w:r>
      <w:r w:rsidR="0089572E" w:rsidRPr="007223BC">
        <w:rPr>
          <w:sz w:val="22"/>
          <w:szCs w:val="22"/>
          <w:lang w:val="sr-Latn-RS" w:eastAsia="sr-Latn-RS"/>
        </w:rPr>
        <w:t xml:space="preserve"> </w:t>
      </w:r>
      <w:r w:rsidR="00C16E91" w:rsidRPr="007223BC">
        <w:rPr>
          <w:sz w:val="22"/>
          <w:szCs w:val="22"/>
          <w:lang w:val="sr-Latn-RS" w:eastAsia="sr-Latn-RS"/>
        </w:rPr>
        <w:t>144</w:t>
      </w:r>
      <w:r w:rsidRPr="007223BC">
        <w:rPr>
          <w:sz w:val="22"/>
          <w:szCs w:val="22"/>
          <w:lang w:val="sr-Latn-RS" w:eastAsia="sr-Latn-RS"/>
        </w:rPr>
        <w:t>. nedjelje u ispitivanjima GEMINI-1 (204861) i GEMINI-2 (205543) nije došlo do razvoja rezistencije na grupu inhibitora integraze ni na grupu NRTI tokom liječenja.</w:t>
      </w:r>
    </w:p>
    <w:p w14:paraId="26CD925B" w14:textId="77777777" w:rsidR="00E10C7D" w:rsidRPr="007223BC" w:rsidRDefault="00E10C7D" w:rsidP="00805A14">
      <w:pPr>
        <w:spacing w:before="100" w:beforeAutospacing="1" w:after="100" w:afterAutospacing="1"/>
        <w:jc w:val="both"/>
        <w:rPr>
          <w:sz w:val="22"/>
          <w:szCs w:val="22"/>
          <w:lang w:val="sr-Latn-RS" w:eastAsia="sr-Latn-RS"/>
        </w:rPr>
      </w:pPr>
      <w:r w:rsidRPr="007223BC">
        <w:rPr>
          <w:sz w:val="22"/>
          <w:szCs w:val="22"/>
          <w:lang w:val="sr-Latn-RS" w:eastAsia="sr-Latn-RS"/>
        </w:rPr>
        <w:t>Kod prethodno neliječenih pacijenata koji su u ispitivanjima faze IIb i faze III primali dolutegravir + 2 NRTI, nije primijećen razvoj rezistencije na grupu inhibitora integraze, ni na grupu NRTI (n=1118; praćenje u trajanju od 48 – 96 nedjelja).</w:t>
      </w:r>
    </w:p>
    <w:bookmarkEnd w:id="3"/>
    <w:p w14:paraId="37747F1B" w14:textId="77777777" w:rsidR="00E10C7D" w:rsidRPr="007223BC" w:rsidRDefault="00E10C7D" w:rsidP="00805A14">
      <w:pPr>
        <w:suppressLineNumbers/>
        <w:autoSpaceDE w:val="0"/>
        <w:autoSpaceDN w:val="0"/>
        <w:adjustRightInd w:val="0"/>
        <w:jc w:val="both"/>
        <w:rPr>
          <w:sz w:val="22"/>
          <w:szCs w:val="22"/>
          <w:u w:val="single"/>
          <w:lang w:val="sr-Latn-RS"/>
        </w:rPr>
      </w:pPr>
      <w:r w:rsidRPr="007223BC">
        <w:rPr>
          <w:sz w:val="22"/>
          <w:szCs w:val="22"/>
          <w:u w:val="single"/>
          <w:lang w:val="sr-Latn-RS"/>
        </w:rPr>
        <w:t>Dejstvo na elektrokardiogram</w:t>
      </w:r>
    </w:p>
    <w:p w14:paraId="0B3D04AE" w14:textId="77777777" w:rsidR="00E10C7D" w:rsidRPr="007223BC" w:rsidRDefault="00E10C7D" w:rsidP="00805A14">
      <w:pPr>
        <w:spacing w:before="100" w:beforeAutospacing="1" w:after="100" w:afterAutospacing="1"/>
        <w:jc w:val="both"/>
        <w:rPr>
          <w:sz w:val="22"/>
          <w:szCs w:val="22"/>
          <w:lang w:val="sr-Latn-RS" w:eastAsia="sr-Latn-RS"/>
        </w:rPr>
      </w:pPr>
      <w:r w:rsidRPr="007223BC">
        <w:rPr>
          <w:sz w:val="22"/>
          <w:szCs w:val="22"/>
          <w:lang w:val="sr-Latn-RS" w:eastAsia="sr-Latn-RS"/>
        </w:rPr>
        <w:t>Nijesu primijećena značajna dejstva dolutegravira na QTc interval kod primjene doza približno trostruko većih od kliničke doze. Nije sprovedeno slično ispitivanje sa lamivudinom.</w:t>
      </w:r>
    </w:p>
    <w:p w14:paraId="3EE940D5" w14:textId="77777777" w:rsidR="00E10C7D" w:rsidRPr="007223BC" w:rsidRDefault="00E10C7D" w:rsidP="00805A14">
      <w:pPr>
        <w:suppressLineNumbers/>
        <w:autoSpaceDE w:val="0"/>
        <w:autoSpaceDN w:val="0"/>
        <w:adjustRightInd w:val="0"/>
        <w:jc w:val="both"/>
        <w:rPr>
          <w:sz w:val="22"/>
          <w:szCs w:val="22"/>
          <w:u w:val="single"/>
          <w:lang w:val="sr-Latn-RS"/>
        </w:rPr>
      </w:pPr>
      <w:r w:rsidRPr="007223BC">
        <w:rPr>
          <w:sz w:val="22"/>
          <w:szCs w:val="22"/>
          <w:u w:val="single"/>
          <w:lang w:val="sr-Latn-RS"/>
        </w:rPr>
        <w:t xml:space="preserve">Klinička efikasnost i bezbjednost </w:t>
      </w:r>
    </w:p>
    <w:p w14:paraId="1568F902" w14:textId="77777777" w:rsidR="006B1B2C" w:rsidRPr="007223BC" w:rsidRDefault="006B1B2C" w:rsidP="00805A14">
      <w:pPr>
        <w:suppressLineNumbers/>
        <w:autoSpaceDE w:val="0"/>
        <w:autoSpaceDN w:val="0"/>
        <w:adjustRightInd w:val="0"/>
        <w:jc w:val="both"/>
        <w:rPr>
          <w:sz w:val="22"/>
          <w:szCs w:val="22"/>
          <w:u w:val="single"/>
          <w:lang w:val="sr-Latn-RS"/>
        </w:rPr>
      </w:pPr>
    </w:p>
    <w:p w14:paraId="77257C18" w14:textId="1C12BAB4" w:rsidR="006B1B2C" w:rsidRPr="007223BC" w:rsidRDefault="006B1B2C" w:rsidP="00805A14">
      <w:pPr>
        <w:suppressLineNumbers/>
        <w:autoSpaceDE w:val="0"/>
        <w:autoSpaceDN w:val="0"/>
        <w:adjustRightInd w:val="0"/>
        <w:jc w:val="both"/>
        <w:rPr>
          <w:i/>
          <w:sz w:val="22"/>
          <w:szCs w:val="22"/>
          <w:lang w:val="sr-Latn-RS"/>
        </w:rPr>
      </w:pPr>
      <w:r w:rsidRPr="007223BC">
        <w:rPr>
          <w:i/>
          <w:sz w:val="22"/>
          <w:szCs w:val="22"/>
          <w:lang w:val="sr-Latn-RS"/>
        </w:rPr>
        <w:t xml:space="preserve">Ispitanici koji nisu </w:t>
      </w:r>
      <w:r w:rsidR="0089572E">
        <w:rPr>
          <w:i/>
          <w:sz w:val="22"/>
          <w:szCs w:val="22"/>
          <w:lang w:val="sr-Latn-RS"/>
        </w:rPr>
        <w:t xml:space="preserve">prethodno </w:t>
      </w:r>
      <w:r w:rsidRPr="007223BC">
        <w:rPr>
          <w:i/>
          <w:sz w:val="22"/>
          <w:szCs w:val="22"/>
          <w:lang w:val="sr-Latn-RS"/>
        </w:rPr>
        <w:t>koristili antiretrovirusne ljekove</w:t>
      </w:r>
    </w:p>
    <w:p w14:paraId="741691A9" w14:textId="04EE750D" w:rsidR="00E10C7D" w:rsidRPr="007223BC" w:rsidRDefault="00E10C7D" w:rsidP="00805A14">
      <w:pPr>
        <w:spacing w:before="100" w:beforeAutospacing="1" w:after="100" w:afterAutospacing="1"/>
        <w:jc w:val="both"/>
        <w:rPr>
          <w:sz w:val="22"/>
          <w:szCs w:val="22"/>
          <w:lang w:val="sr-Latn-RS" w:eastAsia="sr-Latn-RS"/>
        </w:rPr>
      </w:pPr>
      <w:r w:rsidRPr="007223BC">
        <w:rPr>
          <w:sz w:val="22"/>
          <w:szCs w:val="22"/>
          <w:lang w:val="sr-Latn-RS" w:eastAsia="sr-Latn-RS"/>
        </w:rPr>
        <w:t>Efikasnost lijeka DOVATO</w:t>
      </w:r>
      <w:r w:rsidR="00474304" w:rsidRPr="007223BC">
        <w:rPr>
          <w:sz w:val="22"/>
          <w:szCs w:val="22"/>
          <w:lang w:val="sr-Latn-RS" w:eastAsia="sr-Latn-RS"/>
        </w:rPr>
        <w:t xml:space="preserve"> </w:t>
      </w:r>
      <w:r w:rsidRPr="007223BC">
        <w:rPr>
          <w:sz w:val="22"/>
          <w:szCs w:val="22"/>
          <w:lang w:val="sr-Latn-RS" w:eastAsia="sr-Latn-RS"/>
        </w:rPr>
        <w:t>pokazuju podaci iz 2 identična, 148-nedjeljna, randomizovana, dvostruko slijepa, multicentrična, kontrolisana ispitivanja neinferiornosti faze III sa paralelnim grupama</w:t>
      </w:r>
      <w:r w:rsidR="00157370" w:rsidRPr="007223BC">
        <w:rPr>
          <w:sz w:val="22"/>
          <w:szCs w:val="22"/>
          <w:lang w:val="sr-Latn-RS" w:eastAsia="sr-Latn-RS"/>
        </w:rPr>
        <w:t>,</w:t>
      </w:r>
      <w:r w:rsidRPr="007223BC">
        <w:rPr>
          <w:sz w:val="22"/>
          <w:szCs w:val="22"/>
          <w:lang w:val="sr-Latn-RS" w:eastAsia="sr-Latn-RS"/>
        </w:rPr>
        <w:t xml:space="preserve"> pod nazivom GEMINI-1 (204861) i GEMINI-2 (205543). U sklopu tih ispitivanja</w:t>
      </w:r>
      <w:r w:rsidR="00157370" w:rsidRPr="007223BC">
        <w:rPr>
          <w:sz w:val="22"/>
          <w:szCs w:val="22"/>
          <w:lang w:val="sr-Latn-RS" w:eastAsia="sr-Latn-RS"/>
        </w:rPr>
        <w:t>,</w:t>
      </w:r>
      <w:r w:rsidRPr="007223BC">
        <w:rPr>
          <w:sz w:val="22"/>
          <w:szCs w:val="22"/>
          <w:lang w:val="sr-Latn-RS" w:eastAsia="sr-Latn-RS"/>
        </w:rPr>
        <w:t xml:space="preserve"> liječena su ukupno 1433 odrasla ispitanika sa HIV-1 infekcijom </w:t>
      </w:r>
      <w:r w:rsidR="00157370" w:rsidRPr="007223BC">
        <w:rPr>
          <w:sz w:val="22"/>
          <w:szCs w:val="22"/>
          <w:lang w:val="sr-Latn-RS" w:eastAsia="sr-Latn-RS"/>
        </w:rPr>
        <w:t xml:space="preserve">koji </w:t>
      </w:r>
      <w:r w:rsidRPr="007223BC">
        <w:rPr>
          <w:sz w:val="22"/>
          <w:szCs w:val="22"/>
          <w:lang w:val="sr-Latn-RS" w:eastAsia="sr-Latn-RS"/>
        </w:rPr>
        <w:t xml:space="preserve">prethodno nijesu </w:t>
      </w:r>
      <w:r w:rsidR="00157370" w:rsidRPr="007223BC">
        <w:rPr>
          <w:sz w:val="22"/>
          <w:szCs w:val="22"/>
          <w:lang w:val="sr-Latn-RS" w:eastAsia="sr-Latn-RS"/>
        </w:rPr>
        <w:t xml:space="preserve">primali </w:t>
      </w:r>
      <w:r w:rsidRPr="007223BC">
        <w:rPr>
          <w:sz w:val="22"/>
          <w:szCs w:val="22"/>
          <w:lang w:val="sr-Latn-RS" w:eastAsia="sr-Latn-RS"/>
        </w:rPr>
        <w:t xml:space="preserve">antiretrovirusnu terapiju. Uključeni ispitanici su pri uključivanju imali </w:t>
      </w:r>
      <w:r w:rsidR="0089572E">
        <w:rPr>
          <w:sz w:val="22"/>
          <w:szCs w:val="22"/>
          <w:lang w:val="sr-Latn-RS" w:eastAsia="sr-Latn-RS"/>
        </w:rPr>
        <w:t xml:space="preserve">plazmatsku </w:t>
      </w:r>
      <w:r w:rsidRPr="007223BC">
        <w:rPr>
          <w:sz w:val="22"/>
          <w:szCs w:val="22"/>
          <w:lang w:val="sr-Latn-RS" w:eastAsia="sr-Latn-RS"/>
        </w:rPr>
        <w:t>koncentraciju HIV-1 RNK od 1000 do ≤ 500 000 kopija/m</w:t>
      </w:r>
      <w:r w:rsidR="00B412CB">
        <w:rPr>
          <w:sz w:val="22"/>
          <w:szCs w:val="22"/>
          <w:lang w:val="sr-Latn-RS" w:eastAsia="sr-Latn-RS"/>
        </w:rPr>
        <w:t>l</w:t>
      </w:r>
      <w:r w:rsidRPr="007223BC">
        <w:rPr>
          <w:sz w:val="22"/>
          <w:szCs w:val="22"/>
          <w:lang w:val="sr-Latn-RS" w:eastAsia="sr-Latn-RS"/>
        </w:rPr>
        <w:t xml:space="preserve">. Ispitanici su bili randomizovani za dvojni režim liječenja koji je uključivao dolutegravir u dozi od 50 mg i lamivudin u dozi od 300 mg jednom dnevno ili dolutegravir u dozi od 50 mg i tenofovir-dizoproksil/emtricitabin u dozi od 245/200 mg jednom dnevno. Primarna mjera ishoda efikasnosti u ispitivanjima GEMINI, </w:t>
      </w:r>
      <w:r w:rsidR="00157370" w:rsidRPr="007223BC">
        <w:rPr>
          <w:sz w:val="22"/>
          <w:szCs w:val="22"/>
          <w:lang w:val="sr-Latn-RS" w:eastAsia="sr-Latn-RS"/>
        </w:rPr>
        <w:t xml:space="preserve">bila </w:t>
      </w:r>
      <w:r w:rsidRPr="007223BC">
        <w:rPr>
          <w:sz w:val="22"/>
          <w:szCs w:val="22"/>
          <w:lang w:val="sr-Latn-RS" w:eastAsia="sr-Latn-RS"/>
        </w:rPr>
        <w:t>je udio ispitanika kojima je koncentracija plazme HIV-1 RNK u 48. nedjelji iznosila &lt; 50 kopija/m</w:t>
      </w:r>
      <w:r w:rsidR="00B412CB">
        <w:rPr>
          <w:sz w:val="22"/>
          <w:szCs w:val="22"/>
          <w:lang w:val="sr-Latn-RS" w:eastAsia="sr-Latn-RS"/>
        </w:rPr>
        <w:t>l</w:t>
      </w:r>
      <w:r w:rsidRPr="007223BC">
        <w:rPr>
          <w:sz w:val="22"/>
          <w:szCs w:val="22"/>
          <w:lang w:val="sr-Latn-RS" w:eastAsia="sr-Latn-RS"/>
        </w:rPr>
        <w:t xml:space="preserve"> (</w:t>
      </w:r>
      <w:r w:rsidRPr="007223BC">
        <w:rPr>
          <w:i/>
          <w:sz w:val="22"/>
          <w:szCs w:val="22"/>
          <w:lang w:val="sr-Latn-RS" w:eastAsia="sr-Latn-RS"/>
        </w:rPr>
        <w:t>Snapshot</w:t>
      </w:r>
      <w:r w:rsidRPr="007223BC">
        <w:rPr>
          <w:sz w:val="22"/>
          <w:szCs w:val="22"/>
          <w:lang w:val="sr-Latn-RS" w:eastAsia="sr-Latn-RS"/>
        </w:rPr>
        <w:t xml:space="preserve"> algoritam za populaciju pacijenata predviđenih za liječenje koji su primili najmanje jednu dozu ispitivanog lijeka). Dvostruko slijepo liječenje nastavi</w:t>
      </w:r>
      <w:r w:rsidR="00B65264">
        <w:rPr>
          <w:sz w:val="22"/>
          <w:szCs w:val="22"/>
          <w:lang w:val="sr-Latn-RS" w:eastAsia="sr-Latn-RS"/>
        </w:rPr>
        <w:t>lo</w:t>
      </w:r>
      <w:r w:rsidRPr="007223BC">
        <w:rPr>
          <w:sz w:val="22"/>
          <w:szCs w:val="22"/>
          <w:lang w:val="sr-Latn-RS" w:eastAsia="sr-Latn-RS"/>
        </w:rPr>
        <w:t xml:space="preserve"> se do 96. nedjelje, a zatim </w:t>
      </w:r>
      <w:r w:rsidR="00B65264">
        <w:rPr>
          <w:sz w:val="22"/>
          <w:szCs w:val="22"/>
          <w:lang w:val="sr-Latn-RS" w:eastAsia="sr-Latn-RS"/>
        </w:rPr>
        <w:t>j</w:t>
      </w:r>
      <w:r w:rsidRPr="007223BC">
        <w:rPr>
          <w:sz w:val="22"/>
          <w:szCs w:val="22"/>
          <w:lang w:val="sr-Latn-RS" w:eastAsia="sr-Latn-RS"/>
        </w:rPr>
        <w:t>e uslijedi</w:t>
      </w:r>
      <w:r w:rsidR="00B65264">
        <w:rPr>
          <w:sz w:val="22"/>
          <w:szCs w:val="22"/>
          <w:lang w:val="sr-Latn-RS" w:eastAsia="sr-Latn-RS"/>
        </w:rPr>
        <w:t>lo</w:t>
      </w:r>
      <w:r w:rsidRPr="007223BC">
        <w:rPr>
          <w:sz w:val="22"/>
          <w:szCs w:val="22"/>
          <w:lang w:val="sr-Latn-RS" w:eastAsia="sr-Latn-RS"/>
        </w:rPr>
        <w:t xml:space="preserve"> otvoreno liječenje do 148. nedjelje.</w:t>
      </w:r>
    </w:p>
    <w:p w14:paraId="20DF04CC" w14:textId="4FFC5FD9" w:rsidR="00E10C7D" w:rsidRPr="007223BC" w:rsidRDefault="00E10C7D" w:rsidP="00805A14">
      <w:pPr>
        <w:spacing w:before="100" w:beforeAutospacing="1" w:after="100" w:afterAutospacing="1"/>
        <w:jc w:val="both"/>
        <w:rPr>
          <w:sz w:val="22"/>
          <w:szCs w:val="22"/>
          <w:lang w:val="sr-Latn-RS" w:eastAsia="sr-Latn-RS"/>
        </w:rPr>
      </w:pPr>
      <w:r w:rsidRPr="007223BC">
        <w:rPr>
          <w:sz w:val="22"/>
          <w:szCs w:val="22"/>
          <w:lang w:val="sr-Latn-RS" w:eastAsia="sr-Latn-RS"/>
        </w:rPr>
        <w:t xml:space="preserve">Na osnovu analize objedinjenih podataka, na početku ispitivanja </w:t>
      </w:r>
      <w:r w:rsidR="00157370" w:rsidRPr="007223BC">
        <w:rPr>
          <w:sz w:val="22"/>
          <w:szCs w:val="22"/>
          <w:lang w:val="sr-Latn-RS" w:eastAsia="sr-Latn-RS"/>
        </w:rPr>
        <w:t xml:space="preserve">je </w:t>
      </w:r>
      <w:r w:rsidRPr="007223BC">
        <w:rPr>
          <w:sz w:val="22"/>
          <w:szCs w:val="22"/>
          <w:lang w:val="sr-Latn-RS" w:eastAsia="sr-Latn-RS"/>
        </w:rPr>
        <w:t xml:space="preserve">medijana starosti ispitanika iznosila 33 godine, 15% ispitanika bile su žene, </w:t>
      </w:r>
      <w:r w:rsidR="00947532" w:rsidRPr="007223BC">
        <w:rPr>
          <w:sz w:val="22"/>
          <w:szCs w:val="22"/>
          <w:lang w:val="sr-Latn-RS" w:eastAsia="sr-Latn-RS"/>
        </w:rPr>
        <w:t>69</w:t>
      </w:r>
      <w:r w:rsidRPr="007223BC">
        <w:rPr>
          <w:sz w:val="22"/>
          <w:szCs w:val="22"/>
          <w:lang w:val="sr-Latn-RS" w:eastAsia="sr-Latn-RS"/>
        </w:rPr>
        <w:t>% ispitanika bili su bijelci, 9% imalo je infekciju kategorije 3 prema CDC klasifikaciji (AIDS), 20% imalo je koncentraciju HIV-1 RNK&gt; 100 000 kopija/m</w:t>
      </w:r>
      <w:r w:rsidR="00B412CB">
        <w:rPr>
          <w:sz w:val="22"/>
          <w:szCs w:val="22"/>
          <w:lang w:val="sr-Latn-RS" w:eastAsia="sr-Latn-RS"/>
        </w:rPr>
        <w:t>l</w:t>
      </w:r>
      <w:r w:rsidRPr="007223BC">
        <w:rPr>
          <w:sz w:val="22"/>
          <w:szCs w:val="22"/>
          <w:lang w:val="sr-Latn-RS" w:eastAsia="sr-Latn-RS"/>
        </w:rPr>
        <w:t>, a 8% ispitanika imalo je broj CD4+ ćelija manj</w:t>
      </w:r>
      <w:r w:rsidR="0089572E">
        <w:rPr>
          <w:sz w:val="22"/>
          <w:szCs w:val="22"/>
          <w:lang w:val="sr-Latn-RS" w:eastAsia="sr-Latn-RS"/>
        </w:rPr>
        <w:t>i</w:t>
      </w:r>
      <w:r w:rsidRPr="007223BC">
        <w:rPr>
          <w:sz w:val="22"/>
          <w:szCs w:val="22"/>
          <w:lang w:val="sr-Latn-RS" w:eastAsia="sr-Latn-RS"/>
        </w:rPr>
        <w:t xml:space="preserve"> od 200 ćelija/mm</w:t>
      </w:r>
      <w:r w:rsidRPr="007223BC">
        <w:rPr>
          <w:sz w:val="22"/>
          <w:szCs w:val="22"/>
          <w:vertAlign w:val="superscript"/>
          <w:lang w:val="sr-Latn-RS" w:eastAsia="sr-Latn-RS"/>
        </w:rPr>
        <w:t>3</w:t>
      </w:r>
      <w:r w:rsidRPr="007223BC">
        <w:rPr>
          <w:sz w:val="22"/>
          <w:szCs w:val="22"/>
          <w:lang w:val="sr-Latn-RS" w:eastAsia="sr-Latn-RS"/>
        </w:rPr>
        <w:t>. Navedene karakteristike su bile slične u oba ispitivanja i u svim liječenim grupama.</w:t>
      </w:r>
    </w:p>
    <w:p w14:paraId="26C7B817" w14:textId="3971978B" w:rsidR="00E10C7D" w:rsidRPr="007223BC" w:rsidRDefault="00E10C7D" w:rsidP="00805A14">
      <w:pPr>
        <w:spacing w:before="100" w:beforeAutospacing="1" w:after="100" w:afterAutospacing="1"/>
        <w:jc w:val="both"/>
        <w:rPr>
          <w:sz w:val="22"/>
          <w:szCs w:val="22"/>
          <w:lang w:val="sr-Latn-RS" w:eastAsia="sr-Latn-RS"/>
        </w:rPr>
      </w:pPr>
      <w:r w:rsidRPr="007223BC">
        <w:rPr>
          <w:sz w:val="22"/>
          <w:szCs w:val="22"/>
          <w:lang w:val="sr-Latn-RS" w:eastAsia="sr-Latn-RS"/>
        </w:rPr>
        <w:lastRenderedPageBreak/>
        <w:t xml:space="preserve">U </w:t>
      </w:r>
      <w:r w:rsidR="00947532" w:rsidRPr="007223BC">
        <w:rPr>
          <w:sz w:val="22"/>
          <w:szCs w:val="22"/>
          <w:lang w:val="sr-Latn-RS" w:eastAsia="sr-Latn-RS"/>
        </w:rPr>
        <w:t xml:space="preserve">primarnoj analizi </w:t>
      </w:r>
      <w:r w:rsidR="0089572E">
        <w:rPr>
          <w:sz w:val="22"/>
          <w:szCs w:val="22"/>
          <w:lang w:val="sr-Latn-RS" w:eastAsia="sr-Latn-RS"/>
        </w:rPr>
        <w:t>sprovedenoj nakon</w:t>
      </w:r>
      <w:r w:rsidR="00C1719F" w:rsidRPr="007223BC">
        <w:rPr>
          <w:sz w:val="22"/>
          <w:szCs w:val="22"/>
          <w:lang w:val="sr-Latn-RS" w:eastAsia="sr-Latn-RS"/>
        </w:rPr>
        <w:t xml:space="preserve"> </w:t>
      </w:r>
      <w:r w:rsidRPr="007223BC">
        <w:rPr>
          <w:sz w:val="22"/>
          <w:szCs w:val="22"/>
          <w:lang w:val="sr-Latn-RS" w:eastAsia="sr-Latn-RS"/>
        </w:rPr>
        <w:t>48. nedjelj</w:t>
      </w:r>
      <w:r w:rsidR="0089572E">
        <w:rPr>
          <w:sz w:val="22"/>
          <w:szCs w:val="22"/>
          <w:lang w:val="sr-Latn-RS" w:eastAsia="sr-Latn-RS"/>
        </w:rPr>
        <w:t>e</w:t>
      </w:r>
      <w:r w:rsidRPr="007223BC">
        <w:rPr>
          <w:sz w:val="22"/>
          <w:szCs w:val="22"/>
          <w:lang w:val="sr-Latn-RS" w:eastAsia="sr-Latn-RS"/>
        </w:rPr>
        <w:t xml:space="preserve"> ispitivanja GEMINI-1 i GEMINI-2 kombinacija dolutegravira i lamivudina bila je neinferiorna kombinaciji dolutegravira i fiksnih doza tenofovir-dizoproksila/emtricitabina. Navedene nalaze je potvrdila analiza objedinjenih podataka (vidjeti </w:t>
      </w:r>
      <w:r w:rsidR="00E40C6B" w:rsidRPr="007223BC">
        <w:rPr>
          <w:sz w:val="22"/>
          <w:szCs w:val="22"/>
          <w:lang w:val="sr-Latn-RS" w:eastAsia="sr-Latn-RS"/>
        </w:rPr>
        <w:t>T</w:t>
      </w:r>
      <w:r w:rsidRPr="007223BC">
        <w:rPr>
          <w:sz w:val="22"/>
          <w:szCs w:val="22"/>
          <w:lang w:val="sr-Latn-RS" w:eastAsia="sr-Latn-RS"/>
        </w:rPr>
        <w:t>abelu 3).</w:t>
      </w:r>
    </w:p>
    <w:p w14:paraId="56EE03C0" w14:textId="55CF71E2" w:rsidR="00E10C7D" w:rsidRPr="007223BC" w:rsidRDefault="00E10C7D" w:rsidP="00805A14">
      <w:pPr>
        <w:spacing w:before="100" w:beforeAutospacing="1" w:after="100" w:afterAutospacing="1"/>
        <w:jc w:val="both"/>
        <w:rPr>
          <w:b/>
          <w:sz w:val="22"/>
          <w:szCs w:val="22"/>
          <w:lang w:val="sr-Latn-RS" w:eastAsia="sr-Latn-RS"/>
        </w:rPr>
      </w:pPr>
      <w:r w:rsidRPr="007223BC">
        <w:rPr>
          <w:b/>
          <w:noProof/>
          <w:sz w:val="22"/>
          <w:szCs w:val="22"/>
          <w:lang w:val="sr-Latn-RS"/>
        </w:rPr>
        <w:t xml:space="preserve">Tabela 3: </w:t>
      </w:r>
      <w:r w:rsidRPr="007223BC">
        <w:rPr>
          <w:b/>
          <w:sz w:val="22"/>
          <w:szCs w:val="22"/>
          <w:lang w:val="sr-Latn-RS" w:eastAsia="sr-Latn-RS"/>
        </w:rPr>
        <w:t>Vir</w:t>
      </w:r>
      <w:r w:rsidR="0089572E">
        <w:rPr>
          <w:b/>
          <w:sz w:val="22"/>
          <w:szCs w:val="22"/>
          <w:lang w:val="sr-Latn-RS" w:eastAsia="sr-Latn-RS"/>
        </w:rPr>
        <w:t>o</w:t>
      </w:r>
      <w:r w:rsidRPr="007223BC">
        <w:rPr>
          <w:b/>
          <w:sz w:val="22"/>
          <w:szCs w:val="22"/>
          <w:lang w:val="sr-Latn-RS" w:eastAsia="sr-Latn-RS"/>
        </w:rPr>
        <w:t xml:space="preserve">loški ishodi randomizovanog liječenja u </w:t>
      </w:r>
      <w:r w:rsidR="00947532" w:rsidRPr="007223BC">
        <w:rPr>
          <w:b/>
          <w:sz w:val="22"/>
          <w:szCs w:val="22"/>
          <w:lang w:val="sr-Latn-RS" w:eastAsia="sr-Latn-RS"/>
        </w:rPr>
        <w:t xml:space="preserve">ispitivanju GEMINI u </w:t>
      </w:r>
      <w:r w:rsidRPr="007223BC">
        <w:rPr>
          <w:b/>
          <w:sz w:val="22"/>
          <w:szCs w:val="22"/>
          <w:lang w:val="sr-Latn-RS" w:eastAsia="sr-Latn-RS"/>
        </w:rPr>
        <w:t>48. nedjelji (</w:t>
      </w:r>
      <w:r w:rsidRPr="007223BC">
        <w:rPr>
          <w:b/>
          <w:i/>
          <w:sz w:val="22"/>
          <w:szCs w:val="22"/>
          <w:lang w:val="sr-Latn-RS" w:eastAsia="sr-Latn-RS"/>
        </w:rPr>
        <w:t>Snapshot</w:t>
      </w:r>
      <w:r w:rsidRPr="007223BC">
        <w:rPr>
          <w:b/>
          <w:sz w:val="22"/>
          <w:szCs w:val="22"/>
          <w:lang w:val="sr-Latn-RS" w:eastAsia="sr-Latn-RS"/>
        </w:rPr>
        <w:t xml:space="preserve"> algoritam)</w:t>
      </w: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1982"/>
        <w:gridCol w:w="1890"/>
      </w:tblGrid>
      <w:tr w:rsidR="00E10C7D" w:rsidRPr="00413968" w14:paraId="2E3D58C8" w14:textId="77777777" w:rsidTr="006F142D">
        <w:tc>
          <w:tcPr>
            <w:tcW w:w="4786" w:type="dxa"/>
            <w:vMerge w:val="restart"/>
            <w:tcBorders>
              <w:top w:val="single" w:sz="4" w:space="0" w:color="auto"/>
              <w:left w:val="single" w:sz="4" w:space="0" w:color="auto"/>
              <w:bottom w:val="single" w:sz="4" w:space="0" w:color="auto"/>
              <w:right w:val="single" w:sz="4" w:space="0" w:color="auto"/>
            </w:tcBorders>
          </w:tcPr>
          <w:p w14:paraId="0412BBD7" w14:textId="77777777" w:rsidR="00E10C7D" w:rsidRPr="007223BC" w:rsidRDefault="00E10C7D" w:rsidP="00413968">
            <w:pPr>
              <w:keepNext/>
              <w:jc w:val="both"/>
              <w:rPr>
                <w:sz w:val="22"/>
                <w:szCs w:val="22"/>
                <w:lang w:val="sr-Latn-RS"/>
              </w:rPr>
            </w:pPr>
          </w:p>
        </w:tc>
        <w:tc>
          <w:tcPr>
            <w:tcW w:w="3872" w:type="dxa"/>
            <w:gridSpan w:val="2"/>
            <w:tcBorders>
              <w:top w:val="single" w:sz="4" w:space="0" w:color="auto"/>
              <w:left w:val="single" w:sz="4" w:space="0" w:color="auto"/>
              <w:bottom w:val="single" w:sz="4" w:space="0" w:color="auto"/>
              <w:right w:val="single" w:sz="4" w:space="0" w:color="auto"/>
            </w:tcBorders>
          </w:tcPr>
          <w:p w14:paraId="5DBCC779" w14:textId="77777777" w:rsidR="00E10C7D" w:rsidRPr="007223BC" w:rsidRDefault="00E10C7D" w:rsidP="00413968">
            <w:pPr>
              <w:keepNext/>
              <w:jc w:val="both"/>
              <w:rPr>
                <w:b/>
                <w:sz w:val="22"/>
                <w:szCs w:val="22"/>
                <w:lang w:val="sr-Latn-RS" w:eastAsia="sr-Latn-RS"/>
              </w:rPr>
            </w:pPr>
            <w:r w:rsidRPr="007223BC">
              <w:rPr>
                <w:b/>
                <w:sz w:val="22"/>
                <w:szCs w:val="22"/>
                <w:lang w:val="sr-Latn-RS" w:eastAsia="sr-Latn-RS"/>
              </w:rPr>
              <w:t>Objedinjeni podaci iz ispitivanja GEMINI-1 i GEMINI-2*</w:t>
            </w:r>
          </w:p>
        </w:tc>
      </w:tr>
      <w:tr w:rsidR="00E10C7D" w:rsidRPr="007223BC" w14:paraId="7335D3AB" w14:textId="77777777" w:rsidTr="006F142D">
        <w:tc>
          <w:tcPr>
            <w:tcW w:w="4786" w:type="dxa"/>
            <w:vMerge/>
          </w:tcPr>
          <w:p w14:paraId="0283B2BF" w14:textId="77777777" w:rsidR="00E10C7D" w:rsidRPr="007223BC" w:rsidRDefault="00E10C7D" w:rsidP="00413968">
            <w:pPr>
              <w:keepNext/>
              <w:jc w:val="both"/>
              <w:rPr>
                <w:sz w:val="22"/>
                <w:szCs w:val="22"/>
                <w:lang w:val="sr-Latn-RS"/>
              </w:rPr>
            </w:pPr>
          </w:p>
        </w:tc>
        <w:tc>
          <w:tcPr>
            <w:tcW w:w="1982" w:type="dxa"/>
          </w:tcPr>
          <w:p w14:paraId="116D04CF" w14:textId="77777777" w:rsidR="00E10C7D" w:rsidRPr="007223BC" w:rsidRDefault="00E10C7D" w:rsidP="00413968">
            <w:pPr>
              <w:keepNext/>
              <w:jc w:val="both"/>
              <w:rPr>
                <w:b/>
                <w:sz w:val="22"/>
                <w:szCs w:val="22"/>
                <w:lang w:val="sr-Latn-RS"/>
              </w:rPr>
            </w:pPr>
            <w:r w:rsidRPr="007223BC">
              <w:rPr>
                <w:b/>
                <w:sz w:val="22"/>
                <w:szCs w:val="22"/>
                <w:lang w:val="sr-Latn-RS"/>
              </w:rPr>
              <w:t>DTG + 3TC</w:t>
            </w:r>
          </w:p>
          <w:p w14:paraId="1E5E2E41" w14:textId="77777777" w:rsidR="00E10C7D" w:rsidRPr="007223BC" w:rsidRDefault="00E10C7D" w:rsidP="00413968">
            <w:pPr>
              <w:keepNext/>
              <w:jc w:val="both"/>
              <w:rPr>
                <w:b/>
                <w:sz w:val="22"/>
                <w:szCs w:val="22"/>
                <w:lang w:val="sr-Latn-RS"/>
              </w:rPr>
            </w:pPr>
            <w:r w:rsidRPr="007223BC">
              <w:rPr>
                <w:b/>
                <w:sz w:val="22"/>
                <w:szCs w:val="22"/>
                <w:lang w:val="sr-Latn-RS"/>
              </w:rPr>
              <w:t>N=716</w:t>
            </w:r>
          </w:p>
        </w:tc>
        <w:tc>
          <w:tcPr>
            <w:tcW w:w="1890" w:type="dxa"/>
          </w:tcPr>
          <w:p w14:paraId="1E212ECF" w14:textId="77777777" w:rsidR="00E10C7D" w:rsidRPr="007223BC" w:rsidRDefault="00E10C7D" w:rsidP="00413968">
            <w:pPr>
              <w:keepNext/>
              <w:jc w:val="both"/>
              <w:rPr>
                <w:b/>
                <w:sz w:val="22"/>
                <w:szCs w:val="22"/>
                <w:lang w:val="sr-Latn-RS"/>
              </w:rPr>
            </w:pPr>
            <w:r w:rsidRPr="007223BC">
              <w:rPr>
                <w:b/>
                <w:sz w:val="22"/>
                <w:szCs w:val="22"/>
                <w:lang w:val="sr-Latn-RS"/>
              </w:rPr>
              <w:t>DTG + TDF/FTC</w:t>
            </w:r>
          </w:p>
          <w:p w14:paraId="7A0D81B4" w14:textId="77777777" w:rsidR="00E10C7D" w:rsidRPr="007223BC" w:rsidRDefault="00E10C7D" w:rsidP="00413968">
            <w:pPr>
              <w:keepNext/>
              <w:jc w:val="both"/>
              <w:rPr>
                <w:b/>
                <w:sz w:val="22"/>
                <w:szCs w:val="22"/>
                <w:lang w:val="sr-Latn-RS"/>
              </w:rPr>
            </w:pPr>
            <w:r w:rsidRPr="007223BC">
              <w:rPr>
                <w:b/>
                <w:sz w:val="22"/>
                <w:szCs w:val="22"/>
                <w:lang w:val="sr-Latn-RS"/>
              </w:rPr>
              <w:t>N=717</w:t>
            </w:r>
          </w:p>
        </w:tc>
      </w:tr>
      <w:tr w:rsidR="00E10C7D" w:rsidRPr="007223BC" w14:paraId="2368232A" w14:textId="77777777" w:rsidTr="006F142D">
        <w:tc>
          <w:tcPr>
            <w:tcW w:w="4786" w:type="dxa"/>
            <w:vAlign w:val="center"/>
          </w:tcPr>
          <w:p w14:paraId="73063BEE" w14:textId="1250C265" w:rsidR="00E10C7D" w:rsidRPr="007223BC" w:rsidRDefault="00E10C7D" w:rsidP="00413968">
            <w:pPr>
              <w:keepNext/>
              <w:jc w:val="both"/>
              <w:rPr>
                <w:sz w:val="22"/>
                <w:szCs w:val="22"/>
                <w:lang w:val="sr-Latn-RS"/>
              </w:rPr>
            </w:pPr>
            <w:r w:rsidRPr="007223BC">
              <w:rPr>
                <w:b/>
                <w:sz w:val="22"/>
                <w:szCs w:val="22"/>
                <w:lang w:val="sr-Latn-RS"/>
              </w:rPr>
              <w:t>HIV-1 RNK &lt;50 kopija/m</w:t>
            </w:r>
            <w:r w:rsidR="00B412CB">
              <w:rPr>
                <w:b/>
                <w:sz w:val="22"/>
                <w:szCs w:val="22"/>
                <w:lang w:val="sr-Latn-RS"/>
              </w:rPr>
              <w:t>l</w:t>
            </w:r>
          </w:p>
        </w:tc>
        <w:tc>
          <w:tcPr>
            <w:tcW w:w="1982" w:type="dxa"/>
          </w:tcPr>
          <w:p w14:paraId="5136208E" w14:textId="77777777" w:rsidR="00E10C7D" w:rsidRPr="007223BC" w:rsidRDefault="00E10C7D" w:rsidP="00413968">
            <w:pPr>
              <w:keepNext/>
              <w:jc w:val="both"/>
              <w:rPr>
                <w:sz w:val="22"/>
                <w:szCs w:val="22"/>
                <w:highlight w:val="green"/>
                <w:lang w:val="sr-Latn-RS"/>
              </w:rPr>
            </w:pPr>
            <w:r w:rsidRPr="007223BC">
              <w:rPr>
                <w:sz w:val="22"/>
                <w:szCs w:val="22"/>
                <w:lang w:val="sr-Latn-RS"/>
              </w:rPr>
              <w:t>91%</w:t>
            </w:r>
          </w:p>
        </w:tc>
        <w:tc>
          <w:tcPr>
            <w:tcW w:w="1890" w:type="dxa"/>
          </w:tcPr>
          <w:p w14:paraId="248BD49C" w14:textId="77777777" w:rsidR="00E10C7D" w:rsidRPr="007223BC" w:rsidRDefault="00E10C7D" w:rsidP="00413968">
            <w:pPr>
              <w:keepNext/>
              <w:jc w:val="both"/>
              <w:rPr>
                <w:sz w:val="22"/>
                <w:szCs w:val="22"/>
                <w:highlight w:val="green"/>
                <w:lang w:val="sr-Latn-RS"/>
              </w:rPr>
            </w:pPr>
            <w:r w:rsidRPr="007223BC">
              <w:rPr>
                <w:sz w:val="22"/>
                <w:szCs w:val="22"/>
                <w:lang w:val="sr-Latn-RS"/>
              </w:rPr>
              <w:t>93%</w:t>
            </w:r>
          </w:p>
        </w:tc>
      </w:tr>
      <w:tr w:rsidR="00E10C7D" w:rsidRPr="007223BC" w14:paraId="6E377226" w14:textId="77777777" w:rsidTr="006F142D">
        <w:tc>
          <w:tcPr>
            <w:tcW w:w="4786" w:type="dxa"/>
            <w:tcBorders>
              <w:bottom w:val="single" w:sz="4" w:space="0" w:color="auto"/>
            </w:tcBorders>
            <w:vAlign w:val="center"/>
          </w:tcPr>
          <w:p w14:paraId="6D19C877" w14:textId="77777777" w:rsidR="00E10C7D" w:rsidRPr="007223BC" w:rsidRDefault="00E10C7D" w:rsidP="00413968">
            <w:pPr>
              <w:keepNext/>
              <w:jc w:val="both"/>
              <w:rPr>
                <w:b/>
                <w:sz w:val="22"/>
                <w:szCs w:val="22"/>
                <w:lang w:val="sr-Latn-RS"/>
              </w:rPr>
            </w:pPr>
            <w:r w:rsidRPr="007223BC">
              <w:rPr>
                <w:b/>
                <w:sz w:val="22"/>
                <w:szCs w:val="22"/>
                <w:lang w:val="sr-Latn-RS"/>
              </w:rPr>
              <w:t xml:space="preserve"> </w:t>
            </w:r>
            <w:r w:rsidRPr="007223BC">
              <w:rPr>
                <w:b/>
                <w:sz w:val="22"/>
                <w:szCs w:val="22"/>
                <w:lang w:val="sr-Latn-RS" w:eastAsia="sr-Latn-RS"/>
              </w:rPr>
              <w:t>Razlika između liječenja</w:t>
            </w:r>
            <w:r w:rsidRPr="007223BC">
              <w:rPr>
                <w:sz w:val="22"/>
                <w:szCs w:val="22"/>
                <w:vertAlign w:val="superscript"/>
                <w:lang w:val="sr-Latn-RS"/>
              </w:rPr>
              <w:t xml:space="preserve"> † </w:t>
            </w:r>
            <w:r w:rsidRPr="007223BC">
              <w:rPr>
                <w:sz w:val="22"/>
                <w:szCs w:val="22"/>
                <w:lang w:val="sr-Latn-RS" w:eastAsia="sr-Latn-RS"/>
              </w:rPr>
              <w:t>(intervali pouzdanosti od 95%)</w:t>
            </w:r>
          </w:p>
        </w:tc>
        <w:tc>
          <w:tcPr>
            <w:tcW w:w="3872" w:type="dxa"/>
            <w:gridSpan w:val="2"/>
            <w:tcBorders>
              <w:bottom w:val="single" w:sz="4" w:space="0" w:color="auto"/>
            </w:tcBorders>
          </w:tcPr>
          <w:p w14:paraId="112C5EA4" w14:textId="77777777" w:rsidR="00E10C7D" w:rsidRPr="007223BC" w:rsidRDefault="00E10C7D" w:rsidP="00413968">
            <w:pPr>
              <w:keepNext/>
              <w:jc w:val="both"/>
              <w:rPr>
                <w:sz w:val="22"/>
                <w:szCs w:val="22"/>
                <w:highlight w:val="green"/>
                <w:lang w:val="sr-Latn-RS"/>
              </w:rPr>
            </w:pPr>
            <w:r w:rsidRPr="007223BC">
              <w:rPr>
                <w:sz w:val="22"/>
                <w:szCs w:val="22"/>
                <w:lang w:val="sr-Latn-RS"/>
              </w:rPr>
              <w:t>-1</w:t>
            </w:r>
            <w:r w:rsidR="0072040B" w:rsidRPr="007223BC">
              <w:rPr>
                <w:sz w:val="22"/>
                <w:szCs w:val="22"/>
                <w:lang w:val="sr-Latn-RS"/>
              </w:rPr>
              <w:t>,</w:t>
            </w:r>
            <w:r w:rsidRPr="007223BC">
              <w:rPr>
                <w:sz w:val="22"/>
                <w:szCs w:val="22"/>
                <w:lang w:val="sr-Latn-RS"/>
              </w:rPr>
              <w:t>7 (-4</w:t>
            </w:r>
            <w:r w:rsidR="0072040B" w:rsidRPr="007223BC">
              <w:rPr>
                <w:sz w:val="22"/>
                <w:szCs w:val="22"/>
                <w:lang w:val="sr-Latn-RS"/>
              </w:rPr>
              <w:t>,</w:t>
            </w:r>
            <w:r w:rsidRPr="007223BC">
              <w:rPr>
                <w:sz w:val="22"/>
                <w:szCs w:val="22"/>
                <w:lang w:val="sr-Latn-RS"/>
              </w:rPr>
              <w:t>4, 1</w:t>
            </w:r>
            <w:r w:rsidR="0072040B" w:rsidRPr="007223BC">
              <w:rPr>
                <w:sz w:val="22"/>
                <w:szCs w:val="22"/>
                <w:lang w:val="sr-Latn-RS"/>
              </w:rPr>
              <w:t>,</w:t>
            </w:r>
            <w:r w:rsidRPr="007223BC">
              <w:rPr>
                <w:sz w:val="22"/>
                <w:szCs w:val="22"/>
                <w:lang w:val="sr-Latn-RS"/>
              </w:rPr>
              <w:t>1)</w:t>
            </w:r>
          </w:p>
        </w:tc>
      </w:tr>
      <w:tr w:rsidR="00E10C7D" w:rsidRPr="007223BC" w14:paraId="007B0201" w14:textId="77777777" w:rsidTr="006F142D">
        <w:tc>
          <w:tcPr>
            <w:tcW w:w="4786" w:type="dxa"/>
            <w:tcBorders>
              <w:bottom w:val="nil"/>
            </w:tcBorders>
          </w:tcPr>
          <w:p w14:paraId="6022FAF6" w14:textId="3F3E679F" w:rsidR="00E10C7D" w:rsidRPr="007223BC" w:rsidRDefault="00E10C7D" w:rsidP="00413968">
            <w:pPr>
              <w:keepNext/>
              <w:jc w:val="both"/>
              <w:rPr>
                <w:b/>
                <w:bCs/>
                <w:sz w:val="22"/>
                <w:szCs w:val="22"/>
                <w:lang w:val="sr-Latn-RS"/>
              </w:rPr>
            </w:pPr>
            <w:r w:rsidRPr="007223BC">
              <w:rPr>
                <w:b/>
                <w:sz w:val="22"/>
                <w:szCs w:val="22"/>
                <w:lang w:val="sr-Latn-RS" w:eastAsia="sr-Latn-RS"/>
              </w:rPr>
              <w:t>Izostanak virološkog odgovora</w:t>
            </w:r>
          </w:p>
        </w:tc>
        <w:tc>
          <w:tcPr>
            <w:tcW w:w="1982" w:type="dxa"/>
            <w:tcBorders>
              <w:bottom w:val="nil"/>
            </w:tcBorders>
            <w:vAlign w:val="center"/>
          </w:tcPr>
          <w:p w14:paraId="3902A395" w14:textId="77777777" w:rsidR="00E10C7D" w:rsidRPr="007223BC" w:rsidRDefault="00E10C7D" w:rsidP="00413968">
            <w:pPr>
              <w:keepNext/>
              <w:jc w:val="both"/>
              <w:rPr>
                <w:sz w:val="22"/>
                <w:szCs w:val="22"/>
                <w:lang w:val="sr-Latn-RS"/>
              </w:rPr>
            </w:pPr>
            <w:r w:rsidRPr="007223BC">
              <w:rPr>
                <w:sz w:val="22"/>
                <w:szCs w:val="22"/>
                <w:lang w:val="sr-Latn-RS"/>
              </w:rPr>
              <w:t>3%</w:t>
            </w:r>
          </w:p>
        </w:tc>
        <w:tc>
          <w:tcPr>
            <w:tcW w:w="1890" w:type="dxa"/>
            <w:tcBorders>
              <w:bottom w:val="nil"/>
            </w:tcBorders>
          </w:tcPr>
          <w:p w14:paraId="354A5A67" w14:textId="77777777" w:rsidR="00E10C7D" w:rsidRPr="007223BC" w:rsidRDefault="00E10C7D" w:rsidP="00413968">
            <w:pPr>
              <w:keepNext/>
              <w:jc w:val="both"/>
              <w:rPr>
                <w:sz w:val="22"/>
                <w:szCs w:val="22"/>
                <w:lang w:val="sr-Latn-RS"/>
              </w:rPr>
            </w:pPr>
            <w:r w:rsidRPr="007223BC">
              <w:rPr>
                <w:sz w:val="22"/>
                <w:szCs w:val="22"/>
                <w:lang w:val="sr-Latn-RS"/>
              </w:rPr>
              <w:t>2%</w:t>
            </w:r>
          </w:p>
        </w:tc>
      </w:tr>
      <w:tr w:rsidR="00E10C7D" w:rsidRPr="007223BC" w14:paraId="0F57F0F1" w14:textId="77777777" w:rsidTr="006F142D">
        <w:tc>
          <w:tcPr>
            <w:tcW w:w="4786" w:type="dxa"/>
            <w:tcBorders>
              <w:top w:val="nil"/>
              <w:bottom w:val="nil"/>
            </w:tcBorders>
          </w:tcPr>
          <w:p w14:paraId="0A089903" w14:textId="77777777" w:rsidR="00E10C7D" w:rsidRPr="007223BC" w:rsidRDefault="00E10C7D" w:rsidP="00413968">
            <w:pPr>
              <w:keepNext/>
              <w:jc w:val="both"/>
              <w:rPr>
                <w:b/>
                <w:sz w:val="22"/>
                <w:szCs w:val="22"/>
                <w:lang w:val="sr-Latn-RS"/>
              </w:rPr>
            </w:pPr>
            <w:r w:rsidRPr="007223BC">
              <w:rPr>
                <w:sz w:val="22"/>
                <w:szCs w:val="22"/>
                <w:u w:val="single"/>
                <w:lang w:val="sr-Latn-RS"/>
              </w:rPr>
              <w:t>Razlozi</w:t>
            </w:r>
          </w:p>
        </w:tc>
        <w:tc>
          <w:tcPr>
            <w:tcW w:w="1982" w:type="dxa"/>
            <w:tcBorders>
              <w:top w:val="nil"/>
              <w:bottom w:val="nil"/>
            </w:tcBorders>
            <w:vAlign w:val="center"/>
          </w:tcPr>
          <w:p w14:paraId="06E2C7DC" w14:textId="77777777" w:rsidR="00E10C7D" w:rsidRPr="007223BC" w:rsidRDefault="00E10C7D" w:rsidP="00413968">
            <w:pPr>
              <w:keepNext/>
              <w:jc w:val="both"/>
              <w:rPr>
                <w:sz w:val="22"/>
                <w:szCs w:val="22"/>
                <w:lang w:val="sr-Latn-RS"/>
              </w:rPr>
            </w:pPr>
          </w:p>
        </w:tc>
        <w:tc>
          <w:tcPr>
            <w:tcW w:w="1890" w:type="dxa"/>
            <w:tcBorders>
              <w:top w:val="nil"/>
              <w:bottom w:val="nil"/>
            </w:tcBorders>
            <w:vAlign w:val="center"/>
          </w:tcPr>
          <w:p w14:paraId="4519F1A4" w14:textId="77777777" w:rsidR="00E10C7D" w:rsidRPr="007223BC" w:rsidRDefault="00E10C7D" w:rsidP="00413968">
            <w:pPr>
              <w:keepNext/>
              <w:jc w:val="both"/>
              <w:rPr>
                <w:sz w:val="22"/>
                <w:szCs w:val="22"/>
                <w:lang w:val="sr-Latn-RS"/>
              </w:rPr>
            </w:pPr>
          </w:p>
        </w:tc>
      </w:tr>
      <w:tr w:rsidR="00E10C7D" w:rsidRPr="007223BC" w14:paraId="12F488FB" w14:textId="77777777" w:rsidTr="006F142D">
        <w:trPr>
          <w:trHeight w:val="66"/>
        </w:trPr>
        <w:tc>
          <w:tcPr>
            <w:tcW w:w="4786" w:type="dxa"/>
            <w:tcBorders>
              <w:top w:val="nil"/>
              <w:bottom w:val="nil"/>
            </w:tcBorders>
          </w:tcPr>
          <w:p w14:paraId="3BC30CF1" w14:textId="581A0AD0" w:rsidR="00E10C7D" w:rsidRPr="007223BC" w:rsidRDefault="00E10C7D" w:rsidP="00413968">
            <w:pPr>
              <w:keepNext/>
              <w:ind w:left="144"/>
              <w:jc w:val="both"/>
              <w:rPr>
                <w:sz w:val="22"/>
                <w:szCs w:val="22"/>
                <w:lang w:val="sr-Latn-RS"/>
              </w:rPr>
            </w:pPr>
            <w:r w:rsidRPr="007223BC">
              <w:rPr>
                <w:sz w:val="22"/>
                <w:szCs w:val="22"/>
                <w:lang w:val="sr-Latn-RS" w:eastAsia="sr-Latn-RS"/>
              </w:rPr>
              <w:t xml:space="preserve">Podaci u posmatranom periodu </w:t>
            </w:r>
            <w:r w:rsidR="00B86515" w:rsidRPr="007223BC">
              <w:rPr>
                <w:sz w:val="22"/>
                <w:szCs w:val="22"/>
                <w:lang w:val="sr-Latn-RS" w:eastAsia="sr-Latn-RS"/>
              </w:rPr>
              <w:t>i</w:t>
            </w:r>
            <w:r w:rsidR="00622A2F" w:rsidRPr="007223BC">
              <w:rPr>
                <w:sz w:val="22"/>
                <w:szCs w:val="22"/>
                <w:lang w:val="sr-Latn-RS" w:eastAsia="sr-Latn-RS"/>
              </w:rPr>
              <w:t xml:space="preserve"> </w:t>
            </w:r>
            <w:r w:rsidRPr="007223BC">
              <w:rPr>
                <w:sz w:val="22"/>
                <w:szCs w:val="22"/>
                <w:lang w:val="sr-Latn-RS" w:eastAsia="sr-Latn-RS"/>
              </w:rPr>
              <w:t>≥ 50 kopija/m</w:t>
            </w:r>
            <w:r w:rsidR="00B412CB">
              <w:rPr>
                <w:sz w:val="22"/>
                <w:szCs w:val="22"/>
                <w:lang w:val="sr-Latn-RS" w:eastAsia="sr-Latn-RS"/>
              </w:rPr>
              <w:t>l</w:t>
            </w:r>
          </w:p>
        </w:tc>
        <w:tc>
          <w:tcPr>
            <w:tcW w:w="1982" w:type="dxa"/>
            <w:tcBorders>
              <w:top w:val="nil"/>
              <w:bottom w:val="nil"/>
            </w:tcBorders>
            <w:vAlign w:val="center"/>
          </w:tcPr>
          <w:p w14:paraId="44D446A7" w14:textId="77777777" w:rsidR="00E10C7D" w:rsidRPr="007223BC" w:rsidRDefault="00E10C7D" w:rsidP="00413968">
            <w:pPr>
              <w:keepNext/>
              <w:jc w:val="both"/>
              <w:rPr>
                <w:sz w:val="22"/>
                <w:szCs w:val="22"/>
                <w:lang w:val="sr-Latn-RS"/>
              </w:rPr>
            </w:pPr>
            <w:r w:rsidRPr="007223BC">
              <w:rPr>
                <w:sz w:val="22"/>
                <w:szCs w:val="22"/>
                <w:lang w:val="sr-Latn-RS"/>
              </w:rPr>
              <w:t>1%</w:t>
            </w:r>
          </w:p>
        </w:tc>
        <w:tc>
          <w:tcPr>
            <w:tcW w:w="1890" w:type="dxa"/>
            <w:tcBorders>
              <w:top w:val="nil"/>
              <w:bottom w:val="nil"/>
            </w:tcBorders>
            <w:vAlign w:val="center"/>
          </w:tcPr>
          <w:p w14:paraId="1EA74AFD" w14:textId="77777777" w:rsidR="00E10C7D" w:rsidRPr="007223BC" w:rsidRDefault="00E10C7D" w:rsidP="00413968">
            <w:pPr>
              <w:keepNext/>
              <w:jc w:val="both"/>
              <w:rPr>
                <w:sz w:val="22"/>
                <w:szCs w:val="22"/>
                <w:lang w:val="sr-Latn-RS"/>
              </w:rPr>
            </w:pPr>
            <w:r w:rsidRPr="007223BC">
              <w:rPr>
                <w:sz w:val="22"/>
                <w:szCs w:val="22"/>
                <w:lang w:val="sr-Latn-RS"/>
              </w:rPr>
              <w:t>&lt;1%</w:t>
            </w:r>
          </w:p>
        </w:tc>
      </w:tr>
      <w:tr w:rsidR="00E10C7D" w:rsidRPr="007223BC" w14:paraId="2F7CD2C1" w14:textId="77777777" w:rsidTr="006F142D">
        <w:tc>
          <w:tcPr>
            <w:tcW w:w="4786" w:type="dxa"/>
            <w:tcBorders>
              <w:top w:val="nil"/>
              <w:bottom w:val="nil"/>
            </w:tcBorders>
            <w:vAlign w:val="center"/>
          </w:tcPr>
          <w:p w14:paraId="4A37BA15" w14:textId="77777777" w:rsidR="00E10C7D" w:rsidRPr="007223BC" w:rsidRDefault="00E10C7D" w:rsidP="00413968">
            <w:pPr>
              <w:keepNext/>
              <w:ind w:left="144"/>
              <w:jc w:val="both"/>
              <w:rPr>
                <w:sz w:val="22"/>
                <w:szCs w:val="22"/>
                <w:lang w:val="sr-Latn-RS"/>
              </w:rPr>
            </w:pPr>
            <w:r w:rsidRPr="007223BC">
              <w:rPr>
                <w:sz w:val="22"/>
                <w:szCs w:val="22"/>
                <w:lang w:val="sr-Latn-RS"/>
              </w:rPr>
              <w:t>Prekid liječenja zbog nedostatka efikasnosti</w:t>
            </w:r>
          </w:p>
        </w:tc>
        <w:tc>
          <w:tcPr>
            <w:tcW w:w="1982" w:type="dxa"/>
            <w:tcBorders>
              <w:top w:val="nil"/>
              <w:bottom w:val="nil"/>
            </w:tcBorders>
            <w:vAlign w:val="center"/>
          </w:tcPr>
          <w:p w14:paraId="56EA9A9C" w14:textId="77777777" w:rsidR="00E10C7D" w:rsidRPr="007223BC" w:rsidRDefault="00E10C7D" w:rsidP="00413968">
            <w:pPr>
              <w:keepNext/>
              <w:jc w:val="both"/>
              <w:rPr>
                <w:sz w:val="22"/>
                <w:szCs w:val="22"/>
                <w:lang w:val="sr-Latn-RS"/>
              </w:rPr>
            </w:pPr>
            <w:r w:rsidRPr="007223BC">
              <w:rPr>
                <w:sz w:val="22"/>
                <w:szCs w:val="22"/>
                <w:lang w:val="sr-Latn-RS"/>
              </w:rPr>
              <w:t>&lt;1%</w:t>
            </w:r>
          </w:p>
        </w:tc>
        <w:tc>
          <w:tcPr>
            <w:tcW w:w="1890" w:type="dxa"/>
            <w:tcBorders>
              <w:top w:val="nil"/>
              <w:bottom w:val="nil"/>
            </w:tcBorders>
            <w:vAlign w:val="center"/>
          </w:tcPr>
          <w:p w14:paraId="013A2A7E" w14:textId="77777777" w:rsidR="00E10C7D" w:rsidRPr="007223BC" w:rsidRDefault="00E10C7D" w:rsidP="00413968">
            <w:pPr>
              <w:keepNext/>
              <w:jc w:val="both"/>
              <w:rPr>
                <w:sz w:val="22"/>
                <w:szCs w:val="22"/>
                <w:lang w:val="sr-Latn-RS"/>
              </w:rPr>
            </w:pPr>
            <w:r w:rsidRPr="007223BC">
              <w:rPr>
                <w:sz w:val="22"/>
                <w:szCs w:val="22"/>
                <w:lang w:val="sr-Latn-RS"/>
              </w:rPr>
              <w:t>&lt;1%</w:t>
            </w:r>
          </w:p>
        </w:tc>
      </w:tr>
      <w:tr w:rsidR="00E10C7D" w:rsidRPr="007223BC" w14:paraId="39623DF6" w14:textId="77777777" w:rsidTr="006F142D">
        <w:tc>
          <w:tcPr>
            <w:tcW w:w="4786" w:type="dxa"/>
            <w:tcBorders>
              <w:top w:val="nil"/>
              <w:bottom w:val="nil"/>
            </w:tcBorders>
          </w:tcPr>
          <w:p w14:paraId="62AE0BAE" w14:textId="7A1DB569" w:rsidR="00E10C7D" w:rsidRPr="007223BC" w:rsidRDefault="00E10C7D" w:rsidP="00413968">
            <w:pPr>
              <w:keepNext/>
              <w:ind w:left="144"/>
              <w:jc w:val="both"/>
              <w:rPr>
                <w:sz w:val="22"/>
                <w:szCs w:val="22"/>
                <w:lang w:val="sr-Latn-RS"/>
              </w:rPr>
            </w:pPr>
            <w:r w:rsidRPr="007223BC">
              <w:rPr>
                <w:sz w:val="22"/>
                <w:szCs w:val="22"/>
                <w:lang w:val="sr-Latn-RS"/>
              </w:rPr>
              <w:t>Prekid liječenja zbog drugih razloga dok je vrijednost bila ≥50 kopija/m</w:t>
            </w:r>
            <w:r w:rsidR="00B412CB">
              <w:rPr>
                <w:sz w:val="22"/>
                <w:szCs w:val="22"/>
                <w:lang w:val="sr-Latn-RS"/>
              </w:rPr>
              <w:t>l</w:t>
            </w:r>
          </w:p>
        </w:tc>
        <w:tc>
          <w:tcPr>
            <w:tcW w:w="1982" w:type="dxa"/>
            <w:tcBorders>
              <w:top w:val="nil"/>
              <w:bottom w:val="nil"/>
            </w:tcBorders>
            <w:vAlign w:val="center"/>
          </w:tcPr>
          <w:p w14:paraId="4A03082F" w14:textId="77777777" w:rsidR="00E10C7D" w:rsidRPr="007223BC" w:rsidRDefault="00E10C7D" w:rsidP="00413968">
            <w:pPr>
              <w:keepNext/>
              <w:jc w:val="both"/>
              <w:rPr>
                <w:sz w:val="22"/>
                <w:szCs w:val="22"/>
                <w:lang w:val="sr-Latn-RS"/>
              </w:rPr>
            </w:pPr>
            <w:r w:rsidRPr="007223BC">
              <w:rPr>
                <w:sz w:val="22"/>
                <w:szCs w:val="22"/>
                <w:lang w:val="sr-Latn-RS"/>
              </w:rPr>
              <w:t>&lt;1%</w:t>
            </w:r>
          </w:p>
        </w:tc>
        <w:tc>
          <w:tcPr>
            <w:tcW w:w="1890" w:type="dxa"/>
            <w:tcBorders>
              <w:top w:val="nil"/>
              <w:bottom w:val="nil"/>
            </w:tcBorders>
            <w:vAlign w:val="center"/>
          </w:tcPr>
          <w:p w14:paraId="715DDFDE" w14:textId="77777777" w:rsidR="00E10C7D" w:rsidRPr="007223BC" w:rsidRDefault="00E10C7D" w:rsidP="00413968">
            <w:pPr>
              <w:keepNext/>
              <w:jc w:val="both"/>
              <w:rPr>
                <w:sz w:val="22"/>
                <w:szCs w:val="22"/>
                <w:lang w:val="sr-Latn-RS"/>
              </w:rPr>
            </w:pPr>
            <w:r w:rsidRPr="007223BC">
              <w:rPr>
                <w:sz w:val="22"/>
                <w:szCs w:val="22"/>
                <w:lang w:val="sr-Latn-RS"/>
              </w:rPr>
              <w:t>&lt;1%</w:t>
            </w:r>
          </w:p>
        </w:tc>
      </w:tr>
      <w:tr w:rsidR="00E10C7D" w:rsidRPr="007223BC" w14:paraId="7516F13E" w14:textId="77777777" w:rsidTr="006F142D">
        <w:tc>
          <w:tcPr>
            <w:tcW w:w="4786" w:type="dxa"/>
            <w:tcBorders>
              <w:top w:val="nil"/>
              <w:bottom w:val="single" w:sz="4" w:space="0" w:color="auto"/>
            </w:tcBorders>
          </w:tcPr>
          <w:p w14:paraId="08EFD904" w14:textId="77777777" w:rsidR="00E10C7D" w:rsidRPr="007223BC" w:rsidRDefault="00E10C7D" w:rsidP="00413968">
            <w:pPr>
              <w:keepNext/>
              <w:ind w:left="144"/>
              <w:jc w:val="both"/>
              <w:rPr>
                <w:sz w:val="22"/>
                <w:szCs w:val="22"/>
                <w:lang w:val="sr-Latn-RS"/>
              </w:rPr>
            </w:pPr>
            <w:r w:rsidRPr="007223BC">
              <w:rPr>
                <w:sz w:val="22"/>
                <w:szCs w:val="22"/>
                <w:lang w:val="sr-Latn-RS" w:eastAsia="sr-Latn-RS"/>
              </w:rPr>
              <w:t>Promjena antiretrovirusne terapije</w:t>
            </w:r>
          </w:p>
        </w:tc>
        <w:tc>
          <w:tcPr>
            <w:tcW w:w="1982" w:type="dxa"/>
            <w:tcBorders>
              <w:top w:val="nil"/>
              <w:bottom w:val="single" w:sz="4" w:space="0" w:color="auto"/>
            </w:tcBorders>
            <w:vAlign w:val="center"/>
          </w:tcPr>
          <w:p w14:paraId="74652F57" w14:textId="77777777" w:rsidR="00E10C7D" w:rsidRPr="007223BC" w:rsidRDefault="00E10C7D" w:rsidP="00413968">
            <w:pPr>
              <w:keepNext/>
              <w:jc w:val="both"/>
              <w:rPr>
                <w:sz w:val="22"/>
                <w:szCs w:val="22"/>
                <w:lang w:val="sr-Latn-RS"/>
              </w:rPr>
            </w:pPr>
            <w:r w:rsidRPr="007223BC">
              <w:rPr>
                <w:sz w:val="22"/>
                <w:szCs w:val="22"/>
                <w:lang w:val="sr-Latn-RS"/>
              </w:rPr>
              <w:t>&lt;1%</w:t>
            </w:r>
          </w:p>
        </w:tc>
        <w:tc>
          <w:tcPr>
            <w:tcW w:w="1890" w:type="dxa"/>
            <w:tcBorders>
              <w:top w:val="nil"/>
              <w:bottom w:val="single" w:sz="4" w:space="0" w:color="auto"/>
            </w:tcBorders>
            <w:vAlign w:val="center"/>
          </w:tcPr>
          <w:p w14:paraId="68D601FB" w14:textId="77777777" w:rsidR="00E10C7D" w:rsidRPr="007223BC" w:rsidRDefault="00E10C7D" w:rsidP="00413968">
            <w:pPr>
              <w:keepNext/>
              <w:jc w:val="both"/>
              <w:rPr>
                <w:sz w:val="22"/>
                <w:szCs w:val="22"/>
                <w:lang w:val="sr-Latn-RS"/>
              </w:rPr>
            </w:pPr>
            <w:r w:rsidRPr="007223BC">
              <w:rPr>
                <w:sz w:val="22"/>
                <w:szCs w:val="22"/>
                <w:lang w:val="sr-Latn-RS"/>
              </w:rPr>
              <w:t>&lt;1%</w:t>
            </w:r>
          </w:p>
        </w:tc>
      </w:tr>
      <w:tr w:rsidR="00E10C7D" w:rsidRPr="007223BC" w14:paraId="140DEBA8" w14:textId="77777777" w:rsidTr="006F142D">
        <w:tc>
          <w:tcPr>
            <w:tcW w:w="4786" w:type="dxa"/>
            <w:tcBorders>
              <w:bottom w:val="nil"/>
            </w:tcBorders>
          </w:tcPr>
          <w:p w14:paraId="0C31C96B" w14:textId="60C573E7" w:rsidR="00E10C7D" w:rsidRPr="007223BC" w:rsidRDefault="00E10C7D" w:rsidP="00413968">
            <w:pPr>
              <w:keepNext/>
              <w:jc w:val="both"/>
              <w:rPr>
                <w:b/>
                <w:bCs/>
                <w:sz w:val="22"/>
                <w:szCs w:val="22"/>
                <w:lang w:val="sr-Latn-RS"/>
              </w:rPr>
            </w:pPr>
            <w:r w:rsidRPr="007223BC">
              <w:rPr>
                <w:b/>
                <w:sz w:val="22"/>
                <w:szCs w:val="22"/>
                <w:lang w:val="sr-Latn-RS" w:eastAsia="sr-Latn-RS"/>
              </w:rPr>
              <w:t>Nema viroloških podataka unutar 48. nedjelje</w:t>
            </w:r>
          </w:p>
        </w:tc>
        <w:tc>
          <w:tcPr>
            <w:tcW w:w="1982" w:type="dxa"/>
            <w:tcBorders>
              <w:bottom w:val="nil"/>
            </w:tcBorders>
            <w:vAlign w:val="center"/>
          </w:tcPr>
          <w:p w14:paraId="6D08C4F1" w14:textId="77777777" w:rsidR="00E10C7D" w:rsidRPr="007223BC" w:rsidRDefault="00E10C7D" w:rsidP="00413968">
            <w:pPr>
              <w:keepNext/>
              <w:jc w:val="both"/>
              <w:rPr>
                <w:sz w:val="22"/>
                <w:szCs w:val="22"/>
                <w:lang w:val="sr-Latn-RS"/>
              </w:rPr>
            </w:pPr>
            <w:r w:rsidRPr="007223BC">
              <w:rPr>
                <w:sz w:val="22"/>
                <w:szCs w:val="22"/>
                <w:lang w:val="sr-Latn-RS"/>
              </w:rPr>
              <w:t>6%</w:t>
            </w:r>
          </w:p>
        </w:tc>
        <w:tc>
          <w:tcPr>
            <w:tcW w:w="1890" w:type="dxa"/>
            <w:tcBorders>
              <w:bottom w:val="nil"/>
            </w:tcBorders>
            <w:vAlign w:val="center"/>
          </w:tcPr>
          <w:p w14:paraId="04783ECD" w14:textId="77777777" w:rsidR="00E10C7D" w:rsidRPr="007223BC" w:rsidRDefault="00E10C7D" w:rsidP="00413968">
            <w:pPr>
              <w:keepNext/>
              <w:jc w:val="both"/>
              <w:rPr>
                <w:sz w:val="22"/>
                <w:szCs w:val="22"/>
                <w:lang w:val="sr-Latn-RS"/>
              </w:rPr>
            </w:pPr>
            <w:r w:rsidRPr="007223BC">
              <w:rPr>
                <w:sz w:val="22"/>
                <w:szCs w:val="22"/>
                <w:lang w:val="sr-Latn-RS"/>
              </w:rPr>
              <w:t xml:space="preserve">5% </w:t>
            </w:r>
          </w:p>
        </w:tc>
      </w:tr>
      <w:tr w:rsidR="00E10C7D" w:rsidRPr="007223BC" w14:paraId="6F2BD008" w14:textId="77777777" w:rsidTr="006F142D">
        <w:tc>
          <w:tcPr>
            <w:tcW w:w="4786" w:type="dxa"/>
            <w:tcBorders>
              <w:top w:val="nil"/>
              <w:bottom w:val="nil"/>
            </w:tcBorders>
          </w:tcPr>
          <w:p w14:paraId="751653CF" w14:textId="77777777" w:rsidR="00E10C7D" w:rsidRPr="007223BC" w:rsidRDefault="00E10C7D" w:rsidP="00413968">
            <w:pPr>
              <w:keepNext/>
              <w:jc w:val="both"/>
              <w:rPr>
                <w:b/>
                <w:sz w:val="22"/>
                <w:szCs w:val="22"/>
                <w:u w:val="single"/>
                <w:lang w:val="sr-Latn-RS"/>
              </w:rPr>
            </w:pPr>
            <w:r w:rsidRPr="007223BC">
              <w:rPr>
                <w:sz w:val="22"/>
                <w:szCs w:val="22"/>
                <w:u w:val="single"/>
                <w:lang w:val="sr-Latn-RS" w:eastAsia="sr-Latn-RS"/>
              </w:rPr>
              <w:t>Razlozi</w:t>
            </w:r>
          </w:p>
        </w:tc>
        <w:tc>
          <w:tcPr>
            <w:tcW w:w="1982" w:type="dxa"/>
            <w:tcBorders>
              <w:top w:val="nil"/>
              <w:bottom w:val="nil"/>
            </w:tcBorders>
            <w:vAlign w:val="center"/>
          </w:tcPr>
          <w:p w14:paraId="749A2CD9" w14:textId="77777777" w:rsidR="00E10C7D" w:rsidRPr="007223BC" w:rsidRDefault="00E10C7D" w:rsidP="00413968">
            <w:pPr>
              <w:keepNext/>
              <w:jc w:val="both"/>
              <w:rPr>
                <w:sz w:val="22"/>
                <w:szCs w:val="22"/>
                <w:lang w:val="sr-Latn-RS"/>
              </w:rPr>
            </w:pPr>
          </w:p>
        </w:tc>
        <w:tc>
          <w:tcPr>
            <w:tcW w:w="1890" w:type="dxa"/>
            <w:tcBorders>
              <w:top w:val="nil"/>
              <w:bottom w:val="nil"/>
            </w:tcBorders>
            <w:vAlign w:val="center"/>
          </w:tcPr>
          <w:p w14:paraId="59B77C63" w14:textId="77777777" w:rsidR="00E10C7D" w:rsidRPr="007223BC" w:rsidRDefault="00E10C7D" w:rsidP="00413968">
            <w:pPr>
              <w:keepNext/>
              <w:jc w:val="both"/>
              <w:rPr>
                <w:sz w:val="22"/>
                <w:szCs w:val="22"/>
                <w:lang w:val="sr-Latn-RS"/>
              </w:rPr>
            </w:pPr>
          </w:p>
        </w:tc>
      </w:tr>
      <w:tr w:rsidR="00E10C7D" w:rsidRPr="007223BC" w14:paraId="29FE8961" w14:textId="77777777" w:rsidTr="006F142D">
        <w:tc>
          <w:tcPr>
            <w:tcW w:w="4786" w:type="dxa"/>
            <w:tcBorders>
              <w:top w:val="nil"/>
              <w:bottom w:val="nil"/>
            </w:tcBorders>
          </w:tcPr>
          <w:p w14:paraId="7ED8BC96" w14:textId="11FC6161" w:rsidR="00E10C7D" w:rsidRPr="007223BC" w:rsidRDefault="00E10C7D" w:rsidP="00413968">
            <w:pPr>
              <w:keepNext/>
              <w:ind w:left="180"/>
              <w:jc w:val="both"/>
              <w:rPr>
                <w:sz w:val="22"/>
                <w:szCs w:val="22"/>
                <w:lang w:val="sr-Latn-RS"/>
              </w:rPr>
            </w:pPr>
            <w:r w:rsidRPr="007223BC">
              <w:rPr>
                <w:sz w:val="22"/>
                <w:szCs w:val="22"/>
                <w:lang w:val="sr-Latn-RS"/>
              </w:rPr>
              <w:t xml:space="preserve">Prekid </w:t>
            </w:r>
            <w:r w:rsidR="0089572E">
              <w:rPr>
                <w:sz w:val="22"/>
                <w:szCs w:val="22"/>
                <w:lang w:val="sr-Latn-RS"/>
              </w:rPr>
              <w:t xml:space="preserve">učešća u </w:t>
            </w:r>
            <w:r w:rsidRPr="007223BC">
              <w:rPr>
                <w:sz w:val="22"/>
                <w:szCs w:val="22"/>
                <w:lang w:val="sr-Latn-RS"/>
              </w:rPr>
              <w:t>ispitivanj</w:t>
            </w:r>
            <w:r w:rsidR="0089572E">
              <w:rPr>
                <w:sz w:val="22"/>
                <w:szCs w:val="22"/>
                <w:lang w:val="sr-Latn-RS"/>
              </w:rPr>
              <w:t>u</w:t>
            </w:r>
            <w:r w:rsidRPr="007223BC">
              <w:rPr>
                <w:sz w:val="22"/>
                <w:szCs w:val="22"/>
                <w:lang w:val="sr-Latn-RS"/>
              </w:rPr>
              <w:t xml:space="preserve"> zbog neželjenih dejstava ili smrti </w:t>
            </w:r>
          </w:p>
        </w:tc>
        <w:tc>
          <w:tcPr>
            <w:tcW w:w="1982" w:type="dxa"/>
            <w:tcBorders>
              <w:top w:val="nil"/>
              <w:bottom w:val="nil"/>
            </w:tcBorders>
            <w:vAlign w:val="center"/>
          </w:tcPr>
          <w:p w14:paraId="5BC7C618" w14:textId="77777777" w:rsidR="00E10C7D" w:rsidRPr="007223BC" w:rsidRDefault="00E10C7D" w:rsidP="00413968">
            <w:pPr>
              <w:keepNext/>
              <w:jc w:val="both"/>
              <w:rPr>
                <w:sz w:val="22"/>
                <w:szCs w:val="22"/>
                <w:lang w:val="sr-Latn-RS"/>
              </w:rPr>
            </w:pPr>
            <w:r w:rsidRPr="007223BC">
              <w:rPr>
                <w:sz w:val="22"/>
                <w:szCs w:val="22"/>
                <w:lang w:val="sr-Latn-RS"/>
              </w:rPr>
              <w:t>1%</w:t>
            </w:r>
          </w:p>
        </w:tc>
        <w:tc>
          <w:tcPr>
            <w:tcW w:w="1890" w:type="dxa"/>
            <w:tcBorders>
              <w:top w:val="nil"/>
              <w:bottom w:val="nil"/>
            </w:tcBorders>
            <w:vAlign w:val="center"/>
          </w:tcPr>
          <w:p w14:paraId="1A076D73" w14:textId="77777777" w:rsidR="00E10C7D" w:rsidRPr="007223BC" w:rsidRDefault="00E10C7D" w:rsidP="00413968">
            <w:pPr>
              <w:keepNext/>
              <w:jc w:val="both"/>
              <w:rPr>
                <w:sz w:val="22"/>
                <w:szCs w:val="22"/>
                <w:lang w:val="sr-Latn-RS"/>
              </w:rPr>
            </w:pPr>
            <w:r w:rsidRPr="007223BC">
              <w:rPr>
                <w:sz w:val="22"/>
                <w:szCs w:val="22"/>
                <w:lang w:val="sr-Latn-RS"/>
              </w:rPr>
              <w:t>2%</w:t>
            </w:r>
          </w:p>
        </w:tc>
      </w:tr>
      <w:tr w:rsidR="00E10C7D" w:rsidRPr="007223BC" w14:paraId="7600514C" w14:textId="77777777" w:rsidTr="006F142D">
        <w:tc>
          <w:tcPr>
            <w:tcW w:w="4786" w:type="dxa"/>
            <w:tcBorders>
              <w:top w:val="nil"/>
              <w:bottom w:val="nil"/>
            </w:tcBorders>
            <w:vAlign w:val="center"/>
          </w:tcPr>
          <w:p w14:paraId="24E91559" w14:textId="1A306E67" w:rsidR="00E10C7D" w:rsidRPr="007223BC" w:rsidRDefault="00E10C7D" w:rsidP="00413968">
            <w:pPr>
              <w:keepNext/>
              <w:ind w:left="180"/>
              <w:jc w:val="both"/>
              <w:rPr>
                <w:sz w:val="22"/>
                <w:szCs w:val="22"/>
                <w:lang w:val="sr-Latn-RS"/>
              </w:rPr>
            </w:pPr>
            <w:r w:rsidRPr="007223BC">
              <w:rPr>
                <w:sz w:val="22"/>
                <w:szCs w:val="22"/>
                <w:lang w:val="sr-Latn-RS"/>
              </w:rPr>
              <w:t xml:space="preserve">Prekid </w:t>
            </w:r>
            <w:r w:rsidR="0089572E">
              <w:rPr>
                <w:sz w:val="22"/>
                <w:szCs w:val="22"/>
                <w:lang w:val="sr-Latn-RS"/>
              </w:rPr>
              <w:t xml:space="preserve">učešća u </w:t>
            </w:r>
            <w:r w:rsidR="0089572E" w:rsidRPr="007223BC">
              <w:rPr>
                <w:sz w:val="22"/>
                <w:szCs w:val="22"/>
                <w:lang w:val="sr-Latn-RS"/>
              </w:rPr>
              <w:t>ispitivanj</w:t>
            </w:r>
            <w:r w:rsidR="0089572E">
              <w:rPr>
                <w:sz w:val="22"/>
                <w:szCs w:val="22"/>
                <w:lang w:val="sr-Latn-RS"/>
              </w:rPr>
              <w:t>u</w:t>
            </w:r>
            <w:r w:rsidRPr="007223BC">
              <w:rPr>
                <w:sz w:val="22"/>
                <w:szCs w:val="22"/>
                <w:lang w:val="sr-Latn-RS"/>
              </w:rPr>
              <w:t xml:space="preserve"> zbog drugih razloga </w:t>
            </w:r>
          </w:p>
        </w:tc>
        <w:tc>
          <w:tcPr>
            <w:tcW w:w="1982" w:type="dxa"/>
            <w:tcBorders>
              <w:top w:val="nil"/>
              <w:bottom w:val="nil"/>
            </w:tcBorders>
            <w:vAlign w:val="center"/>
          </w:tcPr>
          <w:p w14:paraId="1CE4B945" w14:textId="77777777" w:rsidR="00E10C7D" w:rsidRPr="007223BC" w:rsidRDefault="00E10C7D" w:rsidP="00413968">
            <w:pPr>
              <w:keepNext/>
              <w:jc w:val="both"/>
              <w:rPr>
                <w:sz w:val="22"/>
                <w:szCs w:val="22"/>
                <w:lang w:val="sr-Latn-RS"/>
              </w:rPr>
            </w:pPr>
            <w:r w:rsidRPr="007223BC">
              <w:rPr>
                <w:sz w:val="22"/>
                <w:szCs w:val="22"/>
                <w:lang w:val="sr-Latn-RS"/>
              </w:rPr>
              <w:t>4%</w:t>
            </w:r>
          </w:p>
        </w:tc>
        <w:tc>
          <w:tcPr>
            <w:tcW w:w="1890" w:type="dxa"/>
            <w:tcBorders>
              <w:top w:val="nil"/>
              <w:bottom w:val="nil"/>
            </w:tcBorders>
            <w:vAlign w:val="center"/>
          </w:tcPr>
          <w:p w14:paraId="0DA45FEA" w14:textId="77777777" w:rsidR="00E10C7D" w:rsidRPr="007223BC" w:rsidRDefault="00E10C7D" w:rsidP="00413968">
            <w:pPr>
              <w:keepNext/>
              <w:jc w:val="both"/>
              <w:rPr>
                <w:sz w:val="22"/>
                <w:szCs w:val="22"/>
                <w:lang w:val="sr-Latn-RS"/>
              </w:rPr>
            </w:pPr>
            <w:r w:rsidRPr="007223BC">
              <w:rPr>
                <w:sz w:val="22"/>
                <w:szCs w:val="22"/>
                <w:lang w:val="sr-Latn-RS"/>
              </w:rPr>
              <w:t xml:space="preserve">3% </w:t>
            </w:r>
          </w:p>
        </w:tc>
      </w:tr>
      <w:tr w:rsidR="00E10C7D" w:rsidRPr="007223BC" w14:paraId="33662E2A" w14:textId="77777777" w:rsidTr="00EF78EC">
        <w:trPr>
          <w:trHeight w:val="533"/>
        </w:trPr>
        <w:tc>
          <w:tcPr>
            <w:tcW w:w="4786" w:type="dxa"/>
            <w:tcBorders>
              <w:top w:val="nil"/>
              <w:bottom w:val="single" w:sz="4" w:space="0" w:color="auto"/>
            </w:tcBorders>
          </w:tcPr>
          <w:p w14:paraId="053BC0C8" w14:textId="77777777" w:rsidR="00E10C7D" w:rsidRPr="007223BC" w:rsidRDefault="00E10C7D" w:rsidP="00413968">
            <w:pPr>
              <w:keepNext/>
              <w:ind w:left="180"/>
              <w:jc w:val="both"/>
              <w:rPr>
                <w:sz w:val="22"/>
                <w:szCs w:val="22"/>
                <w:lang w:val="sr-Latn-RS"/>
              </w:rPr>
            </w:pPr>
            <w:r w:rsidRPr="007223BC">
              <w:rPr>
                <w:sz w:val="22"/>
                <w:szCs w:val="22"/>
                <w:lang w:val="sr-Latn-RS" w:eastAsia="sr-Latn-RS"/>
              </w:rPr>
              <w:t>Nema podataka za posmatran period, ali pacijent učestvuje u ispitivanju</w:t>
            </w:r>
          </w:p>
        </w:tc>
        <w:tc>
          <w:tcPr>
            <w:tcW w:w="1982" w:type="dxa"/>
            <w:tcBorders>
              <w:top w:val="nil"/>
              <w:bottom w:val="single" w:sz="4" w:space="0" w:color="auto"/>
            </w:tcBorders>
            <w:vAlign w:val="center"/>
          </w:tcPr>
          <w:p w14:paraId="605F68FC" w14:textId="77777777" w:rsidR="00E10C7D" w:rsidRPr="007223BC" w:rsidRDefault="00E10C7D" w:rsidP="00413968">
            <w:pPr>
              <w:keepNext/>
              <w:jc w:val="both"/>
              <w:rPr>
                <w:sz w:val="22"/>
                <w:szCs w:val="22"/>
                <w:lang w:val="sr-Latn-RS"/>
              </w:rPr>
            </w:pPr>
            <w:r w:rsidRPr="007223BC">
              <w:rPr>
                <w:sz w:val="22"/>
                <w:szCs w:val="22"/>
                <w:lang w:val="sr-Latn-RS"/>
              </w:rPr>
              <w:t>&lt;1%</w:t>
            </w:r>
          </w:p>
        </w:tc>
        <w:tc>
          <w:tcPr>
            <w:tcW w:w="1890" w:type="dxa"/>
            <w:tcBorders>
              <w:top w:val="nil"/>
              <w:bottom w:val="single" w:sz="4" w:space="0" w:color="auto"/>
            </w:tcBorders>
            <w:vAlign w:val="center"/>
          </w:tcPr>
          <w:p w14:paraId="474B6B74" w14:textId="77777777" w:rsidR="00E10C7D" w:rsidRPr="007223BC" w:rsidRDefault="00E10C7D" w:rsidP="00413968">
            <w:pPr>
              <w:keepNext/>
              <w:jc w:val="both"/>
              <w:rPr>
                <w:sz w:val="22"/>
                <w:szCs w:val="22"/>
                <w:lang w:val="sr-Latn-RS"/>
              </w:rPr>
            </w:pPr>
            <w:r w:rsidRPr="007223BC">
              <w:rPr>
                <w:sz w:val="22"/>
                <w:szCs w:val="22"/>
                <w:lang w:val="sr-Latn-RS"/>
              </w:rPr>
              <w:t>0%</w:t>
            </w:r>
          </w:p>
        </w:tc>
      </w:tr>
      <w:tr w:rsidR="00E10C7D" w:rsidRPr="007223BC" w14:paraId="6199EEF5" w14:textId="77777777" w:rsidTr="006F142D">
        <w:trPr>
          <w:trHeight w:val="210"/>
        </w:trPr>
        <w:tc>
          <w:tcPr>
            <w:tcW w:w="8658" w:type="dxa"/>
            <w:gridSpan w:val="3"/>
            <w:tcBorders>
              <w:top w:val="single" w:sz="4" w:space="0" w:color="auto"/>
              <w:bottom w:val="nil"/>
            </w:tcBorders>
            <w:vAlign w:val="center"/>
          </w:tcPr>
          <w:p w14:paraId="7205BFBF" w14:textId="4F0826AE" w:rsidR="00E10C7D" w:rsidRPr="007223BC" w:rsidRDefault="00E10C7D" w:rsidP="00413968">
            <w:pPr>
              <w:keepNext/>
              <w:jc w:val="both"/>
              <w:rPr>
                <w:sz w:val="22"/>
                <w:szCs w:val="22"/>
                <w:lang w:val="sr-Latn-RS"/>
              </w:rPr>
            </w:pPr>
            <w:r w:rsidRPr="007223BC">
              <w:rPr>
                <w:b/>
                <w:sz w:val="22"/>
                <w:szCs w:val="22"/>
                <w:lang w:val="sr-Latn-RS"/>
              </w:rPr>
              <w:t>HIV-1 RNK &lt;50 kopija/m</w:t>
            </w:r>
            <w:r w:rsidR="00B412CB">
              <w:rPr>
                <w:b/>
                <w:sz w:val="22"/>
                <w:szCs w:val="22"/>
                <w:lang w:val="sr-Latn-RS"/>
              </w:rPr>
              <w:t>l</w:t>
            </w:r>
            <w:r w:rsidRPr="007223BC">
              <w:rPr>
                <w:b/>
                <w:sz w:val="22"/>
                <w:szCs w:val="22"/>
                <w:lang w:val="sr-Latn-RS"/>
              </w:rPr>
              <w:t xml:space="preserve"> </w:t>
            </w:r>
            <w:r w:rsidRPr="007223BC">
              <w:rPr>
                <w:b/>
                <w:sz w:val="22"/>
                <w:szCs w:val="22"/>
                <w:lang w:val="sr-Latn-RS" w:eastAsia="sr-Latn-RS"/>
              </w:rPr>
              <w:t>prema početnim kovarijatama</w:t>
            </w:r>
          </w:p>
        </w:tc>
      </w:tr>
      <w:tr w:rsidR="00E10C7D" w:rsidRPr="007223BC" w14:paraId="472B1280" w14:textId="77777777" w:rsidTr="006F142D">
        <w:trPr>
          <w:trHeight w:val="210"/>
        </w:trPr>
        <w:tc>
          <w:tcPr>
            <w:tcW w:w="4786" w:type="dxa"/>
            <w:tcBorders>
              <w:top w:val="nil"/>
              <w:bottom w:val="single" w:sz="4" w:space="0" w:color="auto"/>
            </w:tcBorders>
            <w:vAlign w:val="center"/>
          </w:tcPr>
          <w:p w14:paraId="69710E7C" w14:textId="77777777" w:rsidR="00E10C7D" w:rsidRPr="007223BC" w:rsidRDefault="00E10C7D" w:rsidP="00413968">
            <w:pPr>
              <w:keepNext/>
              <w:jc w:val="both"/>
              <w:rPr>
                <w:b/>
                <w:sz w:val="22"/>
                <w:szCs w:val="22"/>
                <w:lang w:val="sr-Latn-RS"/>
              </w:rPr>
            </w:pPr>
          </w:p>
        </w:tc>
        <w:tc>
          <w:tcPr>
            <w:tcW w:w="1982" w:type="dxa"/>
            <w:tcBorders>
              <w:top w:val="nil"/>
              <w:bottom w:val="single" w:sz="4" w:space="0" w:color="auto"/>
            </w:tcBorders>
            <w:vAlign w:val="center"/>
          </w:tcPr>
          <w:p w14:paraId="314590F3" w14:textId="77777777" w:rsidR="00E10C7D" w:rsidRPr="007223BC" w:rsidRDefault="00E10C7D" w:rsidP="00413968">
            <w:pPr>
              <w:keepNext/>
              <w:jc w:val="both"/>
              <w:rPr>
                <w:sz w:val="22"/>
                <w:szCs w:val="22"/>
                <w:lang w:val="sr-Latn-RS"/>
              </w:rPr>
            </w:pPr>
            <w:r w:rsidRPr="007223BC">
              <w:rPr>
                <w:sz w:val="22"/>
                <w:szCs w:val="22"/>
                <w:lang w:val="sr-Latn-RS"/>
              </w:rPr>
              <w:t>n/N (%)</w:t>
            </w:r>
          </w:p>
        </w:tc>
        <w:tc>
          <w:tcPr>
            <w:tcW w:w="1890" w:type="dxa"/>
            <w:tcBorders>
              <w:top w:val="nil"/>
              <w:bottom w:val="single" w:sz="4" w:space="0" w:color="auto"/>
            </w:tcBorders>
            <w:vAlign w:val="center"/>
          </w:tcPr>
          <w:p w14:paraId="54D69550" w14:textId="77777777" w:rsidR="00E10C7D" w:rsidRPr="007223BC" w:rsidRDefault="00E10C7D" w:rsidP="00413968">
            <w:pPr>
              <w:keepNext/>
              <w:jc w:val="both"/>
              <w:rPr>
                <w:sz w:val="22"/>
                <w:szCs w:val="22"/>
                <w:lang w:val="sr-Latn-RS"/>
              </w:rPr>
            </w:pPr>
            <w:r w:rsidRPr="007223BC">
              <w:rPr>
                <w:sz w:val="22"/>
                <w:szCs w:val="22"/>
                <w:lang w:val="sr-Latn-RS"/>
              </w:rPr>
              <w:t>n/N (%)</w:t>
            </w:r>
          </w:p>
        </w:tc>
      </w:tr>
      <w:tr w:rsidR="00E10C7D" w:rsidRPr="007223BC" w14:paraId="153A64A4" w14:textId="77777777" w:rsidTr="006F142D">
        <w:trPr>
          <w:trHeight w:val="210"/>
        </w:trPr>
        <w:tc>
          <w:tcPr>
            <w:tcW w:w="4786" w:type="dxa"/>
            <w:tcBorders>
              <w:top w:val="nil"/>
              <w:bottom w:val="single" w:sz="4" w:space="0" w:color="auto"/>
            </w:tcBorders>
            <w:vAlign w:val="center"/>
          </w:tcPr>
          <w:p w14:paraId="5A719CAE" w14:textId="06C0C312" w:rsidR="00E10C7D" w:rsidRPr="007223BC" w:rsidRDefault="00E10C7D" w:rsidP="00413968">
            <w:pPr>
              <w:keepNext/>
              <w:jc w:val="both"/>
              <w:rPr>
                <w:b/>
                <w:sz w:val="22"/>
                <w:szCs w:val="22"/>
                <w:lang w:val="sr-Latn-RS"/>
              </w:rPr>
            </w:pPr>
            <w:r w:rsidRPr="007223BC">
              <w:rPr>
                <w:sz w:val="22"/>
                <w:szCs w:val="22"/>
                <w:lang w:val="sr-Latn-RS" w:eastAsia="sr-Latn-RS"/>
              </w:rPr>
              <w:t>Virusno opterećenje u plazmi na početku</w:t>
            </w:r>
            <w:r w:rsidRPr="007223BC">
              <w:rPr>
                <w:sz w:val="22"/>
                <w:szCs w:val="22"/>
                <w:lang w:val="sr-Latn-RS"/>
              </w:rPr>
              <w:t xml:space="preserve"> liječenja</w:t>
            </w:r>
            <w:r w:rsidRPr="007223BC">
              <w:rPr>
                <w:b/>
                <w:sz w:val="22"/>
                <w:szCs w:val="22"/>
                <w:lang w:val="sr-Latn-RS"/>
              </w:rPr>
              <w:t xml:space="preserve"> (kopije/m</w:t>
            </w:r>
            <w:r w:rsidR="00B412CB">
              <w:rPr>
                <w:b/>
                <w:sz w:val="22"/>
                <w:szCs w:val="22"/>
                <w:lang w:val="sr-Latn-RS"/>
              </w:rPr>
              <w:t>l</w:t>
            </w:r>
            <w:r w:rsidRPr="007223BC">
              <w:rPr>
                <w:b/>
                <w:sz w:val="22"/>
                <w:szCs w:val="22"/>
                <w:lang w:val="sr-Latn-RS"/>
              </w:rPr>
              <w:t>)</w:t>
            </w:r>
          </w:p>
          <w:p w14:paraId="5394936E" w14:textId="77777777" w:rsidR="00E10C7D" w:rsidRPr="007223BC" w:rsidRDefault="00E10C7D" w:rsidP="00413968">
            <w:pPr>
              <w:keepNext/>
              <w:jc w:val="both"/>
              <w:rPr>
                <w:sz w:val="22"/>
                <w:szCs w:val="22"/>
                <w:lang w:val="sr-Latn-RS"/>
              </w:rPr>
            </w:pPr>
            <w:r w:rsidRPr="007223BC">
              <w:rPr>
                <w:sz w:val="22"/>
                <w:szCs w:val="22"/>
                <w:lang w:val="sr-Latn-RS"/>
              </w:rPr>
              <w:t>≤100 000</w:t>
            </w:r>
          </w:p>
          <w:p w14:paraId="05E8C319" w14:textId="77777777" w:rsidR="00E10C7D" w:rsidRPr="007223BC" w:rsidRDefault="00E10C7D" w:rsidP="00413968">
            <w:pPr>
              <w:keepNext/>
              <w:jc w:val="both"/>
              <w:rPr>
                <w:sz w:val="22"/>
                <w:szCs w:val="22"/>
                <w:lang w:val="sr-Latn-RS"/>
              </w:rPr>
            </w:pPr>
            <w:r w:rsidRPr="007223BC">
              <w:rPr>
                <w:sz w:val="22"/>
                <w:szCs w:val="22"/>
                <w:lang w:val="sr-Latn-RS"/>
              </w:rPr>
              <w:t>&gt;100 000</w:t>
            </w:r>
          </w:p>
        </w:tc>
        <w:tc>
          <w:tcPr>
            <w:tcW w:w="1982" w:type="dxa"/>
            <w:tcBorders>
              <w:top w:val="nil"/>
              <w:bottom w:val="single" w:sz="4" w:space="0" w:color="auto"/>
            </w:tcBorders>
            <w:vAlign w:val="center"/>
          </w:tcPr>
          <w:p w14:paraId="4D914B48" w14:textId="77777777" w:rsidR="00E10C7D" w:rsidRPr="007223BC" w:rsidRDefault="00E10C7D" w:rsidP="00413968">
            <w:pPr>
              <w:keepNext/>
              <w:jc w:val="both"/>
              <w:rPr>
                <w:sz w:val="22"/>
                <w:szCs w:val="22"/>
                <w:lang w:val="sr-Latn-RS"/>
              </w:rPr>
            </w:pPr>
            <w:r w:rsidRPr="007223BC">
              <w:rPr>
                <w:sz w:val="22"/>
                <w:szCs w:val="22"/>
                <w:lang w:val="sr-Latn-RS"/>
              </w:rPr>
              <w:br/>
              <w:t>526 / 576 (91%)</w:t>
            </w:r>
            <w:r w:rsidRPr="007223BC">
              <w:rPr>
                <w:sz w:val="22"/>
                <w:szCs w:val="22"/>
                <w:lang w:val="sr-Latn-RS"/>
              </w:rPr>
              <w:br/>
              <w:t>129 / 140 (92%)</w:t>
            </w:r>
          </w:p>
        </w:tc>
        <w:tc>
          <w:tcPr>
            <w:tcW w:w="1890" w:type="dxa"/>
            <w:tcBorders>
              <w:top w:val="nil"/>
              <w:bottom w:val="single" w:sz="4" w:space="0" w:color="auto"/>
            </w:tcBorders>
            <w:vAlign w:val="center"/>
          </w:tcPr>
          <w:p w14:paraId="5A01E1A5" w14:textId="77777777" w:rsidR="00E10C7D" w:rsidRPr="007223BC" w:rsidRDefault="00E10C7D" w:rsidP="00413968">
            <w:pPr>
              <w:keepNext/>
              <w:jc w:val="both"/>
              <w:rPr>
                <w:sz w:val="22"/>
                <w:szCs w:val="22"/>
                <w:lang w:val="sr-Latn-RS"/>
              </w:rPr>
            </w:pPr>
            <w:r w:rsidRPr="007223BC">
              <w:rPr>
                <w:sz w:val="22"/>
                <w:szCs w:val="22"/>
                <w:lang w:val="sr-Latn-RS"/>
              </w:rPr>
              <w:br/>
              <w:t>531 / 564 (94%)</w:t>
            </w:r>
            <w:r w:rsidRPr="007223BC">
              <w:rPr>
                <w:sz w:val="22"/>
                <w:szCs w:val="22"/>
                <w:lang w:val="sr-Latn-RS"/>
              </w:rPr>
              <w:br/>
              <w:t>138 / 153 (90%)</w:t>
            </w:r>
          </w:p>
        </w:tc>
      </w:tr>
      <w:tr w:rsidR="00E10C7D" w:rsidRPr="00413968" w14:paraId="04F56A82" w14:textId="77777777" w:rsidTr="006F142D">
        <w:trPr>
          <w:trHeight w:val="210"/>
        </w:trPr>
        <w:tc>
          <w:tcPr>
            <w:tcW w:w="4786" w:type="dxa"/>
            <w:tcBorders>
              <w:top w:val="single" w:sz="4" w:space="0" w:color="auto"/>
              <w:bottom w:val="nil"/>
            </w:tcBorders>
            <w:vAlign w:val="center"/>
          </w:tcPr>
          <w:p w14:paraId="7C33980E" w14:textId="77777777" w:rsidR="00E10C7D" w:rsidRPr="007223BC" w:rsidRDefault="00E10C7D" w:rsidP="00413968">
            <w:pPr>
              <w:keepNext/>
              <w:jc w:val="both"/>
              <w:rPr>
                <w:b/>
                <w:sz w:val="22"/>
                <w:szCs w:val="22"/>
                <w:lang w:val="sr-Latn-RS"/>
              </w:rPr>
            </w:pPr>
            <w:r w:rsidRPr="007223BC">
              <w:rPr>
                <w:b/>
                <w:sz w:val="22"/>
                <w:szCs w:val="22"/>
                <w:lang w:val="sr-Latn-RS"/>
              </w:rPr>
              <w:t>CD4+ na početku liječenja (ćelij</w:t>
            </w:r>
            <w:r w:rsidR="006B22BF" w:rsidRPr="007223BC">
              <w:rPr>
                <w:b/>
                <w:sz w:val="22"/>
                <w:szCs w:val="22"/>
                <w:lang w:val="sr-Latn-RS"/>
              </w:rPr>
              <w:t>a</w:t>
            </w:r>
            <w:r w:rsidRPr="007223BC">
              <w:rPr>
                <w:b/>
                <w:sz w:val="22"/>
                <w:szCs w:val="22"/>
                <w:lang w:val="sr-Latn-RS"/>
              </w:rPr>
              <w:t>/ mm</w:t>
            </w:r>
            <w:r w:rsidRPr="007223BC">
              <w:rPr>
                <w:b/>
                <w:sz w:val="22"/>
                <w:szCs w:val="22"/>
                <w:vertAlign w:val="superscript"/>
                <w:lang w:val="sr-Latn-RS"/>
              </w:rPr>
              <w:t>3</w:t>
            </w:r>
            <w:r w:rsidRPr="007223BC">
              <w:rPr>
                <w:b/>
                <w:sz w:val="22"/>
                <w:szCs w:val="22"/>
                <w:lang w:val="sr-Latn-RS"/>
              </w:rPr>
              <w:t>)</w:t>
            </w:r>
          </w:p>
        </w:tc>
        <w:tc>
          <w:tcPr>
            <w:tcW w:w="1982" w:type="dxa"/>
            <w:tcBorders>
              <w:top w:val="single" w:sz="4" w:space="0" w:color="auto"/>
              <w:bottom w:val="nil"/>
            </w:tcBorders>
            <w:vAlign w:val="center"/>
          </w:tcPr>
          <w:p w14:paraId="625D3EEE" w14:textId="77777777" w:rsidR="00E10C7D" w:rsidRPr="007223BC" w:rsidRDefault="00E10C7D" w:rsidP="00413968">
            <w:pPr>
              <w:keepNext/>
              <w:jc w:val="both"/>
              <w:rPr>
                <w:sz w:val="22"/>
                <w:szCs w:val="22"/>
                <w:lang w:val="sr-Latn-RS"/>
              </w:rPr>
            </w:pPr>
          </w:p>
        </w:tc>
        <w:tc>
          <w:tcPr>
            <w:tcW w:w="1890" w:type="dxa"/>
            <w:tcBorders>
              <w:top w:val="single" w:sz="4" w:space="0" w:color="auto"/>
              <w:bottom w:val="nil"/>
            </w:tcBorders>
            <w:vAlign w:val="center"/>
          </w:tcPr>
          <w:p w14:paraId="2E441564" w14:textId="77777777" w:rsidR="00E10C7D" w:rsidRPr="007223BC" w:rsidRDefault="00E10C7D" w:rsidP="00413968">
            <w:pPr>
              <w:keepNext/>
              <w:jc w:val="both"/>
              <w:rPr>
                <w:sz w:val="22"/>
                <w:szCs w:val="22"/>
                <w:lang w:val="sr-Latn-RS"/>
              </w:rPr>
            </w:pPr>
          </w:p>
        </w:tc>
      </w:tr>
      <w:tr w:rsidR="00E10C7D" w:rsidRPr="007223BC" w14:paraId="125EB872" w14:textId="77777777" w:rsidTr="006F142D">
        <w:trPr>
          <w:trHeight w:val="210"/>
        </w:trPr>
        <w:tc>
          <w:tcPr>
            <w:tcW w:w="4786" w:type="dxa"/>
            <w:tcBorders>
              <w:top w:val="nil"/>
              <w:left w:val="single" w:sz="4" w:space="0" w:color="auto"/>
              <w:bottom w:val="nil"/>
              <w:right w:val="single" w:sz="4" w:space="0" w:color="auto"/>
            </w:tcBorders>
            <w:vAlign w:val="center"/>
          </w:tcPr>
          <w:p w14:paraId="5603B426" w14:textId="77777777" w:rsidR="00E10C7D" w:rsidRPr="007223BC" w:rsidRDefault="00E10C7D" w:rsidP="00413968">
            <w:pPr>
              <w:keepNext/>
              <w:jc w:val="both"/>
              <w:rPr>
                <w:sz w:val="22"/>
                <w:szCs w:val="22"/>
                <w:lang w:val="sr-Latn-RS"/>
              </w:rPr>
            </w:pPr>
            <w:r w:rsidRPr="007223BC">
              <w:rPr>
                <w:sz w:val="22"/>
                <w:szCs w:val="22"/>
                <w:lang w:val="sr-Latn-RS"/>
              </w:rPr>
              <w:t xml:space="preserve">≤200 </w:t>
            </w:r>
          </w:p>
        </w:tc>
        <w:tc>
          <w:tcPr>
            <w:tcW w:w="1982" w:type="dxa"/>
            <w:tcBorders>
              <w:top w:val="nil"/>
              <w:left w:val="single" w:sz="4" w:space="0" w:color="auto"/>
              <w:bottom w:val="nil"/>
              <w:right w:val="single" w:sz="4" w:space="0" w:color="auto"/>
            </w:tcBorders>
            <w:vAlign w:val="center"/>
          </w:tcPr>
          <w:p w14:paraId="6722F51D" w14:textId="77777777" w:rsidR="00E10C7D" w:rsidRPr="007223BC" w:rsidRDefault="00E10C7D" w:rsidP="00413968">
            <w:pPr>
              <w:keepNext/>
              <w:jc w:val="both"/>
              <w:rPr>
                <w:sz w:val="22"/>
                <w:szCs w:val="22"/>
                <w:lang w:val="sr-Latn-RS"/>
              </w:rPr>
            </w:pPr>
            <w:r w:rsidRPr="007223BC">
              <w:rPr>
                <w:sz w:val="22"/>
                <w:szCs w:val="22"/>
                <w:lang w:val="sr-Latn-RS"/>
              </w:rPr>
              <w:t>50 / 63 (79%)</w:t>
            </w:r>
          </w:p>
        </w:tc>
        <w:tc>
          <w:tcPr>
            <w:tcW w:w="1890" w:type="dxa"/>
            <w:tcBorders>
              <w:top w:val="nil"/>
              <w:left w:val="single" w:sz="4" w:space="0" w:color="auto"/>
              <w:bottom w:val="nil"/>
              <w:right w:val="single" w:sz="4" w:space="0" w:color="auto"/>
            </w:tcBorders>
            <w:vAlign w:val="center"/>
          </w:tcPr>
          <w:p w14:paraId="4322352C" w14:textId="77777777" w:rsidR="00E10C7D" w:rsidRPr="007223BC" w:rsidRDefault="00E10C7D" w:rsidP="00413968">
            <w:pPr>
              <w:keepNext/>
              <w:jc w:val="both"/>
              <w:rPr>
                <w:sz w:val="22"/>
                <w:szCs w:val="22"/>
                <w:lang w:val="sr-Latn-RS"/>
              </w:rPr>
            </w:pPr>
            <w:r w:rsidRPr="007223BC">
              <w:rPr>
                <w:sz w:val="22"/>
                <w:szCs w:val="22"/>
                <w:lang w:val="sr-Latn-RS"/>
              </w:rPr>
              <w:t>51 / 55 (93%)</w:t>
            </w:r>
          </w:p>
        </w:tc>
      </w:tr>
      <w:tr w:rsidR="00E10C7D" w:rsidRPr="007223BC" w14:paraId="36964AA3" w14:textId="77777777" w:rsidTr="006F142D">
        <w:trPr>
          <w:trHeight w:val="210"/>
        </w:trPr>
        <w:tc>
          <w:tcPr>
            <w:tcW w:w="4786" w:type="dxa"/>
            <w:tcBorders>
              <w:top w:val="nil"/>
              <w:left w:val="single" w:sz="4" w:space="0" w:color="auto"/>
              <w:bottom w:val="single" w:sz="4" w:space="0" w:color="auto"/>
              <w:right w:val="single" w:sz="4" w:space="0" w:color="auto"/>
            </w:tcBorders>
            <w:vAlign w:val="center"/>
          </w:tcPr>
          <w:p w14:paraId="56D6B0A0" w14:textId="77777777" w:rsidR="00E10C7D" w:rsidRPr="007223BC" w:rsidRDefault="00E10C7D" w:rsidP="00413968">
            <w:pPr>
              <w:keepNext/>
              <w:jc w:val="both"/>
              <w:rPr>
                <w:sz w:val="22"/>
                <w:szCs w:val="22"/>
                <w:lang w:val="sr-Latn-RS"/>
              </w:rPr>
            </w:pPr>
            <w:r w:rsidRPr="007223BC" w:rsidDel="0005460E">
              <w:rPr>
                <w:sz w:val="22"/>
                <w:szCs w:val="22"/>
                <w:lang w:val="sr-Latn-RS"/>
              </w:rPr>
              <w:t xml:space="preserve"> </w:t>
            </w:r>
            <w:r w:rsidRPr="007223BC">
              <w:rPr>
                <w:sz w:val="22"/>
                <w:szCs w:val="22"/>
                <w:lang w:val="sr-Latn-RS"/>
              </w:rPr>
              <w:t>&gt;200</w:t>
            </w:r>
          </w:p>
        </w:tc>
        <w:tc>
          <w:tcPr>
            <w:tcW w:w="1982" w:type="dxa"/>
            <w:tcBorders>
              <w:top w:val="nil"/>
              <w:left w:val="single" w:sz="4" w:space="0" w:color="auto"/>
              <w:bottom w:val="single" w:sz="4" w:space="0" w:color="auto"/>
              <w:right w:val="single" w:sz="4" w:space="0" w:color="auto"/>
            </w:tcBorders>
            <w:vAlign w:val="center"/>
          </w:tcPr>
          <w:p w14:paraId="0542C158" w14:textId="77777777" w:rsidR="00E10C7D" w:rsidRPr="007223BC" w:rsidRDefault="00E10C7D" w:rsidP="00413968">
            <w:pPr>
              <w:keepNext/>
              <w:jc w:val="both"/>
              <w:rPr>
                <w:sz w:val="22"/>
                <w:szCs w:val="22"/>
                <w:lang w:val="sr-Latn-RS"/>
              </w:rPr>
            </w:pPr>
            <w:r w:rsidRPr="007223BC">
              <w:rPr>
                <w:sz w:val="22"/>
                <w:szCs w:val="22"/>
                <w:lang w:val="sr-Latn-RS"/>
              </w:rPr>
              <w:t>605 / 653 (93%)</w:t>
            </w:r>
          </w:p>
        </w:tc>
        <w:tc>
          <w:tcPr>
            <w:tcW w:w="1890" w:type="dxa"/>
            <w:tcBorders>
              <w:top w:val="nil"/>
              <w:left w:val="single" w:sz="4" w:space="0" w:color="auto"/>
              <w:bottom w:val="single" w:sz="4" w:space="0" w:color="auto"/>
              <w:right w:val="single" w:sz="4" w:space="0" w:color="auto"/>
            </w:tcBorders>
            <w:vAlign w:val="center"/>
          </w:tcPr>
          <w:p w14:paraId="6D0010ED" w14:textId="77777777" w:rsidR="00E10C7D" w:rsidRPr="007223BC" w:rsidRDefault="00E10C7D" w:rsidP="00413968">
            <w:pPr>
              <w:keepNext/>
              <w:jc w:val="both"/>
              <w:rPr>
                <w:sz w:val="22"/>
                <w:szCs w:val="22"/>
                <w:lang w:val="sr-Latn-RS"/>
              </w:rPr>
            </w:pPr>
            <w:r w:rsidRPr="007223BC">
              <w:rPr>
                <w:sz w:val="22"/>
                <w:szCs w:val="22"/>
                <w:lang w:val="sr-Latn-RS"/>
              </w:rPr>
              <w:t>618 / 662 (93%)</w:t>
            </w:r>
          </w:p>
        </w:tc>
      </w:tr>
      <w:tr w:rsidR="00C1719F" w:rsidRPr="007223BC" w14:paraId="0E6490BA" w14:textId="77777777" w:rsidTr="006F142D">
        <w:trPr>
          <w:trHeight w:val="210"/>
        </w:trPr>
        <w:tc>
          <w:tcPr>
            <w:tcW w:w="4786" w:type="dxa"/>
            <w:tcBorders>
              <w:top w:val="single" w:sz="4" w:space="0" w:color="auto"/>
              <w:bottom w:val="nil"/>
            </w:tcBorders>
            <w:vAlign w:val="center"/>
          </w:tcPr>
          <w:p w14:paraId="3EBA107A" w14:textId="77777777" w:rsidR="00C1719F" w:rsidRPr="007223BC" w:rsidRDefault="00C1719F" w:rsidP="00413968">
            <w:pPr>
              <w:keepNext/>
              <w:jc w:val="both"/>
              <w:rPr>
                <w:b/>
                <w:sz w:val="22"/>
                <w:szCs w:val="22"/>
                <w:lang w:val="sr-Latn-RS"/>
              </w:rPr>
            </w:pPr>
            <w:r w:rsidRPr="007223BC">
              <w:rPr>
                <w:b/>
                <w:sz w:val="22"/>
                <w:szCs w:val="22"/>
                <w:lang w:val="sr-Latn-RS"/>
              </w:rPr>
              <w:t>HIV-1 podtip</w:t>
            </w:r>
          </w:p>
          <w:p w14:paraId="0316FA2E" w14:textId="77777777" w:rsidR="00C1719F" w:rsidRPr="007223BC" w:rsidRDefault="00C1719F" w:rsidP="00413968">
            <w:pPr>
              <w:keepNext/>
              <w:jc w:val="both"/>
              <w:rPr>
                <w:sz w:val="22"/>
                <w:szCs w:val="22"/>
                <w:lang w:val="sr-Latn-RS"/>
              </w:rPr>
            </w:pPr>
            <w:r w:rsidRPr="007223BC">
              <w:rPr>
                <w:sz w:val="22"/>
                <w:szCs w:val="22"/>
                <w:lang w:val="sr-Latn-RS"/>
              </w:rPr>
              <w:t>B</w:t>
            </w:r>
          </w:p>
          <w:p w14:paraId="238872BB" w14:textId="77777777" w:rsidR="00C1719F" w:rsidRPr="007223BC" w:rsidRDefault="00C1719F" w:rsidP="00413968">
            <w:pPr>
              <w:keepNext/>
              <w:jc w:val="both"/>
              <w:rPr>
                <w:sz w:val="22"/>
                <w:szCs w:val="22"/>
                <w:lang w:val="sr-Latn-RS"/>
              </w:rPr>
            </w:pPr>
            <w:r w:rsidRPr="007223BC">
              <w:rPr>
                <w:sz w:val="22"/>
                <w:szCs w:val="22"/>
                <w:lang w:val="sr-Latn-RS"/>
              </w:rPr>
              <w:t>A</w:t>
            </w:r>
          </w:p>
          <w:p w14:paraId="44A6365E" w14:textId="77777777" w:rsidR="00C1719F" w:rsidRPr="007223BC" w:rsidRDefault="00C1719F" w:rsidP="00413968">
            <w:pPr>
              <w:keepNext/>
              <w:jc w:val="both"/>
              <w:rPr>
                <w:b/>
                <w:sz w:val="22"/>
                <w:szCs w:val="22"/>
                <w:lang w:val="sr-Latn-RS"/>
              </w:rPr>
            </w:pPr>
            <w:r w:rsidRPr="007223BC">
              <w:rPr>
                <w:sz w:val="22"/>
                <w:szCs w:val="22"/>
                <w:lang w:val="sr-Latn-RS"/>
              </w:rPr>
              <w:t>Ostali</w:t>
            </w:r>
          </w:p>
        </w:tc>
        <w:tc>
          <w:tcPr>
            <w:tcW w:w="1982" w:type="dxa"/>
            <w:tcBorders>
              <w:top w:val="single" w:sz="4" w:space="0" w:color="auto"/>
              <w:bottom w:val="nil"/>
            </w:tcBorders>
            <w:vAlign w:val="center"/>
          </w:tcPr>
          <w:p w14:paraId="37809B1A" w14:textId="77777777" w:rsidR="00C1719F" w:rsidRPr="007223BC" w:rsidRDefault="00C1719F" w:rsidP="00413968">
            <w:pPr>
              <w:keepNext/>
              <w:jc w:val="both"/>
              <w:rPr>
                <w:sz w:val="22"/>
                <w:szCs w:val="22"/>
              </w:rPr>
            </w:pPr>
            <w:r w:rsidRPr="007223BC">
              <w:rPr>
                <w:sz w:val="22"/>
                <w:szCs w:val="22"/>
              </w:rPr>
              <w:t>424 / 467 (91%)</w:t>
            </w:r>
          </w:p>
          <w:p w14:paraId="5BCAFDF3" w14:textId="77777777" w:rsidR="00C1719F" w:rsidRPr="007223BC" w:rsidRDefault="00C1719F" w:rsidP="00413968">
            <w:pPr>
              <w:keepNext/>
              <w:jc w:val="both"/>
              <w:rPr>
                <w:sz w:val="22"/>
                <w:szCs w:val="22"/>
              </w:rPr>
            </w:pPr>
            <w:r w:rsidRPr="007223BC">
              <w:rPr>
                <w:sz w:val="22"/>
                <w:szCs w:val="22"/>
              </w:rPr>
              <w:t>84 / 86 (98%)</w:t>
            </w:r>
          </w:p>
          <w:p w14:paraId="157D3463" w14:textId="77777777" w:rsidR="00C1719F" w:rsidRPr="007223BC" w:rsidRDefault="00C1719F" w:rsidP="00413968">
            <w:pPr>
              <w:keepNext/>
              <w:jc w:val="both"/>
              <w:rPr>
                <w:sz w:val="22"/>
                <w:szCs w:val="22"/>
                <w:lang w:val="sr-Latn-RS"/>
              </w:rPr>
            </w:pPr>
            <w:r w:rsidRPr="007223BC">
              <w:rPr>
                <w:sz w:val="22"/>
                <w:szCs w:val="22"/>
              </w:rPr>
              <w:t>147 / 163 (90%)</w:t>
            </w:r>
          </w:p>
        </w:tc>
        <w:tc>
          <w:tcPr>
            <w:tcW w:w="1890" w:type="dxa"/>
            <w:tcBorders>
              <w:top w:val="single" w:sz="4" w:space="0" w:color="auto"/>
              <w:bottom w:val="nil"/>
            </w:tcBorders>
            <w:vAlign w:val="center"/>
          </w:tcPr>
          <w:p w14:paraId="7F4F7D06" w14:textId="77777777" w:rsidR="00C1719F" w:rsidRPr="007223BC" w:rsidRDefault="00C1719F" w:rsidP="00413968">
            <w:pPr>
              <w:keepNext/>
              <w:jc w:val="both"/>
              <w:rPr>
                <w:sz w:val="22"/>
                <w:szCs w:val="22"/>
              </w:rPr>
            </w:pPr>
            <w:r w:rsidRPr="007223BC">
              <w:rPr>
                <w:sz w:val="22"/>
                <w:szCs w:val="22"/>
              </w:rPr>
              <w:t>452 / 488 (93%)</w:t>
            </w:r>
          </w:p>
          <w:p w14:paraId="277C3ED3" w14:textId="77777777" w:rsidR="00C1719F" w:rsidRPr="007223BC" w:rsidRDefault="00C1719F" w:rsidP="00413968">
            <w:pPr>
              <w:keepNext/>
              <w:jc w:val="both"/>
              <w:rPr>
                <w:sz w:val="22"/>
                <w:szCs w:val="22"/>
              </w:rPr>
            </w:pPr>
            <w:r w:rsidRPr="007223BC">
              <w:rPr>
                <w:sz w:val="22"/>
                <w:szCs w:val="22"/>
              </w:rPr>
              <w:t>74 / 78 (95%)</w:t>
            </w:r>
          </w:p>
          <w:p w14:paraId="6482F101" w14:textId="77777777" w:rsidR="00C1719F" w:rsidRPr="007223BC" w:rsidRDefault="00C1719F" w:rsidP="00413968">
            <w:pPr>
              <w:keepNext/>
              <w:jc w:val="both"/>
              <w:rPr>
                <w:sz w:val="22"/>
                <w:szCs w:val="22"/>
                <w:lang w:val="sr-Latn-RS"/>
              </w:rPr>
            </w:pPr>
            <w:r w:rsidRPr="007223BC">
              <w:rPr>
                <w:sz w:val="22"/>
                <w:szCs w:val="22"/>
              </w:rPr>
              <w:t>143 / 151 (95%)</w:t>
            </w:r>
          </w:p>
        </w:tc>
      </w:tr>
      <w:tr w:rsidR="00E10C7D" w:rsidRPr="007223BC" w14:paraId="2D430C92" w14:textId="77777777" w:rsidTr="006F142D">
        <w:trPr>
          <w:trHeight w:val="210"/>
        </w:trPr>
        <w:tc>
          <w:tcPr>
            <w:tcW w:w="4786" w:type="dxa"/>
            <w:tcBorders>
              <w:top w:val="single" w:sz="4" w:space="0" w:color="auto"/>
              <w:bottom w:val="nil"/>
            </w:tcBorders>
            <w:vAlign w:val="center"/>
          </w:tcPr>
          <w:p w14:paraId="4310EF7C" w14:textId="77777777" w:rsidR="00E10C7D" w:rsidRPr="007223BC" w:rsidRDefault="00E10C7D" w:rsidP="00413968">
            <w:pPr>
              <w:keepNext/>
              <w:jc w:val="both"/>
              <w:rPr>
                <w:b/>
                <w:sz w:val="22"/>
                <w:szCs w:val="22"/>
                <w:lang w:val="sr-Latn-RS"/>
              </w:rPr>
            </w:pPr>
            <w:r w:rsidRPr="007223BC">
              <w:rPr>
                <w:b/>
                <w:sz w:val="22"/>
                <w:szCs w:val="22"/>
                <w:lang w:val="sr-Latn-RS"/>
              </w:rPr>
              <w:t>Pol</w:t>
            </w:r>
          </w:p>
        </w:tc>
        <w:tc>
          <w:tcPr>
            <w:tcW w:w="1982" w:type="dxa"/>
            <w:tcBorders>
              <w:top w:val="single" w:sz="4" w:space="0" w:color="auto"/>
              <w:bottom w:val="nil"/>
            </w:tcBorders>
            <w:vAlign w:val="center"/>
          </w:tcPr>
          <w:p w14:paraId="7BC03F8F" w14:textId="77777777" w:rsidR="00E10C7D" w:rsidRPr="007223BC" w:rsidRDefault="00E10C7D" w:rsidP="00413968">
            <w:pPr>
              <w:keepNext/>
              <w:jc w:val="both"/>
              <w:rPr>
                <w:sz w:val="22"/>
                <w:szCs w:val="22"/>
                <w:lang w:val="sr-Latn-RS"/>
              </w:rPr>
            </w:pPr>
          </w:p>
        </w:tc>
        <w:tc>
          <w:tcPr>
            <w:tcW w:w="1890" w:type="dxa"/>
            <w:tcBorders>
              <w:top w:val="single" w:sz="4" w:space="0" w:color="auto"/>
              <w:bottom w:val="nil"/>
            </w:tcBorders>
            <w:vAlign w:val="center"/>
          </w:tcPr>
          <w:p w14:paraId="19535726" w14:textId="77777777" w:rsidR="00E10C7D" w:rsidRPr="007223BC" w:rsidRDefault="00E10C7D" w:rsidP="00413968">
            <w:pPr>
              <w:keepNext/>
              <w:jc w:val="both"/>
              <w:rPr>
                <w:sz w:val="22"/>
                <w:szCs w:val="22"/>
                <w:lang w:val="sr-Latn-RS"/>
              </w:rPr>
            </w:pPr>
          </w:p>
        </w:tc>
      </w:tr>
      <w:tr w:rsidR="00E10C7D" w:rsidRPr="007223BC" w14:paraId="352E885D" w14:textId="77777777" w:rsidTr="006F142D">
        <w:trPr>
          <w:trHeight w:val="210"/>
        </w:trPr>
        <w:tc>
          <w:tcPr>
            <w:tcW w:w="4786" w:type="dxa"/>
            <w:tcBorders>
              <w:top w:val="nil"/>
              <w:left w:val="single" w:sz="4" w:space="0" w:color="auto"/>
              <w:bottom w:val="nil"/>
              <w:right w:val="single" w:sz="4" w:space="0" w:color="auto"/>
            </w:tcBorders>
            <w:vAlign w:val="center"/>
          </w:tcPr>
          <w:p w14:paraId="0046069F" w14:textId="77777777" w:rsidR="00E10C7D" w:rsidRPr="007223BC" w:rsidRDefault="00E10C7D" w:rsidP="00413968">
            <w:pPr>
              <w:keepNext/>
              <w:jc w:val="both"/>
              <w:rPr>
                <w:b/>
                <w:sz w:val="22"/>
                <w:szCs w:val="22"/>
                <w:lang w:val="sr-Latn-RS"/>
              </w:rPr>
            </w:pPr>
            <w:r w:rsidRPr="007223BC">
              <w:rPr>
                <w:sz w:val="22"/>
                <w:szCs w:val="22"/>
                <w:lang w:val="sr-Latn-RS"/>
              </w:rPr>
              <w:t xml:space="preserve"> Muški </w:t>
            </w:r>
          </w:p>
        </w:tc>
        <w:tc>
          <w:tcPr>
            <w:tcW w:w="1982" w:type="dxa"/>
            <w:tcBorders>
              <w:top w:val="nil"/>
              <w:left w:val="single" w:sz="4" w:space="0" w:color="auto"/>
              <w:bottom w:val="nil"/>
              <w:right w:val="single" w:sz="4" w:space="0" w:color="auto"/>
            </w:tcBorders>
            <w:vAlign w:val="center"/>
          </w:tcPr>
          <w:p w14:paraId="1978C37A" w14:textId="77777777" w:rsidR="00E10C7D" w:rsidRPr="007223BC" w:rsidRDefault="00E10C7D" w:rsidP="00413968">
            <w:pPr>
              <w:keepNext/>
              <w:jc w:val="both"/>
              <w:rPr>
                <w:sz w:val="22"/>
                <w:szCs w:val="22"/>
                <w:lang w:val="sr-Latn-RS"/>
              </w:rPr>
            </w:pPr>
            <w:r w:rsidRPr="007223BC">
              <w:rPr>
                <w:sz w:val="22"/>
                <w:szCs w:val="22"/>
                <w:lang w:val="sr-Latn-RS"/>
              </w:rPr>
              <w:t>555 / 603 (92%)</w:t>
            </w:r>
          </w:p>
        </w:tc>
        <w:tc>
          <w:tcPr>
            <w:tcW w:w="1890" w:type="dxa"/>
            <w:tcBorders>
              <w:top w:val="nil"/>
              <w:left w:val="single" w:sz="4" w:space="0" w:color="auto"/>
              <w:bottom w:val="nil"/>
              <w:right w:val="single" w:sz="4" w:space="0" w:color="auto"/>
            </w:tcBorders>
            <w:vAlign w:val="center"/>
          </w:tcPr>
          <w:p w14:paraId="48EFDE43" w14:textId="77777777" w:rsidR="00E10C7D" w:rsidRPr="007223BC" w:rsidRDefault="00E10C7D" w:rsidP="00413968">
            <w:pPr>
              <w:keepNext/>
              <w:jc w:val="both"/>
              <w:rPr>
                <w:sz w:val="22"/>
                <w:szCs w:val="22"/>
                <w:lang w:val="sr-Latn-RS"/>
              </w:rPr>
            </w:pPr>
            <w:r w:rsidRPr="007223BC">
              <w:rPr>
                <w:sz w:val="22"/>
                <w:szCs w:val="22"/>
                <w:lang w:val="sr-Latn-RS"/>
              </w:rPr>
              <w:t>580 / 619 (94%)</w:t>
            </w:r>
          </w:p>
        </w:tc>
      </w:tr>
      <w:tr w:rsidR="00E10C7D" w:rsidRPr="007223BC" w14:paraId="31C24DAE" w14:textId="77777777" w:rsidTr="006F142D">
        <w:trPr>
          <w:trHeight w:val="210"/>
        </w:trPr>
        <w:tc>
          <w:tcPr>
            <w:tcW w:w="4786" w:type="dxa"/>
            <w:tcBorders>
              <w:top w:val="nil"/>
              <w:left w:val="single" w:sz="4" w:space="0" w:color="auto"/>
              <w:bottom w:val="single" w:sz="4" w:space="0" w:color="auto"/>
              <w:right w:val="single" w:sz="4" w:space="0" w:color="auto"/>
            </w:tcBorders>
            <w:vAlign w:val="center"/>
          </w:tcPr>
          <w:p w14:paraId="55322389" w14:textId="77777777" w:rsidR="00E10C7D" w:rsidRPr="007223BC" w:rsidRDefault="00E10C7D" w:rsidP="00413968">
            <w:pPr>
              <w:keepNext/>
              <w:jc w:val="both"/>
              <w:rPr>
                <w:b/>
                <w:sz w:val="22"/>
                <w:szCs w:val="22"/>
                <w:lang w:val="sr-Latn-RS"/>
              </w:rPr>
            </w:pPr>
            <w:r w:rsidRPr="007223BC">
              <w:rPr>
                <w:sz w:val="22"/>
                <w:szCs w:val="22"/>
                <w:lang w:val="sr-Latn-RS"/>
              </w:rPr>
              <w:t xml:space="preserve"> Ženski</w:t>
            </w:r>
          </w:p>
        </w:tc>
        <w:tc>
          <w:tcPr>
            <w:tcW w:w="1982" w:type="dxa"/>
            <w:tcBorders>
              <w:top w:val="nil"/>
              <w:left w:val="single" w:sz="4" w:space="0" w:color="auto"/>
              <w:bottom w:val="single" w:sz="4" w:space="0" w:color="auto"/>
              <w:right w:val="single" w:sz="4" w:space="0" w:color="auto"/>
            </w:tcBorders>
            <w:vAlign w:val="center"/>
          </w:tcPr>
          <w:p w14:paraId="7F8A311B" w14:textId="77777777" w:rsidR="00E10C7D" w:rsidRPr="007223BC" w:rsidRDefault="00E10C7D" w:rsidP="00413968">
            <w:pPr>
              <w:keepNext/>
              <w:jc w:val="both"/>
              <w:rPr>
                <w:sz w:val="22"/>
                <w:szCs w:val="22"/>
                <w:lang w:val="sr-Latn-RS"/>
              </w:rPr>
            </w:pPr>
            <w:r w:rsidRPr="007223BC">
              <w:rPr>
                <w:sz w:val="22"/>
                <w:szCs w:val="22"/>
                <w:lang w:val="sr-Latn-RS"/>
              </w:rPr>
              <w:t>100 / 113 (88%)</w:t>
            </w:r>
          </w:p>
        </w:tc>
        <w:tc>
          <w:tcPr>
            <w:tcW w:w="1890" w:type="dxa"/>
            <w:tcBorders>
              <w:top w:val="nil"/>
              <w:left w:val="single" w:sz="4" w:space="0" w:color="auto"/>
              <w:bottom w:val="single" w:sz="4" w:space="0" w:color="auto"/>
              <w:right w:val="single" w:sz="4" w:space="0" w:color="auto"/>
            </w:tcBorders>
            <w:vAlign w:val="center"/>
          </w:tcPr>
          <w:p w14:paraId="738AE00D" w14:textId="77777777" w:rsidR="00E10C7D" w:rsidRPr="007223BC" w:rsidRDefault="00E10C7D" w:rsidP="00413968">
            <w:pPr>
              <w:keepNext/>
              <w:jc w:val="both"/>
              <w:rPr>
                <w:sz w:val="22"/>
                <w:szCs w:val="22"/>
                <w:lang w:val="sr-Latn-RS"/>
              </w:rPr>
            </w:pPr>
            <w:r w:rsidRPr="007223BC">
              <w:rPr>
                <w:sz w:val="22"/>
                <w:szCs w:val="22"/>
                <w:lang w:val="sr-Latn-RS"/>
              </w:rPr>
              <w:t>89 / 98 (91%)</w:t>
            </w:r>
          </w:p>
        </w:tc>
      </w:tr>
      <w:tr w:rsidR="00E10C7D" w:rsidRPr="007223BC" w14:paraId="2EC8C98F" w14:textId="77777777" w:rsidTr="006F142D">
        <w:trPr>
          <w:trHeight w:val="210"/>
        </w:trPr>
        <w:tc>
          <w:tcPr>
            <w:tcW w:w="4786" w:type="dxa"/>
            <w:tcBorders>
              <w:top w:val="single" w:sz="4" w:space="0" w:color="auto"/>
              <w:bottom w:val="nil"/>
            </w:tcBorders>
            <w:vAlign w:val="center"/>
          </w:tcPr>
          <w:p w14:paraId="062AE8E7" w14:textId="77777777" w:rsidR="00E10C7D" w:rsidRPr="007223BC" w:rsidRDefault="00E10C7D" w:rsidP="00413968">
            <w:pPr>
              <w:keepNext/>
              <w:jc w:val="both"/>
              <w:rPr>
                <w:b/>
                <w:sz w:val="22"/>
                <w:szCs w:val="22"/>
                <w:lang w:val="sr-Latn-RS"/>
              </w:rPr>
            </w:pPr>
            <w:r w:rsidRPr="007223BC">
              <w:rPr>
                <w:b/>
                <w:sz w:val="22"/>
                <w:szCs w:val="22"/>
                <w:lang w:val="sr-Latn-RS"/>
              </w:rPr>
              <w:t>Rasa</w:t>
            </w:r>
          </w:p>
        </w:tc>
        <w:tc>
          <w:tcPr>
            <w:tcW w:w="1982" w:type="dxa"/>
            <w:tcBorders>
              <w:top w:val="single" w:sz="4" w:space="0" w:color="auto"/>
              <w:bottom w:val="nil"/>
            </w:tcBorders>
            <w:vAlign w:val="center"/>
          </w:tcPr>
          <w:p w14:paraId="37358D7B" w14:textId="77777777" w:rsidR="00E10C7D" w:rsidRPr="007223BC" w:rsidRDefault="00E10C7D" w:rsidP="00413968">
            <w:pPr>
              <w:keepNext/>
              <w:jc w:val="both"/>
              <w:rPr>
                <w:sz w:val="22"/>
                <w:szCs w:val="22"/>
                <w:lang w:val="sr-Latn-RS"/>
              </w:rPr>
            </w:pPr>
          </w:p>
        </w:tc>
        <w:tc>
          <w:tcPr>
            <w:tcW w:w="1890" w:type="dxa"/>
            <w:tcBorders>
              <w:top w:val="single" w:sz="4" w:space="0" w:color="auto"/>
              <w:bottom w:val="nil"/>
            </w:tcBorders>
            <w:vAlign w:val="center"/>
          </w:tcPr>
          <w:p w14:paraId="1C817DEE" w14:textId="77777777" w:rsidR="00E10C7D" w:rsidRPr="007223BC" w:rsidRDefault="00E10C7D" w:rsidP="00413968">
            <w:pPr>
              <w:keepNext/>
              <w:jc w:val="both"/>
              <w:rPr>
                <w:sz w:val="22"/>
                <w:szCs w:val="22"/>
                <w:lang w:val="sr-Latn-RS"/>
              </w:rPr>
            </w:pPr>
          </w:p>
        </w:tc>
      </w:tr>
      <w:tr w:rsidR="00E10C7D" w:rsidRPr="007223BC" w14:paraId="5846BAA0" w14:textId="77777777" w:rsidTr="006F142D">
        <w:trPr>
          <w:trHeight w:val="210"/>
        </w:trPr>
        <w:tc>
          <w:tcPr>
            <w:tcW w:w="4786" w:type="dxa"/>
            <w:tcBorders>
              <w:top w:val="nil"/>
              <w:left w:val="single" w:sz="4" w:space="0" w:color="auto"/>
              <w:bottom w:val="nil"/>
              <w:right w:val="single" w:sz="4" w:space="0" w:color="auto"/>
            </w:tcBorders>
            <w:vAlign w:val="center"/>
          </w:tcPr>
          <w:p w14:paraId="67E95255" w14:textId="77777777" w:rsidR="00E10C7D" w:rsidRPr="007223BC" w:rsidRDefault="00E10C7D" w:rsidP="00413968">
            <w:pPr>
              <w:keepNext/>
              <w:jc w:val="both"/>
              <w:rPr>
                <w:b/>
                <w:sz w:val="22"/>
                <w:szCs w:val="22"/>
                <w:lang w:val="sr-Latn-RS"/>
              </w:rPr>
            </w:pPr>
            <w:r w:rsidRPr="007223BC">
              <w:rPr>
                <w:sz w:val="22"/>
                <w:szCs w:val="22"/>
                <w:lang w:val="sr-Latn-RS"/>
              </w:rPr>
              <w:t xml:space="preserve"> Bijela </w:t>
            </w:r>
          </w:p>
        </w:tc>
        <w:tc>
          <w:tcPr>
            <w:tcW w:w="1982" w:type="dxa"/>
            <w:tcBorders>
              <w:top w:val="nil"/>
              <w:left w:val="single" w:sz="4" w:space="0" w:color="auto"/>
              <w:bottom w:val="nil"/>
              <w:right w:val="single" w:sz="4" w:space="0" w:color="auto"/>
            </w:tcBorders>
            <w:vAlign w:val="center"/>
          </w:tcPr>
          <w:p w14:paraId="7D08697B" w14:textId="77777777" w:rsidR="00E10C7D" w:rsidRPr="007223BC" w:rsidRDefault="007E7034" w:rsidP="00413968">
            <w:pPr>
              <w:keepNext/>
              <w:jc w:val="both"/>
              <w:rPr>
                <w:sz w:val="22"/>
                <w:szCs w:val="22"/>
                <w:lang w:val="sr-Latn-RS"/>
              </w:rPr>
            </w:pPr>
            <w:r w:rsidRPr="007223BC">
              <w:rPr>
                <w:sz w:val="22"/>
                <w:szCs w:val="22"/>
              </w:rPr>
              <w:t xml:space="preserve">451 / 484 </w:t>
            </w:r>
            <w:r w:rsidR="00E10C7D" w:rsidRPr="007223BC">
              <w:rPr>
                <w:sz w:val="22"/>
                <w:szCs w:val="22"/>
                <w:lang w:val="sr-Latn-RS"/>
              </w:rPr>
              <w:t>(93%)</w:t>
            </w:r>
          </w:p>
        </w:tc>
        <w:tc>
          <w:tcPr>
            <w:tcW w:w="1890" w:type="dxa"/>
            <w:tcBorders>
              <w:top w:val="nil"/>
              <w:left w:val="single" w:sz="4" w:space="0" w:color="auto"/>
              <w:bottom w:val="nil"/>
              <w:right w:val="single" w:sz="4" w:space="0" w:color="auto"/>
            </w:tcBorders>
            <w:vAlign w:val="center"/>
          </w:tcPr>
          <w:p w14:paraId="46C39562" w14:textId="77777777" w:rsidR="00E10C7D" w:rsidRPr="007223BC" w:rsidRDefault="007E7034" w:rsidP="00413968">
            <w:pPr>
              <w:keepNext/>
              <w:jc w:val="both"/>
              <w:rPr>
                <w:sz w:val="22"/>
                <w:szCs w:val="22"/>
                <w:lang w:val="sr-Latn-RS"/>
              </w:rPr>
            </w:pPr>
            <w:r w:rsidRPr="007223BC">
              <w:rPr>
                <w:sz w:val="22"/>
                <w:szCs w:val="22"/>
              </w:rPr>
              <w:t xml:space="preserve">473 / 499 </w:t>
            </w:r>
            <w:r w:rsidR="00E10C7D" w:rsidRPr="007223BC">
              <w:rPr>
                <w:sz w:val="22"/>
                <w:szCs w:val="22"/>
                <w:lang w:val="sr-Latn-RS"/>
              </w:rPr>
              <w:t>(95%)</w:t>
            </w:r>
          </w:p>
        </w:tc>
      </w:tr>
      <w:tr w:rsidR="00E10C7D" w:rsidRPr="007223BC" w14:paraId="56EEA3A7" w14:textId="77777777" w:rsidTr="006F142D">
        <w:trPr>
          <w:trHeight w:val="210"/>
        </w:trPr>
        <w:tc>
          <w:tcPr>
            <w:tcW w:w="4786" w:type="dxa"/>
            <w:tcBorders>
              <w:top w:val="nil"/>
              <w:left w:val="single" w:sz="4" w:space="0" w:color="auto"/>
              <w:bottom w:val="single" w:sz="4" w:space="0" w:color="auto"/>
              <w:right w:val="single" w:sz="4" w:space="0" w:color="auto"/>
            </w:tcBorders>
            <w:vAlign w:val="center"/>
          </w:tcPr>
          <w:p w14:paraId="2C7266CA" w14:textId="77777777" w:rsidR="00E10C7D" w:rsidRPr="007223BC" w:rsidRDefault="00E10C7D" w:rsidP="00413968">
            <w:pPr>
              <w:keepNext/>
              <w:jc w:val="both"/>
              <w:rPr>
                <w:sz w:val="22"/>
                <w:szCs w:val="22"/>
                <w:lang w:val="sr-Latn-RS"/>
              </w:rPr>
            </w:pPr>
            <w:r w:rsidRPr="007223BC">
              <w:rPr>
                <w:sz w:val="22"/>
                <w:szCs w:val="22"/>
                <w:lang w:val="sr-Latn-RS"/>
              </w:rPr>
              <w:t xml:space="preserve"> Afroamerikanci /afričko porijeklo/drugo</w:t>
            </w:r>
          </w:p>
        </w:tc>
        <w:tc>
          <w:tcPr>
            <w:tcW w:w="1982" w:type="dxa"/>
            <w:tcBorders>
              <w:top w:val="nil"/>
              <w:left w:val="single" w:sz="4" w:space="0" w:color="auto"/>
              <w:bottom w:val="single" w:sz="4" w:space="0" w:color="auto"/>
              <w:right w:val="single" w:sz="4" w:space="0" w:color="auto"/>
            </w:tcBorders>
            <w:vAlign w:val="center"/>
          </w:tcPr>
          <w:p w14:paraId="3BDE24FB" w14:textId="77777777" w:rsidR="00E10C7D" w:rsidRPr="007223BC" w:rsidRDefault="007E7034" w:rsidP="00413968">
            <w:pPr>
              <w:keepNext/>
              <w:jc w:val="both"/>
              <w:rPr>
                <w:sz w:val="22"/>
                <w:szCs w:val="22"/>
                <w:lang w:val="sr-Latn-RS"/>
              </w:rPr>
            </w:pPr>
            <w:r w:rsidRPr="007223BC">
              <w:rPr>
                <w:sz w:val="22"/>
                <w:szCs w:val="22"/>
              </w:rPr>
              <w:t>204 / 232</w:t>
            </w:r>
            <w:r w:rsidR="00E10C7D" w:rsidRPr="007223BC">
              <w:rPr>
                <w:sz w:val="22"/>
                <w:szCs w:val="22"/>
                <w:lang w:val="sr-Latn-RS"/>
              </w:rPr>
              <w:t xml:space="preserve"> (88%)</w:t>
            </w:r>
          </w:p>
        </w:tc>
        <w:tc>
          <w:tcPr>
            <w:tcW w:w="1890" w:type="dxa"/>
            <w:tcBorders>
              <w:top w:val="nil"/>
              <w:left w:val="single" w:sz="4" w:space="0" w:color="auto"/>
              <w:bottom w:val="single" w:sz="4" w:space="0" w:color="auto"/>
              <w:right w:val="single" w:sz="4" w:space="0" w:color="auto"/>
            </w:tcBorders>
            <w:vAlign w:val="center"/>
          </w:tcPr>
          <w:p w14:paraId="543D839B" w14:textId="77777777" w:rsidR="00E10C7D" w:rsidRPr="007223BC" w:rsidRDefault="007E7034" w:rsidP="00413968">
            <w:pPr>
              <w:keepNext/>
              <w:jc w:val="both"/>
              <w:rPr>
                <w:sz w:val="22"/>
                <w:szCs w:val="22"/>
                <w:lang w:val="sr-Latn-RS"/>
              </w:rPr>
            </w:pPr>
            <w:r w:rsidRPr="007223BC">
              <w:rPr>
                <w:sz w:val="22"/>
                <w:szCs w:val="22"/>
              </w:rPr>
              <w:t>196 / 218</w:t>
            </w:r>
            <w:r w:rsidR="00E10C7D" w:rsidRPr="007223BC">
              <w:rPr>
                <w:sz w:val="22"/>
                <w:szCs w:val="22"/>
                <w:lang w:val="sr-Latn-RS"/>
              </w:rPr>
              <w:t xml:space="preserve"> (90%)</w:t>
            </w:r>
          </w:p>
        </w:tc>
      </w:tr>
      <w:tr w:rsidR="00E10C7D" w:rsidRPr="00413968" w14:paraId="10F631D3" w14:textId="77777777" w:rsidTr="006F142D">
        <w:tc>
          <w:tcPr>
            <w:tcW w:w="8658" w:type="dxa"/>
            <w:gridSpan w:val="3"/>
            <w:tcBorders>
              <w:top w:val="single" w:sz="4" w:space="0" w:color="auto"/>
              <w:left w:val="nil"/>
              <w:bottom w:val="nil"/>
              <w:right w:val="nil"/>
            </w:tcBorders>
          </w:tcPr>
          <w:p w14:paraId="1C092F69" w14:textId="32AF908D" w:rsidR="00E10C7D" w:rsidRPr="007223BC" w:rsidRDefault="00E10C7D" w:rsidP="00805A14">
            <w:pPr>
              <w:keepNext/>
              <w:jc w:val="both"/>
              <w:rPr>
                <w:sz w:val="22"/>
                <w:szCs w:val="22"/>
                <w:lang w:val="sr-Latn-RS" w:eastAsia="sr-Latn-RS"/>
              </w:rPr>
            </w:pPr>
            <w:r w:rsidRPr="007223BC">
              <w:rPr>
                <w:sz w:val="22"/>
                <w:szCs w:val="22"/>
                <w:lang w:val="sr-Latn-RS"/>
              </w:rPr>
              <w:t xml:space="preserve">* Rezultati analize objedinjenih podataka u skladu sa onima iz pojedinačnih ispitivanja u kojima je postignuta primarna mjera ishoda (razlika u udjelu ispitanika prema kojima je prema </w:t>
            </w:r>
            <w:r w:rsidR="00201362" w:rsidRPr="007223BC">
              <w:rPr>
                <w:i/>
                <w:sz w:val="22"/>
                <w:szCs w:val="22"/>
                <w:lang w:val="sr-Latn-RS"/>
              </w:rPr>
              <w:t>Snapshot</w:t>
            </w:r>
            <w:r w:rsidR="00201362" w:rsidRPr="007223BC">
              <w:rPr>
                <w:sz w:val="22"/>
                <w:szCs w:val="22"/>
                <w:lang w:val="sr-Latn-RS"/>
              </w:rPr>
              <w:t xml:space="preserve"> </w:t>
            </w:r>
            <w:r w:rsidRPr="007223BC">
              <w:rPr>
                <w:sz w:val="22"/>
                <w:szCs w:val="22"/>
                <w:lang w:val="sr-Latn-RS"/>
              </w:rPr>
              <w:t xml:space="preserve">algoritmu u 48. nedjelji </w:t>
            </w:r>
            <w:r w:rsidR="00497ED8">
              <w:rPr>
                <w:sz w:val="22"/>
                <w:szCs w:val="22"/>
                <w:lang w:val="sr-Latn-RS"/>
              </w:rPr>
              <w:t xml:space="preserve">plazmatska </w:t>
            </w:r>
            <w:r w:rsidRPr="007223BC">
              <w:rPr>
                <w:sz w:val="22"/>
                <w:szCs w:val="22"/>
                <w:lang w:val="sr-Latn-RS"/>
              </w:rPr>
              <w:t>koncentracija iznosila HIV-1 RNK&lt;50 kopija/m</w:t>
            </w:r>
            <w:r w:rsidR="00B412CB">
              <w:rPr>
                <w:sz w:val="22"/>
                <w:szCs w:val="22"/>
                <w:lang w:val="sr-Latn-RS"/>
              </w:rPr>
              <w:t>l</w:t>
            </w:r>
            <w:r w:rsidRPr="007223BC">
              <w:rPr>
                <w:sz w:val="22"/>
                <w:szCs w:val="22"/>
                <w:lang w:val="sr-Latn-RS"/>
              </w:rPr>
              <w:t xml:space="preserve"> </w:t>
            </w:r>
            <w:r w:rsidRPr="007223BC">
              <w:rPr>
                <w:sz w:val="22"/>
                <w:szCs w:val="22"/>
                <w:lang w:val="sr-Latn-RS" w:eastAsia="sr-Latn-RS"/>
              </w:rPr>
              <w:t xml:space="preserve">uz dolutegravir plus lamivudin u odnosu na dolutegravir plus kombinacija fiksnih doza tenofovir-dizoproksila/emtricitabina). Prilagođena </w:t>
            </w:r>
            <w:r w:rsidR="00497ED8">
              <w:rPr>
                <w:sz w:val="22"/>
                <w:szCs w:val="22"/>
                <w:lang w:val="sr-Latn-RS" w:eastAsia="sr-Latn-RS"/>
              </w:rPr>
              <w:t>razlika</w:t>
            </w:r>
            <w:r w:rsidR="00497ED8" w:rsidRPr="007223BC">
              <w:rPr>
                <w:sz w:val="22"/>
                <w:szCs w:val="22"/>
                <w:lang w:val="sr-Latn-RS" w:eastAsia="sr-Latn-RS"/>
              </w:rPr>
              <w:t xml:space="preserve"> </w:t>
            </w:r>
            <w:r w:rsidRPr="007223BC">
              <w:rPr>
                <w:sz w:val="22"/>
                <w:szCs w:val="22"/>
                <w:lang w:val="sr-Latn-RS" w:eastAsia="sr-Latn-RS"/>
              </w:rPr>
              <w:t xml:space="preserve">iznosila je </w:t>
            </w:r>
            <w:r w:rsidR="00497ED8">
              <w:rPr>
                <w:sz w:val="22"/>
                <w:szCs w:val="22"/>
                <w:lang w:val="sr-Latn-RS" w:eastAsia="sr-Latn-RS"/>
              </w:rPr>
              <w:t xml:space="preserve">- </w:t>
            </w:r>
            <w:r w:rsidRPr="007223BC">
              <w:rPr>
                <w:sz w:val="22"/>
                <w:szCs w:val="22"/>
                <w:lang w:val="sr-Latn-RS"/>
              </w:rPr>
              <w:t>2</w:t>
            </w:r>
            <w:r w:rsidR="00BC4016" w:rsidRPr="007223BC">
              <w:rPr>
                <w:sz w:val="22"/>
                <w:szCs w:val="22"/>
                <w:lang w:val="sr-Latn-RS"/>
              </w:rPr>
              <w:t>,</w:t>
            </w:r>
            <w:r w:rsidRPr="007223BC">
              <w:rPr>
                <w:sz w:val="22"/>
                <w:szCs w:val="22"/>
                <w:lang w:val="sr-Latn-RS"/>
              </w:rPr>
              <w:t>6 (95% CI: -6</w:t>
            </w:r>
            <w:r w:rsidR="00BC4016" w:rsidRPr="007223BC">
              <w:rPr>
                <w:sz w:val="22"/>
                <w:szCs w:val="22"/>
                <w:lang w:val="sr-Latn-RS"/>
              </w:rPr>
              <w:t>,</w:t>
            </w:r>
            <w:r w:rsidRPr="007223BC">
              <w:rPr>
                <w:sz w:val="22"/>
                <w:szCs w:val="22"/>
                <w:lang w:val="sr-Latn-RS"/>
              </w:rPr>
              <w:t>7; 1</w:t>
            </w:r>
            <w:r w:rsidR="00BC4016" w:rsidRPr="007223BC">
              <w:rPr>
                <w:sz w:val="22"/>
                <w:szCs w:val="22"/>
                <w:lang w:val="sr-Latn-RS"/>
              </w:rPr>
              <w:t>,</w:t>
            </w:r>
            <w:r w:rsidRPr="007223BC">
              <w:rPr>
                <w:sz w:val="22"/>
                <w:szCs w:val="22"/>
                <w:lang w:val="sr-Latn-RS"/>
              </w:rPr>
              <w:t>5) u ispitivanju GEMINI-1</w:t>
            </w:r>
            <w:r w:rsidR="00BC4016" w:rsidRPr="007223BC">
              <w:rPr>
                <w:sz w:val="22"/>
                <w:szCs w:val="22"/>
                <w:lang w:val="sr-Latn-RS"/>
              </w:rPr>
              <w:t>,</w:t>
            </w:r>
            <w:r w:rsidRPr="007223BC">
              <w:rPr>
                <w:sz w:val="22"/>
                <w:szCs w:val="22"/>
                <w:lang w:val="sr-Latn-RS"/>
              </w:rPr>
              <w:t xml:space="preserve"> i -0</w:t>
            </w:r>
            <w:r w:rsidR="00BC4016" w:rsidRPr="007223BC">
              <w:rPr>
                <w:sz w:val="22"/>
                <w:szCs w:val="22"/>
                <w:lang w:val="sr-Latn-RS"/>
              </w:rPr>
              <w:t>,</w:t>
            </w:r>
            <w:r w:rsidRPr="007223BC">
              <w:rPr>
                <w:sz w:val="22"/>
                <w:szCs w:val="22"/>
                <w:lang w:val="sr-Latn-RS"/>
              </w:rPr>
              <w:t>7 (95% CI: -4</w:t>
            </w:r>
            <w:r w:rsidR="00BC4016" w:rsidRPr="007223BC">
              <w:rPr>
                <w:sz w:val="22"/>
                <w:szCs w:val="22"/>
                <w:lang w:val="sr-Latn-RS"/>
              </w:rPr>
              <w:t>,</w:t>
            </w:r>
            <w:r w:rsidRPr="007223BC">
              <w:rPr>
                <w:sz w:val="22"/>
                <w:szCs w:val="22"/>
                <w:lang w:val="sr-Latn-RS"/>
              </w:rPr>
              <w:t>3; 2</w:t>
            </w:r>
            <w:r w:rsidR="00BC4016" w:rsidRPr="007223BC">
              <w:rPr>
                <w:sz w:val="22"/>
                <w:szCs w:val="22"/>
                <w:lang w:val="sr-Latn-RS"/>
              </w:rPr>
              <w:t>,</w:t>
            </w:r>
            <w:r w:rsidRPr="007223BC">
              <w:rPr>
                <w:sz w:val="22"/>
                <w:szCs w:val="22"/>
                <w:lang w:val="sr-Latn-RS"/>
              </w:rPr>
              <w:t xml:space="preserve">9) u ispitivanju GEMINI-2 </w:t>
            </w:r>
            <w:r w:rsidRPr="007223BC">
              <w:rPr>
                <w:sz w:val="22"/>
                <w:szCs w:val="22"/>
                <w:lang w:val="sr-Latn-RS" w:eastAsia="sr-Latn-RS"/>
              </w:rPr>
              <w:t>uz unaprijed određenu graničnu vrijednost neinferiornosti od 10%.</w:t>
            </w:r>
          </w:p>
          <w:p w14:paraId="276C9EA5" w14:textId="19E10160" w:rsidR="003F53C9" w:rsidRPr="007223BC" w:rsidRDefault="00E10C7D">
            <w:pPr>
              <w:keepNext/>
              <w:jc w:val="both"/>
              <w:rPr>
                <w:sz w:val="22"/>
                <w:szCs w:val="22"/>
                <w:lang w:val="sr-Latn-RS" w:eastAsia="sr-Latn-RS"/>
              </w:rPr>
            </w:pPr>
            <w:r w:rsidRPr="007223BC">
              <w:rPr>
                <w:sz w:val="22"/>
                <w:szCs w:val="22"/>
                <w:lang w:val="sr-Latn-RS" w:eastAsia="sr-Latn-RS"/>
              </w:rPr>
              <w:t>† Na osnovu analize stratifi</w:t>
            </w:r>
            <w:r w:rsidR="00497ED8">
              <w:rPr>
                <w:sz w:val="22"/>
                <w:szCs w:val="22"/>
                <w:lang w:val="sr-Latn-RS" w:eastAsia="sr-Latn-RS"/>
              </w:rPr>
              <w:t>kov</w:t>
            </w:r>
            <w:r w:rsidRPr="007223BC">
              <w:rPr>
                <w:sz w:val="22"/>
                <w:szCs w:val="22"/>
                <w:lang w:val="sr-Latn-RS" w:eastAsia="sr-Latn-RS"/>
              </w:rPr>
              <w:t xml:space="preserve">ane </w:t>
            </w:r>
            <w:r w:rsidRPr="007223BC">
              <w:rPr>
                <w:i/>
                <w:sz w:val="22"/>
                <w:szCs w:val="22"/>
                <w:lang w:val="sr-Latn-RS" w:eastAsia="sr-Latn-RS"/>
              </w:rPr>
              <w:t>Cochran-Mantel-Haenszel</w:t>
            </w:r>
            <w:r w:rsidR="005F49B6" w:rsidRPr="007223BC">
              <w:rPr>
                <w:sz w:val="22"/>
                <w:szCs w:val="22"/>
                <w:lang w:val="sr-Latn-RS" w:eastAsia="sr-Latn-RS"/>
              </w:rPr>
              <w:t>-</w:t>
            </w:r>
            <w:r w:rsidRPr="007223BC">
              <w:rPr>
                <w:sz w:val="22"/>
                <w:szCs w:val="22"/>
                <w:lang w:val="sr-Latn-RS" w:eastAsia="sr-Latn-RS"/>
              </w:rPr>
              <w:t>ovom metodom i prilagođene za sljedeće početne stratifikaci</w:t>
            </w:r>
            <w:r w:rsidR="00497ED8">
              <w:rPr>
                <w:sz w:val="22"/>
                <w:szCs w:val="22"/>
                <w:lang w:val="sr-Latn-RS" w:eastAsia="sr-Latn-RS"/>
              </w:rPr>
              <w:t>on</w:t>
            </w:r>
            <w:r w:rsidRPr="007223BC">
              <w:rPr>
                <w:sz w:val="22"/>
                <w:szCs w:val="22"/>
                <w:lang w:val="sr-Latn-RS" w:eastAsia="sr-Latn-RS"/>
              </w:rPr>
              <w:t xml:space="preserve">e faktore: </w:t>
            </w:r>
            <w:bookmarkStart w:id="4" w:name="_Hlk80794079"/>
            <w:r w:rsidR="00497ED8">
              <w:rPr>
                <w:sz w:val="22"/>
                <w:szCs w:val="22"/>
                <w:lang w:val="sr-Latn-RS" w:eastAsia="sr-Latn-RS"/>
              </w:rPr>
              <w:t xml:space="preserve">plazmatska </w:t>
            </w:r>
            <w:r w:rsidRPr="007223BC">
              <w:rPr>
                <w:sz w:val="22"/>
                <w:szCs w:val="22"/>
                <w:lang w:val="sr-Latn-RS" w:eastAsia="sr-Latn-RS"/>
              </w:rPr>
              <w:t>koncentracij</w:t>
            </w:r>
            <w:r w:rsidR="00497ED8">
              <w:rPr>
                <w:sz w:val="22"/>
                <w:szCs w:val="22"/>
                <w:lang w:val="sr-Latn-RS" w:eastAsia="sr-Latn-RS"/>
              </w:rPr>
              <w:t>a</w:t>
            </w:r>
            <w:r w:rsidRPr="007223BC">
              <w:rPr>
                <w:sz w:val="22"/>
                <w:szCs w:val="22"/>
                <w:lang w:val="sr-Latn-RS" w:eastAsia="sr-Latn-RS"/>
              </w:rPr>
              <w:t xml:space="preserve"> HIV-1 RNK </w:t>
            </w:r>
            <w:bookmarkEnd w:id="4"/>
            <w:r w:rsidRPr="007223BC">
              <w:rPr>
                <w:sz w:val="22"/>
                <w:szCs w:val="22"/>
                <w:lang w:val="sr-Latn-RS" w:eastAsia="sr-Latn-RS"/>
              </w:rPr>
              <w:t>(≤ 100 000 kopija/m</w:t>
            </w:r>
            <w:r w:rsidR="00B412CB">
              <w:rPr>
                <w:sz w:val="22"/>
                <w:szCs w:val="22"/>
                <w:lang w:val="sr-Latn-RS" w:eastAsia="sr-Latn-RS"/>
              </w:rPr>
              <w:t>l</w:t>
            </w:r>
            <w:r w:rsidRPr="007223BC">
              <w:rPr>
                <w:sz w:val="22"/>
                <w:szCs w:val="22"/>
                <w:lang w:val="sr-Latn-RS" w:eastAsia="sr-Latn-RS"/>
              </w:rPr>
              <w:t xml:space="preserve"> naspram &gt; 100 000 kopija/m</w:t>
            </w:r>
            <w:r w:rsidR="00B412CB">
              <w:rPr>
                <w:sz w:val="22"/>
                <w:szCs w:val="22"/>
                <w:lang w:val="sr-Latn-RS" w:eastAsia="sr-Latn-RS"/>
              </w:rPr>
              <w:t>l</w:t>
            </w:r>
            <w:r w:rsidRPr="007223BC">
              <w:rPr>
                <w:sz w:val="22"/>
                <w:szCs w:val="22"/>
                <w:lang w:val="sr-Latn-RS" w:eastAsia="sr-Latn-RS"/>
              </w:rPr>
              <w:t>) i broj CD4+ ćelija (≤ 200 ćelija/mm</w:t>
            </w:r>
            <w:r w:rsidRPr="007223BC">
              <w:rPr>
                <w:sz w:val="22"/>
                <w:szCs w:val="22"/>
                <w:vertAlign w:val="superscript"/>
                <w:lang w:val="sr-Latn-RS" w:eastAsia="sr-Latn-RS"/>
              </w:rPr>
              <w:t>3</w:t>
            </w:r>
            <w:r w:rsidRPr="007223BC">
              <w:rPr>
                <w:sz w:val="22"/>
                <w:szCs w:val="22"/>
                <w:lang w:val="sr-Latn-RS" w:eastAsia="sr-Latn-RS"/>
              </w:rPr>
              <w:t xml:space="preserve"> naspram &gt; 200 ćelija/mm</w:t>
            </w:r>
            <w:r w:rsidRPr="007223BC">
              <w:rPr>
                <w:sz w:val="22"/>
                <w:szCs w:val="22"/>
                <w:vertAlign w:val="superscript"/>
                <w:lang w:val="sr-Latn-RS" w:eastAsia="sr-Latn-RS"/>
              </w:rPr>
              <w:t>3</w:t>
            </w:r>
            <w:r w:rsidRPr="007223BC">
              <w:rPr>
                <w:sz w:val="22"/>
                <w:szCs w:val="22"/>
                <w:lang w:val="sr-Latn-RS" w:eastAsia="sr-Latn-RS"/>
              </w:rPr>
              <w:t>). Analiza objedinjenih podataka stratifi</w:t>
            </w:r>
            <w:r w:rsidR="00497ED8">
              <w:rPr>
                <w:sz w:val="22"/>
                <w:szCs w:val="22"/>
                <w:lang w:val="sr-Latn-RS" w:eastAsia="sr-Latn-RS"/>
              </w:rPr>
              <w:t>kov</w:t>
            </w:r>
            <w:r w:rsidRPr="007223BC">
              <w:rPr>
                <w:sz w:val="22"/>
                <w:szCs w:val="22"/>
                <w:lang w:val="sr-Latn-RS" w:eastAsia="sr-Latn-RS"/>
              </w:rPr>
              <w:t>ana je i prema ispitivanju. Za ocjenu je korišćena granična vrijednost neinferiornosti od 10%.</w:t>
            </w:r>
          </w:p>
          <w:p w14:paraId="0D0EEF12" w14:textId="77777777" w:rsidR="00E10C7D" w:rsidRPr="007223BC" w:rsidRDefault="00E10C7D">
            <w:pPr>
              <w:keepNext/>
              <w:jc w:val="both"/>
              <w:rPr>
                <w:sz w:val="22"/>
                <w:szCs w:val="22"/>
                <w:lang w:val="sr-Latn-RS" w:eastAsia="sr-Latn-RS"/>
              </w:rPr>
            </w:pPr>
            <w:r w:rsidRPr="007223BC">
              <w:rPr>
                <w:sz w:val="22"/>
                <w:szCs w:val="22"/>
                <w:lang w:val="sr-Latn-RS" w:eastAsia="sr-Latn-RS"/>
              </w:rPr>
              <w:t xml:space="preserve">N = </w:t>
            </w:r>
            <w:bookmarkStart w:id="5" w:name="_Hlk80793850"/>
            <w:r w:rsidRPr="007223BC">
              <w:rPr>
                <w:sz w:val="22"/>
                <w:szCs w:val="22"/>
                <w:lang w:val="sr-Latn-RS" w:eastAsia="sr-Latn-RS"/>
              </w:rPr>
              <w:t>broj ispitanika u svakoj liječenoj grupi</w:t>
            </w:r>
            <w:bookmarkEnd w:id="5"/>
          </w:p>
        </w:tc>
      </w:tr>
    </w:tbl>
    <w:p w14:paraId="4FE22C8A" w14:textId="77777777" w:rsidR="001D1ED0" w:rsidRPr="00287AA6" w:rsidRDefault="001D1ED0" w:rsidP="00805A14">
      <w:pPr>
        <w:jc w:val="both"/>
        <w:rPr>
          <w:sz w:val="22"/>
          <w:szCs w:val="22"/>
          <w:lang w:val="sr-Latn-RS" w:eastAsia="ja-JP"/>
        </w:rPr>
      </w:pPr>
    </w:p>
    <w:p w14:paraId="32D38F83" w14:textId="67FE8ACD" w:rsidR="00CD7A2B" w:rsidRPr="00287AA6" w:rsidRDefault="00CD7A2B">
      <w:pPr>
        <w:jc w:val="both"/>
        <w:rPr>
          <w:sz w:val="22"/>
          <w:szCs w:val="22"/>
          <w:lang w:val="sr-Latn-RS" w:eastAsia="ja-JP"/>
        </w:rPr>
      </w:pPr>
      <w:r w:rsidRPr="00287AA6">
        <w:rPr>
          <w:sz w:val="22"/>
          <w:szCs w:val="22"/>
          <w:lang w:val="sr-Latn-RS" w:eastAsia="ja-JP"/>
        </w:rPr>
        <w:t xml:space="preserve">Nakon 96 </w:t>
      </w:r>
      <w:r w:rsidR="001D1ED0" w:rsidRPr="00287AA6">
        <w:rPr>
          <w:sz w:val="22"/>
          <w:szCs w:val="22"/>
          <w:lang w:val="sr-Latn-RS" w:eastAsia="ja-JP"/>
        </w:rPr>
        <w:t>nedjelja</w:t>
      </w:r>
      <w:r w:rsidRPr="00287AA6">
        <w:rPr>
          <w:sz w:val="22"/>
          <w:szCs w:val="22"/>
          <w:lang w:val="sr-Latn-RS" w:eastAsia="ja-JP"/>
        </w:rPr>
        <w:t> i 144 </w:t>
      </w:r>
      <w:r w:rsidR="001D1ED0" w:rsidRPr="00287AA6">
        <w:rPr>
          <w:sz w:val="22"/>
          <w:szCs w:val="22"/>
          <w:lang w:val="sr-Latn-RS" w:eastAsia="ja-JP"/>
        </w:rPr>
        <w:t>nedjelje</w:t>
      </w:r>
      <w:r w:rsidRPr="00287AA6">
        <w:rPr>
          <w:sz w:val="22"/>
          <w:szCs w:val="22"/>
          <w:lang w:val="sr-Latn-RS" w:eastAsia="ja-JP"/>
        </w:rPr>
        <w:t xml:space="preserve"> u ispitivanjima iz programa GEMINI, donja granica 95%</w:t>
      </w:r>
      <w:r w:rsidRPr="00287AA6">
        <w:rPr>
          <w:sz w:val="22"/>
          <w:szCs w:val="22"/>
          <w:lang w:val="sr-Latn-RS" w:eastAsia="ja-JP"/>
        </w:rPr>
        <w:noBreakHyphen/>
        <w:t>tnog intervala pouzdanosti za prilagođenu razliku između liječenja u vidu udjela ispitanika s HIV</w:t>
      </w:r>
      <w:r w:rsidRPr="00287AA6">
        <w:rPr>
          <w:sz w:val="22"/>
          <w:szCs w:val="22"/>
          <w:lang w:val="sr-Latn-RS" w:eastAsia="ja-JP"/>
        </w:rPr>
        <w:noBreakHyphen/>
        <w:t>1 RN</w:t>
      </w:r>
      <w:r w:rsidR="001D1ED0" w:rsidRPr="00287AA6">
        <w:rPr>
          <w:sz w:val="22"/>
          <w:szCs w:val="22"/>
          <w:lang w:val="sr-Latn-RS" w:eastAsia="ja-JP"/>
        </w:rPr>
        <w:t>K</w:t>
      </w:r>
      <w:r w:rsidRPr="00287AA6">
        <w:rPr>
          <w:sz w:val="22"/>
          <w:szCs w:val="22"/>
          <w:lang w:val="sr-Latn-RS" w:eastAsia="ja-JP"/>
        </w:rPr>
        <w:t xml:space="preserve"> </w:t>
      </w:r>
      <w:r w:rsidRPr="00287AA6">
        <w:rPr>
          <w:sz w:val="22"/>
          <w:szCs w:val="22"/>
          <w:lang w:val="sr-Latn-RS" w:eastAsia="ja-JP"/>
        </w:rPr>
        <w:lastRenderedPageBreak/>
        <w:t>&lt; 50 kopija/m</w:t>
      </w:r>
      <w:r w:rsidR="00B412CB">
        <w:rPr>
          <w:sz w:val="22"/>
          <w:szCs w:val="22"/>
          <w:lang w:val="sr-Latn-RS" w:eastAsia="ja-JP"/>
        </w:rPr>
        <w:t>l</w:t>
      </w:r>
      <w:r w:rsidRPr="00287AA6">
        <w:rPr>
          <w:sz w:val="22"/>
          <w:szCs w:val="22"/>
          <w:lang w:val="sr-Latn-RS" w:eastAsia="ja-JP"/>
        </w:rPr>
        <w:t xml:space="preserve"> (</w:t>
      </w:r>
      <w:r w:rsidR="005F49B6" w:rsidRPr="00287AA6">
        <w:rPr>
          <w:i/>
          <w:iCs/>
          <w:sz w:val="22"/>
          <w:szCs w:val="22"/>
          <w:lang w:val="sr-Latn-RS" w:eastAsia="ja-JP"/>
        </w:rPr>
        <w:t>Snapshot</w:t>
      </w:r>
      <w:r w:rsidR="005F49B6" w:rsidRPr="00287AA6">
        <w:rPr>
          <w:sz w:val="22"/>
          <w:szCs w:val="22"/>
          <w:lang w:val="sr-Latn-RS" w:eastAsia="ja-JP"/>
        </w:rPr>
        <w:t xml:space="preserve"> </w:t>
      </w:r>
      <w:r w:rsidRPr="00287AA6">
        <w:rPr>
          <w:sz w:val="22"/>
          <w:szCs w:val="22"/>
          <w:lang w:val="sr-Latn-RS" w:eastAsia="ja-JP"/>
        </w:rPr>
        <w:t xml:space="preserve">algoritam) bila je veća od granične vrijednosti za neinferiornost od </w:t>
      </w:r>
      <w:r w:rsidRPr="00287AA6">
        <w:rPr>
          <w:sz w:val="22"/>
          <w:szCs w:val="22"/>
          <w:lang w:val="sr-Latn-RS" w:eastAsia="ja-JP"/>
        </w:rPr>
        <w:noBreakHyphen/>
        <w:t>10% i za pojedinačna ispitivanja i za analizu objedinjenih podataka (vidjeti Tab</w:t>
      </w:r>
      <w:r w:rsidR="001D1ED0" w:rsidRPr="00287AA6">
        <w:rPr>
          <w:sz w:val="22"/>
          <w:szCs w:val="22"/>
          <w:lang w:val="sr-Latn-RS" w:eastAsia="ja-JP"/>
        </w:rPr>
        <w:t>elu</w:t>
      </w:r>
      <w:r w:rsidRPr="00287AA6">
        <w:rPr>
          <w:sz w:val="22"/>
          <w:szCs w:val="22"/>
          <w:lang w:val="sr-Latn-RS" w:eastAsia="ja-JP"/>
        </w:rPr>
        <w:t> 4).</w:t>
      </w:r>
    </w:p>
    <w:p w14:paraId="79356536" w14:textId="77777777" w:rsidR="00CD7A2B" w:rsidRPr="00287AA6" w:rsidRDefault="00CD7A2B">
      <w:pPr>
        <w:jc w:val="both"/>
        <w:rPr>
          <w:sz w:val="22"/>
          <w:szCs w:val="22"/>
          <w:highlight w:val="yellow"/>
          <w:lang w:val="sr-Latn-RS" w:eastAsia="ja-JP"/>
        </w:rPr>
      </w:pPr>
    </w:p>
    <w:p w14:paraId="1078B38B" w14:textId="2B1FCCE4" w:rsidR="00CD7A2B" w:rsidRPr="00287AA6" w:rsidRDefault="00CD7A2B">
      <w:pPr>
        <w:keepNext/>
        <w:suppressLineNumbers/>
        <w:autoSpaceDE w:val="0"/>
        <w:autoSpaceDN w:val="0"/>
        <w:adjustRightInd w:val="0"/>
        <w:ind w:left="1440" w:hanging="1440"/>
        <w:jc w:val="both"/>
        <w:rPr>
          <w:b/>
          <w:bCs/>
          <w:noProof/>
          <w:sz w:val="22"/>
          <w:szCs w:val="22"/>
          <w:lang w:val="sr-Latn-RS"/>
        </w:rPr>
      </w:pPr>
      <w:r w:rsidRPr="00287AA6">
        <w:rPr>
          <w:b/>
          <w:bCs/>
          <w:noProof/>
          <w:sz w:val="22"/>
          <w:szCs w:val="22"/>
          <w:lang w:val="sr-Latn-RS"/>
        </w:rPr>
        <w:t>Tab</w:t>
      </w:r>
      <w:r w:rsidR="001D1ED0" w:rsidRPr="00287AA6">
        <w:rPr>
          <w:b/>
          <w:bCs/>
          <w:noProof/>
          <w:sz w:val="22"/>
          <w:szCs w:val="22"/>
          <w:lang w:val="sr-Latn-RS"/>
        </w:rPr>
        <w:t>ela</w:t>
      </w:r>
      <w:r w:rsidRPr="00287AA6">
        <w:rPr>
          <w:b/>
          <w:bCs/>
          <w:noProof/>
          <w:sz w:val="22"/>
          <w:szCs w:val="22"/>
          <w:lang w:val="sr-Latn-RS"/>
        </w:rPr>
        <w:t xml:space="preserve"> 4</w:t>
      </w:r>
      <w:r w:rsidRPr="00287AA6">
        <w:rPr>
          <w:sz w:val="22"/>
          <w:szCs w:val="22"/>
          <w:lang w:val="sr-Latn-RS"/>
        </w:rPr>
        <w:tab/>
      </w:r>
      <w:r w:rsidRPr="00287AA6">
        <w:rPr>
          <w:b/>
          <w:sz w:val="22"/>
          <w:szCs w:val="22"/>
          <w:lang w:val="sr-Latn-RS"/>
        </w:rPr>
        <w:t xml:space="preserve">Virološki ishodi </w:t>
      </w:r>
      <w:r w:rsidR="00284B2D" w:rsidRPr="00287AA6">
        <w:rPr>
          <w:b/>
          <w:sz w:val="22"/>
          <w:szCs w:val="22"/>
          <w:lang w:val="sr-Latn-RS"/>
        </w:rPr>
        <w:t xml:space="preserve">randomizovanog </w:t>
      </w:r>
      <w:r w:rsidRPr="00287AA6">
        <w:rPr>
          <w:b/>
          <w:sz w:val="22"/>
          <w:szCs w:val="22"/>
          <w:lang w:val="sr-Latn-RS"/>
        </w:rPr>
        <w:t xml:space="preserve">liječenja u 96. i 144. </w:t>
      </w:r>
      <w:r w:rsidR="004F20F1" w:rsidRPr="00287AA6">
        <w:rPr>
          <w:b/>
          <w:sz w:val="22"/>
          <w:szCs w:val="22"/>
          <w:lang w:val="sr-Latn-RS"/>
        </w:rPr>
        <w:t>nedjelji</w:t>
      </w:r>
      <w:r w:rsidRPr="00287AA6">
        <w:rPr>
          <w:b/>
          <w:sz w:val="22"/>
          <w:szCs w:val="22"/>
          <w:lang w:val="sr-Latn-RS"/>
        </w:rPr>
        <w:t xml:space="preserve"> ispitivanja GEMINI (</w:t>
      </w:r>
      <w:r w:rsidR="00284B2D" w:rsidRPr="00287AA6">
        <w:rPr>
          <w:b/>
          <w:i/>
          <w:iCs/>
          <w:sz w:val="22"/>
          <w:szCs w:val="22"/>
          <w:lang w:val="sr-Latn-RS"/>
        </w:rPr>
        <w:t>Snapshot</w:t>
      </w:r>
      <w:r w:rsidR="00284B2D" w:rsidRPr="00287AA6">
        <w:rPr>
          <w:b/>
          <w:sz w:val="22"/>
          <w:szCs w:val="22"/>
          <w:lang w:val="sr-Latn-RS"/>
        </w:rPr>
        <w:t xml:space="preserve"> </w:t>
      </w:r>
      <w:r w:rsidRPr="00287AA6">
        <w:rPr>
          <w:b/>
          <w:sz w:val="22"/>
          <w:szCs w:val="22"/>
          <w:lang w:val="sr-Latn-RS"/>
        </w:rPr>
        <w:t>algoritam)</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851"/>
        <w:gridCol w:w="1275"/>
        <w:gridCol w:w="922"/>
        <w:gridCol w:w="1205"/>
      </w:tblGrid>
      <w:tr w:rsidR="00CD7A2B" w:rsidRPr="00413968" w14:paraId="2820A802" w14:textId="77777777" w:rsidTr="004F20F1">
        <w:tc>
          <w:tcPr>
            <w:tcW w:w="4673" w:type="dxa"/>
            <w:vMerge w:val="restart"/>
          </w:tcPr>
          <w:p w14:paraId="018C96C5" w14:textId="77777777" w:rsidR="00CD7A2B" w:rsidRPr="00287AA6" w:rsidRDefault="00CD7A2B" w:rsidP="00413968">
            <w:pPr>
              <w:keepNext/>
              <w:jc w:val="both"/>
              <w:rPr>
                <w:sz w:val="22"/>
                <w:szCs w:val="22"/>
                <w:lang w:val="sr-Latn-RS"/>
              </w:rPr>
            </w:pPr>
          </w:p>
        </w:tc>
        <w:tc>
          <w:tcPr>
            <w:tcW w:w="4253" w:type="dxa"/>
            <w:gridSpan w:val="4"/>
          </w:tcPr>
          <w:p w14:paraId="0980AAAF" w14:textId="77777777" w:rsidR="00CD7A2B" w:rsidRPr="00287AA6" w:rsidRDefault="00CD7A2B" w:rsidP="00413968">
            <w:pPr>
              <w:keepNext/>
              <w:jc w:val="both"/>
              <w:rPr>
                <w:b/>
                <w:bCs/>
                <w:sz w:val="22"/>
                <w:szCs w:val="22"/>
                <w:lang w:val="it-IT"/>
              </w:rPr>
            </w:pPr>
            <w:r w:rsidRPr="00287AA6">
              <w:rPr>
                <w:b/>
                <w:bCs/>
                <w:sz w:val="22"/>
                <w:szCs w:val="22"/>
                <w:lang w:val="it-IT"/>
              </w:rPr>
              <w:t>Objedinjeni podaci iz ispitivanja GEMINI</w:t>
            </w:r>
            <w:r w:rsidRPr="00287AA6">
              <w:rPr>
                <w:b/>
                <w:bCs/>
                <w:sz w:val="22"/>
                <w:szCs w:val="22"/>
                <w:lang w:val="it-IT"/>
              </w:rPr>
              <w:noBreakHyphen/>
              <w:t>1 i GEMINI</w:t>
            </w:r>
            <w:r w:rsidRPr="00287AA6">
              <w:rPr>
                <w:b/>
                <w:bCs/>
                <w:sz w:val="22"/>
                <w:szCs w:val="22"/>
                <w:lang w:val="it-IT"/>
              </w:rPr>
              <w:noBreakHyphen/>
              <w:t>2*</w:t>
            </w:r>
          </w:p>
        </w:tc>
      </w:tr>
      <w:tr w:rsidR="00CD7A2B" w:rsidRPr="007223BC" w14:paraId="140025A5" w14:textId="77777777" w:rsidTr="004F20F1">
        <w:tc>
          <w:tcPr>
            <w:tcW w:w="4673" w:type="dxa"/>
            <w:vMerge/>
          </w:tcPr>
          <w:p w14:paraId="07DA2F0E" w14:textId="77777777" w:rsidR="00CD7A2B" w:rsidRPr="00287AA6" w:rsidRDefault="00CD7A2B" w:rsidP="00413968">
            <w:pPr>
              <w:keepNext/>
              <w:jc w:val="both"/>
              <w:rPr>
                <w:sz w:val="22"/>
                <w:szCs w:val="22"/>
                <w:lang w:val="it-IT"/>
              </w:rPr>
            </w:pPr>
          </w:p>
        </w:tc>
        <w:tc>
          <w:tcPr>
            <w:tcW w:w="851" w:type="dxa"/>
          </w:tcPr>
          <w:p w14:paraId="584BF181" w14:textId="77777777" w:rsidR="00CD7A2B" w:rsidRPr="007223BC" w:rsidRDefault="00CD7A2B" w:rsidP="00413968">
            <w:pPr>
              <w:keepNext/>
              <w:jc w:val="both"/>
              <w:rPr>
                <w:b/>
                <w:sz w:val="22"/>
                <w:szCs w:val="22"/>
              </w:rPr>
            </w:pPr>
            <w:r w:rsidRPr="007223BC">
              <w:rPr>
                <w:b/>
                <w:sz w:val="22"/>
                <w:szCs w:val="22"/>
              </w:rPr>
              <w:t>DTG + 3TC</w:t>
            </w:r>
          </w:p>
          <w:p w14:paraId="747CDA02" w14:textId="77777777" w:rsidR="00CD7A2B" w:rsidRPr="007223BC" w:rsidRDefault="00CD7A2B" w:rsidP="00413968">
            <w:pPr>
              <w:keepNext/>
              <w:jc w:val="both"/>
              <w:rPr>
                <w:b/>
                <w:sz w:val="22"/>
                <w:szCs w:val="22"/>
              </w:rPr>
            </w:pPr>
            <w:r w:rsidRPr="007223BC">
              <w:rPr>
                <w:b/>
                <w:sz w:val="22"/>
                <w:szCs w:val="22"/>
              </w:rPr>
              <w:t>N=716</w:t>
            </w:r>
          </w:p>
        </w:tc>
        <w:tc>
          <w:tcPr>
            <w:tcW w:w="1275" w:type="dxa"/>
          </w:tcPr>
          <w:p w14:paraId="74C475B6" w14:textId="77777777" w:rsidR="00CD7A2B" w:rsidRPr="007223BC" w:rsidRDefault="00CD7A2B" w:rsidP="00413968">
            <w:pPr>
              <w:keepNext/>
              <w:jc w:val="both"/>
              <w:rPr>
                <w:b/>
                <w:sz w:val="22"/>
                <w:szCs w:val="22"/>
              </w:rPr>
            </w:pPr>
            <w:r w:rsidRPr="007223BC">
              <w:rPr>
                <w:b/>
                <w:sz w:val="22"/>
                <w:szCs w:val="22"/>
              </w:rPr>
              <w:t>DTG + TDF/FTC</w:t>
            </w:r>
          </w:p>
          <w:p w14:paraId="2FE4B20B" w14:textId="77777777" w:rsidR="00CD7A2B" w:rsidRPr="007223BC" w:rsidRDefault="00CD7A2B" w:rsidP="00413968">
            <w:pPr>
              <w:keepNext/>
              <w:jc w:val="both"/>
              <w:rPr>
                <w:b/>
                <w:sz w:val="22"/>
                <w:szCs w:val="22"/>
              </w:rPr>
            </w:pPr>
            <w:r w:rsidRPr="007223BC">
              <w:rPr>
                <w:b/>
                <w:sz w:val="22"/>
                <w:szCs w:val="22"/>
              </w:rPr>
              <w:t>N=717</w:t>
            </w:r>
          </w:p>
        </w:tc>
        <w:tc>
          <w:tcPr>
            <w:tcW w:w="922" w:type="dxa"/>
          </w:tcPr>
          <w:p w14:paraId="738F0B43" w14:textId="77777777" w:rsidR="00CD7A2B" w:rsidRPr="007223BC" w:rsidRDefault="00CD7A2B" w:rsidP="00413968">
            <w:pPr>
              <w:keepNext/>
              <w:jc w:val="both"/>
              <w:rPr>
                <w:b/>
                <w:sz w:val="22"/>
                <w:szCs w:val="22"/>
              </w:rPr>
            </w:pPr>
            <w:r w:rsidRPr="007223BC">
              <w:rPr>
                <w:b/>
                <w:sz w:val="22"/>
                <w:szCs w:val="22"/>
              </w:rPr>
              <w:t>DTG + 3TC</w:t>
            </w:r>
          </w:p>
          <w:p w14:paraId="51AFFD2E" w14:textId="77777777" w:rsidR="00CD7A2B" w:rsidRPr="007223BC" w:rsidRDefault="00CD7A2B" w:rsidP="00413968">
            <w:pPr>
              <w:keepNext/>
              <w:jc w:val="both"/>
              <w:rPr>
                <w:b/>
                <w:sz w:val="22"/>
                <w:szCs w:val="22"/>
              </w:rPr>
            </w:pPr>
            <w:r w:rsidRPr="007223BC">
              <w:rPr>
                <w:b/>
                <w:sz w:val="22"/>
                <w:szCs w:val="22"/>
              </w:rPr>
              <w:t>N=716</w:t>
            </w:r>
          </w:p>
        </w:tc>
        <w:tc>
          <w:tcPr>
            <w:tcW w:w="1205" w:type="dxa"/>
          </w:tcPr>
          <w:p w14:paraId="6790A0A8" w14:textId="77777777" w:rsidR="00CD7A2B" w:rsidRPr="007223BC" w:rsidRDefault="00CD7A2B" w:rsidP="00413968">
            <w:pPr>
              <w:keepNext/>
              <w:jc w:val="both"/>
              <w:rPr>
                <w:b/>
                <w:sz w:val="22"/>
                <w:szCs w:val="22"/>
              </w:rPr>
            </w:pPr>
            <w:r w:rsidRPr="007223BC">
              <w:rPr>
                <w:b/>
                <w:sz w:val="22"/>
                <w:szCs w:val="22"/>
              </w:rPr>
              <w:t>DTG + TDF/FTC</w:t>
            </w:r>
          </w:p>
          <w:p w14:paraId="327029CB" w14:textId="77777777" w:rsidR="00CD7A2B" w:rsidRPr="007223BC" w:rsidRDefault="00CD7A2B" w:rsidP="00413968">
            <w:pPr>
              <w:keepNext/>
              <w:jc w:val="both"/>
              <w:rPr>
                <w:b/>
                <w:sz w:val="22"/>
                <w:szCs w:val="22"/>
              </w:rPr>
            </w:pPr>
            <w:r w:rsidRPr="007223BC">
              <w:rPr>
                <w:b/>
                <w:sz w:val="22"/>
                <w:szCs w:val="22"/>
              </w:rPr>
              <w:t>N=717</w:t>
            </w:r>
          </w:p>
        </w:tc>
      </w:tr>
      <w:tr w:rsidR="00CD7A2B" w:rsidRPr="007223BC" w14:paraId="7DE1E6F4" w14:textId="77777777" w:rsidTr="004F20F1">
        <w:tc>
          <w:tcPr>
            <w:tcW w:w="4673" w:type="dxa"/>
            <w:vAlign w:val="center"/>
          </w:tcPr>
          <w:p w14:paraId="64B0D6B3" w14:textId="77777777" w:rsidR="00CD7A2B" w:rsidRPr="007223BC" w:rsidRDefault="00CD7A2B" w:rsidP="00413968">
            <w:pPr>
              <w:keepNext/>
              <w:jc w:val="both"/>
              <w:rPr>
                <w:b/>
                <w:sz w:val="22"/>
                <w:szCs w:val="22"/>
              </w:rPr>
            </w:pPr>
          </w:p>
        </w:tc>
        <w:tc>
          <w:tcPr>
            <w:tcW w:w="2126" w:type="dxa"/>
            <w:gridSpan w:val="2"/>
          </w:tcPr>
          <w:p w14:paraId="6F296DDC" w14:textId="77777777" w:rsidR="00CD7A2B" w:rsidRPr="007223BC" w:rsidRDefault="00CD7A2B" w:rsidP="00413968">
            <w:pPr>
              <w:keepNext/>
              <w:jc w:val="both"/>
              <w:rPr>
                <w:sz w:val="22"/>
                <w:szCs w:val="22"/>
              </w:rPr>
            </w:pPr>
            <w:r w:rsidRPr="007223BC">
              <w:rPr>
                <w:sz w:val="22"/>
                <w:szCs w:val="22"/>
              </w:rPr>
              <w:t>96. </w:t>
            </w:r>
            <w:r w:rsidR="004F20F1" w:rsidRPr="007223BC">
              <w:rPr>
                <w:sz w:val="22"/>
                <w:szCs w:val="22"/>
              </w:rPr>
              <w:t>nedjelja</w:t>
            </w:r>
          </w:p>
        </w:tc>
        <w:tc>
          <w:tcPr>
            <w:tcW w:w="2127" w:type="dxa"/>
            <w:gridSpan w:val="2"/>
          </w:tcPr>
          <w:p w14:paraId="23689326" w14:textId="77777777" w:rsidR="00CD7A2B" w:rsidRPr="007223BC" w:rsidRDefault="00CD7A2B" w:rsidP="00413968">
            <w:pPr>
              <w:keepNext/>
              <w:jc w:val="both"/>
              <w:rPr>
                <w:sz w:val="22"/>
                <w:szCs w:val="22"/>
              </w:rPr>
            </w:pPr>
            <w:r w:rsidRPr="007223BC">
              <w:rPr>
                <w:sz w:val="22"/>
                <w:szCs w:val="22"/>
              </w:rPr>
              <w:t>144. </w:t>
            </w:r>
            <w:r w:rsidR="004F20F1" w:rsidRPr="007223BC">
              <w:rPr>
                <w:sz w:val="22"/>
                <w:szCs w:val="22"/>
              </w:rPr>
              <w:t>nedjelja</w:t>
            </w:r>
          </w:p>
        </w:tc>
      </w:tr>
      <w:tr w:rsidR="00CD7A2B" w:rsidRPr="007223BC" w14:paraId="245F6101" w14:textId="77777777" w:rsidTr="004F20F1">
        <w:tc>
          <w:tcPr>
            <w:tcW w:w="4673" w:type="dxa"/>
            <w:vAlign w:val="center"/>
          </w:tcPr>
          <w:p w14:paraId="5E6609C9" w14:textId="7E040850" w:rsidR="00CD7A2B" w:rsidRPr="007223BC" w:rsidRDefault="00CD7A2B" w:rsidP="00413968">
            <w:pPr>
              <w:keepNext/>
              <w:jc w:val="both"/>
              <w:rPr>
                <w:sz w:val="22"/>
                <w:szCs w:val="22"/>
              </w:rPr>
            </w:pPr>
            <w:r w:rsidRPr="007223BC">
              <w:rPr>
                <w:b/>
                <w:sz w:val="22"/>
                <w:szCs w:val="22"/>
              </w:rPr>
              <w:t>HIV</w:t>
            </w:r>
            <w:r w:rsidRPr="007223BC">
              <w:rPr>
                <w:b/>
                <w:sz w:val="22"/>
                <w:szCs w:val="22"/>
              </w:rPr>
              <w:noBreakHyphen/>
              <w:t>1 RN</w:t>
            </w:r>
            <w:r w:rsidR="004F20F1" w:rsidRPr="007223BC">
              <w:rPr>
                <w:b/>
                <w:sz w:val="22"/>
                <w:szCs w:val="22"/>
              </w:rPr>
              <w:t>K</w:t>
            </w:r>
            <w:r w:rsidRPr="007223BC">
              <w:rPr>
                <w:b/>
                <w:sz w:val="22"/>
                <w:szCs w:val="22"/>
              </w:rPr>
              <w:t xml:space="preserve"> &lt; 50 kopija/m</w:t>
            </w:r>
            <w:r w:rsidR="00B412CB">
              <w:rPr>
                <w:b/>
                <w:sz w:val="22"/>
                <w:szCs w:val="22"/>
              </w:rPr>
              <w:t>l</w:t>
            </w:r>
          </w:p>
        </w:tc>
        <w:tc>
          <w:tcPr>
            <w:tcW w:w="851" w:type="dxa"/>
          </w:tcPr>
          <w:p w14:paraId="0B925AA2" w14:textId="77777777" w:rsidR="00CD7A2B" w:rsidRPr="007223BC" w:rsidRDefault="00CD7A2B" w:rsidP="00413968">
            <w:pPr>
              <w:keepNext/>
              <w:jc w:val="both"/>
              <w:rPr>
                <w:sz w:val="22"/>
                <w:szCs w:val="22"/>
              </w:rPr>
            </w:pPr>
            <w:r w:rsidRPr="007223BC">
              <w:rPr>
                <w:sz w:val="22"/>
                <w:szCs w:val="22"/>
              </w:rPr>
              <w:t>86%</w:t>
            </w:r>
          </w:p>
        </w:tc>
        <w:tc>
          <w:tcPr>
            <w:tcW w:w="1275" w:type="dxa"/>
          </w:tcPr>
          <w:p w14:paraId="08ABC0F0" w14:textId="77777777" w:rsidR="00CD7A2B" w:rsidRPr="007223BC" w:rsidRDefault="00CD7A2B" w:rsidP="00413968">
            <w:pPr>
              <w:keepNext/>
              <w:jc w:val="both"/>
              <w:rPr>
                <w:sz w:val="22"/>
                <w:szCs w:val="22"/>
              </w:rPr>
            </w:pPr>
            <w:r w:rsidRPr="007223BC">
              <w:rPr>
                <w:sz w:val="22"/>
                <w:szCs w:val="22"/>
              </w:rPr>
              <w:t>90%</w:t>
            </w:r>
          </w:p>
        </w:tc>
        <w:tc>
          <w:tcPr>
            <w:tcW w:w="922" w:type="dxa"/>
          </w:tcPr>
          <w:p w14:paraId="401560A0" w14:textId="77777777" w:rsidR="00CD7A2B" w:rsidRPr="007223BC" w:rsidRDefault="00CD7A2B" w:rsidP="00413968">
            <w:pPr>
              <w:keepNext/>
              <w:jc w:val="both"/>
              <w:rPr>
                <w:sz w:val="22"/>
                <w:szCs w:val="22"/>
              </w:rPr>
            </w:pPr>
            <w:r w:rsidRPr="007223BC">
              <w:rPr>
                <w:sz w:val="22"/>
                <w:szCs w:val="22"/>
              </w:rPr>
              <w:t>82%</w:t>
            </w:r>
          </w:p>
        </w:tc>
        <w:tc>
          <w:tcPr>
            <w:tcW w:w="1205" w:type="dxa"/>
          </w:tcPr>
          <w:p w14:paraId="0F289EC3" w14:textId="77777777" w:rsidR="00CD7A2B" w:rsidRPr="007223BC" w:rsidRDefault="00CD7A2B" w:rsidP="00413968">
            <w:pPr>
              <w:keepNext/>
              <w:jc w:val="both"/>
              <w:rPr>
                <w:sz w:val="22"/>
                <w:szCs w:val="22"/>
              </w:rPr>
            </w:pPr>
            <w:r w:rsidRPr="007223BC">
              <w:rPr>
                <w:sz w:val="22"/>
                <w:szCs w:val="22"/>
              </w:rPr>
              <w:t>84%</w:t>
            </w:r>
          </w:p>
        </w:tc>
      </w:tr>
      <w:tr w:rsidR="00CD7A2B" w:rsidRPr="007223BC" w14:paraId="6AAE498B" w14:textId="77777777" w:rsidTr="004F20F1">
        <w:tc>
          <w:tcPr>
            <w:tcW w:w="4673" w:type="dxa"/>
            <w:tcBorders>
              <w:bottom w:val="single" w:sz="4" w:space="0" w:color="auto"/>
            </w:tcBorders>
            <w:vAlign w:val="center"/>
          </w:tcPr>
          <w:p w14:paraId="7A1925BF" w14:textId="77777777" w:rsidR="00CD7A2B" w:rsidRPr="007223BC" w:rsidRDefault="00CD7A2B" w:rsidP="00413968">
            <w:pPr>
              <w:keepNext/>
              <w:jc w:val="both"/>
              <w:rPr>
                <w:sz w:val="22"/>
                <w:szCs w:val="22"/>
              </w:rPr>
            </w:pPr>
            <w:r w:rsidRPr="007223BC">
              <w:rPr>
                <w:b/>
                <w:bCs/>
                <w:sz w:val="22"/>
                <w:szCs w:val="22"/>
              </w:rPr>
              <w:t>Razlika između liječenja</w:t>
            </w:r>
            <w:r w:rsidRPr="007223BC">
              <w:rPr>
                <w:sz w:val="22"/>
                <w:szCs w:val="22"/>
                <w:vertAlign w:val="superscript"/>
              </w:rPr>
              <w:t>†</w:t>
            </w:r>
            <w:r w:rsidRPr="007223BC">
              <w:rPr>
                <w:sz w:val="22"/>
                <w:szCs w:val="22"/>
              </w:rPr>
              <w:t xml:space="preserve"> </w:t>
            </w:r>
          </w:p>
          <w:p w14:paraId="31CA0E0B" w14:textId="77777777" w:rsidR="00CD7A2B" w:rsidRPr="007223BC" w:rsidRDefault="00CD7A2B" w:rsidP="00413968">
            <w:pPr>
              <w:keepNext/>
              <w:jc w:val="both"/>
              <w:rPr>
                <w:b/>
                <w:sz w:val="22"/>
                <w:szCs w:val="22"/>
              </w:rPr>
            </w:pPr>
            <w:r w:rsidRPr="007223BC">
              <w:rPr>
                <w:sz w:val="22"/>
                <w:szCs w:val="22"/>
              </w:rPr>
              <w:t>(</w:t>
            </w:r>
            <w:proofErr w:type="gramStart"/>
            <w:r w:rsidRPr="007223BC">
              <w:rPr>
                <w:sz w:val="22"/>
                <w:szCs w:val="22"/>
              </w:rPr>
              <w:t>intervali</w:t>
            </w:r>
            <w:proofErr w:type="gramEnd"/>
            <w:r w:rsidRPr="007223BC">
              <w:rPr>
                <w:sz w:val="22"/>
                <w:szCs w:val="22"/>
              </w:rPr>
              <w:t xml:space="preserve"> pouzdanosti od 95%)</w:t>
            </w:r>
          </w:p>
        </w:tc>
        <w:tc>
          <w:tcPr>
            <w:tcW w:w="2126" w:type="dxa"/>
            <w:gridSpan w:val="2"/>
            <w:tcBorders>
              <w:bottom w:val="single" w:sz="4" w:space="0" w:color="auto"/>
            </w:tcBorders>
            <w:vAlign w:val="center"/>
          </w:tcPr>
          <w:p w14:paraId="2F898700" w14:textId="77777777" w:rsidR="00CD7A2B" w:rsidRPr="007223BC" w:rsidRDefault="00CD7A2B" w:rsidP="00413968">
            <w:pPr>
              <w:keepNext/>
              <w:jc w:val="both"/>
              <w:rPr>
                <w:sz w:val="22"/>
                <w:szCs w:val="22"/>
              </w:rPr>
            </w:pPr>
            <w:r w:rsidRPr="007223BC">
              <w:rPr>
                <w:sz w:val="22"/>
                <w:szCs w:val="22"/>
                <w:lang w:eastAsia="ja-JP"/>
              </w:rPr>
              <w:t>-3,4% (-6,7; 0,0)</w:t>
            </w:r>
          </w:p>
        </w:tc>
        <w:tc>
          <w:tcPr>
            <w:tcW w:w="2127" w:type="dxa"/>
            <w:gridSpan w:val="2"/>
            <w:tcBorders>
              <w:bottom w:val="single" w:sz="4" w:space="0" w:color="auto"/>
            </w:tcBorders>
            <w:vAlign w:val="center"/>
          </w:tcPr>
          <w:p w14:paraId="4A0CDE05" w14:textId="77777777" w:rsidR="00CD7A2B" w:rsidRPr="007223BC" w:rsidRDefault="00CD7A2B" w:rsidP="00413968">
            <w:pPr>
              <w:keepNext/>
              <w:jc w:val="both"/>
              <w:rPr>
                <w:sz w:val="22"/>
                <w:szCs w:val="22"/>
              </w:rPr>
            </w:pPr>
            <w:r w:rsidRPr="007223BC">
              <w:rPr>
                <w:sz w:val="22"/>
                <w:szCs w:val="22"/>
              </w:rPr>
              <w:t>-1,8% (-5,8; 2,1)</w:t>
            </w:r>
          </w:p>
        </w:tc>
      </w:tr>
      <w:tr w:rsidR="00CD7A2B" w:rsidRPr="007223BC" w14:paraId="138AD40B" w14:textId="77777777" w:rsidTr="004F20F1">
        <w:tc>
          <w:tcPr>
            <w:tcW w:w="4673" w:type="dxa"/>
            <w:tcBorders>
              <w:bottom w:val="nil"/>
            </w:tcBorders>
          </w:tcPr>
          <w:p w14:paraId="3B4850A2" w14:textId="7BBFDBD2" w:rsidR="00CD7A2B" w:rsidRPr="007223BC" w:rsidRDefault="00CD7A2B" w:rsidP="00413968">
            <w:pPr>
              <w:keepNext/>
              <w:jc w:val="both"/>
              <w:rPr>
                <w:sz w:val="22"/>
                <w:szCs w:val="22"/>
              </w:rPr>
            </w:pPr>
            <w:r w:rsidRPr="007223BC">
              <w:rPr>
                <w:b/>
                <w:sz w:val="22"/>
                <w:szCs w:val="22"/>
              </w:rPr>
              <w:t>Izostanak virološkog odgovora</w:t>
            </w:r>
          </w:p>
        </w:tc>
        <w:tc>
          <w:tcPr>
            <w:tcW w:w="851" w:type="dxa"/>
            <w:tcBorders>
              <w:bottom w:val="nil"/>
            </w:tcBorders>
            <w:shd w:val="clear" w:color="auto" w:fill="auto"/>
            <w:vAlign w:val="center"/>
          </w:tcPr>
          <w:p w14:paraId="604A2959" w14:textId="77777777" w:rsidR="00CD7A2B" w:rsidRPr="007223BC" w:rsidRDefault="00CD7A2B" w:rsidP="00413968">
            <w:pPr>
              <w:keepNext/>
              <w:jc w:val="both"/>
              <w:rPr>
                <w:sz w:val="22"/>
                <w:szCs w:val="22"/>
              </w:rPr>
            </w:pPr>
            <w:r w:rsidRPr="007223BC">
              <w:rPr>
                <w:sz w:val="22"/>
                <w:szCs w:val="22"/>
                <w:lang w:val="sv-SE"/>
              </w:rPr>
              <w:t>3%</w:t>
            </w:r>
          </w:p>
        </w:tc>
        <w:tc>
          <w:tcPr>
            <w:tcW w:w="1275" w:type="dxa"/>
            <w:tcBorders>
              <w:bottom w:val="nil"/>
            </w:tcBorders>
            <w:shd w:val="clear" w:color="auto" w:fill="auto"/>
          </w:tcPr>
          <w:p w14:paraId="182114A6" w14:textId="77777777" w:rsidR="00CD7A2B" w:rsidRPr="007223BC" w:rsidRDefault="00CD7A2B" w:rsidP="00413968">
            <w:pPr>
              <w:keepNext/>
              <w:jc w:val="both"/>
              <w:rPr>
                <w:sz w:val="22"/>
                <w:szCs w:val="22"/>
              </w:rPr>
            </w:pPr>
            <w:r w:rsidRPr="007223BC">
              <w:rPr>
                <w:sz w:val="22"/>
                <w:szCs w:val="22"/>
                <w:lang w:val="sv-SE"/>
              </w:rPr>
              <w:t>2%</w:t>
            </w:r>
          </w:p>
        </w:tc>
        <w:tc>
          <w:tcPr>
            <w:tcW w:w="922" w:type="dxa"/>
            <w:tcBorders>
              <w:bottom w:val="nil"/>
            </w:tcBorders>
            <w:shd w:val="clear" w:color="auto" w:fill="auto"/>
          </w:tcPr>
          <w:p w14:paraId="4821EB90" w14:textId="77777777" w:rsidR="00CD7A2B" w:rsidRPr="007223BC" w:rsidRDefault="00CD7A2B" w:rsidP="00413968">
            <w:pPr>
              <w:keepNext/>
              <w:jc w:val="both"/>
              <w:rPr>
                <w:sz w:val="22"/>
                <w:szCs w:val="22"/>
              </w:rPr>
            </w:pPr>
            <w:r w:rsidRPr="007223BC">
              <w:rPr>
                <w:sz w:val="22"/>
                <w:szCs w:val="22"/>
                <w:lang w:val="sv-SE"/>
              </w:rPr>
              <w:t>3%</w:t>
            </w:r>
          </w:p>
        </w:tc>
        <w:tc>
          <w:tcPr>
            <w:tcW w:w="1205" w:type="dxa"/>
            <w:tcBorders>
              <w:bottom w:val="nil"/>
            </w:tcBorders>
            <w:shd w:val="clear" w:color="auto" w:fill="auto"/>
          </w:tcPr>
          <w:p w14:paraId="5856C32F" w14:textId="77777777" w:rsidR="00CD7A2B" w:rsidRPr="007223BC" w:rsidRDefault="00CD7A2B" w:rsidP="00413968">
            <w:pPr>
              <w:keepNext/>
              <w:jc w:val="both"/>
              <w:rPr>
                <w:sz w:val="22"/>
                <w:szCs w:val="22"/>
              </w:rPr>
            </w:pPr>
            <w:r w:rsidRPr="007223BC">
              <w:rPr>
                <w:sz w:val="22"/>
                <w:szCs w:val="22"/>
                <w:lang w:val="sv-SE"/>
              </w:rPr>
              <w:t>3%</w:t>
            </w:r>
          </w:p>
        </w:tc>
      </w:tr>
      <w:tr w:rsidR="00CD7A2B" w:rsidRPr="007223BC" w14:paraId="35B933D5" w14:textId="77777777" w:rsidTr="004F20F1">
        <w:tc>
          <w:tcPr>
            <w:tcW w:w="4673" w:type="dxa"/>
            <w:tcBorders>
              <w:top w:val="nil"/>
              <w:bottom w:val="nil"/>
            </w:tcBorders>
          </w:tcPr>
          <w:p w14:paraId="4FF56809" w14:textId="77777777" w:rsidR="00CD7A2B" w:rsidRPr="007223BC" w:rsidRDefault="00CD7A2B" w:rsidP="00413968">
            <w:pPr>
              <w:keepNext/>
              <w:jc w:val="both"/>
              <w:rPr>
                <w:b/>
                <w:sz w:val="22"/>
                <w:szCs w:val="22"/>
              </w:rPr>
            </w:pPr>
            <w:r w:rsidRPr="007223BC">
              <w:rPr>
                <w:sz w:val="22"/>
                <w:szCs w:val="22"/>
                <w:u w:val="single"/>
              </w:rPr>
              <w:t>Razlozi</w:t>
            </w:r>
          </w:p>
        </w:tc>
        <w:tc>
          <w:tcPr>
            <w:tcW w:w="851" w:type="dxa"/>
            <w:tcBorders>
              <w:top w:val="nil"/>
              <w:bottom w:val="nil"/>
            </w:tcBorders>
            <w:shd w:val="clear" w:color="auto" w:fill="auto"/>
            <w:vAlign w:val="center"/>
          </w:tcPr>
          <w:p w14:paraId="14A50A66" w14:textId="77777777" w:rsidR="00CD7A2B" w:rsidRPr="007223BC" w:rsidRDefault="00CD7A2B" w:rsidP="00413968">
            <w:pPr>
              <w:keepNext/>
              <w:jc w:val="both"/>
              <w:rPr>
                <w:sz w:val="22"/>
                <w:szCs w:val="22"/>
              </w:rPr>
            </w:pPr>
          </w:p>
        </w:tc>
        <w:tc>
          <w:tcPr>
            <w:tcW w:w="1275" w:type="dxa"/>
            <w:tcBorders>
              <w:top w:val="nil"/>
              <w:bottom w:val="nil"/>
            </w:tcBorders>
            <w:shd w:val="clear" w:color="auto" w:fill="auto"/>
            <w:vAlign w:val="center"/>
          </w:tcPr>
          <w:p w14:paraId="1A8C9877" w14:textId="77777777" w:rsidR="00CD7A2B" w:rsidRPr="007223BC" w:rsidRDefault="00CD7A2B" w:rsidP="00413968">
            <w:pPr>
              <w:keepNext/>
              <w:jc w:val="both"/>
              <w:rPr>
                <w:sz w:val="22"/>
                <w:szCs w:val="22"/>
              </w:rPr>
            </w:pPr>
          </w:p>
        </w:tc>
        <w:tc>
          <w:tcPr>
            <w:tcW w:w="922" w:type="dxa"/>
            <w:tcBorders>
              <w:top w:val="nil"/>
              <w:bottom w:val="nil"/>
            </w:tcBorders>
            <w:shd w:val="clear" w:color="auto" w:fill="auto"/>
          </w:tcPr>
          <w:p w14:paraId="1EC1C38E" w14:textId="77777777" w:rsidR="00CD7A2B" w:rsidRPr="007223BC" w:rsidRDefault="00CD7A2B" w:rsidP="00413968">
            <w:pPr>
              <w:keepNext/>
              <w:jc w:val="both"/>
              <w:rPr>
                <w:sz w:val="22"/>
                <w:szCs w:val="22"/>
              </w:rPr>
            </w:pPr>
          </w:p>
        </w:tc>
        <w:tc>
          <w:tcPr>
            <w:tcW w:w="1205" w:type="dxa"/>
            <w:tcBorders>
              <w:top w:val="nil"/>
              <w:bottom w:val="nil"/>
            </w:tcBorders>
            <w:shd w:val="clear" w:color="auto" w:fill="auto"/>
          </w:tcPr>
          <w:p w14:paraId="0A77EC84" w14:textId="77777777" w:rsidR="00CD7A2B" w:rsidRPr="007223BC" w:rsidRDefault="00CD7A2B" w:rsidP="00413968">
            <w:pPr>
              <w:keepNext/>
              <w:jc w:val="both"/>
              <w:rPr>
                <w:sz w:val="22"/>
                <w:szCs w:val="22"/>
              </w:rPr>
            </w:pPr>
          </w:p>
        </w:tc>
      </w:tr>
      <w:tr w:rsidR="00CD7A2B" w:rsidRPr="007223BC" w14:paraId="4834CA93" w14:textId="77777777" w:rsidTr="004F20F1">
        <w:tc>
          <w:tcPr>
            <w:tcW w:w="4673" w:type="dxa"/>
            <w:tcBorders>
              <w:top w:val="nil"/>
              <w:bottom w:val="nil"/>
            </w:tcBorders>
          </w:tcPr>
          <w:p w14:paraId="1D064ED8" w14:textId="0A6103C0" w:rsidR="00CD7A2B" w:rsidRPr="00287AA6" w:rsidRDefault="00CD7A2B" w:rsidP="00413968">
            <w:pPr>
              <w:keepNext/>
              <w:ind w:left="144"/>
              <w:jc w:val="both"/>
              <w:rPr>
                <w:sz w:val="22"/>
                <w:szCs w:val="22"/>
                <w:lang w:val="pl-PL"/>
              </w:rPr>
            </w:pPr>
            <w:r w:rsidRPr="00287AA6">
              <w:rPr>
                <w:sz w:val="22"/>
                <w:szCs w:val="22"/>
                <w:lang w:val="pl-PL"/>
              </w:rPr>
              <w:t>Podaci u p</w:t>
            </w:r>
            <w:r w:rsidR="004F20F1" w:rsidRPr="00287AA6">
              <w:rPr>
                <w:sz w:val="22"/>
                <w:szCs w:val="22"/>
                <w:lang w:val="pl-PL"/>
              </w:rPr>
              <w:t>osmatranom</w:t>
            </w:r>
            <w:r w:rsidRPr="00287AA6">
              <w:rPr>
                <w:sz w:val="22"/>
                <w:szCs w:val="22"/>
                <w:lang w:val="pl-PL"/>
              </w:rPr>
              <w:t xml:space="preserve"> </w:t>
            </w:r>
            <w:r w:rsidR="005879D5" w:rsidRPr="00287AA6">
              <w:rPr>
                <w:sz w:val="22"/>
                <w:szCs w:val="22"/>
                <w:lang w:val="pl-PL"/>
              </w:rPr>
              <w:t xml:space="preserve">periodu </w:t>
            </w:r>
            <w:r w:rsidR="00622A2F" w:rsidRPr="00287AA6">
              <w:rPr>
                <w:sz w:val="22"/>
                <w:szCs w:val="22"/>
                <w:lang w:val="pl-PL"/>
              </w:rPr>
              <w:t xml:space="preserve">i </w:t>
            </w:r>
            <w:r w:rsidRPr="00287AA6">
              <w:rPr>
                <w:sz w:val="22"/>
                <w:szCs w:val="22"/>
                <w:lang w:val="pl-PL"/>
              </w:rPr>
              <w:t>≥ 50 kopija/m</w:t>
            </w:r>
            <w:r w:rsidR="00B412CB">
              <w:rPr>
                <w:sz w:val="22"/>
                <w:szCs w:val="22"/>
                <w:lang w:val="pl-PL"/>
              </w:rPr>
              <w:t>l</w:t>
            </w:r>
            <w:r w:rsidRPr="00287AA6">
              <w:rPr>
                <w:sz w:val="22"/>
                <w:szCs w:val="22"/>
                <w:lang w:val="pl-PL"/>
              </w:rPr>
              <w:t xml:space="preserve"> </w:t>
            </w:r>
          </w:p>
        </w:tc>
        <w:tc>
          <w:tcPr>
            <w:tcW w:w="851" w:type="dxa"/>
            <w:tcBorders>
              <w:top w:val="nil"/>
              <w:bottom w:val="nil"/>
            </w:tcBorders>
            <w:shd w:val="clear" w:color="auto" w:fill="auto"/>
            <w:vAlign w:val="center"/>
          </w:tcPr>
          <w:p w14:paraId="160B6D7E" w14:textId="77777777" w:rsidR="00CD7A2B" w:rsidRPr="007223BC" w:rsidRDefault="00CD7A2B" w:rsidP="00413968">
            <w:pPr>
              <w:keepNext/>
              <w:jc w:val="both"/>
              <w:rPr>
                <w:sz w:val="22"/>
                <w:szCs w:val="22"/>
              </w:rPr>
            </w:pPr>
            <w:r w:rsidRPr="007223BC">
              <w:rPr>
                <w:sz w:val="22"/>
                <w:szCs w:val="22"/>
                <w:lang w:val="sv-SE"/>
              </w:rPr>
              <w:t>&lt;1%</w:t>
            </w:r>
          </w:p>
        </w:tc>
        <w:tc>
          <w:tcPr>
            <w:tcW w:w="1275" w:type="dxa"/>
            <w:tcBorders>
              <w:top w:val="nil"/>
              <w:bottom w:val="nil"/>
            </w:tcBorders>
            <w:shd w:val="clear" w:color="auto" w:fill="auto"/>
            <w:vAlign w:val="center"/>
          </w:tcPr>
          <w:p w14:paraId="4F743704" w14:textId="77777777" w:rsidR="00CD7A2B" w:rsidRPr="007223BC" w:rsidRDefault="00CD7A2B" w:rsidP="00413968">
            <w:pPr>
              <w:keepNext/>
              <w:jc w:val="both"/>
              <w:rPr>
                <w:sz w:val="22"/>
                <w:szCs w:val="22"/>
              </w:rPr>
            </w:pPr>
            <w:r w:rsidRPr="007223BC">
              <w:rPr>
                <w:sz w:val="22"/>
                <w:szCs w:val="22"/>
                <w:lang w:val="sv-SE"/>
              </w:rPr>
              <w:t>&lt;1%</w:t>
            </w:r>
          </w:p>
        </w:tc>
        <w:tc>
          <w:tcPr>
            <w:tcW w:w="922" w:type="dxa"/>
            <w:tcBorders>
              <w:top w:val="nil"/>
              <w:bottom w:val="nil"/>
            </w:tcBorders>
            <w:shd w:val="clear" w:color="auto" w:fill="auto"/>
            <w:vAlign w:val="center"/>
          </w:tcPr>
          <w:p w14:paraId="386F6FCB" w14:textId="77777777" w:rsidR="00CD7A2B" w:rsidRPr="007223BC" w:rsidRDefault="00CD7A2B" w:rsidP="00413968">
            <w:pPr>
              <w:keepNext/>
              <w:jc w:val="both"/>
              <w:rPr>
                <w:sz w:val="22"/>
                <w:szCs w:val="22"/>
              </w:rPr>
            </w:pPr>
            <w:r w:rsidRPr="007223BC">
              <w:rPr>
                <w:sz w:val="22"/>
                <w:szCs w:val="22"/>
                <w:lang w:val="sv-SE"/>
              </w:rPr>
              <w:t>&lt;1%</w:t>
            </w:r>
          </w:p>
        </w:tc>
        <w:tc>
          <w:tcPr>
            <w:tcW w:w="1205" w:type="dxa"/>
            <w:tcBorders>
              <w:top w:val="nil"/>
              <w:bottom w:val="nil"/>
            </w:tcBorders>
            <w:shd w:val="clear" w:color="auto" w:fill="auto"/>
            <w:vAlign w:val="center"/>
          </w:tcPr>
          <w:p w14:paraId="26208255" w14:textId="77777777" w:rsidR="00CD7A2B" w:rsidRPr="007223BC" w:rsidRDefault="00CD7A2B" w:rsidP="00413968">
            <w:pPr>
              <w:keepNext/>
              <w:jc w:val="both"/>
              <w:rPr>
                <w:sz w:val="22"/>
                <w:szCs w:val="22"/>
              </w:rPr>
            </w:pPr>
            <w:r w:rsidRPr="007223BC">
              <w:rPr>
                <w:sz w:val="22"/>
                <w:szCs w:val="22"/>
                <w:lang w:val="sv-SE"/>
              </w:rPr>
              <w:t>&lt;1%</w:t>
            </w:r>
          </w:p>
        </w:tc>
      </w:tr>
      <w:tr w:rsidR="00CD7A2B" w:rsidRPr="007223BC" w14:paraId="45835D8C" w14:textId="77777777" w:rsidTr="004F20F1">
        <w:tc>
          <w:tcPr>
            <w:tcW w:w="4673" w:type="dxa"/>
            <w:tcBorders>
              <w:top w:val="nil"/>
              <w:bottom w:val="nil"/>
            </w:tcBorders>
            <w:vAlign w:val="center"/>
          </w:tcPr>
          <w:p w14:paraId="2C4C3F1F" w14:textId="21CFA625" w:rsidR="00CD7A2B" w:rsidRPr="007223BC" w:rsidRDefault="00CD7A2B" w:rsidP="00413968">
            <w:pPr>
              <w:keepNext/>
              <w:ind w:left="144"/>
              <w:jc w:val="both"/>
              <w:rPr>
                <w:sz w:val="22"/>
                <w:szCs w:val="22"/>
              </w:rPr>
            </w:pPr>
            <w:r w:rsidRPr="007223BC">
              <w:rPr>
                <w:sz w:val="22"/>
                <w:szCs w:val="22"/>
              </w:rPr>
              <w:t xml:space="preserve">Prekid liječenja zbog </w:t>
            </w:r>
            <w:r w:rsidR="00497ED8">
              <w:rPr>
                <w:sz w:val="22"/>
                <w:szCs w:val="22"/>
              </w:rPr>
              <w:t>izostank</w:t>
            </w:r>
            <w:r w:rsidR="00497ED8" w:rsidRPr="007223BC">
              <w:rPr>
                <w:sz w:val="22"/>
                <w:szCs w:val="22"/>
              </w:rPr>
              <w:t xml:space="preserve">a </w:t>
            </w:r>
            <w:r w:rsidR="004F20F1" w:rsidRPr="007223BC">
              <w:rPr>
                <w:sz w:val="22"/>
                <w:szCs w:val="22"/>
              </w:rPr>
              <w:t>efikasnosti</w:t>
            </w:r>
          </w:p>
        </w:tc>
        <w:tc>
          <w:tcPr>
            <w:tcW w:w="851" w:type="dxa"/>
            <w:tcBorders>
              <w:top w:val="nil"/>
              <w:bottom w:val="nil"/>
            </w:tcBorders>
            <w:shd w:val="clear" w:color="auto" w:fill="auto"/>
            <w:vAlign w:val="center"/>
          </w:tcPr>
          <w:p w14:paraId="041E5A50" w14:textId="77777777" w:rsidR="00CD7A2B" w:rsidRPr="007223BC" w:rsidRDefault="00CD7A2B" w:rsidP="00413968">
            <w:pPr>
              <w:keepNext/>
              <w:jc w:val="both"/>
              <w:rPr>
                <w:sz w:val="22"/>
                <w:szCs w:val="22"/>
              </w:rPr>
            </w:pPr>
            <w:r w:rsidRPr="007223BC">
              <w:rPr>
                <w:sz w:val="22"/>
                <w:szCs w:val="22"/>
                <w:lang w:val="sv-SE"/>
              </w:rPr>
              <w:t>1%</w:t>
            </w:r>
          </w:p>
        </w:tc>
        <w:tc>
          <w:tcPr>
            <w:tcW w:w="1275" w:type="dxa"/>
            <w:tcBorders>
              <w:top w:val="nil"/>
              <w:bottom w:val="nil"/>
            </w:tcBorders>
            <w:shd w:val="clear" w:color="auto" w:fill="auto"/>
            <w:vAlign w:val="center"/>
          </w:tcPr>
          <w:p w14:paraId="1B7B5E92" w14:textId="77777777" w:rsidR="00CD7A2B" w:rsidRPr="007223BC" w:rsidRDefault="00CD7A2B" w:rsidP="00413968">
            <w:pPr>
              <w:keepNext/>
              <w:jc w:val="both"/>
              <w:rPr>
                <w:sz w:val="22"/>
                <w:szCs w:val="22"/>
              </w:rPr>
            </w:pPr>
            <w:r w:rsidRPr="007223BC">
              <w:rPr>
                <w:sz w:val="22"/>
                <w:szCs w:val="22"/>
                <w:lang w:val="sv-SE"/>
              </w:rPr>
              <w:t>&lt;1%</w:t>
            </w:r>
          </w:p>
        </w:tc>
        <w:tc>
          <w:tcPr>
            <w:tcW w:w="922" w:type="dxa"/>
            <w:tcBorders>
              <w:top w:val="nil"/>
              <w:bottom w:val="nil"/>
            </w:tcBorders>
            <w:shd w:val="clear" w:color="auto" w:fill="auto"/>
          </w:tcPr>
          <w:p w14:paraId="66E7C0A8" w14:textId="77777777" w:rsidR="00CD7A2B" w:rsidRPr="007223BC" w:rsidRDefault="00CD7A2B" w:rsidP="00413968">
            <w:pPr>
              <w:keepNext/>
              <w:jc w:val="both"/>
              <w:rPr>
                <w:sz w:val="22"/>
                <w:szCs w:val="22"/>
              </w:rPr>
            </w:pPr>
            <w:r w:rsidRPr="007223BC">
              <w:rPr>
                <w:sz w:val="22"/>
                <w:szCs w:val="22"/>
                <w:lang w:val="sv-SE"/>
              </w:rPr>
              <w:t>1%</w:t>
            </w:r>
          </w:p>
        </w:tc>
        <w:tc>
          <w:tcPr>
            <w:tcW w:w="1205" w:type="dxa"/>
            <w:tcBorders>
              <w:top w:val="nil"/>
              <w:bottom w:val="nil"/>
            </w:tcBorders>
            <w:shd w:val="clear" w:color="auto" w:fill="auto"/>
          </w:tcPr>
          <w:p w14:paraId="63D6E105" w14:textId="77777777" w:rsidR="00CD7A2B" w:rsidRPr="007223BC" w:rsidRDefault="00CD7A2B" w:rsidP="00413968">
            <w:pPr>
              <w:keepNext/>
              <w:jc w:val="both"/>
              <w:rPr>
                <w:sz w:val="22"/>
                <w:szCs w:val="22"/>
              </w:rPr>
            </w:pPr>
            <w:r w:rsidRPr="007223BC">
              <w:rPr>
                <w:sz w:val="22"/>
                <w:szCs w:val="22"/>
                <w:lang w:val="sv-SE"/>
              </w:rPr>
              <w:t>&lt;1%</w:t>
            </w:r>
          </w:p>
        </w:tc>
      </w:tr>
      <w:tr w:rsidR="00CD7A2B" w:rsidRPr="007223BC" w14:paraId="4CCC0CDD" w14:textId="77777777" w:rsidTr="004F20F1">
        <w:tc>
          <w:tcPr>
            <w:tcW w:w="4673" w:type="dxa"/>
            <w:tcBorders>
              <w:top w:val="nil"/>
              <w:bottom w:val="nil"/>
            </w:tcBorders>
          </w:tcPr>
          <w:p w14:paraId="5BA8B0CE" w14:textId="362590D0" w:rsidR="00CD7A2B" w:rsidRPr="007223BC" w:rsidRDefault="00CD7A2B" w:rsidP="00413968">
            <w:pPr>
              <w:keepNext/>
              <w:ind w:left="144"/>
              <w:jc w:val="both"/>
              <w:rPr>
                <w:sz w:val="22"/>
                <w:szCs w:val="22"/>
              </w:rPr>
            </w:pPr>
            <w:r w:rsidRPr="007223BC">
              <w:rPr>
                <w:sz w:val="22"/>
                <w:szCs w:val="22"/>
              </w:rPr>
              <w:t>Prekid liječenja zbog drugih razloga dok je vrijednost bila ≥ 50 kopija/m</w:t>
            </w:r>
            <w:r w:rsidR="00B412CB">
              <w:rPr>
                <w:sz w:val="22"/>
                <w:szCs w:val="22"/>
              </w:rPr>
              <w:t>l</w:t>
            </w:r>
          </w:p>
        </w:tc>
        <w:tc>
          <w:tcPr>
            <w:tcW w:w="851" w:type="dxa"/>
            <w:tcBorders>
              <w:top w:val="nil"/>
              <w:bottom w:val="nil"/>
            </w:tcBorders>
            <w:shd w:val="clear" w:color="auto" w:fill="auto"/>
            <w:vAlign w:val="center"/>
          </w:tcPr>
          <w:p w14:paraId="7193ACB8" w14:textId="77777777" w:rsidR="00CD7A2B" w:rsidRPr="007223BC" w:rsidRDefault="00CD7A2B" w:rsidP="00413968">
            <w:pPr>
              <w:keepNext/>
              <w:jc w:val="both"/>
              <w:rPr>
                <w:sz w:val="22"/>
                <w:szCs w:val="22"/>
              </w:rPr>
            </w:pPr>
            <w:r w:rsidRPr="007223BC">
              <w:rPr>
                <w:sz w:val="22"/>
                <w:szCs w:val="22"/>
                <w:lang w:val="sv-SE"/>
              </w:rPr>
              <w:t>&lt;1%</w:t>
            </w:r>
          </w:p>
        </w:tc>
        <w:tc>
          <w:tcPr>
            <w:tcW w:w="1275" w:type="dxa"/>
            <w:tcBorders>
              <w:top w:val="nil"/>
              <w:bottom w:val="nil"/>
            </w:tcBorders>
            <w:shd w:val="clear" w:color="auto" w:fill="auto"/>
            <w:vAlign w:val="center"/>
          </w:tcPr>
          <w:p w14:paraId="4955FF89" w14:textId="77777777" w:rsidR="00CD7A2B" w:rsidRPr="007223BC" w:rsidRDefault="00CD7A2B" w:rsidP="00413968">
            <w:pPr>
              <w:keepNext/>
              <w:jc w:val="both"/>
              <w:rPr>
                <w:sz w:val="22"/>
                <w:szCs w:val="22"/>
              </w:rPr>
            </w:pPr>
            <w:r w:rsidRPr="007223BC">
              <w:rPr>
                <w:sz w:val="22"/>
                <w:szCs w:val="22"/>
                <w:lang w:val="sv-SE"/>
              </w:rPr>
              <w:t>&lt;1%</w:t>
            </w:r>
          </w:p>
        </w:tc>
        <w:tc>
          <w:tcPr>
            <w:tcW w:w="922" w:type="dxa"/>
            <w:tcBorders>
              <w:top w:val="nil"/>
              <w:bottom w:val="nil"/>
            </w:tcBorders>
            <w:shd w:val="clear" w:color="auto" w:fill="auto"/>
            <w:vAlign w:val="center"/>
          </w:tcPr>
          <w:p w14:paraId="03390BCE" w14:textId="77777777" w:rsidR="00CD7A2B" w:rsidRPr="007223BC" w:rsidRDefault="00CD7A2B" w:rsidP="00413968">
            <w:pPr>
              <w:keepNext/>
              <w:jc w:val="both"/>
              <w:rPr>
                <w:sz w:val="22"/>
                <w:szCs w:val="22"/>
              </w:rPr>
            </w:pPr>
            <w:r w:rsidRPr="007223BC">
              <w:rPr>
                <w:sz w:val="22"/>
                <w:szCs w:val="22"/>
                <w:lang w:val="sv-SE"/>
              </w:rPr>
              <w:t>&lt;1%</w:t>
            </w:r>
          </w:p>
        </w:tc>
        <w:tc>
          <w:tcPr>
            <w:tcW w:w="1205" w:type="dxa"/>
            <w:tcBorders>
              <w:top w:val="nil"/>
              <w:bottom w:val="nil"/>
            </w:tcBorders>
            <w:shd w:val="clear" w:color="auto" w:fill="auto"/>
            <w:vAlign w:val="center"/>
          </w:tcPr>
          <w:p w14:paraId="3E8699EE" w14:textId="77777777" w:rsidR="00CD7A2B" w:rsidRPr="007223BC" w:rsidRDefault="00CD7A2B" w:rsidP="00413968">
            <w:pPr>
              <w:keepNext/>
              <w:jc w:val="both"/>
              <w:rPr>
                <w:sz w:val="22"/>
                <w:szCs w:val="22"/>
              </w:rPr>
            </w:pPr>
            <w:r w:rsidRPr="007223BC">
              <w:rPr>
                <w:sz w:val="22"/>
                <w:szCs w:val="22"/>
                <w:lang w:val="sv-SE"/>
              </w:rPr>
              <w:t>2%</w:t>
            </w:r>
          </w:p>
        </w:tc>
      </w:tr>
      <w:tr w:rsidR="00CD7A2B" w:rsidRPr="007223BC" w14:paraId="047EB368" w14:textId="77777777" w:rsidTr="004F20F1">
        <w:tc>
          <w:tcPr>
            <w:tcW w:w="4673" w:type="dxa"/>
            <w:tcBorders>
              <w:top w:val="nil"/>
              <w:bottom w:val="single" w:sz="4" w:space="0" w:color="auto"/>
            </w:tcBorders>
          </w:tcPr>
          <w:p w14:paraId="4B165D1D" w14:textId="77777777" w:rsidR="00CD7A2B" w:rsidRPr="007223BC" w:rsidRDefault="00CD7A2B" w:rsidP="00413968">
            <w:pPr>
              <w:keepNext/>
              <w:ind w:left="144"/>
              <w:jc w:val="both"/>
              <w:rPr>
                <w:sz w:val="22"/>
                <w:szCs w:val="22"/>
              </w:rPr>
            </w:pPr>
            <w:r w:rsidRPr="007223BC">
              <w:rPr>
                <w:sz w:val="22"/>
                <w:szCs w:val="22"/>
              </w:rPr>
              <w:t>Promjena antiretrovirusne terapije</w:t>
            </w:r>
          </w:p>
        </w:tc>
        <w:tc>
          <w:tcPr>
            <w:tcW w:w="851" w:type="dxa"/>
            <w:tcBorders>
              <w:top w:val="nil"/>
              <w:bottom w:val="single" w:sz="4" w:space="0" w:color="auto"/>
            </w:tcBorders>
            <w:shd w:val="clear" w:color="auto" w:fill="auto"/>
            <w:vAlign w:val="center"/>
          </w:tcPr>
          <w:p w14:paraId="33FF11C7" w14:textId="77777777" w:rsidR="00CD7A2B" w:rsidRPr="007223BC" w:rsidRDefault="00CD7A2B" w:rsidP="00413968">
            <w:pPr>
              <w:keepNext/>
              <w:jc w:val="both"/>
              <w:rPr>
                <w:sz w:val="22"/>
                <w:szCs w:val="22"/>
              </w:rPr>
            </w:pPr>
            <w:r w:rsidRPr="007223BC">
              <w:rPr>
                <w:sz w:val="22"/>
                <w:szCs w:val="22"/>
                <w:lang w:val="sv-SE"/>
              </w:rPr>
              <w:t>&lt;1%</w:t>
            </w:r>
          </w:p>
        </w:tc>
        <w:tc>
          <w:tcPr>
            <w:tcW w:w="1275" w:type="dxa"/>
            <w:tcBorders>
              <w:top w:val="nil"/>
              <w:bottom w:val="single" w:sz="4" w:space="0" w:color="auto"/>
            </w:tcBorders>
            <w:shd w:val="clear" w:color="auto" w:fill="auto"/>
            <w:vAlign w:val="center"/>
          </w:tcPr>
          <w:p w14:paraId="5B59DCE1" w14:textId="77777777" w:rsidR="00CD7A2B" w:rsidRPr="007223BC" w:rsidRDefault="00CD7A2B" w:rsidP="00413968">
            <w:pPr>
              <w:keepNext/>
              <w:jc w:val="both"/>
              <w:rPr>
                <w:sz w:val="22"/>
                <w:szCs w:val="22"/>
              </w:rPr>
            </w:pPr>
            <w:r w:rsidRPr="007223BC">
              <w:rPr>
                <w:sz w:val="22"/>
                <w:szCs w:val="22"/>
                <w:lang w:val="sv-SE"/>
              </w:rPr>
              <w:t>&lt;1%</w:t>
            </w:r>
          </w:p>
        </w:tc>
        <w:tc>
          <w:tcPr>
            <w:tcW w:w="922" w:type="dxa"/>
            <w:tcBorders>
              <w:top w:val="nil"/>
              <w:bottom w:val="single" w:sz="4" w:space="0" w:color="auto"/>
            </w:tcBorders>
            <w:shd w:val="clear" w:color="auto" w:fill="auto"/>
          </w:tcPr>
          <w:p w14:paraId="217B788F" w14:textId="77777777" w:rsidR="00CD7A2B" w:rsidRPr="007223BC" w:rsidRDefault="00CD7A2B" w:rsidP="00413968">
            <w:pPr>
              <w:keepNext/>
              <w:jc w:val="both"/>
              <w:rPr>
                <w:sz w:val="22"/>
                <w:szCs w:val="22"/>
              </w:rPr>
            </w:pPr>
            <w:r w:rsidRPr="007223BC">
              <w:rPr>
                <w:sz w:val="22"/>
                <w:szCs w:val="22"/>
                <w:lang w:val="sv-SE"/>
              </w:rPr>
              <w:t>&lt;1%</w:t>
            </w:r>
          </w:p>
        </w:tc>
        <w:tc>
          <w:tcPr>
            <w:tcW w:w="1205" w:type="dxa"/>
            <w:tcBorders>
              <w:top w:val="nil"/>
              <w:bottom w:val="single" w:sz="4" w:space="0" w:color="auto"/>
            </w:tcBorders>
            <w:shd w:val="clear" w:color="auto" w:fill="auto"/>
          </w:tcPr>
          <w:p w14:paraId="18CCD11B" w14:textId="77777777" w:rsidR="00CD7A2B" w:rsidRPr="007223BC" w:rsidRDefault="00CD7A2B" w:rsidP="00413968">
            <w:pPr>
              <w:keepNext/>
              <w:jc w:val="both"/>
              <w:rPr>
                <w:sz w:val="22"/>
                <w:szCs w:val="22"/>
              </w:rPr>
            </w:pPr>
            <w:r w:rsidRPr="007223BC">
              <w:rPr>
                <w:sz w:val="22"/>
                <w:szCs w:val="22"/>
                <w:lang w:val="sv-SE"/>
              </w:rPr>
              <w:t>&lt;1%</w:t>
            </w:r>
          </w:p>
        </w:tc>
      </w:tr>
      <w:tr w:rsidR="00CD7A2B" w:rsidRPr="007223BC" w14:paraId="57B2E476" w14:textId="77777777" w:rsidTr="004F20F1">
        <w:trPr>
          <w:trHeight w:val="2741"/>
        </w:trPr>
        <w:tc>
          <w:tcPr>
            <w:tcW w:w="4673" w:type="dxa"/>
          </w:tcPr>
          <w:p w14:paraId="0BB551E9" w14:textId="5A315E51" w:rsidR="00CD7A2B" w:rsidRPr="007223BC" w:rsidRDefault="00CD7A2B" w:rsidP="00413968">
            <w:pPr>
              <w:keepNext/>
              <w:jc w:val="both"/>
              <w:rPr>
                <w:b/>
                <w:bCs/>
                <w:sz w:val="22"/>
                <w:szCs w:val="22"/>
              </w:rPr>
            </w:pPr>
            <w:bookmarkStart w:id="6" w:name="_Hlk199237168"/>
            <w:r w:rsidRPr="007223BC">
              <w:rPr>
                <w:b/>
                <w:bCs/>
                <w:sz w:val="22"/>
                <w:szCs w:val="22"/>
              </w:rPr>
              <w:t>Nema viroloških podataka unutar 96. </w:t>
            </w:r>
            <w:proofErr w:type="gramStart"/>
            <w:r w:rsidR="004F20F1" w:rsidRPr="007223BC">
              <w:rPr>
                <w:b/>
                <w:bCs/>
                <w:sz w:val="22"/>
                <w:szCs w:val="22"/>
              </w:rPr>
              <w:t>nedjelje</w:t>
            </w:r>
            <w:r w:rsidRPr="007223BC">
              <w:rPr>
                <w:b/>
                <w:bCs/>
                <w:sz w:val="22"/>
                <w:szCs w:val="22"/>
              </w:rPr>
              <w:t>/144</w:t>
            </w:r>
            <w:proofErr w:type="gramEnd"/>
            <w:r w:rsidRPr="007223BC">
              <w:rPr>
                <w:b/>
                <w:bCs/>
                <w:sz w:val="22"/>
                <w:szCs w:val="22"/>
              </w:rPr>
              <w:t>. </w:t>
            </w:r>
            <w:r w:rsidR="004F20F1" w:rsidRPr="007223BC">
              <w:rPr>
                <w:b/>
                <w:bCs/>
                <w:sz w:val="22"/>
                <w:szCs w:val="22"/>
              </w:rPr>
              <w:t>nedjelje</w:t>
            </w:r>
          </w:p>
          <w:p w14:paraId="461402CE" w14:textId="77777777" w:rsidR="00CD7A2B" w:rsidRPr="007223BC" w:rsidRDefault="00CD7A2B" w:rsidP="00413968">
            <w:pPr>
              <w:keepNext/>
              <w:jc w:val="both"/>
              <w:rPr>
                <w:b/>
                <w:sz w:val="22"/>
                <w:szCs w:val="22"/>
              </w:rPr>
            </w:pPr>
            <w:r w:rsidRPr="007223BC">
              <w:rPr>
                <w:sz w:val="22"/>
                <w:szCs w:val="22"/>
                <w:u w:val="single"/>
              </w:rPr>
              <w:t>Razlozi</w:t>
            </w:r>
          </w:p>
          <w:p w14:paraId="08BC644B" w14:textId="32FC32B3" w:rsidR="004F20F1" w:rsidRPr="007223BC" w:rsidRDefault="004F20F1" w:rsidP="00413968">
            <w:pPr>
              <w:keepNext/>
              <w:ind w:left="144"/>
              <w:jc w:val="both"/>
              <w:rPr>
                <w:sz w:val="22"/>
                <w:szCs w:val="22"/>
                <w:lang w:val="sr-Latn-RS"/>
              </w:rPr>
            </w:pPr>
            <w:r w:rsidRPr="007223BC">
              <w:rPr>
                <w:sz w:val="22"/>
                <w:szCs w:val="22"/>
                <w:lang w:val="sr-Latn-RS"/>
              </w:rPr>
              <w:t>Prekid</w:t>
            </w:r>
            <w:r w:rsidR="00497ED8">
              <w:rPr>
                <w:sz w:val="22"/>
                <w:szCs w:val="22"/>
                <w:lang w:val="sr-Latn-RS"/>
              </w:rPr>
              <w:t xml:space="preserve"> učešća u</w:t>
            </w:r>
            <w:r w:rsidRPr="007223BC">
              <w:rPr>
                <w:sz w:val="22"/>
                <w:szCs w:val="22"/>
                <w:lang w:val="sr-Latn-RS"/>
              </w:rPr>
              <w:t xml:space="preserve"> ispitivanj</w:t>
            </w:r>
            <w:r w:rsidR="00497ED8">
              <w:rPr>
                <w:sz w:val="22"/>
                <w:szCs w:val="22"/>
                <w:lang w:val="sr-Latn-RS"/>
              </w:rPr>
              <w:t>u</w:t>
            </w:r>
            <w:r w:rsidRPr="007223BC">
              <w:rPr>
                <w:sz w:val="22"/>
                <w:szCs w:val="22"/>
                <w:lang w:val="sr-Latn-RS"/>
              </w:rPr>
              <w:t xml:space="preserve"> zbog neželjenih dejstava ili smrti </w:t>
            </w:r>
          </w:p>
          <w:p w14:paraId="3E60415A" w14:textId="1031DEBD" w:rsidR="004F20F1" w:rsidRPr="007223BC" w:rsidRDefault="004F20F1" w:rsidP="00413968">
            <w:pPr>
              <w:keepNext/>
              <w:ind w:left="144"/>
              <w:jc w:val="both"/>
              <w:rPr>
                <w:sz w:val="22"/>
                <w:szCs w:val="22"/>
                <w:lang w:val="sr-Latn-RS"/>
              </w:rPr>
            </w:pPr>
            <w:r w:rsidRPr="007223BC">
              <w:rPr>
                <w:sz w:val="22"/>
                <w:szCs w:val="22"/>
                <w:lang w:val="sr-Latn-RS"/>
              </w:rPr>
              <w:t xml:space="preserve">Prekid </w:t>
            </w:r>
            <w:r w:rsidR="00497ED8">
              <w:rPr>
                <w:sz w:val="22"/>
                <w:szCs w:val="22"/>
                <w:lang w:val="sr-Latn-RS"/>
              </w:rPr>
              <w:t>učešća u</w:t>
            </w:r>
            <w:r w:rsidR="00497ED8" w:rsidRPr="007223BC">
              <w:rPr>
                <w:sz w:val="22"/>
                <w:szCs w:val="22"/>
                <w:lang w:val="sr-Latn-RS"/>
              </w:rPr>
              <w:t xml:space="preserve"> ispitivanj</w:t>
            </w:r>
            <w:r w:rsidR="00497ED8">
              <w:rPr>
                <w:sz w:val="22"/>
                <w:szCs w:val="22"/>
                <w:lang w:val="sr-Latn-RS"/>
              </w:rPr>
              <w:t>u</w:t>
            </w:r>
            <w:r w:rsidRPr="007223BC">
              <w:rPr>
                <w:sz w:val="22"/>
                <w:szCs w:val="22"/>
                <w:lang w:val="sr-Latn-RS"/>
              </w:rPr>
              <w:t xml:space="preserve"> zbog drugih razloga</w:t>
            </w:r>
          </w:p>
          <w:p w14:paraId="0DB7E4B4" w14:textId="77777777" w:rsidR="00CD7A2B" w:rsidRPr="007223BC" w:rsidRDefault="00CD7A2B" w:rsidP="00413968">
            <w:pPr>
              <w:keepNext/>
              <w:ind w:left="397"/>
              <w:jc w:val="both"/>
              <w:rPr>
                <w:sz w:val="22"/>
                <w:szCs w:val="22"/>
                <w:lang w:val="sr-Latn-RS"/>
              </w:rPr>
            </w:pPr>
            <w:r w:rsidRPr="007223BC">
              <w:rPr>
                <w:sz w:val="22"/>
                <w:szCs w:val="22"/>
                <w:lang w:val="sr-Latn-RS"/>
              </w:rPr>
              <w:t>Gubitak iz praćenja</w:t>
            </w:r>
          </w:p>
          <w:p w14:paraId="62CD7A0C" w14:textId="77777777" w:rsidR="00CD7A2B" w:rsidRPr="00287AA6" w:rsidRDefault="00CD7A2B" w:rsidP="00413968">
            <w:pPr>
              <w:keepNext/>
              <w:ind w:left="397"/>
              <w:jc w:val="both"/>
              <w:rPr>
                <w:sz w:val="22"/>
                <w:szCs w:val="22"/>
                <w:lang w:val="sr-Latn-RS"/>
              </w:rPr>
            </w:pPr>
            <w:r w:rsidRPr="00287AA6">
              <w:rPr>
                <w:sz w:val="22"/>
                <w:szCs w:val="22"/>
                <w:lang w:val="sr-Latn-RS"/>
              </w:rPr>
              <w:t>Povlačenje pristanka</w:t>
            </w:r>
          </w:p>
          <w:p w14:paraId="7FD00216" w14:textId="77777777" w:rsidR="00CD7A2B" w:rsidRPr="00287AA6" w:rsidRDefault="00CD7A2B" w:rsidP="00413968">
            <w:pPr>
              <w:keepNext/>
              <w:ind w:left="397"/>
              <w:jc w:val="both"/>
              <w:rPr>
                <w:sz w:val="22"/>
                <w:szCs w:val="22"/>
                <w:lang w:val="sr-Latn-RS"/>
              </w:rPr>
            </w:pPr>
            <w:r w:rsidRPr="00287AA6">
              <w:rPr>
                <w:sz w:val="22"/>
                <w:szCs w:val="22"/>
                <w:lang w:val="sr-Latn-RS"/>
              </w:rPr>
              <w:t>Odstupanje od plana ispitivanja</w:t>
            </w:r>
          </w:p>
          <w:p w14:paraId="69ECFD20" w14:textId="77777777" w:rsidR="00CD7A2B" w:rsidRPr="00287AA6" w:rsidRDefault="00CD7A2B" w:rsidP="00413968">
            <w:pPr>
              <w:keepNext/>
              <w:ind w:left="397"/>
              <w:jc w:val="both"/>
              <w:rPr>
                <w:sz w:val="22"/>
                <w:szCs w:val="22"/>
                <w:lang w:val="sr-Latn-RS"/>
              </w:rPr>
            </w:pPr>
            <w:r w:rsidRPr="00287AA6">
              <w:rPr>
                <w:sz w:val="22"/>
                <w:szCs w:val="22"/>
                <w:lang w:val="sr-Latn-RS"/>
              </w:rPr>
              <w:t>Odluka l</w:t>
            </w:r>
            <w:r w:rsidR="00AB2E7A" w:rsidRPr="00287AA6">
              <w:rPr>
                <w:sz w:val="22"/>
                <w:szCs w:val="22"/>
                <w:lang w:val="sr-Latn-RS"/>
              </w:rPr>
              <w:t>jekara</w:t>
            </w:r>
          </w:p>
          <w:p w14:paraId="43B7ADA2" w14:textId="77777777" w:rsidR="00CD7A2B" w:rsidRPr="00287AA6" w:rsidRDefault="00493E3D" w:rsidP="00413968">
            <w:pPr>
              <w:keepNext/>
              <w:ind w:left="144"/>
              <w:jc w:val="both"/>
              <w:rPr>
                <w:b/>
                <w:sz w:val="22"/>
                <w:szCs w:val="22"/>
                <w:lang w:val="sr-Latn-RS"/>
              </w:rPr>
            </w:pPr>
            <w:r w:rsidRPr="00287AA6">
              <w:rPr>
                <w:sz w:val="22"/>
                <w:szCs w:val="22"/>
                <w:lang w:val="sr-Latn-RS"/>
              </w:rPr>
              <w:t xml:space="preserve">Nema </w:t>
            </w:r>
            <w:r w:rsidRPr="007223BC">
              <w:rPr>
                <w:sz w:val="22"/>
                <w:szCs w:val="22"/>
                <w:lang w:val="sr-Latn-RS" w:eastAsia="sr-Latn-RS"/>
              </w:rPr>
              <w:t>podataka za posmatran</w:t>
            </w:r>
            <w:r w:rsidR="001D1ED0" w:rsidRPr="007223BC">
              <w:rPr>
                <w:sz w:val="22"/>
                <w:szCs w:val="22"/>
                <w:lang w:val="sr-Latn-RS" w:eastAsia="sr-Latn-RS"/>
              </w:rPr>
              <w:t>i</w:t>
            </w:r>
            <w:r w:rsidRPr="007223BC">
              <w:rPr>
                <w:sz w:val="22"/>
                <w:szCs w:val="22"/>
                <w:lang w:val="sr-Latn-RS" w:eastAsia="sr-Latn-RS"/>
              </w:rPr>
              <w:t xml:space="preserve"> period, ali pacijent učestvuje u ispitivanju</w:t>
            </w:r>
            <w:bookmarkEnd w:id="6"/>
          </w:p>
        </w:tc>
        <w:tc>
          <w:tcPr>
            <w:tcW w:w="851" w:type="dxa"/>
            <w:shd w:val="clear" w:color="auto" w:fill="auto"/>
          </w:tcPr>
          <w:p w14:paraId="788D071A" w14:textId="77777777" w:rsidR="00CD7A2B" w:rsidRPr="007223BC" w:rsidRDefault="00CD7A2B" w:rsidP="00413968">
            <w:pPr>
              <w:keepNext/>
              <w:jc w:val="both"/>
              <w:rPr>
                <w:sz w:val="22"/>
                <w:szCs w:val="22"/>
              </w:rPr>
            </w:pPr>
            <w:r w:rsidRPr="007223BC">
              <w:rPr>
                <w:sz w:val="22"/>
                <w:szCs w:val="22"/>
                <w:lang w:val="sv-SE"/>
              </w:rPr>
              <w:t>11%</w:t>
            </w:r>
          </w:p>
          <w:p w14:paraId="555655D3" w14:textId="77777777" w:rsidR="00CD7A2B" w:rsidRPr="007223BC" w:rsidRDefault="00CD7A2B" w:rsidP="00413968">
            <w:pPr>
              <w:keepNext/>
              <w:jc w:val="both"/>
              <w:rPr>
                <w:sz w:val="22"/>
                <w:szCs w:val="22"/>
                <w:lang w:val="sv-SE"/>
              </w:rPr>
            </w:pPr>
          </w:p>
          <w:p w14:paraId="6C275059" w14:textId="77777777" w:rsidR="00CD7A2B" w:rsidRPr="007223BC" w:rsidRDefault="00CD7A2B" w:rsidP="00413968">
            <w:pPr>
              <w:keepNext/>
              <w:jc w:val="both"/>
              <w:rPr>
                <w:sz w:val="22"/>
                <w:szCs w:val="22"/>
                <w:lang w:val="sv-SE"/>
              </w:rPr>
            </w:pPr>
          </w:p>
          <w:p w14:paraId="3B425839" w14:textId="77777777" w:rsidR="00CD7A2B" w:rsidRPr="007223BC" w:rsidRDefault="00CD7A2B" w:rsidP="00413968">
            <w:pPr>
              <w:keepNext/>
              <w:jc w:val="both"/>
              <w:rPr>
                <w:sz w:val="22"/>
                <w:szCs w:val="22"/>
                <w:lang w:val="sv-SE"/>
              </w:rPr>
            </w:pPr>
            <w:r w:rsidRPr="007223BC">
              <w:rPr>
                <w:sz w:val="22"/>
                <w:szCs w:val="22"/>
                <w:lang w:val="sv-SE"/>
              </w:rPr>
              <w:t>3%</w:t>
            </w:r>
          </w:p>
          <w:p w14:paraId="7B3F6024" w14:textId="77777777" w:rsidR="00CD7A2B" w:rsidRPr="007223BC" w:rsidRDefault="00CD7A2B" w:rsidP="00413968">
            <w:pPr>
              <w:keepNext/>
              <w:jc w:val="both"/>
              <w:rPr>
                <w:sz w:val="22"/>
                <w:szCs w:val="22"/>
              </w:rPr>
            </w:pPr>
          </w:p>
          <w:p w14:paraId="49583253" w14:textId="77777777" w:rsidR="00CD7A2B" w:rsidRPr="007223BC" w:rsidRDefault="00CD7A2B" w:rsidP="00413968">
            <w:pPr>
              <w:keepNext/>
              <w:jc w:val="both"/>
              <w:rPr>
                <w:sz w:val="22"/>
                <w:szCs w:val="22"/>
              </w:rPr>
            </w:pPr>
            <w:r w:rsidRPr="007223BC">
              <w:rPr>
                <w:sz w:val="22"/>
                <w:szCs w:val="22"/>
                <w:lang w:val="sv-SE"/>
              </w:rPr>
              <w:t>8%</w:t>
            </w:r>
          </w:p>
          <w:p w14:paraId="578F6DB2" w14:textId="77777777" w:rsidR="00CD7A2B" w:rsidRPr="007223BC" w:rsidRDefault="00CD7A2B" w:rsidP="00413968">
            <w:pPr>
              <w:keepNext/>
              <w:jc w:val="both"/>
              <w:rPr>
                <w:sz w:val="22"/>
                <w:szCs w:val="22"/>
                <w:lang w:val="sv-SE"/>
              </w:rPr>
            </w:pPr>
          </w:p>
          <w:p w14:paraId="347033CF" w14:textId="77777777" w:rsidR="00CD7A2B" w:rsidRPr="007223BC" w:rsidRDefault="00CD7A2B" w:rsidP="00413968">
            <w:pPr>
              <w:keepNext/>
              <w:jc w:val="both"/>
              <w:rPr>
                <w:sz w:val="22"/>
                <w:szCs w:val="22"/>
              </w:rPr>
            </w:pPr>
            <w:r w:rsidRPr="007223BC">
              <w:rPr>
                <w:sz w:val="22"/>
                <w:szCs w:val="22"/>
                <w:lang w:val="sv-SE"/>
              </w:rPr>
              <w:t>3%</w:t>
            </w:r>
          </w:p>
          <w:p w14:paraId="4F80667D" w14:textId="77777777" w:rsidR="00CD7A2B" w:rsidRPr="007223BC" w:rsidRDefault="00CD7A2B" w:rsidP="00413968">
            <w:pPr>
              <w:keepNext/>
              <w:jc w:val="both"/>
              <w:rPr>
                <w:sz w:val="22"/>
                <w:szCs w:val="22"/>
              </w:rPr>
            </w:pPr>
            <w:r w:rsidRPr="007223BC">
              <w:rPr>
                <w:sz w:val="22"/>
                <w:szCs w:val="22"/>
                <w:lang w:val="sv-SE"/>
              </w:rPr>
              <w:t>3%</w:t>
            </w:r>
          </w:p>
          <w:p w14:paraId="0BE89E88" w14:textId="77777777" w:rsidR="00CD7A2B" w:rsidRPr="007223BC" w:rsidRDefault="00CD7A2B" w:rsidP="00413968">
            <w:pPr>
              <w:keepNext/>
              <w:jc w:val="both"/>
              <w:rPr>
                <w:sz w:val="22"/>
                <w:szCs w:val="22"/>
              </w:rPr>
            </w:pPr>
            <w:r w:rsidRPr="007223BC">
              <w:rPr>
                <w:sz w:val="22"/>
                <w:szCs w:val="22"/>
                <w:lang w:val="sv-SE"/>
              </w:rPr>
              <w:t>1%</w:t>
            </w:r>
          </w:p>
          <w:p w14:paraId="76168811" w14:textId="77777777" w:rsidR="00CD7A2B" w:rsidRPr="007223BC" w:rsidRDefault="00CD7A2B" w:rsidP="00413968">
            <w:pPr>
              <w:keepNext/>
              <w:jc w:val="both"/>
              <w:rPr>
                <w:sz w:val="22"/>
                <w:szCs w:val="22"/>
              </w:rPr>
            </w:pPr>
            <w:r w:rsidRPr="007223BC">
              <w:rPr>
                <w:sz w:val="22"/>
                <w:szCs w:val="22"/>
                <w:lang w:val="sv-SE"/>
              </w:rPr>
              <w:t>1%</w:t>
            </w:r>
          </w:p>
          <w:p w14:paraId="596EEB03" w14:textId="77777777" w:rsidR="00CD7A2B" w:rsidRPr="007223BC" w:rsidRDefault="00CD7A2B" w:rsidP="00413968">
            <w:pPr>
              <w:keepNext/>
              <w:jc w:val="both"/>
              <w:rPr>
                <w:sz w:val="22"/>
                <w:szCs w:val="22"/>
              </w:rPr>
            </w:pPr>
            <w:r w:rsidRPr="007223BC">
              <w:rPr>
                <w:sz w:val="22"/>
                <w:szCs w:val="22"/>
                <w:lang w:val="sv-SE"/>
              </w:rPr>
              <w:t>0%</w:t>
            </w:r>
          </w:p>
        </w:tc>
        <w:tc>
          <w:tcPr>
            <w:tcW w:w="1275" w:type="dxa"/>
            <w:shd w:val="clear" w:color="auto" w:fill="auto"/>
          </w:tcPr>
          <w:p w14:paraId="0F3AAF3B" w14:textId="77777777" w:rsidR="00CD7A2B" w:rsidRPr="007223BC" w:rsidRDefault="00CD7A2B" w:rsidP="00413968">
            <w:pPr>
              <w:keepNext/>
              <w:jc w:val="both"/>
              <w:rPr>
                <w:sz w:val="22"/>
                <w:szCs w:val="22"/>
              </w:rPr>
            </w:pPr>
            <w:r w:rsidRPr="007223BC">
              <w:rPr>
                <w:sz w:val="22"/>
                <w:szCs w:val="22"/>
                <w:lang w:val="sv-SE"/>
              </w:rPr>
              <w:t>9%</w:t>
            </w:r>
          </w:p>
          <w:p w14:paraId="59611571" w14:textId="77777777" w:rsidR="00CD7A2B" w:rsidRPr="007223BC" w:rsidRDefault="00CD7A2B" w:rsidP="00413968">
            <w:pPr>
              <w:keepNext/>
              <w:jc w:val="both"/>
              <w:rPr>
                <w:sz w:val="22"/>
                <w:szCs w:val="22"/>
                <w:lang w:val="sv-SE"/>
              </w:rPr>
            </w:pPr>
          </w:p>
          <w:p w14:paraId="7C8073ED" w14:textId="77777777" w:rsidR="00CD7A2B" w:rsidRPr="007223BC" w:rsidRDefault="00CD7A2B" w:rsidP="00413968">
            <w:pPr>
              <w:keepNext/>
              <w:jc w:val="both"/>
              <w:rPr>
                <w:sz w:val="22"/>
                <w:szCs w:val="22"/>
                <w:lang w:val="sv-SE"/>
              </w:rPr>
            </w:pPr>
          </w:p>
          <w:p w14:paraId="66EC502B" w14:textId="77777777" w:rsidR="00CD7A2B" w:rsidRPr="007223BC" w:rsidRDefault="00CD7A2B" w:rsidP="00413968">
            <w:pPr>
              <w:keepNext/>
              <w:jc w:val="both"/>
              <w:rPr>
                <w:sz w:val="22"/>
                <w:szCs w:val="22"/>
                <w:lang w:val="sv-SE"/>
              </w:rPr>
            </w:pPr>
            <w:r w:rsidRPr="007223BC">
              <w:rPr>
                <w:sz w:val="22"/>
                <w:szCs w:val="22"/>
                <w:lang w:val="sv-SE"/>
              </w:rPr>
              <w:t>3%</w:t>
            </w:r>
          </w:p>
          <w:p w14:paraId="12CC723E" w14:textId="77777777" w:rsidR="00CD7A2B" w:rsidRPr="007223BC" w:rsidRDefault="00CD7A2B" w:rsidP="00413968">
            <w:pPr>
              <w:keepNext/>
              <w:jc w:val="both"/>
              <w:rPr>
                <w:sz w:val="22"/>
                <w:szCs w:val="22"/>
              </w:rPr>
            </w:pPr>
          </w:p>
          <w:p w14:paraId="48476839" w14:textId="77777777" w:rsidR="00CD7A2B" w:rsidRPr="007223BC" w:rsidRDefault="00CD7A2B" w:rsidP="00413968">
            <w:pPr>
              <w:keepNext/>
              <w:jc w:val="both"/>
              <w:rPr>
                <w:sz w:val="22"/>
                <w:szCs w:val="22"/>
                <w:lang w:val="sv-SE"/>
              </w:rPr>
            </w:pPr>
            <w:r w:rsidRPr="007223BC">
              <w:rPr>
                <w:sz w:val="22"/>
                <w:szCs w:val="22"/>
                <w:lang w:val="sv-SE"/>
              </w:rPr>
              <w:t>5%</w:t>
            </w:r>
          </w:p>
          <w:p w14:paraId="76763948" w14:textId="77777777" w:rsidR="00CD7A2B" w:rsidRPr="007223BC" w:rsidRDefault="00CD7A2B" w:rsidP="00413968">
            <w:pPr>
              <w:keepNext/>
              <w:jc w:val="both"/>
              <w:rPr>
                <w:sz w:val="22"/>
                <w:szCs w:val="22"/>
              </w:rPr>
            </w:pPr>
          </w:p>
          <w:p w14:paraId="3080728C" w14:textId="77777777" w:rsidR="00CD7A2B" w:rsidRPr="007223BC" w:rsidRDefault="00CD7A2B" w:rsidP="00413968">
            <w:pPr>
              <w:keepNext/>
              <w:jc w:val="both"/>
              <w:rPr>
                <w:sz w:val="22"/>
                <w:szCs w:val="22"/>
              </w:rPr>
            </w:pPr>
            <w:r w:rsidRPr="007223BC">
              <w:rPr>
                <w:sz w:val="22"/>
                <w:szCs w:val="22"/>
                <w:lang w:val="sv-SE"/>
              </w:rPr>
              <w:t>1%</w:t>
            </w:r>
          </w:p>
          <w:p w14:paraId="4AB73435" w14:textId="77777777" w:rsidR="00CD7A2B" w:rsidRPr="007223BC" w:rsidRDefault="00CD7A2B" w:rsidP="00413968">
            <w:pPr>
              <w:keepNext/>
              <w:jc w:val="both"/>
              <w:rPr>
                <w:sz w:val="22"/>
                <w:szCs w:val="22"/>
              </w:rPr>
            </w:pPr>
            <w:r w:rsidRPr="007223BC">
              <w:rPr>
                <w:sz w:val="22"/>
                <w:szCs w:val="22"/>
                <w:lang w:val="sv-SE"/>
              </w:rPr>
              <w:t>2%</w:t>
            </w:r>
          </w:p>
          <w:p w14:paraId="715ABCCD" w14:textId="77777777" w:rsidR="00CD7A2B" w:rsidRPr="007223BC" w:rsidRDefault="00CD7A2B" w:rsidP="00413968">
            <w:pPr>
              <w:keepNext/>
              <w:jc w:val="both"/>
              <w:rPr>
                <w:sz w:val="22"/>
                <w:szCs w:val="22"/>
              </w:rPr>
            </w:pPr>
            <w:r w:rsidRPr="007223BC">
              <w:rPr>
                <w:sz w:val="22"/>
                <w:szCs w:val="22"/>
                <w:lang w:val="sv-SE"/>
              </w:rPr>
              <w:t>1%</w:t>
            </w:r>
          </w:p>
          <w:p w14:paraId="410A05B9" w14:textId="77777777" w:rsidR="00CD7A2B" w:rsidRPr="007223BC" w:rsidRDefault="00CD7A2B" w:rsidP="00413968">
            <w:pPr>
              <w:keepNext/>
              <w:jc w:val="both"/>
              <w:rPr>
                <w:sz w:val="22"/>
                <w:szCs w:val="22"/>
              </w:rPr>
            </w:pPr>
            <w:r w:rsidRPr="007223BC">
              <w:rPr>
                <w:sz w:val="22"/>
                <w:szCs w:val="22"/>
                <w:lang w:val="sv-SE"/>
              </w:rPr>
              <w:t>&lt;1%</w:t>
            </w:r>
          </w:p>
          <w:p w14:paraId="388A70C9" w14:textId="77777777" w:rsidR="00CD7A2B" w:rsidRPr="007223BC" w:rsidRDefault="00CD7A2B" w:rsidP="00413968">
            <w:pPr>
              <w:keepNext/>
              <w:jc w:val="both"/>
              <w:rPr>
                <w:sz w:val="22"/>
                <w:szCs w:val="22"/>
              </w:rPr>
            </w:pPr>
            <w:r w:rsidRPr="007223BC">
              <w:rPr>
                <w:sz w:val="22"/>
                <w:szCs w:val="22"/>
                <w:lang w:val="sv-SE"/>
              </w:rPr>
              <w:t>&lt;1%</w:t>
            </w:r>
          </w:p>
        </w:tc>
        <w:tc>
          <w:tcPr>
            <w:tcW w:w="922" w:type="dxa"/>
            <w:shd w:val="clear" w:color="auto" w:fill="auto"/>
          </w:tcPr>
          <w:p w14:paraId="32159C0C" w14:textId="77777777" w:rsidR="00CD7A2B" w:rsidRPr="007223BC" w:rsidRDefault="00CD7A2B" w:rsidP="00413968">
            <w:pPr>
              <w:keepNext/>
              <w:jc w:val="both"/>
              <w:rPr>
                <w:sz w:val="22"/>
                <w:szCs w:val="22"/>
              </w:rPr>
            </w:pPr>
            <w:r w:rsidRPr="007223BC">
              <w:rPr>
                <w:sz w:val="22"/>
                <w:szCs w:val="22"/>
                <w:lang w:val="sv-SE"/>
              </w:rPr>
              <w:t>15%</w:t>
            </w:r>
          </w:p>
          <w:p w14:paraId="021047B6" w14:textId="77777777" w:rsidR="00CD7A2B" w:rsidRPr="007223BC" w:rsidRDefault="00CD7A2B" w:rsidP="00413968">
            <w:pPr>
              <w:keepNext/>
              <w:jc w:val="both"/>
              <w:rPr>
                <w:sz w:val="22"/>
                <w:szCs w:val="22"/>
                <w:lang w:val="sv-SE"/>
              </w:rPr>
            </w:pPr>
          </w:p>
          <w:p w14:paraId="459BD24E" w14:textId="77777777" w:rsidR="00CD7A2B" w:rsidRPr="007223BC" w:rsidRDefault="00CD7A2B" w:rsidP="00413968">
            <w:pPr>
              <w:keepNext/>
              <w:jc w:val="both"/>
              <w:rPr>
                <w:sz w:val="22"/>
                <w:szCs w:val="22"/>
                <w:lang w:val="sv-SE"/>
              </w:rPr>
            </w:pPr>
          </w:p>
          <w:p w14:paraId="05DFD53B" w14:textId="77777777" w:rsidR="00CD7A2B" w:rsidRPr="007223BC" w:rsidRDefault="00CD7A2B" w:rsidP="00413968">
            <w:pPr>
              <w:keepNext/>
              <w:jc w:val="both"/>
              <w:rPr>
                <w:sz w:val="22"/>
                <w:szCs w:val="22"/>
                <w:lang w:val="sv-SE"/>
              </w:rPr>
            </w:pPr>
            <w:r w:rsidRPr="007223BC">
              <w:rPr>
                <w:sz w:val="22"/>
                <w:szCs w:val="22"/>
                <w:lang w:val="sv-SE"/>
              </w:rPr>
              <w:t>4%</w:t>
            </w:r>
          </w:p>
          <w:p w14:paraId="7703E935" w14:textId="77777777" w:rsidR="00CD7A2B" w:rsidRPr="007223BC" w:rsidRDefault="00CD7A2B" w:rsidP="00413968">
            <w:pPr>
              <w:keepNext/>
              <w:jc w:val="both"/>
              <w:rPr>
                <w:sz w:val="22"/>
                <w:szCs w:val="22"/>
              </w:rPr>
            </w:pPr>
          </w:p>
          <w:p w14:paraId="6C169FF8" w14:textId="77777777" w:rsidR="00CD7A2B" w:rsidRPr="007223BC" w:rsidRDefault="00CD7A2B" w:rsidP="00413968">
            <w:pPr>
              <w:keepNext/>
              <w:jc w:val="both"/>
              <w:rPr>
                <w:sz w:val="22"/>
                <w:szCs w:val="22"/>
                <w:lang w:val="sv-SE"/>
              </w:rPr>
            </w:pPr>
            <w:r w:rsidRPr="007223BC">
              <w:rPr>
                <w:sz w:val="22"/>
                <w:szCs w:val="22"/>
                <w:lang w:val="sv-SE"/>
              </w:rPr>
              <w:t>11%</w:t>
            </w:r>
          </w:p>
          <w:p w14:paraId="3B03E7E7" w14:textId="77777777" w:rsidR="00CD7A2B" w:rsidRPr="007223BC" w:rsidRDefault="00CD7A2B" w:rsidP="00413968">
            <w:pPr>
              <w:keepNext/>
              <w:jc w:val="both"/>
              <w:rPr>
                <w:sz w:val="22"/>
                <w:szCs w:val="22"/>
              </w:rPr>
            </w:pPr>
          </w:p>
          <w:p w14:paraId="1FE457AB" w14:textId="77777777" w:rsidR="00CD7A2B" w:rsidRPr="007223BC" w:rsidRDefault="00CD7A2B" w:rsidP="00413968">
            <w:pPr>
              <w:keepNext/>
              <w:jc w:val="both"/>
              <w:rPr>
                <w:sz w:val="22"/>
                <w:szCs w:val="22"/>
              </w:rPr>
            </w:pPr>
            <w:r w:rsidRPr="007223BC">
              <w:rPr>
                <w:sz w:val="22"/>
                <w:szCs w:val="22"/>
                <w:lang w:val="sv-SE"/>
              </w:rPr>
              <w:t>3%</w:t>
            </w:r>
          </w:p>
          <w:p w14:paraId="1604114B" w14:textId="77777777" w:rsidR="00CD7A2B" w:rsidRPr="007223BC" w:rsidRDefault="00CD7A2B" w:rsidP="00413968">
            <w:pPr>
              <w:keepNext/>
              <w:jc w:val="both"/>
              <w:rPr>
                <w:sz w:val="22"/>
                <w:szCs w:val="22"/>
              </w:rPr>
            </w:pPr>
            <w:r w:rsidRPr="007223BC">
              <w:rPr>
                <w:sz w:val="22"/>
                <w:szCs w:val="22"/>
                <w:lang w:val="sv-SE"/>
              </w:rPr>
              <w:t>4%</w:t>
            </w:r>
          </w:p>
          <w:p w14:paraId="35181961" w14:textId="77777777" w:rsidR="00CD7A2B" w:rsidRPr="007223BC" w:rsidRDefault="00CD7A2B" w:rsidP="00413968">
            <w:pPr>
              <w:keepNext/>
              <w:jc w:val="both"/>
              <w:rPr>
                <w:sz w:val="22"/>
                <w:szCs w:val="22"/>
              </w:rPr>
            </w:pPr>
            <w:r w:rsidRPr="007223BC">
              <w:rPr>
                <w:sz w:val="22"/>
                <w:szCs w:val="22"/>
                <w:lang w:val="sv-SE"/>
              </w:rPr>
              <w:t>2%</w:t>
            </w:r>
          </w:p>
          <w:p w14:paraId="78925B60" w14:textId="77777777" w:rsidR="00CD7A2B" w:rsidRPr="007223BC" w:rsidRDefault="00CD7A2B" w:rsidP="00413968">
            <w:pPr>
              <w:keepNext/>
              <w:jc w:val="both"/>
              <w:rPr>
                <w:sz w:val="22"/>
                <w:szCs w:val="22"/>
              </w:rPr>
            </w:pPr>
            <w:r w:rsidRPr="007223BC">
              <w:rPr>
                <w:sz w:val="22"/>
                <w:szCs w:val="22"/>
                <w:lang w:val="sv-SE"/>
              </w:rPr>
              <w:t>2%</w:t>
            </w:r>
          </w:p>
          <w:p w14:paraId="21C87A79" w14:textId="77777777" w:rsidR="00CD7A2B" w:rsidRPr="007223BC" w:rsidRDefault="00CD7A2B" w:rsidP="00413968">
            <w:pPr>
              <w:keepNext/>
              <w:jc w:val="both"/>
              <w:rPr>
                <w:sz w:val="22"/>
                <w:szCs w:val="22"/>
              </w:rPr>
            </w:pPr>
            <w:r w:rsidRPr="007223BC">
              <w:rPr>
                <w:sz w:val="22"/>
                <w:szCs w:val="22"/>
                <w:lang w:val="sv-SE"/>
              </w:rPr>
              <w:t>&lt;1%</w:t>
            </w:r>
          </w:p>
        </w:tc>
        <w:tc>
          <w:tcPr>
            <w:tcW w:w="1205" w:type="dxa"/>
            <w:shd w:val="clear" w:color="auto" w:fill="auto"/>
          </w:tcPr>
          <w:p w14:paraId="230F2C88" w14:textId="77777777" w:rsidR="00CD7A2B" w:rsidRPr="007223BC" w:rsidRDefault="00CD7A2B" w:rsidP="00413968">
            <w:pPr>
              <w:keepNext/>
              <w:jc w:val="both"/>
              <w:rPr>
                <w:sz w:val="22"/>
                <w:szCs w:val="22"/>
              </w:rPr>
            </w:pPr>
            <w:r w:rsidRPr="007223BC">
              <w:rPr>
                <w:sz w:val="22"/>
                <w:szCs w:val="22"/>
                <w:lang w:val="sv-SE"/>
              </w:rPr>
              <w:t>14%</w:t>
            </w:r>
          </w:p>
          <w:p w14:paraId="182C1634" w14:textId="77777777" w:rsidR="00CD7A2B" w:rsidRPr="007223BC" w:rsidRDefault="00CD7A2B" w:rsidP="00413968">
            <w:pPr>
              <w:keepNext/>
              <w:jc w:val="both"/>
              <w:rPr>
                <w:sz w:val="22"/>
                <w:szCs w:val="22"/>
                <w:lang w:val="sv-SE"/>
              </w:rPr>
            </w:pPr>
          </w:p>
          <w:p w14:paraId="6E5C9697" w14:textId="77777777" w:rsidR="00CD7A2B" w:rsidRPr="007223BC" w:rsidRDefault="00CD7A2B" w:rsidP="00413968">
            <w:pPr>
              <w:keepNext/>
              <w:jc w:val="both"/>
              <w:rPr>
                <w:sz w:val="22"/>
                <w:szCs w:val="22"/>
                <w:lang w:val="sv-SE"/>
              </w:rPr>
            </w:pPr>
          </w:p>
          <w:p w14:paraId="710A068E" w14:textId="77777777" w:rsidR="00CD7A2B" w:rsidRPr="007223BC" w:rsidRDefault="00CD7A2B" w:rsidP="00413968">
            <w:pPr>
              <w:keepNext/>
              <w:jc w:val="both"/>
              <w:rPr>
                <w:sz w:val="22"/>
                <w:szCs w:val="22"/>
                <w:lang w:val="sv-SE"/>
              </w:rPr>
            </w:pPr>
            <w:r w:rsidRPr="007223BC">
              <w:rPr>
                <w:sz w:val="22"/>
                <w:szCs w:val="22"/>
                <w:lang w:val="sv-SE"/>
              </w:rPr>
              <w:t>4%</w:t>
            </w:r>
          </w:p>
          <w:p w14:paraId="28AA5E6A" w14:textId="77777777" w:rsidR="00CD7A2B" w:rsidRPr="007223BC" w:rsidRDefault="00CD7A2B" w:rsidP="00413968">
            <w:pPr>
              <w:keepNext/>
              <w:jc w:val="both"/>
              <w:rPr>
                <w:sz w:val="22"/>
                <w:szCs w:val="22"/>
              </w:rPr>
            </w:pPr>
          </w:p>
          <w:p w14:paraId="2AF4C07B" w14:textId="77777777" w:rsidR="00CD7A2B" w:rsidRPr="007223BC" w:rsidRDefault="00CD7A2B" w:rsidP="00413968">
            <w:pPr>
              <w:keepNext/>
              <w:jc w:val="both"/>
              <w:rPr>
                <w:sz w:val="22"/>
                <w:szCs w:val="22"/>
                <w:lang w:val="sv-SE"/>
              </w:rPr>
            </w:pPr>
            <w:r w:rsidRPr="007223BC">
              <w:rPr>
                <w:sz w:val="22"/>
                <w:szCs w:val="22"/>
                <w:lang w:val="sv-SE"/>
              </w:rPr>
              <w:t>9%</w:t>
            </w:r>
          </w:p>
          <w:p w14:paraId="0A88FC76" w14:textId="77777777" w:rsidR="00CD7A2B" w:rsidRPr="007223BC" w:rsidRDefault="00CD7A2B" w:rsidP="00413968">
            <w:pPr>
              <w:keepNext/>
              <w:jc w:val="both"/>
              <w:rPr>
                <w:sz w:val="22"/>
                <w:szCs w:val="22"/>
                <w:lang w:val="sv-SE"/>
              </w:rPr>
            </w:pPr>
          </w:p>
          <w:p w14:paraId="444A032C" w14:textId="77777777" w:rsidR="00CD7A2B" w:rsidRPr="007223BC" w:rsidRDefault="00CD7A2B" w:rsidP="00413968">
            <w:pPr>
              <w:keepNext/>
              <w:jc w:val="both"/>
              <w:rPr>
                <w:sz w:val="22"/>
                <w:szCs w:val="22"/>
                <w:lang w:val="sv-SE"/>
              </w:rPr>
            </w:pPr>
            <w:r w:rsidRPr="007223BC">
              <w:rPr>
                <w:sz w:val="22"/>
                <w:szCs w:val="22"/>
                <w:lang w:val="sv-SE"/>
              </w:rPr>
              <w:t>3%</w:t>
            </w:r>
          </w:p>
          <w:p w14:paraId="666893B0" w14:textId="77777777" w:rsidR="00CD7A2B" w:rsidRPr="007223BC" w:rsidRDefault="00CD7A2B" w:rsidP="00413968">
            <w:pPr>
              <w:keepNext/>
              <w:jc w:val="both"/>
              <w:rPr>
                <w:sz w:val="22"/>
                <w:szCs w:val="22"/>
                <w:lang w:val="sv-SE"/>
              </w:rPr>
            </w:pPr>
            <w:r w:rsidRPr="007223BC">
              <w:rPr>
                <w:sz w:val="22"/>
                <w:szCs w:val="22"/>
                <w:lang w:val="sv-SE"/>
              </w:rPr>
              <w:t>3%</w:t>
            </w:r>
          </w:p>
          <w:p w14:paraId="54F6A592" w14:textId="77777777" w:rsidR="00CD7A2B" w:rsidRPr="007223BC" w:rsidRDefault="00CD7A2B" w:rsidP="00413968">
            <w:pPr>
              <w:keepNext/>
              <w:jc w:val="both"/>
              <w:rPr>
                <w:sz w:val="22"/>
                <w:szCs w:val="22"/>
                <w:lang w:val="sv-SE"/>
              </w:rPr>
            </w:pPr>
            <w:r w:rsidRPr="007223BC">
              <w:rPr>
                <w:sz w:val="22"/>
                <w:szCs w:val="22"/>
                <w:lang w:val="sv-SE"/>
              </w:rPr>
              <w:t>1%</w:t>
            </w:r>
          </w:p>
          <w:p w14:paraId="153ABBB1" w14:textId="77777777" w:rsidR="00CD7A2B" w:rsidRPr="007223BC" w:rsidRDefault="00CD7A2B" w:rsidP="00413968">
            <w:pPr>
              <w:keepNext/>
              <w:jc w:val="both"/>
              <w:rPr>
                <w:sz w:val="22"/>
                <w:szCs w:val="22"/>
                <w:lang w:val="sv-SE"/>
              </w:rPr>
            </w:pPr>
            <w:r w:rsidRPr="007223BC">
              <w:rPr>
                <w:sz w:val="22"/>
                <w:szCs w:val="22"/>
                <w:lang w:val="sv-SE"/>
              </w:rPr>
              <w:t>1%</w:t>
            </w:r>
          </w:p>
          <w:p w14:paraId="093F2D20" w14:textId="77777777" w:rsidR="00CD7A2B" w:rsidRPr="007223BC" w:rsidRDefault="00CD7A2B" w:rsidP="00413968">
            <w:pPr>
              <w:keepNext/>
              <w:jc w:val="both"/>
              <w:rPr>
                <w:sz w:val="22"/>
                <w:szCs w:val="22"/>
              </w:rPr>
            </w:pPr>
            <w:r w:rsidRPr="007223BC">
              <w:rPr>
                <w:sz w:val="22"/>
                <w:szCs w:val="22"/>
                <w:lang w:val="sv-SE"/>
              </w:rPr>
              <w:t>&lt;1%</w:t>
            </w:r>
          </w:p>
        </w:tc>
      </w:tr>
    </w:tbl>
    <w:p w14:paraId="04F379C8" w14:textId="77777777" w:rsidR="00CD7A2B" w:rsidRPr="007223BC" w:rsidRDefault="00CD7A2B" w:rsidP="00805A14">
      <w:pPr>
        <w:jc w:val="both"/>
        <w:rPr>
          <w:sz w:val="22"/>
          <w:szCs w:val="22"/>
        </w:rPr>
      </w:pPr>
      <w:r w:rsidRPr="007223BC">
        <w:rPr>
          <w:sz w:val="22"/>
          <w:szCs w:val="22"/>
        </w:rPr>
        <w:t>*</w:t>
      </w:r>
      <w:r w:rsidRPr="007223BC">
        <w:rPr>
          <w:i/>
          <w:iCs/>
          <w:sz w:val="22"/>
          <w:szCs w:val="22"/>
        </w:rPr>
        <w:t xml:space="preserve"> </w:t>
      </w:r>
      <w:r w:rsidRPr="007223BC">
        <w:rPr>
          <w:sz w:val="22"/>
          <w:szCs w:val="22"/>
        </w:rPr>
        <w:t xml:space="preserve">Rezultati analize objedinjenih podataka u skladu su s onima iz pojedinačnih ispitivanja. </w:t>
      </w:r>
    </w:p>
    <w:p w14:paraId="0B93AB40" w14:textId="3338ECFE" w:rsidR="00CD7A2B" w:rsidRPr="007223BC" w:rsidRDefault="00CD7A2B">
      <w:pPr>
        <w:keepNext/>
        <w:contextualSpacing/>
        <w:jc w:val="both"/>
        <w:rPr>
          <w:sz w:val="22"/>
          <w:szCs w:val="22"/>
        </w:rPr>
      </w:pPr>
      <w:r w:rsidRPr="007223BC">
        <w:rPr>
          <w:sz w:val="22"/>
          <w:szCs w:val="22"/>
        </w:rPr>
        <w:t xml:space="preserve">† </w:t>
      </w:r>
      <w:r w:rsidR="00AB2E7A" w:rsidRPr="007223BC">
        <w:rPr>
          <w:sz w:val="22"/>
          <w:szCs w:val="22"/>
          <w:lang w:val="sr-Latn-RS" w:eastAsia="sr-Latn-RS"/>
        </w:rPr>
        <w:t>Na osnovu analize stratifi</w:t>
      </w:r>
      <w:r w:rsidR="00497ED8">
        <w:rPr>
          <w:sz w:val="22"/>
          <w:szCs w:val="22"/>
          <w:lang w:val="sr-Latn-RS" w:eastAsia="sr-Latn-RS"/>
        </w:rPr>
        <w:t>kov</w:t>
      </w:r>
      <w:r w:rsidR="00AB2E7A" w:rsidRPr="007223BC">
        <w:rPr>
          <w:sz w:val="22"/>
          <w:szCs w:val="22"/>
          <w:lang w:val="sr-Latn-RS" w:eastAsia="sr-Latn-RS"/>
        </w:rPr>
        <w:t xml:space="preserve">ane </w:t>
      </w:r>
      <w:r w:rsidR="00AB2E7A" w:rsidRPr="007223BC">
        <w:rPr>
          <w:i/>
          <w:sz w:val="22"/>
          <w:szCs w:val="22"/>
          <w:lang w:val="sr-Latn-RS" w:eastAsia="sr-Latn-RS"/>
        </w:rPr>
        <w:t>Cochran-Mantel-Haenszel</w:t>
      </w:r>
      <w:r w:rsidR="00C72314" w:rsidRPr="007223BC">
        <w:rPr>
          <w:sz w:val="22"/>
          <w:szCs w:val="22"/>
          <w:lang w:val="sr-Latn-RS" w:eastAsia="sr-Latn-RS"/>
        </w:rPr>
        <w:t>-</w:t>
      </w:r>
      <w:r w:rsidR="00AB2E7A" w:rsidRPr="007223BC">
        <w:rPr>
          <w:sz w:val="22"/>
          <w:szCs w:val="22"/>
          <w:lang w:val="sr-Latn-RS" w:eastAsia="sr-Latn-RS"/>
        </w:rPr>
        <w:t xml:space="preserve">ovom metodom i prilagođene za sljedeće </w:t>
      </w:r>
      <w:r w:rsidRPr="007223BC">
        <w:rPr>
          <w:sz w:val="22"/>
          <w:szCs w:val="22"/>
          <w:lang w:val="sr-Latn-RS" w:eastAsia="sr-Latn-RS"/>
        </w:rPr>
        <w:t>početne</w:t>
      </w:r>
      <w:r w:rsidRPr="007223BC">
        <w:rPr>
          <w:sz w:val="22"/>
          <w:szCs w:val="22"/>
        </w:rPr>
        <w:t xml:space="preserve"> stratifikaci</w:t>
      </w:r>
      <w:r w:rsidR="00497ED8">
        <w:rPr>
          <w:sz w:val="22"/>
          <w:szCs w:val="22"/>
        </w:rPr>
        <w:t>on</w:t>
      </w:r>
      <w:r w:rsidRPr="007223BC">
        <w:rPr>
          <w:sz w:val="22"/>
          <w:szCs w:val="22"/>
        </w:rPr>
        <w:t xml:space="preserve">e faktore: </w:t>
      </w:r>
      <w:r w:rsidR="00497ED8">
        <w:rPr>
          <w:sz w:val="22"/>
          <w:szCs w:val="22"/>
        </w:rPr>
        <w:t xml:space="preserve">plazmatsku </w:t>
      </w:r>
      <w:r w:rsidR="00AB2E7A" w:rsidRPr="007223BC">
        <w:rPr>
          <w:sz w:val="22"/>
          <w:szCs w:val="22"/>
          <w:lang w:val="sr-Latn-RS" w:eastAsia="sr-Latn-RS"/>
        </w:rPr>
        <w:t xml:space="preserve">koncentraciju HIV-1 RNK </w:t>
      </w:r>
      <w:r w:rsidRPr="007223BC">
        <w:rPr>
          <w:sz w:val="22"/>
          <w:szCs w:val="22"/>
        </w:rPr>
        <w:t>(≤ 100 000 kopija/m</w:t>
      </w:r>
      <w:r w:rsidR="00B412CB">
        <w:rPr>
          <w:sz w:val="22"/>
          <w:szCs w:val="22"/>
        </w:rPr>
        <w:t>l</w:t>
      </w:r>
      <w:r w:rsidRPr="007223BC">
        <w:rPr>
          <w:sz w:val="22"/>
          <w:szCs w:val="22"/>
        </w:rPr>
        <w:t xml:space="preserve"> naspram &gt; 100 000 kopija/m</w:t>
      </w:r>
      <w:r w:rsidR="00B412CB">
        <w:rPr>
          <w:sz w:val="22"/>
          <w:szCs w:val="22"/>
        </w:rPr>
        <w:t>l</w:t>
      </w:r>
      <w:r w:rsidRPr="007223BC">
        <w:rPr>
          <w:sz w:val="22"/>
          <w:szCs w:val="22"/>
        </w:rPr>
        <w:t xml:space="preserve">) </w:t>
      </w:r>
      <w:proofErr w:type="gramStart"/>
      <w:r w:rsidRPr="007223BC">
        <w:rPr>
          <w:sz w:val="22"/>
          <w:szCs w:val="22"/>
        </w:rPr>
        <w:t>te</w:t>
      </w:r>
      <w:proofErr w:type="gramEnd"/>
      <w:r w:rsidRPr="007223BC">
        <w:rPr>
          <w:sz w:val="22"/>
          <w:szCs w:val="22"/>
        </w:rPr>
        <w:t xml:space="preserve"> broj CD4+ </w:t>
      </w:r>
      <w:r w:rsidR="00AB2E7A" w:rsidRPr="007223BC">
        <w:rPr>
          <w:sz w:val="22"/>
          <w:szCs w:val="22"/>
        </w:rPr>
        <w:t>ćelija</w:t>
      </w:r>
      <w:r w:rsidRPr="007223BC">
        <w:rPr>
          <w:sz w:val="22"/>
          <w:szCs w:val="22"/>
        </w:rPr>
        <w:t xml:space="preserve"> (≤ 200 </w:t>
      </w:r>
      <w:r w:rsidR="00AB2E7A" w:rsidRPr="007223BC">
        <w:rPr>
          <w:sz w:val="22"/>
          <w:szCs w:val="22"/>
        </w:rPr>
        <w:t>ćelija</w:t>
      </w:r>
      <w:r w:rsidRPr="007223BC">
        <w:rPr>
          <w:sz w:val="22"/>
          <w:szCs w:val="22"/>
        </w:rPr>
        <w:t>/mm</w:t>
      </w:r>
      <w:r w:rsidRPr="007223BC">
        <w:rPr>
          <w:sz w:val="22"/>
          <w:szCs w:val="22"/>
          <w:vertAlign w:val="superscript"/>
        </w:rPr>
        <w:t>3</w:t>
      </w:r>
      <w:r w:rsidRPr="007223BC">
        <w:rPr>
          <w:sz w:val="22"/>
          <w:szCs w:val="22"/>
        </w:rPr>
        <w:t xml:space="preserve"> naspram &gt; 200 </w:t>
      </w:r>
      <w:r w:rsidR="00AB2E7A" w:rsidRPr="007223BC">
        <w:rPr>
          <w:sz w:val="22"/>
          <w:szCs w:val="22"/>
        </w:rPr>
        <w:t>ćelija</w:t>
      </w:r>
      <w:r w:rsidRPr="007223BC">
        <w:rPr>
          <w:sz w:val="22"/>
          <w:szCs w:val="22"/>
        </w:rPr>
        <w:t>/mm</w:t>
      </w:r>
      <w:r w:rsidRPr="007223BC">
        <w:rPr>
          <w:sz w:val="22"/>
          <w:szCs w:val="22"/>
          <w:vertAlign w:val="superscript"/>
        </w:rPr>
        <w:t>3</w:t>
      </w:r>
      <w:r w:rsidRPr="007223BC">
        <w:rPr>
          <w:sz w:val="22"/>
          <w:szCs w:val="22"/>
        </w:rPr>
        <w:t>). Analiza objedinjenih podataka stratifi</w:t>
      </w:r>
      <w:r w:rsidR="00497ED8">
        <w:rPr>
          <w:sz w:val="22"/>
          <w:szCs w:val="22"/>
        </w:rPr>
        <w:t>kov</w:t>
      </w:r>
      <w:r w:rsidRPr="007223BC">
        <w:rPr>
          <w:sz w:val="22"/>
          <w:szCs w:val="22"/>
        </w:rPr>
        <w:t xml:space="preserve">ana je i prema ispitivanju. Za ocjenu je korištena granična vrijednost neinferiornosti </w:t>
      </w:r>
      <w:proofErr w:type="gramStart"/>
      <w:r w:rsidRPr="007223BC">
        <w:rPr>
          <w:sz w:val="22"/>
          <w:szCs w:val="22"/>
        </w:rPr>
        <w:t>od</w:t>
      </w:r>
      <w:proofErr w:type="gramEnd"/>
      <w:r w:rsidRPr="007223BC">
        <w:rPr>
          <w:sz w:val="22"/>
          <w:szCs w:val="22"/>
        </w:rPr>
        <w:t xml:space="preserve"> 10%.</w:t>
      </w:r>
    </w:p>
    <w:p w14:paraId="3B1D7591" w14:textId="77777777" w:rsidR="00CD7A2B" w:rsidRPr="007223BC" w:rsidRDefault="00CD7A2B">
      <w:pPr>
        <w:jc w:val="both"/>
        <w:rPr>
          <w:sz w:val="22"/>
          <w:szCs w:val="22"/>
          <w:lang w:eastAsia="ja-JP"/>
        </w:rPr>
      </w:pPr>
      <w:r w:rsidRPr="007223BC">
        <w:rPr>
          <w:sz w:val="22"/>
          <w:szCs w:val="22"/>
        </w:rPr>
        <w:t>N = </w:t>
      </w:r>
      <w:r w:rsidR="00AB2E7A" w:rsidRPr="007223BC">
        <w:rPr>
          <w:sz w:val="22"/>
          <w:szCs w:val="22"/>
          <w:lang w:val="sr-Latn-RS" w:eastAsia="sr-Latn-RS"/>
        </w:rPr>
        <w:t>broj ispitanika u svakoj liječenoj grupi</w:t>
      </w:r>
    </w:p>
    <w:p w14:paraId="743401CE" w14:textId="77777777" w:rsidR="00CD7A2B" w:rsidRPr="007223BC" w:rsidRDefault="00CD7A2B">
      <w:pPr>
        <w:keepNext/>
        <w:jc w:val="both"/>
        <w:rPr>
          <w:i/>
          <w:sz w:val="22"/>
          <w:szCs w:val="22"/>
          <w:lang w:eastAsia="ja-JP"/>
        </w:rPr>
      </w:pPr>
    </w:p>
    <w:p w14:paraId="0A363CA4" w14:textId="77777777" w:rsidR="00CD7A2B" w:rsidRPr="007223BC" w:rsidRDefault="00CD7A2B">
      <w:pPr>
        <w:keepNext/>
        <w:jc w:val="both"/>
        <w:rPr>
          <w:i/>
          <w:sz w:val="22"/>
          <w:szCs w:val="22"/>
          <w:lang w:eastAsia="ja-JP"/>
        </w:rPr>
      </w:pPr>
      <w:r w:rsidRPr="007223BC">
        <w:rPr>
          <w:sz w:val="22"/>
          <w:szCs w:val="22"/>
          <w:lang w:eastAsia="ja-JP"/>
        </w:rPr>
        <w:t>Srednja vrijednost povećanja broja CD4+ T</w:t>
      </w:r>
      <w:r w:rsidRPr="007223BC">
        <w:rPr>
          <w:sz w:val="22"/>
          <w:szCs w:val="22"/>
          <w:lang w:eastAsia="ja-JP"/>
        </w:rPr>
        <w:noBreakHyphen/>
      </w:r>
      <w:r w:rsidR="00C82CC8" w:rsidRPr="007223BC">
        <w:rPr>
          <w:sz w:val="22"/>
          <w:szCs w:val="22"/>
          <w:lang w:eastAsia="ja-JP"/>
        </w:rPr>
        <w:t>ćelija</w:t>
      </w:r>
      <w:r w:rsidRPr="007223BC">
        <w:rPr>
          <w:sz w:val="22"/>
          <w:szCs w:val="22"/>
          <w:lang w:eastAsia="ja-JP"/>
        </w:rPr>
        <w:t xml:space="preserve"> do 144. </w:t>
      </w:r>
      <w:proofErr w:type="gramStart"/>
      <w:r w:rsidR="00C82CC8" w:rsidRPr="007223BC">
        <w:rPr>
          <w:sz w:val="22"/>
          <w:szCs w:val="22"/>
          <w:lang w:eastAsia="ja-JP"/>
        </w:rPr>
        <w:t>nedjelje</w:t>
      </w:r>
      <w:proofErr w:type="gramEnd"/>
      <w:r w:rsidRPr="007223BC">
        <w:rPr>
          <w:sz w:val="22"/>
          <w:szCs w:val="22"/>
          <w:lang w:eastAsia="ja-JP"/>
        </w:rPr>
        <w:t xml:space="preserve"> iznosila je 302 </w:t>
      </w:r>
      <w:r w:rsidR="00C82CC8" w:rsidRPr="007223BC">
        <w:rPr>
          <w:sz w:val="22"/>
          <w:szCs w:val="22"/>
          <w:lang w:eastAsia="ja-JP"/>
        </w:rPr>
        <w:t>ćelija</w:t>
      </w:r>
      <w:r w:rsidRPr="007223BC">
        <w:rPr>
          <w:sz w:val="22"/>
          <w:szCs w:val="22"/>
          <w:lang w:eastAsia="ja-JP"/>
        </w:rPr>
        <w:t>/mm</w:t>
      </w:r>
      <w:r w:rsidRPr="007223BC">
        <w:rPr>
          <w:sz w:val="22"/>
          <w:szCs w:val="22"/>
          <w:vertAlign w:val="superscript"/>
          <w:lang w:eastAsia="ja-JP"/>
        </w:rPr>
        <w:t>3</w:t>
      </w:r>
      <w:r w:rsidRPr="007223BC">
        <w:rPr>
          <w:sz w:val="22"/>
          <w:szCs w:val="22"/>
          <w:lang w:eastAsia="ja-JP"/>
        </w:rPr>
        <w:t xml:space="preserve"> u </w:t>
      </w:r>
      <w:r w:rsidR="00C82CC8" w:rsidRPr="007223BC">
        <w:rPr>
          <w:sz w:val="22"/>
          <w:szCs w:val="22"/>
          <w:lang w:eastAsia="ja-JP"/>
        </w:rPr>
        <w:t>grupi</w:t>
      </w:r>
      <w:r w:rsidRPr="007223BC">
        <w:rPr>
          <w:sz w:val="22"/>
          <w:szCs w:val="22"/>
          <w:lang w:eastAsia="ja-JP"/>
        </w:rPr>
        <w:t xml:space="preserve"> liječenoj dolutegravirom plus lamivudinom</w:t>
      </w:r>
      <w:r w:rsidR="00F748A2" w:rsidRPr="007223BC">
        <w:rPr>
          <w:sz w:val="22"/>
          <w:szCs w:val="22"/>
          <w:lang w:eastAsia="ja-JP"/>
        </w:rPr>
        <w:t xml:space="preserve"> i</w:t>
      </w:r>
      <w:r w:rsidR="0042116F" w:rsidRPr="007223BC">
        <w:rPr>
          <w:sz w:val="22"/>
          <w:szCs w:val="22"/>
          <w:lang w:eastAsia="ja-JP"/>
        </w:rPr>
        <w:t xml:space="preserve"> </w:t>
      </w:r>
      <w:r w:rsidRPr="007223BC">
        <w:rPr>
          <w:sz w:val="22"/>
          <w:szCs w:val="22"/>
          <w:lang w:eastAsia="ja-JP"/>
        </w:rPr>
        <w:t xml:space="preserve">300 </w:t>
      </w:r>
      <w:r w:rsidR="00C82CC8" w:rsidRPr="007223BC">
        <w:rPr>
          <w:sz w:val="22"/>
          <w:szCs w:val="22"/>
          <w:lang w:eastAsia="ja-JP"/>
        </w:rPr>
        <w:t>ćelija</w:t>
      </w:r>
      <w:r w:rsidRPr="007223BC">
        <w:rPr>
          <w:sz w:val="22"/>
          <w:szCs w:val="22"/>
          <w:lang w:eastAsia="ja-JP"/>
        </w:rPr>
        <w:t>/mm</w:t>
      </w:r>
      <w:r w:rsidRPr="007223BC">
        <w:rPr>
          <w:sz w:val="22"/>
          <w:szCs w:val="22"/>
          <w:vertAlign w:val="superscript"/>
          <w:lang w:eastAsia="ja-JP"/>
        </w:rPr>
        <w:t>3</w:t>
      </w:r>
      <w:r w:rsidRPr="007223BC">
        <w:rPr>
          <w:sz w:val="22"/>
          <w:szCs w:val="22"/>
          <w:lang w:eastAsia="ja-JP"/>
        </w:rPr>
        <w:t xml:space="preserve"> u </w:t>
      </w:r>
      <w:r w:rsidR="00F748A2" w:rsidRPr="007223BC">
        <w:rPr>
          <w:sz w:val="22"/>
          <w:szCs w:val="22"/>
          <w:lang w:eastAsia="ja-JP"/>
        </w:rPr>
        <w:t>grupi</w:t>
      </w:r>
      <w:r w:rsidRPr="007223BC">
        <w:rPr>
          <w:sz w:val="22"/>
          <w:szCs w:val="22"/>
          <w:lang w:eastAsia="ja-JP"/>
        </w:rPr>
        <w:t xml:space="preserve"> koja je primala dolutegravir plus tenofovir/emtricitabin.</w:t>
      </w:r>
    </w:p>
    <w:p w14:paraId="5DC11C58" w14:textId="77777777" w:rsidR="00E306A6" w:rsidRPr="007223BC" w:rsidRDefault="00E306A6">
      <w:pPr>
        <w:keepNext/>
        <w:jc w:val="both"/>
        <w:rPr>
          <w:i/>
          <w:sz w:val="22"/>
          <w:szCs w:val="22"/>
          <w:lang w:eastAsia="ja-JP"/>
        </w:rPr>
      </w:pPr>
    </w:p>
    <w:p w14:paraId="546941B8" w14:textId="77777777" w:rsidR="006C2D7B" w:rsidRPr="007223BC" w:rsidRDefault="006C2D7B">
      <w:pPr>
        <w:spacing w:before="100" w:beforeAutospacing="1" w:after="100" w:afterAutospacing="1"/>
        <w:jc w:val="both"/>
        <w:rPr>
          <w:i/>
          <w:sz w:val="22"/>
          <w:szCs w:val="22"/>
          <w:lang w:val="sr-Latn-RS" w:eastAsia="sr-Latn-RS"/>
        </w:rPr>
      </w:pPr>
      <w:r w:rsidRPr="007223BC">
        <w:rPr>
          <w:i/>
          <w:sz w:val="22"/>
          <w:szCs w:val="22"/>
          <w:lang w:val="sr-Latn-RS" w:eastAsia="sr-Latn-RS"/>
        </w:rPr>
        <w:t xml:space="preserve">Virusološki suprimirani ispitanici </w:t>
      </w:r>
    </w:p>
    <w:p w14:paraId="650B234E" w14:textId="60DD29BB" w:rsidR="006C2D7B" w:rsidRDefault="006C2D7B" w:rsidP="00413968">
      <w:pPr>
        <w:jc w:val="both"/>
        <w:rPr>
          <w:sz w:val="22"/>
          <w:szCs w:val="22"/>
          <w:lang w:val="sr-Latn-RS" w:eastAsia="sr-Latn-RS"/>
        </w:rPr>
      </w:pPr>
      <w:r w:rsidRPr="007223BC">
        <w:rPr>
          <w:sz w:val="22"/>
          <w:szCs w:val="22"/>
          <w:lang w:val="sr-Latn-RS" w:eastAsia="sr-Latn-RS"/>
        </w:rPr>
        <w:t>Efikasnost dolutegravir/lamivudin</w:t>
      </w:r>
      <w:r w:rsidR="0084558C" w:rsidRPr="007223BC">
        <w:rPr>
          <w:sz w:val="22"/>
          <w:szCs w:val="22"/>
          <w:lang w:val="sr-Latn-RS" w:eastAsia="sr-Latn-RS"/>
        </w:rPr>
        <w:t>a</w:t>
      </w:r>
      <w:r w:rsidRPr="007223BC">
        <w:rPr>
          <w:sz w:val="22"/>
          <w:szCs w:val="22"/>
          <w:lang w:val="sr-Latn-RS" w:eastAsia="sr-Latn-RS"/>
        </w:rPr>
        <w:t xml:space="preserve"> kod vi</w:t>
      </w:r>
      <w:r w:rsidR="00433D68">
        <w:rPr>
          <w:sz w:val="22"/>
          <w:szCs w:val="22"/>
          <w:lang w:val="sr-Latn-RS" w:eastAsia="sr-Latn-RS"/>
        </w:rPr>
        <w:t>r</w:t>
      </w:r>
      <w:r w:rsidRPr="007223BC">
        <w:rPr>
          <w:sz w:val="22"/>
          <w:szCs w:val="22"/>
          <w:lang w:val="sr-Latn-RS" w:eastAsia="sr-Latn-RS"/>
        </w:rPr>
        <w:t>ološki suprimiranih ispitanika podržana je podacima iz randomizovanog, otvorenog kliničkog ispitivanja (TANGO [204862]). Ukupno 741 odrastao ispitanik inficiran virusom HIV-1, bez ijednog dokaza rezistencije na NRTI ili klasu inhibitora integraze (INSTI) i koji je bio na stabilnom supresivnom terapijskom režimu zasnovanom na tenofovir alafenamidu (TBR) bio je l</w:t>
      </w:r>
      <w:r w:rsidR="0057528A" w:rsidRPr="007223BC">
        <w:rPr>
          <w:sz w:val="22"/>
          <w:szCs w:val="22"/>
          <w:lang w:val="sr-Latn-RS" w:eastAsia="sr-Latn-RS"/>
        </w:rPr>
        <w:t>ij</w:t>
      </w:r>
      <w:r w:rsidRPr="007223BC">
        <w:rPr>
          <w:sz w:val="22"/>
          <w:szCs w:val="22"/>
          <w:lang w:val="sr-Latn-RS" w:eastAsia="sr-Latn-RS"/>
        </w:rPr>
        <w:t xml:space="preserve">ečen u </w:t>
      </w:r>
      <w:r w:rsidR="00433D68">
        <w:rPr>
          <w:sz w:val="22"/>
          <w:szCs w:val="22"/>
          <w:lang w:val="sr-Latn-RS" w:eastAsia="sr-Latn-RS"/>
        </w:rPr>
        <w:t>sklopu tog ispitivanja.</w:t>
      </w:r>
      <w:r w:rsidRPr="007223BC">
        <w:rPr>
          <w:sz w:val="22"/>
          <w:szCs w:val="22"/>
          <w:lang w:val="sr-Latn-RS" w:eastAsia="sr-Latn-RS"/>
        </w:rPr>
        <w:t xml:space="preserve"> Ispitanici su bili randomizovani u odnosu 1:1 </w:t>
      </w:r>
      <w:r w:rsidR="00433D68">
        <w:rPr>
          <w:sz w:val="22"/>
          <w:szCs w:val="22"/>
          <w:lang w:val="sr-Latn-RS" w:eastAsia="sr-Latn-RS"/>
        </w:rPr>
        <w:t xml:space="preserve">za primanje kombinacije fiksinh doza </w:t>
      </w:r>
      <w:r w:rsidRPr="007223BC">
        <w:rPr>
          <w:sz w:val="22"/>
          <w:szCs w:val="22"/>
          <w:lang w:val="sr-Latn-RS" w:eastAsia="sr-Latn-RS"/>
        </w:rPr>
        <w:t>dolutegravir</w:t>
      </w:r>
      <w:r w:rsidR="00433D68">
        <w:rPr>
          <w:sz w:val="22"/>
          <w:szCs w:val="22"/>
          <w:lang w:val="sr-Latn-RS" w:eastAsia="sr-Latn-RS"/>
        </w:rPr>
        <w:t>a</w:t>
      </w:r>
      <w:r w:rsidRPr="007223BC">
        <w:rPr>
          <w:sz w:val="22"/>
          <w:szCs w:val="22"/>
          <w:lang w:val="sr-Latn-RS" w:eastAsia="sr-Latn-RS"/>
        </w:rPr>
        <w:t>/lamivudin</w:t>
      </w:r>
      <w:r w:rsidR="00433D68">
        <w:rPr>
          <w:sz w:val="22"/>
          <w:szCs w:val="22"/>
          <w:lang w:val="sr-Latn-RS" w:eastAsia="sr-Latn-RS"/>
        </w:rPr>
        <w:t>a</w:t>
      </w:r>
      <w:r w:rsidRPr="007223BC">
        <w:rPr>
          <w:sz w:val="22"/>
          <w:szCs w:val="22"/>
          <w:lang w:val="sr-Latn-RS" w:eastAsia="sr-Latn-RS"/>
        </w:rPr>
        <w:t xml:space="preserve"> ili nastav</w:t>
      </w:r>
      <w:r w:rsidR="00433D68">
        <w:rPr>
          <w:sz w:val="22"/>
          <w:szCs w:val="22"/>
          <w:lang w:val="sr-Latn-RS" w:eastAsia="sr-Latn-RS"/>
        </w:rPr>
        <w:t>ak liječenja</w:t>
      </w:r>
      <w:r w:rsidRPr="007223BC">
        <w:rPr>
          <w:sz w:val="22"/>
          <w:szCs w:val="22"/>
          <w:lang w:val="sr-Latn-RS" w:eastAsia="sr-Latn-RS"/>
        </w:rPr>
        <w:t xml:space="preserve"> TBR</w:t>
      </w:r>
      <w:r w:rsidR="00433D68">
        <w:rPr>
          <w:sz w:val="22"/>
          <w:szCs w:val="22"/>
          <w:lang w:val="sr-Latn-RS" w:eastAsia="sr-Latn-RS"/>
        </w:rPr>
        <w:t>-om</w:t>
      </w:r>
      <w:r w:rsidRPr="007223BC">
        <w:rPr>
          <w:sz w:val="22"/>
          <w:szCs w:val="22"/>
          <w:lang w:val="sr-Latn-RS" w:eastAsia="sr-Latn-RS"/>
        </w:rPr>
        <w:t xml:space="preserve"> do 200 ned</w:t>
      </w:r>
      <w:r w:rsidR="0057528A" w:rsidRPr="007223BC">
        <w:rPr>
          <w:sz w:val="22"/>
          <w:szCs w:val="22"/>
          <w:lang w:val="sr-Latn-RS" w:eastAsia="sr-Latn-RS"/>
        </w:rPr>
        <w:t>j</w:t>
      </w:r>
      <w:r w:rsidRPr="007223BC">
        <w:rPr>
          <w:sz w:val="22"/>
          <w:szCs w:val="22"/>
          <w:lang w:val="sr-Latn-RS" w:eastAsia="sr-Latn-RS"/>
        </w:rPr>
        <w:t>elj</w:t>
      </w:r>
      <w:r w:rsidR="00433D68">
        <w:rPr>
          <w:sz w:val="22"/>
          <w:szCs w:val="22"/>
          <w:lang w:val="sr-Latn-RS" w:eastAsia="sr-Latn-RS"/>
        </w:rPr>
        <w:t>a</w:t>
      </w:r>
      <w:r w:rsidRPr="007223BC">
        <w:rPr>
          <w:sz w:val="22"/>
          <w:szCs w:val="22"/>
          <w:lang w:val="sr-Latn-RS" w:eastAsia="sr-Latn-RS"/>
        </w:rPr>
        <w:t xml:space="preserve">. Randomizacija je stratifikovana </w:t>
      </w:r>
      <w:r w:rsidR="00433D68">
        <w:rPr>
          <w:sz w:val="22"/>
          <w:szCs w:val="22"/>
          <w:lang w:val="sr-Latn-RS" w:eastAsia="sr-Latn-RS"/>
        </w:rPr>
        <w:t>prema grupi kojoj je pripadao</w:t>
      </w:r>
      <w:r w:rsidRPr="007223BC">
        <w:rPr>
          <w:sz w:val="22"/>
          <w:szCs w:val="22"/>
          <w:lang w:val="sr-Latn-RS" w:eastAsia="sr-Latn-RS"/>
        </w:rPr>
        <w:t xml:space="preserve"> osnovni</w:t>
      </w:r>
      <w:r w:rsidR="00433D68">
        <w:rPr>
          <w:sz w:val="22"/>
          <w:szCs w:val="22"/>
          <w:lang w:val="sr-Latn-RS" w:eastAsia="sr-Latn-RS"/>
        </w:rPr>
        <w:t xml:space="preserve"> lijek koji su pacijenti primali na početku ispitivanja</w:t>
      </w:r>
      <w:r w:rsidRPr="007223BC">
        <w:rPr>
          <w:sz w:val="22"/>
          <w:szCs w:val="22"/>
          <w:lang w:val="sr-Latn-RS" w:eastAsia="sr-Latn-RS"/>
        </w:rPr>
        <w:t xml:space="preserve"> (inhibitor</w:t>
      </w:r>
      <w:r w:rsidR="00433D68">
        <w:rPr>
          <w:sz w:val="22"/>
          <w:szCs w:val="22"/>
          <w:lang w:val="sr-Latn-RS" w:eastAsia="sr-Latn-RS"/>
        </w:rPr>
        <w:t xml:space="preserve"> proteaze</w:t>
      </w:r>
      <w:r w:rsidRPr="007223BC">
        <w:rPr>
          <w:sz w:val="22"/>
          <w:szCs w:val="22"/>
          <w:lang w:val="sr-Latn-RS" w:eastAsia="sr-Latn-RS"/>
        </w:rPr>
        <w:t xml:space="preserve"> [PI], INSTI, ili nenukleozidni inhibitor reverzne transkriptaze [NNRTI]). </w:t>
      </w:r>
      <w:r w:rsidR="00433D68" w:rsidRPr="00287AA6">
        <w:rPr>
          <w:sz w:val="22"/>
          <w:szCs w:val="22"/>
          <w:lang w:val="sr-Latn-RS" w:eastAsia="sr-Latn-RS"/>
        </w:rPr>
        <w:t xml:space="preserve">Primarna mjera ishoda za </w:t>
      </w:r>
      <w:r w:rsidR="00433D68">
        <w:rPr>
          <w:sz w:val="22"/>
          <w:szCs w:val="22"/>
          <w:lang w:val="sr-Latn-RS" w:eastAsia="sr-Latn-RS"/>
        </w:rPr>
        <w:t>efikasn</w:t>
      </w:r>
      <w:r w:rsidR="00433D68" w:rsidRPr="00287AA6">
        <w:rPr>
          <w:sz w:val="22"/>
          <w:szCs w:val="22"/>
          <w:lang w:val="sr-Latn-RS" w:eastAsia="sr-Latn-RS"/>
        </w:rPr>
        <w:t xml:space="preserve">ost bio je udio ispitanika kojima je prema snapshot </w:t>
      </w:r>
      <w:r w:rsidR="00433D68" w:rsidRPr="00287AA6">
        <w:rPr>
          <w:sz w:val="22"/>
          <w:szCs w:val="22"/>
          <w:lang w:val="sr-Latn-RS" w:eastAsia="sr-Latn-RS"/>
        </w:rPr>
        <w:lastRenderedPageBreak/>
        <w:t>kategorizaciji Američke uprave za hranu i ljekove (prilagođenoj za stratifikaci</w:t>
      </w:r>
      <w:r w:rsidR="00433D68">
        <w:rPr>
          <w:sz w:val="22"/>
          <w:szCs w:val="22"/>
          <w:lang w:val="sr-Latn-RS" w:eastAsia="sr-Latn-RS"/>
        </w:rPr>
        <w:t>on</w:t>
      </w:r>
      <w:r w:rsidR="00433D68" w:rsidRPr="00287AA6">
        <w:rPr>
          <w:sz w:val="22"/>
          <w:szCs w:val="22"/>
          <w:lang w:val="sr-Latn-RS" w:eastAsia="sr-Latn-RS"/>
        </w:rPr>
        <w:t xml:space="preserve">i faktor korišten pri randomizaciji) plazmatska koncentracija HIV-1 RNA u 48. </w:t>
      </w:r>
      <w:r w:rsidR="00433D68">
        <w:rPr>
          <w:sz w:val="22"/>
          <w:szCs w:val="22"/>
          <w:lang w:val="sr-Latn-RS" w:eastAsia="sr-Latn-RS"/>
        </w:rPr>
        <w:t xml:space="preserve">nedjelji </w:t>
      </w:r>
      <w:r w:rsidR="00433D68" w:rsidRPr="00287AA6">
        <w:rPr>
          <w:sz w:val="22"/>
          <w:szCs w:val="22"/>
          <w:lang w:val="sr-Latn-RS" w:eastAsia="sr-Latn-RS"/>
        </w:rPr>
        <w:t>iznosila ≥ 50 kopija/ml (izostanak virološkog odgovora).</w:t>
      </w:r>
    </w:p>
    <w:p w14:paraId="1519E3C0" w14:textId="77777777" w:rsidR="00433D68" w:rsidRPr="007223BC" w:rsidRDefault="00433D68" w:rsidP="00413968">
      <w:pPr>
        <w:jc w:val="both"/>
        <w:rPr>
          <w:sz w:val="22"/>
          <w:szCs w:val="22"/>
          <w:lang w:val="sr-Latn-RS" w:eastAsia="sr-Latn-RS"/>
        </w:rPr>
      </w:pPr>
    </w:p>
    <w:p w14:paraId="77566403" w14:textId="375EEC2C" w:rsidR="006C2D7B" w:rsidRPr="007223BC" w:rsidRDefault="006C2D7B" w:rsidP="00805A14">
      <w:pPr>
        <w:spacing w:before="100" w:beforeAutospacing="1" w:after="100" w:afterAutospacing="1"/>
        <w:jc w:val="both"/>
        <w:rPr>
          <w:sz w:val="22"/>
          <w:szCs w:val="22"/>
          <w:lang w:val="sr-Latn-RS" w:eastAsia="sr-Latn-RS"/>
        </w:rPr>
      </w:pPr>
      <w:r w:rsidRPr="007223BC">
        <w:rPr>
          <w:sz w:val="22"/>
          <w:szCs w:val="22"/>
          <w:lang w:val="sr-Latn-RS" w:eastAsia="sr-Latn-RS"/>
        </w:rPr>
        <w:t>Na početku, srednja vr</w:t>
      </w:r>
      <w:r w:rsidR="0057528A" w:rsidRPr="007223BC">
        <w:rPr>
          <w:sz w:val="22"/>
          <w:szCs w:val="22"/>
          <w:lang w:val="sr-Latn-RS" w:eastAsia="sr-Latn-RS"/>
        </w:rPr>
        <w:t>ij</w:t>
      </w:r>
      <w:r w:rsidRPr="007223BC">
        <w:rPr>
          <w:sz w:val="22"/>
          <w:szCs w:val="22"/>
          <w:lang w:val="sr-Latn-RS" w:eastAsia="sr-Latn-RS"/>
        </w:rPr>
        <w:t>ednost godina ispitanika bila je 39 godina, 8% su bile žene i 21% ispitanici koji nisu b</w:t>
      </w:r>
      <w:r w:rsidR="0057528A" w:rsidRPr="007223BC">
        <w:rPr>
          <w:sz w:val="22"/>
          <w:szCs w:val="22"/>
          <w:lang w:val="sr-Latn-RS" w:eastAsia="sr-Latn-RS"/>
        </w:rPr>
        <w:t>ij</w:t>
      </w:r>
      <w:r w:rsidRPr="007223BC">
        <w:rPr>
          <w:sz w:val="22"/>
          <w:szCs w:val="22"/>
          <w:lang w:val="sr-Latn-RS" w:eastAsia="sr-Latn-RS"/>
        </w:rPr>
        <w:t>ele rase, 5% su bili CDC klasa C (AIDS) i 98% ispitanika je imalo početnu vr</w:t>
      </w:r>
      <w:r w:rsidR="0057528A" w:rsidRPr="007223BC">
        <w:rPr>
          <w:sz w:val="22"/>
          <w:szCs w:val="22"/>
          <w:lang w:val="sr-Latn-RS" w:eastAsia="sr-Latn-RS"/>
        </w:rPr>
        <w:t>ij</w:t>
      </w:r>
      <w:r w:rsidRPr="007223BC">
        <w:rPr>
          <w:sz w:val="22"/>
          <w:szCs w:val="22"/>
          <w:lang w:val="sr-Latn-RS" w:eastAsia="sr-Latn-RS"/>
        </w:rPr>
        <w:t>ednost CD4+ ćelija ≥200 ćelija/mm</w:t>
      </w:r>
      <w:r w:rsidRPr="007223BC">
        <w:rPr>
          <w:sz w:val="22"/>
          <w:szCs w:val="22"/>
          <w:vertAlign w:val="superscript"/>
          <w:lang w:val="sr-Latn-RS" w:eastAsia="sr-Latn-RS"/>
        </w:rPr>
        <w:t>3</w:t>
      </w:r>
      <w:r w:rsidRPr="007223BC">
        <w:rPr>
          <w:sz w:val="22"/>
          <w:szCs w:val="22"/>
          <w:lang w:val="sr-Latn-RS" w:eastAsia="sr-Latn-RS"/>
        </w:rPr>
        <w:t xml:space="preserve">; navedene karakteristike bile su slične onima između terapijskih grupa. Ispitanici su </w:t>
      </w:r>
      <w:r w:rsidR="0087453D">
        <w:rPr>
          <w:sz w:val="22"/>
          <w:szCs w:val="22"/>
          <w:lang w:val="sr-Latn-RS" w:eastAsia="sr-Latn-RS"/>
        </w:rPr>
        <w:t>primali antiretrovirusnu terapiju</w:t>
      </w:r>
      <w:r w:rsidRPr="007223BC">
        <w:rPr>
          <w:sz w:val="22"/>
          <w:szCs w:val="22"/>
          <w:lang w:val="sr-Latn-RS" w:eastAsia="sr-Latn-RS"/>
        </w:rPr>
        <w:t xml:space="preserve"> u pros</w:t>
      </w:r>
      <w:r w:rsidR="0057528A" w:rsidRPr="007223BC">
        <w:rPr>
          <w:sz w:val="22"/>
          <w:szCs w:val="22"/>
          <w:lang w:val="sr-Latn-RS" w:eastAsia="sr-Latn-RS"/>
        </w:rPr>
        <w:t>j</w:t>
      </w:r>
      <w:r w:rsidRPr="007223BC">
        <w:rPr>
          <w:sz w:val="22"/>
          <w:szCs w:val="22"/>
          <w:lang w:val="sr-Latn-RS" w:eastAsia="sr-Latn-RS"/>
        </w:rPr>
        <w:t>eku oko 3 godine pr</w:t>
      </w:r>
      <w:r w:rsidR="0057528A" w:rsidRPr="007223BC">
        <w:rPr>
          <w:sz w:val="22"/>
          <w:szCs w:val="22"/>
          <w:lang w:val="sr-Latn-RS" w:eastAsia="sr-Latn-RS"/>
        </w:rPr>
        <w:t>ij</w:t>
      </w:r>
      <w:r w:rsidRPr="007223BC">
        <w:rPr>
          <w:sz w:val="22"/>
          <w:szCs w:val="22"/>
          <w:lang w:val="sr-Latn-RS" w:eastAsia="sr-Latn-RS"/>
        </w:rPr>
        <w:t>e 1. dana</w:t>
      </w:r>
      <w:r w:rsidR="0087453D">
        <w:rPr>
          <w:sz w:val="22"/>
          <w:szCs w:val="22"/>
          <w:lang w:val="sr-Latn-RS" w:eastAsia="sr-Latn-RS"/>
        </w:rPr>
        <w:t xml:space="preserve"> ispitivanja</w:t>
      </w:r>
      <w:r w:rsidRPr="007223BC">
        <w:rPr>
          <w:sz w:val="22"/>
          <w:szCs w:val="22"/>
          <w:lang w:val="sr-Latn-RS" w:eastAsia="sr-Latn-RS"/>
        </w:rPr>
        <w:t xml:space="preserve"> i oko 80% je </w:t>
      </w:r>
      <w:r w:rsidR="00D541E7" w:rsidRPr="007223BC">
        <w:rPr>
          <w:sz w:val="22"/>
          <w:szCs w:val="22"/>
          <w:lang w:val="sr-Latn-RS" w:eastAsia="sr-Latn-RS"/>
        </w:rPr>
        <w:t>na početku</w:t>
      </w:r>
      <w:r w:rsidR="00D541E7" w:rsidRPr="007223BC" w:rsidDel="00D541E7">
        <w:rPr>
          <w:sz w:val="22"/>
          <w:szCs w:val="22"/>
          <w:lang w:val="sr-Latn-RS" w:eastAsia="sr-Latn-RS"/>
        </w:rPr>
        <w:t xml:space="preserve"> </w:t>
      </w:r>
      <w:r w:rsidR="00D541E7">
        <w:rPr>
          <w:sz w:val="22"/>
          <w:szCs w:val="22"/>
          <w:lang w:val="sr-Latn-RS" w:eastAsia="sr-Latn-RS"/>
        </w:rPr>
        <w:t>ispitivanja primalo</w:t>
      </w:r>
      <w:r w:rsidRPr="007223BC">
        <w:rPr>
          <w:sz w:val="22"/>
          <w:szCs w:val="22"/>
          <w:lang w:val="sr-Latn-RS" w:eastAsia="sr-Latn-RS"/>
        </w:rPr>
        <w:t xml:space="preserve"> TBR zasnovan na INSTI (uglavnom elvitegravir/c).</w:t>
      </w:r>
    </w:p>
    <w:p w14:paraId="4847D0E2" w14:textId="20D2AFEA" w:rsidR="006C2D7B" w:rsidRPr="007223BC" w:rsidRDefault="007068ED">
      <w:pPr>
        <w:spacing w:before="100" w:beforeAutospacing="1" w:after="100" w:afterAutospacing="1"/>
        <w:jc w:val="both"/>
        <w:rPr>
          <w:sz w:val="22"/>
          <w:szCs w:val="22"/>
          <w:lang w:val="sr-Latn-RS" w:eastAsia="sr-Latn-RS"/>
        </w:rPr>
      </w:pPr>
      <w:r w:rsidRPr="007223BC">
        <w:rPr>
          <w:sz w:val="22"/>
          <w:szCs w:val="22"/>
          <w:lang w:val="sr-Latn-RS" w:eastAsia="sr-Latn-RS"/>
        </w:rPr>
        <w:t>U p</w:t>
      </w:r>
      <w:r w:rsidR="006C2D7B" w:rsidRPr="007223BC">
        <w:rPr>
          <w:sz w:val="22"/>
          <w:szCs w:val="22"/>
          <w:lang w:val="sr-Latn-RS" w:eastAsia="sr-Latn-RS"/>
        </w:rPr>
        <w:t>rimarn</w:t>
      </w:r>
      <w:r w:rsidRPr="007223BC">
        <w:rPr>
          <w:sz w:val="22"/>
          <w:szCs w:val="22"/>
          <w:lang w:val="sr-Latn-RS" w:eastAsia="sr-Latn-RS"/>
        </w:rPr>
        <w:t>oj</w:t>
      </w:r>
      <w:r w:rsidR="006C2D7B" w:rsidRPr="007223BC">
        <w:rPr>
          <w:sz w:val="22"/>
          <w:szCs w:val="22"/>
          <w:lang w:val="sr-Latn-RS" w:eastAsia="sr-Latn-RS"/>
        </w:rPr>
        <w:t xml:space="preserve"> analiz</w:t>
      </w:r>
      <w:r w:rsidRPr="007223BC">
        <w:rPr>
          <w:sz w:val="22"/>
          <w:szCs w:val="22"/>
          <w:lang w:val="sr-Latn-RS" w:eastAsia="sr-Latn-RS"/>
        </w:rPr>
        <w:t>i</w:t>
      </w:r>
      <w:r w:rsidR="006C2D7B" w:rsidRPr="007223BC">
        <w:rPr>
          <w:sz w:val="22"/>
          <w:szCs w:val="22"/>
          <w:lang w:val="sr-Latn-RS" w:eastAsia="sr-Latn-RS"/>
        </w:rPr>
        <w:t xml:space="preserve"> </w:t>
      </w:r>
      <w:r w:rsidRPr="007223BC">
        <w:rPr>
          <w:sz w:val="22"/>
          <w:szCs w:val="22"/>
          <w:lang w:val="sr-Latn-RS" w:eastAsia="sr-Latn-RS"/>
        </w:rPr>
        <w:t>nakon 48 nedjelja</w:t>
      </w:r>
      <w:r w:rsidR="00A44ACC" w:rsidRPr="007223BC">
        <w:rPr>
          <w:sz w:val="22"/>
          <w:szCs w:val="22"/>
          <w:lang w:val="sr-Latn-RS" w:eastAsia="sr-Latn-RS"/>
        </w:rPr>
        <w:t>,</w:t>
      </w:r>
      <w:r w:rsidR="006B22BF" w:rsidRPr="007223BC">
        <w:rPr>
          <w:sz w:val="22"/>
          <w:szCs w:val="22"/>
          <w:lang w:val="sr-Latn-RS" w:eastAsia="sr-Latn-RS"/>
        </w:rPr>
        <w:t xml:space="preserve"> </w:t>
      </w:r>
      <w:r w:rsidR="001529A6">
        <w:rPr>
          <w:sz w:val="22"/>
          <w:szCs w:val="22"/>
          <w:lang w:val="sr-Latn-RS" w:eastAsia="sr-Latn-RS"/>
        </w:rPr>
        <w:t xml:space="preserve">kombinacija </w:t>
      </w:r>
      <w:r w:rsidR="006C2D7B" w:rsidRPr="007223BC">
        <w:rPr>
          <w:sz w:val="22"/>
          <w:szCs w:val="22"/>
          <w:lang w:val="sr-Latn-RS" w:eastAsia="sr-Latn-RS"/>
        </w:rPr>
        <w:t>dolutegravir/lamivudin</w:t>
      </w:r>
      <w:r w:rsidR="006B22BF" w:rsidRPr="007223BC">
        <w:rPr>
          <w:sz w:val="22"/>
          <w:szCs w:val="22"/>
          <w:lang w:val="sr-Latn-RS" w:eastAsia="sr-Latn-RS"/>
        </w:rPr>
        <w:t xml:space="preserve"> je</w:t>
      </w:r>
      <w:r w:rsidR="006C2D7B" w:rsidRPr="007223BC">
        <w:rPr>
          <w:sz w:val="22"/>
          <w:szCs w:val="22"/>
          <w:lang w:val="sr-Latn-RS" w:eastAsia="sr-Latn-RS"/>
        </w:rPr>
        <w:t xml:space="preserve"> </w:t>
      </w:r>
      <w:r w:rsidRPr="007223BC">
        <w:rPr>
          <w:sz w:val="22"/>
          <w:szCs w:val="22"/>
          <w:lang w:val="sr-Latn-RS" w:eastAsia="sr-Latn-RS"/>
        </w:rPr>
        <w:t xml:space="preserve">bio </w:t>
      </w:r>
      <w:r w:rsidR="006C2D7B" w:rsidRPr="007223BC">
        <w:rPr>
          <w:sz w:val="22"/>
          <w:szCs w:val="22"/>
          <w:lang w:val="sr-Latn-RS" w:eastAsia="sr-Latn-RS"/>
        </w:rPr>
        <w:t>neinferioran u odnosu na TBR, sa &lt;1% ispitanika u ob</w:t>
      </w:r>
      <w:r w:rsidR="0057528A" w:rsidRPr="007223BC">
        <w:rPr>
          <w:sz w:val="22"/>
          <w:szCs w:val="22"/>
          <w:lang w:val="sr-Latn-RS" w:eastAsia="sr-Latn-RS"/>
        </w:rPr>
        <w:t>ij</w:t>
      </w:r>
      <w:r w:rsidR="006C2D7B" w:rsidRPr="007223BC">
        <w:rPr>
          <w:sz w:val="22"/>
          <w:szCs w:val="22"/>
          <w:lang w:val="sr-Latn-RS" w:eastAsia="sr-Latn-RS"/>
        </w:rPr>
        <w:t xml:space="preserve">e </w:t>
      </w:r>
      <w:r w:rsidR="001529A6">
        <w:rPr>
          <w:sz w:val="22"/>
          <w:szCs w:val="22"/>
          <w:lang w:val="sr-Latn-RS" w:eastAsia="sr-Latn-RS"/>
        </w:rPr>
        <w:t xml:space="preserve">liječene </w:t>
      </w:r>
      <w:r w:rsidR="006C2D7B" w:rsidRPr="007223BC">
        <w:rPr>
          <w:sz w:val="22"/>
          <w:szCs w:val="22"/>
          <w:lang w:val="sr-Latn-RS" w:eastAsia="sr-Latn-RS"/>
        </w:rPr>
        <w:t xml:space="preserve">grupe </w:t>
      </w:r>
      <w:r w:rsidR="001529A6">
        <w:rPr>
          <w:sz w:val="22"/>
          <w:szCs w:val="22"/>
          <w:lang w:val="sr-Latn-RS" w:eastAsia="sr-Latn-RS"/>
        </w:rPr>
        <w:t xml:space="preserve">kod </w:t>
      </w:r>
      <w:r w:rsidR="006C2D7B" w:rsidRPr="007223BC">
        <w:rPr>
          <w:sz w:val="22"/>
          <w:szCs w:val="22"/>
          <w:lang w:val="sr-Latn-RS" w:eastAsia="sr-Latn-RS"/>
        </w:rPr>
        <w:t>koj</w:t>
      </w:r>
      <w:r w:rsidR="001529A6">
        <w:rPr>
          <w:sz w:val="22"/>
          <w:szCs w:val="22"/>
          <w:lang w:val="sr-Latn-RS" w:eastAsia="sr-Latn-RS"/>
        </w:rPr>
        <w:t>ih je zabilježen</w:t>
      </w:r>
      <w:r w:rsidR="006C2D7B" w:rsidRPr="007223BC">
        <w:rPr>
          <w:sz w:val="22"/>
          <w:szCs w:val="22"/>
          <w:lang w:val="sr-Latn-RS" w:eastAsia="sr-Latn-RS"/>
        </w:rPr>
        <w:t xml:space="preserve"> virološkog neusp</w:t>
      </w:r>
      <w:r w:rsidR="0057528A" w:rsidRPr="007223BC">
        <w:rPr>
          <w:sz w:val="22"/>
          <w:szCs w:val="22"/>
          <w:lang w:val="sr-Latn-RS" w:eastAsia="sr-Latn-RS"/>
        </w:rPr>
        <w:t>j</w:t>
      </w:r>
      <w:r w:rsidR="006C2D7B" w:rsidRPr="007223BC">
        <w:rPr>
          <w:sz w:val="22"/>
          <w:szCs w:val="22"/>
          <w:lang w:val="sr-Latn-RS" w:eastAsia="sr-Latn-RS"/>
        </w:rPr>
        <w:t>eh (HIV-1 RNK ≥50 c/m</w:t>
      </w:r>
      <w:r w:rsidR="00B412CB">
        <w:rPr>
          <w:sz w:val="22"/>
          <w:szCs w:val="22"/>
          <w:lang w:val="sr-Latn-RS" w:eastAsia="sr-Latn-RS"/>
        </w:rPr>
        <w:t>l</w:t>
      </w:r>
      <w:r w:rsidR="006C2D7B" w:rsidRPr="007223BC">
        <w:rPr>
          <w:sz w:val="22"/>
          <w:szCs w:val="22"/>
          <w:lang w:val="sr-Latn-RS" w:eastAsia="sr-Latn-RS"/>
        </w:rPr>
        <w:t xml:space="preserve">) (Tabela </w:t>
      </w:r>
      <w:r w:rsidR="005C2F00" w:rsidRPr="007223BC">
        <w:rPr>
          <w:sz w:val="22"/>
          <w:szCs w:val="22"/>
          <w:lang w:val="sr-Latn-RS" w:eastAsia="sr-Latn-RS"/>
        </w:rPr>
        <w:t>5</w:t>
      </w:r>
      <w:r w:rsidR="006C2D7B" w:rsidRPr="007223BC">
        <w:rPr>
          <w:sz w:val="22"/>
          <w:szCs w:val="22"/>
          <w:lang w:val="sr-Latn-RS" w:eastAsia="sr-Latn-RS"/>
        </w:rPr>
        <w:t>).</w:t>
      </w:r>
    </w:p>
    <w:p w14:paraId="06254971" w14:textId="4DB364E5" w:rsidR="006C2D7B" w:rsidRPr="007223BC" w:rsidRDefault="006C2D7B">
      <w:pPr>
        <w:keepNext/>
        <w:suppressLineNumbers/>
        <w:autoSpaceDE w:val="0"/>
        <w:autoSpaceDN w:val="0"/>
        <w:adjustRightInd w:val="0"/>
        <w:ind w:left="1440" w:hanging="1440"/>
        <w:jc w:val="both"/>
        <w:rPr>
          <w:b/>
          <w:sz w:val="22"/>
          <w:szCs w:val="22"/>
          <w:lang w:val="sr-Latn-RS" w:eastAsia="sr-Latn-RS"/>
        </w:rPr>
      </w:pPr>
      <w:bookmarkStart w:id="7" w:name="_Hlk40705996"/>
      <w:r w:rsidRPr="007223BC">
        <w:rPr>
          <w:b/>
          <w:sz w:val="22"/>
          <w:szCs w:val="22"/>
          <w:lang w:val="sr-Latn-RS" w:eastAsia="sr-Latn-RS"/>
        </w:rPr>
        <w:t xml:space="preserve">Tabela </w:t>
      </w:r>
      <w:r w:rsidR="005C2F00" w:rsidRPr="007223BC">
        <w:rPr>
          <w:b/>
          <w:sz w:val="22"/>
          <w:szCs w:val="22"/>
          <w:lang w:val="sr-Latn-RS" w:eastAsia="sr-Latn-RS"/>
        </w:rPr>
        <w:t>5</w:t>
      </w:r>
      <w:r w:rsidRPr="007223BC">
        <w:rPr>
          <w:b/>
          <w:sz w:val="22"/>
          <w:szCs w:val="22"/>
          <w:lang w:val="sr-Latn-RS" w:eastAsia="sr-Latn-RS"/>
        </w:rPr>
        <w:t>:</w:t>
      </w:r>
      <w:r w:rsidRPr="007223BC">
        <w:rPr>
          <w:b/>
          <w:sz w:val="22"/>
          <w:szCs w:val="22"/>
          <w:lang w:val="sr-Latn-RS" w:eastAsia="sr-Latn-RS"/>
        </w:rPr>
        <w:tab/>
        <w:t>Virološki ishodi randomizovanog l</w:t>
      </w:r>
      <w:r w:rsidR="0057528A" w:rsidRPr="007223BC">
        <w:rPr>
          <w:b/>
          <w:sz w:val="22"/>
          <w:szCs w:val="22"/>
          <w:lang w:val="sr-Latn-RS" w:eastAsia="sr-Latn-RS"/>
        </w:rPr>
        <w:t>ij</w:t>
      </w:r>
      <w:r w:rsidRPr="007223BC">
        <w:rPr>
          <w:b/>
          <w:sz w:val="22"/>
          <w:szCs w:val="22"/>
          <w:lang w:val="sr-Latn-RS" w:eastAsia="sr-Latn-RS"/>
        </w:rPr>
        <w:t xml:space="preserve">ečenja u ispitivanju TANGO u 48. </w:t>
      </w:r>
      <w:r w:rsidR="0057528A" w:rsidRPr="007223BC">
        <w:rPr>
          <w:b/>
          <w:sz w:val="22"/>
          <w:szCs w:val="22"/>
          <w:lang w:val="sr-Latn-RS" w:eastAsia="sr-Latn-RS"/>
        </w:rPr>
        <w:t>n</w:t>
      </w:r>
      <w:r w:rsidRPr="007223BC">
        <w:rPr>
          <w:b/>
          <w:sz w:val="22"/>
          <w:szCs w:val="22"/>
          <w:lang w:val="sr-Latn-RS" w:eastAsia="sr-Latn-RS"/>
        </w:rPr>
        <w:t>ed</w:t>
      </w:r>
      <w:r w:rsidR="0057528A" w:rsidRPr="007223BC">
        <w:rPr>
          <w:b/>
          <w:sz w:val="22"/>
          <w:szCs w:val="22"/>
          <w:lang w:val="sr-Latn-RS" w:eastAsia="sr-Latn-RS"/>
        </w:rPr>
        <w:t>j</w:t>
      </w:r>
      <w:r w:rsidRPr="007223BC">
        <w:rPr>
          <w:b/>
          <w:sz w:val="22"/>
          <w:szCs w:val="22"/>
          <w:lang w:val="sr-Latn-RS" w:eastAsia="sr-Latn-RS"/>
        </w:rPr>
        <w:t>elji (</w:t>
      </w:r>
      <w:r w:rsidRPr="007223BC">
        <w:rPr>
          <w:b/>
          <w:i/>
          <w:sz w:val="22"/>
          <w:szCs w:val="22"/>
          <w:lang w:val="sr-Latn-RS" w:eastAsia="sr-Latn-RS"/>
        </w:rPr>
        <w:t>Snapshot</w:t>
      </w:r>
      <w:r w:rsidRPr="007223BC">
        <w:rPr>
          <w:b/>
          <w:sz w:val="22"/>
          <w:szCs w:val="22"/>
          <w:lang w:val="sr-Latn-RS" w:eastAsia="sr-Latn-RS"/>
        </w:rPr>
        <w:t xml:space="preserve"> algoritam)</w:t>
      </w:r>
    </w:p>
    <w:bookmarkEnd w:id="7"/>
    <w:p w14:paraId="5F7F37A2" w14:textId="77777777" w:rsidR="006C2D7B" w:rsidRPr="007223BC" w:rsidRDefault="006C2D7B" w:rsidP="00413968">
      <w:pPr>
        <w:keepNext/>
        <w:suppressLineNumbers/>
        <w:autoSpaceDE w:val="0"/>
        <w:autoSpaceDN w:val="0"/>
        <w:adjustRightInd w:val="0"/>
        <w:ind w:left="1440" w:hanging="1440"/>
        <w:jc w:val="both"/>
        <w:rPr>
          <w:sz w:val="22"/>
          <w:szCs w:val="22"/>
          <w:lang w:val="sr-Latn-RS" w:eastAsia="sr-Latn-RS"/>
        </w:rPr>
      </w:pP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1890"/>
        <w:gridCol w:w="1890"/>
      </w:tblGrid>
      <w:tr w:rsidR="006C2D7B" w:rsidRPr="007223BC" w14:paraId="39325F87" w14:textId="77777777" w:rsidTr="00D939D6">
        <w:tc>
          <w:tcPr>
            <w:tcW w:w="4878" w:type="dxa"/>
          </w:tcPr>
          <w:p w14:paraId="2E863BE9" w14:textId="77777777" w:rsidR="006C2D7B" w:rsidRPr="007223BC" w:rsidRDefault="006C2D7B" w:rsidP="00413968">
            <w:pPr>
              <w:keepNext/>
              <w:jc w:val="both"/>
              <w:rPr>
                <w:sz w:val="22"/>
                <w:szCs w:val="22"/>
                <w:lang w:val="sr-Latn-RS" w:eastAsia="sr-Latn-RS"/>
              </w:rPr>
            </w:pPr>
          </w:p>
        </w:tc>
        <w:tc>
          <w:tcPr>
            <w:tcW w:w="1890" w:type="dxa"/>
          </w:tcPr>
          <w:p w14:paraId="6EB52F5C" w14:textId="77777777" w:rsidR="006C2D7B" w:rsidRPr="007223BC" w:rsidRDefault="006C2D7B" w:rsidP="00413968">
            <w:pPr>
              <w:keepNext/>
              <w:jc w:val="both"/>
              <w:rPr>
                <w:b/>
                <w:sz w:val="22"/>
                <w:szCs w:val="22"/>
                <w:lang w:val="sr-Latn-RS" w:eastAsia="sr-Latn-RS"/>
              </w:rPr>
            </w:pPr>
            <w:r w:rsidRPr="007223BC">
              <w:rPr>
                <w:b/>
                <w:sz w:val="22"/>
                <w:szCs w:val="22"/>
                <w:lang w:val="sr-Latn-RS" w:eastAsia="sr-Latn-RS"/>
              </w:rPr>
              <w:t>DTG/3TC</w:t>
            </w:r>
          </w:p>
          <w:p w14:paraId="37E6D4D5" w14:textId="77777777" w:rsidR="006C2D7B" w:rsidRPr="007223BC" w:rsidRDefault="006C2D7B" w:rsidP="00413968">
            <w:pPr>
              <w:keepNext/>
              <w:jc w:val="both"/>
              <w:rPr>
                <w:b/>
                <w:sz w:val="22"/>
                <w:szCs w:val="22"/>
                <w:lang w:val="sr-Latn-RS" w:eastAsia="sr-Latn-RS"/>
              </w:rPr>
            </w:pPr>
            <w:r w:rsidRPr="007223BC">
              <w:rPr>
                <w:b/>
                <w:sz w:val="22"/>
                <w:szCs w:val="22"/>
                <w:lang w:val="sr-Latn-RS" w:eastAsia="sr-Latn-RS"/>
              </w:rPr>
              <w:t>N=369</w:t>
            </w:r>
          </w:p>
        </w:tc>
        <w:tc>
          <w:tcPr>
            <w:tcW w:w="1890" w:type="dxa"/>
          </w:tcPr>
          <w:p w14:paraId="2D7FC553" w14:textId="77777777" w:rsidR="006C2D7B" w:rsidRPr="007223BC" w:rsidRDefault="006C2D7B" w:rsidP="00413968">
            <w:pPr>
              <w:keepNext/>
              <w:jc w:val="both"/>
              <w:rPr>
                <w:b/>
                <w:sz w:val="22"/>
                <w:szCs w:val="22"/>
                <w:lang w:val="sr-Latn-RS" w:eastAsia="sr-Latn-RS"/>
              </w:rPr>
            </w:pPr>
            <w:r w:rsidRPr="007223BC">
              <w:rPr>
                <w:b/>
                <w:sz w:val="22"/>
                <w:szCs w:val="22"/>
                <w:lang w:val="sr-Latn-RS" w:eastAsia="sr-Latn-RS"/>
              </w:rPr>
              <w:t>TBR</w:t>
            </w:r>
          </w:p>
          <w:p w14:paraId="19C1C1BE" w14:textId="77777777" w:rsidR="006C2D7B" w:rsidRPr="007223BC" w:rsidRDefault="006C2D7B" w:rsidP="00413968">
            <w:pPr>
              <w:keepNext/>
              <w:jc w:val="both"/>
              <w:rPr>
                <w:b/>
                <w:sz w:val="22"/>
                <w:szCs w:val="22"/>
                <w:lang w:val="sr-Latn-RS" w:eastAsia="sr-Latn-RS"/>
              </w:rPr>
            </w:pPr>
            <w:r w:rsidRPr="007223BC">
              <w:rPr>
                <w:b/>
                <w:sz w:val="22"/>
                <w:szCs w:val="22"/>
                <w:lang w:val="sr-Latn-RS" w:eastAsia="sr-Latn-RS"/>
              </w:rPr>
              <w:t>N=372</w:t>
            </w:r>
          </w:p>
        </w:tc>
      </w:tr>
      <w:tr w:rsidR="006C2D7B" w:rsidRPr="007223BC" w14:paraId="1AAC26AF" w14:textId="77777777" w:rsidTr="00D939D6">
        <w:tc>
          <w:tcPr>
            <w:tcW w:w="4878" w:type="dxa"/>
            <w:tcBorders>
              <w:top w:val="single" w:sz="4" w:space="0" w:color="auto"/>
              <w:left w:val="single" w:sz="4" w:space="0" w:color="auto"/>
              <w:bottom w:val="single" w:sz="4" w:space="0" w:color="auto"/>
              <w:right w:val="single" w:sz="4" w:space="0" w:color="auto"/>
            </w:tcBorders>
            <w:vAlign w:val="center"/>
          </w:tcPr>
          <w:p w14:paraId="5C879F26" w14:textId="27E835FC" w:rsidR="006C2D7B" w:rsidRPr="007223BC" w:rsidRDefault="006C2D7B" w:rsidP="00413968">
            <w:pPr>
              <w:keepNext/>
              <w:jc w:val="both"/>
              <w:rPr>
                <w:b/>
                <w:sz w:val="22"/>
                <w:szCs w:val="22"/>
                <w:lang w:val="sr-Latn-RS" w:eastAsia="sr-Latn-RS"/>
              </w:rPr>
            </w:pPr>
            <w:r w:rsidRPr="007223BC">
              <w:rPr>
                <w:b/>
                <w:sz w:val="22"/>
                <w:szCs w:val="22"/>
                <w:lang w:val="sr-Latn-RS" w:eastAsia="sr-Latn-RS"/>
              </w:rPr>
              <w:t>HIV-1 RNK&lt;50 kopija/m</w:t>
            </w:r>
            <w:r w:rsidR="00B412CB">
              <w:rPr>
                <w:b/>
                <w:sz w:val="22"/>
                <w:szCs w:val="22"/>
                <w:lang w:val="sr-Latn-RS" w:eastAsia="sr-Latn-RS"/>
              </w:rPr>
              <w:t>l</w:t>
            </w:r>
            <w:r w:rsidRPr="007223BC">
              <w:rPr>
                <w:b/>
                <w:sz w:val="22"/>
                <w:szCs w:val="22"/>
                <w:lang w:val="sr-Latn-RS" w:eastAsia="sr-Latn-RS"/>
              </w:rPr>
              <w:t>*</w:t>
            </w:r>
          </w:p>
        </w:tc>
        <w:tc>
          <w:tcPr>
            <w:tcW w:w="1890" w:type="dxa"/>
            <w:tcBorders>
              <w:top w:val="single" w:sz="4" w:space="0" w:color="auto"/>
              <w:left w:val="single" w:sz="4" w:space="0" w:color="auto"/>
              <w:bottom w:val="single" w:sz="4" w:space="0" w:color="auto"/>
              <w:right w:val="single" w:sz="4" w:space="0" w:color="auto"/>
            </w:tcBorders>
          </w:tcPr>
          <w:p w14:paraId="59F15E3A" w14:textId="77777777" w:rsidR="006C2D7B" w:rsidRPr="007223BC" w:rsidRDefault="006C2D7B" w:rsidP="00413968">
            <w:pPr>
              <w:keepNext/>
              <w:jc w:val="both"/>
              <w:rPr>
                <w:sz w:val="22"/>
                <w:szCs w:val="22"/>
                <w:lang w:val="sr-Latn-RS" w:eastAsia="sr-Latn-RS"/>
              </w:rPr>
            </w:pPr>
            <w:r w:rsidRPr="007223BC">
              <w:rPr>
                <w:sz w:val="22"/>
                <w:szCs w:val="22"/>
                <w:lang w:val="sr-Latn-RS" w:eastAsia="sr-Latn-RS"/>
              </w:rPr>
              <w:t>93%</w:t>
            </w:r>
          </w:p>
        </w:tc>
        <w:tc>
          <w:tcPr>
            <w:tcW w:w="1890" w:type="dxa"/>
            <w:tcBorders>
              <w:top w:val="single" w:sz="4" w:space="0" w:color="auto"/>
              <w:left w:val="single" w:sz="4" w:space="0" w:color="auto"/>
              <w:bottom w:val="single" w:sz="4" w:space="0" w:color="auto"/>
              <w:right w:val="single" w:sz="4" w:space="0" w:color="auto"/>
            </w:tcBorders>
          </w:tcPr>
          <w:p w14:paraId="1BB8C6B7" w14:textId="77777777" w:rsidR="006C2D7B" w:rsidRPr="007223BC" w:rsidRDefault="006C2D7B" w:rsidP="00413968">
            <w:pPr>
              <w:keepNext/>
              <w:jc w:val="both"/>
              <w:rPr>
                <w:sz w:val="22"/>
                <w:szCs w:val="22"/>
                <w:lang w:val="sr-Latn-RS" w:eastAsia="sr-Latn-RS"/>
              </w:rPr>
            </w:pPr>
            <w:r w:rsidRPr="007223BC">
              <w:rPr>
                <w:sz w:val="22"/>
                <w:szCs w:val="22"/>
                <w:lang w:val="sr-Latn-RS" w:eastAsia="sr-Latn-RS"/>
              </w:rPr>
              <w:t>93%</w:t>
            </w:r>
          </w:p>
        </w:tc>
      </w:tr>
      <w:tr w:rsidR="006C2D7B" w:rsidRPr="007223BC" w14:paraId="5CDEE67C" w14:textId="77777777" w:rsidTr="00D939D6">
        <w:tc>
          <w:tcPr>
            <w:tcW w:w="4878" w:type="dxa"/>
          </w:tcPr>
          <w:p w14:paraId="5954D6FF" w14:textId="126BCB0F" w:rsidR="006C2D7B" w:rsidRPr="007223BC" w:rsidRDefault="006C2D7B" w:rsidP="00413968">
            <w:pPr>
              <w:keepNext/>
              <w:jc w:val="both"/>
              <w:rPr>
                <w:sz w:val="22"/>
                <w:szCs w:val="22"/>
                <w:lang w:val="sr-Latn-RS" w:eastAsia="sr-Latn-RS"/>
              </w:rPr>
            </w:pPr>
            <w:r w:rsidRPr="007223BC">
              <w:rPr>
                <w:b/>
                <w:sz w:val="22"/>
                <w:szCs w:val="22"/>
                <w:lang w:val="sr-Latn-RS" w:eastAsia="sr-Latn-RS"/>
              </w:rPr>
              <w:t>Izostanak virusološkog odgovora</w:t>
            </w:r>
            <w:r w:rsidRPr="007223BC">
              <w:rPr>
                <w:sz w:val="22"/>
                <w:szCs w:val="22"/>
                <w:lang w:val="sr-Latn-RS" w:eastAsia="sr-Latn-RS"/>
              </w:rPr>
              <w:t xml:space="preserve"> (</w:t>
            </w:r>
            <w:r w:rsidRPr="007223BC">
              <w:rPr>
                <w:sz w:val="22"/>
                <w:szCs w:val="22"/>
                <w:lang w:val="sr-Latn-RS" w:eastAsia="sr-Latn-RS"/>
              </w:rPr>
              <w:sym w:font="Symbol" w:char="F0B3"/>
            </w:r>
            <w:r w:rsidRPr="007223BC">
              <w:rPr>
                <w:sz w:val="22"/>
                <w:szCs w:val="22"/>
                <w:lang w:val="sr-Latn-RS" w:eastAsia="sr-Latn-RS"/>
              </w:rPr>
              <w:t>50 kopija/m</w:t>
            </w:r>
            <w:r w:rsidR="00B412CB">
              <w:rPr>
                <w:sz w:val="22"/>
                <w:szCs w:val="22"/>
                <w:lang w:val="sr-Latn-RS" w:eastAsia="sr-Latn-RS"/>
              </w:rPr>
              <w:t>l</w:t>
            </w:r>
            <w:r w:rsidRPr="007223BC">
              <w:rPr>
                <w:sz w:val="22"/>
                <w:szCs w:val="22"/>
                <w:lang w:val="sr-Latn-RS" w:eastAsia="sr-Latn-RS"/>
              </w:rPr>
              <w:t>)**</w:t>
            </w:r>
          </w:p>
        </w:tc>
        <w:tc>
          <w:tcPr>
            <w:tcW w:w="1890" w:type="dxa"/>
          </w:tcPr>
          <w:p w14:paraId="26C8E328" w14:textId="77777777" w:rsidR="006C2D7B" w:rsidRPr="007223BC" w:rsidRDefault="006C2D7B" w:rsidP="00413968">
            <w:pPr>
              <w:keepNext/>
              <w:jc w:val="both"/>
              <w:rPr>
                <w:sz w:val="22"/>
                <w:szCs w:val="22"/>
                <w:lang w:val="sr-Latn-RS" w:eastAsia="sr-Latn-RS"/>
              </w:rPr>
            </w:pPr>
            <w:r w:rsidRPr="007223BC">
              <w:rPr>
                <w:sz w:val="22"/>
                <w:szCs w:val="22"/>
                <w:lang w:val="sr-Latn-RS" w:eastAsia="sr-Latn-RS"/>
              </w:rPr>
              <w:t>&lt;1%</w:t>
            </w:r>
          </w:p>
        </w:tc>
        <w:tc>
          <w:tcPr>
            <w:tcW w:w="1890" w:type="dxa"/>
          </w:tcPr>
          <w:p w14:paraId="03BF4C4D" w14:textId="77777777" w:rsidR="006C2D7B" w:rsidRPr="007223BC" w:rsidRDefault="006C2D7B" w:rsidP="00413968">
            <w:pPr>
              <w:keepNext/>
              <w:jc w:val="both"/>
              <w:rPr>
                <w:sz w:val="22"/>
                <w:szCs w:val="22"/>
                <w:lang w:val="sr-Latn-RS" w:eastAsia="sr-Latn-RS"/>
              </w:rPr>
            </w:pPr>
            <w:r w:rsidRPr="007223BC">
              <w:rPr>
                <w:sz w:val="22"/>
                <w:szCs w:val="22"/>
                <w:lang w:val="sr-Latn-RS" w:eastAsia="sr-Latn-RS"/>
              </w:rPr>
              <w:t>&lt;1%</w:t>
            </w:r>
          </w:p>
        </w:tc>
      </w:tr>
      <w:tr w:rsidR="006C2D7B" w:rsidRPr="007223BC" w14:paraId="1C10D634" w14:textId="77777777" w:rsidTr="00D939D6">
        <w:tc>
          <w:tcPr>
            <w:tcW w:w="4878" w:type="dxa"/>
            <w:tcBorders>
              <w:top w:val="single" w:sz="4" w:space="0" w:color="auto"/>
              <w:left w:val="single" w:sz="4" w:space="0" w:color="auto"/>
              <w:bottom w:val="single" w:sz="4" w:space="0" w:color="auto"/>
              <w:right w:val="single" w:sz="4" w:space="0" w:color="auto"/>
            </w:tcBorders>
            <w:vAlign w:val="center"/>
          </w:tcPr>
          <w:p w14:paraId="6E3D0BF2" w14:textId="77777777" w:rsidR="006C2D7B" w:rsidRPr="007223BC" w:rsidRDefault="006C2D7B" w:rsidP="00413968">
            <w:pPr>
              <w:keepNext/>
              <w:jc w:val="both"/>
              <w:rPr>
                <w:sz w:val="22"/>
                <w:szCs w:val="22"/>
                <w:lang w:val="sr-Latn-RS" w:eastAsia="sr-Latn-RS"/>
              </w:rPr>
            </w:pPr>
            <w:r w:rsidRPr="007223BC">
              <w:rPr>
                <w:b/>
                <w:sz w:val="22"/>
                <w:szCs w:val="22"/>
                <w:lang w:val="sr-Latn-RS" w:eastAsia="sr-Latn-RS"/>
              </w:rPr>
              <w:t>Razlika u l</w:t>
            </w:r>
            <w:r w:rsidR="0057528A" w:rsidRPr="007223BC">
              <w:rPr>
                <w:b/>
                <w:sz w:val="22"/>
                <w:szCs w:val="22"/>
                <w:lang w:val="sr-Latn-RS" w:eastAsia="sr-Latn-RS"/>
              </w:rPr>
              <w:t>ij</w:t>
            </w:r>
            <w:r w:rsidRPr="007223BC">
              <w:rPr>
                <w:b/>
                <w:sz w:val="22"/>
                <w:szCs w:val="22"/>
                <w:lang w:val="sr-Latn-RS" w:eastAsia="sr-Latn-RS"/>
              </w:rPr>
              <w:t>ečenju</w:t>
            </w:r>
            <w:r w:rsidRPr="007223BC">
              <w:rPr>
                <w:sz w:val="22"/>
                <w:szCs w:val="22"/>
                <w:lang w:val="sr-Latn-RS" w:eastAsia="sr-Latn-RS"/>
              </w:rPr>
              <w:t xml:space="preserve"> † (95% interval pouzdanosti)</w:t>
            </w:r>
          </w:p>
        </w:tc>
        <w:tc>
          <w:tcPr>
            <w:tcW w:w="3780" w:type="dxa"/>
            <w:gridSpan w:val="2"/>
            <w:tcBorders>
              <w:top w:val="single" w:sz="4" w:space="0" w:color="auto"/>
              <w:left w:val="single" w:sz="4" w:space="0" w:color="auto"/>
              <w:bottom w:val="single" w:sz="4" w:space="0" w:color="auto"/>
              <w:right w:val="single" w:sz="4" w:space="0" w:color="auto"/>
            </w:tcBorders>
          </w:tcPr>
          <w:p w14:paraId="37002825" w14:textId="77777777" w:rsidR="006C2D7B" w:rsidRPr="007223BC" w:rsidRDefault="006C2D7B" w:rsidP="00413968">
            <w:pPr>
              <w:keepNext/>
              <w:jc w:val="both"/>
              <w:rPr>
                <w:sz w:val="22"/>
                <w:szCs w:val="22"/>
                <w:lang w:val="sr-Latn-RS" w:eastAsia="sr-Latn-RS"/>
              </w:rPr>
            </w:pPr>
            <w:r w:rsidRPr="007223BC">
              <w:rPr>
                <w:sz w:val="22"/>
                <w:szCs w:val="22"/>
                <w:lang w:val="sr-Latn-RS" w:eastAsia="sr-Latn-RS"/>
              </w:rPr>
              <w:t>-0</w:t>
            </w:r>
            <w:r w:rsidR="00E20262" w:rsidRPr="007223BC">
              <w:rPr>
                <w:sz w:val="22"/>
                <w:szCs w:val="22"/>
                <w:lang w:val="sr-Latn-RS" w:eastAsia="sr-Latn-RS"/>
              </w:rPr>
              <w:t>,</w:t>
            </w:r>
            <w:r w:rsidRPr="007223BC">
              <w:rPr>
                <w:sz w:val="22"/>
                <w:szCs w:val="22"/>
                <w:lang w:val="sr-Latn-RS" w:eastAsia="sr-Latn-RS"/>
              </w:rPr>
              <w:t>3 (-1</w:t>
            </w:r>
            <w:r w:rsidR="00E20262" w:rsidRPr="007223BC">
              <w:rPr>
                <w:sz w:val="22"/>
                <w:szCs w:val="22"/>
                <w:lang w:val="sr-Latn-RS" w:eastAsia="sr-Latn-RS"/>
              </w:rPr>
              <w:t>,</w:t>
            </w:r>
            <w:r w:rsidRPr="007223BC">
              <w:rPr>
                <w:sz w:val="22"/>
                <w:szCs w:val="22"/>
                <w:lang w:val="sr-Latn-RS" w:eastAsia="sr-Latn-RS"/>
              </w:rPr>
              <w:t>2, 0</w:t>
            </w:r>
            <w:r w:rsidR="00E20262" w:rsidRPr="007223BC">
              <w:rPr>
                <w:sz w:val="22"/>
                <w:szCs w:val="22"/>
                <w:lang w:val="sr-Latn-RS" w:eastAsia="sr-Latn-RS"/>
              </w:rPr>
              <w:t>,</w:t>
            </w:r>
            <w:r w:rsidRPr="007223BC">
              <w:rPr>
                <w:sz w:val="22"/>
                <w:szCs w:val="22"/>
                <w:lang w:val="sr-Latn-RS" w:eastAsia="sr-Latn-RS"/>
              </w:rPr>
              <w:t>7)</w:t>
            </w:r>
          </w:p>
        </w:tc>
      </w:tr>
      <w:tr w:rsidR="006C2D7B" w:rsidRPr="007223BC" w14:paraId="4F76155C" w14:textId="77777777" w:rsidTr="00D939D6">
        <w:tc>
          <w:tcPr>
            <w:tcW w:w="4878" w:type="dxa"/>
            <w:tcBorders>
              <w:top w:val="nil"/>
              <w:left w:val="single" w:sz="4" w:space="0" w:color="auto"/>
              <w:bottom w:val="nil"/>
              <w:right w:val="single" w:sz="4" w:space="0" w:color="auto"/>
            </w:tcBorders>
          </w:tcPr>
          <w:p w14:paraId="1339FBF5" w14:textId="667A6313" w:rsidR="00AD27EE" w:rsidRPr="00AD27EE" w:rsidRDefault="00AD27EE" w:rsidP="00413968">
            <w:pPr>
              <w:keepNext/>
              <w:jc w:val="both"/>
              <w:rPr>
                <w:sz w:val="22"/>
                <w:szCs w:val="22"/>
                <w:u w:val="single"/>
                <w:lang w:val="sr-Latn-RS" w:eastAsia="sr-Latn-RS"/>
              </w:rPr>
            </w:pPr>
            <w:r>
              <w:rPr>
                <w:sz w:val="22"/>
                <w:szCs w:val="22"/>
                <w:u w:val="single"/>
                <w:lang w:val="sr-Latn-RS" w:eastAsia="sr-Latn-RS"/>
              </w:rPr>
              <w:t>Razlozi za i</w:t>
            </w:r>
            <w:r w:rsidRPr="00AD27EE">
              <w:rPr>
                <w:sz w:val="22"/>
                <w:szCs w:val="22"/>
                <w:u w:val="single"/>
                <w:lang w:val="sr-Latn-RS" w:eastAsia="sr-Latn-RS"/>
              </w:rPr>
              <w:t>zostanak virološkog odgovora</w:t>
            </w:r>
          </w:p>
          <w:p w14:paraId="32838FAA" w14:textId="77777777" w:rsidR="00AD27EE" w:rsidRPr="00287AA6" w:rsidRDefault="00AD27EE" w:rsidP="00413968">
            <w:pPr>
              <w:keepNext/>
              <w:jc w:val="both"/>
              <w:rPr>
                <w:sz w:val="22"/>
                <w:szCs w:val="22"/>
                <w:lang w:val="sr-Latn-RS" w:eastAsia="sr-Latn-RS"/>
              </w:rPr>
            </w:pPr>
            <w:r w:rsidRPr="00287AA6">
              <w:rPr>
                <w:sz w:val="22"/>
                <w:szCs w:val="22"/>
                <w:lang w:val="sr-Latn-RS" w:eastAsia="sr-Latn-RS"/>
              </w:rPr>
              <w:t xml:space="preserve">Podaci u posmatranom periodu i ≥ 50 kopija/ml </w:t>
            </w:r>
          </w:p>
          <w:p w14:paraId="7C2B464B" w14:textId="77777777" w:rsidR="00AD27EE" w:rsidRPr="00287AA6" w:rsidRDefault="00AD27EE" w:rsidP="00413968">
            <w:pPr>
              <w:keepNext/>
              <w:jc w:val="both"/>
              <w:rPr>
                <w:sz w:val="22"/>
                <w:szCs w:val="22"/>
                <w:lang w:val="sr-Latn-RS" w:eastAsia="sr-Latn-RS"/>
              </w:rPr>
            </w:pPr>
            <w:r w:rsidRPr="00287AA6">
              <w:rPr>
                <w:sz w:val="22"/>
                <w:szCs w:val="22"/>
                <w:lang w:val="sr-Latn-RS" w:eastAsia="sr-Latn-RS"/>
              </w:rPr>
              <w:t>Prekid liječenja zbog izostanka efikasnosti</w:t>
            </w:r>
          </w:p>
          <w:p w14:paraId="2334ADC6" w14:textId="77777777" w:rsidR="00AD27EE" w:rsidRPr="00287AA6" w:rsidRDefault="00AD27EE" w:rsidP="00413968">
            <w:pPr>
              <w:keepNext/>
              <w:jc w:val="both"/>
              <w:rPr>
                <w:sz w:val="22"/>
                <w:szCs w:val="22"/>
                <w:lang w:val="sr-Latn-RS" w:eastAsia="sr-Latn-RS"/>
              </w:rPr>
            </w:pPr>
            <w:r w:rsidRPr="00287AA6">
              <w:rPr>
                <w:sz w:val="22"/>
                <w:szCs w:val="22"/>
                <w:lang w:val="sr-Latn-RS" w:eastAsia="sr-Latn-RS"/>
              </w:rPr>
              <w:t>Prekid liječenja zbog drugih razloga dok je vrijednost bila ≥ 50 kopija/ml</w:t>
            </w:r>
          </w:p>
          <w:p w14:paraId="3B30017A" w14:textId="572A8D45" w:rsidR="006C2D7B" w:rsidRPr="007223BC" w:rsidRDefault="00AD27EE" w:rsidP="00413968">
            <w:pPr>
              <w:keepNext/>
              <w:jc w:val="both"/>
              <w:rPr>
                <w:sz w:val="22"/>
                <w:szCs w:val="22"/>
                <w:lang w:val="sr-Latn-RS" w:eastAsia="sr-Latn-RS"/>
              </w:rPr>
            </w:pPr>
            <w:r w:rsidRPr="00287AA6">
              <w:rPr>
                <w:sz w:val="22"/>
                <w:szCs w:val="22"/>
                <w:lang w:val="sr-Latn-RS" w:eastAsia="sr-Latn-RS"/>
              </w:rPr>
              <w:t>Promjena antiretrovirusne terapije</w:t>
            </w:r>
          </w:p>
        </w:tc>
        <w:tc>
          <w:tcPr>
            <w:tcW w:w="1890" w:type="dxa"/>
            <w:tcBorders>
              <w:top w:val="nil"/>
              <w:left w:val="single" w:sz="4" w:space="0" w:color="auto"/>
              <w:bottom w:val="nil"/>
              <w:right w:val="single" w:sz="4" w:space="0" w:color="auto"/>
            </w:tcBorders>
            <w:vAlign w:val="center"/>
          </w:tcPr>
          <w:p w14:paraId="3BB584DB" w14:textId="77777777" w:rsidR="006C2D7B" w:rsidRPr="007223BC" w:rsidRDefault="006C2D7B" w:rsidP="00413968">
            <w:pPr>
              <w:keepNext/>
              <w:jc w:val="both"/>
              <w:rPr>
                <w:sz w:val="22"/>
                <w:szCs w:val="22"/>
                <w:lang w:val="sr-Latn-RS" w:eastAsia="sr-Latn-RS"/>
              </w:rPr>
            </w:pPr>
          </w:p>
          <w:p w14:paraId="3DB68FBD" w14:textId="77777777" w:rsidR="006C2D7B" w:rsidRPr="007223BC" w:rsidRDefault="006C2D7B" w:rsidP="00413968">
            <w:pPr>
              <w:keepNext/>
              <w:jc w:val="both"/>
              <w:rPr>
                <w:sz w:val="22"/>
                <w:szCs w:val="22"/>
                <w:lang w:val="sr-Latn-RS" w:eastAsia="sr-Latn-RS"/>
              </w:rPr>
            </w:pPr>
            <w:r w:rsidRPr="007223BC">
              <w:rPr>
                <w:sz w:val="22"/>
                <w:szCs w:val="22"/>
                <w:lang w:val="sr-Latn-RS" w:eastAsia="sr-Latn-RS"/>
              </w:rPr>
              <w:t>0%</w:t>
            </w:r>
          </w:p>
          <w:p w14:paraId="1FB518C2" w14:textId="77777777" w:rsidR="006C2D7B" w:rsidRPr="007223BC" w:rsidRDefault="006C2D7B" w:rsidP="00413968">
            <w:pPr>
              <w:keepNext/>
              <w:jc w:val="both"/>
              <w:rPr>
                <w:sz w:val="22"/>
                <w:szCs w:val="22"/>
                <w:lang w:val="sr-Latn-RS" w:eastAsia="sr-Latn-RS"/>
              </w:rPr>
            </w:pPr>
            <w:r w:rsidRPr="007223BC">
              <w:rPr>
                <w:sz w:val="22"/>
                <w:szCs w:val="22"/>
                <w:lang w:val="sr-Latn-RS" w:eastAsia="sr-Latn-RS"/>
              </w:rPr>
              <w:t>0%</w:t>
            </w:r>
          </w:p>
          <w:p w14:paraId="01838ED1" w14:textId="77777777" w:rsidR="006C2D7B" w:rsidRPr="007223BC" w:rsidRDefault="006C2D7B" w:rsidP="00413968">
            <w:pPr>
              <w:keepNext/>
              <w:jc w:val="both"/>
              <w:rPr>
                <w:sz w:val="22"/>
                <w:szCs w:val="22"/>
                <w:lang w:val="sr-Latn-RS" w:eastAsia="sr-Latn-RS"/>
              </w:rPr>
            </w:pPr>
            <w:r w:rsidRPr="007223BC">
              <w:rPr>
                <w:sz w:val="22"/>
                <w:szCs w:val="22"/>
                <w:lang w:val="sr-Latn-RS" w:eastAsia="sr-Latn-RS"/>
              </w:rPr>
              <w:t>&lt;1%</w:t>
            </w:r>
          </w:p>
          <w:p w14:paraId="2F0A8E37" w14:textId="77777777" w:rsidR="006C2D7B" w:rsidRPr="007223BC" w:rsidRDefault="006C2D7B" w:rsidP="00413968">
            <w:pPr>
              <w:keepNext/>
              <w:jc w:val="both"/>
              <w:rPr>
                <w:sz w:val="22"/>
                <w:szCs w:val="22"/>
                <w:lang w:val="sr-Latn-RS" w:eastAsia="sr-Latn-RS"/>
              </w:rPr>
            </w:pPr>
            <w:r w:rsidRPr="007223BC">
              <w:rPr>
                <w:sz w:val="22"/>
                <w:szCs w:val="22"/>
                <w:lang w:val="sr-Latn-RS" w:eastAsia="sr-Latn-RS"/>
              </w:rPr>
              <w:t>0%</w:t>
            </w:r>
          </w:p>
        </w:tc>
        <w:tc>
          <w:tcPr>
            <w:tcW w:w="1890" w:type="dxa"/>
            <w:tcBorders>
              <w:top w:val="nil"/>
              <w:left w:val="single" w:sz="4" w:space="0" w:color="auto"/>
              <w:bottom w:val="nil"/>
              <w:right w:val="single" w:sz="4" w:space="0" w:color="auto"/>
            </w:tcBorders>
            <w:vAlign w:val="center"/>
          </w:tcPr>
          <w:p w14:paraId="42FEA6DA" w14:textId="77777777" w:rsidR="006C2D7B" w:rsidRPr="007223BC" w:rsidRDefault="006C2D7B" w:rsidP="00413968">
            <w:pPr>
              <w:keepNext/>
              <w:jc w:val="both"/>
              <w:rPr>
                <w:sz w:val="22"/>
                <w:szCs w:val="22"/>
                <w:lang w:val="sr-Latn-RS" w:eastAsia="sr-Latn-RS"/>
              </w:rPr>
            </w:pPr>
          </w:p>
          <w:p w14:paraId="3E53DA7D" w14:textId="77777777" w:rsidR="006C2D7B" w:rsidRPr="007223BC" w:rsidRDefault="006C2D7B" w:rsidP="00413968">
            <w:pPr>
              <w:keepNext/>
              <w:jc w:val="both"/>
              <w:rPr>
                <w:sz w:val="22"/>
                <w:szCs w:val="22"/>
                <w:lang w:val="sr-Latn-RS" w:eastAsia="sr-Latn-RS"/>
              </w:rPr>
            </w:pPr>
            <w:r w:rsidRPr="007223BC">
              <w:rPr>
                <w:sz w:val="22"/>
                <w:szCs w:val="22"/>
                <w:lang w:val="sr-Latn-RS" w:eastAsia="sr-Latn-RS"/>
              </w:rPr>
              <w:t>0%</w:t>
            </w:r>
          </w:p>
          <w:p w14:paraId="31F1D51D" w14:textId="77777777" w:rsidR="006C2D7B" w:rsidRPr="007223BC" w:rsidRDefault="006C2D7B" w:rsidP="00413968">
            <w:pPr>
              <w:keepNext/>
              <w:jc w:val="both"/>
              <w:rPr>
                <w:sz w:val="22"/>
                <w:szCs w:val="22"/>
                <w:lang w:val="sr-Latn-RS" w:eastAsia="sr-Latn-RS"/>
              </w:rPr>
            </w:pPr>
            <w:r w:rsidRPr="007223BC">
              <w:rPr>
                <w:sz w:val="22"/>
                <w:szCs w:val="22"/>
                <w:lang w:val="sr-Latn-RS" w:eastAsia="sr-Latn-RS"/>
              </w:rPr>
              <w:t>&lt;1%</w:t>
            </w:r>
          </w:p>
          <w:p w14:paraId="25897C00" w14:textId="77777777" w:rsidR="006C2D7B" w:rsidRPr="007223BC" w:rsidRDefault="006C2D7B" w:rsidP="00413968">
            <w:pPr>
              <w:keepNext/>
              <w:jc w:val="both"/>
              <w:rPr>
                <w:sz w:val="22"/>
                <w:szCs w:val="22"/>
                <w:lang w:val="sr-Latn-RS" w:eastAsia="sr-Latn-RS"/>
              </w:rPr>
            </w:pPr>
            <w:r w:rsidRPr="007223BC">
              <w:rPr>
                <w:sz w:val="22"/>
                <w:szCs w:val="22"/>
                <w:lang w:val="sr-Latn-RS" w:eastAsia="sr-Latn-RS"/>
              </w:rPr>
              <w:t>0%</w:t>
            </w:r>
          </w:p>
          <w:p w14:paraId="2666C3E6" w14:textId="77777777" w:rsidR="006C2D7B" w:rsidRPr="007223BC" w:rsidRDefault="006C2D7B" w:rsidP="00413968">
            <w:pPr>
              <w:keepNext/>
              <w:jc w:val="both"/>
              <w:rPr>
                <w:sz w:val="22"/>
                <w:szCs w:val="22"/>
                <w:lang w:val="sr-Latn-RS" w:eastAsia="sr-Latn-RS"/>
              </w:rPr>
            </w:pPr>
            <w:r w:rsidRPr="007223BC">
              <w:rPr>
                <w:sz w:val="22"/>
                <w:szCs w:val="22"/>
                <w:lang w:val="sr-Latn-RS" w:eastAsia="sr-Latn-RS"/>
              </w:rPr>
              <w:t>0%</w:t>
            </w:r>
          </w:p>
        </w:tc>
      </w:tr>
      <w:tr w:rsidR="006C2D7B" w:rsidRPr="007223BC" w14:paraId="2D964AD1" w14:textId="77777777" w:rsidTr="00D939D6">
        <w:tc>
          <w:tcPr>
            <w:tcW w:w="4878" w:type="dxa"/>
            <w:tcBorders>
              <w:top w:val="nil"/>
              <w:left w:val="single" w:sz="4" w:space="0" w:color="auto"/>
              <w:bottom w:val="nil"/>
              <w:right w:val="single" w:sz="4" w:space="0" w:color="auto"/>
            </w:tcBorders>
          </w:tcPr>
          <w:p w14:paraId="001E5D37" w14:textId="77777777" w:rsidR="006C2D7B" w:rsidRPr="007223BC" w:rsidRDefault="006C2D7B" w:rsidP="00413968">
            <w:pPr>
              <w:keepNext/>
              <w:jc w:val="both"/>
              <w:rPr>
                <w:sz w:val="22"/>
                <w:szCs w:val="22"/>
                <w:lang w:val="sr-Latn-RS" w:eastAsia="sr-Latn-RS"/>
              </w:rPr>
            </w:pPr>
          </w:p>
        </w:tc>
        <w:tc>
          <w:tcPr>
            <w:tcW w:w="1890" w:type="dxa"/>
            <w:tcBorders>
              <w:top w:val="nil"/>
              <w:left w:val="single" w:sz="4" w:space="0" w:color="auto"/>
              <w:bottom w:val="nil"/>
              <w:right w:val="single" w:sz="4" w:space="0" w:color="auto"/>
            </w:tcBorders>
            <w:vAlign w:val="center"/>
          </w:tcPr>
          <w:p w14:paraId="27EAC4F3" w14:textId="77777777" w:rsidR="006C2D7B" w:rsidRPr="007223BC" w:rsidRDefault="006C2D7B" w:rsidP="00413968">
            <w:pPr>
              <w:keepNext/>
              <w:jc w:val="both"/>
              <w:rPr>
                <w:sz w:val="22"/>
                <w:szCs w:val="22"/>
                <w:lang w:val="sr-Latn-RS" w:eastAsia="sr-Latn-RS"/>
              </w:rPr>
            </w:pPr>
          </w:p>
        </w:tc>
        <w:tc>
          <w:tcPr>
            <w:tcW w:w="1890" w:type="dxa"/>
            <w:tcBorders>
              <w:top w:val="nil"/>
              <w:left w:val="single" w:sz="4" w:space="0" w:color="auto"/>
              <w:bottom w:val="nil"/>
              <w:right w:val="single" w:sz="4" w:space="0" w:color="auto"/>
            </w:tcBorders>
            <w:vAlign w:val="center"/>
          </w:tcPr>
          <w:p w14:paraId="74925A12" w14:textId="77777777" w:rsidR="006C2D7B" w:rsidRPr="007223BC" w:rsidRDefault="006C2D7B" w:rsidP="00413968">
            <w:pPr>
              <w:keepNext/>
              <w:jc w:val="both"/>
              <w:rPr>
                <w:sz w:val="22"/>
                <w:szCs w:val="22"/>
                <w:lang w:val="sr-Latn-RS" w:eastAsia="sr-Latn-RS"/>
              </w:rPr>
            </w:pPr>
          </w:p>
        </w:tc>
      </w:tr>
      <w:tr w:rsidR="006C2D7B" w:rsidRPr="007223BC" w14:paraId="2F4E3A6C" w14:textId="77777777" w:rsidTr="00D939D6">
        <w:tc>
          <w:tcPr>
            <w:tcW w:w="4878" w:type="dxa"/>
            <w:tcBorders>
              <w:top w:val="nil"/>
              <w:left w:val="single" w:sz="4" w:space="0" w:color="auto"/>
              <w:bottom w:val="nil"/>
              <w:right w:val="single" w:sz="4" w:space="0" w:color="auto"/>
            </w:tcBorders>
            <w:vAlign w:val="center"/>
          </w:tcPr>
          <w:p w14:paraId="79C10B84" w14:textId="77777777" w:rsidR="006C2D7B" w:rsidRPr="007223BC" w:rsidRDefault="006C2D7B" w:rsidP="00413968">
            <w:pPr>
              <w:keepNext/>
              <w:jc w:val="both"/>
              <w:rPr>
                <w:sz w:val="22"/>
                <w:szCs w:val="22"/>
                <w:lang w:val="sr-Latn-RS" w:eastAsia="sr-Latn-RS"/>
              </w:rPr>
            </w:pPr>
          </w:p>
        </w:tc>
        <w:tc>
          <w:tcPr>
            <w:tcW w:w="1890" w:type="dxa"/>
            <w:tcBorders>
              <w:top w:val="nil"/>
              <w:left w:val="single" w:sz="4" w:space="0" w:color="auto"/>
              <w:bottom w:val="nil"/>
              <w:right w:val="single" w:sz="4" w:space="0" w:color="auto"/>
            </w:tcBorders>
            <w:vAlign w:val="center"/>
          </w:tcPr>
          <w:p w14:paraId="7DE3ADC0" w14:textId="77777777" w:rsidR="006C2D7B" w:rsidRPr="007223BC" w:rsidRDefault="006C2D7B" w:rsidP="00413968">
            <w:pPr>
              <w:keepNext/>
              <w:jc w:val="both"/>
              <w:rPr>
                <w:sz w:val="22"/>
                <w:szCs w:val="22"/>
                <w:lang w:val="sr-Latn-RS" w:eastAsia="sr-Latn-RS"/>
              </w:rPr>
            </w:pPr>
          </w:p>
        </w:tc>
        <w:tc>
          <w:tcPr>
            <w:tcW w:w="1890" w:type="dxa"/>
            <w:tcBorders>
              <w:top w:val="nil"/>
              <w:left w:val="single" w:sz="4" w:space="0" w:color="auto"/>
              <w:bottom w:val="nil"/>
              <w:right w:val="single" w:sz="4" w:space="0" w:color="auto"/>
            </w:tcBorders>
            <w:vAlign w:val="center"/>
          </w:tcPr>
          <w:p w14:paraId="228DA70C" w14:textId="77777777" w:rsidR="006C2D7B" w:rsidRPr="007223BC" w:rsidRDefault="006C2D7B" w:rsidP="00413968">
            <w:pPr>
              <w:keepNext/>
              <w:jc w:val="both"/>
              <w:rPr>
                <w:sz w:val="22"/>
                <w:szCs w:val="22"/>
                <w:lang w:val="sr-Latn-RS" w:eastAsia="sr-Latn-RS"/>
              </w:rPr>
            </w:pPr>
          </w:p>
        </w:tc>
      </w:tr>
      <w:tr w:rsidR="006C2D7B" w:rsidRPr="007223BC" w14:paraId="6AD05E28" w14:textId="77777777" w:rsidTr="00287AA6">
        <w:trPr>
          <w:trHeight w:val="51"/>
        </w:trPr>
        <w:tc>
          <w:tcPr>
            <w:tcW w:w="4878" w:type="dxa"/>
            <w:tcBorders>
              <w:top w:val="nil"/>
              <w:left w:val="single" w:sz="4" w:space="0" w:color="auto"/>
              <w:bottom w:val="single" w:sz="4" w:space="0" w:color="auto"/>
              <w:right w:val="single" w:sz="4" w:space="0" w:color="auto"/>
            </w:tcBorders>
          </w:tcPr>
          <w:p w14:paraId="67240A83" w14:textId="77777777" w:rsidR="006C2D7B" w:rsidRPr="007223BC" w:rsidRDefault="006C2D7B" w:rsidP="00413968">
            <w:pPr>
              <w:keepNext/>
              <w:jc w:val="both"/>
              <w:rPr>
                <w:sz w:val="22"/>
                <w:szCs w:val="22"/>
                <w:lang w:val="sr-Latn-RS" w:eastAsia="sr-Latn-RS"/>
              </w:rPr>
            </w:pPr>
          </w:p>
        </w:tc>
        <w:tc>
          <w:tcPr>
            <w:tcW w:w="1890" w:type="dxa"/>
            <w:tcBorders>
              <w:top w:val="nil"/>
              <w:left w:val="single" w:sz="4" w:space="0" w:color="auto"/>
              <w:bottom w:val="single" w:sz="4" w:space="0" w:color="auto"/>
              <w:right w:val="single" w:sz="4" w:space="0" w:color="auto"/>
            </w:tcBorders>
            <w:vAlign w:val="center"/>
          </w:tcPr>
          <w:p w14:paraId="6CB43627" w14:textId="77777777" w:rsidR="006C2D7B" w:rsidRPr="007223BC" w:rsidRDefault="006C2D7B" w:rsidP="00413968">
            <w:pPr>
              <w:keepNext/>
              <w:jc w:val="both"/>
              <w:rPr>
                <w:sz w:val="22"/>
                <w:szCs w:val="22"/>
                <w:lang w:val="sr-Latn-RS" w:eastAsia="sr-Latn-RS"/>
              </w:rPr>
            </w:pPr>
          </w:p>
        </w:tc>
        <w:tc>
          <w:tcPr>
            <w:tcW w:w="1890" w:type="dxa"/>
            <w:tcBorders>
              <w:top w:val="nil"/>
              <w:left w:val="single" w:sz="4" w:space="0" w:color="auto"/>
              <w:bottom w:val="single" w:sz="4" w:space="0" w:color="auto"/>
              <w:right w:val="single" w:sz="4" w:space="0" w:color="auto"/>
            </w:tcBorders>
            <w:vAlign w:val="center"/>
          </w:tcPr>
          <w:p w14:paraId="588E6BF4" w14:textId="77777777" w:rsidR="006C2D7B" w:rsidRPr="007223BC" w:rsidRDefault="006C2D7B" w:rsidP="00413968">
            <w:pPr>
              <w:keepNext/>
              <w:jc w:val="both"/>
              <w:rPr>
                <w:sz w:val="22"/>
                <w:szCs w:val="22"/>
                <w:lang w:val="sr-Latn-RS" w:eastAsia="sr-Latn-RS"/>
              </w:rPr>
            </w:pPr>
          </w:p>
        </w:tc>
      </w:tr>
      <w:tr w:rsidR="00AD27EE" w:rsidRPr="007223BC" w14:paraId="77991275" w14:textId="77777777" w:rsidTr="00287AA6">
        <w:trPr>
          <w:trHeight w:val="145"/>
        </w:trPr>
        <w:tc>
          <w:tcPr>
            <w:tcW w:w="4878" w:type="dxa"/>
            <w:vMerge w:val="restart"/>
            <w:tcBorders>
              <w:top w:val="single" w:sz="4" w:space="0" w:color="auto"/>
              <w:left w:val="single" w:sz="4" w:space="0" w:color="auto"/>
              <w:right w:val="single" w:sz="4" w:space="0" w:color="auto"/>
            </w:tcBorders>
          </w:tcPr>
          <w:p w14:paraId="1E8DEED2" w14:textId="64005A0E" w:rsidR="00AD27EE" w:rsidRPr="007223BC" w:rsidRDefault="00AD27EE" w:rsidP="00413968">
            <w:pPr>
              <w:keepNext/>
              <w:jc w:val="both"/>
              <w:rPr>
                <w:sz w:val="22"/>
                <w:szCs w:val="22"/>
                <w:u w:val="single"/>
                <w:lang w:val="sr-Latn-RS" w:eastAsia="sr-Latn-RS"/>
              </w:rPr>
            </w:pPr>
            <w:r>
              <w:rPr>
                <w:b/>
                <w:sz w:val="22"/>
                <w:szCs w:val="22"/>
                <w:lang w:val="sr-Latn-RS" w:eastAsia="sr-Latn-RS"/>
              </w:rPr>
              <w:t>Nema</w:t>
            </w:r>
            <w:r w:rsidRPr="007223BC">
              <w:rPr>
                <w:b/>
                <w:sz w:val="22"/>
                <w:szCs w:val="22"/>
                <w:lang w:val="sr-Latn-RS" w:eastAsia="sr-Latn-RS"/>
              </w:rPr>
              <w:t xml:space="preserve"> viroloških podataka u</w:t>
            </w:r>
            <w:r>
              <w:rPr>
                <w:b/>
                <w:sz w:val="22"/>
                <w:szCs w:val="22"/>
                <w:lang w:val="sr-Latn-RS" w:eastAsia="sr-Latn-RS"/>
              </w:rPr>
              <w:t>nutar</w:t>
            </w:r>
            <w:r w:rsidRPr="007223BC">
              <w:rPr>
                <w:b/>
                <w:sz w:val="22"/>
                <w:szCs w:val="22"/>
                <w:lang w:val="sr-Latn-RS" w:eastAsia="sr-Latn-RS"/>
              </w:rPr>
              <w:t xml:space="preserve"> 48 nedjelj</w:t>
            </w:r>
            <w:r>
              <w:rPr>
                <w:b/>
                <w:sz w:val="22"/>
                <w:szCs w:val="22"/>
                <w:lang w:val="sr-Latn-RS" w:eastAsia="sr-Latn-RS"/>
              </w:rPr>
              <w:t>a</w:t>
            </w:r>
          </w:p>
          <w:p w14:paraId="64BDF955" w14:textId="77777777" w:rsidR="00AD27EE" w:rsidRPr="00287AA6" w:rsidRDefault="00AD27EE" w:rsidP="00413968">
            <w:pPr>
              <w:keepNext/>
              <w:jc w:val="both"/>
              <w:rPr>
                <w:sz w:val="22"/>
                <w:szCs w:val="22"/>
                <w:u w:val="single"/>
                <w:lang w:val="sr-Latn-RS" w:eastAsia="sr-Latn-RS"/>
              </w:rPr>
            </w:pPr>
            <w:r w:rsidRPr="00287AA6">
              <w:rPr>
                <w:sz w:val="22"/>
                <w:szCs w:val="22"/>
                <w:u w:val="single"/>
                <w:lang w:val="sr-Latn-RS" w:eastAsia="sr-Latn-RS"/>
              </w:rPr>
              <w:t>Razlozi</w:t>
            </w:r>
          </w:p>
          <w:p w14:paraId="67132BB6" w14:textId="77777777" w:rsidR="00AD27EE" w:rsidRPr="00AD27EE" w:rsidRDefault="00AD27EE" w:rsidP="00413968">
            <w:pPr>
              <w:keepNext/>
              <w:ind w:left="144"/>
              <w:jc w:val="both"/>
              <w:rPr>
                <w:sz w:val="22"/>
                <w:szCs w:val="22"/>
                <w:lang w:val="sr-Latn-RS" w:eastAsia="sr-Latn-RS"/>
              </w:rPr>
            </w:pPr>
            <w:r w:rsidRPr="00AD27EE">
              <w:rPr>
                <w:sz w:val="22"/>
                <w:szCs w:val="22"/>
                <w:lang w:val="sr-Latn-RS" w:eastAsia="sr-Latn-RS"/>
              </w:rPr>
              <w:t xml:space="preserve">Prekid učešća u ispitivanju zbog neželjenih dejstava ili smrti </w:t>
            </w:r>
          </w:p>
          <w:p w14:paraId="383A8766" w14:textId="018944B8" w:rsidR="00AD27EE" w:rsidRPr="00AD27EE" w:rsidRDefault="00AD27EE" w:rsidP="00413968">
            <w:pPr>
              <w:keepNext/>
              <w:ind w:left="144"/>
              <w:jc w:val="both"/>
              <w:rPr>
                <w:sz w:val="22"/>
                <w:szCs w:val="22"/>
                <w:lang w:val="sr-Latn-RS" w:eastAsia="sr-Latn-RS"/>
              </w:rPr>
            </w:pPr>
            <w:r w:rsidRPr="00AD27EE">
              <w:rPr>
                <w:sz w:val="22"/>
                <w:szCs w:val="22"/>
                <w:lang w:val="sr-Latn-RS" w:eastAsia="sr-Latn-RS"/>
              </w:rPr>
              <w:t>Prekid učešća u ispitivanju zbog drugih razloga</w:t>
            </w:r>
          </w:p>
          <w:p w14:paraId="174D376C" w14:textId="286043F6" w:rsidR="00AD27EE" w:rsidRPr="007223BC" w:rsidRDefault="00AD27EE" w:rsidP="00413968">
            <w:pPr>
              <w:keepNext/>
              <w:ind w:left="144"/>
              <w:jc w:val="both"/>
              <w:rPr>
                <w:sz w:val="22"/>
                <w:szCs w:val="22"/>
                <w:u w:val="single"/>
                <w:lang w:val="sr-Latn-RS" w:eastAsia="sr-Latn-RS"/>
              </w:rPr>
            </w:pPr>
            <w:r w:rsidRPr="00AD27EE">
              <w:rPr>
                <w:sz w:val="22"/>
                <w:szCs w:val="22"/>
                <w:lang w:val="sr-Latn-RS" w:eastAsia="sr-Latn-RS"/>
              </w:rPr>
              <w:t>Nema podataka za posmatrani period, ali pacijent učestvuje u ispitivanju</w:t>
            </w:r>
          </w:p>
        </w:tc>
        <w:tc>
          <w:tcPr>
            <w:tcW w:w="1890" w:type="dxa"/>
            <w:tcBorders>
              <w:top w:val="single" w:sz="4" w:space="0" w:color="auto"/>
              <w:left w:val="single" w:sz="4" w:space="0" w:color="auto"/>
              <w:bottom w:val="nil"/>
              <w:right w:val="single" w:sz="4" w:space="0" w:color="auto"/>
            </w:tcBorders>
            <w:shd w:val="clear" w:color="auto" w:fill="auto"/>
          </w:tcPr>
          <w:p w14:paraId="4884109F" w14:textId="77777777" w:rsidR="00AD27EE" w:rsidRDefault="00AD27EE" w:rsidP="00413968">
            <w:pPr>
              <w:jc w:val="both"/>
              <w:rPr>
                <w:sz w:val="22"/>
                <w:szCs w:val="22"/>
                <w:lang w:val="sr-Latn-RS" w:eastAsia="sr-Latn-RS"/>
              </w:rPr>
            </w:pPr>
          </w:p>
          <w:p w14:paraId="7C032CAF" w14:textId="77777777" w:rsidR="00AD27EE" w:rsidRDefault="00AD27EE" w:rsidP="00413968">
            <w:pPr>
              <w:jc w:val="both"/>
              <w:rPr>
                <w:sz w:val="22"/>
                <w:szCs w:val="22"/>
                <w:lang w:val="sr-Latn-RS" w:eastAsia="sr-Latn-RS"/>
              </w:rPr>
            </w:pPr>
          </w:p>
          <w:p w14:paraId="0853FAB6" w14:textId="0EB2CA2F" w:rsidR="00AD27EE" w:rsidRPr="007223BC" w:rsidRDefault="00AD27EE" w:rsidP="00413968">
            <w:pPr>
              <w:jc w:val="both"/>
              <w:rPr>
                <w:sz w:val="22"/>
                <w:szCs w:val="22"/>
                <w:lang w:val="sr-Latn-RS" w:eastAsia="sr-Latn-RS"/>
              </w:rPr>
            </w:pPr>
            <w:r w:rsidRPr="007223BC">
              <w:rPr>
                <w:sz w:val="22"/>
                <w:szCs w:val="22"/>
                <w:lang w:val="sr-Latn-RS" w:eastAsia="sr-Latn-RS"/>
              </w:rPr>
              <w:t>7%</w:t>
            </w:r>
          </w:p>
        </w:tc>
        <w:tc>
          <w:tcPr>
            <w:tcW w:w="1890" w:type="dxa"/>
            <w:tcBorders>
              <w:top w:val="single" w:sz="4" w:space="0" w:color="auto"/>
              <w:left w:val="single" w:sz="4" w:space="0" w:color="auto"/>
              <w:bottom w:val="nil"/>
              <w:right w:val="single" w:sz="4" w:space="0" w:color="auto"/>
            </w:tcBorders>
            <w:shd w:val="clear" w:color="auto" w:fill="auto"/>
          </w:tcPr>
          <w:p w14:paraId="29B4F762" w14:textId="77777777" w:rsidR="00AD27EE" w:rsidRDefault="00AD27EE" w:rsidP="00413968">
            <w:pPr>
              <w:jc w:val="both"/>
              <w:rPr>
                <w:sz w:val="22"/>
                <w:szCs w:val="22"/>
                <w:lang w:val="sr-Latn-RS" w:eastAsia="sr-Latn-RS"/>
              </w:rPr>
            </w:pPr>
          </w:p>
          <w:p w14:paraId="68E3F5F4" w14:textId="77777777" w:rsidR="00AD27EE" w:rsidRDefault="00AD27EE" w:rsidP="00413968">
            <w:pPr>
              <w:jc w:val="both"/>
              <w:rPr>
                <w:sz w:val="22"/>
                <w:szCs w:val="22"/>
                <w:lang w:val="sr-Latn-RS" w:eastAsia="sr-Latn-RS"/>
              </w:rPr>
            </w:pPr>
          </w:p>
          <w:p w14:paraId="18C5CEBE" w14:textId="1CCFBF20" w:rsidR="00AD27EE" w:rsidRPr="007223BC" w:rsidRDefault="00AD27EE" w:rsidP="00413968">
            <w:pPr>
              <w:jc w:val="both"/>
              <w:rPr>
                <w:sz w:val="22"/>
                <w:szCs w:val="22"/>
                <w:lang w:val="sr-Latn-RS" w:eastAsia="sr-Latn-RS"/>
              </w:rPr>
            </w:pPr>
            <w:r w:rsidRPr="007223BC">
              <w:rPr>
                <w:sz w:val="22"/>
                <w:szCs w:val="22"/>
                <w:lang w:val="sr-Latn-RS" w:eastAsia="sr-Latn-RS"/>
              </w:rPr>
              <w:t>6%</w:t>
            </w:r>
          </w:p>
        </w:tc>
      </w:tr>
      <w:tr w:rsidR="00AD27EE" w:rsidRPr="007223BC" w14:paraId="565A74AF" w14:textId="77777777" w:rsidTr="00287AA6">
        <w:tc>
          <w:tcPr>
            <w:tcW w:w="4878" w:type="dxa"/>
            <w:vMerge/>
            <w:tcBorders>
              <w:left w:val="single" w:sz="4" w:space="0" w:color="auto"/>
              <w:right w:val="single" w:sz="4" w:space="0" w:color="auto"/>
            </w:tcBorders>
          </w:tcPr>
          <w:p w14:paraId="4665FEA0" w14:textId="2585BA1B" w:rsidR="00AD27EE" w:rsidRPr="007223BC" w:rsidRDefault="00AD27EE" w:rsidP="00413968">
            <w:pPr>
              <w:keepNext/>
              <w:ind w:left="144"/>
              <w:jc w:val="both"/>
              <w:rPr>
                <w:sz w:val="22"/>
                <w:szCs w:val="22"/>
                <w:lang w:val="sr-Latn-RS" w:eastAsia="sr-Latn-RS"/>
              </w:rPr>
            </w:pPr>
          </w:p>
        </w:tc>
        <w:tc>
          <w:tcPr>
            <w:tcW w:w="1890" w:type="dxa"/>
            <w:tcBorders>
              <w:top w:val="nil"/>
              <w:left w:val="single" w:sz="4" w:space="0" w:color="auto"/>
              <w:bottom w:val="nil"/>
              <w:right w:val="single" w:sz="4" w:space="0" w:color="auto"/>
            </w:tcBorders>
            <w:shd w:val="clear" w:color="auto" w:fill="auto"/>
          </w:tcPr>
          <w:p w14:paraId="51E61E29" w14:textId="77777777" w:rsidR="00AD27EE" w:rsidRPr="007223BC" w:rsidRDefault="00AD27EE" w:rsidP="00413968">
            <w:pPr>
              <w:jc w:val="both"/>
              <w:rPr>
                <w:sz w:val="22"/>
                <w:szCs w:val="22"/>
                <w:lang w:val="sr-Latn-RS" w:eastAsia="sr-Latn-RS"/>
              </w:rPr>
            </w:pPr>
            <w:r w:rsidRPr="007223BC">
              <w:rPr>
                <w:sz w:val="22"/>
                <w:szCs w:val="22"/>
                <w:lang w:val="sr-Latn-RS" w:eastAsia="sr-Latn-RS"/>
              </w:rPr>
              <w:t>3%</w:t>
            </w:r>
          </w:p>
        </w:tc>
        <w:tc>
          <w:tcPr>
            <w:tcW w:w="1890" w:type="dxa"/>
            <w:tcBorders>
              <w:top w:val="nil"/>
              <w:left w:val="single" w:sz="4" w:space="0" w:color="auto"/>
              <w:bottom w:val="nil"/>
              <w:right w:val="single" w:sz="4" w:space="0" w:color="auto"/>
            </w:tcBorders>
            <w:shd w:val="clear" w:color="auto" w:fill="auto"/>
          </w:tcPr>
          <w:p w14:paraId="041FE32A" w14:textId="77777777" w:rsidR="00AD27EE" w:rsidRPr="007223BC" w:rsidRDefault="00AD27EE" w:rsidP="00413968">
            <w:pPr>
              <w:jc w:val="both"/>
              <w:rPr>
                <w:sz w:val="22"/>
                <w:szCs w:val="22"/>
                <w:lang w:val="sr-Latn-RS" w:eastAsia="sr-Latn-RS"/>
              </w:rPr>
            </w:pPr>
            <w:r w:rsidRPr="007223BC">
              <w:rPr>
                <w:sz w:val="22"/>
                <w:szCs w:val="22"/>
                <w:lang w:val="sr-Latn-RS" w:eastAsia="sr-Latn-RS"/>
              </w:rPr>
              <w:t>&lt;1%</w:t>
            </w:r>
          </w:p>
        </w:tc>
      </w:tr>
      <w:tr w:rsidR="00AD27EE" w:rsidRPr="007223BC" w14:paraId="38D564E8" w14:textId="77777777" w:rsidTr="00287AA6">
        <w:tc>
          <w:tcPr>
            <w:tcW w:w="4878" w:type="dxa"/>
            <w:vMerge/>
            <w:tcBorders>
              <w:left w:val="single" w:sz="4" w:space="0" w:color="auto"/>
              <w:bottom w:val="single" w:sz="4" w:space="0" w:color="auto"/>
              <w:right w:val="single" w:sz="4" w:space="0" w:color="auto"/>
            </w:tcBorders>
            <w:vAlign w:val="center"/>
          </w:tcPr>
          <w:p w14:paraId="6730FF03" w14:textId="7EBEAB3D" w:rsidR="00AD27EE" w:rsidRPr="007223BC" w:rsidRDefault="00AD27EE" w:rsidP="00413968">
            <w:pPr>
              <w:keepNext/>
              <w:ind w:left="144"/>
              <w:jc w:val="both"/>
              <w:rPr>
                <w:sz w:val="22"/>
                <w:szCs w:val="22"/>
                <w:lang w:val="sr-Latn-RS" w:eastAsia="sr-Latn-RS"/>
              </w:rPr>
            </w:pPr>
          </w:p>
        </w:tc>
        <w:tc>
          <w:tcPr>
            <w:tcW w:w="1890" w:type="dxa"/>
            <w:tcBorders>
              <w:top w:val="nil"/>
              <w:left w:val="single" w:sz="4" w:space="0" w:color="auto"/>
              <w:bottom w:val="single" w:sz="4" w:space="0" w:color="auto"/>
              <w:right w:val="single" w:sz="4" w:space="0" w:color="auto"/>
            </w:tcBorders>
            <w:shd w:val="clear" w:color="auto" w:fill="auto"/>
          </w:tcPr>
          <w:p w14:paraId="5DB4056F" w14:textId="77777777" w:rsidR="00AD27EE" w:rsidRPr="007223BC" w:rsidRDefault="00AD27EE" w:rsidP="00413968">
            <w:pPr>
              <w:jc w:val="both"/>
              <w:rPr>
                <w:sz w:val="22"/>
                <w:szCs w:val="22"/>
                <w:lang w:val="sr-Latn-RS" w:eastAsia="sr-Latn-RS"/>
              </w:rPr>
            </w:pPr>
            <w:r w:rsidRPr="007223BC">
              <w:rPr>
                <w:sz w:val="22"/>
                <w:szCs w:val="22"/>
                <w:lang w:val="sr-Latn-RS" w:eastAsia="sr-Latn-RS"/>
              </w:rPr>
              <w:t>3%</w:t>
            </w:r>
          </w:p>
          <w:p w14:paraId="5E414A04" w14:textId="77777777" w:rsidR="00AD27EE" w:rsidRPr="007223BC" w:rsidRDefault="00AD27EE" w:rsidP="00413968">
            <w:pPr>
              <w:jc w:val="both"/>
              <w:rPr>
                <w:sz w:val="22"/>
                <w:szCs w:val="22"/>
                <w:lang w:val="sr-Latn-RS" w:eastAsia="sr-Latn-RS"/>
              </w:rPr>
            </w:pPr>
            <w:r w:rsidRPr="007223BC">
              <w:rPr>
                <w:sz w:val="22"/>
                <w:szCs w:val="22"/>
                <w:lang w:val="sr-Latn-RS" w:eastAsia="sr-Latn-RS"/>
              </w:rPr>
              <w:t>0%</w:t>
            </w:r>
          </w:p>
        </w:tc>
        <w:tc>
          <w:tcPr>
            <w:tcW w:w="1890" w:type="dxa"/>
            <w:tcBorders>
              <w:top w:val="nil"/>
              <w:left w:val="single" w:sz="4" w:space="0" w:color="auto"/>
              <w:bottom w:val="single" w:sz="4" w:space="0" w:color="auto"/>
              <w:right w:val="single" w:sz="4" w:space="0" w:color="auto"/>
            </w:tcBorders>
            <w:shd w:val="clear" w:color="auto" w:fill="auto"/>
          </w:tcPr>
          <w:p w14:paraId="09C15B5D" w14:textId="77777777" w:rsidR="00AD27EE" w:rsidRPr="007223BC" w:rsidRDefault="00AD27EE" w:rsidP="00413968">
            <w:pPr>
              <w:jc w:val="both"/>
              <w:rPr>
                <w:sz w:val="22"/>
                <w:szCs w:val="22"/>
                <w:lang w:val="sr-Latn-RS" w:eastAsia="sr-Latn-RS"/>
              </w:rPr>
            </w:pPr>
            <w:r w:rsidRPr="007223BC">
              <w:rPr>
                <w:sz w:val="22"/>
                <w:szCs w:val="22"/>
                <w:lang w:val="sr-Latn-RS" w:eastAsia="sr-Latn-RS"/>
              </w:rPr>
              <w:t>6%</w:t>
            </w:r>
          </w:p>
          <w:p w14:paraId="59DAC571" w14:textId="77777777" w:rsidR="00AD27EE" w:rsidRPr="007223BC" w:rsidRDefault="00AD27EE" w:rsidP="00413968">
            <w:pPr>
              <w:jc w:val="both"/>
              <w:rPr>
                <w:sz w:val="22"/>
                <w:szCs w:val="22"/>
                <w:lang w:val="sr-Latn-RS" w:eastAsia="sr-Latn-RS"/>
              </w:rPr>
            </w:pPr>
            <w:r w:rsidRPr="007223BC">
              <w:rPr>
                <w:sz w:val="22"/>
                <w:szCs w:val="22"/>
                <w:lang w:val="sr-Latn-RS" w:eastAsia="sr-Latn-RS"/>
              </w:rPr>
              <w:t>&lt;1%</w:t>
            </w:r>
          </w:p>
        </w:tc>
      </w:tr>
    </w:tbl>
    <w:p w14:paraId="3A7E1A92" w14:textId="20C92B54" w:rsidR="00AD27EE" w:rsidRDefault="00AD27EE" w:rsidP="00805A14">
      <w:pPr>
        <w:jc w:val="both"/>
        <w:rPr>
          <w:sz w:val="22"/>
          <w:szCs w:val="22"/>
          <w:lang w:val="sr-Latn-RS"/>
        </w:rPr>
      </w:pPr>
      <w:r w:rsidRPr="00287AA6">
        <w:rPr>
          <w:sz w:val="22"/>
          <w:szCs w:val="22"/>
          <w:lang w:val="sr-Latn-RS"/>
        </w:rPr>
        <w:t xml:space="preserve">*U sekundarnoj analizi (udio ispitanika koji su postigli plazmatsku koncentraciju HIV-1 RNA &lt; 50 kopija/ml) kombinacija DTG/3TC bila je neinferiorna TBR-u u 48. </w:t>
      </w:r>
      <w:r>
        <w:rPr>
          <w:sz w:val="22"/>
          <w:szCs w:val="22"/>
          <w:lang w:val="sr-Latn-RS"/>
        </w:rPr>
        <w:t>nedjelji</w:t>
      </w:r>
      <w:r w:rsidRPr="00287AA6">
        <w:rPr>
          <w:sz w:val="22"/>
          <w:szCs w:val="22"/>
          <w:lang w:val="sr-Latn-RS"/>
        </w:rPr>
        <w:t xml:space="preserve">, uz graničnu vrijednost neinferiornosti od 8%. </w:t>
      </w:r>
    </w:p>
    <w:p w14:paraId="2D687EC0" w14:textId="77777777" w:rsidR="00AD27EE" w:rsidRDefault="00AD27EE" w:rsidP="00413968">
      <w:pPr>
        <w:jc w:val="both"/>
        <w:rPr>
          <w:sz w:val="22"/>
          <w:szCs w:val="22"/>
          <w:lang w:val="sr-Latn-RS"/>
        </w:rPr>
      </w:pPr>
      <w:r w:rsidRPr="00287AA6">
        <w:rPr>
          <w:sz w:val="22"/>
          <w:szCs w:val="22"/>
          <w:lang w:val="sr-Latn-RS"/>
        </w:rPr>
        <w:t xml:space="preserve">**U primarnoj analizi (udio ispitanika s plazmatskom koncentracijom HIV-1 RNA ≥ 50 kopija/ml) kombinacija DTG/3TC bila je neinferiorna TBR-u u 48. </w:t>
      </w:r>
      <w:r>
        <w:rPr>
          <w:sz w:val="22"/>
          <w:szCs w:val="22"/>
          <w:lang w:val="sr-Latn-RS"/>
        </w:rPr>
        <w:t>nedjelji</w:t>
      </w:r>
      <w:r w:rsidRPr="00287AA6">
        <w:rPr>
          <w:sz w:val="22"/>
          <w:szCs w:val="22"/>
          <w:lang w:val="sr-Latn-RS"/>
        </w:rPr>
        <w:t xml:space="preserve">, uz graničnu vrijednost neinferiornosti od 4%. </w:t>
      </w:r>
    </w:p>
    <w:p w14:paraId="0793BAB8" w14:textId="77777777" w:rsidR="00084E3B" w:rsidRDefault="00AD27EE" w:rsidP="00413968">
      <w:pPr>
        <w:jc w:val="both"/>
        <w:rPr>
          <w:sz w:val="22"/>
          <w:szCs w:val="22"/>
          <w:lang w:val="sr-Latn-RS"/>
        </w:rPr>
      </w:pPr>
      <w:r w:rsidRPr="00287AA6">
        <w:rPr>
          <w:sz w:val="22"/>
          <w:szCs w:val="22"/>
          <w:lang w:val="sr-Latn-RS"/>
        </w:rPr>
        <w:t xml:space="preserve">†Na </w:t>
      </w:r>
      <w:r>
        <w:rPr>
          <w:sz w:val="22"/>
          <w:szCs w:val="22"/>
          <w:lang w:val="sr-Latn-RS"/>
        </w:rPr>
        <w:t>osnov</w:t>
      </w:r>
      <w:r w:rsidRPr="00287AA6">
        <w:rPr>
          <w:sz w:val="22"/>
          <w:szCs w:val="22"/>
          <w:lang w:val="sr-Latn-RS"/>
        </w:rPr>
        <w:t xml:space="preserve">u analize stratificirane Cochran-Mantel-Haenszelovom metodom i prilagođene za </w:t>
      </w:r>
      <w:r>
        <w:rPr>
          <w:sz w:val="22"/>
          <w:szCs w:val="22"/>
          <w:lang w:val="sr-Latn-RS"/>
        </w:rPr>
        <w:t>grup</w:t>
      </w:r>
      <w:r w:rsidRPr="00287AA6">
        <w:rPr>
          <w:sz w:val="22"/>
          <w:szCs w:val="22"/>
          <w:lang w:val="sr-Latn-RS"/>
        </w:rPr>
        <w:t xml:space="preserve">u kojoj je pripadao treći lijek koji su ispitanici primali na početku ispitivanja (inhibitor proteaze, NNRTI, INSTI). </w:t>
      </w:r>
    </w:p>
    <w:p w14:paraId="3BB39740" w14:textId="1288D60D" w:rsidR="00AD27EE" w:rsidRPr="00287AA6" w:rsidRDefault="00AD27EE" w:rsidP="00413968">
      <w:pPr>
        <w:jc w:val="both"/>
        <w:rPr>
          <w:sz w:val="22"/>
          <w:szCs w:val="22"/>
          <w:lang w:val="sr-Latn-RS"/>
        </w:rPr>
      </w:pPr>
      <w:r w:rsidRPr="00287AA6">
        <w:rPr>
          <w:sz w:val="22"/>
          <w:szCs w:val="22"/>
          <w:lang w:val="sr-Latn-RS"/>
        </w:rPr>
        <w:t xml:space="preserve">N = broj ispitanika u svakoj liječenoj skupini; TBR = režim </w:t>
      </w:r>
      <w:r w:rsidR="00084E3B">
        <w:rPr>
          <w:sz w:val="22"/>
          <w:szCs w:val="22"/>
          <w:lang w:val="sr-Latn-RS"/>
        </w:rPr>
        <w:t>zasnovan</w:t>
      </w:r>
      <w:r w:rsidRPr="00287AA6">
        <w:rPr>
          <w:sz w:val="22"/>
          <w:szCs w:val="22"/>
          <w:lang w:val="sr-Latn-RS"/>
        </w:rPr>
        <w:t xml:space="preserve"> na tenofoviralafenamidu.</w:t>
      </w:r>
    </w:p>
    <w:p w14:paraId="5C4EFFC3" w14:textId="77777777" w:rsidR="00AD27EE" w:rsidRPr="007223BC" w:rsidRDefault="00AD27EE" w:rsidP="00805A14">
      <w:pPr>
        <w:jc w:val="both"/>
        <w:rPr>
          <w:sz w:val="22"/>
          <w:szCs w:val="22"/>
          <w:lang w:val="sr-Latn-RS" w:eastAsia="sr-Latn-RS"/>
        </w:rPr>
      </w:pPr>
    </w:p>
    <w:p w14:paraId="38940855" w14:textId="77777777" w:rsidR="006C2D7B" w:rsidRPr="007223BC" w:rsidRDefault="006C2D7B">
      <w:pPr>
        <w:keepNext/>
        <w:jc w:val="both"/>
        <w:rPr>
          <w:sz w:val="22"/>
          <w:szCs w:val="22"/>
          <w:lang w:val="sr-Latn-RS" w:eastAsia="sr-Latn-RS"/>
        </w:rPr>
      </w:pPr>
    </w:p>
    <w:p w14:paraId="22106638" w14:textId="77777777" w:rsidR="00E10C7D" w:rsidRPr="007223BC" w:rsidRDefault="006C2D7B">
      <w:pPr>
        <w:suppressLineNumbers/>
        <w:jc w:val="both"/>
        <w:rPr>
          <w:sz w:val="22"/>
          <w:szCs w:val="22"/>
          <w:lang w:val="sr-Latn-RS" w:eastAsia="sr-Latn-RS"/>
        </w:rPr>
      </w:pPr>
      <w:r w:rsidRPr="007223BC">
        <w:rPr>
          <w:sz w:val="22"/>
          <w:szCs w:val="22"/>
          <w:lang w:val="sr-Latn-RS" w:eastAsia="sr-Latn-RS"/>
        </w:rPr>
        <w:t>Ishodi l</w:t>
      </w:r>
      <w:r w:rsidR="0057528A" w:rsidRPr="007223BC">
        <w:rPr>
          <w:sz w:val="22"/>
          <w:szCs w:val="22"/>
          <w:lang w:val="sr-Latn-RS" w:eastAsia="sr-Latn-RS"/>
        </w:rPr>
        <w:t>ij</w:t>
      </w:r>
      <w:r w:rsidRPr="007223BC">
        <w:rPr>
          <w:sz w:val="22"/>
          <w:szCs w:val="22"/>
          <w:lang w:val="sr-Latn-RS" w:eastAsia="sr-Latn-RS"/>
        </w:rPr>
        <w:t>ečenja između terapijskih grupa u 48. ned</w:t>
      </w:r>
      <w:r w:rsidR="0057528A" w:rsidRPr="007223BC">
        <w:rPr>
          <w:sz w:val="22"/>
          <w:szCs w:val="22"/>
          <w:lang w:val="sr-Latn-RS" w:eastAsia="sr-Latn-RS"/>
        </w:rPr>
        <w:t>j</w:t>
      </w:r>
      <w:r w:rsidRPr="007223BC">
        <w:rPr>
          <w:sz w:val="22"/>
          <w:szCs w:val="22"/>
          <w:lang w:val="sr-Latn-RS" w:eastAsia="sr-Latn-RS"/>
        </w:rPr>
        <w:t>elji bili su slični između stratifikacijskog faktora, na početku uključivanja agensa treće klase i između podgrupa u odnosu na godine, pol, rasu, početni broj CD4+ ćelija, CDC HIV stadijum bolesti, i države. Srednja izm</w:t>
      </w:r>
      <w:r w:rsidR="0057528A" w:rsidRPr="007223BC">
        <w:rPr>
          <w:sz w:val="22"/>
          <w:szCs w:val="22"/>
          <w:lang w:val="sr-Latn-RS" w:eastAsia="sr-Latn-RS"/>
        </w:rPr>
        <w:t>j</w:t>
      </w:r>
      <w:r w:rsidRPr="007223BC">
        <w:rPr>
          <w:sz w:val="22"/>
          <w:szCs w:val="22"/>
          <w:lang w:val="sr-Latn-RS" w:eastAsia="sr-Latn-RS"/>
        </w:rPr>
        <w:t>ena od početka l</w:t>
      </w:r>
      <w:r w:rsidR="0057528A" w:rsidRPr="007223BC">
        <w:rPr>
          <w:sz w:val="22"/>
          <w:szCs w:val="22"/>
          <w:lang w:val="sr-Latn-RS" w:eastAsia="sr-Latn-RS"/>
        </w:rPr>
        <w:t>ij</w:t>
      </w:r>
      <w:r w:rsidRPr="007223BC">
        <w:rPr>
          <w:sz w:val="22"/>
          <w:szCs w:val="22"/>
          <w:lang w:val="sr-Latn-RS" w:eastAsia="sr-Latn-RS"/>
        </w:rPr>
        <w:t xml:space="preserve">ečenja u broju CD4+ </w:t>
      </w:r>
      <w:r w:rsidRPr="007223BC">
        <w:rPr>
          <w:sz w:val="22"/>
          <w:szCs w:val="22"/>
          <w:lang w:val="sr-Latn-RS" w:eastAsia="sr-Latn-RS"/>
        </w:rPr>
        <w:lastRenderedPageBreak/>
        <w:t>ćelija u 48. ned</w:t>
      </w:r>
      <w:r w:rsidR="0057528A" w:rsidRPr="007223BC">
        <w:rPr>
          <w:sz w:val="22"/>
          <w:szCs w:val="22"/>
          <w:lang w:val="sr-Latn-RS" w:eastAsia="sr-Latn-RS"/>
        </w:rPr>
        <w:t>j</w:t>
      </w:r>
      <w:r w:rsidRPr="007223BC">
        <w:rPr>
          <w:sz w:val="22"/>
          <w:szCs w:val="22"/>
          <w:lang w:val="sr-Latn-RS" w:eastAsia="sr-Latn-RS"/>
        </w:rPr>
        <w:t>elji bila je 22,5 ćelija po mm</w:t>
      </w:r>
      <w:r w:rsidRPr="007223BC">
        <w:rPr>
          <w:sz w:val="22"/>
          <w:szCs w:val="22"/>
          <w:vertAlign w:val="superscript"/>
          <w:lang w:val="sr-Latn-RS" w:eastAsia="sr-Latn-RS"/>
        </w:rPr>
        <w:t>3</w:t>
      </w:r>
      <w:r w:rsidRPr="007223BC">
        <w:rPr>
          <w:sz w:val="22"/>
          <w:szCs w:val="22"/>
          <w:lang w:val="sr-Latn-RS" w:eastAsia="sr-Latn-RS"/>
        </w:rPr>
        <w:t xml:space="preserve"> kod ispitanika </w:t>
      </w:r>
      <w:bookmarkStart w:id="8" w:name="_Hlk40706128"/>
      <w:r w:rsidRPr="007223BC">
        <w:rPr>
          <w:sz w:val="22"/>
          <w:szCs w:val="22"/>
          <w:lang w:val="sr-Latn-RS" w:eastAsia="sr-Latn-RS"/>
        </w:rPr>
        <w:t>koji su se prebacili na dolutegravir/lamivudin i 11,0 ćelija po mm</w:t>
      </w:r>
      <w:r w:rsidRPr="007223BC">
        <w:rPr>
          <w:sz w:val="22"/>
          <w:szCs w:val="22"/>
          <w:vertAlign w:val="superscript"/>
          <w:lang w:val="sr-Latn-RS" w:eastAsia="sr-Latn-RS"/>
        </w:rPr>
        <w:t xml:space="preserve">3 </w:t>
      </w:r>
      <w:r w:rsidRPr="007223BC">
        <w:rPr>
          <w:sz w:val="22"/>
          <w:szCs w:val="22"/>
          <w:lang w:val="sr-Latn-RS" w:eastAsia="sr-Latn-RS"/>
        </w:rPr>
        <w:t>kod ispitanika koji su ostali na TBR.</w:t>
      </w:r>
    </w:p>
    <w:p w14:paraId="6A2E34CE" w14:textId="77777777" w:rsidR="004A40BE" w:rsidRPr="007223BC" w:rsidRDefault="004A40BE">
      <w:pPr>
        <w:contextualSpacing/>
        <w:jc w:val="both"/>
        <w:rPr>
          <w:sz w:val="22"/>
          <w:szCs w:val="22"/>
          <w:lang w:val="sr-Latn-RS" w:eastAsia="ja-JP"/>
        </w:rPr>
      </w:pPr>
    </w:p>
    <w:p w14:paraId="09ACA119" w14:textId="60900A7C" w:rsidR="004A40BE" w:rsidRPr="007223BC" w:rsidRDefault="004A40BE">
      <w:pPr>
        <w:contextualSpacing/>
        <w:jc w:val="both"/>
        <w:rPr>
          <w:sz w:val="22"/>
          <w:szCs w:val="22"/>
          <w:lang w:val="sr-Latn-RS" w:eastAsia="ja-JP"/>
        </w:rPr>
      </w:pPr>
      <w:r w:rsidRPr="007223BC">
        <w:rPr>
          <w:sz w:val="22"/>
          <w:szCs w:val="22"/>
          <w:lang w:val="sr-Latn-RS" w:eastAsia="ja-JP"/>
        </w:rPr>
        <w:t>Nakon 96 nedjelja u ispitivanju TANGO</w:t>
      </w:r>
      <w:r w:rsidR="00EA23D6" w:rsidRPr="007223BC">
        <w:rPr>
          <w:sz w:val="22"/>
          <w:szCs w:val="22"/>
          <w:lang w:val="sr-Latn-RS" w:eastAsia="ja-JP"/>
        </w:rPr>
        <w:t>,</w:t>
      </w:r>
      <w:r w:rsidRPr="007223BC">
        <w:rPr>
          <w:sz w:val="22"/>
          <w:szCs w:val="22"/>
          <w:lang w:val="sr-Latn-RS" w:eastAsia="ja-JP"/>
        </w:rPr>
        <w:t xml:space="preserve"> </w:t>
      </w:r>
      <w:r w:rsidRPr="007223BC">
        <w:rPr>
          <w:sz w:val="22"/>
          <w:szCs w:val="22"/>
          <w:lang w:val="sr-Latn-RS"/>
        </w:rPr>
        <w:t>udio ispitanika kojima je HIV</w:t>
      </w:r>
      <w:r w:rsidRPr="007223BC">
        <w:rPr>
          <w:sz w:val="22"/>
          <w:szCs w:val="22"/>
          <w:lang w:val="sr-Latn-RS"/>
        </w:rPr>
        <w:noBreakHyphen/>
        <w:t xml:space="preserve">1 RNK iznosio </w:t>
      </w:r>
      <w:r w:rsidRPr="007223BC">
        <w:rPr>
          <w:sz w:val="22"/>
          <w:szCs w:val="22"/>
          <w:lang w:val="sr-Latn-RS" w:eastAsia="ja-JP"/>
        </w:rPr>
        <w:t>≥</w:t>
      </w:r>
      <w:r w:rsidRPr="007223BC">
        <w:rPr>
          <w:sz w:val="22"/>
          <w:szCs w:val="22"/>
          <w:lang w:val="sr-Latn-RS"/>
        </w:rPr>
        <w:t> 50 kopija/m</w:t>
      </w:r>
      <w:r w:rsidR="00B412CB">
        <w:rPr>
          <w:sz w:val="22"/>
          <w:szCs w:val="22"/>
          <w:lang w:val="sr-Latn-RS"/>
        </w:rPr>
        <w:t>l</w:t>
      </w:r>
      <w:r w:rsidRPr="007223BC">
        <w:rPr>
          <w:sz w:val="22"/>
          <w:szCs w:val="22"/>
          <w:lang w:val="sr-Latn-RS"/>
        </w:rPr>
        <w:t xml:space="preserve"> (</w:t>
      </w:r>
      <w:r w:rsidR="00EA23D6" w:rsidRPr="007223BC">
        <w:rPr>
          <w:i/>
          <w:iCs/>
          <w:sz w:val="22"/>
          <w:szCs w:val="22"/>
          <w:lang w:val="sr-Latn-RS"/>
        </w:rPr>
        <w:t xml:space="preserve">Snapshot </w:t>
      </w:r>
      <w:r w:rsidRPr="007223BC">
        <w:rPr>
          <w:sz w:val="22"/>
          <w:szCs w:val="22"/>
          <w:lang w:val="sr-Latn-RS"/>
        </w:rPr>
        <w:t xml:space="preserve">algoritam) bio je 0,3% u grupi koja je primala </w:t>
      </w:r>
      <w:r w:rsidRPr="007223BC">
        <w:rPr>
          <w:sz w:val="22"/>
          <w:szCs w:val="22"/>
          <w:lang w:val="sr-Latn-RS" w:eastAsia="ja-JP"/>
        </w:rPr>
        <w:t>d</w:t>
      </w:r>
      <w:r w:rsidRPr="007223BC">
        <w:rPr>
          <w:rFonts w:eastAsia="MS Mincho"/>
          <w:sz w:val="22"/>
          <w:szCs w:val="22"/>
          <w:lang w:val="sr-Latn-RS"/>
        </w:rPr>
        <w:t xml:space="preserve">olutegravir/lamivudin, odnosno 1,1% u grupi koja je primala TBR. Na osnovu granične vrijednosti neinferiornosti od 4% </w:t>
      </w:r>
      <w:r w:rsidRPr="007223BC">
        <w:rPr>
          <w:sz w:val="22"/>
          <w:szCs w:val="22"/>
          <w:lang w:val="sr-Latn-RS" w:eastAsia="ja-JP"/>
        </w:rPr>
        <w:t>d</w:t>
      </w:r>
      <w:r w:rsidRPr="007223BC">
        <w:rPr>
          <w:rFonts w:eastAsia="MS Mincho"/>
          <w:sz w:val="22"/>
          <w:szCs w:val="22"/>
          <w:lang w:val="sr-Latn-RS"/>
        </w:rPr>
        <w:t>olutegravira/lamivudina</w:t>
      </w:r>
      <w:r w:rsidR="001C1B95" w:rsidRPr="007223BC">
        <w:rPr>
          <w:rFonts w:eastAsia="MS Mincho"/>
          <w:sz w:val="22"/>
          <w:szCs w:val="22"/>
          <w:lang w:val="sr-Latn-RS"/>
        </w:rPr>
        <w:t>,</w:t>
      </w:r>
      <w:r w:rsidRPr="007223BC">
        <w:rPr>
          <w:rFonts w:eastAsia="MS Mincho"/>
          <w:sz w:val="22"/>
          <w:szCs w:val="22"/>
          <w:lang w:val="sr-Latn-RS"/>
        </w:rPr>
        <w:t xml:space="preserve"> i dalje je bio neinferioran TBR</w:t>
      </w:r>
      <w:r w:rsidRPr="007223BC">
        <w:rPr>
          <w:rFonts w:eastAsia="MS Mincho"/>
          <w:sz w:val="22"/>
          <w:szCs w:val="22"/>
          <w:lang w:val="sr-Latn-RS"/>
        </w:rPr>
        <w:noBreakHyphen/>
        <w:t xml:space="preserve">u jer je gornja granica intervala pouzdanosti od 95% </w:t>
      </w:r>
      <w:r w:rsidRPr="007223BC">
        <w:rPr>
          <w:sz w:val="22"/>
          <w:szCs w:val="22"/>
          <w:lang w:val="sr-Latn-RS" w:eastAsia="ja-JP"/>
        </w:rPr>
        <w:t>za prilagođenu razliku između liječenja (</w:t>
      </w:r>
      <w:r w:rsidRPr="007223BC">
        <w:rPr>
          <w:sz w:val="22"/>
          <w:szCs w:val="22"/>
          <w:lang w:val="sr-Latn-RS" w:eastAsia="ja-JP"/>
        </w:rPr>
        <w:noBreakHyphen/>
        <w:t xml:space="preserve">2,0%; 0,4%) bila manja od 4% za </w:t>
      </w:r>
      <w:r w:rsidRPr="007223BC">
        <w:rPr>
          <w:sz w:val="22"/>
          <w:szCs w:val="22"/>
          <w:lang w:val="sr-Latn-RS"/>
        </w:rPr>
        <w:t>ITT</w:t>
      </w:r>
      <w:r w:rsidRPr="007223BC">
        <w:rPr>
          <w:sz w:val="22"/>
          <w:szCs w:val="22"/>
          <w:lang w:val="sr-Latn-RS"/>
        </w:rPr>
        <w:noBreakHyphen/>
        <w:t>E populaciju.</w:t>
      </w:r>
    </w:p>
    <w:p w14:paraId="3EAD02E4" w14:textId="77777777" w:rsidR="004A40BE" w:rsidRPr="007223BC" w:rsidRDefault="004A40BE">
      <w:pPr>
        <w:contextualSpacing/>
        <w:jc w:val="both"/>
        <w:rPr>
          <w:sz w:val="22"/>
          <w:szCs w:val="22"/>
          <w:lang w:val="sr-Latn-RS"/>
        </w:rPr>
      </w:pPr>
    </w:p>
    <w:p w14:paraId="0E54B142" w14:textId="77777777" w:rsidR="004A40BE" w:rsidRDefault="004A40BE">
      <w:pPr>
        <w:contextualSpacing/>
        <w:jc w:val="both"/>
        <w:rPr>
          <w:rFonts w:eastAsia="MS Mincho"/>
          <w:sz w:val="22"/>
          <w:szCs w:val="22"/>
          <w:lang w:val="sr-Latn-RS"/>
        </w:rPr>
      </w:pPr>
      <w:r w:rsidRPr="007223BC">
        <w:rPr>
          <w:sz w:val="22"/>
          <w:szCs w:val="22"/>
          <w:lang w:val="sr-Latn-RS" w:eastAsia="ja-JP"/>
        </w:rPr>
        <w:t>Medijan</w:t>
      </w:r>
      <w:r w:rsidR="001C1B95" w:rsidRPr="007223BC">
        <w:rPr>
          <w:sz w:val="22"/>
          <w:szCs w:val="22"/>
          <w:lang w:val="sr-Latn-RS" w:eastAsia="ja-JP"/>
        </w:rPr>
        <w:t>a</w:t>
      </w:r>
      <w:r w:rsidRPr="007223BC">
        <w:rPr>
          <w:sz w:val="22"/>
          <w:szCs w:val="22"/>
          <w:lang w:val="sr-Latn-RS" w:eastAsia="ja-JP"/>
        </w:rPr>
        <w:t xml:space="preserve"> promjene broja CD4+ T</w:t>
      </w:r>
      <w:r w:rsidRPr="007223BC">
        <w:rPr>
          <w:sz w:val="22"/>
          <w:szCs w:val="22"/>
          <w:lang w:val="sr-Latn-RS" w:eastAsia="ja-JP"/>
        </w:rPr>
        <w:noBreakHyphen/>
        <w:t xml:space="preserve">ćelija u 96. nedjelji u odnosu na početnu vrijednost </w:t>
      </w:r>
      <w:r w:rsidR="001C1B95" w:rsidRPr="007223BC">
        <w:rPr>
          <w:sz w:val="22"/>
          <w:szCs w:val="22"/>
          <w:lang w:val="sr-Latn-RS" w:eastAsia="ja-JP"/>
        </w:rPr>
        <w:t xml:space="preserve">iznosila </w:t>
      </w:r>
      <w:r w:rsidRPr="007223BC">
        <w:rPr>
          <w:sz w:val="22"/>
          <w:szCs w:val="22"/>
          <w:lang w:val="sr-Latn-RS" w:eastAsia="ja-JP"/>
        </w:rPr>
        <w:t>je 61 ćelija/mm</w:t>
      </w:r>
      <w:r w:rsidRPr="007223BC">
        <w:rPr>
          <w:sz w:val="22"/>
          <w:szCs w:val="22"/>
          <w:vertAlign w:val="superscript"/>
          <w:lang w:val="sr-Latn-RS" w:eastAsia="ja-JP"/>
        </w:rPr>
        <w:t>3</w:t>
      </w:r>
      <w:r w:rsidRPr="007223BC">
        <w:rPr>
          <w:sz w:val="22"/>
          <w:szCs w:val="22"/>
          <w:lang w:val="sr-Latn-RS" w:eastAsia="ja-JP"/>
        </w:rPr>
        <w:t xml:space="preserve"> u grupi koja je primala d</w:t>
      </w:r>
      <w:r w:rsidRPr="007223BC">
        <w:rPr>
          <w:rFonts w:eastAsia="MS Mincho"/>
          <w:sz w:val="22"/>
          <w:szCs w:val="22"/>
          <w:lang w:val="sr-Latn-RS"/>
        </w:rPr>
        <w:t>olutegravir/lamivudin</w:t>
      </w:r>
      <w:r w:rsidR="001C1B95" w:rsidRPr="007223BC">
        <w:rPr>
          <w:rFonts w:eastAsia="MS Mincho"/>
          <w:sz w:val="22"/>
          <w:szCs w:val="22"/>
          <w:lang w:val="sr-Latn-RS"/>
        </w:rPr>
        <w:t>,</w:t>
      </w:r>
      <w:r w:rsidRPr="007223BC">
        <w:rPr>
          <w:rFonts w:eastAsia="MS Mincho"/>
          <w:sz w:val="22"/>
          <w:szCs w:val="22"/>
          <w:lang w:val="sr-Latn-RS"/>
        </w:rPr>
        <w:t xml:space="preserve"> i 45 ćelija/mm</w:t>
      </w:r>
      <w:r w:rsidRPr="007223BC">
        <w:rPr>
          <w:rFonts w:eastAsia="MS Mincho"/>
          <w:sz w:val="22"/>
          <w:szCs w:val="22"/>
          <w:vertAlign w:val="superscript"/>
          <w:lang w:val="sr-Latn-RS"/>
        </w:rPr>
        <w:t>3</w:t>
      </w:r>
      <w:r w:rsidRPr="007223BC">
        <w:rPr>
          <w:rFonts w:eastAsia="MS Mincho"/>
          <w:sz w:val="22"/>
          <w:szCs w:val="22"/>
          <w:lang w:val="sr-Latn-RS"/>
        </w:rPr>
        <w:t xml:space="preserve"> u grupi koja je primala TBR.</w:t>
      </w:r>
    </w:p>
    <w:p w14:paraId="27C191D0" w14:textId="77777777" w:rsidR="001375C7" w:rsidRDefault="001375C7">
      <w:pPr>
        <w:contextualSpacing/>
        <w:jc w:val="both"/>
        <w:rPr>
          <w:rFonts w:eastAsia="MS Mincho"/>
          <w:sz w:val="22"/>
          <w:szCs w:val="22"/>
          <w:lang w:val="sr-Latn-RS"/>
        </w:rPr>
      </w:pPr>
    </w:p>
    <w:p w14:paraId="05A039A7" w14:textId="254629A8" w:rsidR="001375C7" w:rsidRPr="00287AA6" w:rsidRDefault="00FF0C58" w:rsidP="00413968">
      <w:pPr>
        <w:jc w:val="both"/>
        <w:rPr>
          <w:lang w:val="sr-Latn-RS"/>
        </w:rPr>
      </w:pPr>
      <w:r>
        <w:rPr>
          <w:sz w:val="22"/>
          <w:szCs w:val="22"/>
          <w:lang w:val="sr-Latn-RS"/>
        </w:rPr>
        <w:t>Nakon</w:t>
      </w:r>
      <w:r w:rsidR="001375C7" w:rsidRPr="00287AA6">
        <w:rPr>
          <w:sz w:val="22"/>
          <w:szCs w:val="22"/>
          <w:lang w:val="sr-Latn-RS"/>
        </w:rPr>
        <w:t xml:space="preserve"> 144 ned</w:t>
      </w:r>
      <w:r w:rsidR="001375C7">
        <w:rPr>
          <w:sz w:val="22"/>
          <w:szCs w:val="22"/>
          <w:lang w:val="sr-Latn-RS"/>
        </w:rPr>
        <w:t>j</w:t>
      </w:r>
      <w:r w:rsidR="001375C7" w:rsidRPr="00287AA6">
        <w:rPr>
          <w:sz w:val="22"/>
          <w:szCs w:val="22"/>
          <w:lang w:val="sr-Latn-RS"/>
        </w:rPr>
        <w:t>elj</w:t>
      </w:r>
      <w:r>
        <w:rPr>
          <w:sz w:val="22"/>
          <w:szCs w:val="22"/>
          <w:lang w:val="sr-Latn-RS"/>
        </w:rPr>
        <w:t>a</w:t>
      </w:r>
      <w:r w:rsidR="001375C7" w:rsidRPr="00287AA6">
        <w:rPr>
          <w:sz w:val="22"/>
          <w:szCs w:val="22"/>
          <w:lang w:val="sr-Latn-RS"/>
        </w:rPr>
        <w:t xml:space="preserve"> </w:t>
      </w:r>
      <w:r>
        <w:rPr>
          <w:sz w:val="22"/>
          <w:szCs w:val="22"/>
          <w:lang w:val="sr-Latn-RS"/>
        </w:rPr>
        <w:t>udio</w:t>
      </w:r>
      <w:r w:rsidR="001375C7" w:rsidRPr="00287AA6">
        <w:rPr>
          <w:sz w:val="22"/>
          <w:szCs w:val="22"/>
          <w:lang w:val="sr-Latn-RS"/>
        </w:rPr>
        <w:t xml:space="preserve"> ispitanika </w:t>
      </w:r>
      <w:r w:rsidR="001375C7">
        <w:rPr>
          <w:sz w:val="22"/>
          <w:szCs w:val="22"/>
          <w:lang w:val="sr-Latn-RS"/>
        </w:rPr>
        <w:t>kojima je</w:t>
      </w:r>
      <w:r w:rsidR="001375C7" w:rsidRPr="00287AA6">
        <w:rPr>
          <w:sz w:val="22"/>
          <w:szCs w:val="22"/>
          <w:lang w:val="sr-Latn-RS"/>
        </w:rPr>
        <w:t xml:space="preserve"> HIV-1 RNK</w:t>
      </w:r>
      <w:r w:rsidR="001375C7">
        <w:rPr>
          <w:sz w:val="22"/>
          <w:szCs w:val="22"/>
          <w:lang w:val="sr-Latn-RS"/>
        </w:rPr>
        <w:t xml:space="preserve"> iznosio </w:t>
      </w:r>
      <w:r w:rsidR="001375C7" w:rsidRPr="00287AA6">
        <w:rPr>
          <w:sz w:val="22"/>
          <w:szCs w:val="22"/>
          <w:lang w:val="sr-Latn-RS"/>
        </w:rPr>
        <w:t xml:space="preserve"> ≥</w:t>
      </w:r>
      <w:r w:rsidR="001375C7">
        <w:rPr>
          <w:sz w:val="22"/>
          <w:szCs w:val="22"/>
          <w:lang w:val="sr-Latn-RS"/>
        </w:rPr>
        <w:t xml:space="preserve"> </w:t>
      </w:r>
      <w:r>
        <w:rPr>
          <w:sz w:val="22"/>
          <w:szCs w:val="22"/>
          <w:lang w:val="sr-Latn-RS"/>
        </w:rPr>
        <w:t xml:space="preserve">50 </w:t>
      </w:r>
      <w:r w:rsidR="001375C7" w:rsidRPr="00287AA6">
        <w:rPr>
          <w:lang w:val="sr-Latn-RS"/>
        </w:rPr>
        <w:t>kopija/m</w:t>
      </w:r>
      <w:r w:rsidR="001375C7">
        <w:rPr>
          <w:lang w:val="sr-Latn-RS"/>
        </w:rPr>
        <w:t>l</w:t>
      </w:r>
      <w:r w:rsidR="001375C7" w:rsidRPr="00287AA6">
        <w:rPr>
          <w:lang w:val="sr-Latn-RS"/>
        </w:rPr>
        <w:t xml:space="preserve"> (</w:t>
      </w:r>
      <w:r w:rsidR="001375C7" w:rsidRPr="00287AA6">
        <w:rPr>
          <w:i/>
          <w:iCs/>
          <w:lang w:val="sr-Latn-RS"/>
        </w:rPr>
        <w:t>Snapshot</w:t>
      </w:r>
      <w:r w:rsidRPr="00287AA6">
        <w:rPr>
          <w:i/>
          <w:iCs/>
          <w:lang w:val="sr-Latn-RS"/>
        </w:rPr>
        <w:t xml:space="preserve"> </w:t>
      </w:r>
      <w:r>
        <w:rPr>
          <w:lang w:val="sr-Latn-RS"/>
        </w:rPr>
        <w:t>algoritam</w:t>
      </w:r>
      <w:r w:rsidR="001375C7" w:rsidRPr="00287AA6">
        <w:rPr>
          <w:sz w:val="22"/>
          <w:szCs w:val="22"/>
          <w:lang w:val="sr-Latn-RS"/>
        </w:rPr>
        <w:t>) bio je 0,3% u grup</w:t>
      </w:r>
      <w:r>
        <w:rPr>
          <w:sz w:val="22"/>
          <w:szCs w:val="22"/>
          <w:lang w:val="sr-Latn-RS"/>
        </w:rPr>
        <w:t>i koja je primala</w:t>
      </w:r>
      <w:r w:rsidR="001375C7" w:rsidRPr="00287AA6">
        <w:rPr>
          <w:sz w:val="22"/>
          <w:szCs w:val="22"/>
          <w:lang w:val="sr-Latn-RS"/>
        </w:rPr>
        <w:t xml:space="preserve"> dolutegravir/lamivudin </w:t>
      </w:r>
      <w:r w:rsidRPr="00ED608D">
        <w:rPr>
          <w:sz w:val="22"/>
          <w:szCs w:val="22"/>
          <w:lang w:val="sr-Latn-RS"/>
        </w:rPr>
        <w:t xml:space="preserve">i 1,3% </w:t>
      </w:r>
      <w:r>
        <w:rPr>
          <w:sz w:val="22"/>
          <w:szCs w:val="22"/>
          <w:lang w:val="sr-Latn-RS"/>
        </w:rPr>
        <w:t xml:space="preserve"> u grupi koja je primala</w:t>
      </w:r>
      <w:r w:rsidR="001375C7" w:rsidRPr="00287AA6">
        <w:rPr>
          <w:sz w:val="22"/>
          <w:szCs w:val="22"/>
          <w:lang w:val="sr-Latn-RS"/>
        </w:rPr>
        <w:t xml:space="preserve"> TBR. Na osnovu </w:t>
      </w:r>
      <w:r>
        <w:rPr>
          <w:sz w:val="22"/>
          <w:szCs w:val="22"/>
          <w:lang w:val="sr-Latn-RS"/>
        </w:rPr>
        <w:t>granične vrijednosti</w:t>
      </w:r>
      <w:r w:rsidR="001375C7" w:rsidRPr="00287AA6">
        <w:rPr>
          <w:sz w:val="22"/>
          <w:szCs w:val="22"/>
          <w:lang w:val="sr-Latn-RS"/>
        </w:rPr>
        <w:t xml:space="preserve"> neinferiornosti od 4%, dolutegravir/lamivudin</w:t>
      </w:r>
      <w:r>
        <w:rPr>
          <w:sz w:val="22"/>
          <w:szCs w:val="22"/>
          <w:lang w:val="sr-Latn-RS"/>
        </w:rPr>
        <w:t xml:space="preserve">a i dalje </w:t>
      </w:r>
      <w:r w:rsidR="001375C7" w:rsidRPr="00287AA6">
        <w:rPr>
          <w:sz w:val="22"/>
          <w:szCs w:val="22"/>
          <w:lang w:val="sr-Latn-RS"/>
        </w:rPr>
        <w:t xml:space="preserve">je </w:t>
      </w:r>
      <w:r>
        <w:rPr>
          <w:sz w:val="22"/>
          <w:szCs w:val="22"/>
          <w:lang w:val="sr-Latn-RS"/>
        </w:rPr>
        <w:t>bi</w:t>
      </w:r>
      <w:r w:rsidR="001375C7" w:rsidRPr="00287AA6">
        <w:rPr>
          <w:sz w:val="22"/>
          <w:szCs w:val="22"/>
          <w:lang w:val="sr-Latn-RS"/>
        </w:rPr>
        <w:t>o neinferioran TBR</w:t>
      </w:r>
      <w:r>
        <w:rPr>
          <w:sz w:val="22"/>
          <w:szCs w:val="22"/>
          <w:lang w:val="sr-Latn-RS"/>
        </w:rPr>
        <w:t>-u</w:t>
      </w:r>
      <w:r w:rsidR="001375C7" w:rsidRPr="00287AA6">
        <w:rPr>
          <w:sz w:val="22"/>
          <w:szCs w:val="22"/>
          <w:lang w:val="sr-Latn-RS"/>
        </w:rPr>
        <w:t xml:space="preserve">, </w:t>
      </w:r>
      <w:r>
        <w:rPr>
          <w:sz w:val="22"/>
          <w:szCs w:val="22"/>
          <w:lang w:val="sr-Latn-RS"/>
        </w:rPr>
        <w:t>jer</w:t>
      </w:r>
      <w:r w:rsidR="001375C7" w:rsidRPr="00287AA6">
        <w:rPr>
          <w:sz w:val="22"/>
          <w:szCs w:val="22"/>
          <w:lang w:val="sr-Latn-RS"/>
        </w:rPr>
        <w:t xml:space="preserve"> je gornja granica </w:t>
      </w:r>
      <w:r>
        <w:rPr>
          <w:sz w:val="22"/>
          <w:szCs w:val="22"/>
          <w:lang w:val="sr-Latn-RS"/>
        </w:rPr>
        <w:t>intervala pouzdanosti</w:t>
      </w:r>
      <w:r w:rsidR="001375C7" w:rsidRPr="00287AA6">
        <w:rPr>
          <w:sz w:val="22"/>
          <w:szCs w:val="22"/>
          <w:lang w:val="sr-Latn-RS"/>
        </w:rPr>
        <w:t xml:space="preserve"> od 95% za prilagođenu razliku </w:t>
      </w:r>
      <w:r>
        <w:rPr>
          <w:sz w:val="22"/>
          <w:szCs w:val="22"/>
          <w:lang w:val="sr-Latn-RS"/>
        </w:rPr>
        <w:t>između liječenj</w:t>
      </w:r>
      <w:r w:rsidR="001375C7" w:rsidRPr="00287AA6">
        <w:rPr>
          <w:sz w:val="22"/>
          <w:szCs w:val="22"/>
          <w:lang w:val="sr-Latn-RS"/>
        </w:rPr>
        <w:t>a (-2,4%, 0,2%) bila</w:t>
      </w:r>
      <w:r w:rsidR="001375C7" w:rsidRPr="00287AA6">
        <w:rPr>
          <w:lang w:val="sr-Latn-RS"/>
        </w:rPr>
        <w:t xml:space="preserve"> manja od 4% za ITT</w:t>
      </w:r>
      <w:r w:rsidR="00580549">
        <w:rPr>
          <w:lang w:val="sr-Latn-RS"/>
        </w:rPr>
        <w:t>-</w:t>
      </w:r>
      <w:r w:rsidR="001375C7" w:rsidRPr="00287AA6">
        <w:rPr>
          <w:lang w:val="sr-Latn-RS"/>
        </w:rPr>
        <w:t xml:space="preserve">E populaciju. </w:t>
      </w:r>
    </w:p>
    <w:p w14:paraId="6ED05F1B" w14:textId="77777777" w:rsidR="001375C7" w:rsidRPr="00287AA6" w:rsidRDefault="001375C7" w:rsidP="00413968">
      <w:pPr>
        <w:jc w:val="both"/>
        <w:rPr>
          <w:lang w:val="sr-Latn-RS"/>
        </w:rPr>
      </w:pPr>
    </w:p>
    <w:p w14:paraId="4ADD8BCA" w14:textId="4104F651" w:rsidR="001375C7" w:rsidRPr="00287AA6" w:rsidRDefault="001375C7" w:rsidP="00413968">
      <w:pPr>
        <w:jc w:val="both"/>
        <w:rPr>
          <w:lang w:val="sr-Latn-RS"/>
        </w:rPr>
      </w:pPr>
      <w:r w:rsidRPr="00287AA6">
        <w:rPr>
          <w:lang w:val="sr-Latn-RS"/>
        </w:rPr>
        <w:t>Medijana prom</w:t>
      </w:r>
      <w:r w:rsidR="00580549">
        <w:rPr>
          <w:lang w:val="sr-Latn-RS"/>
        </w:rPr>
        <w:t>j</w:t>
      </w:r>
      <w:r w:rsidRPr="00287AA6">
        <w:rPr>
          <w:lang w:val="sr-Latn-RS"/>
        </w:rPr>
        <w:t>ene</w:t>
      </w:r>
      <w:r w:rsidRPr="00287AA6">
        <w:rPr>
          <w:sz w:val="22"/>
          <w:szCs w:val="22"/>
          <w:lang w:val="sr-Latn-RS"/>
        </w:rPr>
        <w:t xml:space="preserve"> </w:t>
      </w:r>
      <w:r w:rsidR="00580549">
        <w:rPr>
          <w:sz w:val="22"/>
          <w:szCs w:val="22"/>
          <w:lang w:val="sr-Latn-RS"/>
        </w:rPr>
        <w:t xml:space="preserve">broja CD4+ T ćelija </w:t>
      </w:r>
      <w:r w:rsidR="00580549" w:rsidRPr="00872EA7">
        <w:rPr>
          <w:sz w:val="22"/>
          <w:szCs w:val="22"/>
          <w:lang w:val="sr-Latn-RS"/>
        </w:rPr>
        <w:t>u 144. ned</w:t>
      </w:r>
      <w:r w:rsidR="00580549">
        <w:rPr>
          <w:sz w:val="22"/>
          <w:szCs w:val="22"/>
          <w:lang w:val="sr-Latn-RS"/>
        </w:rPr>
        <w:t>j</w:t>
      </w:r>
      <w:r w:rsidR="00580549" w:rsidRPr="00872EA7">
        <w:rPr>
          <w:sz w:val="22"/>
          <w:szCs w:val="22"/>
          <w:lang w:val="sr-Latn-RS"/>
        </w:rPr>
        <w:t xml:space="preserve">elji </w:t>
      </w:r>
      <w:r w:rsidRPr="00287AA6">
        <w:rPr>
          <w:sz w:val="22"/>
          <w:szCs w:val="22"/>
          <w:lang w:val="sr-Latn-RS"/>
        </w:rPr>
        <w:t>u odnosu na početnu vr</w:t>
      </w:r>
      <w:r w:rsidR="00580549">
        <w:rPr>
          <w:sz w:val="22"/>
          <w:szCs w:val="22"/>
          <w:lang w:val="sr-Latn-RS"/>
        </w:rPr>
        <w:t>ij</w:t>
      </w:r>
      <w:r w:rsidRPr="00287AA6">
        <w:rPr>
          <w:sz w:val="22"/>
          <w:szCs w:val="22"/>
          <w:lang w:val="sr-Latn-RS"/>
        </w:rPr>
        <w:t xml:space="preserve">ednost </w:t>
      </w:r>
      <w:r w:rsidR="00580549">
        <w:rPr>
          <w:sz w:val="22"/>
          <w:szCs w:val="22"/>
          <w:lang w:val="sr-Latn-RS"/>
        </w:rPr>
        <w:t>iznosil</w:t>
      </w:r>
      <w:r w:rsidRPr="00287AA6">
        <w:rPr>
          <w:sz w:val="22"/>
          <w:szCs w:val="22"/>
          <w:lang w:val="sr-Latn-RS"/>
        </w:rPr>
        <w:t>a je 36 ćelija/mm</w:t>
      </w:r>
      <w:r w:rsidRPr="00287AA6">
        <w:rPr>
          <w:sz w:val="22"/>
          <w:szCs w:val="22"/>
          <w:vertAlign w:val="superscript"/>
          <w:lang w:val="sr-Latn-RS"/>
        </w:rPr>
        <w:t>3</w:t>
      </w:r>
      <w:r w:rsidRPr="00287AA6">
        <w:rPr>
          <w:sz w:val="22"/>
          <w:szCs w:val="22"/>
          <w:lang w:val="sr-Latn-RS"/>
        </w:rPr>
        <w:t xml:space="preserve"> u grupi koja je primala dolutegravir/lamivudin i 35 ćelija/mm</w:t>
      </w:r>
      <w:r w:rsidRPr="00287AA6">
        <w:rPr>
          <w:sz w:val="22"/>
          <w:szCs w:val="22"/>
          <w:vertAlign w:val="superscript"/>
          <w:lang w:val="sr-Latn-RS"/>
        </w:rPr>
        <w:t>3</w:t>
      </w:r>
      <w:r w:rsidRPr="00287AA6">
        <w:rPr>
          <w:sz w:val="22"/>
          <w:szCs w:val="22"/>
          <w:lang w:val="sr-Latn-RS"/>
        </w:rPr>
        <w:t xml:space="preserve"> u </w:t>
      </w:r>
      <w:r w:rsidR="00580549">
        <w:rPr>
          <w:sz w:val="22"/>
          <w:szCs w:val="22"/>
          <w:lang w:val="sr-Latn-RS"/>
        </w:rPr>
        <w:t xml:space="preserve">grupi koja je primala </w:t>
      </w:r>
      <w:r w:rsidRPr="00287AA6">
        <w:rPr>
          <w:sz w:val="22"/>
          <w:szCs w:val="22"/>
          <w:lang w:val="sr-Latn-RS"/>
        </w:rPr>
        <w:t>TBR.</w:t>
      </w:r>
    </w:p>
    <w:p w14:paraId="3141148D" w14:textId="77777777" w:rsidR="001375C7" w:rsidRPr="007223BC" w:rsidRDefault="001375C7" w:rsidP="00805A14">
      <w:pPr>
        <w:contextualSpacing/>
        <w:jc w:val="both"/>
        <w:rPr>
          <w:sz w:val="22"/>
          <w:szCs w:val="22"/>
          <w:lang w:val="sr-Latn-RS"/>
        </w:rPr>
      </w:pPr>
    </w:p>
    <w:p w14:paraId="6220EEF1" w14:textId="77777777" w:rsidR="006C2D7B" w:rsidRPr="007223BC" w:rsidRDefault="006C2D7B">
      <w:pPr>
        <w:suppressLineNumbers/>
        <w:jc w:val="both"/>
        <w:rPr>
          <w:sz w:val="22"/>
          <w:szCs w:val="22"/>
          <w:lang w:val="sr-Latn-RS"/>
        </w:rPr>
      </w:pPr>
    </w:p>
    <w:p w14:paraId="247B75B5" w14:textId="77777777" w:rsidR="00E10C7D" w:rsidRPr="007223BC" w:rsidRDefault="00E10C7D">
      <w:pPr>
        <w:suppressLineNumbers/>
        <w:jc w:val="both"/>
        <w:rPr>
          <w:bCs/>
          <w:iCs/>
          <w:sz w:val="22"/>
          <w:szCs w:val="22"/>
          <w:u w:val="single"/>
          <w:lang w:val="sr-Latn-RS"/>
        </w:rPr>
      </w:pPr>
      <w:bookmarkStart w:id="9" w:name="_Hlk522785098"/>
      <w:r w:rsidRPr="007223BC">
        <w:rPr>
          <w:iCs/>
          <w:sz w:val="22"/>
          <w:szCs w:val="22"/>
          <w:u w:val="single"/>
          <w:lang w:val="sr-Latn-RS"/>
        </w:rPr>
        <w:t>Pedijatrijska populacija</w:t>
      </w:r>
    </w:p>
    <w:bookmarkEnd w:id="8"/>
    <w:p w14:paraId="2F5F78A5" w14:textId="77777777" w:rsidR="00E10C7D" w:rsidRPr="007223BC" w:rsidRDefault="00E10C7D">
      <w:pPr>
        <w:spacing w:before="100" w:beforeAutospacing="1" w:after="100" w:afterAutospacing="1"/>
        <w:jc w:val="both"/>
        <w:rPr>
          <w:sz w:val="22"/>
          <w:szCs w:val="22"/>
          <w:lang w:val="sr-Latn-RS" w:eastAsia="sr-Latn-RS"/>
        </w:rPr>
      </w:pPr>
      <w:r w:rsidRPr="007223BC">
        <w:rPr>
          <w:sz w:val="22"/>
          <w:szCs w:val="22"/>
          <w:lang w:val="sr-Latn-RS" w:eastAsia="sr-Latn-RS"/>
        </w:rPr>
        <w:t>Efikasnost lijeka DOVATO</w:t>
      </w:r>
      <w:r w:rsidR="00277C73" w:rsidRPr="007223BC">
        <w:rPr>
          <w:sz w:val="22"/>
          <w:szCs w:val="22"/>
          <w:lang w:val="sr-Latn-RS" w:eastAsia="sr-Latn-RS"/>
        </w:rPr>
        <w:t xml:space="preserve"> </w:t>
      </w:r>
      <w:r w:rsidRPr="007223BC">
        <w:rPr>
          <w:sz w:val="22"/>
          <w:szCs w:val="22"/>
          <w:lang w:val="sr-Latn-RS" w:eastAsia="sr-Latn-RS"/>
        </w:rPr>
        <w:t>ili dvojne kombinacije dolutegravira i lamivudina (kao posebnih ljekova) nije se ispitivala kod djece i adolescenata.</w:t>
      </w:r>
    </w:p>
    <w:p w14:paraId="7CA42E40" w14:textId="77777777" w:rsidR="00E10C7D" w:rsidRPr="007223BC" w:rsidRDefault="00E10C7D">
      <w:pPr>
        <w:spacing w:before="100" w:beforeAutospacing="1" w:after="100" w:afterAutospacing="1"/>
        <w:jc w:val="both"/>
        <w:rPr>
          <w:sz w:val="22"/>
          <w:szCs w:val="22"/>
          <w:lang w:val="sr-Latn-RS" w:eastAsia="sr-Latn-RS"/>
        </w:rPr>
      </w:pPr>
      <w:r w:rsidRPr="007223BC">
        <w:rPr>
          <w:sz w:val="22"/>
          <w:szCs w:val="22"/>
          <w:lang w:val="sr-Latn-RS" w:eastAsia="sr-Latn-RS"/>
        </w:rPr>
        <w:t>Evropska agencija za ljekove odložila je obavezu podnošenja rezultata ispitivanja lijeka DOVATO</w:t>
      </w:r>
      <w:r w:rsidR="00277C73" w:rsidRPr="007223BC">
        <w:rPr>
          <w:sz w:val="22"/>
          <w:szCs w:val="22"/>
          <w:lang w:val="sr-Latn-RS" w:eastAsia="sr-Latn-RS"/>
        </w:rPr>
        <w:t xml:space="preserve"> </w:t>
      </w:r>
      <w:r w:rsidRPr="007223BC">
        <w:rPr>
          <w:sz w:val="22"/>
          <w:szCs w:val="22"/>
          <w:lang w:val="sr-Latn-RS" w:eastAsia="sr-Latn-RS"/>
        </w:rPr>
        <w:t>u jednoj ili više podgrupa pedijatrijske populacije za liječenje HIV infekcije.</w:t>
      </w:r>
      <w:bookmarkEnd w:id="9"/>
    </w:p>
    <w:p w14:paraId="418F4510" w14:textId="77777777" w:rsidR="0072020E" w:rsidRPr="00287AA6" w:rsidRDefault="0072020E">
      <w:pPr>
        <w:tabs>
          <w:tab w:val="left" w:pos="540"/>
          <w:tab w:val="left" w:pos="569"/>
        </w:tabs>
        <w:jc w:val="both"/>
        <w:rPr>
          <w:b/>
          <w:bCs/>
          <w:sz w:val="22"/>
          <w:szCs w:val="22"/>
          <w:lang w:val="sr-Latn-RS"/>
        </w:rPr>
      </w:pPr>
      <w:r w:rsidRPr="00287AA6">
        <w:rPr>
          <w:b/>
          <w:bCs/>
          <w:sz w:val="22"/>
          <w:szCs w:val="22"/>
          <w:lang w:val="sr-Latn-RS"/>
        </w:rPr>
        <w:t xml:space="preserve">5.2. </w:t>
      </w:r>
      <w:r w:rsidR="00480FB1" w:rsidRPr="00287AA6">
        <w:rPr>
          <w:b/>
          <w:bCs/>
          <w:sz w:val="22"/>
          <w:szCs w:val="22"/>
          <w:lang w:val="sr-Latn-RS"/>
        </w:rPr>
        <w:tab/>
      </w:r>
      <w:r w:rsidRPr="00287AA6">
        <w:rPr>
          <w:b/>
          <w:bCs/>
          <w:sz w:val="22"/>
          <w:szCs w:val="22"/>
          <w:lang w:val="sr-Latn-RS"/>
        </w:rPr>
        <w:t>Farmakokinetički podaci</w:t>
      </w:r>
      <w:r w:rsidR="003A7059" w:rsidRPr="00287AA6">
        <w:rPr>
          <w:b/>
          <w:bCs/>
          <w:sz w:val="22"/>
          <w:szCs w:val="22"/>
          <w:lang w:val="sr-Latn-RS"/>
        </w:rPr>
        <w:t xml:space="preserve"> </w:t>
      </w:r>
    </w:p>
    <w:p w14:paraId="30593B60" w14:textId="77777777" w:rsidR="00277C73" w:rsidRPr="007223BC" w:rsidRDefault="00277C73">
      <w:pPr>
        <w:spacing w:before="100" w:beforeAutospacing="1" w:after="100" w:afterAutospacing="1"/>
        <w:jc w:val="both"/>
        <w:rPr>
          <w:sz w:val="22"/>
          <w:szCs w:val="22"/>
          <w:lang w:val="sr-Latn-RS" w:eastAsia="sr-Latn-RS"/>
        </w:rPr>
      </w:pPr>
      <w:r w:rsidRPr="007223BC">
        <w:rPr>
          <w:sz w:val="22"/>
          <w:szCs w:val="22"/>
          <w:lang w:val="sr-Latn-RS" w:eastAsia="sr-Latn-RS"/>
        </w:rPr>
        <w:t>Kod primjene na prazan stomak</w:t>
      </w:r>
      <w:r w:rsidR="00E57143" w:rsidRPr="007223BC">
        <w:rPr>
          <w:sz w:val="22"/>
          <w:szCs w:val="22"/>
          <w:lang w:val="sr-Latn-RS" w:eastAsia="sr-Latn-RS"/>
        </w:rPr>
        <w:t>,</w:t>
      </w:r>
      <w:r w:rsidRPr="007223BC">
        <w:rPr>
          <w:sz w:val="22"/>
          <w:szCs w:val="22"/>
          <w:lang w:val="sr-Latn-RS" w:eastAsia="sr-Latn-RS"/>
        </w:rPr>
        <w:t xml:space="preserve"> postignuta je bioekvivalentnost sa obzirom na C</w:t>
      </w:r>
      <w:r w:rsidRPr="007223BC">
        <w:rPr>
          <w:sz w:val="22"/>
          <w:szCs w:val="22"/>
          <w:vertAlign w:val="subscript"/>
          <w:lang w:val="sr-Latn-RS" w:eastAsia="sr-Latn-RS"/>
        </w:rPr>
        <w:t>max</w:t>
      </w:r>
      <w:r w:rsidRPr="007223BC">
        <w:rPr>
          <w:sz w:val="22"/>
          <w:szCs w:val="22"/>
          <w:lang w:val="sr-Latn-RS" w:eastAsia="sr-Latn-RS"/>
        </w:rPr>
        <w:t xml:space="preserve"> dolutegravira između lijeka DOVATO i dolutegravira u dozi od 50 mg primijenjenog istovremeno sa lamivudinom u dozi od 300 mg. PIK</w:t>
      </w:r>
      <w:r w:rsidRPr="007223BC">
        <w:rPr>
          <w:sz w:val="22"/>
          <w:szCs w:val="22"/>
          <w:vertAlign w:val="subscript"/>
          <w:lang w:val="sr-Latn-RS" w:eastAsia="sr-Latn-RS"/>
        </w:rPr>
        <w:t xml:space="preserve">0-t </w:t>
      </w:r>
      <w:r w:rsidRPr="007223BC">
        <w:rPr>
          <w:sz w:val="22"/>
          <w:szCs w:val="22"/>
          <w:lang w:val="sr-Latn-RS" w:eastAsia="sr-Latn-RS"/>
        </w:rPr>
        <w:t>dolutegravira bio je 16% veći kod primjene lijeka DOVATO nego kod primjene dolutegravira u dozi od 50 mg zajedno sa lamivudinom u dozi od 300 mg. Navedeno povećanje se ne smatra klinički značajnim.</w:t>
      </w:r>
    </w:p>
    <w:p w14:paraId="6A478D11" w14:textId="77777777" w:rsidR="00277C73" w:rsidRPr="007223BC" w:rsidRDefault="00277C73">
      <w:pPr>
        <w:spacing w:before="100" w:beforeAutospacing="1" w:after="100" w:afterAutospacing="1"/>
        <w:jc w:val="both"/>
        <w:rPr>
          <w:sz w:val="22"/>
          <w:szCs w:val="22"/>
          <w:lang w:val="sr-Latn-RS" w:eastAsia="sr-Latn-RS"/>
        </w:rPr>
      </w:pPr>
      <w:r w:rsidRPr="007223BC">
        <w:rPr>
          <w:sz w:val="22"/>
          <w:szCs w:val="22"/>
          <w:lang w:val="sr-Latn-RS" w:eastAsia="sr-Latn-RS"/>
        </w:rPr>
        <w:t>Kod primjene na prazan stomak</w:t>
      </w:r>
      <w:r w:rsidR="00E57143" w:rsidRPr="007223BC">
        <w:rPr>
          <w:sz w:val="22"/>
          <w:szCs w:val="22"/>
          <w:lang w:val="sr-Latn-RS" w:eastAsia="sr-Latn-RS"/>
        </w:rPr>
        <w:t>,</w:t>
      </w:r>
      <w:r w:rsidRPr="007223BC">
        <w:rPr>
          <w:sz w:val="22"/>
          <w:szCs w:val="22"/>
          <w:lang w:val="sr-Latn-RS" w:eastAsia="sr-Latn-RS"/>
        </w:rPr>
        <w:t xml:space="preserve"> postignuta je bioekvivalentnost s obzirom na PIK lamivudina između lijeka DOVATO i lamivudina u dozi od 300 mg primijenjenog istovremeno sa dolutegravirom u dozi od 50 mg. C</w:t>
      </w:r>
      <w:r w:rsidRPr="007223BC">
        <w:rPr>
          <w:sz w:val="22"/>
          <w:szCs w:val="22"/>
          <w:vertAlign w:val="subscript"/>
          <w:lang w:val="sr-Latn-RS" w:eastAsia="sr-Latn-RS"/>
        </w:rPr>
        <w:t>max</w:t>
      </w:r>
      <w:r w:rsidRPr="007223BC">
        <w:rPr>
          <w:sz w:val="22"/>
          <w:szCs w:val="22"/>
          <w:lang w:val="sr-Latn-RS" w:eastAsia="sr-Latn-RS"/>
        </w:rPr>
        <w:t xml:space="preserve"> lamivudina bio je 32% veći kod primjene lijeka DOVATO nego kod primjene lamivudina u dozi od 300 mg zajedno sa dolutegravirom u dozi od 50 mg. Veći C</w:t>
      </w:r>
      <w:r w:rsidRPr="007223BC">
        <w:rPr>
          <w:sz w:val="22"/>
          <w:szCs w:val="22"/>
          <w:vertAlign w:val="subscript"/>
          <w:lang w:val="sr-Latn-RS" w:eastAsia="sr-Latn-RS"/>
        </w:rPr>
        <w:t>max</w:t>
      </w:r>
      <w:r w:rsidRPr="007223BC">
        <w:rPr>
          <w:sz w:val="22"/>
          <w:szCs w:val="22"/>
          <w:lang w:val="sr-Latn-RS" w:eastAsia="sr-Latn-RS"/>
        </w:rPr>
        <w:t xml:space="preserve"> lamivudina ne smatra se klinički značajnim.</w:t>
      </w:r>
    </w:p>
    <w:p w14:paraId="55FBB20C" w14:textId="77777777" w:rsidR="00277C73" w:rsidRPr="007223BC" w:rsidRDefault="00E57143">
      <w:pPr>
        <w:jc w:val="both"/>
        <w:rPr>
          <w:iCs/>
          <w:noProof/>
          <w:sz w:val="22"/>
          <w:szCs w:val="22"/>
          <w:u w:val="single"/>
          <w:lang w:val="sr-Latn-RS"/>
        </w:rPr>
      </w:pPr>
      <w:r w:rsidRPr="007223BC">
        <w:rPr>
          <w:iCs/>
          <w:noProof/>
          <w:sz w:val="22"/>
          <w:szCs w:val="22"/>
          <w:u w:val="single"/>
          <w:lang w:val="sr-Latn-RS"/>
        </w:rPr>
        <w:t xml:space="preserve">Resorpcija </w:t>
      </w:r>
    </w:p>
    <w:p w14:paraId="33EA4D47" w14:textId="5E27C601" w:rsidR="00277C73" w:rsidRPr="007223BC" w:rsidRDefault="00277C73">
      <w:pPr>
        <w:spacing w:before="100" w:beforeAutospacing="1" w:after="100" w:afterAutospacing="1"/>
        <w:jc w:val="both"/>
        <w:rPr>
          <w:sz w:val="22"/>
          <w:szCs w:val="22"/>
          <w:lang w:val="sr-Latn-RS" w:eastAsia="sr-Latn-RS"/>
        </w:rPr>
      </w:pPr>
      <w:r w:rsidRPr="007223BC">
        <w:rPr>
          <w:sz w:val="22"/>
          <w:szCs w:val="22"/>
          <w:lang w:val="sr-Latn-RS" w:eastAsia="sr-Latn-RS"/>
        </w:rPr>
        <w:t xml:space="preserve">Dolutegravir i lamivudin </w:t>
      </w:r>
      <w:r w:rsidR="00EC203C" w:rsidRPr="007223BC">
        <w:rPr>
          <w:sz w:val="22"/>
          <w:szCs w:val="22"/>
          <w:lang w:val="sr-Latn-RS" w:eastAsia="sr-Latn-RS"/>
        </w:rPr>
        <w:t xml:space="preserve">se </w:t>
      </w:r>
      <w:r w:rsidRPr="007223BC">
        <w:rPr>
          <w:sz w:val="22"/>
          <w:szCs w:val="22"/>
          <w:lang w:val="sr-Latn-RS" w:eastAsia="sr-Latn-RS"/>
        </w:rPr>
        <w:t xml:space="preserve">brzo </w:t>
      </w:r>
      <w:r w:rsidR="00EC203C" w:rsidRPr="007223BC">
        <w:rPr>
          <w:sz w:val="22"/>
          <w:szCs w:val="22"/>
          <w:lang w:val="sr-Latn-RS" w:eastAsia="sr-Latn-RS"/>
        </w:rPr>
        <w:t xml:space="preserve">resorbuju </w:t>
      </w:r>
      <w:r w:rsidRPr="007223BC">
        <w:rPr>
          <w:sz w:val="22"/>
          <w:szCs w:val="22"/>
          <w:lang w:val="sr-Latn-RS" w:eastAsia="sr-Latn-RS"/>
        </w:rPr>
        <w:t>nakon oralne primjene. Apsolutna bioraspoloživost dolutegravira nije ustanovljena. Apsolutna bioraspoloživost oralno primijenjenog lamivudina kod odraslih iznosi približno 80 - 85%. Kod primjene lijeka DOVATO</w:t>
      </w:r>
      <w:r w:rsidR="00EC203C" w:rsidRPr="007223BC">
        <w:rPr>
          <w:sz w:val="22"/>
          <w:szCs w:val="22"/>
          <w:lang w:val="sr-Latn-RS" w:eastAsia="sr-Latn-RS"/>
        </w:rPr>
        <w:t>,</w:t>
      </w:r>
      <w:r w:rsidRPr="007223BC">
        <w:rPr>
          <w:sz w:val="22"/>
          <w:szCs w:val="22"/>
          <w:lang w:val="sr-Latn-RS" w:eastAsia="sr-Latn-RS"/>
        </w:rPr>
        <w:t xml:space="preserve"> medijana vremena do postizanja maksimalne koncentracije plazme (t</w:t>
      </w:r>
      <w:r w:rsidRPr="007223BC">
        <w:rPr>
          <w:sz w:val="22"/>
          <w:szCs w:val="22"/>
          <w:vertAlign w:val="subscript"/>
          <w:lang w:val="sr-Latn-RS" w:eastAsia="sr-Latn-RS"/>
        </w:rPr>
        <w:t>max</w:t>
      </w:r>
      <w:r w:rsidRPr="007223BC">
        <w:rPr>
          <w:sz w:val="22"/>
          <w:szCs w:val="22"/>
          <w:lang w:val="sr-Latn-RS" w:eastAsia="sr-Latn-RS"/>
        </w:rPr>
        <w:t>) iznosi 2,5 sati za dolutegravir i 1,0 sati za lamivudin, kada se lijek primjenjuje na prazan stomak.</w:t>
      </w:r>
    </w:p>
    <w:p w14:paraId="3EA36B3E" w14:textId="32EDF15C" w:rsidR="00277C73" w:rsidRPr="007223BC" w:rsidRDefault="00277C73">
      <w:pPr>
        <w:spacing w:before="100" w:beforeAutospacing="1" w:after="100" w:afterAutospacing="1"/>
        <w:jc w:val="both"/>
        <w:rPr>
          <w:sz w:val="22"/>
          <w:szCs w:val="22"/>
          <w:lang w:val="sr-Latn-RS" w:eastAsia="sr-Latn-RS"/>
        </w:rPr>
      </w:pPr>
      <w:r w:rsidRPr="007223BC">
        <w:rPr>
          <w:sz w:val="22"/>
          <w:szCs w:val="22"/>
          <w:lang w:val="sr-Latn-RS" w:eastAsia="sr-Latn-RS"/>
        </w:rPr>
        <w:t xml:space="preserve">Izloženost dolutegraviru u osnovi je bila slična kod zdravih ispitanika i ispitanika s HIV-1 infekcijom. Nakon primjene dolutegravira u dozi od 50 mg jednom dnevno kod odraslih ispitanika sa HIV-1 infekcijom, farmakokinetički parametri u stanju dinamičke ravnoteže (geometrijska srednja vrijednost </w:t>
      </w:r>
      <w:r w:rsidRPr="007223BC">
        <w:rPr>
          <w:sz w:val="22"/>
          <w:szCs w:val="22"/>
          <w:lang w:val="sr-Latn-RS" w:eastAsia="sr-Latn-RS"/>
        </w:rPr>
        <w:lastRenderedPageBreak/>
        <w:t>[% koeficijenta varijacije - CV]) utvrđeni na osnovu populacione farmakokinetičke analize bili su sljedeći: PIK</w:t>
      </w:r>
      <w:r w:rsidRPr="007223BC">
        <w:rPr>
          <w:sz w:val="22"/>
          <w:szCs w:val="22"/>
          <w:vertAlign w:val="subscript"/>
          <w:lang w:val="sr-Latn-RS" w:eastAsia="sr-Latn-RS"/>
        </w:rPr>
        <w:t>(0-24)</w:t>
      </w:r>
      <w:r w:rsidRPr="007223BC">
        <w:rPr>
          <w:sz w:val="22"/>
          <w:szCs w:val="22"/>
          <w:lang w:val="sr-Latn-RS" w:eastAsia="sr-Latn-RS"/>
        </w:rPr>
        <w:t xml:space="preserve"> = 53,6 (27) µg.h/m</w:t>
      </w:r>
      <w:r w:rsidR="00B412CB">
        <w:rPr>
          <w:sz w:val="22"/>
          <w:szCs w:val="22"/>
          <w:lang w:val="sr-Latn-RS" w:eastAsia="sr-Latn-RS"/>
        </w:rPr>
        <w:t>l</w:t>
      </w:r>
      <w:r w:rsidRPr="007223BC">
        <w:rPr>
          <w:sz w:val="22"/>
          <w:szCs w:val="22"/>
          <w:lang w:val="sr-Latn-RS" w:eastAsia="sr-Latn-RS"/>
        </w:rPr>
        <w:t>, C</w:t>
      </w:r>
      <w:r w:rsidRPr="007223BC">
        <w:rPr>
          <w:sz w:val="22"/>
          <w:szCs w:val="22"/>
          <w:vertAlign w:val="subscript"/>
          <w:lang w:val="sr-Latn-RS" w:eastAsia="sr-Latn-RS"/>
        </w:rPr>
        <w:t>max</w:t>
      </w:r>
      <w:r w:rsidRPr="007223BC">
        <w:rPr>
          <w:sz w:val="22"/>
          <w:szCs w:val="22"/>
          <w:lang w:val="sr-Latn-RS" w:eastAsia="sr-Latn-RS"/>
        </w:rPr>
        <w:t xml:space="preserve"> = 3,67 (20) µg/m</w:t>
      </w:r>
      <w:r w:rsidR="00B412CB">
        <w:rPr>
          <w:sz w:val="22"/>
          <w:szCs w:val="22"/>
          <w:lang w:val="sr-Latn-RS" w:eastAsia="sr-Latn-RS"/>
        </w:rPr>
        <w:t>l</w:t>
      </w:r>
      <w:r w:rsidRPr="007223BC">
        <w:rPr>
          <w:sz w:val="22"/>
          <w:szCs w:val="22"/>
          <w:lang w:val="sr-Latn-RS" w:eastAsia="sr-Latn-RS"/>
        </w:rPr>
        <w:t xml:space="preserve"> i C</w:t>
      </w:r>
      <w:r w:rsidRPr="007223BC">
        <w:rPr>
          <w:sz w:val="22"/>
          <w:szCs w:val="22"/>
          <w:vertAlign w:val="subscript"/>
          <w:lang w:val="sr-Latn-RS" w:eastAsia="sr-Latn-RS"/>
        </w:rPr>
        <w:t>min</w:t>
      </w:r>
      <w:r w:rsidRPr="007223BC">
        <w:rPr>
          <w:sz w:val="22"/>
          <w:szCs w:val="22"/>
          <w:lang w:val="sr-Latn-RS" w:eastAsia="sr-Latn-RS"/>
        </w:rPr>
        <w:t xml:space="preserve"> = 1,11 (46) µg/m</w:t>
      </w:r>
      <w:r w:rsidR="00B412CB">
        <w:rPr>
          <w:sz w:val="22"/>
          <w:szCs w:val="22"/>
          <w:lang w:val="sr-Latn-RS" w:eastAsia="sr-Latn-RS"/>
        </w:rPr>
        <w:t>l</w:t>
      </w:r>
      <w:r w:rsidRPr="007223BC">
        <w:rPr>
          <w:sz w:val="22"/>
          <w:szCs w:val="22"/>
          <w:lang w:val="sr-Latn-RS" w:eastAsia="sr-Latn-RS"/>
        </w:rPr>
        <w:t>. Nakon oralne primjene višekratnih doza lamivudina od 300 mg jednom dnevno u periodu od sedam dana, srednja vrijednost (CV) C</w:t>
      </w:r>
      <w:r w:rsidRPr="007223BC">
        <w:rPr>
          <w:sz w:val="22"/>
          <w:szCs w:val="22"/>
          <w:vertAlign w:val="subscript"/>
          <w:lang w:val="sr-Latn-RS" w:eastAsia="sr-Latn-RS"/>
        </w:rPr>
        <w:t>max</w:t>
      </w:r>
      <w:r w:rsidRPr="007223BC">
        <w:rPr>
          <w:sz w:val="22"/>
          <w:szCs w:val="22"/>
          <w:lang w:val="sr-Latn-RS" w:eastAsia="sr-Latn-RS"/>
        </w:rPr>
        <w:t xml:space="preserve"> u stanju dinamičke ravnoteže iznosi 2,04 µg/m</w:t>
      </w:r>
      <w:r w:rsidR="00B412CB">
        <w:rPr>
          <w:sz w:val="22"/>
          <w:szCs w:val="22"/>
          <w:lang w:val="sr-Latn-RS" w:eastAsia="sr-Latn-RS"/>
        </w:rPr>
        <w:t>l</w:t>
      </w:r>
      <w:r w:rsidRPr="007223BC">
        <w:rPr>
          <w:sz w:val="22"/>
          <w:szCs w:val="22"/>
          <w:lang w:val="sr-Latn-RS" w:eastAsia="sr-Latn-RS"/>
        </w:rPr>
        <w:t xml:space="preserve"> (26%), a srednja vrijednost (CV) PIK</w:t>
      </w:r>
      <w:r w:rsidRPr="007223BC">
        <w:rPr>
          <w:sz w:val="22"/>
          <w:szCs w:val="22"/>
          <w:vertAlign w:val="subscript"/>
          <w:lang w:val="sr-Latn-RS" w:eastAsia="sr-Latn-RS"/>
        </w:rPr>
        <w:t>(0-24)</w:t>
      </w:r>
      <w:r w:rsidRPr="007223BC">
        <w:rPr>
          <w:sz w:val="22"/>
          <w:szCs w:val="22"/>
          <w:lang w:val="sr-Latn-RS" w:eastAsia="sr-Latn-RS"/>
        </w:rPr>
        <w:t xml:space="preserve"> 8,87 µg.h/m</w:t>
      </w:r>
      <w:r w:rsidR="00B412CB">
        <w:rPr>
          <w:sz w:val="22"/>
          <w:szCs w:val="22"/>
          <w:lang w:val="sr-Latn-RS" w:eastAsia="sr-Latn-RS"/>
        </w:rPr>
        <w:t>l</w:t>
      </w:r>
      <w:r w:rsidRPr="007223BC">
        <w:rPr>
          <w:sz w:val="22"/>
          <w:szCs w:val="22"/>
          <w:lang w:val="sr-Latn-RS" w:eastAsia="sr-Latn-RS"/>
        </w:rPr>
        <w:t xml:space="preserve"> (21%).</w:t>
      </w:r>
    </w:p>
    <w:p w14:paraId="1E560A2F" w14:textId="77777777" w:rsidR="0072020E" w:rsidRPr="007223BC" w:rsidRDefault="00277C73">
      <w:pPr>
        <w:spacing w:before="100" w:beforeAutospacing="1" w:after="100" w:afterAutospacing="1"/>
        <w:jc w:val="both"/>
        <w:rPr>
          <w:sz w:val="22"/>
          <w:szCs w:val="22"/>
          <w:lang w:val="sr-Latn-RS" w:eastAsia="sr-Latn-RS"/>
        </w:rPr>
      </w:pPr>
      <w:r w:rsidRPr="007223BC">
        <w:rPr>
          <w:sz w:val="22"/>
          <w:szCs w:val="22"/>
          <w:lang w:val="sr-Latn-RS" w:eastAsia="sr-Latn-RS"/>
        </w:rPr>
        <w:t>Nakon primjene jedne tablete lijeka DOVATO uz obrok sa visokim procentom masti</w:t>
      </w:r>
      <w:r w:rsidR="00273040" w:rsidRPr="007223BC">
        <w:rPr>
          <w:sz w:val="22"/>
          <w:szCs w:val="22"/>
          <w:lang w:val="sr-Latn-RS" w:eastAsia="sr-Latn-RS"/>
        </w:rPr>
        <w:t>,</w:t>
      </w:r>
      <w:r w:rsidRPr="007223BC">
        <w:rPr>
          <w:sz w:val="22"/>
          <w:szCs w:val="22"/>
          <w:lang w:val="sr-Latn-RS" w:eastAsia="sr-Latn-RS"/>
        </w:rPr>
        <w:t xml:space="preserve"> PIK</w:t>
      </w:r>
      <w:r w:rsidRPr="007223BC">
        <w:rPr>
          <w:sz w:val="22"/>
          <w:szCs w:val="22"/>
          <w:vertAlign w:val="subscript"/>
          <w:lang w:val="sr-Latn-RS" w:eastAsia="sr-Latn-RS"/>
        </w:rPr>
        <w:t>(0-∞)</w:t>
      </w:r>
      <w:r w:rsidRPr="007223BC">
        <w:rPr>
          <w:sz w:val="22"/>
          <w:szCs w:val="22"/>
          <w:lang w:val="sr-Latn-RS" w:eastAsia="sr-Latn-RS"/>
        </w:rPr>
        <w:t xml:space="preserve"> i C</w:t>
      </w:r>
      <w:r w:rsidRPr="007223BC">
        <w:rPr>
          <w:sz w:val="22"/>
          <w:szCs w:val="22"/>
          <w:vertAlign w:val="subscript"/>
          <w:lang w:val="sr-Latn-RS" w:eastAsia="sr-Latn-RS"/>
        </w:rPr>
        <w:t>max</w:t>
      </w:r>
      <w:r w:rsidRPr="007223BC">
        <w:rPr>
          <w:sz w:val="22"/>
          <w:szCs w:val="22"/>
          <w:lang w:val="sr-Latn-RS" w:eastAsia="sr-Latn-RS"/>
        </w:rPr>
        <w:t xml:space="preserve"> dolutegravira povećali su se za 33% odnosno 21%, dok se C</w:t>
      </w:r>
      <w:r w:rsidRPr="007223BC">
        <w:rPr>
          <w:sz w:val="22"/>
          <w:szCs w:val="22"/>
          <w:vertAlign w:val="subscript"/>
          <w:lang w:val="sr-Latn-RS" w:eastAsia="sr-Latn-RS"/>
        </w:rPr>
        <w:t>max</w:t>
      </w:r>
      <w:r w:rsidRPr="007223BC">
        <w:rPr>
          <w:sz w:val="22"/>
          <w:szCs w:val="22"/>
          <w:lang w:val="sr-Latn-RS" w:eastAsia="sr-Latn-RS"/>
        </w:rPr>
        <w:t xml:space="preserve"> lamivudina smanjio za 30% u odnosu na primjenu na prazan stomak. Obrok sa velikim procentom masti nije uticao na PIK</w:t>
      </w:r>
      <w:r w:rsidRPr="007223BC">
        <w:rPr>
          <w:sz w:val="22"/>
          <w:szCs w:val="22"/>
          <w:vertAlign w:val="subscript"/>
          <w:lang w:val="sr-Latn-RS" w:eastAsia="sr-Latn-RS"/>
        </w:rPr>
        <w:t>(0-∞)</w:t>
      </w:r>
      <w:r w:rsidRPr="007223BC">
        <w:rPr>
          <w:sz w:val="22"/>
          <w:szCs w:val="22"/>
          <w:lang w:val="sr-Latn-RS" w:eastAsia="sr-Latn-RS"/>
        </w:rPr>
        <w:t xml:space="preserve"> lamivudina. Navedene promjene nijesu klinički značajne. Lijek DOVATO se može primjenjivati sa hranom ili bez nje.</w:t>
      </w:r>
    </w:p>
    <w:p w14:paraId="65D16CB0" w14:textId="77777777" w:rsidR="007452F8" w:rsidRPr="007223BC" w:rsidRDefault="007452F8">
      <w:pPr>
        <w:numPr>
          <w:ilvl w:val="12"/>
          <w:numId w:val="0"/>
        </w:numPr>
        <w:suppressLineNumbers/>
        <w:ind w:right="-2"/>
        <w:jc w:val="both"/>
        <w:rPr>
          <w:iCs/>
          <w:noProof/>
          <w:sz w:val="22"/>
          <w:szCs w:val="22"/>
          <w:u w:val="single"/>
          <w:lang w:val="sr-Latn-RS"/>
        </w:rPr>
      </w:pPr>
      <w:r w:rsidRPr="007223BC">
        <w:rPr>
          <w:iCs/>
          <w:noProof/>
          <w:sz w:val="22"/>
          <w:szCs w:val="22"/>
          <w:u w:val="single"/>
          <w:lang w:val="sr-Latn-RS"/>
        </w:rPr>
        <w:t>Distribucija</w:t>
      </w:r>
    </w:p>
    <w:p w14:paraId="2E437DF2" w14:textId="77777777" w:rsidR="007452F8" w:rsidRPr="007223BC" w:rsidRDefault="007452F8">
      <w:pPr>
        <w:spacing w:before="100" w:beforeAutospacing="1" w:after="100" w:afterAutospacing="1"/>
        <w:jc w:val="both"/>
        <w:rPr>
          <w:sz w:val="22"/>
          <w:szCs w:val="22"/>
          <w:lang w:val="sr-Latn-RS" w:eastAsia="sr-Latn-RS"/>
        </w:rPr>
      </w:pPr>
      <w:r w:rsidRPr="007223BC">
        <w:rPr>
          <w:sz w:val="22"/>
          <w:szCs w:val="22"/>
          <w:lang w:val="sr-Latn-RS" w:eastAsia="sr-Latn-RS"/>
        </w:rPr>
        <w:t>Prividni volumen distribucije dolutegravira (Vd/F) iznosi 17 - 20 L. U ispitivanjima intravenske primjene utvrđeno je da srednja vrijednost prividnog volumena distribucije lamivudina iznosi 1,3 l/kg.</w:t>
      </w:r>
    </w:p>
    <w:p w14:paraId="6E4376DE" w14:textId="77777777" w:rsidR="007452F8" w:rsidRPr="007223BC" w:rsidRDefault="007452F8">
      <w:pPr>
        <w:spacing w:before="100" w:beforeAutospacing="1" w:after="100" w:afterAutospacing="1"/>
        <w:jc w:val="both"/>
        <w:rPr>
          <w:sz w:val="22"/>
          <w:szCs w:val="22"/>
          <w:lang w:val="sr-Latn-RS" w:eastAsia="sr-Latn-RS"/>
        </w:rPr>
      </w:pPr>
      <w:r w:rsidRPr="007223BC">
        <w:rPr>
          <w:i/>
          <w:sz w:val="22"/>
          <w:szCs w:val="22"/>
          <w:lang w:val="sr-Latn-RS" w:eastAsia="sr-Latn-RS"/>
        </w:rPr>
        <w:t>In vitro</w:t>
      </w:r>
      <w:r w:rsidRPr="007223BC">
        <w:rPr>
          <w:sz w:val="22"/>
          <w:szCs w:val="22"/>
          <w:lang w:val="sr-Latn-RS" w:eastAsia="sr-Latn-RS"/>
        </w:rPr>
        <w:t xml:space="preserve"> podaci pokazuju da se dolutegravir u velikoj mjeri (&gt; 99%) vezuje za proteine u ljudskoj plazmi. Vezivanje dolutegravira za proteine plazme ne zavisi od koncentracije dolutegravira. Ukupni odnos koncentracije radioaktivnosti povezane sa lijekom u krvi i plazmi u prosjeku se kretao između 0,441 i 0,535, što ukazuje na minimalnu povezanost radioaktivnosti sa krvnim ćelijama. Udio nevezanog dolutegravira u plazmi povećava se pri niskim nivoima albumina u serumu (&lt; 35 g/L), što je primijećeno kod ispitanika sa umjerenim oštećenjem funkcije jetre. Lamivudin pokazuje linearnu farmakokinetiku u rasponu terapijskih doza i u ograničenoj mjeri se vezuje za proteine plazme </w:t>
      </w:r>
      <w:r w:rsidRPr="007223BC">
        <w:rPr>
          <w:i/>
          <w:iCs/>
          <w:sz w:val="22"/>
          <w:szCs w:val="22"/>
          <w:lang w:val="sr-Latn-RS" w:eastAsia="sr-Latn-RS"/>
        </w:rPr>
        <w:t>in vitro</w:t>
      </w:r>
      <w:r w:rsidRPr="007223BC">
        <w:rPr>
          <w:sz w:val="22"/>
          <w:szCs w:val="22"/>
          <w:lang w:val="sr-Latn-RS" w:eastAsia="sr-Latn-RS"/>
        </w:rPr>
        <w:t xml:space="preserve"> (&lt; 16% - 36% veže se za albumin u serumu).</w:t>
      </w:r>
    </w:p>
    <w:p w14:paraId="2D340734" w14:textId="6D511E80" w:rsidR="007452F8" w:rsidRPr="007223BC" w:rsidRDefault="007452F8">
      <w:pPr>
        <w:spacing w:before="100" w:beforeAutospacing="1" w:after="100" w:afterAutospacing="1"/>
        <w:jc w:val="both"/>
        <w:rPr>
          <w:sz w:val="22"/>
          <w:szCs w:val="22"/>
          <w:lang w:val="sr-Latn-RS" w:eastAsia="sr-Latn-RS"/>
        </w:rPr>
      </w:pPr>
      <w:r w:rsidRPr="007223BC">
        <w:rPr>
          <w:sz w:val="22"/>
          <w:szCs w:val="22"/>
          <w:lang w:val="sr-Latn-RS" w:eastAsia="sr-Latn-RS"/>
        </w:rPr>
        <w:t xml:space="preserve">Dolutegravir i lamivudin </w:t>
      </w:r>
      <w:r w:rsidR="00273040" w:rsidRPr="007223BC">
        <w:rPr>
          <w:sz w:val="22"/>
          <w:szCs w:val="22"/>
          <w:lang w:val="sr-Latn-RS" w:eastAsia="sr-Latn-RS"/>
        </w:rPr>
        <w:t xml:space="preserve">su </w:t>
      </w:r>
      <w:r w:rsidRPr="007223BC">
        <w:rPr>
          <w:sz w:val="22"/>
          <w:szCs w:val="22"/>
          <w:lang w:val="sr-Latn-RS" w:eastAsia="sr-Latn-RS"/>
        </w:rPr>
        <w:t>pronađeni u cerebrospinalnoj tečnosti. Kod 13 prethodno neliječenih ispitanika koji su liječeni stabilnim režimom koji je uključivao dolutegravir u kombinaciji sa abakavirom/lamivudinom, koncentracije dolutegravira u cerebrospinalnoj tečnosti prosječno su iznosile 18 ng/m</w:t>
      </w:r>
      <w:r w:rsidR="00B412CB">
        <w:rPr>
          <w:sz w:val="22"/>
          <w:szCs w:val="22"/>
          <w:lang w:val="sr-Latn-RS" w:eastAsia="sr-Latn-RS"/>
        </w:rPr>
        <w:t>l</w:t>
      </w:r>
      <w:r w:rsidRPr="007223BC">
        <w:rPr>
          <w:sz w:val="22"/>
          <w:szCs w:val="22"/>
          <w:lang w:val="sr-Latn-RS" w:eastAsia="sr-Latn-RS"/>
        </w:rPr>
        <w:t xml:space="preserve"> (u poređenju sa koncentracijama nevezanog lijeka u plazmi i iznad vrijednosti IC</w:t>
      </w:r>
      <w:r w:rsidRPr="007223BC">
        <w:rPr>
          <w:sz w:val="22"/>
          <w:szCs w:val="22"/>
          <w:vertAlign w:val="subscript"/>
          <w:lang w:val="sr-Latn-RS" w:eastAsia="sr-Latn-RS"/>
        </w:rPr>
        <w:t>50</w:t>
      </w:r>
      <w:r w:rsidRPr="007223BC">
        <w:rPr>
          <w:sz w:val="22"/>
          <w:szCs w:val="22"/>
          <w:lang w:val="sr-Latn-RS" w:eastAsia="sr-Latn-RS"/>
        </w:rPr>
        <w:t>). Srednja vrijednost odnosa koncentracija lamivudina u cerebrospinalnoj tečnosti i serumu 2 - 4 sata nakon oralne primjene iznosila je približno 12%. Stvarni opseg prodiranja lamivudina u centralni nervni sistem i njegova povezanost sa kliničkom efikasnošću nijesu poznati.</w:t>
      </w:r>
    </w:p>
    <w:p w14:paraId="400526BD" w14:textId="77777777" w:rsidR="007452F8" w:rsidRPr="007223BC" w:rsidRDefault="007452F8">
      <w:pPr>
        <w:spacing w:before="100" w:beforeAutospacing="1" w:after="100" w:afterAutospacing="1"/>
        <w:jc w:val="both"/>
        <w:rPr>
          <w:sz w:val="22"/>
          <w:szCs w:val="22"/>
          <w:lang w:val="sr-Latn-RS" w:eastAsia="sr-Latn-RS"/>
        </w:rPr>
      </w:pPr>
      <w:r w:rsidRPr="007223BC">
        <w:rPr>
          <w:sz w:val="22"/>
          <w:szCs w:val="22"/>
          <w:lang w:val="sr-Latn-RS" w:eastAsia="sr-Latn-RS"/>
        </w:rPr>
        <w:t xml:space="preserve">Dolutegravir je pronađen u </w:t>
      </w:r>
      <w:r w:rsidR="00EA34F6" w:rsidRPr="007223BC">
        <w:rPr>
          <w:sz w:val="22"/>
          <w:szCs w:val="22"/>
          <w:lang w:val="sr-Latn-RS" w:eastAsia="sr-Latn-RS"/>
        </w:rPr>
        <w:t xml:space="preserve">genitalnom traktu </w:t>
      </w:r>
      <w:r w:rsidRPr="007223BC">
        <w:rPr>
          <w:sz w:val="22"/>
          <w:szCs w:val="22"/>
          <w:lang w:val="sr-Latn-RS" w:eastAsia="sr-Latn-RS"/>
        </w:rPr>
        <w:t xml:space="preserve">žena i muškaraca. PIK u cervikovaginalnoj tečnosti, cervikalnom tkivu i vaginalnom tkivu iznosio je 6 - 10% odgovarajuće vrijednosti u plazmi u stanju dinamičke ravnoteže. PIK je u </w:t>
      </w:r>
      <w:r w:rsidR="00EA34F6" w:rsidRPr="007223BC">
        <w:rPr>
          <w:sz w:val="22"/>
          <w:szCs w:val="22"/>
          <w:lang w:val="sr-Latn-RS" w:eastAsia="sr-Latn-RS"/>
        </w:rPr>
        <w:t xml:space="preserve">spermi </w:t>
      </w:r>
      <w:r w:rsidRPr="007223BC">
        <w:rPr>
          <w:sz w:val="22"/>
          <w:szCs w:val="22"/>
          <w:lang w:val="sr-Latn-RS" w:eastAsia="sr-Latn-RS"/>
        </w:rPr>
        <w:t>iznosio 7%, a u rektalnom tkivu 17% odgovarajuće vrijednosti u plazmi u stanju dinamičke ravnoteže.</w:t>
      </w:r>
    </w:p>
    <w:p w14:paraId="20ABFA20" w14:textId="77777777" w:rsidR="007452F8" w:rsidRPr="007223BC" w:rsidRDefault="007452F8">
      <w:pPr>
        <w:numPr>
          <w:ilvl w:val="12"/>
          <w:numId w:val="0"/>
        </w:numPr>
        <w:suppressLineNumbers/>
        <w:ind w:right="-2"/>
        <w:jc w:val="both"/>
        <w:rPr>
          <w:iCs/>
          <w:noProof/>
          <w:sz w:val="22"/>
          <w:szCs w:val="22"/>
          <w:u w:val="single"/>
          <w:lang w:val="sr-Latn-RS"/>
        </w:rPr>
      </w:pPr>
      <w:r w:rsidRPr="007223BC">
        <w:rPr>
          <w:iCs/>
          <w:noProof/>
          <w:sz w:val="22"/>
          <w:szCs w:val="22"/>
          <w:u w:val="single"/>
          <w:lang w:val="sr-Latn-RS"/>
        </w:rPr>
        <w:t>Biotransformacija</w:t>
      </w:r>
    </w:p>
    <w:p w14:paraId="00A772D3" w14:textId="77777777" w:rsidR="007452F8" w:rsidRPr="007223BC" w:rsidRDefault="007452F8">
      <w:pPr>
        <w:spacing w:before="100" w:beforeAutospacing="1" w:after="100" w:afterAutospacing="1"/>
        <w:jc w:val="both"/>
        <w:rPr>
          <w:sz w:val="22"/>
          <w:szCs w:val="22"/>
          <w:lang w:val="sr-Latn-RS" w:eastAsia="sr-Latn-RS"/>
        </w:rPr>
      </w:pPr>
      <w:r w:rsidRPr="007223BC">
        <w:rPr>
          <w:sz w:val="22"/>
          <w:szCs w:val="22"/>
          <w:lang w:val="sr-Latn-RS" w:eastAsia="sr-Latn-RS"/>
        </w:rPr>
        <w:t xml:space="preserve">Dolutegravir se primarno metaboliše posredstvom UGT1A1, a manjim dijelom posredstvom CYP3A (9,7% ukupne doze primijenjene u ispitivanju ravnoteže mase kod ljudi). Dolutegravir je glavni cirkulirajući sastojak u plazmi; eliminacija aktivne supstance u nepromijenjenom obliku kroz bubrege je niska (&lt; 1% doze). Pedeset i tri posto ukupne oralne doze izlučuje se u nepromijenjenom obliku putem fecesa. Nije poznato da li je sve ili samo dio toga posljedica </w:t>
      </w:r>
      <w:r w:rsidR="004B771C" w:rsidRPr="007223BC">
        <w:rPr>
          <w:sz w:val="22"/>
          <w:szCs w:val="22"/>
          <w:lang w:val="sr-Latn-RS" w:eastAsia="sr-Latn-RS"/>
        </w:rPr>
        <w:t xml:space="preserve">neresorpcije </w:t>
      </w:r>
      <w:r w:rsidRPr="007223BC">
        <w:rPr>
          <w:sz w:val="22"/>
          <w:szCs w:val="22"/>
          <w:lang w:val="sr-Latn-RS" w:eastAsia="sr-Latn-RS"/>
        </w:rPr>
        <w:t>aktivne supstance ili izlučivanja glukuronidacijskog konjugata u žuč, koji se u lumenu crijeva može dalje razgraditi i činiti prethodno jedinjenje. Trideset i dva posto ukupne oralne doze izlučuje se kroz mokraću u obliku eter-glukuronida dolutegravira (18,9% ukupne doze), metabolita dobivenog N-dealkilacijom (3,6% ukupne doze) i metabolita koji nastaje oksidacijom na benzilnom atomu ugljenika (3,0% ukupne doze).</w:t>
      </w:r>
    </w:p>
    <w:p w14:paraId="32ECA9EC" w14:textId="77777777" w:rsidR="007452F8" w:rsidRPr="007223BC" w:rsidRDefault="007452F8">
      <w:pPr>
        <w:spacing w:before="100" w:beforeAutospacing="1" w:after="100" w:afterAutospacing="1"/>
        <w:jc w:val="both"/>
        <w:rPr>
          <w:sz w:val="22"/>
          <w:szCs w:val="22"/>
          <w:lang w:val="sr-Latn-RS" w:eastAsia="sr-Latn-RS"/>
        </w:rPr>
      </w:pPr>
      <w:r w:rsidRPr="007223BC">
        <w:rPr>
          <w:sz w:val="22"/>
          <w:szCs w:val="22"/>
          <w:lang w:val="sr-Latn-RS" w:eastAsia="sr-Latn-RS"/>
        </w:rPr>
        <w:t xml:space="preserve">Metabolizam je sporedan put eliminacije lamivudina. Lamivudin se pretežno uklanja izlučivanjem kroz bubrege u nepromijenjenu obliku. S obzirom na to da se lamivudin u maloj mjeri </w:t>
      </w:r>
      <w:r w:rsidR="00C24D9D" w:rsidRPr="007223BC">
        <w:rPr>
          <w:sz w:val="22"/>
          <w:szCs w:val="22"/>
          <w:lang w:val="sr-Latn-RS" w:eastAsia="sr-Latn-RS"/>
        </w:rPr>
        <w:t xml:space="preserve">metaboliše </w:t>
      </w:r>
      <w:r w:rsidRPr="007223BC">
        <w:rPr>
          <w:sz w:val="22"/>
          <w:szCs w:val="22"/>
          <w:lang w:val="sr-Latn-RS" w:eastAsia="sr-Latn-RS"/>
        </w:rPr>
        <w:t>u jetri (5 - 10%), mala je vjerovatnoća metaboličkih interakcija između lamivudina i drugih ljekova.</w:t>
      </w:r>
    </w:p>
    <w:p w14:paraId="3C3F8F17" w14:textId="77777777" w:rsidR="007452F8" w:rsidRPr="007223BC" w:rsidRDefault="007452F8">
      <w:pPr>
        <w:numPr>
          <w:ilvl w:val="12"/>
          <w:numId w:val="0"/>
        </w:numPr>
        <w:suppressLineNumbers/>
        <w:ind w:right="-2"/>
        <w:jc w:val="both"/>
        <w:rPr>
          <w:noProof/>
          <w:sz w:val="22"/>
          <w:szCs w:val="22"/>
          <w:u w:val="single"/>
          <w:lang w:val="sr-Latn-RS"/>
        </w:rPr>
      </w:pPr>
      <w:r w:rsidRPr="007223BC">
        <w:rPr>
          <w:noProof/>
          <w:sz w:val="22"/>
          <w:szCs w:val="22"/>
          <w:u w:val="single"/>
          <w:lang w:val="sr-Latn-RS"/>
        </w:rPr>
        <w:t>Interakcije sa drugim ljekovima</w:t>
      </w:r>
    </w:p>
    <w:p w14:paraId="6D6127DA" w14:textId="77777777" w:rsidR="007452F8" w:rsidRPr="007223BC" w:rsidRDefault="007452F8">
      <w:pPr>
        <w:spacing w:before="100" w:beforeAutospacing="1" w:after="100" w:afterAutospacing="1"/>
        <w:jc w:val="both"/>
        <w:rPr>
          <w:sz w:val="22"/>
          <w:szCs w:val="22"/>
          <w:lang w:val="sr-Latn-RS" w:eastAsia="sr-Latn-RS"/>
        </w:rPr>
      </w:pPr>
      <w:r w:rsidRPr="007223BC">
        <w:rPr>
          <w:i/>
          <w:iCs/>
          <w:sz w:val="22"/>
          <w:szCs w:val="22"/>
          <w:lang w:val="sr-Latn-RS" w:eastAsia="sr-Latn-RS"/>
        </w:rPr>
        <w:lastRenderedPageBreak/>
        <w:t>In vitro,</w:t>
      </w:r>
      <w:r w:rsidRPr="007223BC">
        <w:rPr>
          <w:sz w:val="22"/>
          <w:szCs w:val="22"/>
          <w:lang w:val="sr-Latn-RS" w:eastAsia="sr-Latn-RS"/>
        </w:rPr>
        <w:t xml:space="preserve"> dolutegravir nije pokazao ni direktnu ni slabu inhibiciju (IC</w:t>
      </w:r>
      <w:r w:rsidRPr="007223BC">
        <w:rPr>
          <w:sz w:val="22"/>
          <w:szCs w:val="22"/>
          <w:vertAlign w:val="subscript"/>
          <w:lang w:val="sr-Latn-RS" w:eastAsia="sr-Latn-RS"/>
        </w:rPr>
        <w:t>50</w:t>
      </w:r>
      <w:r w:rsidRPr="007223BC">
        <w:rPr>
          <w:sz w:val="22"/>
          <w:szCs w:val="22"/>
          <w:lang w:val="sr-Latn-RS" w:eastAsia="sr-Latn-RS"/>
        </w:rPr>
        <w:t xml:space="preserve"> &gt; 50 μM) enzima citohroma P</w:t>
      </w:r>
      <w:r w:rsidRPr="007223BC">
        <w:rPr>
          <w:sz w:val="22"/>
          <w:szCs w:val="22"/>
          <w:vertAlign w:val="subscript"/>
          <w:lang w:val="sr-Latn-RS" w:eastAsia="sr-Latn-RS"/>
        </w:rPr>
        <w:t xml:space="preserve">450 </w:t>
      </w:r>
      <w:r w:rsidRPr="007223BC">
        <w:rPr>
          <w:sz w:val="22"/>
          <w:szCs w:val="22"/>
          <w:lang w:val="sr-Latn-RS" w:eastAsia="sr-Latn-RS"/>
        </w:rPr>
        <w:t xml:space="preserve">(CYP)1A2, CYP2A6, CYP2B6, CYP2C8, CYP2C9, CYP2C19, CYP2D6, CYP3A, UGT1A1 i UGT2B7 ni transportera P-gp, BCRP, BSEP, pumpe za izlučivanje žučnih soli polipeptidnog transportera organskih anjona (OATP)1B1, OATP1B3, OCT1, MATE2-K, proteina koji uzrokuje rezistenciju na veći broj ljekova (MRP)2 i MRP4. </w:t>
      </w:r>
      <w:r w:rsidRPr="007223BC">
        <w:rPr>
          <w:i/>
          <w:iCs/>
          <w:sz w:val="22"/>
          <w:szCs w:val="22"/>
          <w:lang w:val="sr-Latn-RS" w:eastAsia="sr-Latn-RS"/>
        </w:rPr>
        <w:t>In vitro,</w:t>
      </w:r>
      <w:r w:rsidRPr="007223BC">
        <w:rPr>
          <w:sz w:val="22"/>
          <w:szCs w:val="22"/>
          <w:lang w:val="sr-Latn-RS" w:eastAsia="sr-Latn-RS"/>
        </w:rPr>
        <w:t xml:space="preserve"> dolutegravir nije indukovao CYP1A2, CYP2B6 ni CYP3A4. Na osnovu tih podataka, ne očekuje se da će dolutegravir uticati na farmakokinetiku ljekova koji su supstrati za glavne enzime ili transportere (vidjeti </w:t>
      </w:r>
      <w:r w:rsidR="0002330C" w:rsidRPr="007223BC">
        <w:rPr>
          <w:sz w:val="22"/>
          <w:szCs w:val="22"/>
          <w:lang w:val="sr-Latn-RS" w:eastAsia="sr-Latn-RS"/>
        </w:rPr>
        <w:t>dio</w:t>
      </w:r>
      <w:r w:rsidRPr="007223BC">
        <w:rPr>
          <w:sz w:val="22"/>
          <w:szCs w:val="22"/>
          <w:lang w:val="sr-Latn-RS" w:eastAsia="sr-Latn-RS"/>
        </w:rPr>
        <w:t xml:space="preserve"> 4.5).</w:t>
      </w:r>
    </w:p>
    <w:p w14:paraId="4342CB15" w14:textId="77777777" w:rsidR="007452F8" w:rsidRPr="007223BC" w:rsidRDefault="007452F8">
      <w:pPr>
        <w:spacing w:before="100" w:beforeAutospacing="1" w:after="100" w:afterAutospacing="1"/>
        <w:jc w:val="both"/>
        <w:rPr>
          <w:sz w:val="22"/>
          <w:szCs w:val="22"/>
          <w:lang w:val="sr-Latn-RS" w:eastAsia="sr-Latn-RS"/>
        </w:rPr>
      </w:pPr>
      <w:r w:rsidRPr="007223BC">
        <w:rPr>
          <w:i/>
          <w:iCs/>
          <w:sz w:val="22"/>
          <w:szCs w:val="22"/>
          <w:lang w:val="sr-Latn-RS" w:eastAsia="sr-Latn-RS"/>
        </w:rPr>
        <w:t>In vitro,</w:t>
      </w:r>
      <w:r w:rsidRPr="007223BC">
        <w:rPr>
          <w:sz w:val="22"/>
          <w:szCs w:val="22"/>
          <w:lang w:val="sr-Latn-RS" w:eastAsia="sr-Latn-RS"/>
        </w:rPr>
        <w:t xml:space="preserve"> dolutegravir nije bio supstrat transportera kod ljudi OATP 1B1, OATP 1B3 i OCT 1.</w:t>
      </w:r>
    </w:p>
    <w:p w14:paraId="7475CC40" w14:textId="77777777" w:rsidR="007452F8" w:rsidRPr="007223BC" w:rsidRDefault="007452F8">
      <w:pPr>
        <w:spacing w:before="100" w:beforeAutospacing="1" w:after="100" w:afterAutospacing="1"/>
        <w:jc w:val="both"/>
        <w:rPr>
          <w:sz w:val="22"/>
          <w:szCs w:val="22"/>
          <w:lang w:val="sr-Latn-RS" w:eastAsia="sr-Latn-RS"/>
        </w:rPr>
      </w:pPr>
      <w:r w:rsidRPr="007223BC">
        <w:rPr>
          <w:i/>
          <w:sz w:val="22"/>
          <w:szCs w:val="22"/>
          <w:lang w:val="sr-Latn-RS" w:eastAsia="sr-Latn-RS"/>
        </w:rPr>
        <w:t>In vitro</w:t>
      </w:r>
      <w:r w:rsidRPr="007223BC">
        <w:rPr>
          <w:sz w:val="22"/>
          <w:szCs w:val="22"/>
          <w:lang w:val="sr-Latn-RS" w:eastAsia="sr-Latn-RS"/>
        </w:rPr>
        <w:t xml:space="preserve">, lamivudin nije inhibirao ni indukovao CYP enzime (kao što su CYP3A4, CYP2C9 ili CYP2D6) i nije inhibirao ili je slabo inhibirao OATP1B1, OAT1B3, OCT3, BCRP, P-gp, MATE1 ili MATE2-K. Stoga se ne očekuje da će lamivudin uticati na koncentracije </w:t>
      </w:r>
      <w:r w:rsidR="006F4A06" w:rsidRPr="007223BC">
        <w:rPr>
          <w:sz w:val="22"/>
          <w:szCs w:val="22"/>
          <w:lang w:val="sr-Latn-RS" w:eastAsia="sr-Latn-RS"/>
        </w:rPr>
        <w:t xml:space="preserve">u plazmi </w:t>
      </w:r>
      <w:r w:rsidRPr="007223BC">
        <w:rPr>
          <w:sz w:val="22"/>
          <w:szCs w:val="22"/>
          <w:lang w:val="sr-Latn-RS" w:eastAsia="sr-Latn-RS"/>
        </w:rPr>
        <w:t>ljekova koji su supstrati tih enzima ili transportera.</w:t>
      </w:r>
    </w:p>
    <w:p w14:paraId="6629BB78" w14:textId="77777777" w:rsidR="007452F8" w:rsidRPr="007223BC" w:rsidRDefault="007452F8">
      <w:pPr>
        <w:spacing w:before="100" w:beforeAutospacing="1" w:after="100" w:afterAutospacing="1"/>
        <w:jc w:val="both"/>
        <w:rPr>
          <w:sz w:val="22"/>
          <w:szCs w:val="22"/>
          <w:lang w:val="sr-Latn-RS" w:eastAsia="sr-Latn-RS"/>
        </w:rPr>
      </w:pPr>
      <w:r w:rsidRPr="007223BC">
        <w:rPr>
          <w:sz w:val="22"/>
          <w:szCs w:val="22"/>
          <w:lang w:val="sr-Latn-RS" w:eastAsia="sr-Latn-RS"/>
        </w:rPr>
        <w:t xml:space="preserve">Lamivudin se nije u značajnoj mjeri </w:t>
      </w:r>
      <w:r w:rsidR="006F4393" w:rsidRPr="007223BC">
        <w:rPr>
          <w:sz w:val="22"/>
          <w:szCs w:val="22"/>
          <w:lang w:val="sr-Latn-RS" w:eastAsia="sr-Latn-RS"/>
        </w:rPr>
        <w:t xml:space="preserve">metabolisao </w:t>
      </w:r>
      <w:r w:rsidRPr="007223BC">
        <w:rPr>
          <w:sz w:val="22"/>
          <w:szCs w:val="22"/>
          <w:lang w:val="sr-Latn-RS" w:eastAsia="sr-Latn-RS"/>
        </w:rPr>
        <w:t xml:space="preserve">posredstvom CYP enzima. </w:t>
      </w:r>
    </w:p>
    <w:p w14:paraId="6A09CD1F" w14:textId="77777777" w:rsidR="007452F8" w:rsidRPr="007223BC" w:rsidRDefault="007452F8">
      <w:pPr>
        <w:numPr>
          <w:ilvl w:val="12"/>
          <w:numId w:val="0"/>
        </w:numPr>
        <w:suppressLineNumbers/>
        <w:ind w:right="-2"/>
        <w:jc w:val="both"/>
        <w:rPr>
          <w:iCs/>
          <w:noProof/>
          <w:sz w:val="22"/>
          <w:szCs w:val="22"/>
          <w:u w:val="single"/>
          <w:lang w:val="sr-Latn-RS"/>
        </w:rPr>
      </w:pPr>
      <w:r w:rsidRPr="007223BC">
        <w:rPr>
          <w:iCs/>
          <w:noProof/>
          <w:sz w:val="22"/>
          <w:szCs w:val="22"/>
          <w:u w:val="single"/>
          <w:lang w:val="sr-Latn-RS"/>
        </w:rPr>
        <w:t>Eliminacija</w:t>
      </w:r>
    </w:p>
    <w:p w14:paraId="150F18FF" w14:textId="77777777" w:rsidR="007452F8" w:rsidRPr="007223BC" w:rsidRDefault="007452F8">
      <w:pPr>
        <w:spacing w:before="100" w:beforeAutospacing="1" w:after="100" w:afterAutospacing="1"/>
        <w:jc w:val="both"/>
        <w:rPr>
          <w:sz w:val="22"/>
          <w:szCs w:val="22"/>
          <w:lang w:val="sr-Latn-RS" w:eastAsia="sr-Latn-RS"/>
        </w:rPr>
      </w:pPr>
      <w:r w:rsidRPr="007223BC">
        <w:rPr>
          <w:sz w:val="22"/>
          <w:szCs w:val="22"/>
          <w:lang w:val="sr-Latn-RS" w:eastAsia="sr-Latn-RS"/>
        </w:rPr>
        <w:t>Dolutegravir ima terminalno poluvrijeme eliminacije od ~ 14 sati. Na osnovu populacione farmakokinetičke analize utvrđeno je da prividni klirens nakon oralne primjene (CL/F) kod pacijenata sa HIV infekcijom iznosi približno 1 L/h.</w:t>
      </w:r>
    </w:p>
    <w:p w14:paraId="7F3EB657" w14:textId="5501E077" w:rsidR="007452F8" w:rsidRPr="007223BC" w:rsidRDefault="007452F8">
      <w:pPr>
        <w:spacing w:before="100" w:beforeAutospacing="1" w:after="100" w:afterAutospacing="1"/>
        <w:jc w:val="both"/>
        <w:rPr>
          <w:sz w:val="22"/>
          <w:szCs w:val="22"/>
          <w:lang w:val="sr-Latn-RS" w:eastAsia="sr-Latn-RS"/>
        </w:rPr>
      </w:pPr>
      <w:r w:rsidRPr="007223BC">
        <w:rPr>
          <w:sz w:val="22"/>
          <w:szCs w:val="22"/>
          <w:lang w:val="sr-Latn-RS" w:eastAsia="sr-Latn-RS"/>
        </w:rPr>
        <w:t>Opaženo poluvrijeme eliminacije lamivudina iznosi 18 - 19 sati. Kod pacijenata koji su primali lamivudin u dozi od 300 mg jednom dnevno, terminalno unutarćelijsko poluvrijeme eliminacije lamivudin</w:t>
      </w:r>
      <w:r w:rsidR="00DB5F9D" w:rsidRPr="007223BC">
        <w:rPr>
          <w:sz w:val="22"/>
          <w:szCs w:val="22"/>
          <w:lang w:val="sr-Latn-RS" w:eastAsia="sr-Latn-RS"/>
        </w:rPr>
        <w:t xml:space="preserve"> </w:t>
      </w:r>
      <w:r w:rsidRPr="007223BC">
        <w:rPr>
          <w:sz w:val="22"/>
          <w:szCs w:val="22"/>
          <w:lang w:val="sr-Latn-RS" w:eastAsia="sr-Latn-RS"/>
        </w:rPr>
        <w:t xml:space="preserve">trifosfata iznosilo je 16 - 19 sati. Srednja vrijednost sistemskog klirensa lamivudina iznosi približno 0,32 L/h/kg, a najvećim se dijelom odvija kroz bubrege (&gt; 70%) posredstvom sistema prenosa organskih katjona. Ispitivanja kod pacijenata sa oštećenjem bubrežne funkcije pokazuju da bubrežna disfunkcija utiče na eliminaciju lamivudina. Preporučuje se smanjenje doze lamivudina kod pacijenata sa klirensom kreatinina &lt; </w:t>
      </w:r>
      <w:r w:rsidR="001561B7">
        <w:rPr>
          <w:sz w:val="22"/>
          <w:szCs w:val="22"/>
          <w:lang w:val="sr-Latn-RS" w:eastAsia="sr-Latn-RS"/>
        </w:rPr>
        <w:t>3</w:t>
      </w:r>
      <w:r w:rsidRPr="007223BC">
        <w:rPr>
          <w:sz w:val="22"/>
          <w:szCs w:val="22"/>
          <w:lang w:val="sr-Latn-RS" w:eastAsia="sr-Latn-RS"/>
        </w:rPr>
        <w:t>0 m</w:t>
      </w:r>
      <w:r w:rsidR="001561B7">
        <w:rPr>
          <w:sz w:val="22"/>
          <w:szCs w:val="22"/>
          <w:lang w:val="sr-Latn-RS" w:eastAsia="sr-Latn-RS"/>
        </w:rPr>
        <w:t>l</w:t>
      </w:r>
      <w:r w:rsidRPr="007223BC">
        <w:rPr>
          <w:sz w:val="22"/>
          <w:szCs w:val="22"/>
          <w:lang w:val="sr-Latn-RS" w:eastAsia="sr-Latn-RS"/>
        </w:rPr>
        <w:t xml:space="preserve">/min (vidjeti </w:t>
      </w:r>
      <w:r w:rsidR="0002330C" w:rsidRPr="007223BC">
        <w:rPr>
          <w:sz w:val="22"/>
          <w:szCs w:val="22"/>
          <w:lang w:val="sr-Latn-RS" w:eastAsia="sr-Latn-RS"/>
        </w:rPr>
        <w:t>dio</w:t>
      </w:r>
      <w:r w:rsidRPr="007223BC">
        <w:rPr>
          <w:sz w:val="22"/>
          <w:szCs w:val="22"/>
          <w:lang w:val="sr-Latn-RS" w:eastAsia="sr-Latn-RS"/>
        </w:rPr>
        <w:t xml:space="preserve"> 4.2).</w:t>
      </w:r>
    </w:p>
    <w:p w14:paraId="23E6214B" w14:textId="77777777" w:rsidR="007452F8" w:rsidRPr="007223BC" w:rsidRDefault="007452F8">
      <w:pPr>
        <w:jc w:val="both"/>
        <w:rPr>
          <w:sz w:val="22"/>
          <w:szCs w:val="22"/>
          <w:u w:val="single"/>
          <w:lang w:val="sr-Latn-RS" w:eastAsia="sr-Latn-RS"/>
        </w:rPr>
      </w:pPr>
      <w:r w:rsidRPr="007223BC">
        <w:rPr>
          <w:sz w:val="22"/>
          <w:szCs w:val="22"/>
          <w:u w:val="single"/>
          <w:lang w:val="sr-Latn-RS" w:eastAsia="sr-Latn-RS"/>
        </w:rPr>
        <w:t xml:space="preserve">Farmakokinetički/farmakodinamski odnos(i) </w:t>
      </w:r>
    </w:p>
    <w:p w14:paraId="4E97ED1F" w14:textId="77777777" w:rsidR="007452F8" w:rsidRPr="007223BC" w:rsidRDefault="007452F8">
      <w:pPr>
        <w:spacing w:before="100" w:beforeAutospacing="1" w:after="100" w:afterAutospacing="1"/>
        <w:jc w:val="both"/>
        <w:rPr>
          <w:sz w:val="22"/>
          <w:szCs w:val="22"/>
          <w:lang w:val="sr-Latn-RS" w:eastAsia="sr-Latn-RS"/>
        </w:rPr>
      </w:pPr>
      <w:r w:rsidRPr="007223BC">
        <w:rPr>
          <w:sz w:val="22"/>
          <w:szCs w:val="22"/>
          <w:lang w:val="sr-Latn-RS" w:eastAsia="sr-Latn-RS"/>
        </w:rPr>
        <w:t>U randomizovanom ispitivanju za određivanje raspona doza, koje je sprovedeno kod ispitanika sa HIV-1 infekcijom liječenih dolutegravirom u monoterapiji (ING111521), primijećena je brza antivirusna aktivnost i antivirusna aktivnost koja zavisi od doze, uz srednju vrijednost smanjenja koncentracije HIV-1 RNK od 2,5 log</w:t>
      </w:r>
      <w:r w:rsidRPr="007223BC">
        <w:rPr>
          <w:sz w:val="22"/>
          <w:szCs w:val="22"/>
          <w:vertAlign w:val="subscript"/>
          <w:lang w:val="sr-Latn-RS" w:eastAsia="sr-Latn-RS"/>
        </w:rPr>
        <w:t>10</w:t>
      </w:r>
      <w:r w:rsidRPr="007223BC">
        <w:rPr>
          <w:sz w:val="22"/>
          <w:szCs w:val="22"/>
          <w:lang w:val="sr-Latn-RS" w:eastAsia="sr-Latn-RS"/>
        </w:rPr>
        <w:t xml:space="preserve"> nakon 11 dana primjene doze od 50 mg. Navedeni antivirusni odgovor održao se 3 - 4 dana nakon posljednje doze u grupi koja je primala dozu od 50 mg.</w:t>
      </w:r>
    </w:p>
    <w:p w14:paraId="3570A4EA" w14:textId="77777777" w:rsidR="007452F8" w:rsidRPr="007223BC" w:rsidRDefault="007452F8">
      <w:pPr>
        <w:numPr>
          <w:ilvl w:val="12"/>
          <w:numId w:val="0"/>
        </w:numPr>
        <w:suppressLineNumbers/>
        <w:ind w:right="-2"/>
        <w:jc w:val="both"/>
        <w:rPr>
          <w:iCs/>
          <w:noProof/>
          <w:sz w:val="22"/>
          <w:szCs w:val="22"/>
          <w:u w:val="single"/>
          <w:lang w:val="sr-Latn-RS"/>
        </w:rPr>
      </w:pPr>
      <w:r w:rsidRPr="007223BC">
        <w:rPr>
          <w:iCs/>
          <w:noProof/>
          <w:sz w:val="22"/>
          <w:szCs w:val="22"/>
          <w:u w:val="single"/>
          <w:lang w:val="sr-Latn-RS"/>
        </w:rPr>
        <w:t>Posebne populacije pacijenata</w:t>
      </w:r>
    </w:p>
    <w:p w14:paraId="3D737901" w14:textId="77777777" w:rsidR="007452F8" w:rsidRPr="007223BC" w:rsidRDefault="007452F8">
      <w:pPr>
        <w:numPr>
          <w:ilvl w:val="12"/>
          <w:numId w:val="0"/>
        </w:numPr>
        <w:suppressLineNumbers/>
        <w:ind w:right="-2"/>
        <w:jc w:val="both"/>
        <w:rPr>
          <w:iCs/>
          <w:noProof/>
          <w:sz w:val="22"/>
          <w:szCs w:val="22"/>
          <w:u w:val="single"/>
          <w:lang w:val="sr-Latn-RS"/>
        </w:rPr>
      </w:pPr>
    </w:p>
    <w:p w14:paraId="11F5E698" w14:textId="77777777" w:rsidR="007452F8" w:rsidRPr="007223BC" w:rsidRDefault="007452F8">
      <w:pPr>
        <w:numPr>
          <w:ilvl w:val="12"/>
          <w:numId w:val="0"/>
        </w:numPr>
        <w:suppressLineNumbers/>
        <w:ind w:right="-2"/>
        <w:jc w:val="both"/>
        <w:rPr>
          <w:i/>
          <w:iCs/>
          <w:noProof/>
          <w:sz w:val="22"/>
          <w:szCs w:val="22"/>
          <w:lang w:val="sr-Latn-RS"/>
        </w:rPr>
      </w:pPr>
      <w:r w:rsidRPr="007223BC">
        <w:rPr>
          <w:i/>
          <w:iCs/>
          <w:noProof/>
          <w:sz w:val="22"/>
          <w:szCs w:val="22"/>
          <w:lang w:val="sr-Latn-RS"/>
        </w:rPr>
        <w:t>Djeca</w:t>
      </w:r>
    </w:p>
    <w:p w14:paraId="219C16C8" w14:textId="77777777" w:rsidR="007452F8" w:rsidRPr="007223BC" w:rsidRDefault="007452F8">
      <w:pPr>
        <w:numPr>
          <w:ilvl w:val="12"/>
          <w:numId w:val="0"/>
        </w:numPr>
        <w:suppressLineNumbers/>
        <w:ind w:right="-2"/>
        <w:jc w:val="both"/>
        <w:rPr>
          <w:i/>
          <w:iCs/>
          <w:noProof/>
          <w:sz w:val="22"/>
          <w:szCs w:val="22"/>
          <w:lang w:val="sr-Latn-RS"/>
        </w:rPr>
      </w:pPr>
      <w:r w:rsidRPr="007223BC">
        <w:rPr>
          <w:sz w:val="22"/>
          <w:szCs w:val="22"/>
          <w:lang w:val="sr-Latn-RS" w:eastAsia="sr-Latn-RS"/>
        </w:rPr>
        <w:t>Farmakokinetika dolutegravira kod 10 adolescenata (</w:t>
      </w:r>
      <w:r w:rsidR="009811B3" w:rsidRPr="007223BC">
        <w:rPr>
          <w:sz w:val="22"/>
          <w:szCs w:val="22"/>
          <w:lang w:val="sr-Latn-RS" w:eastAsia="sr-Latn-RS"/>
        </w:rPr>
        <w:t xml:space="preserve">uzrasta </w:t>
      </w:r>
      <w:r w:rsidRPr="007223BC">
        <w:rPr>
          <w:sz w:val="22"/>
          <w:szCs w:val="22"/>
          <w:lang w:val="sr-Latn-RS" w:eastAsia="sr-Latn-RS"/>
        </w:rPr>
        <w:t>od 12 do 17 godina) sa HIV-1 infekcijom koji su prethodno bili liječeni antiretrovirusnim ljekovima pokazala je da primjena dolutegravira u dozi od 50 mg jednom dnevno dovodi do izloženosti dolutegraviru u poređenju sa onom primijećenom kod odraslih pacijenata koji su primali dolutegravir u dozi od 50 mg jednom dnevno.</w:t>
      </w:r>
    </w:p>
    <w:p w14:paraId="7C22CE05" w14:textId="77777777" w:rsidR="007452F8" w:rsidRPr="007223BC" w:rsidRDefault="007452F8">
      <w:pPr>
        <w:spacing w:before="100" w:beforeAutospacing="1" w:after="100" w:afterAutospacing="1"/>
        <w:jc w:val="both"/>
        <w:rPr>
          <w:sz w:val="22"/>
          <w:szCs w:val="22"/>
          <w:lang w:val="sr-Latn-RS" w:eastAsia="sr-Latn-RS"/>
        </w:rPr>
      </w:pPr>
      <w:r w:rsidRPr="007223BC">
        <w:rPr>
          <w:sz w:val="22"/>
          <w:szCs w:val="22"/>
          <w:lang w:val="sr-Latn-RS" w:eastAsia="sr-Latn-RS"/>
        </w:rPr>
        <w:t>Dostupni su ograničeni podaci o primjeni lamivudina u dnevnoj dozi od 300 mg kod adolescenata. Farmakokinetički parametri slični su prijavljenim kod odraslih osoba.</w:t>
      </w:r>
    </w:p>
    <w:p w14:paraId="5E468E13" w14:textId="77777777" w:rsidR="007452F8" w:rsidRPr="007223BC" w:rsidRDefault="007452F8">
      <w:pPr>
        <w:numPr>
          <w:ilvl w:val="12"/>
          <w:numId w:val="0"/>
        </w:numPr>
        <w:suppressLineNumbers/>
        <w:ind w:right="-2"/>
        <w:jc w:val="both"/>
        <w:rPr>
          <w:i/>
          <w:iCs/>
          <w:noProof/>
          <w:sz w:val="22"/>
          <w:szCs w:val="22"/>
          <w:lang w:val="sr-Latn-RS"/>
        </w:rPr>
      </w:pPr>
      <w:r w:rsidRPr="007223BC">
        <w:rPr>
          <w:i/>
          <w:iCs/>
          <w:noProof/>
          <w:sz w:val="22"/>
          <w:szCs w:val="22"/>
          <w:lang w:val="sr-Latn-RS"/>
        </w:rPr>
        <w:t>Starije osobe</w:t>
      </w:r>
    </w:p>
    <w:p w14:paraId="53C55D45" w14:textId="77777777" w:rsidR="007452F8" w:rsidRPr="007223BC" w:rsidRDefault="007452F8">
      <w:pPr>
        <w:numPr>
          <w:ilvl w:val="12"/>
          <w:numId w:val="0"/>
        </w:numPr>
        <w:suppressLineNumbers/>
        <w:ind w:right="-2"/>
        <w:jc w:val="both"/>
        <w:rPr>
          <w:i/>
          <w:iCs/>
          <w:noProof/>
          <w:sz w:val="22"/>
          <w:szCs w:val="22"/>
          <w:lang w:val="sr-Latn-RS"/>
        </w:rPr>
      </w:pPr>
      <w:r w:rsidRPr="007223BC">
        <w:rPr>
          <w:sz w:val="22"/>
          <w:szCs w:val="22"/>
          <w:lang w:val="sr-Latn-RS" w:eastAsia="sr-Latn-RS"/>
        </w:rPr>
        <w:t>Populaciona farmakokinetička analiza dolutegravira na osnovu podataka prikupljenih kod odraslih osoba sa HIV-1 infekcijom pokazala je da starost nije imala klinički značaj na izloženost dolutegraviru.</w:t>
      </w:r>
    </w:p>
    <w:p w14:paraId="55980F42" w14:textId="77777777" w:rsidR="007452F8" w:rsidRPr="007223BC" w:rsidRDefault="007452F8">
      <w:pPr>
        <w:spacing w:before="100" w:beforeAutospacing="1" w:after="100" w:afterAutospacing="1"/>
        <w:jc w:val="both"/>
        <w:rPr>
          <w:sz w:val="22"/>
          <w:szCs w:val="22"/>
          <w:lang w:val="sr-Latn-RS" w:eastAsia="sr-Latn-RS"/>
        </w:rPr>
      </w:pPr>
      <w:r w:rsidRPr="007223BC">
        <w:rPr>
          <w:sz w:val="22"/>
          <w:szCs w:val="22"/>
          <w:lang w:val="sr-Latn-RS" w:eastAsia="sr-Latn-RS"/>
        </w:rPr>
        <w:t>Farmakokinetički podaci za dolutegravir i lamivudin kod ispitanika starijih od 65 godina su ograničeni.</w:t>
      </w:r>
    </w:p>
    <w:p w14:paraId="458E4618" w14:textId="77777777" w:rsidR="007452F8" w:rsidRPr="007223BC" w:rsidRDefault="007452F8">
      <w:pPr>
        <w:numPr>
          <w:ilvl w:val="12"/>
          <w:numId w:val="0"/>
        </w:numPr>
        <w:suppressLineNumbers/>
        <w:ind w:right="-2"/>
        <w:jc w:val="both"/>
        <w:rPr>
          <w:i/>
          <w:iCs/>
          <w:noProof/>
          <w:sz w:val="22"/>
          <w:szCs w:val="22"/>
          <w:lang w:val="sr-Latn-RS"/>
        </w:rPr>
      </w:pPr>
      <w:r w:rsidRPr="007223BC">
        <w:rPr>
          <w:i/>
          <w:iCs/>
          <w:noProof/>
          <w:sz w:val="22"/>
          <w:szCs w:val="22"/>
          <w:lang w:val="sr-Latn-RS"/>
        </w:rPr>
        <w:lastRenderedPageBreak/>
        <w:t>Oštećenje funkcije bubrega</w:t>
      </w:r>
    </w:p>
    <w:p w14:paraId="7E23EEDE" w14:textId="77777777" w:rsidR="007452F8" w:rsidRPr="007223BC" w:rsidRDefault="007452F8">
      <w:pPr>
        <w:numPr>
          <w:ilvl w:val="12"/>
          <w:numId w:val="0"/>
        </w:numPr>
        <w:suppressLineNumbers/>
        <w:ind w:right="-2"/>
        <w:jc w:val="both"/>
        <w:rPr>
          <w:i/>
          <w:iCs/>
          <w:noProof/>
          <w:sz w:val="22"/>
          <w:szCs w:val="22"/>
          <w:lang w:val="sr-Latn-RS"/>
        </w:rPr>
      </w:pPr>
      <w:r w:rsidRPr="007223BC">
        <w:rPr>
          <w:sz w:val="22"/>
          <w:szCs w:val="22"/>
          <w:lang w:val="sr-Latn-RS"/>
        </w:rPr>
        <w:t>Prikupljeni su farmakokinetički podaci za dolutegravir i lamivudin kao posebne aktivne supstance.</w:t>
      </w:r>
    </w:p>
    <w:p w14:paraId="438FA6EC" w14:textId="4746B1D6" w:rsidR="00A4319E" w:rsidRPr="007223BC" w:rsidRDefault="007452F8">
      <w:pPr>
        <w:spacing w:before="100" w:beforeAutospacing="1" w:after="100" w:afterAutospacing="1"/>
        <w:jc w:val="both"/>
        <w:rPr>
          <w:sz w:val="22"/>
          <w:szCs w:val="22"/>
          <w:lang w:val="sr-Latn-RS"/>
        </w:rPr>
      </w:pPr>
      <w:r w:rsidRPr="007223BC">
        <w:rPr>
          <w:sz w:val="22"/>
          <w:szCs w:val="22"/>
          <w:lang w:val="sr-Latn-RS"/>
        </w:rPr>
        <w:t>Bubrežni klirens aktivne supstance u nepromijenjenom obliku sporedan je put eliminacije dolutegravira. Ispitivanje farmakokinetike dolutegravira sprovedeno je kod ispitanika sa teškim oštećenjem bubrežne funkcije (CLcr &lt; 30 m</w:t>
      </w:r>
      <w:r w:rsidR="00B412CB">
        <w:rPr>
          <w:sz w:val="22"/>
          <w:szCs w:val="22"/>
          <w:lang w:val="sr-Latn-RS"/>
        </w:rPr>
        <w:t>l</w:t>
      </w:r>
      <w:r w:rsidRPr="007223BC">
        <w:rPr>
          <w:sz w:val="22"/>
          <w:szCs w:val="22"/>
          <w:lang w:val="sr-Latn-RS"/>
        </w:rPr>
        <w:t>/min). Nijesu primijećene klinički značajne razlike u farmakokinetici između ispitanika sa teškim oštećenjem bubrežne funkcije (CLcr &lt;</w:t>
      </w:r>
      <w:r w:rsidR="00A4319E" w:rsidRPr="007223BC">
        <w:rPr>
          <w:sz w:val="22"/>
          <w:szCs w:val="22"/>
          <w:lang w:val="sr-Latn-RS"/>
        </w:rPr>
        <w:t xml:space="preserve"> </w:t>
      </w:r>
      <w:r w:rsidRPr="007223BC">
        <w:rPr>
          <w:sz w:val="22"/>
          <w:szCs w:val="22"/>
          <w:lang w:val="sr-Latn-RS"/>
        </w:rPr>
        <w:t>30 m</w:t>
      </w:r>
      <w:r w:rsidR="00B412CB">
        <w:rPr>
          <w:sz w:val="22"/>
          <w:szCs w:val="22"/>
          <w:lang w:val="sr-Latn-RS"/>
        </w:rPr>
        <w:t>l</w:t>
      </w:r>
      <w:r w:rsidRPr="007223BC">
        <w:rPr>
          <w:sz w:val="22"/>
          <w:szCs w:val="22"/>
          <w:lang w:val="sr-Latn-RS"/>
        </w:rPr>
        <w:t xml:space="preserve">/min) i njima odgovarajućim kontrolnim zdravim ispitanicima. Dolutegravir se nije ispitivao kod pacijenata na dijalizi, ali se ne očekuju razlike u izloženosti. </w:t>
      </w:r>
    </w:p>
    <w:p w14:paraId="79037157" w14:textId="77777777" w:rsidR="007452F8" w:rsidRPr="007223BC" w:rsidRDefault="007452F8">
      <w:pPr>
        <w:spacing w:before="100" w:beforeAutospacing="1" w:after="100" w:afterAutospacing="1"/>
        <w:jc w:val="both"/>
        <w:rPr>
          <w:sz w:val="22"/>
          <w:szCs w:val="22"/>
          <w:lang w:val="sr-Latn-RS"/>
        </w:rPr>
      </w:pPr>
      <w:r w:rsidRPr="007223BC">
        <w:rPr>
          <w:sz w:val="22"/>
          <w:szCs w:val="22"/>
          <w:lang w:val="sr-Latn-RS"/>
        </w:rPr>
        <w:t xml:space="preserve">Ispitivanja lamivudina pokazuju da su kod pacijenata sa bubrežnom disfunkcijom koncentracije </w:t>
      </w:r>
      <w:r w:rsidR="00A4319E" w:rsidRPr="007223BC">
        <w:rPr>
          <w:sz w:val="22"/>
          <w:szCs w:val="22"/>
          <w:lang w:val="sr-Latn-RS"/>
        </w:rPr>
        <w:t xml:space="preserve">u plazmi </w:t>
      </w:r>
      <w:r w:rsidRPr="007223BC">
        <w:rPr>
          <w:sz w:val="22"/>
          <w:szCs w:val="22"/>
          <w:lang w:val="sr-Latn-RS"/>
        </w:rPr>
        <w:t>lijeka (PIK) povećane zbog smanjenog klirensa.</w:t>
      </w:r>
    </w:p>
    <w:p w14:paraId="14200CFF" w14:textId="5B31218D" w:rsidR="007452F8" w:rsidRPr="007223BC" w:rsidRDefault="007452F8">
      <w:pPr>
        <w:spacing w:before="100" w:beforeAutospacing="1" w:after="100" w:afterAutospacing="1"/>
        <w:jc w:val="both"/>
        <w:rPr>
          <w:sz w:val="22"/>
          <w:szCs w:val="22"/>
          <w:lang w:val="sr-Latn-RS"/>
        </w:rPr>
      </w:pPr>
      <w:r w:rsidRPr="007223BC">
        <w:rPr>
          <w:sz w:val="22"/>
          <w:szCs w:val="22"/>
          <w:lang w:val="sr-Latn-RS"/>
        </w:rPr>
        <w:t>S obzirom na podatke za lamivudin, ne preporučuje se primjena lijeka DOVATO</w:t>
      </w:r>
      <w:r w:rsidR="00E6252C" w:rsidRPr="007223BC">
        <w:rPr>
          <w:sz w:val="22"/>
          <w:szCs w:val="22"/>
          <w:lang w:val="sr-Latn-RS"/>
        </w:rPr>
        <w:t xml:space="preserve"> </w:t>
      </w:r>
      <w:r w:rsidRPr="007223BC">
        <w:rPr>
          <w:sz w:val="22"/>
          <w:szCs w:val="22"/>
          <w:lang w:val="sr-Latn-RS"/>
        </w:rPr>
        <w:t xml:space="preserve">kod pacijenata sa klirensom kreatinina &lt; </w:t>
      </w:r>
      <w:r w:rsidR="001561B7">
        <w:rPr>
          <w:sz w:val="22"/>
          <w:szCs w:val="22"/>
          <w:lang w:val="sr-Latn-RS"/>
        </w:rPr>
        <w:t>3</w:t>
      </w:r>
      <w:r w:rsidRPr="007223BC">
        <w:rPr>
          <w:sz w:val="22"/>
          <w:szCs w:val="22"/>
          <w:lang w:val="sr-Latn-RS"/>
        </w:rPr>
        <w:t>0 m</w:t>
      </w:r>
      <w:r w:rsidR="001561B7">
        <w:rPr>
          <w:sz w:val="22"/>
          <w:szCs w:val="22"/>
          <w:lang w:val="sr-Latn-RS"/>
        </w:rPr>
        <w:t>l</w:t>
      </w:r>
      <w:r w:rsidRPr="007223BC">
        <w:rPr>
          <w:sz w:val="22"/>
          <w:szCs w:val="22"/>
          <w:lang w:val="sr-Latn-RS"/>
        </w:rPr>
        <w:t>/min.</w:t>
      </w:r>
    </w:p>
    <w:p w14:paraId="2C9F45D0" w14:textId="77777777" w:rsidR="00E306A6" w:rsidRPr="007223BC" w:rsidRDefault="00E306A6">
      <w:pPr>
        <w:numPr>
          <w:ilvl w:val="12"/>
          <w:numId w:val="0"/>
        </w:numPr>
        <w:suppressLineNumbers/>
        <w:ind w:right="-2"/>
        <w:jc w:val="both"/>
        <w:rPr>
          <w:i/>
          <w:iCs/>
          <w:noProof/>
          <w:sz w:val="22"/>
          <w:szCs w:val="22"/>
          <w:lang w:val="sr-Latn-RS"/>
        </w:rPr>
      </w:pPr>
    </w:p>
    <w:p w14:paraId="754618B9" w14:textId="77777777" w:rsidR="007452F8" w:rsidRPr="007223BC" w:rsidRDefault="007452F8">
      <w:pPr>
        <w:numPr>
          <w:ilvl w:val="12"/>
          <w:numId w:val="0"/>
        </w:numPr>
        <w:suppressLineNumbers/>
        <w:ind w:right="-2"/>
        <w:jc w:val="both"/>
        <w:rPr>
          <w:i/>
          <w:iCs/>
          <w:noProof/>
          <w:sz w:val="22"/>
          <w:szCs w:val="22"/>
          <w:lang w:val="sr-Latn-RS"/>
        </w:rPr>
      </w:pPr>
      <w:r w:rsidRPr="007223BC">
        <w:rPr>
          <w:i/>
          <w:iCs/>
          <w:noProof/>
          <w:sz w:val="22"/>
          <w:szCs w:val="22"/>
          <w:lang w:val="sr-Latn-RS"/>
        </w:rPr>
        <w:t>Oštećenje funkcije jetre</w:t>
      </w:r>
    </w:p>
    <w:p w14:paraId="1D2F5B15" w14:textId="77777777" w:rsidR="007452F8" w:rsidRPr="007223BC" w:rsidRDefault="007452F8">
      <w:pPr>
        <w:numPr>
          <w:ilvl w:val="12"/>
          <w:numId w:val="0"/>
        </w:numPr>
        <w:suppressLineNumbers/>
        <w:ind w:right="-2"/>
        <w:jc w:val="both"/>
        <w:rPr>
          <w:i/>
          <w:iCs/>
          <w:noProof/>
          <w:sz w:val="22"/>
          <w:szCs w:val="22"/>
          <w:lang w:val="sr-Latn-RS"/>
        </w:rPr>
      </w:pPr>
      <w:r w:rsidRPr="007223BC">
        <w:rPr>
          <w:sz w:val="22"/>
          <w:szCs w:val="22"/>
          <w:lang w:val="sr-Latn-RS" w:eastAsia="sr-Latn-RS"/>
        </w:rPr>
        <w:t>Prikupljeni su farmakokinetički podaci za dolutegravir i lamivudin kao posebne aktivne supstance.</w:t>
      </w:r>
    </w:p>
    <w:p w14:paraId="3CC6016E" w14:textId="77777777" w:rsidR="007452F8" w:rsidRPr="007223BC" w:rsidRDefault="007452F8">
      <w:pPr>
        <w:spacing w:before="100" w:beforeAutospacing="1" w:after="100" w:afterAutospacing="1"/>
        <w:jc w:val="both"/>
        <w:rPr>
          <w:sz w:val="22"/>
          <w:szCs w:val="22"/>
          <w:lang w:val="sr-Latn-RS" w:eastAsia="sr-Latn-RS"/>
        </w:rPr>
      </w:pPr>
      <w:r w:rsidRPr="007223BC">
        <w:rPr>
          <w:sz w:val="22"/>
          <w:szCs w:val="22"/>
          <w:lang w:val="sr-Latn-RS" w:eastAsia="sr-Latn-RS"/>
        </w:rPr>
        <w:t>Dolutegravir se prvenstveno metaboliše i izlučuje kroz jetru. Jedna doza dolutegravira od 50 mg primijenjena je kod 8 ispitanika sa umjerenim oštećenjem funkcije jetre (Child-Pugh klasa B) i kod 8 kontrolnih zdravih odraslih ispitanika. Iako je ukupna koncentracija dolutegravira u plazmi bila slična, kod ispitanika sa umjerenim oštećenjem funkcije jetre izloženost nevezanom dolutegraviru bila je 1,5 - 2 puta veća nego kod kontrolnih zdravih ispitanika. Ne smatra se potrebnim prilagođavati dozu kod pacijenata sa blagim do umjerenim oštećenjem funkcije jetre. Uticaj teškog oštećenja funkcije jetre na farmakokinetiku dolutegravira nije se ispitivao.</w:t>
      </w:r>
    </w:p>
    <w:p w14:paraId="1331B9C5" w14:textId="77777777" w:rsidR="007452F8" w:rsidRPr="007223BC" w:rsidRDefault="007452F8">
      <w:pPr>
        <w:spacing w:before="100" w:beforeAutospacing="1" w:after="100" w:afterAutospacing="1"/>
        <w:jc w:val="both"/>
        <w:rPr>
          <w:sz w:val="22"/>
          <w:szCs w:val="22"/>
          <w:lang w:val="sr-Latn-RS" w:eastAsia="sr-Latn-RS"/>
        </w:rPr>
      </w:pPr>
      <w:r w:rsidRPr="007223BC">
        <w:rPr>
          <w:sz w:val="22"/>
          <w:szCs w:val="22"/>
          <w:lang w:val="sr-Latn-RS" w:eastAsia="sr-Latn-RS"/>
        </w:rPr>
        <w:t>Podaci prikupljeni kod pacijenata sa umjerenim do teškim oštećenjem funkcije jetre, pokazuju da disfunkcija jetre nema značajnog uticaja na farmakokinetiku lamivudina.</w:t>
      </w:r>
    </w:p>
    <w:p w14:paraId="75B0881D" w14:textId="77777777" w:rsidR="007452F8" w:rsidRPr="007223BC" w:rsidRDefault="007452F8">
      <w:pPr>
        <w:jc w:val="both"/>
        <w:rPr>
          <w:i/>
          <w:sz w:val="22"/>
          <w:szCs w:val="22"/>
          <w:lang w:val="sr-Latn-RS"/>
        </w:rPr>
      </w:pPr>
      <w:r w:rsidRPr="007223BC">
        <w:rPr>
          <w:i/>
          <w:sz w:val="22"/>
          <w:szCs w:val="22"/>
          <w:lang w:val="sr-Latn-RS"/>
        </w:rPr>
        <w:t xml:space="preserve">Polimorfizmi enzima koji metabolišu ljekove  </w:t>
      </w:r>
    </w:p>
    <w:p w14:paraId="1062C0AA" w14:textId="77777777" w:rsidR="007452F8" w:rsidRPr="007223BC" w:rsidRDefault="007452F8">
      <w:pPr>
        <w:jc w:val="both"/>
        <w:rPr>
          <w:i/>
          <w:sz w:val="22"/>
          <w:szCs w:val="22"/>
          <w:lang w:val="sr-Latn-RS"/>
        </w:rPr>
      </w:pPr>
      <w:r w:rsidRPr="007223BC">
        <w:rPr>
          <w:sz w:val="22"/>
          <w:szCs w:val="22"/>
          <w:lang w:val="sr-Latn-RS" w:eastAsia="sr-Latn-RS"/>
        </w:rPr>
        <w:t>Nema dokaza da česti polimorfizmi enzima koji metabolišu ljekove mijenjaju farmakokinetiku dolutegravira u klinički značajnoj mjeri. U metaanalizi farmakogenomskih uzoraka prikupljenih pri kliničkim ispitivanjima sprovedenim kod zdravih osoba, ispitanici sa genotipovima UGT1A1 (n=7) koji su povezani sa slabim metabolizmom dolutegravira imali su 32% manji klirens dolutegravira i 46% veći PIK u poređenju sa ispitanicima sa genotipovima koji su povezani sa normalnim metabolizmom putem UGT1A1 (n=41).</w:t>
      </w:r>
    </w:p>
    <w:p w14:paraId="3786049D" w14:textId="77777777" w:rsidR="007452F8" w:rsidRPr="007223BC" w:rsidRDefault="007452F8">
      <w:pPr>
        <w:numPr>
          <w:ilvl w:val="12"/>
          <w:numId w:val="0"/>
        </w:numPr>
        <w:suppressLineNumbers/>
        <w:ind w:right="-2"/>
        <w:jc w:val="both"/>
        <w:rPr>
          <w:i/>
          <w:iCs/>
          <w:noProof/>
          <w:sz w:val="22"/>
          <w:szCs w:val="22"/>
          <w:lang w:val="sr-Latn-RS"/>
        </w:rPr>
      </w:pPr>
    </w:p>
    <w:p w14:paraId="2B6BC01F" w14:textId="77777777" w:rsidR="007452F8" w:rsidRPr="007223BC" w:rsidRDefault="007452F8">
      <w:pPr>
        <w:numPr>
          <w:ilvl w:val="12"/>
          <w:numId w:val="0"/>
        </w:numPr>
        <w:suppressLineNumbers/>
        <w:ind w:right="-2"/>
        <w:jc w:val="both"/>
        <w:rPr>
          <w:i/>
          <w:iCs/>
          <w:noProof/>
          <w:sz w:val="22"/>
          <w:szCs w:val="22"/>
          <w:lang w:val="sr-Latn-RS"/>
        </w:rPr>
      </w:pPr>
      <w:r w:rsidRPr="007223BC">
        <w:rPr>
          <w:i/>
          <w:iCs/>
          <w:noProof/>
          <w:sz w:val="22"/>
          <w:szCs w:val="22"/>
          <w:lang w:val="sr-Latn-RS"/>
        </w:rPr>
        <w:t>Pol</w:t>
      </w:r>
    </w:p>
    <w:p w14:paraId="5FB62ADE" w14:textId="77777777" w:rsidR="007452F8" w:rsidRPr="007223BC" w:rsidRDefault="007452F8">
      <w:pPr>
        <w:numPr>
          <w:ilvl w:val="12"/>
          <w:numId w:val="0"/>
        </w:numPr>
        <w:suppressLineNumbers/>
        <w:ind w:right="-2"/>
        <w:jc w:val="both"/>
        <w:rPr>
          <w:i/>
          <w:iCs/>
          <w:noProof/>
          <w:sz w:val="22"/>
          <w:szCs w:val="22"/>
          <w:lang w:val="sr-Latn-RS"/>
        </w:rPr>
      </w:pPr>
      <w:r w:rsidRPr="007223BC">
        <w:rPr>
          <w:sz w:val="22"/>
          <w:szCs w:val="22"/>
          <w:lang w:val="sr-Latn-RS" w:eastAsia="sr-Latn-RS"/>
        </w:rPr>
        <w:t>Populacione farmakokinetičke analize objedinjenih farmakokinetičkih podataka iz kliničkih ispitivanja u kojima su se dolutegravir ili lamivudin primjenjivali u kombinaciji sa drugim antiretrovirusnim ljekovima kod odraslih osoba pokazale su da pol nije imao klinički značajnog učinka na izloženost dolutegraviru ni lamivudinu. Nema dokaza da bi bilo potrebno prilagoditi dozu dolutegravira ili lamivudina na osnovu učinaka pola na farmakokinetičke parametre.</w:t>
      </w:r>
    </w:p>
    <w:p w14:paraId="6A977D08" w14:textId="77777777" w:rsidR="007452F8" w:rsidRPr="007223BC" w:rsidRDefault="007452F8">
      <w:pPr>
        <w:numPr>
          <w:ilvl w:val="12"/>
          <w:numId w:val="0"/>
        </w:numPr>
        <w:suppressLineNumbers/>
        <w:ind w:right="-2"/>
        <w:jc w:val="both"/>
        <w:rPr>
          <w:i/>
          <w:iCs/>
          <w:noProof/>
          <w:sz w:val="22"/>
          <w:szCs w:val="22"/>
          <w:lang w:val="sr-Latn-RS"/>
        </w:rPr>
      </w:pPr>
    </w:p>
    <w:p w14:paraId="50A49BCF" w14:textId="77777777" w:rsidR="007452F8" w:rsidRPr="007223BC" w:rsidRDefault="007452F8">
      <w:pPr>
        <w:numPr>
          <w:ilvl w:val="12"/>
          <w:numId w:val="0"/>
        </w:numPr>
        <w:suppressLineNumbers/>
        <w:ind w:right="-2"/>
        <w:jc w:val="both"/>
        <w:rPr>
          <w:i/>
          <w:iCs/>
          <w:noProof/>
          <w:sz w:val="22"/>
          <w:szCs w:val="22"/>
          <w:lang w:val="sr-Latn-RS"/>
        </w:rPr>
      </w:pPr>
      <w:r w:rsidRPr="007223BC">
        <w:rPr>
          <w:i/>
          <w:iCs/>
          <w:noProof/>
          <w:sz w:val="22"/>
          <w:szCs w:val="22"/>
          <w:lang w:val="sr-Latn-RS"/>
        </w:rPr>
        <w:t>Rasa</w:t>
      </w:r>
    </w:p>
    <w:p w14:paraId="55FA305C" w14:textId="77777777" w:rsidR="007452F8" w:rsidRPr="007223BC" w:rsidRDefault="007452F8">
      <w:pPr>
        <w:numPr>
          <w:ilvl w:val="12"/>
          <w:numId w:val="0"/>
        </w:numPr>
        <w:suppressLineNumbers/>
        <w:ind w:right="-2"/>
        <w:jc w:val="both"/>
        <w:rPr>
          <w:i/>
          <w:iCs/>
          <w:noProof/>
          <w:sz w:val="22"/>
          <w:szCs w:val="22"/>
          <w:lang w:val="sr-Latn-RS"/>
        </w:rPr>
      </w:pPr>
      <w:r w:rsidRPr="007223BC">
        <w:rPr>
          <w:sz w:val="22"/>
          <w:szCs w:val="22"/>
          <w:lang w:val="sr-Latn-RS" w:eastAsia="sr-Latn-RS"/>
        </w:rPr>
        <w:t>Populacione farmakokinetičke analize objedinjenih farmakokinetičkih podataka iz kliničkih ispitivanja u kojima se dolutegravir primjenjivao u kombinaciji sa drugim antiretrovirusnim ljekovima kod odraslih osoba pokazale su da rasa nije imala klinički značajnog učinka na izloženost dolutegraviru. Farmakokinetički parametri dolutegravira nakon oralne primjene jedne doze kod ispitanika japanskog porijekla čine se sličnima parametrima opaženim kod ispitanika sa zapada (SAD). Nema dokaza da bi bilo potrebno prilagoditi dozu dolutegravira ili lamivudina na osnovu uticaja rase na farmakokinetičke parametre.</w:t>
      </w:r>
    </w:p>
    <w:p w14:paraId="7A1E234B" w14:textId="77777777" w:rsidR="007452F8" w:rsidRPr="007223BC" w:rsidRDefault="007452F8">
      <w:pPr>
        <w:spacing w:before="100" w:beforeAutospacing="1" w:after="100" w:afterAutospacing="1"/>
        <w:jc w:val="both"/>
        <w:rPr>
          <w:i/>
          <w:sz w:val="22"/>
          <w:szCs w:val="22"/>
          <w:lang w:val="sr-Latn-RS" w:eastAsia="sr-Latn-RS"/>
        </w:rPr>
      </w:pPr>
      <w:r w:rsidRPr="007223BC">
        <w:rPr>
          <w:i/>
          <w:sz w:val="22"/>
          <w:szCs w:val="22"/>
          <w:lang w:val="sr-Latn-RS" w:eastAsia="sr-Latn-RS"/>
        </w:rPr>
        <w:t xml:space="preserve">Istovremena infekcija virusom hepatitisa B ili C </w:t>
      </w:r>
    </w:p>
    <w:p w14:paraId="713CE755" w14:textId="77777777" w:rsidR="007452F8" w:rsidRPr="007223BC" w:rsidRDefault="007452F8">
      <w:pPr>
        <w:spacing w:before="100" w:beforeAutospacing="1" w:after="100" w:afterAutospacing="1"/>
        <w:jc w:val="both"/>
        <w:rPr>
          <w:i/>
          <w:sz w:val="22"/>
          <w:szCs w:val="22"/>
          <w:lang w:val="sr-Latn-RS" w:eastAsia="sr-Latn-RS"/>
        </w:rPr>
      </w:pPr>
      <w:r w:rsidRPr="007223BC">
        <w:rPr>
          <w:sz w:val="22"/>
          <w:szCs w:val="22"/>
          <w:lang w:val="sr-Latn-RS" w:eastAsia="sr-Latn-RS"/>
        </w:rPr>
        <w:lastRenderedPageBreak/>
        <w:t>Populaciona farmakokinetička analiza pokazala je da istovremena infekcija virusom hepatitisa C nije imala klinički značajnog uticaja na izloženost dolutegraviru. Podaci o primjeni kod ispitanika sa istovremenom infekcijom virusom hepatitisa B su ograničeni (vidjeti dio 4.4).</w:t>
      </w:r>
    </w:p>
    <w:p w14:paraId="4883A815" w14:textId="77777777" w:rsidR="0072020E" w:rsidRPr="00287AA6" w:rsidRDefault="0072020E">
      <w:pPr>
        <w:tabs>
          <w:tab w:val="left" w:pos="540"/>
          <w:tab w:val="left" w:pos="569"/>
        </w:tabs>
        <w:jc w:val="both"/>
        <w:rPr>
          <w:b/>
          <w:bCs/>
          <w:sz w:val="22"/>
          <w:szCs w:val="22"/>
          <w:lang w:val="sr-Latn-RS"/>
        </w:rPr>
      </w:pPr>
      <w:r w:rsidRPr="00287AA6">
        <w:rPr>
          <w:b/>
          <w:bCs/>
          <w:sz w:val="22"/>
          <w:szCs w:val="22"/>
          <w:lang w:val="sr-Latn-RS"/>
        </w:rPr>
        <w:t xml:space="preserve">5.3. </w:t>
      </w:r>
      <w:r w:rsidR="00480FB1" w:rsidRPr="00287AA6">
        <w:rPr>
          <w:b/>
          <w:bCs/>
          <w:sz w:val="22"/>
          <w:szCs w:val="22"/>
          <w:lang w:val="sr-Latn-RS"/>
        </w:rPr>
        <w:tab/>
      </w:r>
      <w:r w:rsidRPr="00287AA6">
        <w:rPr>
          <w:b/>
          <w:bCs/>
          <w:sz w:val="22"/>
          <w:szCs w:val="22"/>
          <w:lang w:val="sr-Latn-RS"/>
        </w:rPr>
        <w:t xml:space="preserve">Pretklinički podaci o bezbjednosti </w:t>
      </w:r>
    </w:p>
    <w:p w14:paraId="7DD3FF5F" w14:textId="77777777" w:rsidR="00E853D0" w:rsidRPr="007223BC" w:rsidRDefault="00E853D0">
      <w:pPr>
        <w:suppressLineNumbers/>
        <w:jc w:val="both"/>
        <w:rPr>
          <w:sz w:val="22"/>
          <w:szCs w:val="22"/>
          <w:lang w:val="sr-Latn-RS"/>
        </w:rPr>
      </w:pPr>
    </w:p>
    <w:p w14:paraId="48F8E63C" w14:textId="77777777" w:rsidR="00ED7324" w:rsidRPr="007223BC" w:rsidRDefault="00ED7324">
      <w:pPr>
        <w:suppressLineNumbers/>
        <w:jc w:val="both"/>
        <w:rPr>
          <w:noProof/>
          <w:sz w:val="22"/>
          <w:szCs w:val="22"/>
          <w:lang w:val="sr-Latn-RS"/>
        </w:rPr>
      </w:pPr>
      <w:r w:rsidRPr="007223BC">
        <w:rPr>
          <w:sz w:val="22"/>
          <w:szCs w:val="22"/>
          <w:lang w:val="sr-Latn-RS"/>
        </w:rPr>
        <w:t xml:space="preserve">Nema dostupnih podataka o dejstvu kombinacije dolutegravira i lamivudina kod životinja. </w:t>
      </w:r>
    </w:p>
    <w:p w14:paraId="0FA5560E" w14:textId="77777777" w:rsidR="00ED7324" w:rsidRPr="007223BC" w:rsidRDefault="00ED7324">
      <w:pPr>
        <w:suppressLineNumbers/>
        <w:jc w:val="both"/>
        <w:rPr>
          <w:noProof/>
          <w:sz w:val="22"/>
          <w:szCs w:val="22"/>
          <w:lang w:val="sr-Latn-RS"/>
        </w:rPr>
      </w:pPr>
    </w:p>
    <w:p w14:paraId="54E30AC9" w14:textId="77777777" w:rsidR="00ED7324" w:rsidRPr="007223BC" w:rsidRDefault="00ED7324">
      <w:pPr>
        <w:suppressLineNumbers/>
        <w:tabs>
          <w:tab w:val="left" w:pos="1560"/>
        </w:tabs>
        <w:jc w:val="both"/>
        <w:rPr>
          <w:rFonts w:eastAsia="MS Mincho"/>
          <w:sz w:val="22"/>
          <w:szCs w:val="22"/>
          <w:u w:val="single"/>
          <w:lang w:val="sr-Latn-RS"/>
        </w:rPr>
      </w:pPr>
      <w:r w:rsidRPr="007223BC">
        <w:rPr>
          <w:rFonts w:eastAsia="MS Mincho"/>
          <w:sz w:val="22"/>
          <w:szCs w:val="22"/>
          <w:u w:val="single"/>
          <w:lang w:val="sr-Latn-RS"/>
        </w:rPr>
        <w:t>Karcinogeneza i mutageneza</w:t>
      </w:r>
    </w:p>
    <w:p w14:paraId="2521A799" w14:textId="77777777" w:rsidR="00ED7324" w:rsidRPr="007223BC" w:rsidRDefault="00ED7324">
      <w:pPr>
        <w:suppressLineNumbers/>
        <w:tabs>
          <w:tab w:val="left" w:pos="1560"/>
        </w:tabs>
        <w:jc w:val="both"/>
        <w:rPr>
          <w:rFonts w:eastAsia="MS Mincho"/>
          <w:sz w:val="22"/>
          <w:szCs w:val="22"/>
          <w:lang w:val="sr-Latn-RS"/>
        </w:rPr>
      </w:pPr>
    </w:p>
    <w:p w14:paraId="1727659C" w14:textId="77777777" w:rsidR="00ED7324" w:rsidRPr="007223BC" w:rsidRDefault="00ED7324">
      <w:pPr>
        <w:keepNext/>
        <w:jc w:val="both"/>
        <w:outlineLvl w:val="0"/>
        <w:rPr>
          <w:sz w:val="22"/>
          <w:szCs w:val="22"/>
          <w:lang w:val="sr-Latn-RS"/>
        </w:rPr>
      </w:pPr>
      <w:r w:rsidRPr="007223BC">
        <w:rPr>
          <w:rFonts w:eastAsia="MS Mincho"/>
          <w:sz w:val="22"/>
          <w:szCs w:val="22"/>
          <w:lang w:val="sr-Latn-RS"/>
        </w:rPr>
        <w:t xml:space="preserve">Dolutegravir nije bio mutagen ni klastogen u </w:t>
      </w:r>
      <w:r w:rsidRPr="007223BC">
        <w:rPr>
          <w:rFonts w:eastAsia="MS Mincho"/>
          <w:i/>
          <w:sz w:val="22"/>
          <w:szCs w:val="22"/>
          <w:lang w:val="sr-Latn-RS"/>
        </w:rPr>
        <w:t>in vitro</w:t>
      </w:r>
      <w:r w:rsidRPr="007223BC">
        <w:rPr>
          <w:rFonts w:eastAsia="MS Mincho"/>
          <w:sz w:val="22"/>
          <w:szCs w:val="22"/>
          <w:lang w:val="sr-Latn-RS"/>
        </w:rPr>
        <w:t xml:space="preserve"> ispitivanjima sprovedenim na bakterijskim ćelijama i kultivisanim ćelijama sisara</w:t>
      </w:r>
      <w:r w:rsidR="00822462" w:rsidRPr="007223BC">
        <w:rPr>
          <w:rFonts w:eastAsia="MS Mincho"/>
          <w:sz w:val="22"/>
          <w:szCs w:val="22"/>
          <w:lang w:val="sr-Latn-RS"/>
        </w:rPr>
        <w:t>,</w:t>
      </w:r>
      <w:r w:rsidRPr="007223BC">
        <w:rPr>
          <w:rFonts w:eastAsia="MS Mincho"/>
          <w:sz w:val="22"/>
          <w:szCs w:val="22"/>
          <w:lang w:val="sr-Latn-RS"/>
        </w:rPr>
        <w:t xml:space="preserve"> niti u </w:t>
      </w:r>
      <w:r w:rsidRPr="007223BC">
        <w:rPr>
          <w:rFonts w:eastAsia="MS Mincho"/>
          <w:i/>
          <w:sz w:val="22"/>
          <w:szCs w:val="22"/>
          <w:lang w:val="sr-Latn-RS"/>
        </w:rPr>
        <w:t>in viv</w:t>
      </w:r>
      <w:r w:rsidRPr="007223BC">
        <w:rPr>
          <w:rFonts w:eastAsia="MS Mincho"/>
          <w:sz w:val="22"/>
          <w:szCs w:val="22"/>
          <w:lang w:val="sr-Latn-RS"/>
        </w:rPr>
        <w:t xml:space="preserve">o mikronukleusnom testu sprovedenom na glodarima. </w:t>
      </w:r>
      <w:r w:rsidRPr="007223BC">
        <w:rPr>
          <w:sz w:val="22"/>
          <w:szCs w:val="22"/>
          <w:lang w:val="sr-Latn-RS"/>
        </w:rPr>
        <w:t xml:space="preserve">U testovima na bakterijama lamivudin nije bio mutagen, ali kao i mnogi nukleozidni analozi,  inhibira ćelijsku DNK replikaciju u testovima na sisarima </w:t>
      </w:r>
      <w:r w:rsidRPr="007223BC">
        <w:rPr>
          <w:i/>
          <w:sz w:val="22"/>
          <w:szCs w:val="22"/>
          <w:lang w:val="sr-Latn-RS"/>
        </w:rPr>
        <w:t>in vitro,</w:t>
      </w:r>
      <w:r w:rsidRPr="007223BC">
        <w:rPr>
          <w:sz w:val="22"/>
          <w:szCs w:val="22"/>
          <w:lang w:val="sr-Latn-RS"/>
        </w:rPr>
        <w:t xml:space="preserve"> kao što je test mišjeg limfoma. Rezultati dva mikronukleusna testa kod pacova </w:t>
      </w:r>
      <w:r w:rsidRPr="007223BC">
        <w:rPr>
          <w:i/>
          <w:iCs/>
          <w:sz w:val="22"/>
          <w:szCs w:val="22"/>
          <w:lang w:val="sr-Latn-RS"/>
        </w:rPr>
        <w:t>in vivo</w:t>
      </w:r>
      <w:r w:rsidRPr="007223BC">
        <w:rPr>
          <w:sz w:val="22"/>
          <w:szCs w:val="22"/>
          <w:lang w:val="sr-Latn-RS"/>
        </w:rPr>
        <w:t xml:space="preserve"> sa lamivudinom bili su negativni. </w:t>
      </w:r>
    </w:p>
    <w:p w14:paraId="5D71E105" w14:textId="77777777" w:rsidR="00ED7324" w:rsidRPr="007223BC" w:rsidRDefault="00ED7324">
      <w:pPr>
        <w:keepNext/>
        <w:jc w:val="both"/>
        <w:outlineLvl w:val="0"/>
        <w:rPr>
          <w:sz w:val="22"/>
          <w:szCs w:val="22"/>
          <w:lang w:val="sr-Latn-RS"/>
        </w:rPr>
      </w:pPr>
    </w:p>
    <w:p w14:paraId="74D2645D" w14:textId="77777777" w:rsidR="00ED7324" w:rsidRPr="007223BC" w:rsidRDefault="00ED7324">
      <w:pPr>
        <w:keepNext/>
        <w:jc w:val="both"/>
        <w:outlineLvl w:val="0"/>
        <w:rPr>
          <w:sz w:val="22"/>
          <w:szCs w:val="22"/>
          <w:lang w:val="sr-Latn-RS"/>
        </w:rPr>
      </w:pPr>
      <w:r w:rsidRPr="007223BC">
        <w:rPr>
          <w:sz w:val="22"/>
          <w:szCs w:val="22"/>
          <w:lang w:val="sr-Latn-RS"/>
        </w:rPr>
        <w:t xml:space="preserve">Lamivudin nije ispoljio genotoksičnu aktivnost u ispitivanjima </w:t>
      </w:r>
      <w:r w:rsidRPr="007223BC">
        <w:rPr>
          <w:i/>
          <w:iCs/>
          <w:sz w:val="22"/>
          <w:szCs w:val="22"/>
          <w:lang w:val="sr-Latn-RS"/>
        </w:rPr>
        <w:t>in vivo.</w:t>
      </w:r>
      <w:r w:rsidRPr="007223BC">
        <w:rPr>
          <w:sz w:val="22"/>
          <w:szCs w:val="22"/>
          <w:lang w:val="sr-Latn-RS"/>
        </w:rPr>
        <w:t xml:space="preserve"> </w:t>
      </w:r>
    </w:p>
    <w:p w14:paraId="46614509" w14:textId="77777777" w:rsidR="00ED7324" w:rsidRPr="007223BC" w:rsidRDefault="00ED7324">
      <w:pPr>
        <w:keepNext/>
        <w:jc w:val="both"/>
        <w:outlineLvl w:val="0"/>
        <w:rPr>
          <w:sz w:val="22"/>
          <w:szCs w:val="22"/>
          <w:lang w:val="sr-Latn-RS"/>
        </w:rPr>
      </w:pPr>
    </w:p>
    <w:p w14:paraId="1CA250D9" w14:textId="77777777" w:rsidR="00ED7324" w:rsidRPr="007223BC" w:rsidRDefault="00ED7324">
      <w:pPr>
        <w:keepNext/>
        <w:jc w:val="both"/>
        <w:outlineLvl w:val="0"/>
        <w:rPr>
          <w:sz w:val="22"/>
          <w:szCs w:val="22"/>
          <w:lang w:val="sr-Latn-RS"/>
        </w:rPr>
      </w:pPr>
      <w:r w:rsidRPr="007223BC">
        <w:rPr>
          <w:sz w:val="22"/>
          <w:szCs w:val="22"/>
          <w:lang w:val="sr-Latn-RS"/>
        </w:rPr>
        <w:t>Karcinogeni potencijal kombinacije dolutegravira i lamivudina nije ispitivan. Dolutegravir nije ispoljio karcinogeni potencijal u dugotrajnim ispitivanjima na miševima i pacovima. Kod dugotrajnih ispitivanja oralne karcinogenosti kod miševa i pacova, lamivudin nije ispoljio karcinogeni potencijal.</w:t>
      </w:r>
    </w:p>
    <w:p w14:paraId="1A0461DC" w14:textId="77777777" w:rsidR="00ED7324" w:rsidRPr="007223BC" w:rsidRDefault="00ED7324">
      <w:pPr>
        <w:jc w:val="both"/>
        <w:rPr>
          <w:snapToGrid w:val="0"/>
          <w:sz w:val="22"/>
          <w:szCs w:val="22"/>
          <w:lang w:val="sr-Latn-RS"/>
        </w:rPr>
      </w:pPr>
    </w:p>
    <w:p w14:paraId="352B0446" w14:textId="77777777" w:rsidR="00ED7324" w:rsidRPr="007223BC" w:rsidRDefault="00ED7324">
      <w:pPr>
        <w:suppressLineNumbers/>
        <w:tabs>
          <w:tab w:val="left" w:pos="1560"/>
        </w:tabs>
        <w:jc w:val="both"/>
        <w:rPr>
          <w:rFonts w:eastAsia="MS Mincho"/>
          <w:sz w:val="22"/>
          <w:szCs w:val="22"/>
          <w:u w:val="single"/>
          <w:lang w:val="sr-Latn-RS"/>
        </w:rPr>
      </w:pPr>
      <w:r w:rsidRPr="007223BC">
        <w:rPr>
          <w:rFonts w:eastAsia="MS Mincho"/>
          <w:sz w:val="22"/>
          <w:szCs w:val="22"/>
          <w:u w:val="single"/>
          <w:lang w:val="sr-Latn-RS"/>
        </w:rPr>
        <w:t>Ispitivanja reproduktivne toksičnosti</w:t>
      </w:r>
    </w:p>
    <w:p w14:paraId="4E4FB29E" w14:textId="77777777" w:rsidR="00ED7324" w:rsidRPr="007223BC" w:rsidRDefault="00ED7324">
      <w:pPr>
        <w:suppressLineNumbers/>
        <w:tabs>
          <w:tab w:val="left" w:pos="1560"/>
        </w:tabs>
        <w:jc w:val="both"/>
        <w:rPr>
          <w:rFonts w:eastAsia="MS Mincho"/>
          <w:sz w:val="22"/>
          <w:szCs w:val="22"/>
          <w:u w:val="single"/>
          <w:lang w:val="sr-Latn-RS"/>
        </w:rPr>
      </w:pPr>
    </w:p>
    <w:p w14:paraId="62843249" w14:textId="77777777" w:rsidR="00ED7324" w:rsidRPr="007223BC" w:rsidRDefault="00ED7324">
      <w:pPr>
        <w:suppressLineNumbers/>
        <w:tabs>
          <w:tab w:val="left" w:pos="1560"/>
        </w:tabs>
        <w:jc w:val="both"/>
        <w:rPr>
          <w:sz w:val="22"/>
          <w:szCs w:val="22"/>
          <w:lang w:val="sr-Latn-RS"/>
        </w:rPr>
      </w:pPr>
      <w:r w:rsidRPr="007223BC">
        <w:rPr>
          <w:sz w:val="22"/>
          <w:szCs w:val="22"/>
          <w:lang w:val="sr-Latn-RS"/>
        </w:rPr>
        <w:t xml:space="preserve">U okviru ispitivanja reproduktivne toksičnosti kod životinja, pokazano je da dolutegravir i lamivudin prolaze kroz </w:t>
      </w:r>
      <w:r w:rsidRPr="007223BC">
        <w:rPr>
          <w:rStyle w:val="highlight"/>
          <w:sz w:val="22"/>
          <w:szCs w:val="22"/>
          <w:lang w:val="sr-Latn-RS"/>
        </w:rPr>
        <w:t>placent</w:t>
      </w:r>
      <w:r w:rsidRPr="007223BC">
        <w:rPr>
          <w:sz w:val="22"/>
          <w:szCs w:val="22"/>
          <w:lang w:val="sr-Latn-RS"/>
        </w:rPr>
        <w:t xml:space="preserve">u. </w:t>
      </w:r>
    </w:p>
    <w:p w14:paraId="048A0106" w14:textId="77777777" w:rsidR="00ED7324" w:rsidRPr="007223BC" w:rsidRDefault="00ED7324">
      <w:pPr>
        <w:suppressLineNumbers/>
        <w:tabs>
          <w:tab w:val="left" w:pos="1560"/>
        </w:tabs>
        <w:jc w:val="both"/>
        <w:rPr>
          <w:sz w:val="22"/>
          <w:szCs w:val="22"/>
          <w:lang w:val="sr-Latn-RS"/>
        </w:rPr>
      </w:pPr>
    </w:p>
    <w:p w14:paraId="3D56093D" w14:textId="77777777" w:rsidR="00ED7324" w:rsidRPr="007223BC" w:rsidRDefault="00ED7324">
      <w:pPr>
        <w:suppressLineNumbers/>
        <w:tabs>
          <w:tab w:val="left" w:pos="1560"/>
        </w:tabs>
        <w:jc w:val="both"/>
        <w:rPr>
          <w:sz w:val="22"/>
          <w:szCs w:val="22"/>
          <w:lang w:val="sr-Latn-RS"/>
        </w:rPr>
      </w:pPr>
      <w:r w:rsidRPr="007223BC">
        <w:rPr>
          <w:sz w:val="22"/>
          <w:szCs w:val="22"/>
          <w:lang w:val="sr-Latn-RS"/>
        </w:rPr>
        <w:t>Oralna primjena dolutegravira kod gravidnih ženki pacova u dozama do 1000 mg/kg dnevno od 6. do 17. dana gestacije nije uzrokovala toksičnost za majku, razvojnu toksičnost ili teratogenost (izloženost 37</w:t>
      </w:r>
      <w:r w:rsidR="00067900" w:rsidRPr="007223BC">
        <w:rPr>
          <w:sz w:val="22"/>
          <w:szCs w:val="22"/>
          <w:lang w:val="sr-Latn-RS"/>
        </w:rPr>
        <w:t>,</w:t>
      </w:r>
      <w:r w:rsidRPr="007223BC">
        <w:rPr>
          <w:sz w:val="22"/>
          <w:szCs w:val="22"/>
          <w:lang w:val="sr-Latn-RS"/>
        </w:rPr>
        <w:t>2 puta veća od kliničke izloženosti pri primjeni doze od 50 mg jednom dnevno kod ljudi na prazan stomak utvrđeno na osnovu vrijednosti PIK-a). Oralna primjena dolutegravira kod gravidnih ženki kunića u dozama do 1000 mg/kg dnevno od 6. do 18. dana gestacije nije uzrokovala razvojnu toksičnost ili teratogenost (izloženost 0,55 puta veća od kliničke izloženosti pri primjeni doze od 50 mg jednom dnevno kod ljudi na prazan stomak, utvrđeno na osnovu vrijednosti PIK-a). Kod kunića je toksičnost za majku (smanjenje unosa hrane, neadekvatno izlučivanje/izostanak defekacije/uriniranja, suprimiran porast tjelesne težine) primijećena pri primjeni doze od 1000 mg/kg (izloženost 0,55 puta veća od kliničke izloženosti pri primjeni doze od 50</w:t>
      </w:r>
      <w:r w:rsidR="00067900" w:rsidRPr="007223BC">
        <w:rPr>
          <w:sz w:val="22"/>
          <w:szCs w:val="22"/>
          <w:lang w:val="sr-Latn-RS"/>
        </w:rPr>
        <w:t xml:space="preserve"> </w:t>
      </w:r>
      <w:r w:rsidRPr="007223BC">
        <w:rPr>
          <w:sz w:val="22"/>
          <w:szCs w:val="22"/>
          <w:lang w:val="sr-Latn-RS"/>
        </w:rPr>
        <w:t>mg jednom dnevno kod ljudi na prazan stomak, utvrđeno na osnovu vrijednosti PIK-a).</w:t>
      </w:r>
    </w:p>
    <w:p w14:paraId="28AD3CA2" w14:textId="77777777" w:rsidR="00ED7324" w:rsidRPr="007223BC" w:rsidRDefault="00ED7324">
      <w:pPr>
        <w:suppressLineNumbers/>
        <w:tabs>
          <w:tab w:val="left" w:pos="1560"/>
        </w:tabs>
        <w:jc w:val="both"/>
        <w:rPr>
          <w:sz w:val="22"/>
          <w:szCs w:val="22"/>
          <w:lang w:val="sr-Latn-RS"/>
        </w:rPr>
      </w:pPr>
    </w:p>
    <w:p w14:paraId="18FBD3AB" w14:textId="77777777" w:rsidR="00ED7324" w:rsidRPr="007223BC" w:rsidRDefault="00ED7324">
      <w:pPr>
        <w:suppressLineNumbers/>
        <w:tabs>
          <w:tab w:val="left" w:pos="1560"/>
        </w:tabs>
        <w:jc w:val="both"/>
        <w:rPr>
          <w:sz w:val="22"/>
          <w:szCs w:val="22"/>
          <w:lang w:val="sr-Latn-RS"/>
        </w:rPr>
      </w:pPr>
      <w:r w:rsidRPr="007223BC">
        <w:rPr>
          <w:sz w:val="22"/>
          <w:szCs w:val="22"/>
          <w:lang w:val="sr-Latn-RS"/>
        </w:rPr>
        <w:t xml:space="preserve">Lamivudin nije bio teratogen u studijama na životinjama, ali su postojale indikacije da se javlja povećanje učestalosti rane smrtnosti embriona kod kunića, pri relativno niskoj sistemskoj izloženosti, u poređenju sa </w:t>
      </w:r>
      <w:r w:rsidR="00067900" w:rsidRPr="007223BC">
        <w:rPr>
          <w:sz w:val="22"/>
          <w:szCs w:val="22"/>
          <w:lang w:val="sr-Latn-RS"/>
        </w:rPr>
        <w:t xml:space="preserve">onima koje </w:t>
      </w:r>
      <w:r w:rsidRPr="007223BC">
        <w:rPr>
          <w:sz w:val="22"/>
          <w:szCs w:val="22"/>
          <w:lang w:val="sr-Latn-RS"/>
        </w:rPr>
        <w:t>se postižu kod ljudi. Slično dejstvo nije primijećeno kod pacova, čak i pri veoma visokoj sistemskoj izloženosti.</w:t>
      </w:r>
    </w:p>
    <w:p w14:paraId="0FF3FF2C" w14:textId="77777777" w:rsidR="00ED7324" w:rsidRPr="007223BC" w:rsidRDefault="00ED7324">
      <w:pPr>
        <w:suppressLineNumbers/>
        <w:tabs>
          <w:tab w:val="left" w:pos="1560"/>
        </w:tabs>
        <w:jc w:val="both"/>
        <w:rPr>
          <w:sz w:val="22"/>
          <w:szCs w:val="22"/>
          <w:lang w:val="sr-Latn-RS"/>
        </w:rPr>
      </w:pPr>
    </w:p>
    <w:p w14:paraId="1E90E95E" w14:textId="77777777" w:rsidR="00ED7324" w:rsidRPr="007223BC" w:rsidRDefault="00ED7324">
      <w:pPr>
        <w:suppressLineNumbers/>
        <w:tabs>
          <w:tab w:val="left" w:pos="1560"/>
        </w:tabs>
        <w:jc w:val="both"/>
        <w:rPr>
          <w:rFonts w:eastAsia="MS Mincho"/>
          <w:sz w:val="22"/>
          <w:szCs w:val="22"/>
          <w:lang w:val="sr-Latn-RS"/>
        </w:rPr>
      </w:pPr>
      <w:r w:rsidRPr="007223BC">
        <w:rPr>
          <w:sz w:val="22"/>
          <w:szCs w:val="22"/>
          <w:lang w:val="sr-Latn-RS"/>
        </w:rPr>
        <w:t xml:space="preserve">Ispitivanje plodnosti na pacovima je pokazalo da dolutegravir ili lamivudin nemaju dejstva na plodnost mužjaka </w:t>
      </w:r>
      <w:r w:rsidR="00067900" w:rsidRPr="007223BC">
        <w:rPr>
          <w:sz w:val="22"/>
          <w:szCs w:val="22"/>
          <w:lang w:val="sr-Latn-RS"/>
        </w:rPr>
        <w:t xml:space="preserve">ni </w:t>
      </w:r>
      <w:r w:rsidRPr="007223BC">
        <w:rPr>
          <w:sz w:val="22"/>
          <w:szCs w:val="22"/>
          <w:lang w:val="sr-Latn-RS"/>
        </w:rPr>
        <w:t>ženki.</w:t>
      </w:r>
    </w:p>
    <w:p w14:paraId="38557F55" w14:textId="77777777" w:rsidR="00ED7324" w:rsidRPr="007223BC" w:rsidRDefault="00ED7324">
      <w:pPr>
        <w:suppressLineNumbers/>
        <w:jc w:val="both"/>
        <w:rPr>
          <w:sz w:val="22"/>
          <w:szCs w:val="22"/>
          <w:lang w:val="sr-Latn-RS"/>
        </w:rPr>
      </w:pPr>
    </w:p>
    <w:p w14:paraId="4302C4F5" w14:textId="77777777" w:rsidR="00ED7324" w:rsidRPr="007223BC" w:rsidRDefault="00ED7324">
      <w:pPr>
        <w:suppressLineNumbers/>
        <w:jc w:val="both"/>
        <w:rPr>
          <w:sz w:val="22"/>
          <w:szCs w:val="22"/>
          <w:u w:val="single"/>
          <w:lang w:val="sr-Latn-RS"/>
        </w:rPr>
      </w:pPr>
      <w:r w:rsidRPr="007223BC">
        <w:rPr>
          <w:sz w:val="22"/>
          <w:szCs w:val="22"/>
          <w:u w:val="single"/>
          <w:lang w:val="sr-Latn-RS"/>
        </w:rPr>
        <w:t>Toksičnost pri ponovljenom doziranju</w:t>
      </w:r>
    </w:p>
    <w:p w14:paraId="5C4AC61E" w14:textId="77777777" w:rsidR="00ED7324" w:rsidRPr="007223BC" w:rsidRDefault="00ED7324">
      <w:pPr>
        <w:suppressLineNumbers/>
        <w:jc w:val="both"/>
        <w:rPr>
          <w:sz w:val="22"/>
          <w:szCs w:val="22"/>
          <w:u w:val="single"/>
          <w:lang w:val="sr-Latn-RS"/>
        </w:rPr>
      </w:pPr>
    </w:p>
    <w:p w14:paraId="3B9F41F1" w14:textId="77777777" w:rsidR="00ED7324" w:rsidRPr="007223BC" w:rsidRDefault="00ED7324">
      <w:pPr>
        <w:suppressLineNumbers/>
        <w:jc w:val="both"/>
        <w:rPr>
          <w:sz w:val="22"/>
          <w:szCs w:val="22"/>
          <w:lang w:val="sr-Latn-RS"/>
        </w:rPr>
      </w:pPr>
      <w:r w:rsidRPr="007223BC">
        <w:rPr>
          <w:sz w:val="22"/>
          <w:szCs w:val="22"/>
          <w:lang w:val="sr-Latn-RS"/>
        </w:rPr>
        <w:t>U okviru ispitivanja toksičnosti ponovljenih oralnih doza na pacovima (do 26 nedjelja) i majmunima (do 38 nedjelja) procijenjen je efekat dugoročne primjene terapije visokim dozama dolutegravira. Primarno dejstvo dolutegravira bile su gastrointestinalna intolerancija ili iritacija kod pacova i majmuna pri dozama koje su dovele do sistemske izloženosti od približno 28</w:t>
      </w:r>
      <w:r w:rsidR="00044E48" w:rsidRPr="007223BC">
        <w:rPr>
          <w:sz w:val="22"/>
          <w:szCs w:val="22"/>
          <w:lang w:val="sr-Latn-RS"/>
        </w:rPr>
        <w:t>,</w:t>
      </w:r>
      <w:r w:rsidRPr="007223BC">
        <w:rPr>
          <w:sz w:val="22"/>
          <w:szCs w:val="22"/>
          <w:lang w:val="sr-Latn-RS"/>
        </w:rPr>
        <w:t>5 odnosno 1,1 puta većoj od kliničke izloženosti pri primjeni doze od 50 mg jednom dnevno kod ljudi, utvrđeno na osnovu vrijednosti PIK-a. S obzirom na to da se gastrointestinalna intolerancija (GI) smatra posljedicom lokalne primjene aktivne supstance, moguće je adekvatno izraziti vrijednost doze koja je bezbjedna za primjenu kod navedene toksičnosti u mg/kg ili mg/m</w:t>
      </w:r>
      <w:r w:rsidRPr="007223BC">
        <w:rPr>
          <w:sz w:val="22"/>
          <w:szCs w:val="22"/>
          <w:vertAlign w:val="superscript"/>
          <w:lang w:val="sr-Latn-RS"/>
        </w:rPr>
        <w:t>2</w:t>
      </w:r>
      <w:r w:rsidRPr="007223BC">
        <w:rPr>
          <w:sz w:val="22"/>
          <w:szCs w:val="22"/>
          <w:lang w:val="sr-Latn-RS"/>
        </w:rPr>
        <w:t xml:space="preserve">. Gastrointestinalna intolerancija kod majmuna se javljala nakon </w:t>
      </w:r>
      <w:r w:rsidRPr="007223BC">
        <w:rPr>
          <w:sz w:val="22"/>
          <w:szCs w:val="22"/>
          <w:lang w:val="sr-Latn-RS"/>
        </w:rPr>
        <w:lastRenderedPageBreak/>
        <w:t>primjene doza koje su bile 30 puta veće od ekvivalentne doze kod ljudi izražene u mg/kg (na osnovu tjelesne mase od 50 kg) i 11 puta veće od ekvivalentne doze kod ljudi izražene u mg/m</w:t>
      </w:r>
      <w:r w:rsidRPr="007223BC">
        <w:rPr>
          <w:sz w:val="22"/>
          <w:szCs w:val="22"/>
          <w:vertAlign w:val="superscript"/>
          <w:lang w:val="sr-Latn-RS"/>
        </w:rPr>
        <w:t xml:space="preserve">2 </w:t>
      </w:r>
      <w:r w:rsidRPr="007223BC">
        <w:rPr>
          <w:sz w:val="22"/>
          <w:szCs w:val="22"/>
          <w:lang w:val="sr-Latn-RS"/>
        </w:rPr>
        <w:t>za kliničku dozu od 50</w:t>
      </w:r>
      <w:r w:rsidR="00044E48" w:rsidRPr="007223BC">
        <w:rPr>
          <w:sz w:val="22"/>
          <w:szCs w:val="22"/>
          <w:lang w:val="sr-Latn-RS"/>
        </w:rPr>
        <w:t xml:space="preserve"> </w:t>
      </w:r>
      <w:r w:rsidRPr="007223BC">
        <w:rPr>
          <w:sz w:val="22"/>
          <w:szCs w:val="22"/>
          <w:lang w:val="sr-Latn-RS"/>
        </w:rPr>
        <w:t>mg jednom dnevno.</w:t>
      </w:r>
    </w:p>
    <w:p w14:paraId="67B19A9B" w14:textId="77777777" w:rsidR="00DB45B7" w:rsidRPr="007223BC" w:rsidRDefault="00DB45B7">
      <w:pPr>
        <w:suppressLineNumbers/>
        <w:jc w:val="both"/>
        <w:rPr>
          <w:sz w:val="22"/>
          <w:szCs w:val="22"/>
          <w:u w:val="single"/>
          <w:lang w:val="sr-Latn-RS"/>
        </w:rPr>
      </w:pPr>
    </w:p>
    <w:p w14:paraId="23852745" w14:textId="77777777" w:rsidR="00396DFD" w:rsidRPr="007223BC" w:rsidRDefault="00396DFD">
      <w:pPr>
        <w:tabs>
          <w:tab w:val="left" w:pos="540"/>
          <w:tab w:val="left" w:pos="569"/>
        </w:tabs>
        <w:jc w:val="both"/>
        <w:rPr>
          <w:b/>
          <w:bCs/>
          <w:sz w:val="22"/>
          <w:szCs w:val="22"/>
          <w:lang w:val="sr-Latn-RS"/>
        </w:rPr>
      </w:pPr>
    </w:p>
    <w:p w14:paraId="46403850" w14:textId="77777777" w:rsidR="0072020E" w:rsidRPr="00287AA6" w:rsidRDefault="0072020E" w:rsidP="00413968">
      <w:pPr>
        <w:tabs>
          <w:tab w:val="left" w:pos="540"/>
          <w:tab w:val="left" w:pos="569"/>
        </w:tabs>
        <w:jc w:val="both"/>
        <w:rPr>
          <w:b/>
          <w:bCs/>
          <w:sz w:val="22"/>
          <w:szCs w:val="22"/>
          <w:lang w:val="sr-Latn-RS"/>
        </w:rPr>
      </w:pPr>
      <w:r w:rsidRPr="00287AA6">
        <w:rPr>
          <w:b/>
          <w:bCs/>
          <w:sz w:val="22"/>
          <w:szCs w:val="22"/>
          <w:lang w:val="sr-Latn-RS"/>
        </w:rPr>
        <w:t xml:space="preserve">6. </w:t>
      </w:r>
      <w:r w:rsidR="00480FB1" w:rsidRPr="00287AA6">
        <w:rPr>
          <w:b/>
          <w:bCs/>
          <w:sz w:val="22"/>
          <w:szCs w:val="22"/>
          <w:lang w:val="sr-Latn-RS"/>
        </w:rPr>
        <w:tab/>
      </w:r>
      <w:r w:rsidRPr="00287AA6">
        <w:rPr>
          <w:b/>
          <w:bCs/>
          <w:sz w:val="22"/>
          <w:szCs w:val="22"/>
          <w:lang w:val="sr-Latn-RS"/>
        </w:rPr>
        <w:t>FARMACEUTSKI PODACI</w:t>
      </w:r>
    </w:p>
    <w:p w14:paraId="28BD4262" w14:textId="77777777" w:rsidR="00836B35" w:rsidRPr="00287AA6" w:rsidRDefault="00836B35" w:rsidP="00413968">
      <w:pPr>
        <w:tabs>
          <w:tab w:val="left" w:pos="540"/>
          <w:tab w:val="left" w:pos="569"/>
        </w:tabs>
        <w:jc w:val="both"/>
        <w:rPr>
          <w:bCs/>
          <w:sz w:val="22"/>
          <w:szCs w:val="22"/>
          <w:lang w:val="sr-Latn-RS"/>
        </w:rPr>
      </w:pPr>
    </w:p>
    <w:p w14:paraId="7FA883F6" w14:textId="77777777" w:rsidR="0072020E" w:rsidRPr="00287AA6" w:rsidRDefault="0072020E" w:rsidP="00413968">
      <w:pPr>
        <w:tabs>
          <w:tab w:val="left" w:pos="540"/>
          <w:tab w:val="left" w:pos="569"/>
        </w:tabs>
        <w:jc w:val="both"/>
        <w:rPr>
          <w:b/>
          <w:bCs/>
          <w:sz w:val="22"/>
          <w:szCs w:val="22"/>
          <w:lang w:val="sr-Latn-RS"/>
        </w:rPr>
      </w:pPr>
      <w:r w:rsidRPr="00287AA6">
        <w:rPr>
          <w:b/>
          <w:bCs/>
          <w:sz w:val="22"/>
          <w:szCs w:val="22"/>
          <w:lang w:val="sr-Latn-RS"/>
        </w:rPr>
        <w:t xml:space="preserve">6.1. </w:t>
      </w:r>
      <w:r w:rsidR="00480FB1" w:rsidRPr="00287AA6">
        <w:rPr>
          <w:b/>
          <w:bCs/>
          <w:sz w:val="22"/>
          <w:szCs w:val="22"/>
          <w:lang w:val="sr-Latn-RS"/>
        </w:rPr>
        <w:tab/>
      </w:r>
      <w:r w:rsidRPr="00287AA6">
        <w:rPr>
          <w:b/>
          <w:bCs/>
          <w:sz w:val="22"/>
          <w:szCs w:val="22"/>
          <w:lang w:val="sr-Latn-RS"/>
        </w:rPr>
        <w:t>Lista pomoćnih supstanci</w:t>
      </w:r>
      <w:r w:rsidR="002E0135" w:rsidRPr="00287AA6">
        <w:rPr>
          <w:b/>
          <w:bCs/>
          <w:sz w:val="22"/>
          <w:szCs w:val="22"/>
          <w:lang w:val="sr-Latn-RS"/>
        </w:rPr>
        <w:t xml:space="preserve"> (ekscipijenasa)</w:t>
      </w:r>
    </w:p>
    <w:p w14:paraId="7EDB76D0" w14:textId="77777777" w:rsidR="00DB45B7" w:rsidRPr="00287AA6" w:rsidRDefault="00DB45B7" w:rsidP="00413968">
      <w:pPr>
        <w:pStyle w:val="Header"/>
        <w:jc w:val="both"/>
        <w:rPr>
          <w:i/>
          <w:sz w:val="22"/>
          <w:szCs w:val="22"/>
          <w:lang w:val="sr-Latn-RS"/>
        </w:rPr>
      </w:pPr>
    </w:p>
    <w:p w14:paraId="446A12E8" w14:textId="77777777" w:rsidR="00B90DDE" w:rsidRPr="00287AA6" w:rsidRDefault="00B90DDE" w:rsidP="00413968">
      <w:pPr>
        <w:pStyle w:val="Header"/>
        <w:jc w:val="both"/>
        <w:rPr>
          <w:i/>
          <w:sz w:val="22"/>
          <w:szCs w:val="22"/>
          <w:lang w:val="sr-Latn-RS"/>
        </w:rPr>
      </w:pPr>
      <w:r w:rsidRPr="00287AA6">
        <w:rPr>
          <w:i/>
          <w:sz w:val="22"/>
          <w:szCs w:val="22"/>
          <w:lang w:val="sr-Latn-RS"/>
        </w:rPr>
        <w:t>Jezgro tablete:</w:t>
      </w:r>
    </w:p>
    <w:p w14:paraId="3464262C" w14:textId="77777777" w:rsidR="00B90DDE" w:rsidRPr="007223BC" w:rsidRDefault="00B90DDE" w:rsidP="00413968">
      <w:pPr>
        <w:autoSpaceDE w:val="0"/>
        <w:autoSpaceDN w:val="0"/>
        <w:adjustRightInd w:val="0"/>
        <w:jc w:val="both"/>
        <w:rPr>
          <w:bCs/>
          <w:sz w:val="22"/>
          <w:szCs w:val="22"/>
          <w:lang w:val="sr-Latn-CS" w:eastAsia="sr-Latn-CS"/>
        </w:rPr>
      </w:pPr>
      <w:r w:rsidRPr="007223BC">
        <w:rPr>
          <w:bCs/>
          <w:sz w:val="22"/>
          <w:szCs w:val="22"/>
          <w:lang w:val="sr-Latn-CS" w:eastAsia="sr-Latn-CS"/>
        </w:rPr>
        <w:t xml:space="preserve">Celuloza, mikrokristalna </w:t>
      </w:r>
    </w:p>
    <w:p w14:paraId="0119424D" w14:textId="77777777" w:rsidR="00B90DDE" w:rsidRPr="007223BC" w:rsidRDefault="00B90DDE" w:rsidP="00413968">
      <w:pPr>
        <w:autoSpaceDE w:val="0"/>
        <w:autoSpaceDN w:val="0"/>
        <w:adjustRightInd w:val="0"/>
        <w:jc w:val="both"/>
        <w:rPr>
          <w:bCs/>
          <w:sz w:val="22"/>
          <w:szCs w:val="22"/>
          <w:lang w:val="sr-Latn-CS" w:eastAsia="sr-Latn-CS"/>
        </w:rPr>
      </w:pPr>
      <w:r w:rsidRPr="007223BC">
        <w:rPr>
          <w:bCs/>
          <w:sz w:val="22"/>
          <w:szCs w:val="22"/>
          <w:lang w:val="sr-Latn-CS" w:eastAsia="sr-Latn-CS"/>
        </w:rPr>
        <w:t xml:space="preserve">Natrijum skrobglikolat </w:t>
      </w:r>
    </w:p>
    <w:p w14:paraId="41112F0F" w14:textId="77777777" w:rsidR="00B90DDE" w:rsidRPr="007223BC" w:rsidRDefault="00B90DDE" w:rsidP="00413968">
      <w:pPr>
        <w:pStyle w:val="Header"/>
        <w:jc w:val="both"/>
        <w:rPr>
          <w:sz w:val="22"/>
          <w:szCs w:val="22"/>
          <w:lang w:val="sl-SI"/>
        </w:rPr>
      </w:pPr>
      <w:r w:rsidRPr="007223BC">
        <w:rPr>
          <w:sz w:val="22"/>
          <w:szCs w:val="22"/>
          <w:lang w:val="sl-SI"/>
        </w:rPr>
        <w:t>Magnezijum stearat</w:t>
      </w:r>
    </w:p>
    <w:p w14:paraId="4B4716EF" w14:textId="77777777" w:rsidR="00B90DDE" w:rsidRPr="007223BC" w:rsidRDefault="00B90DDE" w:rsidP="00413968">
      <w:pPr>
        <w:autoSpaceDE w:val="0"/>
        <w:autoSpaceDN w:val="0"/>
        <w:adjustRightInd w:val="0"/>
        <w:jc w:val="both"/>
        <w:rPr>
          <w:bCs/>
          <w:sz w:val="22"/>
          <w:szCs w:val="22"/>
          <w:lang w:val="sr-Latn-CS" w:eastAsia="sr-Latn-CS"/>
        </w:rPr>
      </w:pPr>
      <w:r w:rsidRPr="007223BC">
        <w:rPr>
          <w:bCs/>
          <w:sz w:val="22"/>
          <w:szCs w:val="22"/>
          <w:lang w:val="sr-Latn-CS" w:eastAsia="sr-Latn-CS"/>
        </w:rPr>
        <w:t>Manitol (E421)</w:t>
      </w:r>
    </w:p>
    <w:p w14:paraId="0147B4E1" w14:textId="77777777" w:rsidR="00B90DDE" w:rsidRPr="007223BC" w:rsidRDefault="00B90DDE" w:rsidP="00413968">
      <w:pPr>
        <w:autoSpaceDE w:val="0"/>
        <w:autoSpaceDN w:val="0"/>
        <w:adjustRightInd w:val="0"/>
        <w:jc w:val="both"/>
        <w:rPr>
          <w:bCs/>
          <w:sz w:val="22"/>
          <w:szCs w:val="22"/>
          <w:lang w:val="sr-Latn-CS" w:eastAsia="sr-Latn-CS"/>
        </w:rPr>
      </w:pPr>
      <w:r w:rsidRPr="007223BC">
        <w:rPr>
          <w:bCs/>
          <w:sz w:val="22"/>
          <w:szCs w:val="22"/>
          <w:lang w:val="sr-Latn-CS" w:eastAsia="sr-Latn-CS"/>
        </w:rPr>
        <w:t>Povidon (K29/32)</w:t>
      </w:r>
    </w:p>
    <w:p w14:paraId="36F2DE5A" w14:textId="77777777" w:rsidR="00B90DDE" w:rsidRPr="007223BC" w:rsidRDefault="00B90DDE" w:rsidP="00413968">
      <w:pPr>
        <w:autoSpaceDE w:val="0"/>
        <w:autoSpaceDN w:val="0"/>
        <w:adjustRightInd w:val="0"/>
        <w:jc w:val="both"/>
        <w:rPr>
          <w:bCs/>
          <w:sz w:val="22"/>
          <w:szCs w:val="22"/>
          <w:lang w:val="sr-Latn-CS" w:eastAsia="sr-Latn-CS"/>
        </w:rPr>
      </w:pPr>
      <w:r w:rsidRPr="007223BC">
        <w:rPr>
          <w:bCs/>
          <w:sz w:val="22"/>
          <w:szCs w:val="22"/>
          <w:lang w:val="sr-Latn-CS" w:eastAsia="sr-Latn-CS"/>
        </w:rPr>
        <w:t xml:space="preserve">Natrijum stearilfumarat </w:t>
      </w:r>
    </w:p>
    <w:p w14:paraId="1E48E888" w14:textId="77777777" w:rsidR="00B90DDE" w:rsidRPr="007223BC" w:rsidRDefault="00B90DDE" w:rsidP="00413968">
      <w:pPr>
        <w:pStyle w:val="Header"/>
        <w:jc w:val="both"/>
        <w:rPr>
          <w:sz w:val="22"/>
          <w:szCs w:val="22"/>
          <w:lang w:val="sl-SI"/>
        </w:rPr>
      </w:pPr>
    </w:p>
    <w:p w14:paraId="6E0D736F" w14:textId="77777777" w:rsidR="00B90DDE" w:rsidRPr="007223BC" w:rsidRDefault="00B90DDE" w:rsidP="00413968">
      <w:pPr>
        <w:pStyle w:val="Header"/>
        <w:jc w:val="both"/>
        <w:rPr>
          <w:i/>
          <w:sz w:val="22"/>
          <w:szCs w:val="22"/>
        </w:rPr>
      </w:pPr>
      <w:r w:rsidRPr="007223BC">
        <w:rPr>
          <w:i/>
          <w:sz w:val="22"/>
          <w:szCs w:val="22"/>
        </w:rPr>
        <w:t>Film obloga tablete:</w:t>
      </w:r>
    </w:p>
    <w:p w14:paraId="151254D9" w14:textId="77777777" w:rsidR="00B90DDE" w:rsidRPr="007223BC" w:rsidRDefault="00B90DDE" w:rsidP="00413968">
      <w:pPr>
        <w:autoSpaceDE w:val="0"/>
        <w:autoSpaceDN w:val="0"/>
        <w:adjustRightInd w:val="0"/>
        <w:jc w:val="both"/>
        <w:rPr>
          <w:sz w:val="22"/>
          <w:szCs w:val="22"/>
          <w:lang w:val="sl-SI"/>
        </w:rPr>
      </w:pPr>
      <w:r w:rsidRPr="007223BC">
        <w:rPr>
          <w:sz w:val="22"/>
          <w:szCs w:val="22"/>
          <w:lang w:val="sl-SI"/>
        </w:rPr>
        <w:t>Hipromeloza (E464)</w:t>
      </w:r>
    </w:p>
    <w:p w14:paraId="7B4DD57B" w14:textId="77777777" w:rsidR="00B90DDE" w:rsidRPr="007223BC" w:rsidRDefault="00B90DDE" w:rsidP="00413968">
      <w:pPr>
        <w:autoSpaceDE w:val="0"/>
        <w:autoSpaceDN w:val="0"/>
        <w:adjustRightInd w:val="0"/>
        <w:jc w:val="both"/>
        <w:rPr>
          <w:sz w:val="22"/>
          <w:szCs w:val="22"/>
          <w:lang w:val="sl-SI"/>
        </w:rPr>
      </w:pPr>
      <w:r w:rsidRPr="007223BC">
        <w:rPr>
          <w:sz w:val="22"/>
          <w:szCs w:val="22"/>
          <w:lang w:val="sl-SI"/>
        </w:rPr>
        <w:t xml:space="preserve">Makrogol </w:t>
      </w:r>
    </w:p>
    <w:p w14:paraId="7403C8EA" w14:textId="77777777" w:rsidR="00B90DDE" w:rsidRPr="007223BC" w:rsidRDefault="00B90DDE" w:rsidP="00413968">
      <w:pPr>
        <w:pStyle w:val="Header"/>
        <w:jc w:val="both"/>
        <w:rPr>
          <w:sz w:val="22"/>
          <w:szCs w:val="22"/>
          <w:lang w:val="sl-SI"/>
        </w:rPr>
      </w:pPr>
      <w:r w:rsidRPr="007223BC">
        <w:rPr>
          <w:sz w:val="22"/>
          <w:szCs w:val="22"/>
          <w:lang w:val="sl-SI"/>
        </w:rPr>
        <w:t>Titan dioksid (E171)</w:t>
      </w:r>
    </w:p>
    <w:p w14:paraId="503FB550" w14:textId="77777777" w:rsidR="0072020E" w:rsidRPr="00287AA6" w:rsidRDefault="0072020E" w:rsidP="00413968">
      <w:pPr>
        <w:tabs>
          <w:tab w:val="left" w:pos="540"/>
          <w:tab w:val="left" w:pos="569"/>
        </w:tabs>
        <w:jc w:val="both"/>
        <w:rPr>
          <w:bCs/>
          <w:sz w:val="22"/>
          <w:szCs w:val="22"/>
          <w:lang w:val="it-IT"/>
        </w:rPr>
      </w:pPr>
    </w:p>
    <w:p w14:paraId="371BA517" w14:textId="77777777" w:rsidR="0072020E" w:rsidRPr="00287AA6" w:rsidRDefault="0072020E" w:rsidP="00413968">
      <w:pPr>
        <w:tabs>
          <w:tab w:val="left" w:pos="540"/>
          <w:tab w:val="left" w:pos="569"/>
        </w:tabs>
        <w:jc w:val="both"/>
        <w:rPr>
          <w:b/>
          <w:bCs/>
          <w:sz w:val="22"/>
          <w:szCs w:val="22"/>
          <w:lang w:val="it-IT"/>
        </w:rPr>
      </w:pPr>
      <w:r w:rsidRPr="00287AA6">
        <w:rPr>
          <w:b/>
          <w:bCs/>
          <w:sz w:val="22"/>
          <w:szCs w:val="22"/>
          <w:lang w:val="it-IT"/>
        </w:rPr>
        <w:t xml:space="preserve">6.2. </w:t>
      </w:r>
      <w:r w:rsidR="00480FB1" w:rsidRPr="00287AA6">
        <w:rPr>
          <w:b/>
          <w:bCs/>
          <w:sz w:val="22"/>
          <w:szCs w:val="22"/>
          <w:lang w:val="it-IT"/>
        </w:rPr>
        <w:tab/>
      </w:r>
      <w:r w:rsidRPr="00287AA6">
        <w:rPr>
          <w:b/>
          <w:bCs/>
          <w:sz w:val="22"/>
          <w:szCs w:val="22"/>
          <w:lang w:val="it-IT"/>
        </w:rPr>
        <w:t>Inkompatibilnost</w:t>
      </w:r>
      <w:r w:rsidR="002846DB" w:rsidRPr="00287AA6">
        <w:rPr>
          <w:b/>
          <w:bCs/>
          <w:sz w:val="22"/>
          <w:szCs w:val="22"/>
          <w:lang w:val="it-IT"/>
        </w:rPr>
        <w:t>i</w:t>
      </w:r>
    </w:p>
    <w:p w14:paraId="3A9933D4" w14:textId="77777777" w:rsidR="00DB45B7" w:rsidRPr="00287AA6" w:rsidRDefault="00DB45B7" w:rsidP="00413968">
      <w:pPr>
        <w:jc w:val="both"/>
        <w:rPr>
          <w:sz w:val="22"/>
          <w:szCs w:val="22"/>
          <w:lang w:val="it-IT"/>
        </w:rPr>
      </w:pPr>
    </w:p>
    <w:p w14:paraId="22662901" w14:textId="77777777" w:rsidR="00357224" w:rsidRPr="00287AA6" w:rsidRDefault="00357224" w:rsidP="00413968">
      <w:pPr>
        <w:jc w:val="both"/>
        <w:rPr>
          <w:sz w:val="22"/>
          <w:szCs w:val="22"/>
          <w:lang w:val="it-IT"/>
        </w:rPr>
      </w:pPr>
      <w:r w:rsidRPr="00287AA6">
        <w:rPr>
          <w:sz w:val="22"/>
          <w:szCs w:val="22"/>
          <w:lang w:val="it-IT"/>
        </w:rPr>
        <w:t>Nije primjenljivo.</w:t>
      </w:r>
    </w:p>
    <w:p w14:paraId="443FCECC" w14:textId="77777777" w:rsidR="0072020E" w:rsidRPr="00287AA6" w:rsidRDefault="0072020E" w:rsidP="00413968">
      <w:pPr>
        <w:tabs>
          <w:tab w:val="left" w:pos="540"/>
          <w:tab w:val="left" w:pos="569"/>
        </w:tabs>
        <w:jc w:val="both"/>
        <w:rPr>
          <w:bCs/>
          <w:sz w:val="22"/>
          <w:szCs w:val="22"/>
          <w:lang w:val="it-IT"/>
        </w:rPr>
      </w:pPr>
    </w:p>
    <w:p w14:paraId="5EED543B" w14:textId="77777777" w:rsidR="0072020E" w:rsidRPr="00287AA6" w:rsidRDefault="0072020E" w:rsidP="00413968">
      <w:pPr>
        <w:tabs>
          <w:tab w:val="left" w:pos="540"/>
          <w:tab w:val="left" w:pos="569"/>
        </w:tabs>
        <w:jc w:val="both"/>
        <w:rPr>
          <w:b/>
          <w:bCs/>
          <w:sz w:val="22"/>
          <w:szCs w:val="22"/>
          <w:lang w:val="it-IT"/>
        </w:rPr>
      </w:pPr>
      <w:r w:rsidRPr="00287AA6">
        <w:rPr>
          <w:b/>
          <w:bCs/>
          <w:sz w:val="22"/>
          <w:szCs w:val="22"/>
          <w:lang w:val="it-IT"/>
        </w:rPr>
        <w:t>6.3.</w:t>
      </w:r>
      <w:r w:rsidR="00C05DF8" w:rsidRPr="00287AA6">
        <w:rPr>
          <w:b/>
          <w:bCs/>
          <w:sz w:val="22"/>
          <w:szCs w:val="22"/>
          <w:lang w:val="it-IT"/>
        </w:rPr>
        <w:t xml:space="preserve"> </w:t>
      </w:r>
      <w:r w:rsidR="00480FB1" w:rsidRPr="00287AA6">
        <w:rPr>
          <w:b/>
          <w:bCs/>
          <w:sz w:val="22"/>
          <w:szCs w:val="22"/>
          <w:lang w:val="it-IT"/>
        </w:rPr>
        <w:tab/>
      </w:r>
      <w:r w:rsidRPr="00287AA6">
        <w:rPr>
          <w:b/>
          <w:bCs/>
          <w:sz w:val="22"/>
          <w:szCs w:val="22"/>
          <w:lang w:val="it-IT"/>
        </w:rPr>
        <w:t>Rok upotrebe</w:t>
      </w:r>
    </w:p>
    <w:p w14:paraId="51C53965" w14:textId="77777777" w:rsidR="00DB45B7" w:rsidRPr="00287AA6" w:rsidRDefault="00DB45B7" w:rsidP="00413968">
      <w:pPr>
        <w:pStyle w:val="Header"/>
        <w:tabs>
          <w:tab w:val="left" w:pos="284"/>
        </w:tabs>
        <w:jc w:val="both"/>
        <w:rPr>
          <w:sz w:val="22"/>
          <w:szCs w:val="22"/>
          <w:lang w:val="it-IT"/>
        </w:rPr>
      </w:pPr>
    </w:p>
    <w:p w14:paraId="1637A8FE" w14:textId="77777777" w:rsidR="00D02805" w:rsidRPr="00287AA6" w:rsidRDefault="00D139A3" w:rsidP="00413968">
      <w:pPr>
        <w:pStyle w:val="Header"/>
        <w:tabs>
          <w:tab w:val="left" w:pos="284"/>
        </w:tabs>
        <w:jc w:val="both"/>
        <w:rPr>
          <w:sz w:val="22"/>
          <w:szCs w:val="22"/>
          <w:lang w:val="it-IT"/>
        </w:rPr>
      </w:pPr>
      <w:r w:rsidRPr="00287AA6">
        <w:rPr>
          <w:sz w:val="22"/>
          <w:szCs w:val="22"/>
          <w:lang w:val="it-IT"/>
        </w:rPr>
        <w:t>4</w:t>
      </w:r>
      <w:r w:rsidR="00D02805" w:rsidRPr="00287AA6">
        <w:rPr>
          <w:sz w:val="22"/>
          <w:szCs w:val="22"/>
          <w:lang w:val="it-IT"/>
        </w:rPr>
        <w:t xml:space="preserve"> godine.</w:t>
      </w:r>
    </w:p>
    <w:p w14:paraId="705ACED2" w14:textId="77777777" w:rsidR="00D02805" w:rsidRPr="00287AA6" w:rsidRDefault="00D02805" w:rsidP="00413968">
      <w:pPr>
        <w:pStyle w:val="Header"/>
        <w:tabs>
          <w:tab w:val="left" w:pos="284"/>
        </w:tabs>
        <w:jc w:val="both"/>
        <w:rPr>
          <w:sz w:val="22"/>
          <w:szCs w:val="22"/>
          <w:lang w:val="it-IT"/>
        </w:rPr>
      </w:pPr>
    </w:p>
    <w:p w14:paraId="66BD311E" w14:textId="77777777" w:rsidR="0072020E" w:rsidRPr="00287AA6" w:rsidRDefault="0072020E" w:rsidP="00413968">
      <w:pPr>
        <w:tabs>
          <w:tab w:val="left" w:pos="540"/>
          <w:tab w:val="left" w:pos="569"/>
        </w:tabs>
        <w:jc w:val="both"/>
        <w:rPr>
          <w:b/>
          <w:bCs/>
          <w:sz w:val="22"/>
          <w:szCs w:val="22"/>
          <w:lang w:val="it-IT"/>
        </w:rPr>
      </w:pPr>
      <w:r w:rsidRPr="00287AA6">
        <w:rPr>
          <w:b/>
          <w:bCs/>
          <w:sz w:val="22"/>
          <w:szCs w:val="22"/>
          <w:lang w:val="it-IT"/>
        </w:rPr>
        <w:t xml:space="preserve">6.4. </w:t>
      </w:r>
      <w:r w:rsidR="00480FB1" w:rsidRPr="00287AA6">
        <w:rPr>
          <w:b/>
          <w:bCs/>
          <w:sz w:val="22"/>
          <w:szCs w:val="22"/>
          <w:lang w:val="it-IT"/>
        </w:rPr>
        <w:tab/>
      </w:r>
      <w:r w:rsidRPr="00287AA6">
        <w:rPr>
          <w:b/>
          <w:bCs/>
          <w:sz w:val="22"/>
          <w:szCs w:val="22"/>
          <w:lang w:val="it-IT"/>
        </w:rPr>
        <w:t>Posebne mjere upozorenja pri čuvanju</w:t>
      </w:r>
      <w:r w:rsidR="00F8570A" w:rsidRPr="00287AA6">
        <w:rPr>
          <w:b/>
          <w:bCs/>
          <w:sz w:val="22"/>
          <w:szCs w:val="22"/>
          <w:lang w:val="it-IT"/>
        </w:rPr>
        <w:t xml:space="preserve"> lijeka</w:t>
      </w:r>
    </w:p>
    <w:p w14:paraId="03123C38" w14:textId="77777777" w:rsidR="00DB45B7" w:rsidRPr="00287AA6" w:rsidRDefault="00DB45B7" w:rsidP="00413968">
      <w:pPr>
        <w:jc w:val="both"/>
        <w:rPr>
          <w:sz w:val="22"/>
          <w:szCs w:val="22"/>
          <w:lang w:val="it-IT"/>
        </w:rPr>
      </w:pPr>
    </w:p>
    <w:p w14:paraId="6D9CEE88" w14:textId="77777777" w:rsidR="00216F40" w:rsidRPr="00287AA6" w:rsidRDefault="00216F40" w:rsidP="00413968">
      <w:pPr>
        <w:jc w:val="both"/>
        <w:rPr>
          <w:sz w:val="22"/>
          <w:szCs w:val="22"/>
          <w:lang w:val="fi-FI"/>
        </w:rPr>
      </w:pPr>
      <w:r w:rsidRPr="00287AA6">
        <w:rPr>
          <w:sz w:val="22"/>
          <w:szCs w:val="22"/>
          <w:lang w:val="fi-FI"/>
        </w:rPr>
        <w:t>Lijek ne zahtijeva posebne uslove čuvanja.</w:t>
      </w:r>
    </w:p>
    <w:p w14:paraId="3877CE78" w14:textId="77777777" w:rsidR="00EC2532" w:rsidRPr="00287AA6" w:rsidRDefault="00EC2532" w:rsidP="00413968">
      <w:pPr>
        <w:tabs>
          <w:tab w:val="left" w:pos="540"/>
          <w:tab w:val="left" w:pos="569"/>
        </w:tabs>
        <w:jc w:val="both"/>
        <w:rPr>
          <w:bCs/>
          <w:sz w:val="22"/>
          <w:szCs w:val="22"/>
          <w:lang w:val="fi-FI"/>
        </w:rPr>
      </w:pPr>
    </w:p>
    <w:p w14:paraId="6738B41F" w14:textId="77777777" w:rsidR="0072020E" w:rsidRPr="00287AA6" w:rsidRDefault="0072020E" w:rsidP="00413968">
      <w:pPr>
        <w:tabs>
          <w:tab w:val="left" w:pos="540"/>
          <w:tab w:val="left" w:pos="569"/>
        </w:tabs>
        <w:jc w:val="both"/>
        <w:rPr>
          <w:b/>
          <w:bCs/>
          <w:sz w:val="22"/>
          <w:szCs w:val="22"/>
          <w:lang w:val="fi-FI"/>
        </w:rPr>
      </w:pPr>
      <w:r w:rsidRPr="00287AA6">
        <w:rPr>
          <w:b/>
          <w:bCs/>
          <w:sz w:val="22"/>
          <w:szCs w:val="22"/>
          <w:lang w:val="fi-FI"/>
        </w:rPr>
        <w:t xml:space="preserve">6.5. </w:t>
      </w:r>
      <w:r w:rsidR="00480FB1" w:rsidRPr="00287AA6">
        <w:rPr>
          <w:b/>
          <w:bCs/>
          <w:sz w:val="22"/>
          <w:szCs w:val="22"/>
          <w:lang w:val="fi-FI"/>
        </w:rPr>
        <w:tab/>
      </w:r>
      <w:r w:rsidR="002846DB" w:rsidRPr="00287AA6">
        <w:rPr>
          <w:b/>
          <w:bCs/>
          <w:sz w:val="22"/>
          <w:szCs w:val="22"/>
          <w:lang w:val="fi-FI"/>
        </w:rPr>
        <w:t xml:space="preserve">Vrsta i sadržaj </w:t>
      </w:r>
      <w:r w:rsidR="00F8570A" w:rsidRPr="00287AA6">
        <w:rPr>
          <w:b/>
          <w:bCs/>
          <w:sz w:val="22"/>
          <w:szCs w:val="22"/>
          <w:lang w:val="fi-FI"/>
        </w:rPr>
        <w:t>pakovanja</w:t>
      </w:r>
      <w:r w:rsidR="00C06864" w:rsidRPr="00287AA6">
        <w:rPr>
          <w:b/>
          <w:bCs/>
          <w:sz w:val="22"/>
          <w:szCs w:val="22"/>
          <w:lang w:val="fi-FI"/>
        </w:rPr>
        <w:t xml:space="preserve"> </w:t>
      </w:r>
    </w:p>
    <w:p w14:paraId="05630400" w14:textId="77777777" w:rsidR="00DB45B7" w:rsidRPr="007223BC" w:rsidRDefault="00DB45B7" w:rsidP="00413968">
      <w:pPr>
        <w:contextualSpacing/>
        <w:jc w:val="both"/>
        <w:rPr>
          <w:bCs/>
          <w:sz w:val="22"/>
          <w:szCs w:val="22"/>
          <w:lang w:val="sl-SI"/>
        </w:rPr>
      </w:pPr>
      <w:bookmarkStart w:id="10" w:name="_Hlk82804259"/>
    </w:p>
    <w:p w14:paraId="429D1558" w14:textId="77777777" w:rsidR="009E0D65" w:rsidRPr="007223BC" w:rsidRDefault="009E0D65" w:rsidP="00805A14">
      <w:pPr>
        <w:contextualSpacing/>
        <w:jc w:val="both"/>
        <w:rPr>
          <w:bCs/>
          <w:sz w:val="22"/>
          <w:szCs w:val="22"/>
          <w:lang w:val="sl-SI"/>
        </w:rPr>
      </w:pPr>
      <w:r w:rsidRPr="007223BC">
        <w:rPr>
          <w:bCs/>
          <w:sz w:val="22"/>
          <w:szCs w:val="22"/>
          <w:lang w:val="sl-SI"/>
        </w:rPr>
        <w:t>Nepro</w:t>
      </w:r>
      <w:r w:rsidR="00FC2443" w:rsidRPr="007223BC">
        <w:rPr>
          <w:bCs/>
          <w:sz w:val="22"/>
          <w:szCs w:val="22"/>
          <w:lang w:val="sl-SI"/>
        </w:rPr>
        <w:t>vidna</w:t>
      </w:r>
      <w:r w:rsidRPr="007223BC">
        <w:rPr>
          <w:bCs/>
          <w:sz w:val="22"/>
          <w:szCs w:val="22"/>
          <w:lang w:val="sl-SI"/>
        </w:rPr>
        <w:t xml:space="preserve">, bijela boca od polietilena visoke gustine (HDPE) zatvorena polipropilenskim zatvaračem sigurnim za djecu i polietilenskom topljenjem zalijepljenom zaštitnom folijom. </w:t>
      </w:r>
      <w:r w:rsidRPr="007223BC">
        <w:rPr>
          <w:bCs/>
          <w:sz w:val="22"/>
          <w:szCs w:val="22"/>
          <w:lang w:val="sr-Latn-CS" w:eastAsia="sr-Latn-CS"/>
        </w:rPr>
        <w:t>Jedna boca sadrži 30 film tableta.</w:t>
      </w:r>
    </w:p>
    <w:bookmarkEnd w:id="10"/>
    <w:p w14:paraId="1F48A44B" w14:textId="77777777" w:rsidR="0072020E" w:rsidRPr="007223BC" w:rsidRDefault="0072020E" w:rsidP="00413968">
      <w:pPr>
        <w:tabs>
          <w:tab w:val="left" w:pos="540"/>
          <w:tab w:val="left" w:pos="569"/>
        </w:tabs>
        <w:jc w:val="both"/>
        <w:rPr>
          <w:bCs/>
          <w:sz w:val="22"/>
          <w:szCs w:val="22"/>
          <w:lang w:val="sl-SI"/>
        </w:rPr>
      </w:pPr>
    </w:p>
    <w:p w14:paraId="40D3841F" w14:textId="77777777" w:rsidR="002846DB" w:rsidRPr="007223BC" w:rsidRDefault="0072020E" w:rsidP="00413968">
      <w:pPr>
        <w:tabs>
          <w:tab w:val="left" w:pos="540"/>
          <w:tab w:val="left" w:pos="569"/>
        </w:tabs>
        <w:jc w:val="both"/>
        <w:rPr>
          <w:b/>
          <w:bCs/>
          <w:sz w:val="22"/>
          <w:szCs w:val="22"/>
          <w:lang w:val="sl-SI"/>
        </w:rPr>
      </w:pPr>
      <w:r w:rsidRPr="007223BC">
        <w:rPr>
          <w:b/>
          <w:bCs/>
          <w:sz w:val="22"/>
          <w:szCs w:val="22"/>
          <w:lang w:val="sl-SI"/>
        </w:rPr>
        <w:t xml:space="preserve">6.6. </w:t>
      </w:r>
      <w:r w:rsidR="00480FB1" w:rsidRPr="007223BC">
        <w:rPr>
          <w:b/>
          <w:bCs/>
          <w:sz w:val="22"/>
          <w:szCs w:val="22"/>
          <w:lang w:val="sl-SI"/>
        </w:rPr>
        <w:tab/>
      </w:r>
      <w:r w:rsidRPr="007223BC">
        <w:rPr>
          <w:b/>
          <w:bCs/>
          <w:color w:val="000000"/>
          <w:sz w:val="22"/>
          <w:szCs w:val="22"/>
          <w:lang w:val="sl-SI"/>
        </w:rPr>
        <w:t>Posebne mjere opreza pri odlaganju materijala koji treba odbaciti nakon primjene lijeka</w:t>
      </w:r>
      <w:r w:rsidRPr="007223BC">
        <w:rPr>
          <w:b/>
          <w:bCs/>
          <w:sz w:val="22"/>
          <w:szCs w:val="22"/>
          <w:lang w:val="sl-SI"/>
        </w:rPr>
        <w:t xml:space="preserve"> </w:t>
      </w:r>
      <w:r w:rsidR="00310F03" w:rsidRPr="007223BC">
        <w:rPr>
          <w:b/>
          <w:bCs/>
          <w:sz w:val="22"/>
          <w:szCs w:val="22"/>
          <w:lang w:val="sl-SI"/>
        </w:rPr>
        <w:t>(i druga uputs</w:t>
      </w:r>
      <w:r w:rsidR="00351B01" w:rsidRPr="007223BC">
        <w:rPr>
          <w:b/>
          <w:bCs/>
          <w:sz w:val="22"/>
          <w:szCs w:val="22"/>
          <w:lang w:val="sl-SI"/>
        </w:rPr>
        <w:t>t</w:t>
      </w:r>
      <w:r w:rsidR="00310F03" w:rsidRPr="007223BC">
        <w:rPr>
          <w:b/>
          <w:bCs/>
          <w:sz w:val="22"/>
          <w:szCs w:val="22"/>
          <w:lang w:val="sl-SI"/>
        </w:rPr>
        <w:t xml:space="preserve">va za rukovanje lijekom) </w:t>
      </w:r>
    </w:p>
    <w:p w14:paraId="0D807FEB" w14:textId="77777777" w:rsidR="00DB45B7" w:rsidRPr="00287AA6" w:rsidRDefault="00DB45B7" w:rsidP="00413968">
      <w:pPr>
        <w:jc w:val="both"/>
        <w:rPr>
          <w:sz w:val="22"/>
          <w:szCs w:val="22"/>
          <w:lang w:val="sl-SI"/>
        </w:rPr>
      </w:pPr>
    </w:p>
    <w:p w14:paraId="15B80801" w14:textId="77777777" w:rsidR="00B66A70" w:rsidRPr="007223BC" w:rsidRDefault="00C54FB1" w:rsidP="00413968">
      <w:pPr>
        <w:jc w:val="both"/>
        <w:rPr>
          <w:sz w:val="22"/>
          <w:szCs w:val="22"/>
          <w:lang w:val="sr-Latn-CS"/>
        </w:rPr>
      </w:pPr>
      <w:r w:rsidRPr="00287AA6">
        <w:rPr>
          <w:sz w:val="22"/>
          <w:szCs w:val="22"/>
          <w:lang w:val="sl-SI"/>
        </w:rPr>
        <w:t>Svu</w:t>
      </w:r>
      <w:r w:rsidRPr="007223BC">
        <w:rPr>
          <w:sz w:val="22"/>
          <w:szCs w:val="22"/>
          <w:lang w:val="sr-Latn-CS"/>
        </w:rPr>
        <w:t xml:space="preserve"> </w:t>
      </w:r>
      <w:r w:rsidRPr="00287AA6">
        <w:rPr>
          <w:sz w:val="22"/>
          <w:szCs w:val="22"/>
          <w:lang w:val="sl-SI"/>
        </w:rPr>
        <w:t>neiskori</w:t>
      </w:r>
      <w:r w:rsidRPr="007223BC">
        <w:rPr>
          <w:sz w:val="22"/>
          <w:szCs w:val="22"/>
          <w:lang w:val="sr-Latn-CS"/>
        </w:rPr>
        <w:t>šć</w:t>
      </w:r>
      <w:r w:rsidRPr="00287AA6">
        <w:rPr>
          <w:sz w:val="22"/>
          <w:szCs w:val="22"/>
          <w:lang w:val="sl-SI"/>
        </w:rPr>
        <w:t>enu</w:t>
      </w:r>
      <w:r w:rsidRPr="007223BC">
        <w:rPr>
          <w:sz w:val="22"/>
          <w:szCs w:val="22"/>
          <w:lang w:val="sr-Latn-CS"/>
        </w:rPr>
        <w:t xml:space="preserve"> </w:t>
      </w:r>
      <w:r w:rsidRPr="00287AA6">
        <w:rPr>
          <w:sz w:val="22"/>
          <w:szCs w:val="22"/>
          <w:lang w:val="sl-SI"/>
        </w:rPr>
        <w:t>koli</w:t>
      </w:r>
      <w:r w:rsidRPr="007223BC">
        <w:rPr>
          <w:sz w:val="22"/>
          <w:szCs w:val="22"/>
          <w:lang w:val="sr-Latn-CS"/>
        </w:rPr>
        <w:t>č</w:t>
      </w:r>
      <w:r w:rsidRPr="00287AA6">
        <w:rPr>
          <w:sz w:val="22"/>
          <w:szCs w:val="22"/>
          <w:lang w:val="sl-SI"/>
        </w:rPr>
        <w:t>inu</w:t>
      </w:r>
      <w:r w:rsidRPr="007223BC">
        <w:rPr>
          <w:sz w:val="22"/>
          <w:szCs w:val="22"/>
          <w:lang w:val="sr-Latn-CS"/>
        </w:rPr>
        <w:t xml:space="preserve"> </w:t>
      </w:r>
      <w:r w:rsidRPr="00287AA6">
        <w:rPr>
          <w:sz w:val="22"/>
          <w:szCs w:val="22"/>
          <w:lang w:val="sl-SI"/>
        </w:rPr>
        <w:t>lijeka</w:t>
      </w:r>
      <w:r w:rsidRPr="007223BC">
        <w:rPr>
          <w:sz w:val="22"/>
          <w:szCs w:val="22"/>
          <w:lang w:val="sr-Latn-CS"/>
        </w:rPr>
        <w:t xml:space="preserve"> </w:t>
      </w:r>
      <w:r w:rsidRPr="00287AA6">
        <w:rPr>
          <w:sz w:val="22"/>
          <w:szCs w:val="22"/>
          <w:lang w:val="sl-SI"/>
        </w:rPr>
        <w:t>ili</w:t>
      </w:r>
      <w:r w:rsidRPr="007223BC">
        <w:rPr>
          <w:sz w:val="22"/>
          <w:szCs w:val="22"/>
          <w:lang w:val="sr-Latn-CS"/>
        </w:rPr>
        <w:t xml:space="preserve"> </w:t>
      </w:r>
      <w:r w:rsidRPr="00287AA6">
        <w:rPr>
          <w:sz w:val="22"/>
          <w:szCs w:val="22"/>
          <w:lang w:val="sl-SI"/>
        </w:rPr>
        <w:t>otpadnog</w:t>
      </w:r>
      <w:r w:rsidRPr="007223BC">
        <w:rPr>
          <w:sz w:val="22"/>
          <w:szCs w:val="22"/>
          <w:lang w:val="sr-Latn-CS"/>
        </w:rPr>
        <w:t xml:space="preserve"> </w:t>
      </w:r>
      <w:r w:rsidRPr="00287AA6">
        <w:rPr>
          <w:sz w:val="22"/>
          <w:szCs w:val="22"/>
          <w:lang w:val="sl-SI"/>
        </w:rPr>
        <w:t>materijala</w:t>
      </w:r>
      <w:r w:rsidRPr="007223BC">
        <w:rPr>
          <w:sz w:val="22"/>
          <w:szCs w:val="22"/>
          <w:lang w:val="sr-Latn-CS"/>
        </w:rPr>
        <w:t xml:space="preserve"> </w:t>
      </w:r>
      <w:r w:rsidRPr="00287AA6">
        <w:rPr>
          <w:sz w:val="22"/>
          <w:szCs w:val="22"/>
          <w:lang w:val="sl-SI"/>
        </w:rPr>
        <w:t>nakon</w:t>
      </w:r>
      <w:r w:rsidRPr="007223BC">
        <w:rPr>
          <w:sz w:val="22"/>
          <w:szCs w:val="22"/>
          <w:lang w:val="sr-Latn-CS"/>
        </w:rPr>
        <w:t xml:space="preserve"> </w:t>
      </w:r>
      <w:r w:rsidRPr="00287AA6">
        <w:rPr>
          <w:sz w:val="22"/>
          <w:szCs w:val="22"/>
          <w:lang w:val="sl-SI"/>
        </w:rPr>
        <w:t>njegove</w:t>
      </w:r>
      <w:r w:rsidRPr="007223BC">
        <w:rPr>
          <w:sz w:val="22"/>
          <w:szCs w:val="22"/>
          <w:lang w:val="sr-Latn-CS"/>
        </w:rPr>
        <w:t xml:space="preserve"> </w:t>
      </w:r>
      <w:r w:rsidRPr="00287AA6">
        <w:rPr>
          <w:sz w:val="22"/>
          <w:szCs w:val="22"/>
          <w:lang w:val="sl-SI"/>
        </w:rPr>
        <w:t>upotrebe</w:t>
      </w:r>
      <w:r w:rsidRPr="007223BC">
        <w:rPr>
          <w:sz w:val="22"/>
          <w:szCs w:val="22"/>
          <w:lang w:val="sr-Latn-CS"/>
        </w:rPr>
        <w:t xml:space="preserve"> </w:t>
      </w:r>
      <w:r w:rsidRPr="00287AA6">
        <w:rPr>
          <w:sz w:val="22"/>
          <w:szCs w:val="22"/>
          <w:lang w:val="sl-SI"/>
        </w:rPr>
        <w:t>treba</w:t>
      </w:r>
      <w:r w:rsidRPr="007223BC">
        <w:rPr>
          <w:sz w:val="22"/>
          <w:szCs w:val="22"/>
          <w:lang w:val="sr-Latn-CS"/>
        </w:rPr>
        <w:t xml:space="preserve"> </w:t>
      </w:r>
      <w:r w:rsidRPr="00287AA6">
        <w:rPr>
          <w:sz w:val="22"/>
          <w:szCs w:val="22"/>
          <w:lang w:val="sl-SI"/>
        </w:rPr>
        <w:t>ukloniti</w:t>
      </w:r>
      <w:r w:rsidRPr="007223BC">
        <w:rPr>
          <w:sz w:val="22"/>
          <w:szCs w:val="22"/>
          <w:lang w:val="sr-Latn-CS"/>
        </w:rPr>
        <w:t xml:space="preserve">, </w:t>
      </w:r>
      <w:r w:rsidRPr="00287AA6">
        <w:rPr>
          <w:sz w:val="22"/>
          <w:szCs w:val="22"/>
          <w:lang w:val="sl-SI"/>
        </w:rPr>
        <w:t>u</w:t>
      </w:r>
      <w:r w:rsidRPr="007223BC">
        <w:rPr>
          <w:sz w:val="22"/>
          <w:szCs w:val="22"/>
          <w:lang w:val="sr-Latn-CS"/>
        </w:rPr>
        <w:t xml:space="preserve"> </w:t>
      </w:r>
      <w:r w:rsidRPr="00287AA6">
        <w:rPr>
          <w:sz w:val="22"/>
          <w:szCs w:val="22"/>
          <w:lang w:val="sl-SI"/>
        </w:rPr>
        <w:t>skladu</w:t>
      </w:r>
      <w:r w:rsidRPr="007223BC">
        <w:rPr>
          <w:sz w:val="22"/>
          <w:szCs w:val="22"/>
          <w:lang w:val="sr-Latn-CS"/>
        </w:rPr>
        <w:t xml:space="preserve"> </w:t>
      </w:r>
      <w:r w:rsidRPr="00287AA6">
        <w:rPr>
          <w:sz w:val="22"/>
          <w:szCs w:val="22"/>
          <w:lang w:val="sl-SI"/>
        </w:rPr>
        <w:t>sa</w:t>
      </w:r>
      <w:r w:rsidRPr="007223BC">
        <w:rPr>
          <w:sz w:val="22"/>
          <w:szCs w:val="22"/>
          <w:lang w:val="sr-Latn-CS"/>
        </w:rPr>
        <w:t xml:space="preserve"> </w:t>
      </w:r>
      <w:r w:rsidRPr="00287AA6">
        <w:rPr>
          <w:sz w:val="22"/>
          <w:szCs w:val="22"/>
          <w:lang w:val="sl-SI"/>
        </w:rPr>
        <w:t>va</w:t>
      </w:r>
      <w:r w:rsidRPr="007223BC">
        <w:rPr>
          <w:sz w:val="22"/>
          <w:szCs w:val="22"/>
          <w:lang w:val="sr-Latn-CS"/>
        </w:rPr>
        <w:t>ž</w:t>
      </w:r>
      <w:r w:rsidRPr="00287AA6">
        <w:rPr>
          <w:sz w:val="22"/>
          <w:szCs w:val="22"/>
          <w:lang w:val="sl-SI"/>
        </w:rPr>
        <w:t>e</w:t>
      </w:r>
      <w:r w:rsidRPr="007223BC">
        <w:rPr>
          <w:sz w:val="22"/>
          <w:szCs w:val="22"/>
          <w:lang w:val="sr-Latn-CS"/>
        </w:rPr>
        <w:t>ć</w:t>
      </w:r>
      <w:r w:rsidRPr="00287AA6">
        <w:rPr>
          <w:sz w:val="22"/>
          <w:szCs w:val="22"/>
          <w:lang w:val="sl-SI"/>
        </w:rPr>
        <w:t>im</w:t>
      </w:r>
      <w:r w:rsidRPr="007223BC">
        <w:rPr>
          <w:sz w:val="22"/>
          <w:szCs w:val="22"/>
          <w:lang w:val="sr-Latn-CS"/>
        </w:rPr>
        <w:t xml:space="preserve"> </w:t>
      </w:r>
      <w:r w:rsidRPr="00287AA6">
        <w:rPr>
          <w:sz w:val="22"/>
          <w:szCs w:val="22"/>
          <w:lang w:val="sl-SI"/>
        </w:rPr>
        <w:t>propisima</w:t>
      </w:r>
      <w:r w:rsidRPr="007223BC">
        <w:rPr>
          <w:sz w:val="22"/>
          <w:szCs w:val="22"/>
          <w:lang w:val="sr-Latn-CS"/>
        </w:rPr>
        <w:t>.</w:t>
      </w:r>
    </w:p>
    <w:p w14:paraId="5017D997" w14:textId="77777777" w:rsidR="0072020E" w:rsidRPr="00287AA6" w:rsidRDefault="0072020E" w:rsidP="00413968">
      <w:pPr>
        <w:tabs>
          <w:tab w:val="left" w:pos="540"/>
          <w:tab w:val="left" w:pos="569"/>
        </w:tabs>
        <w:jc w:val="both"/>
        <w:rPr>
          <w:bCs/>
          <w:sz w:val="22"/>
          <w:szCs w:val="22"/>
          <w:lang w:val="sl-SI"/>
        </w:rPr>
      </w:pPr>
    </w:p>
    <w:p w14:paraId="3E035DC8" w14:textId="77777777" w:rsidR="00DB45B7" w:rsidRPr="00287AA6" w:rsidRDefault="00DB45B7" w:rsidP="00413968">
      <w:pPr>
        <w:tabs>
          <w:tab w:val="left" w:pos="540"/>
          <w:tab w:val="left" w:pos="569"/>
        </w:tabs>
        <w:jc w:val="both"/>
        <w:rPr>
          <w:bCs/>
          <w:sz w:val="22"/>
          <w:szCs w:val="22"/>
          <w:lang w:val="sl-SI"/>
        </w:rPr>
      </w:pPr>
    </w:p>
    <w:p w14:paraId="22319906" w14:textId="77777777" w:rsidR="00F8570A" w:rsidRPr="00287AA6" w:rsidRDefault="0072020E" w:rsidP="00413968">
      <w:pPr>
        <w:tabs>
          <w:tab w:val="left" w:pos="540"/>
          <w:tab w:val="left" w:pos="569"/>
        </w:tabs>
        <w:jc w:val="both"/>
        <w:rPr>
          <w:b/>
          <w:bCs/>
          <w:sz w:val="22"/>
          <w:szCs w:val="22"/>
          <w:lang w:val="sl-SI"/>
        </w:rPr>
      </w:pPr>
      <w:r w:rsidRPr="00287AA6">
        <w:rPr>
          <w:b/>
          <w:bCs/>
          <w:sz w:val="22"/>
          <w:szCs w:val="22"/>
          <w:lang w:val="sl-SI"/>
        </w:rPr>
        <w:t xml:space="preserve">7. </w:t>
      </w:r>
      <w:r w:rsidR="00480FB1" w:rsidRPr="00287AA6">
        <w:rPr>
          <w:b/>
          <w:bCs/>
          <w:sz w:val="22"/>
          <w:szCs w:val="22"/>
          <w:lang w:val="sl-SI"/>
        </w:rPr>
        <w:tab/>
      </w:r>
      <w:r w:rsidRPr="00287AA6">
        <w:rPr>
          <w:b/>
          <w:bCs/>
          <w:sz w:val="22"/>
          <w:szCs w:val="22"/>
          <w:lang w:val="sl-SI"/>
        </w:rPr>
        <w:t>NOSILAC DOZVOLE</w:t>
      </w:r>
      <w:r w:rsidR="00483928" w:rsidRPr="00287AA6">
        <w:rPr>
          <w:b/>
          <w:bCs/>
          <w:sz w:val="22"/>
          <w:szCs w:val="22"/>
          <w:lang w:val="sl-SI"/>
        </w:rPr>
        <w:t xml:space="preserve"> </w:t>
      </w:r>
    </w:p>
    <w:p w14:paraId="63C84D13" w14:textId="77777777" w:rsidR="00DB45B7" w:rsidRPr="007223BC" w:rsidRDefault="00DB45B7" w:rsidP="00413968">
      <w:pPr>
        <w:jc w:val="both"/>
        <w:rPr>
          <w:bCs/>
          <w:sz w:val="22"/>
          <w:szCs w:val="22"/>
          <w:lang w:val="sr-Latn-CS"/>
        </w:rPr>
      </w:pPr>
    </w:p>
    <w:p w14:paraId="1641C033" w14:textId="77777777" w:rsidR="00F16160" w:rsidRPr="007223BC" w:rsidRDefault="00F16160" w:rsidP="00413968">
      <w:pPr>
        <w:jc w:val="both"/>
        <w:rPr>
          <w:bCs/>
          <w:sz w:val="22"/>
          <w:szCs w:val="22"/>
          <w:lang w:val="sr-Latn-CS"/>
        </w:rPr>
      </w:pPr>
      <w:r w:rsidRPr="007223BC">
        <w:rPr>
          <w:bCs/>
          <w:sz w:val="22"/>
          <w:szCs w:val="22"/>
          <w:lang w:val="sr-Latn-CS"/>
        </w:rPr>
        <w:t xml:space="preserve">Evropa Lek Pharma d.o.o. Podgorica </w:t>
      </w:r>
    </w:p>
    <w:p w14:paraId="73772663" w14:textId="77777777" w:rsidR="00F16160" w:rsidRPr="00287AA6" w:rsidRDefault="00F16160" w:rsidP="00413968">
      <w:pPr>
        <w:jc w:val="both"/>
        <w:rPr>
          <w:sz w:val="22"/>
          <w:szCs w:val="22"/>
          <w:lang w:val="sl-SI"/>
        </w:rPr>
      </w:pPr>
      <w:r w:rsidRPr="00287AA6">
        <w:rPr>
          <w:sz w:val="22"/>
          <w:szCs w:val="22"/>
          <w:lang w:val="sl-SI"/>
        </w:rPr>
        <w:t>Kritskog odreda 4/1, 81000 Podgorica, Crna Gora</w:t>
      </w:r>
    </w:p>
    <w:p w14:paraId="3D089734" w14:textId="77777777" w:rsidR="00C37FD7" w:rsidRPr="00287AA6" w:rsidRDefault="00C37FD7" w:rsidP="00413968">
      <w:pPr>
        <w:tabs>
          <w:tab w:val="left" w:pos="540"/>
          <w:tab w:val="left" w:pos="569"/>
        </w:tabs>
        <w:jc w:val="both"/>
        <w:rPr>
          <w:bCs/>
          <w:sz w:val="22"/>
          <w:szCs w:val="22"/>
          <w:lang w:val="sl-SI"/>
        </w:rPr>
      </w:pPr>
    </w:p>
    <w:p w14:paraId="0D9D8DD2" w14:textId="77777777" w:rsidR="00DB45B7" w:rsidRPr="00287AA6" w:rsidRDefault="00DB45B7" w:rsidP="00413968">
      <w:pPr>
        <w:tabs>
          <w:tab w:val="left" w:pos="540"/>
          <w:tab w:val="left" w:pos="569"/>
        </w:tabs>
        <w:jc w:val="both"/>
        <w:rPr>
          <w:bCs/>
          <w:sz w:val="22"/>
          <w:szCs w:val="22"/>
          <w:lang w:val="sl-SI"/>
        </w:rPr>
      </w:pPr>
    </w:p>
    <w:p w14:paraId="7056624A" w14:textId="77777777" w:rsidR="0072020E" w:rsidRPr="00287AA6" w:rsidRDefault="0072020E" w:rsidP="00413968">
      <w:pPr>
        <w:tabs>
          <w:tab w:val="left" w:pos="540"/>
          <w:tab w:val="left" w:pos="569"/>
        </w:tabs>
        <w:jc w:val="both"/>
        <w:rPr>
          <w:b/>
          <w:bCs/>
          <w:sz w:val="22"/>
          <w:szCs w:val="22"/>
          <w:lang w:val="pl-PL"/>
        </w:rPr>
      </w:pPr>
      <w:r w:rsidRPr="00287AA6">
        <w:rPr>
          <w:b/>
          <w:bCs/>
          <w:sz w:val="22"/>
          <w:szCs w:val="22"/>
          <w:lang w:val="pl-PL"/>
        </w:rPr>
        <w:t xml:space="preserve">8. </w:t>
      </w:r>
      <w:r w:rsidR="00480FB1" w:rsidRPr="00287AA6">
        <w:rPr>
          <w:b/>
          <w:bCs/>
          <w:sz w:val="22"/>
          <w:szCs w:val="22"/>
          <w:lang w:val="pl-PL"/>
        </w:rPr>
        <w:tab/>
      </w:r>
      <w:r w:rsidRPr="00287AA6">
        <w:rPr>
          <w:b/>
          <w:bCs/>
          <w:sz w:val="22"/>
          <w:szCs w:val="22"/>
          <w:lang w:val="pl-PL"/>
        </w:rPr>
        <w:t>BROJ DOZVOLE</w:t>
      </w:r>
      <w:r w:rsidR="008A6D43" w:rsidRPr="00287AA6">
        <w:rPr>
          <w:b/>
          <w:bCs/>
          <w:sz w:val="22"/>
          <w:szCs w:val="22"/>
          <w:lang w:val="pl-PL"/>
        </w:rPr>
        <w:t xml:space="preserve"> ZA STAVLJANJE LIJEKA U PROMET</w:t>
      </w:r>
    </w:p>
    <w:p w14:paraId="3D05A925" w14:textId="77777777" w:rsidR="0072020E" w:rsidRPr="00287AA6" w:rsidRDefault="0072020E" w:rsidP="00413968">
      <w:pPr>
        <w:tabs>
          <w:tab w:val="left" w:pos="540"/>
          <w:tab w:val="left" w:pos="569"/>
        </w:tabs>
        <w:jc w:val="both"/>
        <w:rPr>
          <w:bCs/>
          <w:sz w:val="22"/>
          <w:szCs w:val="22"/>
          <w:lang w:val="pl-PL"/>
        </w:rPr>
      </w:pPr>
    </w:p>
    <w:p w14:paraId="1D36B873" w14:textId="77777777" w:rsidR="009E2C49" w:rsidRPr="007223BC" w:rsidRDefault="009E2C49" w:rsidP="00413968">
      <w:pPr>
        <w:jc w:val="both"/>
        <w:rPr>
          <w:sz w:val="22"/>
          <w:szCs w:val="22"/>
          <w:lang w:val="sr-Latn-CS"/>
        </w:rPr>
      </w:pPr>
      <w:r w:rsidRPr="007223BC">
        <w:rPr>
          <w:sz w:val="22"/>
          <w:szCs w:val="22"/>
          <w:lang w:val="sr-Latn-CS"/>
        </w:rPr>
        <w:t>Dovato, film tableta, 50 mg + 300 mg, boca, plastična, 1x30 film tableta:</w:t>
      </w:r>
      <w:r w:rsidR="00A97810" w:rsidRPr="007223BC">
        <w:rPr>
          <w:sz w:val="22"/>
          <w:szCs w:val="22"/>
          <w:lang w:val="sr-Latn-CS"/>
        </w:rPr>
        <w:t xml:space="preserve"> </w:t>
      </w:r>
      <w:r w:rsidR="00A97810" w:rsidRPr="007223BC">
        <w:rPr>
          <w:sz w:val="22"/>
          <w:szCs w:val="22"/>
          <w:lang w:val="sr-Latn-ME" w:eastAsia="sr-Latn-ME"/>
        </w:rPr>
        <w:t>2030/21/1067 - 297</w:t>
      </w:r>
    </w:p>
    <w:p w14:paraId="574EDC9B" w14:textId="77777777" w:rsidR="00DB45B7" w:rsidRPr="00287AA6" w:rsidRDefault="00DB45B7" w:rsidP="00413968">
      <w:pPr>
        <w:tabs>
          <w:tab w:val="left" w:pos="540"/>
          <w:tab w:val="left" w:pos="569"/>
        </w:tabs>
        <w:jc w:val="both"/>
        <w:rPr>
          <w:bCs/>
          <w:sz w:val="22"/>
          <w:szCs w:val="22"/>
          <w:lang w:val="it-IT"/>
        </w:rPr>
      </w:pPr>
    </w:p>
    <w:p w14:paraId="0772156E" w14:textId="77777777" w:rsidR="00F45F77" w:rsidRPr="00287AA6" w:rsidRDefault="00F45F77" w:rsidP="00413968">
      <w:pPr>
        <w:tabs>
          <w:tab w:val="left" w:pos="540"/>
          <w:tab w:val="left" w:pos="569"/>
        </w:tabs>
        <w:jc w:val="both"/>
        <w:rPr>
          <w:bCs/>
          <w:sz w:val="22"/>
          <w:szCs w:val="22"/>
          <w:lang w:val="it-IT"/>
        </w:rPr>
      </w:pPr>
    </w:p>
    <w:p w14:paraId="3EACDEC0" w14:textId="77777777" w:rsidR="0072020E" w:rsidRPr="00287AA6" w:rsidRDefault="0072020E" w:rsidP="00413968">
      <w:pPr>
        <w:tabs>
          <w:tab w:val="left" w:pos="540"/>
          <w:tab w:val="left" w:pos="569"/>
        </w:tabs>
        <w:jc w:val="both"/>
        <w:rPr>
          <w:b/>
          <w:bCs/>
          <w:sz w:val="22"/>
          <w:szCs w:val="22"/>
          <w:lang w:val="it-IT"/>
        </w:rPr>
      </w:pPr>
      <w:r w:rsidRPr="00287AA6">
        <w:rPr>
          <w:b/>
          <w:bCs/>
          <w:sz w:val="22"/>
          <w:szCs w:val="22"/>
          <w:lang w:val="it-IT"/>
        </w:rPr>
        <w:t xml:space="preserve">9. </w:t>
      </w:r>
      <w:r w:rsidR="00480FB1" w:rsidRPr="00287AA6">
        <w:rPr>
          <w:b/>
          <w:bCs/>
          <w:sz w:val="22"/>
          <w:szCs w:val="22"/>
          <w:lang w:val="it-IT"/>
        </w:rPr>
        <w:tab/>
      </w:r>
      <w:r w:rsidRPr="00287AA6">
        <w:rPr>
          <w:b/>
          <w:bCs/>
          <w:sz w:val="22"/>
          <w:szCs w:val="22"/>
          <w:lang w:val="it-IT"/>
        </w:rPr>
        <w:t xml:space="preserve">DATUM </w:t>
      </w:r>
      <w:r w:rsidR="00C05DF8" w:rsidRPr="00287AA6">
        <w:rPr>
          <w:b/>
          <w:bCs/>
          <w:sz w:val="22"/>
          <w:szCs w:val="22"/>
          <w:lang w:val="it-IT"/>
        </w:rPr>
        <w:t xml:space="preserve">PRVE </w:t>
      </w:r>
      <w:r w:rsidR="008A6D43" w:rsidRPr="00287AA6">
        <w:rPr>
          <w:b/>
          <w:bCs/>
          <w:sz w:val="22"/>
          <w:szCs w:val="22"/>
          <w:lang w:val="it-IT"/>
        </w:rPr>
        <w:t>DOZVOLE</w:t>
      </w:r>
      <w:r w:rsidR="00C05DF8" w:rsidRPr="00287AA6">
        <w:rPr>
          <w:b/>
          <w:bCs/>
          <w:sz w:val="22"/>
          <w:szCs w:val="22"/>
          <w:lang w:val="it-IT"/>
        </w:rPr>
        <w:t>/OBNOVE DOZVOLE</w:t>
      </w:r>
      <w:r w:rsidR="008A6D43" w:rsidRPr="00287AA6">
        <w:rPr>
          <w:b/>
          <w:bCs/>
          <w:sz w:val="22"/>
          <w:szCs w:val="22"/>
          <w:lang w:val="it-IT"/>
        </w:rPr>
        <w:t xml:space="preserve"> ZA STAVLJANJE LIJEKA U PROMET</w:t>
      </w:r>
    </w:p>
    <w:p w14:paraId="08EA31A9" w14:textId="77777777" w:rsidR="0072020E" w:rsidRPr="00287AA6" w:rsidRDefault="0072020E" w:rsidP="00413968">
      <w:pPr>
        <w:tabs>
          <w:tab w:val="left" w:pos="540"/>
          <w:tab w:val="left" w:pos="569"/>
        </w:tabs>
        <w:jc w:val="both"/>
        <w:rPr>
          <w:bCs/>
          <w:sz w:val="22"/>
          <w:szCs w:val="22"/>
          <w:lang w:val="it-IT"/>
        </w:rPr>
      </w:pPr>
    </w:p>
    <w:p w14:paraId="1B7FE5EE" w14:textId="77777777" w:rsidR="009E2C49" w:rsidRPr="007223BC" w:rsidRDefault="009E2C49" w:rsidP="00413968">
      <w:pPr>
        <w:jc w:val="both"/>
        <w:rPr>
          <w:sz w:val="22"/>
          <w:szCs w:val="22"/>
          <w:lang w:val="sr-Latn-CS"/>
        </w:rPr>
      </w:pPr>
      <w:r w:rsidRPr="007223BC">
        <w:rPr>
          <w:sz w:val="22"/>
          <w:szCs w:val="22"/>
          <w:lang w:val="sr-Latn-CS"/>
        </w:rPr>
        <w:t>Dovato, film tableta, 50 mg + 300 mg, boca, plastična, 1x30 film tableta:</w:t>
      </w:r>
      <w:r w:rsidR="00A97810" w:rsidRPr="007223BC">
        <w:rPr>
          <w:sz w:val="22"/>
          <w:szCs w:val="22"/>
          <w:lang w:val="sr-Latn-CS"/>
        </w:rPr>
        <w:t xml:space="preserve"> </w:t>
      </w:r>
      <w:r w:rsidR="00A97810" w:rsidRPr="007223BC">
        <w:rPr>
          <w:sz w:val="22"/>
          <w:szCs w:val="22"/>
          <w:lang w:val="sr-Latn-ME" w:eastAsia="sr-Latn-ME"/>
        </w:rPr>
        <w:t>20.10.2021. godine</w:t>
      </w:r>
    </w:p>
    <w:p w14:paraId="14A4A485" w14:textId="77777777" w:rsidR="009E2C49" w:rsidRPr="00287AA6" w:rsidRDefault="009E2C49" w:rsidP="00413968">
      <w:pPr>
        <w:tabs>
          <w:tab w:val="left" w:pos="540"/>
          <w:tab w:val="left" w:pos="569"/>
        </w:tabs>
        <w:jc w:val="both"/>
        <w:rPr>
          <w:bCs/>
          <w:sz w:val="22"/>
          <w:szCs w:val="22"/>
          <w:lang w:val="it-IT"/>
        </w:rPr>
      </w:pPr>
    </w:p>
    <w:p w14:paraId="0B48399E" w14:textId="77777777" w:rsidR="00836B35" w:rsidRPr="00287AA6" w:rsidRDefault="00836B35" w:rsidP="00413968">
      <w:pPr>
        <w:tabs>
          <w:tab w:val="left" w:pos="540"/>
          <w:tab w:val="left" w:pos="569"/>
        </w:tabs>
        <w:jc w:val="both"/>
        <w:rPr>
          <w:bCs/>
          <w:sz w:val="22"/>
          <w:szCs w:val="22"/>
          <w:lang w:val="it-IT"/>
        </w:rPr>
      </w:pPr>
    </w:p>
    <w:p w14:paraId="6CD717D2" w14:textId="77777777" w:rsidR="003F6A59" w:rsidRPr="007223BC" w:rsidRDefault="0072020E" w:rsidP="00413968">
      <w:pPr>
        <w:tabs>
          <w:tab w:val="left" w:pos="540"/>
          <w:tab w:val="left" w:pos="569"/>
        </w:tabs>
        <w:ind w:left="540" w:hanging="540"/>
        <w:jc w:val="both"/>
        <w:rPr>
          <w:b/>
          <w:bCs/>
          <w:sz w:val="22"/>
          <w:szCs w:val="22"/>
        </w:rPr>
      </w:pPr>
      <w:r w:rsidRPr="007223BC">
        <w:rPr>
          <w:b/>
          <w:bCs/>
          <w:sz w:val="22"/>
          <w:szCs w:val="22"/>
        </w:rPr>
        <w:t xml:space="preserve">10. </w:t>
      </w:r>
      <w:r w:rsidR="00480FB1" w:rsidRPr="007223BC">
        <w:rPr>
          <w:b/>
          <w:bCs/>
          <w:sz w:val="22"/>
          <w:szCs w:val="22"/>
        </w:rPr>
        <w:tab/>
      </w:r>
      <w:r w:rsidR="002846DB" w:rsidRPr="007223BC">
        <w:rPr>
          <w:b/>
          <w:bCs/>
          <w:sz w:val="22"/>
          <w:szCs w:val="22"/>
        </w:rPr>
        <w:t>D</w:t>
      </w:r>
      <w:r w:rsidR="00EC2532" w:rsidRPr="007223BC">
        <w:rPr>
          <w:b/>
          <w:bCs/>
          <w:sz w:val="22"/>
          <w:szCs w:val="22"/>
        </w:rPr>
        <w:t xml:space="preserve">ATUM REVIZIJE TEKSTA </w:t>
      </w:r>
    </w:p>
    <w:p w14:paraId="12B9C0B0" w14:textId="77777777" w:rsidR="00A97810" w:rsidRPr="007223BC" w:rsidRDefault="00A97810" w:rsidP="00413968">
      <w:pPr>
        <w:tabs>
          <w:tab w:val="left" w:pos="540"/>
          <w:tab w:val="left" w:pos="569"/>
        </w:tabs>
        <w:ind w:left="540" w:hanging="540"/>
        <w:jc w:val="both"/>
        <w:rPr>
          <w:b/>
          <w:bCs/>
          <w:sz w:val="22"/>
          <w:szCs w:val="22"/>
        </w:rPr>
      </w:pPr>
    </w:p>
    <w:p w14:paraId="5CD7CE3F" w14:textId="6367A649" w:rsidR="003F6A59" w:rsidRPr="007223BC" w:rsidRDefault="00805A14" w:rsidP="00413968">
      <w:pPr>
        <w:tabs>
          <w:tab w:val="left" w:pos="540"/>
          <w:tab w:val="left" w:pos="569"/>
        </w:tabs>
        <w:jc w:val="both"/>
        <w:rPr>
          <w:bCs/>
          <w:sz w:val="22"/>
          <w:szCs w:val="22"/>
        </w:rPr>
      </w:pPr>
      <w:r>
        <w:rPr>
          <w:bCs/>
          <w:sz w:val="22"/>
          <w:szCs w:val="22"/>
        </w:rPr>
        <w:t>Jul,</w:t>
      </w:r>
      <w:r w:rsidR="00413968">
        <w:rPr>
          <w:bCs/>
          <w:sz w:val="22"/>
          <w:szCs w:val="22"/>
        </w:rPr>
        <w:t xml:space="preserve"> </w:t>
      </w:r>
      <w:r w:rsidR="00BB0470">
        <w:rPr>
          <w:bCs/>
          <w:sz w:val="22"/>
          <w:szCs w:val="22"/>
        </w:rPr>
        <w:t>2025.</w:t>
      </w:r>
      <w:bookmarkStart w:id="11" w:name="_GoBack"/>
      <w:bookmarkEnd w:id="11"/>
      <w:r w:rsidR="00BB0470">
        <w:rPr>
          <w:bCs/>
          <w:sz w:val="22"/>
          <w:szCs w:val="22"/>
        </w:rPr>
        <w:t xml:space="preserve"> </w:t>
      </w:r>
      <w:proofErr w:type="gramStart"/>
      <w:r w:rsidR="00BB0470">
        <w:rPr>
          <w:bCs/>
          <w:sz w:val="22"/>
          <w:szCs w:val="22"/>
        </w:rPr>
        <w:t>godine</w:t>
      </w:r>
      <w:proofErr w:type="gramEnd"/>
    </w:p>
    <w:sectPr w:rsidR="003F6A59" w:rsidRPr="007223BC" w:rsidSect="00EF3B86">
      <w:footerReference w:type="default" r:id="rId12"/>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09D90" w14:textId="77777777" w:rsidR="00060D3A" w:rsidRDefault="00060D3A">
      <w:r>
        <w:separator/>
      </w:r>
    </w:p>
  </w:endnote>
  <w:endnote w:type="continuationSeparator" w:id="0">
    <w:p w14:paraId="0EB476E5" w14:textId="77777777" w:rsidR="00060D3A" w:rsidRDefault="00060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7663D" w14:textId="4ED30B47" w:rsidR="00FC2443" w:rsidRPr="0004551B" w:rsidRDefault="00FC2443" w:rsidP="00B23F69">
    <w:pPr>
      <w:pStyle w:val="Footer"/>
      <w:jc w:val="center"/>
      <w:rPr>
        <w:sz w:val="20"/>
        <w:szCs w:val="20"/>
      </w:rPr>
    </w:pPr>
    <w:r w:rsidRPr="0004551B">
      <w:rPr>
        <w:sz w:val="20"/>
        <w:szCs w:val="20"/>
      </w:rPr>
      <w:fldChar w:fldCharType="begin"/>
    </w:r>
    <w:r w:rsidRPr="0004551B">
      <w:rPr>
        <w:sz w:val="20"/>
        <w:szCs w:val="20"/>
      </w:rPr>
      <w:instrText xml:space="preserve"> PAGE </w:instrText>
    </w:r>
    <w:r w:rsidRPr="0004551B">
      <w:rPr>
        <w:sz w:val="20"/>
        <w:szCs w:val="20"/>
      </w:rPr>
      <w:fldChar w:fldCharType="separate"/>
    </w:r>
    <w:r w:rsidR="00BB0470">
      <w:rPr>
        <w:noProof/>
        <w:sz w:val="20"/>
        <w:szCs w:val="20"/>
      </w:rPr>
      <w:t>29</w:t>
    </w:r>
    <w:r w:rsidRPr="0004551B">
      <w:rPr>
        <w:sz w:val="20"/>
        <w:szCs w:val="20"/>
      </w:rPr>
      <w:fldChar w:fldCharType="end"/>
    </w:r>
    <w:r w:rsidRPr="0004551B">
      <w:rPr>
        <w:sz w:val="20"/>
        <w:szCs w:val="20"/>
      </w:rPr>
      <w:t xml:space="preserve"> / </w:t>
    </w:r>
    <w:r w:rsidRPr="0004551B">
      <w:rPr>
        <w:sz w:val="20"/>
        <w:szCs w:val="20"/>
      </w:rPr>
      <w:fldChar w:fldCharType="begin"/>
    </w:r>
    <w:r w:rsidRPr="0004551B">
      <w:rPr>
        <w:sz w:val="20"/>
        <w:szCs w:val="20"/>
      </w:rPr>
      <w:instrText xml:space="preserve"> NUMPAGES </w:instrText>
    </w:r>
    <w:r w:rsidRPr="0004551B">
      <w:rPr>
        <w:sz w:val="20"/>
        <w:szCs w:val="20"/>
      </w:rPr>
      <w:fldChar w:fldCharType="separate"/>
    </w:r>
    <w:r w:rsidR="00BB0470">
      <w:rPr>
        <w:noProof/>
        <w:sz w:val="20"/>
        <w:szCs w:val="20"/>
      </w:rPr>
      <w:t>29</w:t>
    </w:r>
    <w:r w:rsidRPr="0004551B">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43916" w14:textId="77777777" w:rsidR="00060D3A" w:rsidRDefault="00060D3A">
      <w:r>
        <w:separator/>
      </w:r>
    </w:p>
  </w:footnote>
  <w:footnote w:type="continuationSeparator" w:id="0">
    <w:p w14:paraId="033B4B3F" w14:textId="77777777" w:rsidR="00060D3A" w:rsidRDefault="00060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25pt;height:14.25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4C4794A"/>
    <w:multiLevelType w:val="hybridMultilevel"/>
    <w:tmpl w:val="B4F24B32"/>
    <w:lvl w:ilvl="0" w:tplc="128CC358">
      <w:start w:val="1"/>
      <w:numFmt w:val="bullet"/>
      <w:pStyle w:val="Action"/>
      <w:lvlText w:val=""/>
      <w:lvlJc w:val="left"/>
      <w:pPr>
        <w:ind w:left="927" w:hanging="360"/>
      </w:pPr>
      <w:rPr>
        <w:rFonts w:ascii="Wingdings" w:hAnsi="Wingdings" w:hint="default"/>
        <w:color w:val="auto"/>
        <w:sz w:val="22"/>
      </w:rPr>
    </w:lvl>
    <w:lvl w:ilvl="1" w:tplc="08090003">
      <w:start w:val="1"/>
      <w:numFmt w:val="bullet"/>
      <w:lvlText w:val="o"/>
      <w:lvlJc w:val="left"/>
      <w:pPr>
        <w:tabs>
          <w:tab w:val="num" w:pos="2007"/>
        </w:tabs>
        <w:ind w:left="2007" w:hanging="360"/>
      </w:pPr>
      <w:rPr>
        <w:rFonts w:ascii="Courier New" w:hAnsi="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1"/>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19EA"/>
    <w:rsid w:val="00011754"/>
    <w:rsid w:val="0001359C"/>
    <w:rsid w:val="000136FC"/>
    <w:rsid w:val="000176CA"/>
    <w:rsid w:val="00017CE7"/>
    <w:rsid w:val="0002330C"/>
    <w:rsid w:val="0002341C"/>
    <w:rsid w:val="000367DB"/>
    <w:rsid w:val="00036FA0"/>
    <w:rsid w:val="0003793F"/>
    <w:rsid w:val="00044E48"/>
    <w:rsid w:val="0004551B"/>
    <w:rsid w:val="000463A0"/>
    <w:rsid w:val="0005335C"/>
    <w:rsid w:val="000545E5"/>
    <w:rsid w:val="00057E35"/>
    <w:rsid w:val="00060D3A"/>
    <w:rsid w:val="00067900"/>
    <w:rsid w:val="00076726"/>
    <w:rsid w:val="00080303"/>
    <w:rsid w:val="00082351"/>
    <w:rsid w:val="00084E3B"/>
    <w:rsid w:val="00097EC1"/>
    <w:rsid w:val="000A0ADA"/>
    <w:rsid w:val="000A3F58"/>
    <w:rsid w:val="000A4367"/>
    <w:rsid w:val="000B113D"/>
    <w:rsid w:val="000B2FA4"/>
    <w:rsid w:val="000D0CDB"/>
    <w:rsid w:val="000D1026"/>
    <w:rsid w:val="000D2343"/>
    <w:rsid w:val="000D3449"/>
    <w:rsid w:val="000D39AE"/>
    <w:rsid w:val="000D425A"/>
    <w:rsid w:val="000D60CC"/>
    <w:rsid w:val="000E2084"/>
    <w:rsid w:val="000E6F55"/>
    <w:rsid w:val="000F4230"/>
    <w:rsid w:val="000F77FA"/>
    <w:rsid w:val="00104F5D"/>
    <w:rsid w:val="00107BF7"/>
    <w:rsid w:val="00120C6B"/>
    <w:rsid w:val="001221EB"/>
    <w:rsid w:val="00126F53"/>
    <w:rsid w:val="001324C5"/>
    <w:rsid w:val="0013251C"/>
    <w:rsid w:val="001335DF"/>
    <w:rsid w:val="001375C7"/>
    <w:rsid w:val="0014766D"/>
    <w:rsid w:val="00147F79"/>
    <w:rsid w:val="001529A6"/>
    <w:rsid w:val="001536CC"/>
    <w:rsid w:val="00154AB9"/>
    <w:rsid w:val="001561B7"/>
    <w:rsid w:val="00157370"/>
    <w:rsid w:val="00174E58"/>
    <w:rsid w:val="00176F8E"/>
    <w:rsid w:val="00185EB3"/>
    <w:rsid w:val="00192409"/>
    <w:rsid w:val="001A3201"/>
    <w:rsid w:val="001A3FBA"/>
    <w:rsid w:val="001A5518"/>
    <w:rsid w:val="001B1C6A"/>
    <w:rsid w:val="001B79CB"/>
    <w:rsid w:val="001C1263"/>
    <w:rsid w:val="001C1417"/>
    <w:rsid w:val="001C1B95"/>
    <w:rsid w:val="001D0C35"/>
    <w:rsid w:val="001D1ED0"/>
    <w:rsid w:val="001E390B"/>
    <w:rsid w:val="001E5F47"/>
    <w:rsid w:val="001F1C7A"/>
    <w:rsid w:val="001F42FB"/>
    <w:rsid w:val="001F719A"/>
    <w:rsid w:val="00201362"/>
    <w:rsid w:val="002031B3"/>
    <w:rsid w:val="00210BC2"/>
    <w:rsid w:val="00215931"/>
    <w:rsid w:val="00216F40"/>
    <w:rsid w:val="00220D68"/>
    <w:rsid w:val="0022487F"/>
    <w:rsid w:val="00227BDB"/>
    <w:rsid w:val="00234CB1"/>
    <w:rsid w:val="002352F8"/>
    <w:rsid w:val="00244A04"/>
    <w:rsid w:val="0024758F"/>
    <w:rsid w:val="002510A5"/>
    <w:rsid w:val="00251A11"/>
    <w:rsid w:val="00254A0A"/>
    <w:rsid w:val="00262547"/>
    <w:rsid w:val="00266046"/>
    <w:rsid w:val="00273040"/>
    <w:rsid w:val="00277C73"/>
    <w:rsid w:val="002814CE"/>
    <w:rsid w:val="002846DB"/>
    <w:rsid w:val="002849CB"/>
    <w:rsid w:val="00284B2D"/>
    <w:rsid w:val="00284CCD"/>
    <w:rsid w:val="002867CF"/>
    <w:rsid w:val="00287AA6"/>
    <w:rsid w:val="00295DCA"/>
    <w:rsid w:val="002A62D3"/>
    <w:rsid w:val="002B1BBB"/>
    <w:rsid w:val="002B566C"/>
    <w:rsid w:val="002C1BF7"/>
    <w:rsid w:val="002C4597"/>
    <w:rsid w:val="002C6637"/>
    <w:rsid w:val="002C74A4"/>
    <w:rsid w:val="002D2824"/>
    <w:rsid w:val="002E0135"/>
    <w:rsid w:val="002E37A5"/>
    <w:rsid w:val="002E4EF9"/>
    <w:rsid w:val="002E5031"/>
    <w:rsid w:val="0030651A"/>
    <w:rsid w:val="00306B8F"/>
    <w:rsid w:val="00310F03"/>
    <w:rsid w:val="003247D2"/>
    <w:rsid w:val="003259EF"/>
    <w:rsid w:val="00340E08"/>
    <w:rsid w:val="003445C1"/>
    <w:rsid w:val="00347014"/>
    <w:rsid w:val="003470C0"/>
    <w:rsid w:val="00351B01"/>
    <w:rsid w:val="003520E3"/>
    <w:rsid w:val="00355B61"/>
    <w:rsid w:val="0035673D"/>
    <w:rsid w:val="00357224"/>
    <w:rsid w:val="00360AAD"/>
    <w:rsid w:val="00361F16"/>
    <w:rsid w:val="00362686"/>
    <w:rsid w:val="00367447"/>
    <w:rsid w:val="00371510"/>
    <w:rsid w:val="00385AF4"/>
    <w:rsid w:val="00396DFD"/>
    <w:rsid w:val="003A088C"/>
    <w:rsid w:val="003A52C6"/>
    <w:rsid w:val="003A7059"/>
    <w:rsid w:val="003A7070"/>
    <w:rsid w:val="003B6FCB"/>
    <w:rsid w:val="003B7A36"/>
    <w:rsid w:val="003B7E0C"/>
    <w:rsid w:val="003C17AB"/>
    <w:rsid w:val="003C6D3F"/>
    <w:rsid w:val="003C7823"/>
    <w:rsid w:val="003D2879"/>
    <w:rsid w:val="003E1DCC"/>
    <w:rsid w:val="003E29C8"/>
    <w:rsid w:val="003E31C4"/>
    <w:rsid w:val="003F53C9"/>
    <w:rsid w:val="003F6A59"/>
    <w:rsid w:val="0040601E"/>
    <w:rsid w:val="004065C8"/>
    <w:rsid w:val="00411B4B"/>
    <w:rsid w:val="00412148"/>
    <w:rsid w:val="00413968"/>
    <w:rsid w:val="00415BEE"/>
    <w:rsid w:val="0042116F"/>
    <w:rsid w:val="00427F85"/>
    <w:rsid w:val="00433D68"/>
    <w:rsid w:val="00436F42"/>
    <w:rsid w:val="004378B4"/>
    <w:rsid w:val="00442A2C"/>
    <w:rsid w:val="00451314"/>
    <w:rsid w:val="00452E9D"/>
    <w:rsid w:val="004534C7"/>
    <w:rsid w:val="004671AA"/>
    <w:rsid w:val="0047230F"/>
    <w:rsid w:val="00474304"/>
    <w:rsid w:val="00480BA7"/>
    <w:rsid w:val="00480FB1"/>
    <w:rsid w:val="00483928"/>
    <w:rsid w:val="00493E3D"/>
    <w:rsid w:val="00496E0D"/>
    <w:rsid w:val="00497ED8"/>
    <w:rsid w:val="004A3E19"/>
    <w:rsid w:val="004A40BE"/>
    <w:rsid w:val="004B5285"/>
    <w:rsid w:val="004B64D9"/>
    <w:rsid w:val="004B771C"/>
    <w:rsid w:val="004C02F5"/>
    <w:rsid w:val="004C1E8C"/>
    <w:rsid w:val="004D4749"/>
    <w:rsid w:val="004D6103"/>
    <w:rsid w:val="004E2302"/>
    <w:rsid w:val="004E3BCE"/>
    <w:rsid w:val="004E69C4"/>
    <w:rsid w:val="004E75E1"/>
    <w:rsid w:val="004F0E97"/>
    <w:rsid w:val="004F20F1"/>
    <w:rsid w:val="004F4B42"/>
    <w:rsid w:val="004F5313"/>
    <w:rsid w:val="00502A8A"/>
    <w:rsid w:val="00515C21"/>
    <w:rsid w:val="00523028"/>
    <w:rsid w:val="005257A2"/>
    <w:rsid w:val="00525E69"/>
    <w:rsid w:val="00527890"/>
    <w:rsid w:val="00530BD7"/>
    <w:rsid w:val="00535E8B"/>
    <w:rsid w:val="00541B3B"/>
    <w:rsid w:val="00545CD2"/>
    <w:rsid w:val="005476F3"/>
    <w:rsid w:val="00572527"/>
    <w:rsid w:val="00573E40"/>
    <w:rsid w:val="005744EC"/>
    <w:rsid w:val="0057528A"/>
    <w:rsid w:val="00576348"/>
    <w:rsid w:val="00580549"/>
    <w:rsid w:val="005865FF"/>
    <w:rsid w:val="00586A4F"/>
    <w:rsid w:val="005879D5"/>
    <w:rsid w:val="0059606F"/>
    <w:rsid w:val="005A0B2E"/>
    <w:rsid w:val="005A23D2"/>
    <w:rsid w:val="005A36CB"/>
    <w:rsid w:val="005A69BD"/>
    <w:rsid w:val="005B0EAC"/>
    <w:rsid w:val="005B3592"/>
    <w:rsid w:val="005B49B8"/>
    <w:rsid w:val="005C0741"/>
    <w:rsid w:val="005C2F00"/>
    <w:rsid w:val="005C5EF4"/>
    <w:rsid w:val="005D7729"/>
    <w:rsid w:val="005E0C5F"/>
    <w:rsid w:val="005E2E0B"/>
    <w:rsid w:val="005E7A7D"/>
    <w:rsid w:val="005F49B6"/>
    <w:rsid w:val="00621611"/>
    <w:rsid w:val="00622254"/>
    <w:rsid w:val="00622A2F"/>
    <w:rsid w:val="00623F25"/>
    <w:rsid w:val="00626102"/>
    <w:rsid w:val="006421AA"/>
    <w:rsid w:val="006446DA"/>
    <w:rsid w:val="00646BD1"/>
    <w:rsid w:val="006561C2"/>
    <w:rsid w:val="00656FE3"/>
    <w:rsid w:val="0066200B"/>
    <w:rsid w:val="00662028"/>
    <w:rsid w:val="006630FD"/>
    <w:rsid w:val="00666520"/>
    <w:rsid w:val="00671CB3"/>
    <w:rsid w:val="006721F6"/>
    <w:rsid w:val="00674BAF"/>
    <w:rsid w:val="006773B1"/>
    <w:rsid w:val="00682200"/>
    <w:rsid w:val="006847D5"/>
    <w:rsid w:val="006A1497"/>
    <w:rsid w:val="006B052D"/>
    <w:rsid w:val="006B0BD1"/>
    <w:rsid w:val="006B1B2C"/>
    <w:rsid w:val="006B22BF"/>
    <w:rsid w:val="006C2D7B"/>
    <w:rsid w:val="006C7402"/>
    <w:rsid w:val="006D04B6"/>
    <w:rsid w:val="006D20A5"/>
    <w:rsid w:val="006D37BF"/>
    <w:rsid w:val="006D4CF5"/>
    <w:rsid w:val="006D6CF8"/>
    <w:rsid w:val="006E0871"/>
    <w:rsid w:val="006F142D"/>
    <w:rsid w:val="006F4393"/>
    <w:rsid w:val="006F4A06"/>
    <w:rsid w:val="006F6A3A"/>
    <w:rsid w:val="00702E22"/>
    <w:rsid w:val="007068ED"/>
    <w:rsid w:val="0072020E"/>
    <w:rsid w:val="0072040B"/>
    <w:rsid w:val="007223BC"/>
    <w:rsid w:val="00724382"/>
    <w:rsid w:val="0073270B"/>
    <w:rsid w:val="00736FA5"/>
    <w:rsid w:val="007452F8"/>
    <w:rsid w:val="00747421"/>
    <w:rsid w:val="007474CC"/>
    <w:rsid w:val="00754BE5"/>
    <w:rsid w:val="00761A07"/>
    <w:rsid w:val="007634EB"/>
    <w:rsid w:val="00772696"/>
    <w:rsid w:val="007743DF"/>
    <w:rsid w:val="007822E4"/>
    <w:rsid w:val="00786071"/>
    <w:rsid w:val="0078772F"/>
    <w:rsid w:val="0079065D"/>
    <w:rsid w:val="007A3ECB"/>
    <w:rsid w:val="007B1D15"/>
    <w:rsid w:val="007C7FAA"/>
    <w:rsid w:val="007E44E1"/>
    <w:rsid w:val="007E7034"/>
    <w:rsid w:val="007E79A6"/>
    <w:rsid w:val="00805A14"/>
    <w:rsid w:val="00805FE1"/>
    <w:rsid w:val="0081394A"/>
    <w:rsid w:val="00822462"/>
    <w:rsid w:val="00824AB9"/>
    <w:rsid w:val="00825B92"/>
    <w:rsid w:val="00836B35"/>
    <w:rsid w:val="00842F3A"/>
    <w:rsid w:val="00843BDE"/>
    <w:rsid w:val="0084558C"/>
    <w:rsid w:val="008514DC"/>
    <w:rsid w:val="00853B69"/>
    <w:rsid w:val="0085561B"/>
    <w:rsid w:val="00855F58"/>
    <w:rsid w:val="008651EC"/>
    <w:rsid w:val="0087193B"/>
    <w:rsid w:val="0087453D"/>
    <w:rsid w:val="008749A6"/>
    <w:rsid w:val="00875BB8"/>
    <w:rsid w:val="0089572E"/>
    <w:rsid w:val="0089605F"/>
    <w:rsid w:val="0089705C"/>
    <w:rsid w:val="008A0BB1"/>
    <w:rsid w:val="008A6D43"/>
    <w:rsid w:val="008B491E"/>
    <w:rsid w:val="008C1A28"/>
    <w:rsid w:val="008C2E98"/>
    <w:rsid w:val="008C35DA"/>
    <w:rsid w:val="008E49BD"/>
    <w:rsid w:val="008E53E9"/>
    <w:rsid w:val="008E5771"/>
    <w:rsid w:val="008F3CFD"/>
    <w:rsid w:val="008F6069"/>
    <w:rsid w:val="00916017"/>
    <w:rsid w:val="009172A2"/>
    <w:rsid w:val="00920037"/>
    <w:rsid w:val="00940B9B"/>
    <w:rsid w:val="0094234F"/>
    <w:rsid w:val="00945119"/>
    <w:rsid w:val="00945BB6"/>
    <w:rsid w:val="00947532"/>
    <w:rsid w:val="00952D15"/>
    <w:rsid w:val="0095477A"/>
    <w:rsid w:val="0095676E"/>
    <w:rsid w:val="00956983"/>
    <w:rsid w:val="00963CF0"/>
    <w:rsid w:val="00964BB1"/>
    <w:rsid w:val="009665EF"/>
    <w:rsid w:val="009775D9"/>
    <w:rsid w:val="009802C7"/>
    <w:rsid w:val="009811B3"/>
    <w:rsid w:val="00983B57"/>
    <w:rsid w:val="0098583E"/>
    <w:rsid w:val="00991885"/>
    <w:rsid w:val="00993C0A"/>
    <w:rsid w:val="00997175"/>
    <w:rsid w:val="009A0929"/>
    <w:rsid w:val="009A1847"/>
    <w:rsid w:val="009B062A"/>
    <w:rsid w:val="009B31B7"/>
    <w:rsid w:val="009B40B9"/>
    <w:rsid w:val="009B66CC"/>
    <w:rsid w:val="009C5EF3"/>
    <w:rsid w:val="009D611E"/>
    <w:rsid w:val="009D67ED"/>
    <w:rsid w:val="009E0D65"/>
    <w:rsid w:val="009E2C49"/>
    <w:rsid w:val="009E4CED"/>
    <w:rsid w:val="009E67B5"/>
    <w:rsid w:val="009E7C6F"/>
    <w:rsid w:val="009F1793"/>
    <w:rsid w:val="009F2D23"/>
    <w:rsid w:val="00A01D69"/>
    <w:rsid w:val="00A02335"/>
    <w:rsid w:val="00A12A04"/>
    <w:rsid w:val="00A158B3"/>
    <w:rsid w:val="00A22ACC"/>
    <w:rsid w:val="00A4319E"/>
    <w:rsid w:val="00A44ACC"/>
    <w:rsid w:val="00A46C9A"/>
    <w:rsid w:val="00A50B88"/>
    <w:rsid w:val="00A619F3"/>
    <w:rsid w:val="00A62A73"/>
    <w:rsid w:val="00A700C1"/>
    <w:rsid w:val="00A828E1"/>
    <w:rsid w:val="00A87FF6"/>
    <w:rsid w:val="00A974B8"/>
    <w:rsid w:val="00A97810"/>
    <w:rsid w:val="00AA0A3B"/>
    <w:rsid w:val="00AA1471"/>
    <w:rsid w:val="00AB2E7A"/>
    <w:rsid w:val="00AB50CA"/>
    <w:rsid w:val="00AC282C"/>
    <w:rsid w:val="00AC53CE"/>
    <w:rsid w:val="00AD2193"/>
    <w:rsid w:val="00AD27EE"/>
    <w:rsid w:val="00AD31E8"/>
    <w:rsid w:val="00AE22A8"/>
    <w:rsid w:val="00AE3F11"/>
    <w:rsid w:val="00AE5C10"/>
    <w:rsid w:val="00AF2AC7"/>
    <w:rsid w:val="00AF74CE"/>
    <w:rsid w:val="00B1230A"/>
    <w:rsid w:val="00B208DB"/>
    <w:rsid w:val="00B23F69"/>
    <w:rsid w:val="00B308C2"/>
    <w:rsid w:val="00B33219"/>
    <w:rsid w:val="00B37AB3"/>
    <w:rsid w:val="00B412CB"/>
    <w:rsid w:val="00B437AB"/>
    <w:rsid w:val="00B60619"/>
    <w:rsid w:val="00B62221"/>
    <w:rsid w:val="00B65264"/>
    <w:rsid w:val="00B65F9A"/>
    <w:rsid w:val="00B66A70"/>
    <w:rsid w:val="00B67366"/>
    <w:rsid w:val="00B73A51"/>
    <w:rsid w:val="00B80EE1"/>
    <w:rsid w:val="00B84135"/>
    <w:rsid w:val="00B84E2E"/>
    <w:rsid w:val="00B86515"/>
    <w:rsid w:val="00B90DDE"/>
    <w:rsid w:val="00B9236F"/>
    <w:rsid w:val="00B9662D"/>
    <w:rsid w:val="00BA559E"/>
    <w:rsid w:val="00BB0470"/>
    <w:rsid w:val="00BC0178"/>
    <w:rsid w:val="00BC4016"/>
    <w:rsid w:val="00BD684B"/>
    <w:rsid w:val="00BE3B0B"/>
    <w:rsid w:val="00BE732F"/>
    <w:rsid w:val="00BF1E6D"/>
    <w:rsid w:val="00C04D34"/>
    <w:rsid w:val="00C05DF8"/>
    <w:rsid w:val="00C06864"/>
    <w:rsid w:val="00C0738A"/>
    <w:rsid w:val="00C10F54"/>
    <w:rsid w:val="00C13FC3"/>
    <w:rsid w:val="00C16E91"/>
    <w:rsid w:val="00C1719F"/>
    <w:rsid w:val="00C23D8D"/>
    <w:rsid w:val="00C24917"/>
    <w:rsid w:val="00C24D9D"/>
    <w:rsid w:val="00C37AA3"/>
    <w:rsid w:val="00C37FD7"/>
    <w:rsid w:val="00C43029"/>
    <w:rsid w:val="00C43419"/>
    <w:rsid w:val="00C44CF3"/>
    <w:rsid w:val="00C54FB1"/>
    <w:rsid w:val="00C5641B"/>
    <w:rsid w:val="00C5760A"/>
    <w:rsid w:val="00C60545"/>
    <w:rsid w:val="00C6088A"/>
    <w:rsid w:val="00C61BE0"/>
    <w:rsid w:val="00C630F5"/>
    <w:rsid w:val="00C70B0E"/>
    <w:rsid w:val="00C72314"/>
    <w:rsid w:val="00C745E8"/>
    <w:rsid w:val="00C773CA"/>
    <w:rsid w:val="00C82CC8"/>
    <w:rsid w:val="00C83785"/>
    <w:rsid w:val="00C90057"/>
    <w:rsid w:val="00C91BC2"/>
    <w:rsid w:val="00C94C0D"/>
    <w:rsid w:val="00CA1FEB"/>
    <w:rsid w:val="00CA6A99"/>
    <w:rsid w:val="00CC6F19"/>
    <w:rsid w:val="00CD218B"/>
    <w:rsid w:val="00CD4F85"/>
    <w:rsid w:val="00CD53E3"/>
    <w:rsid w:val="00CD6F02"/>
    <w:rsid w:val="00CD7A2B"/>
    <w:rsid w:val="00CE246D"/>
    <w:rsid w:val="00CF07A0"/>
    <w:rsid w:val="00CF3CC7"/>
    <w:rsid w:val="00CF3E03"/>
    <w:rsid w:val="00CF7C7C"/>
    <w:rsid w:val="00D0082A"/>
    <w:rsid w:val="00D02805"/>
    <w:rsid w:val="00D02AD7"/>
    <w:rsid w:val="00D030A9"/>
    <w:rsid w:val="00D063C4"/>
    <w:rsid w:val="00D12AAD"/>
    <w:rsid w:val="00D139A3"/>
    <w:rsid w:val="00D21455"/>
    <w:rsid w:val="00D23984"/>
    <w:rsid w:val="00D257AE"/>
    <w:rsid w:val="00D47634"/>
    <w:rsid w:val="00D541E7"/>
    <w:rsid w:val="00D60A73"/>
    <w:rsid w:val="00D63B27"/>
    <w:rsid w:val="00D709B3"/>
    <w:rsid w:val="00D74A9B"/>
    <w:rsid w:val="00D87A6F"/>
    <w:rsid w:val="00D92B10"/>
    <w:rsid w:val="00D939D6"/>
    <w:rsid w:val="00D95344"/>
    <w:rsid w:val="00D969BB"/>
    <w:rsid w:val="00DA0345"/>
    <w:rsid w:val="00DA2ED6"/>
    <w:rsid w:val="00DA5626"/>
    <w:rsid w:val="00DB45B7"/>
    <w:rsid w:val="00DB5D75"/>
    <w:rsid w:val="00DB5F9D"/>
    <w:rsid w:val="00DB76B8"/>
    <w:rsid w:val="00DC1D44"/>
    <w:rsid w:val="00DC2EA1"/>
    <w:rsid w:val="00DC38F1"/>
    <w:rsid w:val="00DD08A4"/>
    <w:rsid w:val="00DD3940"/>
    <w:rsid w:val="00DD6AAF"/>
    <w:rsid w:val="00DE3F5C"/>
    <w:rsid w:val="00DE61B2"/>
    <w:rsid w:val="00DE74DF"/>
    <w:rsid w:val="00DF1D20"/>
    <w:rsid w:val="00DF2E63"/>
    <w:rsid w:val="00DF65E4"/>
    <w:rsid w:val="00DF7182"/>
    <w:rsid w:val="00E02A3F"/>
    <w:rsid w:val="00E04B53"/>
    <w:rsid w:val="00E10C7D"/>
    <w:rsid w:val="00E14EE3"/>
    <w:rsid w:val="00E20262"/>
    <w:rsid w:val="00E21324"/>
    <w:rsid w:val="00E246B9"/>
    <w:rsid w:val="00E267E7"/>
    <w:rsid w:val="00E306A6"/>
    <w:rsid w:val="00E31FEA"/>
    <w:rsid w:val="00E342EA"/>
    <w:rsid w:val="00E35141"/>
    <w:rsid w:val="00E36351"/>
    <w:rsid w:val="00E40C6B"/>
    <w:rsid w:val="00E45169"/>
    <w:rsid w:val="00E47787"/>
    <w:rsid w:val="00E50C49"/>
    <w:rsid w:val="00E51C30"/>
    <w:rsid w:val="00E57143"/>
    <w:rsid w:val="00E6252C"/>
    <w:rsid w:val="00E64180"/>
    <w:rsid w:val="00E65B7D"/>
    <w:rsid w:val="00E67FB8"/>
    <w:rsid w:val="00E72983"/>
    <w:rsid w:val="00E74AEE"/>
    <w:rsid w:val="00E814B1"/>
    <w:rsid w:val="00E853D0"/>
    <w:rsid w:val="00E868E5"/>
    <w:rsid w:val="00E9237A"/>
    <w:rsid w:val="00E939FA"/>
    <w:rsid w:val="00E94D4D"/>
    <w:rsid w:val="00E9754F"/>
    <w:rsid w:val="00EA23D6"/>
    <w:rsid w:val="00EA34F6"/>
    <w:rsid w:val="00EA4CD0"/>
    <w:rsid w:val="00EA5765"/>
    <w:rsid w:val="00EB6C51"/>
    <w:rsid w:val="00EC203C"/>
    <w:rsid w:val="00EC2532"/>
    <w:rsid w:val="00EC6C6F"/>
    <w:rsid w:val="00ED7324"/>
    <w:rsid w:val="00ED7812"/>
    <w:rsid w:val="00EE277B"/>
    <w:rsid w:val="00EE7B48"/>
    <w:rsid w:val="00EF3B86"/>
    <w:rsid w:val="00EF78EC"/>
    <w:rsid w:val="00F063EA"/>
    <w:rsid w:val="00F103F8"/>
    <w:rsid w:val="00F16160"/>
    <w:rsid w:val="00F223A7"/>
    <w:rsid w:val="00F317E9"/>
    <w:rsid w:val="00F34554"/>
    <w:rsid w:val="00F3657A"/>
    <w:rsid w:val="00F36A8D"/>
    <w:rsid w:val="00F45F77"/>
    <w:rsid w:val="00F4786D"/>
    <w:rsid w:val="00F5167F"/>
    <w:rsid w:val="00F52258"/>
    <w:rsid w:val="00F66C4F"/>
    <w:rsid w:val="00F66E51"/>
    <w:rsid w:val="00F748A2"/>
    <w:rsid w:val="00F84800"/>
    <w:rsid w:val="00F8570A"/>
    <w:rsid w:val="00F861CD"/>
    <w:rsid w:val="00F91C7B"/>
    <w:rsid w:val="00F9268A"/>
    <w:rsid w:val="00F962B3"/>
    <w:rsid w:val="00F96FD4"/>
    <w:rsid w:val="00FB0E2D"/>
    <w:rsid w:val="00FC2443"/>
    <w:rsid w:val="00FE23A8"/>
    <w:rsid w:val="00FE42B7"/>
    <w:rsid w:val="00FF0C58"/>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6DC2FA"/>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HeaderChar">
    <w:name w:val="Header Char"/>
    <w:basedOn w:val="DefaultParagraphFont"/>
    <w:link w:val="Header"/>
    <w:rsid w:val="00A974B8"/>
    <w:rPr>
      <w:sz w:val="24"/>
      <w:szCs w:val="24"/>
      <w:lang w:val="en-US" w:eastAsia="en-US"/>
    </w:rPr>
  </w:style>
  <w:style w:type="paragraph" w:customStyle="1" w:styleId="NASLOV123">
    <w:name w:val="NASLOV 123"/>
    <w:basedOn w:val="Normal"/>
    <w:qFormat/>
    <w:rsid w:val="009665EF"/>
    <w:pPr>
      <w:tabs>
        <w:tab w:val="left" w:pos="284"/>
      </w:tabs>
      <w:spacing w:before="200" w:after="200"/>
    </w:pPr>
    <w:rPr>
      <w:b/>
      <w:sz w:val="22"/>
      <w:szCs w:val="22"/>
    </w:rPr>
  </w:style>
  <w:style w:type="character" w:customStyle="1" w:styleId="highlight">
    <w:name w:val="highlight"/>
    <w:rsid w:val="00176F8E"/>
  </w:style>
  <w:style w:type="paragraph" w:customStyle="1" w:styleId="tabletextNS">
    <w:name w:val="table:textNS"/>
    <w:basedOn w:val="Normal"/>
    <w:link w:val="tabletextNSChar"/>
    <w:qFormat/>
    <w:rsid w:val="00DE74DF"/>
    <w:rPr>
      <w:rFonts w:ascii="Arial Narrow" w:hAnsi="Arial Narrow"/>
      <w:lang w:val="en-GB"/>
    </w:rPr>
  </w:style>
  <w:style w:type="paragraph" w:customStyle="1" w:styleId="Action">
    <w:name w:val="Action"/>
    <w:basedOn w:val="Normal"/>
    <w:qFormat/>
    <w:rsid w:val="00DE74DF"/>
    <w:pPr>
      <w:numPr>
        <w:numId w:val="12"/>
      </w:numPr>
      <w:tabs>
        <w:tab w:val="left" w:pos="284"/>
        <w:tab w:val="left" w:pos="567"/>
      </w:tabs>
      <w:spacing w:before="120" w:line="260" w:lineRule="exact"/>
    </w:pPr>
    <w:rPr>
      <w:sz w:val="22"/>
      <w:lang w:val="en-GB" w:eastAsia="en-GB"/>
    </w:rPr>
  </w:style>
  <w:style w:type="character" w:customStyle="1" w:styleId="tabletextNSChar">
    <w:name w:val="table:textNS Char"/>
    <w:link w:val="tabletextNS"/>
    <w:rsid w:val="00DE74DF"/>
    <w:rPr>
      <w:rFonts w:ascii="Arial Narrow" w:hAnsi="Arial Narrow"/>
      <w:sz w:val="24"/>
      <w:szCs w:val="24"/>
      <w:lang w:val="en-GB" w:eastAsia="en-US"/>
    </w:rPr>
  </w:style>
  <w:style w:type="character" w:styleId="Hyperlink">
    <w:name w:val="Hyperlink"/>
    <w:basedOn w:val="DefaultParagraphFont"/>
    <w:unhideWhenUsed/>
    <w:rsid w:val="00853B69"/>
    <w:rPr>
      <w:color w:val="0563C1" w:themeColor="hyperlink"/>
      <w:u w:val="single"/>
    </w:rPr>
  </w:style>
  <w:style w:type="paragraph" w:customStyle="1" w:styleId="Default">
    <w:name w:val="Default"/>
    <w:rsid w:val="00367447"/>
    <w:pPr>
      <w:autoSpaceDE w:val="0"/>
      <w:autoSpaceDN w:val="0"/>
      <w:adjustRightInd w:val="0"/>
    </w:pPr>
    <w:rPr>
      <w:color w:val="000000"/>
      <w:sz w:val="24"/>
      <w:szCs w:val="24"/>
      <w:lang w:val="en-US"/>
    </w:rPr>
  </w:style>
  <w:style w:type="paragraph" w:styleId="Revision">
    <w:name w:val="Revision"/>
    <w:hidden/>
    <w:uiPriority w:val="99"/>
    <w:semiHidden/>
    <w:rsid w:val="0066652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0491">
      <w:bodyDiv w:val="1"/>
      <w:marLeft w:val="0"/>
      <w:marRight w:val="0"/>
      <w:marTop w:val="0"/>
      <w:marBottom w:val="0"/>
      <w:divBdr>
        <w:top w:val="none" w:sz="0" w:space="0" w:color="auto"/>
        <w:left w:val="none" w:sz="0" w:space="0" w:color="auto"/>
        <w:bottom w:val="none" w:sz="0" w:space="0" w:color="auto"/>
        <w:right w:val="none" w:sz="0" w:space="0" w:color="auto"/>
      </w:divBdr>
    </w:div>
    <w:div w:id="134877328">
      <w:bodyDiv w:val="1"/>
      <w:marLeft w:val="0"/>
      <w:marRight w:val="0"/>
      <w:marTop w:val="0"/>
      <w:marBottom w:val="0"/>
      <w:divBdr>
        <w:top w:val="none" w:sz="0" w:space="0" w:color="auto"/>
        <w:left w:val="none" w:sz="0" w:space="0" w:color="auto"/>
        <w:bottom w:val="none" w:sz="0" w:space="0" w:color="auto"/>
        <w:right w:val="none" w:sz="0" w:space="0" w:color="auto"/>
      </w:divBdr>
    </w:div>
    <w:div w:id="201678248">
      <w:bodyDiv w:val="1"/>
      <w:marLeft w:val="0"/>
      <w:marRight w:val="0"/>
      <w:marTop w:val="0"/>
      <w:marBottom w:val="0"/>
      <w:divBdr>
        <w:top w:val="none" w:sz="0" w:space="0" w:color="auto"/>
        <w:left w:val="none" w:sz="0" w:space="0" w:color="auto"/>
        <w:bottom w:val="none" w:sz="0" w:space="0" w:color="auto"/>
        <w:right w:val="none" w:sz="0" w:space="0" w:color="auto"/>
      </w:divBdr>
    </w:div>
    <w:div w:id="237248754">
      <w:bodyDiv w:val="1"/>
      <w:marLeft w:val="0"/>
      <w:marRight w:val="0"/>
      <w:marTop w:val="0"/>
      <w:marBottom w:val="0"/>
      <w:divBdr>
        <w:top w:val="none" w:sz="0" w:space="0" w:color="auto"/>
        <w:left w:val="none" w:sz="0" w:space="0" w:color="auto"/>
        <w:bottom w:val="none" w:sz="0" w:space="0" w:color="auto"/>
        <w:right w:val="none" w:sz="0" w:space="0" w:color="auto"/>
      </w:divBdr>
    </w:div>
    <w:div w:id="523636919">
      <w:bodyDiv w:val="1"/>
      <w:marLeft w:val="0"/>
      <w:marRight w:val="0"/>
      <w:marTop w:val="0"/>
      <w:marBottom w:val="0"/>
      <w:divBdr>
        <w:top w:val="none" w:sz="0" w:space="0" w:color="auto"/>
        <w:left w:val="none" w:sz="0" w:space="0" w:color="auto"/>
        <w:bottom w:val="none" w:sz="0" w:space="0" w:color="auto"/>
        <w:right w:val="none" w:sz="0" w:space="0" w:color="auto"/>
      </w:divBdr>
    </w:div>
    <w:div w:id="662205102">
      <w:bodyDiv w:val="1"/>
      <w:marLeft w:val="0"/>
      <w:marRight w:val="0"/>
      <w:marTop w:val="0"/>
      <w:marBottom w:val="0"/>
      <w:divBdr>
        <w:top w:val="none" w:sz="0" w:space="0" w:color="auto"/>
        <w:left w:val="none" w:sz="0" w:space="0" w:color="auto"/>
        <w:bottom w:val="none" w:sz="0" w:space="0" w:color="auto"/>
        <w:right w:val="none" w:sz="0" w:space="0" w:color="auto"/>
      </w:divBdr>
    </w:div>
    <w:div w:id="787817801">
      <w:bodyDiv w:val="1"/>
      <w:marLeft w:val="0"/>
      <w:marRight w:val="0"/>
      <w:marTop w:val="0"/>
      <w:marBottom w:val="0"/>
      <w:divBdr>
        <w:top w:val="none" w:sz="0" w:space="0" w:color="auto"/>
        <w:left w:val="none" w:sz="0" w:space="0" w:color="auto"/>
        <w:bottom w:val="none" w:sz="0" w:space="0" w:color="auto"/>
        <w:right w:val="none" w:sz="0" w:space="0" w:color="auto"/>
      </w:divBdr>
    </w:div>
    <w:div w:id="825626362">
      <w:bodyDiv w:val="1"/>
      <w:marLeft w:val="0"/>
      <w:marRight w:val="0"/>
      <w:marTop w:val="0"/>
      <w:marBottom w:val="0"/>
      <w:divBdr>
        <w:top w:val="none" w:sz="0" w:space="0" w:color="auto"/>
        <w:left w:val="none" w:sz="0" w:space="0" w:color="auto"/>
        <w:bottom w:val="none" w:sz="0" w:space="0" w:color="auto"/>
        <w:right w:val="none" w:sz="0" w:space="0" w:color="auto"/>
      </w:divBdr>
    </w:div>
    <w:div w:id="897546887">
      <w:bodyDiv w:val="1"/>
      <w:marLeft w:val="0"/>
      <w:marRight w:val="0"/>
      <w:marTop w:val="0"/>
      <w:marBottom w:val="0"/>
      <w:divBdr>
        <w:top w:val="none" w:sz="0" w:space="0" w:color="auto"/>
        <w:left w:val="none" w:sz="0" w:space="0" w:color="auto"/>
        <w:bottom w:val="none" w:sz="0" w:space="0" w:color="auto"/>
        <w:right w:val="none" w:sz="0" w:space="0" w:color="auto"/>
      </w:divBdr>
    </w:div>
    <w:div w:id="899368686">
      <w:bodyDiv w:val="1"/>
      <w:marLeft w:val="0"/>
      <w:marRight w:val="0"/>
      <w:marTop w:val="0"/>
      <w:marBottom w:val="0"/>
      <w:divBdr>
        <w:top w:val="none" w:sz="0" w:space="0" w:color="auto"/>
        <w:left w:val="none" w:sz="0" w:space="0" w:color="auto"/>
        <w:bottom w:val="none" w:sz="0" w:space="0" w:color="auto"/>
        <w:right w:val="none" w:sz="0" w:space="0" w:color="auto"/>
      </w:divBdr>
    </w:div>
    <w:div w:id="959846757">
      <w:bodyDiv w:val="1"/>
      <w:marLeft w:val="0"/>
      <w:marRight w:val="0"/>
      <w:marTop w:val="0"/>
      <w:marBottom w:val="0"/>
      <w:divBdr>
        <w:top w:val="none" w:sz="0" w:space="0" w:color="auto"/>
        <w:left w:val="none" w:sz="0" w:space="0" w:color="auto"/>
        <w:bottom w:val="none" w:sz="0" w:space="0" w:color="auto"/>
        <w:right w:val="none" w:sz="0" w:space="0" w:color="auto"/>
      </w:divBdr>
    </w:div>
    <w:div w:id="1099522749">
      <w:bodyDiv w:val="1"/>
      <w:marLeft w:val="0"/>
      <w:marRight w:val="0"/>
      <w:marTop w:val="0"/>
      <w:marBottom w:val="0"/>
      <w:divBdr>
        <w:top w:val="none" w:sz="0" w:space="0" w:color="auto"/>
        <w:left w:val="none" w:sz="0" w:space="0" w:color="auto"/>
        <w:bottom w:val="none" w:sz="0" w:space="0" w:color="auto"/>
        <w:right w:val="none" w:sz="0" w:space="0" w:color="auto"/>
      </w:divBdr>
    </w:div>
    <w:div w:id="1136029913">
      <w:bodyDiv w:val="1"/>
      <w:marLeft w:val="0"/>
      <w:marRight w:val="0"/>
      <w:marTop w:val="0"/>
      <w:marBottom w:val="0"/>
      <w:divBdr>
        <w:top w:val="none" w:sz="0" w:space="0" w:color="auto"/>
        <w:left w:val="none" w:sz="0" w:space="0" w:color="auto"/>
        <w:bottom w:val="none" w:sz="0" w:space="0" w:color="auto"/>
        <w:right w:val="none" w:sz="0" w:space="0" w:color="auto"/>
      </w:divBdr>
    </w:div>
    <w:div w:id="1166283283">
      <w:bodyDiv w:val="1"/>
      <w:marLeft w:val="0"/>
      <w:marRight w:val="0"/>
      <w:marTop w:val="0"/>
      <w:marBottom w:val="0"/>
      <w:divBdr>
        <w:top w:val="none" w:sz="0" w:space="0" w:color="auto"/>
        <w:left w:val="none" w:sz="0" w:space="0" w:color="auto"/>
        <w:bottom w:val="none" w:sz="0" w:space="0" w:color="auto"/>
        <w:right w:val="none" w:sz="0" w:space="0" w:color="auto"/>
      </w:divBdr>
    </w:div>
    <w:div w:id="1368948296">
      <w:bodyDiv w:val="1"/>
      <w:marLeft w:val="0"/>
      <w:marRight w:val="0"/>
      <w:marTop w:val="0"/>
      <w:marBottom w:val="0"/>
      <w:divBdr>
        <w:top w:val="none" w:sz="0" w:space="0" w:color="auto"/>
        <w:left w:val="none" w:sz="0" w:space="0" w:color="auto"/>
        <w:bottom w:val="none" w:sz="0" w:space="0" w:color="auto"/>
        <w:right w:val="none" w:sz="0" w:space="0" w:color="auto"/>
      </w:divBdr>
    </w:div>
    <w:div w:id="1506901136">
      <w:bodyDiv w:val="1"/>
      <w:marLeft w:val="0"/>
      <w:marRight w:val="0"/>
      <w:marTop w:val="0"/>
      <w:marBottom w:val="0"/>
      <w:divBdr>
        <w:top w:val="none" w:sz="0" w:space="0" w:color="auto"/>
        <w:left w:val="none" w:sz="0" w:space="0" w:color="auto"/>
        <w:bottom w:val="none" w:sz="0" w:space="0" w:color="auto"/>
        <w:right w:val="none" w:sz="0" w:space="0" w:color="auto"/>
      </w:divBdr>
    </w:div>
    <w:div w:id="1534998234">
      <w:bodyDiv w:val="1"/>
      <w:marLeft w:val="0"/>
      <w:marRight w:val="0"/>
      <w:marTop w:val="0"/>
      <w:marBottom w:val="0"/>
      <w:divBdr>
        <w:top w:val="none" w:sz="0" w:space="0" w:color="auto"/>
        <w:left w:val="none" w:sz="0" w:space="0" w:color="auto"/>
        <w:bottom w:val="none" w:sz="0" w:space="0" w:color="auto"/>
        <w:right w:val="none" w:sz="0" w:space="0" w:color="auto"/>
      </w:divBdr>
    </w:div>
    <w:div w:id="1547449883">
      <w:bodyDiv w:val="1"/>
      <w:marLeft w:val="0"/>
      <w:marRight w:val="0"/>
      <w:marTop w:val="0"/>
      <w:marBottom w:val="0"/>
      <w:divBdr>
        <w:top w:val="none" w:sz="0" w:space="0" w:color="auto"/>
        <w:left w:val="none" w:sz="0" w:space="0" w:color="auto"/>
        <w:bottom w:val="none" w:sz="0" w:space="0" w:color="auto"/>
        <w:right w:val="none" w:sz="0" w:space="0" w:color="auto"/>
      </w:divBdr>
    </w:div>
    <w:div w:id="1933470124">
      <w:bodyDiv w:val="1"/>
      <w:marLeft w:val="0"/>
      <w:marRight w:val="0"/>
      <w:marTop w:val="0"/>
      <w:marBottom w:val="0"/>
      <w:divBdr>
        <w:top w:val="none" w:sz="0" w:space="0" w:color="auto"/>
        <w:left w:val="none" w:sz="0" w:space="0" w:color="auto"/>
        <w:bottom w:val="none" w:sz="0" w:space="0" w:color="auto"/>
        <w:right w:val="none" w:sz="0" w:space="0" w:color="auto"/>
      </w:divBdr>
    </w:div>
    <w:div w:id="1961719001">
      <w:bodyDiv w:val="1"/>
      <w:marLeft w:val="0"/>
      <w:marRight w:val="0"/>
      <w:marTop w:val="0"/>
      <w:marBottom w:val="0"/>
      <w:divBdr>
        <w:top w:val="none" w:sz="0" w:space="0" w:color="auto"/>
        <w:left w:val="none" w:sz="0" w:space="0" w:color="auto"/>
        <w:bottom w:val="none" w:sz="0" w:space="0" w:color="auto"/>
        <w:right w:val="none" w:sz="0" w:space="0" w:color="auto"/>
      </w:divBdr>
    </w:div>
    <w:div w:id="1990134230">
      <w:bodyDiv w:val="1"/>
      <w:marLeft w:val="0"/>
      <w:marRight w:val="0"/>
      <w:marTop w:val="0"/>
      <w:marBottom w:val="0"/>
      <w:divBdr>
        <w:top w:val="none" w:sz="0" w:space="0" w:color="auto"/>
        <w:left w:val="none" w:sz="0" w:space="0" w:color="auto"/>
        <w:bottom w:val="none" w:sz="0" w:space="0" w:color="auto"/>
        <w:right w:val="none" w:sz="0" w:space="0" w:color="auto"/>
      </w:divBdr>
    </w:div>
    <w:div w:id="210534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28FC7-B438-4181-B00D-E3869FC91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11670</Words>
  <Characters>66523</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78037</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Tamara Dedejić</cp:lastModifiedBy>
  <cp:revision>2</cp:revision>
  <cp:lastPrinted>2021-09-21T10:41:00Z</cp:lastPrinted>
  <dcterms:created xsi:type="dcterms:W3CDTF">2025-07-25T08:22:00Z</dcterms:created>
  <dcterms:modified xsi:type="dcterms:W3CDTF">2025-07-25T08:22:00Z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