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1C319" w14:textId="77777777" w:rsidR="00F7629B" w:rsidRPr="00257E5C" w:rsidRDefault="00F7629B" w:rsidP="00180D45">
      <w:pPr>
        <w:jc w:val="center"/>
        <w:rPr>
          <w:b/>
          <w:bCs/>
          <w:iCs/>
          <w:szCs w:val="22"/>
          <w:u w:val="single"/>
        </w:rPr>
      </w:pPr>
      <w:r w:rsidRPr="00257E5C">
        <w:rPr>
          <w:b/>
          <w:bCs/>
          <w:iCs/>
          <w:szCs w:val="22"/>
          <w:u w:val="single"/>
        </w:rPr>
        <w:t>SAŽETAK KARAKTERISTIKA LIJEKA</w:t>
      </w:r>
    </w:p>
    <w:p w14:paraId="187BDFB7" w14:textId="77777777" w:rsidR="00286AB4" w:rsidRPr="00257E5C" w:rsidRDefault="00286AB4" w:rsidP="00180D45">
      <w:pPr>
        <w:rPr>
          <w:b/>
          <w:bCs/>
          <w:i/>
          <w:iCs/>
          <w:szCs w:val="22"/>
          <w:u w:val="single"/>
        </w:rPr>
      </w:pPr>
    </w:p>
    <w:p w14:paraId="673396CD" w14:textId="1C0DAD44" w:rsidR="00CE09F3" w:rsidRPr="00257E5C" w:rsidRDefault="003C389F" w:rsidP="00E25A4C">
      <w:pPr>
        <w:pStyle w:val="NASLOV123"/>
        <w:jc w:val="both"/>
      </w:pPr>
      <w:r w:rsidRPr="00257E5C">
        <w:t>1.      NAZIV</w:t>
      </w:r>
      <w:r w:rsidR="00CE09F3" w:rsidRPr="00257E5C">
        <w:t xml:space="preserve"> L</w:t>
      </w:r>
      <w:r w:rsidR="009B6204" w:rsidRPr="00257E5C">
        <w:t>IJ</w:t>
      </w:r>
      <w:r w:rsidR="00CE09F3" w:rsidRPr="00257E5C">
        <w:t>EKA</w:t>
      </w:r>
    </w:p>
    <w:p w14:paraId="14C7FA76" w14:textId="0D1C922B" w:rsidR="00F7629B" w:rsidRPr="00257E5C" w:rsidRDefault="00F7629B" w:rsidP="00E25A4C">
      <w:pPr>
        <w:pStyle w:val="Header"/>
        <w:tabs>
          <w:tab w:val="clear" w:pos="4536"/>
          <w:tab w:val="clear" w:pos="9072"/>
          <w:tab w:val="left" w:pos="284"/>
        </w:tabs>
        <w:rPr>
          <w:szCs w:val="22"/>
        </w:rPr>
      </w:pPr>
      <w:r w:rsidRPr="00257E5C">
        <w:rPr>
          <w:bCs/>
          <w:szCs w:val="22"/>
        </w:rPr>
        <w:t xml:space="preserve">Glucophage XR, </w:t>
      </w:r>
      <w:r w:rsidRPr="00257E5C">
        <w:rPr>
          <w:szCs w:val="22"/>
        </w:rPr>
        <w:t xml:space="preserve">500 mg, tableta sa produženim oslobađanjem </w:t>
      </w:r>
    </w:p>
    <w:p w14:paraId="56E03A69" w14:textId="0696558A" w:rsidR="00F7629B" w:rsidRPr="00257E5C" w:rsidRDefault="00F7629B" w:rsidP="00E25A4C">
      <w:pPr>
        <w:pStyle w:val="Header"/>
        <w:tabs>
          <w:tab w:val="clear" w:pos="4536"/>
          <w:tab w:val="clear" w:pos="9072"/>
          <w:tab w:val="left" w:pos="284"/>
        </w:tabs>
        <w:rPr>
          <w:szCs w:val="22"/>
        </w:rPr>
      </w:pPr>
      <w:r w:rsidRPr="00257E5C">
        <w:rPr>
          <w:bCs/>
          <w:szCs w:val="22"/>
        </w:rPr>
        <w:t xml:space="preserve">Glucophage XR, </w:t>
      </w:r>
      <w:r w:rsidRPr="00257E5C">
        <w:rPr>
          <w:szCs w:val="22"/>
        </w:rPr>
        <w:t>750 mg, tableta sa produženim oslobađanjem</w:t>
      </w:r>
    </w:p>
    <w:p w14:paraId="732DBB2A" w14:textId="74B01523" w:rsidR="00F7629B" w:rsidRPr="00257E5C" w:rsidRDefault="00F7629B" w:rsidP="00E25A4C">
      <w:pPr>
        <w:pStyle w:val="Header"/>
        <w:tabs>
          <w:tab w:val="clear" w:pos="4536"/>
          <w:tab w:val="clear" w:pos="9072"/>
          <w:tab w:val="left" w:pos="284"/>
        </w:tabs>
        <w:rPr>
          <w:szCs w:val="22"/>
        </w:rPr>
      </w:pPr>
      <w:r w:rsidRPr="00257E5C">
        <w:rPr>
          <w:bCs/>
          <w:szCs w:val="22"/>
        </w:rPr>
        <w:t xml:space="preserve">Glucophage XR, </w:t>
      </w:r>
      <w:r w:rsidRPr="00257E5C">
        <w:rPr>
          <w:szCs w:val="22"/>
        </w:rPr>
        <w:t>1000 mg, tableta sa produženim oslobađanjem</w:t>
      </w:r>
    </w:p>
    <w:p w14:paraId="3C721F1D" w14:textId="77777777" w:rsidR="00F7629B" w:rsidRPr="00257E5C" w:rsidRDefault="00F7629B" w:rsidP="00E25A4C">
      <w:pPr>
        <w:pStyle w:val="Header"/>
        <w:tabs>
          <w:tab w:val="clear" w:pos="4536"/>
          <w:tab w:val="clear" w:pos="9072"/>
          <w:tab w:val="left" w:pos="284"/>
        </w:tabs>
        <w:rPr>
          <w:szCs w:val="22"/>
        </w:rPr>
      </w:pPr>
    </w:p>
    <w:p w14:paraId="012061E6" w14:textId="77777777" w:rsidR="00F7629B" w:rsidRPr="00257E5C" w:rsidRDefault="00F7629B">
      <w:pPr>
        <w:pStyle w:val="Header"/>
        <w:tabs>
          <w:tab w:val="clear" w:pos="4536"/>
          <w:tab w:val="clear" w:pos="9072"/>
          <w:tab w:val="left" w:pos="284"/>
        </w:tabs>
        <w:ind w:right="-9453"/>
        <w:rPr>
          <w:szCs w:val="22"/>
        </w:rPr>
      </w:pPr>
      <w:r w:rsidRPr="00257E5C">
        <w:rPr>
          <w:szCs w:val="22"/>
        </w:rPr>
        <w:t>INN: metformin</w:t>
      </w:r>
    </w:p>
    <w:p w14:paraId="5258572C" w14:textId="03A49458" w:rsidR="00F7629B" w:rsidRPr="00257E5C" w:rsidRDefault="00F7629B">
      <w:pPr>
        <w:pStyle w:val="Header"/>
        <w:tabs>
          <w:tab w:val="clear" w:pos="4536"/>
          <w:tab w:val="clear" w:pos="9072"/>
          <w:tab w:val="left" w:pos="284"/>
        </w:tabs>
        <w:ind w:left="-970"/>
        <w:rPr>
          <w:szCs w:val="22"/>
        </w:rPr>
      </w:pPr>
    </w:p>
    <w:p w14:paraId="5BDB983C" w14:textId="77777777" w:rsidR="00F7629B" w:rsidRPr="00257E5C" w:rsidRDefault="00F7629B">
      <w:pPr>
        <w:pStyle w:val="Header"/>
        <w:tabs>
          <w:tab w:val="clear" w:pos="4536"/>
          <w:tab w:val="clear" w:pos="9072"/>
          <w:tab w:val="left" w:pos="284"/>
        </w:tabs>
        <w:ind w:left="-970"/>
        <w:rPr>
          <w:szCs w:val="22"/>
        </w:rPr>
      </w:pPr>
    </w:p>
    <w:p w14:paraId="38C979A4" w14:textId="53BCC7F8" w:rsidR="00CE09F3" w:rsidRPr="00257E5C" w:rsidRDefault="00CE09F3" w:rsidP="003B38DC">
      <w:pPr>
        <w:pStyle w:val="NASLOV123"/>
        <w:spacing w:before="0" w:after="0"/>
        <w:jc w:val="both"/>
      </w:pPr>
      <w:r w:rsidRPr="00257E5C">
        <w:t xml:space="preserve">2. </w:t>
      </w:r>
      <w:r w:rsidR="003C389F" w:rsidRPr="00257E5C">
        <w:t xml:space="preserve">     </w:t>
      </w:r>
      <w:r w:rsidRPr="00257E5C">
        <w:t>KVALITATIVNI I KVANTITATIVNI SASTAV</w:t>
      </w:r>
    </w:p>
    <w:p w14:paraId="52F63FB0" w14:textId="77777777" w:rsidR="00F7629B" w:rsidRPr="00257E5C" w:rsidRDefault="00F7629B" w:rsidP="00E25A4C">
      <w:pPr>
        <w:pStyle w:val="knZulassung01"/>
        <w:spacing w:after="40"/>
        <w:ind w:left="0" w:firstLine="0"/>
        <w:jc w:val="both"/>
        <w:rPr>
          <w:rFonts w:ascii="Times New Roman" w:hAnsi="Times New Roman"/>
          <w:sz w:val="22"/>
          <w:szCs w:val="22"/>
          <w:lang w:val="sr-Latn-CS"/>
        </w:rPr>
      </w:pPr>
    </w:p>
    <w:p w14:paraId="0783F763" w14:textId="34C692DE" w:rsidR="00F7629B" w:rsidRPr="00257E5C" w:rsidRDefault="00965C70" w:rsidP="00E25A4C">
      <w:pPr>
        <w:pStyle w:val="knZulassung01"/>
        <w:spacing w:after="40"/>
        <w:ind w:left="0" w:firstLine="0"/>
        <w:jc w:val="both"/>
        <w:rPr>
          <w:rFonts w:ascii="Times New Roman" w:hAnsi="Times New Roman"/>
          <w:sz w:val="22"/>
          <w:szCs w:val="22"/>
          <w:lang w:val="sr-Latn-CS"/>
        </w:rPr>
      </w:pPr>
      <w:r w:rsidRPr="00257E5C">
        <w:rPr>
          <w:rFonts w:ascii="Times New Roman" w:hAnsi="Times New Roman"/>
          <w:sz w:val="22"/>
          <w:szCs w:val="22"/>
          <w:u w:val="single"/>
          <w:lang w:val="sr-Latn-CS"/>
        </w:rPr>
        <w:t xml:space="preserve">Glucophage XR, </w:t>
      </w:r>
      <w:r w:rsidR="006A3693" w:rsidRPr="00257E5C">
        <w:rPr>
          <w:rFonts w:ascii="Times New Roman" w:hAnsi="Times New Roman"/>
          <w:sz w:val="22"/>
          <w:szCs w:val="22"/>
          <w:u w:val="single"/>
          <w:lang w:val="sr-Latn-CS"/>
        </w:rPr>
        <w:t>500</w:t>
      </w:r>
      <w:r w:rsidR="00F7629B" w:rsidRPr="00257E5C">
        <w:rPr>
          <w:rFonts w:ascii="Times New Roman" w:hAnsi="Times New Roman"/>
          <w:sz w:val="22"/>
          <w:szCs w:val="22"/>
          <w:u w:val="single"/>
          <w:lang w:val="sr-Latn-CS"/>
        </w:rPr>
        <w:t xml:space="preserve"> </w:t>
      </w:r>
      <w:r w:rsidR="006A3693" w:rsidRPr="00257E5C">
        <w:rPr>
          <w:rFonts w:ascii="Times New Roman" w:hAnsi="Times New Roman"/>
          <w:sz w:val="22"/>
          <w:szCs w:val="22"/>
          <w:u w:val="single"/>
          <w:lang w:val="sr-Latn-CS"/>
        </w:rPr>
        <w:t>mg</w:t>
      </w:r>
      <w:r w:rsidR="006A3693" w:rsidRPr="00257E5C">
        <w:rPr>
          <w:rFonts w:ascii="Times New Roman" w:hAnsi="Times New Roman"/>
          <w:sz w:val="22"/>
          <w:szCs w:val="22"/>
          <w:lang w:val="sr-Latn-CS"/>
        </w:rPr>
        <w:t xml:space="preserve">: </w:t>
      </w:r>
    </w:p>
    <w:p w14:paraId="244C5C6D" w14:textId="4B745E48" w:rsidR="00390C16" w:rsidRPr="00257E5C" w:rsidRDefault="00390C16" w:rsidP="00E25A4C">
      <w:pPr>
        <w:pStyle w:val="knZulassung01"/>
        <w:spacing w:after="40"/>
        <w:ind w:left="0" w:firstLine="0"/>
        <w:jc w:val="both"/>
        <w:rPr>
          <w:rFonts w:ascii="Times New Roman" w:hAnsi="Times New Roman"/>
          <w:sz w:val="22"/>
          <w:szCs w:val="22"/>
          <w:lang w:val="sr-Latn-CS"/>
        </w:rPr>
      </w:pPr>
      <w:r w:rsidRPr="00257E5C">
        <w:rPr>
          <w:rFonts w:ascii="Times New Roman" w:hAnsi="Times New Roman"/>
          <w:sz w:val="22"/>
          <w:szCs w:val="22"/>
          <w:lang w:val="sr-Latn-CS"/>
        </w:rPr>
        <w:t>Jedna tableta sa produženim oslobađanjem sadrži 500 mg metformin</w:t>
      </w:r>
      <w:r w:rsidR="00F7629B" w:rsidRPr="00257E5C">
        <w:rPr>
          <w:rFonts w:ascii="Times New Roman" w:hAnsi="Times New Roman"/>
          <w:sz w:val="22"/>
          <w:szCs w:val="22"/>
          <w:lang w:val="sr-Latn-CS"/>
        </w:rPr>
        <w:t xml:space="preserve"> </w:t>
      </w:r>
      <w:r w:rsidRPr="00257E5C">
        <w:rPr>
          <w:rFonts w:ascii="Times New Roman" w:hAnsi="Times New Roman"/>
          <w:sz w:val="22"/>
          <w:szCs w:val="22"/>
          <w:lang w:val="sr-Latn-CS"/>
        </w:rPr>
        <w:t>hidrohlorida (što odgovara 390 mg metformina).</w:t>
      </w:r>
    </w:p>
    <w:p w14:paraId="01137E48" w14:textId="77777777" w:rsidR="00ED493C" w:rsidRPr="00257E5C" w:rsidRDefault="00ED493C" w:rsidP="00E25A4C">
      <w:pPr>
        <w:pStyle w:val="knZulassung01"/>
        <w:spacing w:after="40"/>
        <w:ind w:left="0" w:firstLine="0"/>
        <w:jc w:val="both"/>
        <w:rPr>
          <w:rFonts w:ascii="Times New Roman" w:hAnsi="Times New Roman"/>
          <w:sz w:val="22"/>
          <w:szCs w:val="22"/>
          <w:u w:val="single"/>
          <w:lang w:val="sr-Latn-CS"/>
        </w:rPr>
      </w:pPr>
    </w:p>
    <w:p w14:paraId="269B5A39" w14:textId="0F566954" w:rsidR="00F7629B" w:rsidRPr="00257E5C" w:rsidRDefault="00965C70" w:rsidP="00E25A4C">
      <w:pPr>
        <w:pStyle w:val="knZulassung01"/>
        <w:spacing w:after="40"/>
        <w:ind w:left="0" w:firstLine="0"/>
        <w:jc w:val="both"/>
        <w:rPr>
          <w:rFonts w:ascii="Times New Roman" w:hAnsi="Times New Roman"/>
          <w:sz w:val="22"/>
          <w:szCs w:val="22"/>
          <w:lang w:val="sr-Latn-CS"/>
        </w:rPr>
      </w:pPr>
      <w:r w:rsidRPr="00257E5C">
        <w:rPr>
          <w:rFonts w:ascii="Times New Roman" w:hAnsi="Times New Roman"/>
          <w:sz w:val="22"/>
          <w:szCs w:val="22"/>
          <w:u w:val="single"/>
          <w:lang w:val="sr-Latn-CS"/>
        </w:rPr>
        <w:t xml:space="preserve">Glucophage XR, </w:t>
      </w:r>
      <w:r w:rsidR="006A3693" w:rsidRPr="00257E5C">
        <w:rPr>
          <w:rFonts w:ascii="Times New Roman" w:hAnsi="Times New Roman"/>
          <w:sz w:val="22"/>
          <w:szCs w:val="22"/>
          <w:u w:val="single"/>
          <w:lang w:val="sr-Latn-CS"/>
        </w:rPr>
        <w:t>750</w:t>
      </w:r>
      <w:r w:rsidR="00F7629B" w:rsidRPr="00257E5C">
        <w:rPr>
          <w:rFonts w:ascii="Times New Roman" w:hAnsi="Times New Roman"/>
          <w:sz w:val="22"/>
          <w:szCs w:val="22"/>
          <w:u w:val="single"/>
          <w:lang w:val="sr-Latn-CS"/>
        </w:rPr>
        <w:t xml:space="preserve"> </w:t>
      </w:r>
      <w:r w:rsidR="006A3693" w:rsidRPr="00257E5C">
        <w:rPr>
          <w:rFonts w:ascii="Times New Roman" w:hAnsi="Times New Roman"/>
          <w:sz w:val="22"/>
          <w:szCs w:val="22"/>
          <w:u w:val="single"/>
          <w:lang w:val="sr-Latn-CS"/>
        </w:rPr>
        <w:t>mg</w:t>
      </w:r>
      <w:r w:rsidR="006A3693" w:rsidRPr="00257E5C">
        <w:rPr>
          <w:rFonts w:ascii="Times New Roman" w:hAnsi="Times New Roman"/>
          <w:sz w:val="22"/>
          <w:szCs w:val="22"/>
          <w:lang w:val="sr-Latn-CS"/>
        </w:rPr>
        <w:t xml:space="preserve">: </w:t>
      </w:r>
    </w:p>
    <w:p w14:paraId="20827EE4" w14:textId="708AD661" w:rsidR="00390C16" w:rsidRPr="00257E5C" w:rsidRDefault="00390C16" w:rsidP="00E25A4C">
      <w:pPr>
        <w:pStyle w:val="knZulassung01"/>
        <w:spacing w:after="40"/>
        <w:ind w:left="0" w:firstLine="0"/>
        <w:jc w:val="both"/>
        <w:rPr>
          <w:rFonts w:ascii="Times New Roman" w:hAnsi="Times New Roman"/>
          <w:sz w:val="22"/>
          <w:szCs w:val="22"/>
          <w:lang w:val="sr-Latn-CS"/>
        </w:rPr>
      </w:pPr>
      <w:r w:rsidRPr="00257E5C">
        <w:rPr>
          <w:rFonts w:ascii="Times New Roman" w:hAnsi="Times New Roman"/>
          <w:sz w:val="22"/>
          <w:szCs w:val="22"/>
          <w:lang w:val="sr-Latn-CS"/>
        </w:rPr>
        <w:t>Jedna tableta sa produženim oslobađanjem sadrži 750 mg metformin</w:t>
      </w:r>
      <w:r w:rsidR="00F7629B" w:rsidRPr="00257E5C">
        <w:rPr>
          <w:rFonts w:ascii="Times New Roman" w:hAnsi="Times New Roman"/>
          <w:sz w:val="22"/>
          <w:szCs w:val="22"/>
          <w:lang w:val="sr-Latn-CS"/>
        </w:rPr>
        <w:t xml:space="preserve"> </w:t>
      </w:r>
      <w:r w:rsidRPr="00257E5C">
        <w:rPr>
          <w:rFonts w:ascii="Times New Roman" w:hAnsi="Times New Roman"/>
          <w:sz w:val="22"/>
          <w:szCs w:val="22"/>
          <w:lang w:val="sr-Latn-CS"/>
        </w:rPr>
        <w:t>hidrohlorida (što odgovara 585 mg metformina).</w:t>
      </w:r>
    </w:p>
    <w:p w14:paraId="1ED6246A" w14:textId="77777777" w:rsidR="00ED493C" w:rsidRPr="00257E5C" w:rsidRDefault="00ED493C" w:rsidP="00E25A4C">
      <w:pPr>
        <w:pStyle w:val="knZulassung01"/>
        <w:spacing w:after="40"/>
        <w:ind w:left="0" w:firstLine="0"/>
        <w:jc w:val="both"/>
        <w:rPr>
          <w:rFonts w:ascii="Times New Roman" w:hAnsi="Times New Roman"/>
          <w:sz w:val="22"/>
          <w:szCs w:val="22"/>
          <w:u w:val="single"/>
          <w:lang w:val="sr-Latn-CS"/>
        </w:rPr>
      </w:pPr>
    </w:p>
    <w:p w14:paraId="08354058" w14:textId="502E6499" w:rsidR="00F7629B" w:rsidRPr="00257E5C" w:rsidRDefault="00965C70" w:rsidP="00E25A4C">
      <w:pPr>
        <w:pStyle w:val="knZulassung01"/>
        <w:spacing w:after="40"/>
        <w:ind w:left="0" w:firstLine="0"/>
        <w:jc w:val="both"/>
        <w:rPr>
          <w:rFonts w:ascii="Times New Roman" w:hAnsi="Times New Roman"/>
          <w:sz w:val="22"/>
          <w:szCs w:val="22"/>
          <w:lang w:val="sr-Latn-CS"/>
        </w:rPr>
      </w:pPr>
      <w:r w:rsidRPr="00257E5C">
        <w:rPr>
          <w:rFonts w:ascii="Times New Roman" w:hAnsi="Times New Roman"/>
          <w:sz w:val="22"/>
          <w:szCs w:val="22"/>
          <w:u w:val="single"/>
          <w:lang w:val="sr-Latn-CS"/>
        </w:rPr>
        <w:t xml:space="preserve">Glucophage XR, </w:t>
      </w:r>
      <w:r w:rsidR="00445212" w:rsidRPr="00257E5C">
        <w:rPr>
          <w:rFonts w:ascii="Times New Roman" w:hAnsi="Times New Roman"/>
          <w:sz w:val="22"/>
          <w:szCs w:val="22"/>
          <w:u w:val="single"/>
          <w:lang w:val="sr-Latn-CS"/>
        </w:rPr>
        <w:t>1000</w:t>
      </w:r>
      <w:r w:rsidR="00F7629B" w:rsidRPr="00257E5C">
        <w:rPr>
          <w:rFonts w:ascii="Times New Roman" w:hAnsi="Times New Roman"/>
          <w:sz w:val="22"/>
          <w:szCs w:val="22"/>
          <w:u w:val="single"/>
          <w:lang w:val="sr-Latn-CS"/>
        </w:rPr>
        <w:t xml:space="preserve"> </w:t>
      </w:r>
      <w:r w:rsidR="00445212" w:rsidRPr="00257E5C">
        <w:rPr>
          <w:rFonts w:ascii="Times New Roman" w:hAnsi="Times New Roman"/>
          <w:sz w:val="22"/>
          <w:szCs w:val="22"/>
          <w:u w:val="single"/>
          <w:lang w:val="sr-Latn-CS"/>
        </w:rPr>
        <w:t>mg</w:t>
      </w:r>
      <w:r w:rsidR="00445212" w:rsidRPr="00257E5C">
        <w:rPr>
          <w:rFonts w:ascii="Times New Roman" w:hAnsi="Times New Roman"/>
          <w:sz w:val="22"/>
          <w:szCs w:val="22"/>
          <w:lang w:val="sr-Latn-CS"/>
        </w:rPr>
        <w:t xml:space="preserve">: </w:t>
      </w:r>
    </w:p>
    <w:p w14:paraId="494ABAA2" w14:textId="7AFBCABF" w:rsidR="00390C16" w:rsidRPr="00257E5C" w:rsidRDefault="00390C16" w:rsidP="00E25A4C">
      <w:pPr>
        <w:pStyle w:val="knZulassung01"/>
        <w:spacing w:after="40"/>
        <w:ind w:left="0" w:firstLine="0"/>
        <w:jc w:val="both"/>
        <w:rPr>
          <w:rFonts w:ascii="Times New Roman" w:hAnsi="Times New Roman"/>
          <w:sz w:val="22"/>
          <w:szCs w:val="22"/>
          <w:lang w:val="sr-Latn-CS"/>
        </w:rPr>
      </w:pPr>
      <w:r w:rsidRPr="00257E5C">
        <w:rPr>
          <w:rFonts w:ascii="Times New Roman" w:hAnsi="Times New Roman"/>
          <w:sz w:val="22"/>
          <w:szCs w:val="22"/>
          <w:lang w:val="sr-Latn-CS"/>
        </w:rPr>
        <w:t xml:space="preserve">Jedna tableta sa produženim oslobađanjem sadrži 1000 mg metformin hidrohlorida (što odgovara 780 mg metformina). </w:t>
      </w:r>
    </w:p>
    <w:p w14:paraId="7E6E0653" w14:textId="77777777" w:rsidR="006A3693" w:rsidRPr="00257E5C" w:rsidRDefault="006A3693" w:rsidP="00E25A4C">
      <w:pPr>
        <w:pStyle w:val="knZulassung01"/>
        <w:spacing w:after="40"/>
        <w:ind w:left="0" w:firstLine="0"/>
        <w:jc w:val="both"/>
        <w:rPr>
          <w:rFonts w:ascii="Times New Roman" w:hAnsi="Times New Roman"/>
          <w:sz w:val="22"/>
          <w:szCs w:val="22"/>
          <w:lang w:val="sr-Latn-CS"/>
        </w:rPr>
      </w:pPr>
    </w:p>
    <w:p w14:paraId="76E66788" w14:textId="2AD468AF" w:rsidR="00CE09F3" w:rsidRPr="00257E5C" w:rsidRDefault="00A047F4">
      <w:pPr>
        <w:rPr>
          <w:szCs w:val="22"/>
        </w:rPr>
      </w:pPr>
      <w:r w:rsidRPr="00257E5C">
        <w:rPr>
          <w:szCs w:val="22"/>
        </w:rPr>
        <w:t>Za spisak svih ekscipijenasa, pogledati dio 6.1.</w:t>
      </w:r>
    </w:p>
    <w:p w14:paraId="31C0D7F8" w14:textId="0AEB3EF6" w:rsidR="00F7629B" w:rsidRPr="00257E5C" w:rsidRDefault="00F7629B">
      <w:pPr>
        <w:rPr>
          <w:szCs w:val="22"/>
        </w:rPr>
      </w:pPr>
    </w:p>
    <w:p w14:paraId="7DDB2513" w14:textId="77777777" w:rsidR="00F7629B" w:rsidRPr="00257E5C" w:rsidRDefault="00F7629B">
      <w:pPr>
        <w:rPr>
          <w:szCs w:val="22"/>
        </w:rPr>
      </w:pPr>
    </w:p>
    <w:p w14:paraId="001EBD8D" w14:textId="0C504CC3" w:rsidR="00CE09F3" w:rsidRPr="00257E5C" w:rsidRDefault="00CE09F3" w:rsidP="003B38DC">
      <w:pPr>
        <w:pStyle w:val="NASLOV123"/>
        <w:spacing w:before="0" w:after="0"/>
        <w:jc w:val="both"/>
      </w:pPr>
      <w:r w:rsidRPr="00257E5C">
        <w:t xml:space="preserve">3. </w:t>
      </w:r>
      <w:r w:rsidR="003C389F" w:rsidRPr="00257E5C">
        <w:t xml:space="preserve">     </w:t>
      </w:r>
      <w:r w:rsidRPr="00257E5C">
        <w:t>FARMACEUTSKI OBLIK</w:t>
      </w:r>
    </w:p>
    <w:p w14:paraId="41C78273" w14:textId="77777777" w:rsidR="00F7629B" w:rsidRPr="00257E5C" w:rsidRDefault="00F7629B" w:rsidP="00E25A4C">
      <w:pPr>
        <w:pStyle w:val="Header"/>
        <w:tabs>
          <w:tab w:val="clear" w:pos="4536"/>
          <w:tab w:val="clear" w:pos="9072"/>
          <w:tab w:val="left" w:pos="284"/>
        </w:tabs>
        <w:rPr>
          <w:szCs w:val="22"/>
        </w:rPr>
      </w:pPr>
    </w:p>
    <w:p w14:paraId="365A887D" w14:textId="21CC9D9E" w:rsidR="00390C16" w:rsidRPr="00257E5C" w:rsidRDefault="00390C16" w:rsidP="00E25A4C">
      <w:pPr>
        <w:pStyle w:val="Header"/>
        <w:tabs>
          <w:tab w:val="clear" w:pos="4536"/>
          <w:tab w:val="clear" w:pos="9072"/>
          <w:tab w:val="left" w:pos="284"/>
        </w:tabs>
        <w:rPr>
          <w:szCs w:val="22"/>
        </w:rPr>
      </w:pPr>
      <w:r w:rsidRPr="00257E5C">
        <w:rPr>
          <w:szCs w:val="22"/>
        </w:rPr>
        <w:t>Tableta sa produženim oslobađanjem.</w:t>
      </w:r>
    </w:p>
    <w:p w14:paraId="1CA89F95" w14:textId="77777777" w:rsidR="00DC2D64" w:rsidRPr="00257E5C" w:rsidRDefault="00DC2D64" w:rsidP="00E25A4C">
      <w:pPr>
        <w:pStyle w:val="Header"/>
        <w:tabs>
          <w:tab w:val="clear" w:pos="4536"/>
          <w:tab w:val="clear" w:pos="9072"/>
          <w:tab w:val="left" w:pos="284"/>
        </w:tabs>
        <w:rPr>
          <w:szCs w:val="22"/>
        </w:rPr>
      </w:pPr>
    </w:p>
    <w:p w14:paraId="1FCB494A" w14:textId="77777777" w:rsidR="00F7629B" w:rsidRPr="00257E5C" w:rsidRDefault="00F7629B" w:rsidP="00F7629B">
      <w:pPr>
        <w:pStyle w:val="knZulassung01"/>
        <w:spacing w:after="40"/>
        <w:ind w:left="0" w:firstLine="0"/>
        <w:jc w:val="both"/>
        <w:rPr>
          <w:rFonts w:ascii="Times New Roman" w:hAnsi="Times New Roman"/>
          <w:sz w:val="22"/>
          <w:szCs w:val="22"/>
          <w:lang w:val="sr-Latn-CS"/>
        </w:rPr>
      </w:pPr>
      <w:r w:rsidRPr="00257E5C">
        <w:rPr>
          <w:rFonts w:ascii="Times New Roman" w:hAnsi="Times New Roman"/>
          <w:sz w:val="22"/>
          <w:szCs w:val="22"/>
          <w:u w:val="single"/>
          <w:lang w:val="sr-Latn-CS"/>
        </w:rPr>
        <w:t>Glucophage XR, 500 mg</w:t>
      </w:r>
      <w:r w:rsidRPr="00257E5C">
        <w:rPr>
          <w:rFonts w:ascii="Times New Roman" w:hAnsi="Times New Roman"/>
          <w:sz w:val="22"/>
          <w:szCs w:val="22"/>
          <w:lang w:val="sr-Latn-CS"/>
        </w:rPr>
        <w:t xml:space="preserve">: </w:t>
      </w:r>
    </w:p>
    <w:p w14:paraId="4A32FB14" w14:textId="08BB551B" w:rsidR="00390C16" w:rsidRPr="00257E5C" w:rsidRDefault="002E09E6" w:rsidP="00E25A4C">
      <w:pPr>
        <w:tabs>
          <w:tab w:val="clear" w:pos="284"/>
        </w:tabs>
        <w:autoSpaceDE w:val="0"/>
        <w:autoSpaceDN w:val="0"/>
        <w:adjustRightInd w:val="0"/>
        <w:rPr>
          <w:szCs w:val="22"/>
        </w:rPr>
      </w:pPr>
      <w:r w:rsidRPr="00257E5C">
        <w:rPr>
          <w:szCs w:val="22"/>
        </w:rPr>
        <w:t>Okrugle</w:t>
      </w:r>
      <w:r w:rsidR="00390C16" w:rsidRPr="00257E5C">
        <w:rPr>
          <w:szCs w:val="22"/>
        </w:rPr>
        <w:t>, bikonveksne tablete, b</w:t>
      </w:r>
      <w:r w:rsidR="009B6204" w:rsidRPr="00257E5C">
        <w:rPr>
          <w:szCs w:val="22"/>
        </w:rPr>
        <w:t>ij</w:t>
      </w:r>
      <w:r w:rsidR="00390C16" w:rsidRPr="00257E5C">
        <w:rPr>
          <w:szCs w:val="22"/>
        </w:rPr>
        <w:t>ele do skoro b</w:t>
      </w:r>
      <w:r w:rsidR="009B6204" w:rsidRPr="00257E5C">
        <w:rPr>
          <w:szCs w:val="22"/>
        </w:rPr>
        <w:t>ij</w:t>
      </w:r>
      <w:r w:rsidR="00390C16" w:rsidRPr="00257E5C">
        <w:rPr>
          <w:szCs w:val="22"/>
        </w:rPr>
        <w:t>ele boje, sa utisnutom oznakom "500" sa jedne strane tablet</w:t>
      </w:r>
      <w:r w:rsidR="00ED493C" w:rsidRPr="00257E5C">
        <w:rPr>
          <w:szCs w:val="22"/>
        </w:rPr>
        <w:t>e</w:t>
      </w:r>
      <w:r w:rsidR="00390C16" w:rsidRPr="00257E5C">
        <w:rPr>
          <w:szCs w:val="22"/>
        </w:rPr>
        <w:t>.</w:t>
      </w:r>
    </w:p>
    <w:p w14:paraId="2806CD88" w14:textId="77777777" w:rsidR="00ED493C" w:rsidRPr="00257E5C" w:rsidRDefault="00ED493C" w:rsidP="00E25A4C">
      <w:pPr>
        <w:tabs>
          <w:tab w:val="clear" w:pos="284"/>
        </w:tabs>
        <w:autoSpaceDE w:val="0"/>
        <w:autoSpaceDN w:val="0"/>
        <w:adjustRightInd w:val="0"/>
        <w:rPr>
          <w:szCs w:val="22"/>
          <w:u w:val="single"/>
        </w:rPr>
      </w:pPr>
    </w:p>
    <w:p w14:paraId="2A7099BD" w14:textId="15BCAAED" w:rsidR="00ED493C" w:rsidRPr="00257E5C" w:rsidRDefault="00ED493C" w:rsidP="00E25A4C">
      <w:pPr>
        <w:tabs>
          <w:tab w:val="clear" w:pos="284"/>
        </w:tabs>
        <w:autoSpaceDE w:val="0"/>
        <w:autoSpaceDN w:val="0"/>
        <w:adjustRightInd w:val="0"/>
        <w:rPr>
          <w:szCs w:val="22"/>
        </w:rPr>
      </w:pPr>
      <w:r w:rsidRPr="00257E5C">
        <w:rPr>
          <w:szCs w:val="22"/>
          <w:u w:val="single"/>
        </w:rPr>
        <w:t>Glucophage XR, 750 mg</w:t>
      </w:r>
      <w:r w:rsidRPr="00257E5C">
        <w:rPr>
          <w:szCs w:val="22"/>
        </w:rPr>
        <w:t>:</w:t>
      </w:r>
      <w:r w:rsidR="006A3693" w:rsidRPr="00257E5C">
        <w:rPr>
          <w:szCs w:val="22"/>
        </w:rPr>
        <w:t xml:space="preserve"> </w:t>
      </w:r>
    </w:p>
    <w:p w14:paraId="20D70410" w14:textId="7C94E1D1" w:rsidR="00390C16" w:rsidRPr="00257E5C" w:rsidRDefault="00390C16" w:rsidP="00E25A4C">
      <w:pPr>
        <w:tabs>
          <w:tab w:val="clear" w:pos="284"/>
        </w:tabs>
        <w:autoSpaceDE w:val="0"/>
        <w:autoSpaceDN w:val="0"/>
        <w:adjustRightInd w:val="0"/>
        <w:rPr>
          <w:szCs w:val="22"/>
        </w:rPr>
      </w:pPr>
      <w:r w:rsidRPr="00257E5C">
        <w:rPr>
          <w:szCs w:val="22"/>
        </w:rPr>
        <w:t>Duguljaste, bikonveksne tablete, b</w:t>
      </w:r>
      <w:r w:rsidR="009B6204" w:rsidRPr="00257E5C">
        <w:rPr>
          <w:szCs w:val="22"/>
        </w:rPr>
        <w:t>ij</w:t>
      </w:r>
      <w:r w:rsidRPr="00257E5C">
        <w:rPr>
          <w:szCs w:val="22"/>
        </w:rPr>
        <w:t>ele do skoro b</w:t>
      </w:r>
      <w:r w:rsidR="009B6204" w:rsidRPr="00257E5C">
        <w:rPr>
          <w:szCs w:val="22"/>
        </w:rPr>
        <w:t>ij</w:t>
      </w:r>
      <w:r w:rsidRPr="00257E5C">
        <w:rPr>
          <w:szCs w:val="22"/>
        </w:rPr>
        <w:t xml:space="preserve">ele boje, sa utisnutom oznakom "750" sa jedne strane </w:t>
      </w:r>
      <w:r w:rsidR="002E09E6" w:rsidRPr="00257E5C">
        <w:rPr>
          <w:szCs w:val="22"/>
        </w:rPr>
        <w:t>tablet</w:t>
      </w:r>
      <w:r w:rsidR="00ED493C" w:rsidRPr="00257E5C">
        <w:rPr>
          <w:szCs w:val="22"/>
        </w:rPr>
        <w:t>e</w:t>
      </w:r>
      <w:r w:rsidR="002E09E6" w:rsidRPr="00257E5C">
        <w:rPr>
          <w:szCs w:val="22"/>
        </w:rPr>
        <w:t xml:space="preserve"> i utisnutom oznakom</w:t>
      </w:r>
      <w:r w:rsidR="001A6DF3" w:rsidRPr="00257E5C">
        <w:rPr>
          <w:szCs w:val="22"/>
        </w:rPr>
        <w:t xml:space="preserve"> </w:t>
      </w:r>
      <w:r w:rsidR="002E09E6" w:rsidRPr="00257E5C">
        <w:rPr>
          <w:szCs w:val="22"/>
        </w:rPr>
        <w:t>,,MERCK</w:t>
      </w:r>
      <w:r w:rsidR="00ED493C" w:rsidRPr="00257E5C">
        <w:rPr>
          <w:szCs w:val="22"/>
        </w:rPr>
        <w:t>“</w:t>
      </w:r>
      <w:r w:rsidR="002E09E6" w:rsidRPr="00257E5C">
        <w:rPr>
          <w:szCs w:val="22"/>
        </w:rPr>
        <w:t xml:space="preserve"> sa druge strane tablet</w:t>
      </w:r>
      <w:r w:rsidR="00ED493C" w:rsidRPr="00257E5C">
        <w:rPr>
          <w:szCs w:val="22"/>
        </w:rPr>
        <w:t>e</w:t>
      </w:r>
      <w:r w:rsidRPr="00257E5C">
        <w:rPr>
          <w:szCs w:val="22"/>
        </w:rPr>
        <w:t>.</w:t>
      </w:r>
    </w:p>
    <w:p w14:paraId="2381FF7E" w14:textId="77777777" w:rsidR="00ED493C" w:rsidRPr="00257E5C" w:rsidRDefault="00ED493C" w:rsidP="00E25A4C">
      <w:pPr>
        <w:tabs>
          <w:tab w:val="clear" w:pos="284"/>
        </w:tabs>
        <w:autoSpaceDE w:val="0"/>
        <w:autoSpaceDN w:val="0"/>
        <w:adjustRightInd w:val="0"/>
        <w:rPr>
          <w:szCs w:val="22"/>
          <w:u w:val="single"/>
        </w:rPr>
      </w:pPr>
    </w:p>
    <w:p w14:paraId="46C6B5D7" w14:textId="76A816B1" w:rsidR="00ED493C" w:rsidRPr="00257E5C" w:rsidRDefault="00ED493C" w:rsidP="00E25A4C">
      <w:pPr>
        <w:tabs>
          <w:tab w:val="clear" w:pos="284"/>
        </w:tabs>
        <w:autoSpaceDE w:val="0"/>
        <w:autoSpaceDN w:val="0"/>
        <w:adjustRightInd w:val="0"/>
        <w:rPr>
          <w:szCs w:val="22"/>
        </w:rPr>
      </w:pPr>
      <w:r w:rsidRPr="00257E5C">
        <w:rPr>
          <w:szCs w:val="22"/>
          <w:u w:val="single"/>
        </w:rPr>
        <w:t>Glucophage XR, 1000 mg</w:t>
      </w:r>
      <w:r w:rsidRPr="00257E5C">
        <w:rPr>
          <w:szCs w:val="22"/>
        </w:rPr>
        <w:t xml:space="preserve">: </w:t>
      </w:r>
      <w:r w:rsidR="006A3693" w:rsidRPr="00257E5C">
        <w:rPr>
          <w:szCs w:val="22"/>
        </w:rPr>
        <w:t xml:space="preserve"> </w:t>
      </w:r>
    </w:p>
    <w:p w14:paraId="2FF082FB" w14:textId="4498D398" w:rsidR="00CE09F3" w:rsidRPr="00257E5C" w:rsidRDefault="00390C16">
      <w:pPr>
        <w:tabs>
          <w:tab w:val="clear" w:pos="284"/>
        </w:tabs>
        <w:autoSpaceDE w:val="0"/>
        <w:autoSpaceDN w:val="0"/>
        <w:adjustRightInd w:val="0"/>
        <w:rPr>
          <w:szCs w:val="22"/>
        </w:rPr>
      </w:pPr>
      <w:r w:rsidRPr="00257E5C">
        <w:rPr>
          <w:szCs w:val="22"/>
        </w:rPr>
        <w:t>Duguljaste, bikonveksne tablete, b</w:t>
      </w:r>
      <w:r w:rsidR="009B6204" w:rsidRPr="00257E5C">
        <w:rPr>
          <w:szCs w:val="22"/>
        </w:rPr>
        <w:t>ij</w:t>
      </w:r>
      <w:r w:rsidRPr="00257E5C">
        <w:rPr>
          <w:szCs w:val="22"/>
        </w:rPr>
        <w:t>ele do</w:t>
      </w:r>
      <w:r w:rsidR="00A1706F" w:rsidRPr="00257E5C">
        <w:rPr>
          <w:szCs w:val="22"/>
        </w:rPr>
        <w:t xml:space="preserve"> </w:t>
      </w:r>
      <w:r w:rsidRPr="00257E5C">
        <w:rPr>
          <w:szCs w:val="22"/>
        </w:rPr>
        <w:t>skoro b</w:t>
      </w:r>
      <w:r w:rsidR="009B6204" w:rsidRPr="00257E5C">
        <w:rPr>
          <w:szCs w:val="22"/>
        </w:rPr>
        <w:t>ij</w:t>
      </w:r>
      <w:r w:rsidRPr="00257E5C">
        <w:rPr>
          <w:szCs w:val="22"/>
        </w:rPr>
        <w:t xml:space="preserve">ele boje, sa utisnutom oznakom "1000" sa jedne strane </w:t>
      </w:r>
      <w:r w:rsidR="002E09E6" w:rsidRPr="00257E5C">
        <w:rPr>
          <w:szCs w:val="22"/>
        </w:rPr>
        <w:t>tablet</w:t>
      </w:r>
      <w:r w:rsidR="00ED493C" w:rsidRPr="00257E5C">
        <w:rPr>
          <w:szCs w:val="22"/>
        </w:rPr>
        <w:t>e</w:t>
      </w:r>
      <w:r w:rsidR="00C114B4" w:rsidRPr="00257E5C">
        <w:rPr>
          <w:szCs w:val="22"/>
        </w:rPr>
        <w:t xml:space="preserve"> </w:t>
      </w:r>
      <w:r w:rsidR="002E09E6" w:rsidRPr="00257E5C">
        <w:rPr>
          <w:szCs w:val="22"/>
        </w:rPr>
        <w:t>i utisnutom oznakom ,,MERCK</w:t>
      </w:r>
      <w:r w:rsidR="00ED493C" w:rsidRPr="00257E5C">
        <w:rPr>
          <w:szCs w:val="22"/>
        </w:rPr>
        <w:t>“</w:t>
      </w:r>
      <w:r w:rsidR="002E09E6" w:rsidRPr="00257E5C">
        <w:rPr>
          <w:szCs w:val="22"/>
        </w:rPr>
        <w:t xml:space="preserve"> sa druge strane tablet</w:t>
      </w:r>
      <w:r w:rsidR="00ED493C" w:rsidRPr="00257E5C">
        <w:rPr>
          <w:szCs w:val="22"/>
        </w:rPr>
        <w:t>e</w:t>
      </w:r>
      <w:r w:rsidRPr="00257E5C">
        <w:rPr>
          <w:szCs w:val="22"/>
        </w:rPr>
        <w:t>.</w:t>
      </w:r>
    </w:p>
    <w:p w14:paraId="38DD9141" w14:textId="48729C33" w:rsidR="00CE09F3" w:rsidRPr="00257E5C" w:rsidRDefault="00CE09F3">
      <w:pPr>
        <w:rPr>
          <w:szCs w:val="22"/>
        </w:rPr>
      </w:pPr>
    </w:p>
    <w:p w14:paraId="6FDF3CF2" w14:textId="77777777" w:rsidR="00ED493C" w:rsidRPr="00257E5C" w:rsidRDefault="00ED493C">
      <w:pPr>
        <w:rPr>
          <w:szCs w:val="22"/>
        </w:rPr>
      </w:pPr>
    </w:p>
    <w:p w14:paraId="271A3BB0" w14:textId="7A51A99E" w:rsidR="00CE09F3" w:rsidRPr="00257E5C" w:rsidRDefault="00CE09F3" w:rsidP="00E34FC5">
      <w:pPr>
        <w:pStyle w:val="NASLOV123"/>
        <w:spacing w:before="0" w:after="0"/>
        <w:jc w:val="both"/>
      </w:pPr>
      <w:r w:rsidRPr="00257E5C">
        <w:t xml:space="preserve">4. </w:t>
      </w:r>
      <w:r w:rsidR="00CF0DE7" w:rsidRPr="00257E5C">
        <w:t xml:space="preserve">     </w:t>
      </w:r>
      <w:r w:rsidRPr="00257E5C">
        <w:t>KLINIČKI PODACI</w:t>
      </w:r>
    </w:p>
    <w:p w14:paraId="32CD97BB" w14:textId="77777777" w:rsidR="00ED493C" w:rsidRPr="00257E5C" w:rsidRDefault="00ED493C">
      <w:pPr>
        <w:rPr>
          <w:b/>
          <w:bCs/>
          <w:szCs w:val="22"/>
        </w:rPr>
      </w:pPr>
    </w:p>
    <w:p w14:paraId="347096F2" w14:textId="0A2E71BA" w:rsidR="00CE09F3" w:rsidRPr="00257E5C" w:rsidRDefault="00CE09F3">
      <w:pPr>
        <w:rPr>
          <w:b/>
          <w:bCs/>
          <w:szCs w:val="22"/>
        </w:rPr>
      </w:pPr>
      <w:r w:rsidRPr="00257E5C">
        <w:rPr>
          <w:b/>
          <w:bCs/>
          <w:szCs w:val="22"/>
        </w:rPr>
        <w:t>4.1.</w:t>
      </w:r>
      <w:r w:rsidR="00CF0DE7" w:rsidRPr="00257E5C">
        <w:rPr>
          <w:b/>
          <w:bCs/>
          <w:szCs w:val="22"/>
        </w:rPr>
        <w:t xml:space="preserve">  </w:t>
      </w:r>
      <w:r w:rsidRPr="00257E5C">
        <w:rPr>
          <w:b/>
          <w:bCs/>
          <w:szCs w:val="22"/>
        </w:rPr>
        <w:t xml:space="preserve"> Terapijske indikacije</w:t>
      </w:r>
    </w:p>
    <w:p w14:paraId="5E5B8ABE" w14:textId="77777777" w:rsidR="00390C16" w:rsidRPr="00257E5C" w:rsidRDefault="00390C16" w:rsidP="00E25A4C">
      <w:pPr>
        <w:rPr>
          <w:b/>
          <w:bCs/>
          <w:szCs w:val="22"/>
        </w:rPr>
      </w:pPr>
    </w:p>
    <w:p w14:paraId="5686B0CC" w14:textId="10E87C94" w:rsidR="00CD0C39" w:rsidRPr="00257E5C" w:rsidRDefault="00CD0C39" w:rsidP="00E25A4C">
      <w:pPr>
        <w:numPr>
          <w:ilvl w:val="0"/>
          <w:numId w:val="17"/>
        </w:numPr>
        <w:rPr>
          <w:szCs w:val="22"/>
        </w:rPr>
      </w:pPr>
      <w:bookmarkStart w:id="0" w:name="_Hlk497489413"/>
      <w:r w:rsidRPr="00257E5C">
        <w:rPr>
          <w:szCs w:val="22"/>
        </w:rPr>
        <w:t xml:space="preserve">Smanjenje rizika ili odlaganje pojave dijabetes melitusa </w:t>
      </w:r>
      <w:bookmarkEnd w:id="0"/>
      <w:r w:rsidR="00C43B40" w:rsidRPr="00257E5C">
        <w:rPr>
          <w:szCs w:val="22"/>
        </w:rPr>
        <w:t xml:space="preserve">tipa 2 </w:t>
      </w:r>
      <w:r w:rsidRPr="00257E5C">
        <w:rPr>
          <w:szCs w:val="22"/>
        </w:rPr>
        <w:t xml:space="preserve">kod odraslih pacijenata sa </w:t>
      </w:r>
      <w:bookmarkStart w:id="1" w:name="_Hlk497741209"/>
      <w:r w:rsidR="00245891" w:rsidRPr="00257E5C">
        <w:rPr>
          <w:szCs w:val="22"/>
        </w:rPr>
        <w:t xml:space="preserve">prekomjernom </w:t>
      </w:r>
      <w:r w:rsidRPr="00257E5C">
        <w:rPr>
          <w:szCs w:val="22"/>
        </w:rPr>
        <w:t xml:space="preserve">tjelesnom masom </w:t>
      </w:r>
      <w:r w:rsidR="008D69B5" w:rsidRPr="00257E5C">
        <w:rPr>
          <w:szCs w:val="22"/>
        </w:rPr>
        <w:t>i</w:t>
      </w:r>
      <w:r w:rsidRPr="00257E5C">
        <w:rPr>
          <w:szCs w:val="22"/>
        </w:rPr>
        <w:t xml:space="preserve"> predijabetesom (</w:t>
      </w:r>
      <w:bookmarkEnd w:id="1"/>
      <w:r w:rsidR="00E34FC5" w:rsidRPr="00257E5C">
        <w:rPr>
          <w:szCs w:val="22"/>
        </w:rPr>
        <w:t>registrovan</w:t>
      </w:r>
      <w:r w:rsidR="009A3915" w:rsidRPr="00257E5C">
        <w:rPr>
          <w:szCs w:val="22"/>
        </w:rPr>
        <w:t>a</w:t>
      </w:r>
      <w:r w:rsidR="00E34FC5" w:rsidRPr="00257E5C">
        <w:rPr>
          <w:szCs w:val="22"/>
        </w:rPr>
        <w:t xml:space="preserve"> hiperglikemij</w:t>
      </w:r>
      <w:r w:rsidR="009A3915" w:rsidRPr="00257E5C">
        <w:rPr>
          <w:szCs w:val="22"/>
        </w:rPr>
        <w:t>a</w:t>
      </w:r>
      <w:r w:rsidR="00E34FC5" w:rsidRPr="00257E5C">
        <w:rPr>
          <w:szCs w:val="22"/>
        </w:rPr>
        <w:t xml:space="preserve"> natašte (</w:t>
      </w:r>
      <w:r w:rsidR="00E34FC5" w:rsidRPr="00257E5C">
        <w:rPr>
          <w:i/>
          <w:szCs w:val="22"/>
        </w:rPr>
        <w:t xml:space="preserve">IFG*) </w:t>
      </w:r>
      <w:r w:rsidR="00E34FC5" w:rsidRPr="00257E5C">
        <w:rPr>
          <w:iCs/>
          <w:szCs w:val="22"/>
        </w:rPr>
        <w:t xml:space="preserve">i/ili </w:t>
      </w:r>
      <w:r w:rsidR="003B38DC" w:rsidRPr="00257E5C">
        <w:rPr>
          <w:szCs w:val="22"/>
        </w:rPr>
        <w:t>poremeća</w:t>
      </w:r>
      <w:r w:rsidR="009A3915" w:rsidRPr="00257E5C">
        <w:rPr>
          <w:szCs w:val="22"/>
        </w:rPr>
        <w:t>j</w:t>
      </w:r>
      <w:r w:rsidR="003B38DC" w:rsidRPr="00257E5C">
        <w:rPr>
          <w:szCs w:val="22"/>
        </w:rPr>
        <w:t xml:space="preserve"> tolerancije na glukozu </w:t>
      </w:r>
      <w:r w:rsidR="00E34FC5" w:rsidRPr="00257E5C">
        <w:rPr>
          <w:szCs w:val="22"/>
        </w:rPr>
        <w:t>(</w:t>
      </w:r>
      <w:r w:rsidRPr="00257E5C">
        <w:rPr>
          <w:i/>
          <w:szCs w:val="22"/>
        </w:rPr>
        <w:t>IGT</w:t>
      </w:r>
      <w:r w:rsidR="003B38DC" w:rsidRPr="00257E5C">
        <w:rPr>
          <w:i/>
          <w:szCs w:val="22"/>
        </w:rPr>
        <w:t>*</w:t>
      </w:r>
      <w:r w:rsidRPr="00257E5C">
        <w:rPr>
          <w:szCs w:val="22"/>
        </w:rPr>
        <w:t>) i/ili pov</w:t>
      </w:r>
      <w:r w:rsidR="00E34FC5" w:rsidRPr="00257E5C">
        <w:rPr>
          <w:szCs w:val="22"/>
        </w:rPr>
        <w:t>ećan</w:t>
      </w:r>
      <w:r w:rsidR="009A3915" w:rsidRPr="00257E5C">
        <w:rPr>
          <w:szCs w:val="22"/>
        </w:rPr>
        <w:t>a</w:t>
      </w:r>
      <w:r w:rsidR="00E34FC5" w:rsidRPr="00257E5C">
        <w:rPr>
          <w:szCs w:val="22"/>
        </w:rPr>
        <w:t xml:space="preserve"> koncentracij</w:t>
      </w:r>
      <w:r w:rsidR="009A3915" w:rsidRPr="00257E5C">
        <w:rPr>
          <w:szCs w:val="22"/>
        </w:rPr>
        <w:t>a</w:t>
      </w:r>
      <w:r w:rsidR="00E34FC5" w:rsidRPr="00257E5C">
        <w:rPr>
          <w:szCs w:val="22"/>
        </w:rPr>
        <w:t xml:space="preserve"> glikoziliranog hemoglobina</w:t>
      </w:r>
      <w:r w:rsidRPr="00257E5C">
        <w:rPr>
          <w:szCs w:val="22"/>
        </w:rPr>
        <w:t xml:space="preserve"> </w:t>
      </w:r>
      <w:r w:rsidR="00E34FC5" w:rsidRPr="00257E5C">
        <w:rPr>
          <w:szCs w:val="22"/>
        </w:rPr>
        <w:t>(</w:t>
      </w:r>
      <w:r w:rsidRPr="00257E5C">
        <w:rPr>
          <w:szCs w:val="22"/>
        </w:rPr>
        <w:t>HbA1C</w:t>
      </w:r>
      <w:r w:rsidR="00E34FC5" w:rsidRPr="00257E5C">
        <w:rPr>
          <w:szCs w:val="22"/>
        </w:rPr>
        <w:t>))</w:t>
      </w:r>
      <w:r w:rsidRPr="00257E5C">
        <w:rPr>
          <w:szCs w:val="22"/>
        </w:rPr>
        <w:t>, koji:</w:t>
      </w:r>
    </w:p>
    <w:p w14:paraId="0839701C" w14:textId="6F73CA3C" w:rsidR="00CD0C39" w:rsidRPr="00257E5C" w:rsidRDefault="00CD0C39" w:rsidP="00E25A4C">
      <w:pPr>
        <w:numPr>
          <w:ilvl w:val="1"/>
          <w:numId w:val="18"/>
        </w:numPr>
        <w:rPr>
          <w:szCs w:val="22"/>
        </w:rPr>
      </w:pPr>
      <w:r w:rsidRPr="00257E5C">
        <w:rPr>
          <w:szCs w:val="22"/>
        </w:rPr>
        <w:lastRenderedPageBreak/>
        <w:t xml:space="preserve">imaju </w:t>
      </w:r>
      <w:r w:rsidR="00984019" w:rsidRPr="00257E5C">
        <w:rPr>
          <w:szCs w:val="22"/>
        </w:rPr>
        <w:t xml:space="preserve">visok </w:t>
      </w:r>
      <w:r w:rsidRPr="00257E5C">
        <w:rPr>
          <w:szCs w:val="22"/>
        </w:rPr>
        <w:t xml:space="preserve">rizik za razvoj </w:t>
      </w:r>
      <w:bookmarkStart w:id="2" w:name="_Hlk497488841"/>
      <w:r w:rsidRPr="00257E5C">
        <w:rPr>
          <w:szCs w:val="22"/>
        </w:rPr>
        <w:t>dijabetes melitusa</w:t>
      </w:r>
      <w:bookmarkEnd w:id="2"/>
      <w:r w:rsidRPr="00257E5C">
        <w:rPr>
          <w:szCs w:val="22"/>
        </w:rPr>
        <w:t xml:space="preserve"> </w:t>
      </w:r>
      <w:r w:rsidR="006F67AF" w:rsidRPr="00257E5C">
        <w:rPr>
          <w:szCs w:val="22"/>
        </w:rPr>
        <w:t xml:space="preserve">tipa 2 </w:t>
      </w:r>
      <w:r w:rsidRPr="00257E5C">
        <w:rPr>
          <w:szCs w:val="22"/>
        </w:rPr>
        <w:t xml:space="preserve">(vidjeti </w:t>
      </w:r>
      <w:r w:rsidR="00E23AC9" w:rsidRPr="00257E5C">
        <w:rPr>
          <w:szCs w:val="22"/>
        </w:rPr>
        <w:t>dio</w:t>
      </w:r>
      <w:r w:rsidRPr="00257E5C">
        <w:rPr>
          <w:szCs w:val="22"/>
        </w:rPr>
        <w:t xml:space="preserve"> 5.1)</w:t>
      </w:r>
      <w:r w:rsidR="002E3F4A" w:rsidRPr="00257E5C">
        <w:rPr>
          <w:szCs w:val="22"/>
        </w:rPr>
        <w:t xml:space="preserve"> i</w:t>
      </w:r>
    </w:p>
    <w:p w14:paraId="1E8E882A" w14:textId="2F8A53E8" w:rsidR="00CD0C39" w:rsidRPr="00257E5C" w:rsidRDefault="00CD0C39" w:rsidP="00E25A4C">
      <w:pPr>
        <w:numPr>
          <w:ilvl w:val="1"/>
          <w:numId w:val="18"/>
        </w:numPr>
        <w:rPr>
          <w:szCs w:val="22"/>
        </w:rPr>
      </w:pPr>
      <w:r w:rsidRPr="00257E5C">
        <w:rPr>
          <w:szCs w:val="22"/>
        </w:rPr>
        <w:t xml:space="preserve">dalje </w:t>
      </w:r>
      <w:r w:rsidR="00965C70" w:rsidRPr="00257E5C">
        <w:rPr>
          <w:szCs w:val="22"/>
        </w:rPr>
        <w:t xml:space="preserve">napreduju </w:t>
      </w:r>
      <w:r w:rsidRPr="00257E5C">
        <w:rPr>
          <w:szCs w:val="22"/>
        </w:rPr>
        <w:t xml:space="preserve">prema tipu 2 dijabetes melitusa uprkos sprovođenju </w:t>
      </w:r>
      <w:bookmarkStart w:id="3" w:name="_Hlk497489538"/>
      <w:r w:rsidRPr="00257E5C">
        <w:rPr>
          <w:szCs w:val="22"/>
        </w:rPr>
        <w:t xml:space="preserve">značajne promjene u načinu života tokom </w:t>
      </w:r>
      <w:r w:rsidR="00965C70" w:rsidRPr="00257E5C">
        <w:rPr>
          <w:szCs w:val="22"/>
        </w:rPr>
        <w:t xml:space="preserve">perioda od </w:t>
      </w:r>
      <w:r w:rsidRPr="00257E5C">
        <w:rPr>
          <w:szCs w:val="22"/>
        </w:rPr>
        <w:t>3 do 6 mjeseci</w:t>
      </w:r>
      <w:bookmarkEnd w:id="3"/>
      <w:r w:rsidRPr="00257E5C">
        <w:rPr>
          <w:szCs w:val="22"/>
        </w:rPr>
        <w:t>.</w:t>
      </w:r>
    </w:p>
    <w:p w14:paraId="6A0B319B" w14:textId="77777777" w:rsidR="00C43B40" w:rsidRPr="00257E5C" w:rsidRDefault="00C43B40" w:rsidP="003B38DC">
      <w:pPr>
        <w:rPr>
          <w:szCs w:val="22"/>
        </w:rPr>
      </w:pPr>
    </w:p>
    <w:p w14:paraId="11AE6089" w14:textId="4ADE5AD4" w:rsidR="00C43B40" w:rsidRPr="00257E5C" w:rsidRDefault="00C43B40" w:rsidP="00E25A4C">
      <w:pPr>
        <w:ind w:left="720"/>
        <w:rPr>
          <w:szCs w:val="22"/>
        </w:rPr>
      </w:pPr>
      <w:r w:rsidRPr="00257E5C">
        <w:rPr>
          <w:szCs w:val="22"/>
        </w:rPr>
        <w:t>*</w:t>
      </w:r>
      <w:r w:rsidR="00670845" w:rsidRPr="00257E5C">
        <w:rPr>
          <w:szCs w:val="22"/>
        </w:rPr>
        <w:t xml:space="preserve"> IFG (</w:t>
      </w:r>
      <w:r w:rsidR="00670845" w:rsidRPr="00257E5C">
        <w:rPr>
          <w:i/>
          <w:szCs w:val="22"/>
        </w:rPr>
        <w:t>Impaired Fasting Glucose</w:t>
      </w:r>
      <w:r w:rsidR="00670845" w:rsidRPr="00257E5C">
        <w:rPr>
          <w:szCs w:val="22"/>
        </w:rPr>
        <w:t>): povećana glikemija natašte</w:t>
      </w:r>
    </w:p>
    <w:p w14:paraId="0D27F3EB" w14:textId="4656D61A" w:rsidR="00C43B40" w:rsidRPr="00257E5C" w:rsidRDefault="00C43B40" w:rsidP="003B38DC">
      <w:pPr>
        <w:ind w:left="720"/>
        <w:rPr>
          <w:szCs w:val="22"/>
        </w:rPr>
      </w:pPr>
      <w:r w:rsidRPr="00257E5C">
        <w:rPr>
          <w:szCs w:val="22"/>
        </w:rPr>
        <w:t>*</w:t>
      </w:r>
      <w:r w:rsidR="00670845" w:rsidRPr="00257E5C" w:rsidDel="00670845">
        <w:rPr>
          <w:szCs w:val="22"/>
        </w:rPr>
        <w:t xml:space="preserve"> </w:t>
      </w:r>
      <w:r w:rsidR="00670845" w:rsidRPr="00257E5C">
        <w:rPr>
          <w:szCs w:val="22"/>
        </w:rPr>
        <w:t>IGT (</w:t>
      </w:r>
      <w:r w:rsidR="00670845" w:rsidRPr="00257E5C">
        <w:rPr>
          <w:i/>
          <w:szCs w:val="22"/>
        </w:rPr>
        <w:t>Impaired Glucose Tolerance</w:t>
      </w:r>
      <w:r w:rsidR="00670845" w:rsidRPr="00257E5C">
        <w:rPr>
          <w:szCs w:val="22"/>
        </w:rPr>
        <w:t>): poremećaj tolerancije na glukozu</w:t>
      </w:r>
      <w:r w:rsidR="00670845" w:rsidRPr="00257E5C" w:rsidDel="00670845">
        <w:rPr>
          <w:szCs w:val="22"/>
        </w:rPr>
        <w:t xml:space="preserve"> </w:t>
      </w:r>
    </w:p>
    <w:p w14:paraId="5D0A6A41" w14:textId="77777777" w:rsidR="00CD0C39" w:rsidRPr="00257E5C" w:rsidRDefault="00CD0C39" w:rsidP="00E25A4C">
      <w:pPr>
        <w:rPr>
          <w:szCs w:val="22"/>
        </w:rPr>
      </w:pPr>
    </w:p>
    <w:p w14:paraId="739B25E3" w14:textId="1E006D3B" w:rsidR="00CD0C39" w:rsidRPr="00257E5C" w:rsidRDefault="00CD0C39" w:rsidP="006D14CD">
      <w:pPr>
        <w:rPr>
          <w:szCs w:val="22"/>
        </w:rPr>
      </w:pPr>
      <w:r w:rsidRPr="00257E5C">
        <w:rPr>
          <w:szCs w:val="22"/>
        </w:rPr>
        <w:t xml:space="preserve">Liječenje sa lijekom Glucophage XR mora da bude zasnovano na procjeni rizika koja obuhvata odgovarajuće mjere glikemijske kontrole uključujući i dokaze o visokom kardiovaskularnom riziku (vidjeti </w:t>
      </w:r>
      <w:r w:rsidR="00E23AC9" w:rsidRPr="00257E5C">
        <w:rPr>
          <w:szCs w:val="22"/>
        </w:rPr>
        <w:t>dio</w:t>
      </w:r>
      <w:r w:rsidRPr="00257E5C">
        <w:rPr>
          <w:szCs w:val="22"/>
        </w:rPr>
        <w:t xml:space="preserve"> 5.1).</w:t>
      </w:r>
    </w:p>
    <w:p w14:paraId="22097359" w14:textId="77777777" w:rsidR="00CD0C39" w:rsidRPr="00257E5C" w:rsidRDefault="00CD0C39" w:rsidP="00E25A4C">
      <w:pPr>
        <w:rPr>
          <w:szCs w:val="22"/>
        </w:rPr>
      </w:pPr>
    </w:p>
    <w:p w14:paraId="5F9AD6CD" w14:textId="116B3D3D" w:rsidR="00CD0C39" w:rsidRPr="00257E5C" w:rsidRDefault="00CD0C39" w:rsidP="00E25A4C">
      <w:pPr>
        <w:rPr>
          <w:szCs w:val="22"/>
        </w:rPr>
      </w:pPr>
      <w:r w:rsidRPr="00257E5C">
        <w:rPr>
          <w:szCs w:val="22"/>
        </w:rPr>
        <w:t>Sa promjenama načina života treba nastaviti i kada se započne liječenje metforminom, osim ako pacijent nije u stanju da to učini iz zdravstvenih razloga.</w:t>
      </w:r>
    </w:p>
    <w:p w14:paraId="113E2800" w14:textId="18913BA1" w:rsidR="00CD0C39" w:rsidRPr="00257E5C" w:rsidRDefault="00CD0C39" w:rsidP="00E25A4C">
      <w:pPr>
        <w:rPr>
          <w:szCs w:val="22"/>
        </w:rPr>
      </w:pPr>
    </w:p>
    <w:p w14:paraId="78E68A24" w14:textId="2C2DD630" w:rsidR="00CE09F3" w:rsidRPr="00257E5C" w:rsidRDefault="00390C16" w:rsidP="00E25A4C">
      <w:pPr>
        <w:numPr>
          <w:ilvl w:val="0"/>
          <w:numId w:val="17"/>
        </w:numPr>
        <w:rPr>
          <w:szCs w:val="22"/>
        </w:rPr>
      </w:pPr>
      <w:r w:rsidRPr="00257E5C">
        <w:rPr>
          <w:szCs w:val="22"/>
        </w:rPr>
        <w:t>Terapija dijabetes melitusa</w:t>
      </w:r>
      <w:r w:rsidR="00514D78" w:rsidRPr="00257E5C">
        <w:rPr>
          <w:szCs w:val="22"/>
        </w:rPr>
        <w:t xml:space="preserve"> tipa 2</w:t>
      </w:r>
      <w:r w:rsidRPr="00257E5C">
        <w:rPr>
          <w:szCs w:val="22"/>
        </w:rPr>
        <w:t xml:space="preserve"> kod odraslih, </w:t>
      </w:r>
      <w:r w:rsidR="00984019" w:rsidRPr="00257E5C">
        <w:rPr>
          <w:szCs w:val="22"/>
        </w:rPr>
        <w:t xml:space="preserve">pogotovo </w:t>
      </w:r>
      <w:r w:rsidRPr="00257E5C">
        <w:rPr>
          <w:szCs w:val="22"/>
        </w:rPr>
        <w:t>kod pacijenata</w:t>
      </w:r>
      <w:r w:rsidR="00321865" w:rsidRPr="00257E5C">
        <w:rPr>
          <w:szCs w:val="22"/>
        </w:rPr>
        <w:t xml:space="preserve"> sa</w:t>
      </w:r>
      <w:r w:rsidR="00E8232A" w:rsidRPr="00257E5C">
        <w:rPr>
          <w:szCs w:val="22"/>
        </w:rPr>
        <w:t xml:space="preserve"> p</w:t>
      </w:r>
      <w:r w:rsidR="00E050CE" w:rsidRPr="00257E5C">
        <w:rPr>
          <w:szCs w:val="22"/>
        </w:rPr>
        <w:t>rekomjernom</w:t>
      </w:r>
      <w:r w:rsidR="00321865" w:rsidRPr="00257E5C">
        <w:rPr>
          <w:szCs w:val="22"/>
        </w:rPr>
        <w:t xml:space="preserve"> tjelesnom masom</w:t>
      </w:r>
      <w:r w:rsidR="00D15556" w:rsidRPr="00257E5C">
        <w:rPr>
          <w:szCs w:val="22"/>
        </w:rPr>
        <w:t>,</w:t>
      </w:r>
      <w:r w:rsidRPr="00257E5C">
        <w:rPr>
          <w:szCs w:val="22"/>
        </w:rPr>
        <w:t xml:space="preserve"> </w:t>
      </w:r>
      <w:r w:rsidR="00D15556" w:rsidRPr="00257E5C">
        <w:rPr>
          <w:szCs w:val="22"/>
        </w:rPr>
        <w:t xml:space="preserve">kada </w:t>
      </w:r>
      <w:r w:rsidRPr="00257E5C">
        <w:rPr>
          <w:szCs w:val="22"/>
        </w:rPr>
        <w:t>dijetetski režim i v</w:t>
      </w:r>
      <w:r w:rsidR="009B6204" w:rsidRPr="00257E5C">
        <w:rPr>
          <w:szCs w:val="22"/>
        </w:rPr>
        <w:t>j</w:t>
      </w:r>
      <w:r w:rsidRPr="00257E5C">
        <w:rPr>
          <w:szCs w:val="22"/>
        </w:rPr>
        <w:t>ežba ne daju adekvatnu kontrolu glikemije. Glucophage XR može da se koristi kao monoterapija ili u kombinaciji sa drugim oralnim antidijabeticima ili sa insulinom.</w:t>
      </w:r>
    </w:p>
    <w:p w14:paraId="3F4E6F3B" w14:textId="77777777" w:rsidR="00CE09F3" w:rsidRPr="00257E5C" w:rsidRDefault="00CE09F3" w:rsidP="00E25A4C">
      <w:pPr>
        <w:rPr>
          <w:szCs w:val="22"/>
        </w:rPr>
      </w:pPr>
    </w:p>
    <w:p w14:paraId="3F0DF07E" w14:textId="51E82835" w:rsidR="00CE09F3" w:rsidRPr="00257E5C" w:rsidRDefault="00CE09F3" w:rsidP="00E25A4C">
      <w:pPr>
        <w:rPr>
          <w:b/>
          <w:bCs/>
          <w:szCs w:val="22"/>
        </w:rPr>
      </w:pPr>
      <w:r w:rsidRPr="00257E5C">
        <w:rPr>
          <w:b/>
          <w:bCs/>
          <w:szCs w:val="22"/>
        </w:rPr>
        <w:t xml:space="preserve">4.2. </w:t>
      </w:r>
      <w:r w:rsidR="00CF0DE7" w:rsidRPr="00257E5C">
        <w:rPr>
          <w:b/>
          <w:bCs/>
          <w:szCs w:val="22"/>
        </w:rPr>
        <w:t xml:space="preserve">  </w:t>
      </w:r>
      <w:r w:rsidRPr="00257E5C">
        <w:rPr>
          <w:b/>
          <w:bCs/>
          <w:szCs w:val="22"/>
        </w:rPr>
        <w:t>Doziranje i način prim</w:t>
      </w:r>
      <w:r w:rsidR="009B6204" w:rsidRPr="00257E5C">
        <w:rPr>
          <w:b/>
          <w:bCs/>
          <w:szCs w:val="22"/>
        </w:rPr>
        <w:t>j</w:t>
      </w:r>
      <w:r w:rsidRPr="00257E5C">
        <w:rPr>
          <w:b/>
          <w:bCs/>
          <w:szCs w:val="22"/>
        </w:rPr>
        <w:t>ene</w:t>
      </w:r>
    </w:p>
    <w:p w14:paraId="14CFE53F" w14:textId="77777777" w:rsidR="00390C16" w:rsidRPr="00257E5C" w:rsidRDefault="00390C16" w:rsidP="00E25A4C">
      <w:pPr>
        <w:tabs>
          <w:tab w:val="clear" w:pos="284"/>
        </w:tabs>
        <w:rPr>
          <w:b/>
          <w:bCs/>
          <w:szCs w:val="22"/>
        </w:rPr>
      </w:pPr>
    </w:p>
    <w:p w14:paraId="06925FBE" w14:textId="77777777" w:rsidR="007758DD" w:rsidRPr="00257E5C" w:rsidRDefault="007758DD" w:rsidP="00E25A4C">
      <w:pPr>
        <w:tabs>
          <w:tab w:val="clear" w:pos="284"/>
        </w:tabs>
        <w:ind w:left="116"/>
        <w:rPr>
          <w:szCs w:val="22"/>
        </w:rPr>
      </w:pPr>
      <w:r w:rsidRPr="00257E5C">
        <w:rPr>
          <w:szCs w:val="22"/>
          <w:u w:val="single" w:color="000000"/>
        </w:rPr>
        <w:t>Doziranje</w:t>
      </w:r>
    </w:p>
    <w:p w14:paraId="386FBB91" w14:textId="77777777" w:rsidR="007758DD" w:rsidRPr="00257E5C" w:rsidRDefault="007758DD" w:rsidP="00E25A4C">
      <w:pPr>
        <w:tabs>
          <w:tab w:val="clear" w:pos="284"/>
        </w:tabs>
        <w:spacing w:line="240" w:lineRule="exact"/>
        <w:ind w:left="116"/>
        <w:rPr>
          <w:i/>
          <w:iCs/>
          <w:szCs w:val="22"/>
        </w:rPr>
      </w:pPr>
      <w:r w:rsidRPr="00257E5C">
        <w:rPr>
          <w:i/>
          <w:iCs/>
          <w:szCs w:val="22"/>
        </w:rPr>
        <w:t>Odrasli sa normalnom bubrežnom funkcijom (GFR (brzina glomeluralne filtracije)≥ 90 ml/min)</w:t>
      </w:r>
    </w:p>
    <w:p w14:paraId="317B7558" w14:textId="77777777" w:rsidR="007758DD" w:rsidRPr="00257E5C" w:rsidRDefault="007758DD" w:rsidP="00E25A4C">
      <w:pPr>
        <w:tabs>
          <w:tab w:val="clear" w:pos="284"/>
        </w:tabs>
        <w:spacing w:line="240" w:lineRule="exact"/>
        <w:ind w:left="116"/>
        <w:rPr>
          <w:i/>
          <w:iCs/>
          <w:szCs w:val="22"/>
        </w:rPr>
      </w:pPr>
    </w:p>
    <w:p w14:paraId="4E1F70A7" w14:textId="5D5EACFF" w:rsidR="00CD0C39" w:rsidRPr="00257E5C" w:rsidRDefault="00CD0C39" w:rsidP="00E25A4C">
      <w:pPr>
        <w:tabs>
          <w:tab w:val="clear" w:pos="284"/>
        </w:tabs>
        <w:spacing w:line="240" w:lineRule="exact"/>
        <w:ind w:left="116"/>
        <w:rPr>
          <w:i/>
          <w:iCs/>
          <w:szCs w:val="22"/>
          <w:lang w:val="pl-PL"/>
        </w:rPr>
      </w:pPr>
      <w:r w:rsidRPr="00257E5C">
        <w:rPr>
          <w:i/>
          <w:iCs/>
          <w:szCs w:val="22"/>
        </w:rPr>
        <w:t xml:space="preserve">Monoterapija </w:t>
      </w:r>
      <w:bookmarkStart w:id="4" w:name="_Hlk497745771"/>
      <w:r w:rsidRPr="00257E5C">
        <w:rPr>
          <w:i/>
          <w:iCs/>
          <w:szCs w:val="22"/>
        </w:rPr>
        <w:t>radi smanjenja rizika ili odlaganja pojave dijabetes melitusa</w:t>
      </w:r>
      <w:r w:rsidR="00AB3D0B" w:rsidRPr="00257E5C">
        <w:rPr>
          <w:i/>
          <w:iCs/>
          <w:szCs w:val="22"/>
        </w:rPr>
        <w:t xml:space="preserve"> tipa 2 </w:t>
      </w:r>
      <w:bookmarkEnd w:id="4"/>
    </w:p>
    <w:p w14:paraId="2731A8A3" w14:textId="55510959" w:rsidR="00CD0C39" w:rsidRPr="00257E5C" w:rsidRDefault="00CD0C39" w:rsidP="00E25A4C">
      <w:pPr>
        <w:numPr>
          <w:ilvl w:val="0"/>
          <w:numId w:val="19"/>
        </w:numPr>
        <w:tabs>
          <w:tab w:val="clear" w:pos="284"/>
        </w:tabs>
        <w:rPr>
          <w:szCs w:val="22"/>
        </w:rPr>
      </w:pPr>
      <w:r w:rsidRPr="00257E5C">
        <w:rPr>
          <w:szCs w:val="22"/>
        </w:rPr>
        <w:t>Metformin treba razmotriti jedino u slučaju gde intenzivne promjene u načinu života tokom 3 do 6 mjeseci ni</w:t>
      </w:r>
      <w:r w:rsidR="00E546EF" w:rsidRPr="00257E5C">
        <w:rPr>
          <w:szCs w:val="22"/>
        </w:rPr>
        <w:t>je</w:t>
      </w:r>
      <w:r w:rsidRPr="00257E5C">
        <w:rPr>
          <w:szCs w:val="22"/>
        </w:rPr>
        <w:t xml:space="preserve">su dovele do adekvatne glikemijske kontrole. </w:t>
      </w:r>
    </w:p>
    <w:p w14:paraId="371F3342" w14:textId="77777777" w:rsidR="00CD0C39" w:rsidRPr="00257E5C" w:rsidRDefault="00CD0C39" w:rsidP="00E25A4C">
      <w:pPr>
        <w:numPr>
          <w:ilvl w:val="0"/>
          <w:numId w:val="19"/>
        </w:numPr>
        <w:tabs>
          <w:tab w:val="clear" w:pos="284"/>
        </w:tabs>
        <w:rPr>
          <w:szCs w:val="22"/>
        </w:rPr>
      </w:pPr>
      <w:r w:rsidRPr="00257E5C">
        <w:rPr>
          <w:szCs w:val="22"/>
        </w:rPr>
        <w:t xml:space="preserve">Liječenje treba započeti sa jednom tabletom lijeka Glucophage XR 500 mg jednom dnevno uz večernji obrok. </w:t>
      </w:r>
    </w:p>
    <w:p w14:paraId="42FE2DBD" w14:textId="12A47FDE" w:rsidR="00CD0C39" w:rsidRPr="00257E5C" w:rsidRDefault="00CD0C39" w:rsidP="00E25A4C">
      <w:pPr>
        <w:numPr>
          <w:ilvl w:val="0"/>
          <w:numId w:val="19"/>
        </w:numPr>
        <w:tabs>
          <w:tab w:val="clear" w:pos="284"/>
        </w:tabs>
        <w:rPr>
          <w:szCs w:val="22"/>
        </w:rPr>
      </w:pPr>
      <w:r w:rsidRPr="00257E5C">
        <w:rPr>
          <w:szCs w:val="22"/>
        </w:rPr>
        <w:t xml:space="preserve">Nakon 10 do 15 dana, dozu treba prilagoditi na osnovu izmjerenih vrijednosti nivoa </w:t>
      </w:r>
      <w:r w:rsidR="00965C70" w:rsidRPr="00257E5C">
        <w:rPr>
          <w:szCs w:val="22"/>
        </w:rPr>
        <w:t xml:space="preserve">glukoze </w:t>
      </w:r>
      <w:r w:rsidRPr="00257E5C">
        <w:rPr>
          <w:szCs w:val="22"/>
        </w:rPr>
        <w:t>u krvi (vr</w:t>
      </w:r>
      <w:r w:rsidR="00AB3D0B" w:rsidRPr="00257E5C">
        <w:rPr>
          <w:szCs w:val="22"/>
        </w:rPr>
        <w:t>ij</w:t>
      </w:r>
      <w:r w:rsidRPr="00257E5C">
        <w:rPr>
          <w:szCs w:val="22"/>
        </w:rPr>
        <w:t xml:space="preserve">ednosti OGTT i/ili FPG i/ili HbA1C treba da su u okviru normalnih granica). Postepeno povećavanje doze može povoljno da deluje na gastrointestinalnu podnošljivost. Maksimalna preporučena doza </w:t>
      </w:r>
      <w:r w:rsidR="00965C70" w:rsidRPr="00257E5C">
        <w:rPr>
          <w:szCs w:val="22"/>
        </w:rPr>
        <w:t>je 2000 mg jednom dnevno uz večernji obrok</w:t>
      </w:r>
      <w:r w:rsidRPr="00257E5C">
        <w:rPr>
          <w:szCs w:val="22"/>
        </w:rPr>
        <w:t>.</w:t>
      </w:r>
    </w:p>
    <w:p w14:paraId="3C27BD67" w14:textId="7819918F" w:rsidR="00816B6C" w:rsidRPr="00257E5C" w:rsidRDefault="00CD0C39" w:rsidP="00E25A4C">
      <w:pPr>
        <w:numPr>
          <w:ilvl w:val="0"/>
          <w:numId w:val="19"/>
        </w:numPr>
        <w:tabs>
          <w:tab w:val="clear" w:pos="284"/>
        </w:tabs>
        <w:rPr>
          <w:szCs w:val="22"/>
        </w:rPr>
      </w:pPr>
      <w:r w:rsidRPr="00257E5C">
        <w:rPr>
          <w:szCs w:val="22"/>
        </w:rPr>
        <w:t xml:space="preserve">Preporučuje se redovno praćenje (svakih 3 do 6 mjeseci) glikemijskog statusa (vrijednosti OGTT i/ili FPG i/ili HbA1C) kao i </w:t>
      </w:r>
      <w:r w:rsidR="00965C70" w:rsidRPr="00257E5C">
        <w:rPr>
          <w:szCs w:val="22"/>
        </w:rPr>
        <w:t xml:space="preserve">faktora </w:t>
      </w:r>
      <w:r w:rsidRPr="00257E5C">
        <w:rPr>
          <w:szCs w:val="22"/>
        </w:rPr>
        <w:t>rizika kako bi se procijenilo da li liječenje treba da se nastavi, prom</w:t>
      </w:r>
      <w:r w:rsidR="00AB3D0B" w:rsidRPr="00257E5C">
        <w:rPr>
          <w:szCs w:val="22"/>
        </w:rPr>
        <w:t>i</w:t>
      </w:r>
      <w:r w:rsidRPr="00257E5C">
        <w:rPr>
          <w:szCs w:val="22"/>
        </w:rPr>
        <w:t>jeni ili prekine.</w:t>
      </w:r>
    </w:p>
    <w:p w14:paraId="74979049" w14:textId="56B46ACE" w:rsidR="00816B6C" w:rsidRPr="00257E5C" w:rsidRDefault="00816B6C" w:rsidP="00E25A4C">
      <w:pPr>
        <w:numPr>
          <w:ilvl w:val="0"/>
          <w:numId w:val="19"/>
        </w:numPr>
        <w:tabs>
          <w:tab w:val="clear" w:pos="284"/>
        </w:tabs>
        <w:rPr>
          <w:szCs w:val="22"/>
        </w:rPr>
      </w:pPr>
      <w:r w:rsidRPr="00257E5C">
        <w:rPr>
          <w:szCs w:val="22"/>
        </w:rPr>
        <w:t>Odluka da se ponovo procijeni terapija je takođe neophodna ako pacijent naknadno sprovede poboljšanja u ishrani i/ili v</w:t>
      </w:r>
      <w:r w:rsidR="00AB3D0B" w:rsidRPr="00257E5C">
        <w:rPr>
          <w:szCs w:val="22"/>
        </w:rPr>
        <w:t>j</w:t>
      </w:r>
      <w:r w:rsidRPr="00257E5C">
        <w:rPr>
          <w:szCs w:val="22"/>
        </w:rPr>
        <w:t>ežbanje, ili ako promjene u zdravstvenom stanju dozvoljavaju povećane intervencije na način života.</w:t>
      </w:r>
    </w:p>
    <w:p w14:paraId="174658F8" w14:textId="77777777" w:rsidR="00CD0C39" w:rsidRPr="00257E5C" w:rsidRDefault="00CD0C39" w:rsidP="00E25A4C">
      <w:pPr>
        <w:tabs>
          <w:tab w:val="clear" w:pos="284"/>
        </w:tabs>
        <w:rPr>
          <w:b/>
          <w:szCs w:val="22"/>
        </w:rPr>
      </w:pPr>
    </w:p>
    <w:p w14:paraId="0782B800" w14:textId="5A80959F" w:rsidR="00451FAF" w:rsidRPr="00257E5C" w:rsidRDefault="00390C16" w:rsidP="00E25A4C">
      <w:pPr>
        <w:tabs>
          <w:tab w:val="clear" w:pos="284"/>
        </w:tabs>
        <w:spacing w:line="240" w:lineRule="exact"/>
        <w:ind w:left="116"/>
        <w:rPr>
          <w:i/>
          <w:iCs/>
          <w:szCs w:val="22"/>
        </w:rPr>
      </w:pPr>
      <w:r w:rsidRPr="00257E5C">
        <w:rPr>
          <w:i/>
          <w:iCs/>
          <w:szCs w:val="22"/>
        </w:rPr>
        <w:t>Monoterapija</w:t>
      </w:r>
      <w:r w:rsidR="006F67AF" w:rsidRPr="00257E5C">
        <w:rPr>
          <w:i/>
          <w:iCs/>
          <w:szCs w:val="22"/>
        </w:rPr>
        <w:t xml:space="preserve"> </w:t>
      </w:r>
      <w:r w:rsidR="00CE7891" w:rsidRPr="00257E5C">
        <w:rPr>
          <w:i/>
          <w:iCs/>
          <w:szCs w:val="22"/>
        </w:rPr>
        <w:t xml:space="preserve">dijabetes melitusa </w:t>
      </w:r>
      <w:r w:rsidR="00AB3D0B" w:rsidRPr="00257E5C">
        <w:rPr>
          <w:i/>
          <w:iCs/>
          <w:szCs w:val="22"/>
        </w:rPr>
        <w:t xml:space="preserve">tipa 2 </w:t>
      </w:r>
      <w:r w:rsidRPr="00257E5C">
        <w:rPr>
          <w:i/>
          <w:iCs/>
          <w:szCs w:val="22"/>
        </w:rPr>
        <w:t>i kombinacija sa drugim oralnim antidijab</w:t>
      </w:r>
      <w:r w:rsidR="002719D7" w:rsidRPr="00257E5C">
        <w:rPr>
          <w:i/>
          <w:iCs/>
          <w:szCs w:val="22"/>
        </w:rPr>
        <w:t>e</w:t>
      </w:r>
      <w:r w:rsidRPr="00257E5C">
        <w:rPr>
          <w:i/>
          <w:iCs/>
          <w:szCs w:val="22"/>
        </w:rPr>
        <w:t>t</w:t>
      </w:r>
      <w:r w:rsidR="002719D7" w:rsidRPr="00257E5C">
        <w:rPr>
          <w:i/>
          <w:iCs/>
          <w:szCs w:val="22"/>
        </w:rPr>
        <w:t>i</w:t>
      </w:r>
      <w:r w:rsidRPr="00257E5C">
        <w:rPr>
          <w:i/>
          <w:iCs/>
          <w:szCs w:val="22"/>
        </w:rPr>
        <w:t>cima:</w:t>
      </w:r>
      <w:r w:rsidRPr="00257E5C">
        <w:rPr>
          <w:i/>
          <w:iCs/>
          <w:szCs w:val="22"/>
        </w:rPr>
        <w:cr/>
      </w:r>
    </w:p>
    <w:p w14:paraId="4AA50A2D" w14:textId="1363696B" w:rsidR="00390C16" w:rsidRPr="00257E5C" w:rsidRDefault="00390C16" w:rsidP="00E25A4C">
      <w:pPr>
        <w:pStyle w:val="ListParagraph"/>
        <w:numPr>
          <w:ilvl w:val="0"/>
          <w:numId w:val="13"/>
        </w:numPr>
        <w:tabs>
          <w:tab w:val="clear" w:pos="284"/>
        </w:tabs>
        <w:rPr>
          <w:szCs w:val="22"/>
        </w:rPr>
      </w:pPr>
      <w:r w:rsidRPr="00257E5C">
        <w:rPr>
          <w:szCs w:val="22"/>
        </w:rPr>
        <w:t>Uobičajena početna doza l</w:t>
      </w:r>
      <w:r w:rsidR="009B6204" w:rsidRPr="00257E5C">
        <w:rPr>
          <w:szCs w:val="22"/>
        </w:rPr>
        <w:t>ij</w:t>
      </w:r>
      <w:r w:rsidRPr="00257E5C">
        <w:rPr>
          <w:szCs w:val="22"/>
        </w:rPr>
        <w:t xml:space="preserve">eka Glucophage XR je </w:t>
      </w:r>
      <w:r w:rsidR="00CE6697" w:rsidRPr="00257E5C">
        <w:rPr>
          <w:szCs w:val="22"/>
        </w:rPr>
        <w:t xml:space="preserve">jedna tableta jačine </w:t>
      </w:r>
      <w:r w:rsidRPr="00257E5C">
        <w:rPr>
          <w:szCs w:val="22"/>
        </w:rPr>
        <w:t xml:space="preserve">500 mg  jednom dnevno uz večernji obrok. </w:t>
      </w:r>
    </w:p>
    <w:p w14:paraId="38843757" w14:textId="77777777" w:rsidR="00390C16" w:rsidRPr="00257E5C" w:rsidRDefault="00390C16" w:rsidP="00E25A4C">
      <w:pPr>
        <w:tabs>
          <w:tab w:val="clear" w:pos="284"/>
        </w:tabs>
        <w:rPr>
          <w:szCs w:val="22"/>
        </w:rPr>
      </w:pPr>
    </w:p>
    <w:p w14:paraId="434BDA06" w14:textId="31983E2D" w:rsidR="00390C16" w:rsidRPr="00257E5C" w:rsidRDefault="00390C16" w:rsidP="00E25A4C">
      <w:pPr>
        <w:pStyle w:val="ListParagraph"/>
        <w:numPr>
          <w:ilvl w:val="0"/>
          <w:numId w:val="12"/>
        </w:numPr>
        <w:tabs>
          <w:tab w:val="clear" w:pos="284"/>
        </w:tabs>
        <w:rPr>
          <w:szCs w:val="22"/>
        </w:rPr>
      </w:pPr>
      <w:r w:rsidRPr="00257E5C">
        <w:rPr>
          <w:szCs w:val="22"/>
        </w:rPr>
        <w:t>Nakon</w:t>
      </w:r>
      <w:r w:rsidR="00325C4E" w:rsidRPr="00257E5C">
        <w:rPr>
          <w:szCs w:val="22"/>
        </w:rPr>
        <w:t xml:space="preserve"> 10 do 15 dana potrebno je</w:t>
      </w:r>
      <w:r w:rsidRPr="00257E5C">
        <w:rPr>
          <w:szCs w:val="22"/>
        </w:rPr>
        <w:t xml:space="preserve"> prilagoditi </w:t>
      </w:r>
      <w:r w:rsidR="00325C4E" w:rsidRPr="00257E5C">
        <w:rPr>
          <w:szCs w:val="22"/>
        </w:rPr>
        <w:t xml:space="preserve">dozu </w:t>
      </w:r>
      <w:r w:rsidRPr="00257E5C">
        <w:rPr>
          <w:szCs w:val="22"/>
        </w:rPr>
        <w:t xml:space="preserve">na osnovu </w:t>
      </w:r>
      <w:r w:rsidR="00031E04" w:rsidRPr="00257E5C">
        <w:rPr>
          <w:szCs w:val="22"/>
        </w:rPr>
        <w:t>iz</w:t>
      </w:r>
      <w:r w:rsidRPr="00257E5C">
        <w:rPr>
          <w:szCs w:val="22"/>
        </w:rPr>
        <w:t>m</w:t>
      </w:r>
      <w:r w:rsidR="009B6204" w:rsidRPr="00257E5C">
        <w:rPr>
          <w:szCs w:val="22"/>
        </w:rPr>
        <w:t>j</w:t>
      </w:r>
      <w:r w:rsidR="00031E04" w:rsidRPr="00257E5C">
        <w:rPr>
          <w:szCs w:val="22"/>
        </w:rPr>
        <w:t>erenih</w:t>
      </w:r>
      <w:r w:rsidRPr="00257E5C">
        <w:rPr>
          <w:szCs w:val="22"/>
        </w:rPr>
        <w:t xml:space="preserve"> vr</w:t>
      </w:r>
      <w:r w:rsidR="009B6204" w:rsidRPr="00257E5C">
        <w:rPr>
          <w:szCs w:val="22"/>
        </w:rPr>
        <w:t>ij</w:t>
      </w:r>
      <w:r w:rsidRPr="00257E5C">
        <w:rPr>
          <w:szCs w:val="22"/>
        </w:rPr>
        <w:t xml:space="preserve">ednosti nivoa </w:t>
      </w:r>
      <w:r w:rsidR="00E07A41" w:rsidRPr="00257E5C">
        <w:rPr>
          <w:szCs w:val="22"/>
        </w:rPr>
        <w:t xml:space="preserve">glukoze </w:t>
      </w:r>
      <w:r w:rsidRPr="00257E5C">
        <w:rPr>
          <w:szCs w:val="22"/>
        </w:rPr>
        <w:t>u krvi. Postepeno povećavanje doze može povoljno d</w:t>
      </w:r>
      <w:r w:rsidR="009B6204" w:rsidRPr="00257E5C">
        <w:rPr>
          <w:szCs w:val="22"/>
        </w:rPr>
        <w:t>j</w:t>
      </w:r>
      <w:r w:rsidRPr="00257E5C">
        <w:rPr>
          <w:szCs w:val="22"/>
        </w:rPr>
        <w:t xml:space="preserve">elovati na gastrointestinalnu podnošljivost. Makimalna preporučena doza je </w:t>
      </w:r>
      <w:r w:rsidR="00E07A41" w:rsidRPr="00257E5C">
        <w:rPr>
          <w:szCs w:val="22"/>
        </w:rPr>
        <w:t>2000 mg dnevno</w:t>
      </w:r>
      <w:r w:rsidRPr="00257E5C">
        <w:rPr>
          <w:szCs w:val="22"/>
        </w:rPr>
        <w:t>.</w:t>
      </w:r>
    </w:p>
    <w:p w14:paraId="4FF7F4B7" w14:textId="77777777" w:rsidR="00390C16" w:rsidRPr="00257E5C" w:rsidRDefault="00390C16" w:rsidP="00E25A4C">
      <w:pPr>
        <w:tabs>
          <w:tab w:val="clear" w:pos="284"/>
        </w:tabs>
        <w:rPr>
          <w:szCs w:val="22"/>
        </w:rPr>
      </w:pPr>
    </w:p>
    <w:p w14:paraId="7673F6D4" w14:textId="762EC0E6" w:rsidR="00390C16" w:rsidRPr="00257E5C" w:rsidRDefault="00390C16" w:rsidP="00E25A4C">
      <w:pPr>
        <w:pStyle w:val="ListParagraph"/>
        <w:numPr>
          <w:ilvl w:val="0"/>
          <w:numId w:val="12"/>
        </w:numPr>
        <w:tabs>
          <w:tab w:val="clear" w:pos="284"/>
        </w:tabs>
        <w:rPr>
          <w:szCs w:val="22"/>
        </w:rPr>
      </w:pPr>
      <w:r w:rsidRPr="00257E5C">
        <w:rPr>
          <w:szCs w:val="22"/>
        </w:rPr>
        <w:t xml:space="preserve">Dozu treba povećavati sa 500 mg </w:t>
      </w:r>
      <w:r w:rsidR="00445212" w:rsidRPr="00257E5C">
        <w:rPr>
          <w:szCs w:val="22"/>
        </w:rPr>
        <w:t xml:space="preserve">na </w:t>
      </w:r>
      <w:r w:rsidRPr="00257E5C">
        <w:rPr>
          <w:szCs w:val="22"/>
        </w:rPr>
        <w:t>svakih 10-15 dana, do</w:t>
      </w:r>
      <w:r w:rsidR="00BB6F85" w:rsidRPr="00257E5C">
        <w:rPr>
          <w:szCs w:val="22"/>
        </w:rPr>
        <w:t xml:space="preserve"> maksimalne doze</w:t>
      </w:r>
      <w:r w:rsidRPr="00257E5C">
        <w:rPr>
          <w:szCs w:val="22"/>
        </w:rPr>
        <w:t xml:space="preserve"> 2000 mg jednom na dan, uz večernji obrok. Ukoliko se glikemijska kontrola ne postigne sa 2000 mg </w:t>
      </w:r>
      <w:r w:rsidR="00E07A41" w:rsidRPr="00257E5C">
        <w:rPr>
          <w:szCs w:val="22"/>
        </w:rPr>
        <w:t xml:space="preserve">lijeka </w:t>
      </w:r>
      <w:r w:rsidRPr="00257E5C">
        <w:rPr>
          <w:szCs w:val="22"/>
        </w:rPr>
        <w:t xml:space="preserve">Glucophage XR dnevno, potrebno je razmotriti uzimanje Glucophage XR 1000 mg dva puta </w:t>
      </w:r>
      <w:r w:rsidR="008D79B3" w:rsidRPr="00257E5C">
        <w:rPr>
          <w:szCs w:val="22"/>
        </w:rPr>
        <w:t>dnevno</w:t>
      </w:r>
      <w:r w:rsidRPr="00257E5C">
        <w:rPr>
          <w:szCs w:val="22"/>
        </w:rPr>
        <w:t xml:space="preserve">, uz </w:t>
      </w:r>
      <w:r w:rsidR="008D79B3" w:rsidRPr="00257E5C">
        <w:rPr>
          <w:szCs w:val="22"/>
        </w:rPr>
        <w:t>obrok</w:t>
      </w:r>
      <w:r w:rsidRPr="00257E5C">
        <w:rPr>
          <w:szCs w:val="22"/>
        </w:rPr>
        <w:t xml:space="preserve">. Ukoliko se glikemijska kontrola ni tada ne postigne, pacijente treba prebaciti </w:t>
      </w:r>
      <w:r w:rsidR="00E07A41" w:rsidRPr="00257E5C">
        <w:rPr>
          <w:szCs w:val="22"/>
        </w:rPr>
        <w:t>na terapiju metforminom pomoću tableta sa trenutnim oslobađanjem do maksimalne dnevne doze 3000 mg</w:t>
      </w:r>
      <w:r w:rsidRPr="00257E5C">
        <w:rPr>
          <w:szCs w:val="22"/>
        </w:rPr>
        <w:t>.</w:t>
      </w:r>
    </w:p>
    <w:p w14:paraId="47F32512" w14:textId="49B8CDA5" w:rsidR="00390C16" w:rsidRPr="00257E5C" w:rsidRDefault="00390C16" w:rsidP="00E25A4C">
      <w:pPr>
        <w:pStyle w:val="ListParagraph"/>
        <w:numPr>
          <w:ilvl w:val="0"/>
          <w:numId w:val="12"/>
        </w:numPr>
        <w:tabs>
          <w:tab w:val="clear" w:pos="284"/>
        </w:tabs>
        <w:rPr>
          <w:szCs w:val="22"/>
        </w:rPr>
      </w:pPr>
      <w:r w:rsidRPr="00257E5C">
        <w:rPr>
          <w:szCs w:val="22"/>
        </w:rPr>
        <w:lastRenderedPageBreak/>
        <w:t>Ko</w:t>
      </w:r>
      <w:r w:rsidR="00491706" w:rsidRPr="00257E5C">
        <w:rPr>
          <w:szCs w:val="22"/>
        </w:rPr>
        <w:t>d pacijenata koji su već uzimali</w:t>
      </w:r>
      <w:r w:rsidRPr="00257E5C">
        <w:rPr>
          <w:szCs w:val="22"/>
        </w:rPr>
        <w:t xml:space="preserve"> metformin tablete, uobičajena doza</w:t>
      </w:r>
      <w:r w:rsidR="0079525B" w:rsidRPr="00257E5C">
        <w:rPr>
          <w:szCs w:val="22"/>
        </w:rPr>
        <w:t xml:space="preserve"> lijeka</w:t>
      </w:r>
      <w:r w:rsidRPr="00257E5C">
        <w:rPr>
          <w:szCs w:val="22"/>
        </w:rPr>
        <w:t xml:space="preserve"> Glucophage XR treba da bude ekvivalenentna dnevnoj dozi metformin tableta sa trenutnim oslobađanjem. Kod pacijenata koji primaju metformin u dozi većoj od 2000 mg na dan, prelazak na Glucophage XR se ne preporučuje.</w:t>
      </w:r>
    </w:p>
    <w:p w14:paraId="55E210EF" w14:textId="77777777" w:rsidR="00390C16" w:rsidRPr="00257E5C" w:rsidRDefault="00390C16" w:rsidP="00E25A4C">
      <w:pPr>
        <w:tabs>
          <w:tab w:val="clear" w:pos="284"/>
        </w:tabs>
        <w:rPr>
          <w:szCs w:val="22"/>
        </w:rPr>
      </w:pPr>
    </w:p>
    <w:p w14:paraId="5CB08228" w14:textId="2518EB1B" w:rsidR="00390C16" w:rsidRPr="00257E5C" w:rsidRDefault="00390C16" w:rsidP="00E25A4C">
      <w:pPr>
        <w:pStyle w:val="ListParagraph"/>
        <w:numPr>
          <w:ilvl w:val="0"/>
          <w:numId w:val="12"/>
        </w:numPr>
        <w:tabs>
          <w:tab w:val="clear" w:pos="284"/>
        </w:tabs>
        <w:rPr>
          <w:szCs w:val="22"/>
        </w:rPr>
      </w:pPr>
      <w:r w:rsidRPr="00257E5C">
        <w:rPr>
          <w:szCs w:val="22"/>
        </w:rPr>
        <w:t>Ukoliko se nam</w:t>
      </w:r>
      <w:r w:rsidR="009B6204" w:rsidRPr="00257E5C">
        <w:rPr>
          <w:szCs w:val="22"/>
        </w:rPr>
        <w:t>j</w:t>
      </w:r>
      <w:r w:rsidRPr="00257E5C">
        <w:rPr>
          <w:szCs w:val="22"/>
        </w:rPr>
        <w:t xml:space="preserve">erava </w:t>
      </w:r>
      <w:r w:rsidR="008275C7" w:rsidRPr="00257E5C">
        <w:rPr>
          <w:szCs w:val="22"/>
        </w:rPr>
        <w:t>prelazak sa</w:t>
      </w:r>
      <w:r w:rsidRPr="00257E5C">
        <w:rPr>
          <w:szCs w:val="22"/>
        </w:rPr>
        <w:t xml:space="preserve"> nekog drugog oralnog antidijabetika, potrebno je prekinuti t</w:t>
      </w:r>
      <w:r w:rsidR="00445212" w:rsidRPr="00257E5C">
        <w:rPr>
          <w:szCs w:val="22"/>
        </w:rPr>
        <w:t xml:space="preserve">erapiju </w:t>
      </w:r>
      <w:r w:rsidR="0079525B" w:rsidRPr="00257E5C">
        <w:rPr>
          <w:szCs w:val="22"/>
        </w:rPr>
        <w:t xml:space="preserve">tim lijekom </w:t>
      </w:r>
      <w:r w:rsidR="00445212" w:rsidRPr="00257E5C">
        <w:rPr>
          <w:szCs w:val="22"/>
        </w:rPr>
        <w:t xml:space="preserve">i početi sa </w:t>
      </w:r>
      <w:r w:rsidR="0079525B" w:rsidRPr="00257E5C">
        <w:rPr>
          <w:szCs w:val="22"/>
        </w:rPr>
        <w:t xml:space="preserve">primjenom lijeka </w:t>
      </w:r>
      <w:r w:rsidR="00445212" w:rsidRPr="00257E5C">
        <w:rPr>
          <w:szCs w:val="22"/>
        </w:rPr>
        <w:t>Glucophage</w:t>
      </w:r>
      <w:r w:rsidRPr="00257E5C">
        <w:rPr>
          <w:szCs w:val="22"/>
        </w:rPr>
        <w:t xml:space="preserve"> XR </w:t>
      </w:r>
      <w:r w:rsidR="0079525B" w:rsidRPr="00257E5C">
        <w:rPr>
          <w:szCs w:val="22"/>
        </w:rPr>
        <w:t>u dozama navedenim u tekstu iznad</w:t>
      </w:r>
      <w:r w:rsidRPr="00257E5C">
        <w:rPr>
          <w:szCs w:val="22"/>
        </w:rPr>
        <w:t>.</w:t>
      </w:r>
    </w:p>
    <w:p w14:paraId="7A7E107E" w14:textId="77777777" w:rsidR="00390C16" w:rsidRPr="00257E5C" w:rsidRDefault="00390C16" w:rsidP="00E25A4C">
      <w:pPr>
        <w:tabs>
          <w:tab w:val="clear" w:pos="284"/>
        </w:tabs>
        <w:rPr>
          <w:szCs w:val="22"/>
        </w:rPr>
      </w:pPr>
    </w:p>
    <w:p w14:paraId="04DC3BF4" w14:textId="0F122DC7" w:rsidR="00B00142" w:rsidRPr="00257E5C" w:rsidRDefault="00390C16" w:rsidP="00E25A4C">
      <w:pPr>
        <w:pStyle w:val="ListParagraph"/>
        <w:numPr>
          <w:ilvl w:val="0"/>
          <w:numId w:val="12"/>
        </w:numPr>
        <w:tabs>
          <w:tab w:val="clear" w:pos="284"/>
        </w:tabs>
        <w:rPr>
          <w:szCs w:val="22"/>
        </w:rPr>
      </w:pPr>
      <w:r w:rsidRPr="00257E5C">
        <w:rPr>
          <w:szCs w:val="22"/>
        </w:rPr>
        <w:t xml:space="preserve">Glucophage XR 750 mg i Glucophage </w:t>
      </w:r>
      <w:r w:rsidR="00B00142" w:rsidRPr="00257E5C">
        <w:rPr>
          <w:szCs w:val="22"/>
        </w:rPr>
        <w:t>XR</w:t>
      </w:r>
      <w:r w:rsidR="00AB3D0B" w:rsidRPr="00257E5C">
        <w:rPr>
          <w:szCs w:val="22"/>
        </w:rPr>
        <w:t xml:space="preserve"> </w:t>
      </w:r>
      <w:r w:rsidRPr="00257E5C">
        <w:rPr>
          <w:szCs w:val="22"/>
        </w:rPr>
        <w:t>1000 mg su nam</w:t>
      </w:r>
      <w:r w:rsidR="009B6204" w:rsidRPr="00257E5C">
        <w:rPr>
          <w:szCs w:val="22"/>
        </w:rPr>
        <w:t>ij</w:t>
      </w:r>
      <w:r w:rsidRPr="00257E5C">
        <w:rPr>
          <w:szCs w:val="22"/>
        </w:rPr>
        <w:t>enjeni pacijentima koji su već na terapiji metformin tabletama (sa produženim</w:t>
      </w:r>
      <w:r w:rsidR="00B00142" w:rsidRPr="00257E5C">
        <w:rPr>
          <w:szCs w:val="22"/>
        </w:rPr>
        <w:t xml:space="preserve"> ili trenutnim oslobađanjem)</w:t>
      </w:r>
      <w:r w:rsidR="008D79B3" w:rsidRPr="00257E5C">
        <w:rPr>
          <w:szCs w:val="22"/>
        </w:rPr>
        <w:t>.</w:t>
      </w:r>
    </w:p>
    <w:p w14:paraId="37A84D2B" w14:textId="77777777" w:rsidR="00B00142" w:rsidRPr="00257E5C" w:rsidRDefault="00B00142" w:rsidP="00E25A4C">
      <w:pPr>
        <w:pStyle w:val="ListParagraph"/>
        <w:rPr>
          <w:szCs w:val="22"/>
        </w:rPr>
      </w:pPr>
    </w:p>
    <w:p w14:paraId="514BBB6A" w14:textId="1401B259" w:rsidR="00390C16" w:rsidRPr="00257E5C" w:rsidRDefault="00B00142" w:rsidP="00E25A4C">
      <w:pPr>
        <w:pStyle w:val="ListParagraph"/>
        <w:numPr>
          <w:ilvl w:val="0"/>
          <w:numId w:val="12"/>
        </w:numPr>
        <w:tabs>
          <w:tab w:val="clear" w:pos="284"/>
        </w:tabs>
        <w:rPr>
          <w:szCs w:val="22"/>
        </w:rPr>
      </w:pPr>
      <w:r w:rsidRPr="00257E5C">
        <w:rPr>
          <w:szCs w:val="22"/>
        </w:rPr>
        <w:t xml:space="preserve">Doza Glucophage XR 750 mg, odnosno Glucophage XR 1000 mg treba da je ekvivalentna dnevnoj dozi tableta metformina (sa produženim ili trenutnim oslobađanjem), </w:t>
      </w:r>
      <w:r w:rsidR="00DC2D64" w:rsidRPr="00257E5C">
        <w:rPr>
          <w:szCs w:val="22"/>
        </w:rPr>
        <w:t>do maksimalno 1500mg ili 2000mg</w:t>
      </w:r>
      <w:r w:rsidR="00056488" w:rsidRPr="00257E5C">
        <w:rPr>
          <w:szCs w:val="22"/>
        </w:rPr>
        <w:t xml:space="preserve"> respektivno</w:t>
      </w:r>
      <w:r w:rsidR="00DC2D64" w:rsidRPr="00257E5C">
        <w:rPr>
          <w:szCs w:val="22"/>
        </w:rPr>
        <w:t xml:space="preserve">, </w:t>
      </w:r>
      <w:r w:rsidR="0079525B" w:rsidRPr="00257E5C">
        <w:rPr>
          <w:szCs w:val="22"/>
        </w:rPr>
        <w:t>prim</w:t>
      </w:r>
      <w:r w:rsidR="008D79B3" w:rsidRPr="00257E5C">
        <w:rPr>
          <w:szCs w:val="22"/>
        </w:rPr>
        <w:t>ij</w:t>
      </w:r>
      <w:r w:rsidR="0079525B" w:rsidRPr="00257E5C">
        <w:rPr>
          <w:szCs w:val="22"/>
        </w:rPr>
        <w:t xml:space="preserve">enjeno </w:t>
      </w:r>
      <w:r w:rsidR="00DC2D64" w:rsidRPr="00257E5C">
        <w:rPr>
          <w:szCs w:val="22"/>
        </w:rPr>
        <w:t xml:space="preserve">uz večernji obrok. </w:t>
      </w:r>
    </w:p>
    <w:p w14:paraId="6161C545" w14:textId="77777777" w:rsidR="00390C16" w:rsidRPr="00257E5C" w:rsidRDefault="00390C16" w:rsidP="00E25A4C">
      <w:pPr>
        <w:rPr>
          <w:szCs w:val="22"/>
        </w:rPr>
      </w:pPr>
    </w:p>
    <w:p w14:paraId="7ED9DA41" w14:textId="77777777" w:rsidR="00390C16" w:rsidRPr="00257E5C" w:rsidRDefault="00390C16" w:rsidP="00E25A4C">
      <w:pPr>
        <w:rPr>
          <w:szCs w:val="22"/>
        </w:rPr>
      </w:pPr>
      <w:r w:rsidRPr="00257E5C">
        <w:rPr>
          <w:i/>
          <w:szCs w:val="22"/>
        </w:rPr>
        <w:t>Kombinacija sa insulinom:</w:t>
      </w:r>
      <w:r w:rsidRPr="00257E5C">
        <w:rPr>
          <w:szCs w:val="22"/>
        </w:rPr>
        <w:cr/>
      </w:r>
    </w:p>
    <w:p w14:paraId="0696E8ED" w14:textId="3E8762AD" w:rsidR="00390C16" w:rsidRPr="00257E5C" w:rsidRDefault="00390C16" w:rsidP="00E25A4C">
      <w:pPr>
        <w:rPr>
          <w:szCs w:val="22"/>
        </w:rPr>
      </w:pPr>
      <w:r w:rsidRPr="00257E5C">
        <w:rPr>
          <w:szCs w:val="22"/>
        </w:rPr>
        <w:t xml:space="preserve">Metformin i insulin </w:t>
      </w:r>
      <w:r w:rsidR="00B00142" w:rsidRPr="00257E5C">
        <w:rPr>
          <w:szCs w:val="22"/>
        </w:rPr>
        <w:t>se mogu koristiti</w:t>
      </w:r>
      <w:r w:rsidRPr="00257E5C">
        <w:rPr>
          <w:szCs w:val="22"/>
        </w:rPr>
        <w:t xml:space="preserve"> u kombinovanoj terapiji radi postizanja bolje regulacije glikemije. Uobičajena početna doza l</w:t>
      </w:r>
      <w:r w:rsidR="009B6204" w:rsidRPr="00257E5C">
        <w:rPr>
          <w:szCs w:val="22"/>
        </w:rPr>
        <w:t>ij</w:t>
      </w:r>
      <w:r w:rsidRPr="00257E5C">
        <w:rPr>
          <w:szCs w:val="22"/>
        </w:rPr>
        <w:t>eka Glucophag</w:t>
      </w:r>
      <w:r w:rsidR="002719D7" w:rsidRPr="00257E5C">
        <w:rPr>
          <w:szCs w:val="22"/>
        </w:rPr>
        <w:t>e</w:t>
      </w:r>
      <w:r w:rsidRPr="00257E5C">
        <w:rPr>
          <w:szCs w:val="22"/>
        </w:rPr>
        <w:t xml:space="preserve"> XR je</w:t>
      </w:r>
      <w:r w:rsidR="00056488" w:rsidRPr="00257E5C">
        <w:rPr>
          <w:szCs w:val="22"/>
        </w:rPr>
        <w:t xml:space="preserve"> jedna </w:t>
      </w:r>
      <w:r w:rsidR="006275B8" w:rsidRPr="00257E5C">
        <w:rPr>
          <w:szCs w:val="22"/>
        </w:rPr>
        <w:t>tableta jačine</w:t>
      </w:r>
      <w:r w:rsidRPr="00257E5C">
        <w:rPr>
          <w:szCs w:val="22"/>
        </w:rPr>
        <w:t xml:space="preserve"> 500 mg jednom dnevno sa večernjim obrokom, dok se insulin dozira </w:t>
      </w:r>
      <w:r w:rsidR="007037CA" w:rsidRPr="00257E5C">
        <w:rPr>
          <w:szCs w:val="22"/>
        </w:rPr>
        <w:t>na osnovu izmjerenih vrijednosti</w:t>
      </w:r>
      <w:r w:rsidRPr="00257E5C">
        <w:rPr>
          <w:szCs w:val="22"/>
        </w:rPr>
        <w:t xml:space="preserve"> </w:t>
      </w:r>
      <w:r w:rsidR="002719D7" w:rsidRPr="00257E5C">
        <w:rPr>
          <w:szCs w:val="22"/>
        </w:rPr>
        <w:t xml:space="preserve">glukoze </w:t>
      </w:r>
      <w:r w:rsidRPr="00257E5C">
        <w:rPr>
          <w:szCs w:val="22"/>
        </w:rPr>
        <w:t>u krvi.</w:t>
      </w:r>
    </w:p>
    <w:p w14:paraId="54DC5B95" w14:textId="77777777" w:rsidR="00E7346C" w:rsidRPr="00257E5C" w:rsidRDefault="00E7346C" w:rsidP="00E25A4C">
      <w:pPr>
        <w:rPr>
          <w:szCs w:val="22"/>
        </w:rPr>
      </w:pPr>
    </w:p>
    <w:p w14:paraId="701AFD0B" w14:textId="7261542F" w:rsidR="00DC2D64" w:rsidRPr="00257E5C" w:rsidRDefault="00390C16" w:rsidP="00E25A4C">
      <w:pPr>
        <w:rPr>
          <w:szCs w:val="22"/>
        </w:rPr>
      </w:pPr>
      <w:r w:rsidRPr="00257E5C">
        <w:rPr>
          <w:szCs w:val="22"/>
        </w:rPr>
        <w:t>Za pacijente koji su već na kombinovanoj terapiji metf</w:t>
      </w:r>
      <w:r w:rsidR="00056488" w:rsidRPr="00257E5C">
        <w:rPr>
          <w:szCs w:val="22"/>
        </w:rPr>
        <w:t>or</w:t>
      </w:r>
      <w:r w:rsidRPr="00257E5C">
        <w:rPr>
          <w:szCs w:val="22"/>
        </w:rPr>
        <w:t xml:space="preserve">minom i insulinom, doza </w:t>
      </w:r>
      <w:r w:rsidR="002719D7" w:rsidRPr="00257E5C">
        <w:rPr>
          <w:szCs w:val="22"/>
        </w:rPr>
        <w:t xml:space="preserve">lijeka </w:t>
      </w:r>
      <w:r w:rsidRPr="00257E5C">
        <w:rPr>
          <w:szCs w:val="22"/>
        </w:rPr>
        <w:t xml:space="preserve">Glucophage XR 750 mg ili 1000 mg treba da bude ekvivalentna dnevnoj dozi </w:t>
      </w:r>
      <w:r w:rsidR="002719D7" w:rsidRPr="00257E5C">
        <w:rPr>
          <w:szCs w:val="22"/>
        </w:rPr>
        <w:t xml:space="preserve">metformin </w:t>
      </w:r>
      <w:r w:rsidRPr="00257E5C">
        <w:rPr>
          <w:szCs w:val="22"/>
        </w:rPr>
        <w:t>tableta, do maksimalno 1500 mg ili 2000 mg</w:t>
      </w:r>
      <w:r w:rsidR="006275B8" w:rsidRPr="00257E5C">
        <w:rPr>
          <w:szCs w:val="22"/>
        </w:rPr>
        <w:t xml:space="preserve"> respektivno</w:t>
      </w:r>
      <w:r w:rsidRPr="00257E5C">
        <w:rPr>
          <w:szCs w:val="22"/>
        </w:rPr>
        <w:t xml:space="preserve">, dato uz večernji obrok, dok se insulin dozira </w:t>
      </w:r>
      <w:r w:rsidR="007037CA" w:rsidRPr="00257E5C">
        <w:rPr>
          <w:szCs w:val="22"/>
        </w:rPr>
        <w:t xml:space="preserve">na osnovu izmjerenih vrijednosti </w:t>
      </w:r>
      <w:r w:rsidR="002719D7" w:rsidRPr="00257E5C">
        <w:rPr>
          <w:szCs w:val="22"/>
        </w:rPr>
        <w:t xml:space="preserve">glukoze </w:t>
      </w:r>
      <w:r w:rsidR="007037CA" w:rsidRPr="00257E5C">
        <w:rPr>
          <w:szCs w:val="22"/>
        </w:rPr>
        <w:t>u krvi.</w:t>
      </w:r>
      <w:r w:rsidR="00B32760" w:rsidRPr="00257E5C">
        <w:rPr>
          <w:szCs w:val="22"/>
        </w:rPr>
        <w:t xml:space="preserve"> </w:t>
      </w:r>
    </w:p>
    <w:p w14:paraId="50693042" w14:textId="77777777" w:rsidR="00DC2D64" w:rsidRPr="00257E5C" w:rsidRDefault="00DC2D64" w:rsidP="00E25A4C">
      <w:pPr>
        <w:rPr>
          <w:szCs w:val="22"/>
        </w:rPr>
      </w:pPr>
    </w:p>
    <w:p w14:paraId="0D5C36C3" w14:textId="73666DCB" w:rsidR="002D22A0" w:rsidRPr="00257E5C" w:rsidRDefault="00390C16" w:rsidP="00E25A4C">
      <w:pPr>
        <w:rPr>
          <w:szCs w:val="22"/>
        </w:rPr>
      </w:pPr>
      <w:r w:rsidRPr="00257E5C">
        <w:rPr>
          <w:i/>
          <w:szCs w:val="22"/>
        </w:rPr>
        <w:t>Starija populacija</w:t>
      </w:r>
      <w:r w:rsidR="006275B8" w:rsidRPr="00257E5C">
        <w:rPr>
          <w:i/>
          <w:szCs w:val="22"/>
        </w:rPr>
        <w:t>:</w:t>
      </w:r>
      <w:r w:rsidRPr="00257E5C">
        <w:rPr>
          <w:szCs w:val="22"/>
        </w:rPr>
        <w:t xml:space="preserve"> </w:t>
      </w:r>
    </w:p>
    <w:p w14:paraId="24B24AAF" w14:textId="77777777" w:rsidR="00E7346C" w:rsidRPr="00257E5C" w:rsidRDefault="00E7346C" w:rsidP="00E25A4C">
      <w:pPr>
        <w:rPr>
          <w:szCs w:val="22"/>
        </w:rPr>
      </w:pPr>
    </w:p>
    <w:p w14:paraId="66728292" w14:textId="416CEE5E" w:rsidR="00390C16" w:rsidRPr="00257E5C" w:rsidRDefault="002D22A0" w:rsidP="00E25A4C">
      <w:pPr>
        <w:rPr>
          <w:szCs w:val="22"/>
        </w:rPr>
      </w:pPr>
      <w:r w:rsidRPr="00257E5C">
        <w:rPr>
          <w:szCs w:val="22"/>
        </w:rPr>
        <w:t>Zbog mogućeg smanjenja bubrežne funkcije kod starijih osoba</w:t>
      </w:r>
      <w:r w:rsidR="00390C16" w:rsidRPr="00257E5C">
        <w:rPr>
          <w:szCs w:val="22"/>
        </w:rPr>
        <w:t>, doziranje metformina bi trebalo prilagođavati u odnosu na renalnu funkciju. Neophodna je redovna proc</w:t>
      </w:r>
      <w:r w:rsidR="009B6204" w:rsidRPr="00257E5C">
        <w:rPr>
          <w:szCs w:val="22"/>
        </w:rPr>
        <w:t>j</w:t>
      </w:r>
      <w:r w:rsidR="00390C16" w:rsidRPr="00257E5C">
        <w:rPr>
          <w:szCs w:val="22"/>
        </w:rPr>
        <w:t>ena renalne funkcije (vid</w:t>
      </w:r>
      <w:r w:rsidR="009B6204" w:rsidRPr="00257E5C">
        <w:rPr>
          <w:szCs w:val="22"/>
        </w:rPr>
        <w:t>j</w:t>
      </w:r>
      <w:r w:rsidR="00390C16" w:rsidRPr="00257E5C">
        <w:rPr>
          <w:szCs w:val="22"/>
        </w:rPr>
        <w:t xml:space="preserve">eti </w:t>
      </w:r>
      <w:r w:rsidR="00E23AC9" w:rsidRPr="00257E5C">
        <w:rPr>
          <w:szCs w:val="22"/>
        </w:rPr>
        <w:t xml:space="preserve">dio </w:t>
      </w:r>
      <w:r w:rsidR="00390C16" w:rsidRPr="00257E5C">
        <w:rPr>
          <w:szCs w:val="22"/>
        </w:rPr>
        <w:t>4.4).</w:t>
      </w:r>
    </w:p>
    <w:p w14:paraId="79F914B6" w14:textId="4B617A45" w:rsidR="00993A9D" w:rsidRPr="00257E5C" w:rsidRDefault="00993A9D" w:rsidP="00E25A4C">
      <w:pPr>
        <w:rPr>
          <w:szCs w:val="22"/>
        </w:rPr>
      </w:pPr>
    </w:p>
    <w:p w14:paraId="736F4038" w14:textId="3F27FF54" w:rsidR="00CE7891" w:rsidRPr="00257E5C" w:rsidRDefault="00CE7891" w:rsidP="00E25A4C">
      <w:pPr>
        <w:rPr>
          <w:szCs w:val="22"/>
        </w:rPr>
      </w:pPr>
      <w:bookmarkStart w:id="5" w:name="_Hlk499196994"/>
      <w:bookmarkStart w:id="6" w:name="_Hlk497491477"/>
      <w:r w:rsidRPr="00257E5C">
        <w:rPr>
          <w:szCs w:val="22"/>
        </w:rPr>
        <w:t xml:space="preserve">Korist u </w:t>
      </w:r>
      <w:r w:rsidR="00656719" w:rsidRPr="00257E5C">
        <w:rPr>
          <w:szCs w:val="22"/>
        </w:rPr>
        <w:t>smanjenju rizika ili odlaganju ispoljavanja tip 2 dijabetes melitusa</w:t>
      </w:r>
      <w:bookmarkStart w:id="7" w:name="_Hlk497746013"/>
      <w:r w:rsidRPr="00257E5C">
        <w:rPr>
          <w:szCs w:val="22"/>
        </w:rPr>
        <w:t xml:space="preserve"> </w:t>
      </w:r>
      <w:bookmarkEnd w:id="7"/>
      <w:r w:rsidRPr="00257E5C">
        <w:rPr>
          <w:szCs w:val="22"/>
        </w:rPr>
        <w:t xml:space="preserve">nije utvrđena kod pacijenata od 75 godina i starijih (vidjeti </w:t>
      </w:r>
      <w:r w:rsidR="00656719" w:rsidRPr="00257E5C">
        <w:rPr>
          <w:szCs w:val="22"/>
        </w:rPr>
        <w:t xml:space="preserve">dio </w:t>
      </w:r>
      <w:r w:rsidRPr="00257E5C">
        <w:rPr>
          <w:szCs w:val="22"/>
        </w:rPr>
        <w:t xml:space="preserve">5.1) pa se započinjanje terapije metforminom ne preporučuje kod ovih pacijenata (vidjeti </w:t>
      </w:r>
      <w:r w:rsidR="00656719" w:rsidRPr="00257E5C">
        <w:rPr>
          <w:szCs w:val="22"/>
        </w:rPr>
        <w:t xml:space="preserve">dio </w:t>
      </w:r>
      <w:r w:rsidRPr="00257E5C">
        <w:rPr>
          <w:szCs w:val="22"/>
        </w:rPr>
        <w:t>4.4).</w:t>
      </w:r>
    </w:p>
    <w:bookmarkEnd w:id="5"/>
    <w:bookmarkEnd w:id="6"/>
    <w:p w14:paraId="0AF4E2FF" w14:textId="77777777" w:rsidR="00CE7891" w:rsidRPr="00257E5C" w:rsidRDefault="00CE7891" w:rsidP="00E25A4C">
      <w:pPr>
        <w:rPr>
          <w:szCs w:val="22"/>
        </w:rPr>
      </w:pPr>
    </w:p>
    <w:p w14:paraId="66E7D019" w14:textId="59F9FD99" w:rsidR="00E7346C" w:rsidRPr="00257E5C" w:rsidRDefault="0096517F" w:rsidP="00E25A4C">
      <w:pPr>
        <w:rPr>
          <w:i/>
          <w:szCs w:val="22"/>
        </w:rPr>
      </w:pPr>
      <w:r w:rsidRPr="00257E5C">
        <w:rPr>
          <w:i/>
          <w:szCs w:val="22"/>
        </w:rPr>
        <w:t xml:space="preserve">Oštećenje renalne </w:t>
      </w:r>
      <w:r w:rsidR="00E7346C" w:rsidRPr="00257E5C">
        <w:rPr>
          <w:i/>
          <w:szCs w:val="22"/>
        </w:rPr>
        <w:t xml:space="preserve"> funkcije</w:t>
      </w:r>
      <w:r w:rsidR="006275B8" w:rsidRPr="00257E5C">
        <w:rPr>
          <w:i/>
          <w:szCs w:val="22"/>
        </w:rPr>
        <w:t>:</w:t>
      </w:r>
    </w:p>
    <w:p w14:paraId="66273595" w14:textId="77777777" w:rsidR="00E7346C" w:rsidRPr="00257E5C" w:rsidRDefault="00E7346C" w:rsidP="00E25A4C">
      <w:pPr>
        <w:rPr>
          <w:szCs w:val="22"/>
        </w:rPr>
      </w:pPr>
    </w:p>
    <w:p w14:paraId="714CB92E" w14:textId="7253B55A" w:rsidR="00993A9D" w:rsidRPr="00257E5C" w:rsidRDefault="00993A9D" w:rsidP="00E25A4C">
      <w:pPr>
        <w:tabs>
          <w:tab w:val="clear" w:pos="284"/>
        </w:tabs>
        <w:ind w:right="165"/>
        <w:rPr>
          <w:szCs w:val="22"/>
        </w:rPr>
      </w:pPr>
      <w:r w:rsidRPr="00257E5C">
        <w:rPr>
          <w:szCs w:val="22"/>
        </w:rPr>
        <w:t xml:space="preserve">Potrebno je izmjeriti GFR (brzinu glomeluralne filtracije) prije početka liječenja lijekovima koji </w:t>
      </w:r>
      <w:r w:rsidR="006275B8" w:rsidRPr="00257E5C">
        <w:rPr>
          <w:szCs w:val="22"/>
        </w:rPr>
        <w:t xml:space="preserve">sadrže </w:t>
      </w:r>
      <w:r w:rsidRPr="00257E5C">
        <w:rPr>
          <w:szCs w:val="22"/>
        </w:rPr>
        <w:t>metformin i najmanje jednom godišnje poslije toga. Kod pacijenata sa povećanim rizikom od dalje progresije oštećenja renalne funkcije i kod starijih osoba, kontrola renalne funkcije bi trebalo da se radi češće, npr. svakih 3-6 mjeseci.</w:t>
      </w:r>
    </w:p>
    <w:p w14:paraId="2769029D" w14:textId="77777777" w:rsidR="00993A9D" w:rsidRPr="00257E5C" w:rsidRDefault="00993A9D" w:rsidP="00180D45">
      <w:pPr>
        <w:tabs>
          <w:tab w:val="clear" w:pos="284"/>
        </w:tabs>
        <w:ind w:right="165"/>
        <w:rPr>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3272"/>
        <w:gridCol w:w="4638"/>
      </w:tblGrid>
      <w:tr w:rsidR="00993A9D" w:rsidRPr="00257E5C" w14:paraId="2B6A0FFC" w14:textId="77777777" w:rsidTr="00676156">
        <w:tc>
          <w:tcPr>
            <w:tcW w:w="1908" w:type="dxa"/>
          </w:tcPr>
          <w:p w14:paraId="0295FFE7" w14:textId="77777777" w:rsidR="00993A9D" w:rsidRPr="00257E5C" w:rsidRDefault="00993A9D" w:rsidP="00180D45">
            <w:pPr>
              <w:tabs>
                <w:tab w:val="clear" w:pos="284"/>
              </w:tabs>
              <w:spacing w:before="11" w:line="240" w:lineRule="exact"/>
              <w:rPr>
                <w:szCs w:val="22"/>
              </w:rPr>
            </w:pPr>
            <w:r w:rsidRPr="00257E5C">
              <w:rPr>
                <w:szCs w:val="22"/>
              </w:rPr>
              <w:t>GFR (ml/min)</w:t>
            </w:r>
          </w:p>
        </w:tc>
        <w:tc>
          <w:tcPr>
            <w:tcW w:w="3492" w:type="dxa"/>
          </w:tcPr>
          <w:p w14:paraId="4F87039B" w14:textId="77777777" w:rsidR="00993A9D" w:rsidRPr="00257E5C" w:rsidRDefault="00993A9D" w:rsidP="00180D45">
            <w:pPr>
              <w:tabs>
                <w:tab w:val="clear" w:pos="284"/>
              </w:tabs>
              <w:spacing w:before="11" w:line="240" w:lineRule="exact"/>
              <w:rPr>
                <w:szCs w:val="22"/>
              </w:rPr>
            </w:pPr>
            <w:r w:rsidRPr="00257E5C">
              <w:rPr>
                <w:szCs w:val="22"/>
              </w:rPr>
              <w:t>Ukupna maksimalna dnevna doza</w:t>
            </w:r>
          </w:p>
        </w:tc>
        <w:tc>
          <w:tcPr>
            <w:tcW w:w="4968" w:type="dxa"/>
          </w:tcPr>
          <w:p w14:paraId="09A21E1E" w14:textId="77777777" w:rsidR="00993A9D" w:rsidRPr="00257E5C" w:rsidRDefault="00993A9D" w:rsidP="00180D45">
            <w:pPr>
              <w:tabs>
                <w:tab w:val="clear" w:pos="284"/>
              </w:tabs>
              <w:spacing w:before="11" w:line="240" w:lineRule="exact"/>
              <w:rPr>
                <w:szCs w:val="22"/>
              </w:rPr>
            </w:pPr>
            <w:r w:rsidRPr="00257E5C">
              <w:rPr>
                <w:szCs w:val="22"/>
              </w:rPr>
              <w:t>Dodatna razmatranja</w:t>
            </w:r>
          </w:p>
        </w:tc>
      </w:tr>
      <w:tr w:rsidR="00993A9D" w:rsidRPr="00257E5C" w14:paraId="17629BC0" w14:textId="77777777" w:rsidTr="00180D45">
        <w:tc>
          <w:tcPr>
            <w:tcW w:w="1908" w:type="dxa"/>
          </w:tcPr>
          <w:p w14:paraId="1EF3FB09" w14:textId="77777777" w:rsidR="00993A9D" w:rsidRPr="00257E5C" w:rsidRDefault="00993A9D" w:rsidP="00180D45">
            <w:pPr>
              <w:tabs>
                <w:tab w:val="clear" w:pos="284"/>
              </w:tabs>
              <w:spacing w:before="11" w:line="240" w:lineRule="exact"/>
              <w:rPr>
                <w:szCs w:val="22"/>
              </w:rPr>
            </w:pPr>
            <w:r w:rsidRPr="00257E5C">
              <w:rPr>
                <w:szCs w:val="22"/>
              </w:rPr>
              <w:t>60 - 89</w:t>
            </w:r>
          </w:p>
        </w:tc>
        <w:tc>
          <w:tcPr>
            <w:tcW w:w="3492" w:type="dxa"/>
          </w:tcPr>
          <w:p w14:paraId="10F23C7F" w14:textId="77777777" w:rsidR="00993A9D" w:rsidRPr="00257E5C" w:rsidRDefault="00993A9D" w:rsidP="00180D45">
            <w:pPr>
              <w:tabs>
                <w:tab w:val="clear" w:pos="284"/>
              </w:tabs>
              <w:spacing w:before="11" w:line="240" w:lineRule="exact"/>
              <w:rPr>
                <w:szCs w:val="22"/>
              </w:rPr>
            </w:pPr>
            <w:r w:rsidRPr="00257E5C">
              <w:rPr>
                <w:szCs w:val="22"/>
              </w:rPr>
              <w:t>2000 mg</w:t>
            </w:r>
          </w:p>
        </w:tc>
        <w:tc>
          <w:tcPr>
            <w:tcW w:w="4968" w:type="dxa"/>
            <w:tcBorders>
              <w:bottom w:val="single" w:sz="4" w:space="0" w:color="auto"/>
            </w:tcBorders>
          </w:tcPr>
          <w:p w14:paraId="38079EC4" w14:textId="6B3B6463" w:rsidR="00993A9D" w:rsidRPr="00257E5C" w:rsidRDefault="00993A9D" w:rsidP="00180D45">
            <w:pPr>
              <w:tabs>
                <w:tab w:val="clear" w:pos="284"/>
              </w:tabs>
              <w:spacing w:before="11" w:line="240" w:lineRule="exact"/>
              <w:rPr>
                <w:szCs w:val="22"/>
              </w:rPr>
            </w:pPr>
            <w:r w:rsidRPr="00257E5C">
              <w:rPr>
                <w:szCs w:val="22"/>
              </w:rPr>
              <w:t xml:space="preserve">Može se razmotriti smanjenje doze </w:t>
            </w:r>
            <w:r w:rsidR="00656719" w:rsidRPr="00257E5C">
              <w:rPr>
                <w:szCs w:val="22"/>
              </w:rPr>
              <w:t>u odnosu na</w:t>
            </w:r>
            <w:r w:rsidRPr="00257E5C">
              <w:rPr>
                <w:szCs w:val="22"/>
              </w:rPr>
              <w:t xml:space="preserve"> smanjenje bubrežne funkcije.</w:t>
            </w:r>
          </w:p>
        </w:tc>
      </w:tr>
      <w:tr w:rsidR="00993A9D" w:rsidRPr="00257E5C" w14:paraId="31108F72" w14:textId="77777777" w:rsidTr="00180D45">
        <w:tc>
          <w:tcPr>
            <w:tcW w:w="1908" w:type="dxa"/>
          </w:tcPr>
          <w:p w14:paraId="3CFDC05C" w14:textId="77777777" w:rsidR="00993A9D" w:rsidRPr="00257E5C" w:rsidRDefault="00993A9D" w:rsidP="00180D45">
            <w:pPr>
              <w:tabs>
                <w:tab w:val="clear" w:pos="284"/>
              </w:tabs>
              <w:spacing w:before="11" w:line="240" w:lineRule="exact"/>
              <w:rPr>
                <w:szCs w:val="22"/>
              </w:rPr>
            </w:pPr>
            <w:r w:rsidRPr="00257E5C">
              <w:rPr>
                <w:szCs w:val="22"/>
              </w:rPr>
              <w:t>45 - 59</w:t>
            </w:r>
          </w:p>
        </w:tc>
        <w:tc>
          <w:tcPr>
            <w:tcW w:w="3492" w:type="dxa"/>
            <w:tcBorders>
              <w:right w:val="single" w:sz="4" w:space="0" w:color="auto"/>
            </w:tcBorders>
          </w:tcPr>
          <w:p w14:paraId="6DC95852" w14:textId="77777777" w:rsidR="00993A9D" w:rsidRPr="00257E5C" w:rsidRDefault="00993A9D" w:rsidP="00180D45">
            <w:pPr>
              <w:tabs>
                <w:tab w:val="clear" w:pos="284"/>
              </w:tabs>
              <w:spacing w:before="11" w:line="240" w:lineRule="exact"/>
              <w:rPr>
                <w:szCs w:val="22"/>
              </w:rPr>
            </w:pPr>
            <w:r w:rsidRPr="00257E5C">
              <w:rPr>
                <w:szCs w:val="22"/>
              </w:rPr>
              <w:t>2000 mg</w:t>
            </w:r>
          </w:p>
        </w:tc>
        <w:tc>
          <w:tcPr>
            <w:tcW w:w="4968" w:type="dxa"/>
            <w:tcBorders>
              <w:top w:val="single" w:sz="4" w:space="0" w:color="auto"/>
              <w:left w:val="single" w:sz="4" w:space="0" w:color="auto"/>
              <w:bottom w:val="nil"/>
              <w:right w:val="single" w:sz="4" w:space="0" w:color="auto"/>
            </w:tcBorders>
          </w:tcPr>
          <w:p w14:paraId="604E25E4" w14:textId="77777777" w:rsidR="00993A9D" w:rsidRPr="00257E5C" w:rsidRDefault="00993A9D" w:rsidP="00180D45">
            <w:pPr>
              <w:tabs>
                <w:tab w:val="clear" w:pos="284"/>
              </w:tabs>
              <w:spacing w:before="11" w:line="240" w:lineRule="exact"/>
              <w:ind w:right="-108"/>
              <w:rPr>
                <w:szCs w:val="22"/>
              </w:rPr>
            </w:pPr>
            <w:r w:rsidRPr="00257E5C">
              <w:rPr>
                <w:szCs w:val="22"/>
              </w:rPr>
              <w:t>Potrebno je razmotriti faktore koji mogu povećati rizik od laktatne acidoze (vidjeti dio 4.4), prije nego što se liječenje metforminom uzme u obzir.</w:t>
            </w:r>
          </w:p>
        </w:tc>
      </w:tr>
      <w:tr w:rsidR="00993A9D" w:rsidRPr="00257E5C" w14:paraId="491D933D" w14:textId="77777777" w:rsidTr="00180D45">
        <w:tc>
          <w:tcPr>
            <w:tcW w:w="1908" w:type="dxa"/>
          </w:tcPr>
          <w:p w14:paraId="635BC64E" w14:textId="77777777" w:rsidR="00993A9D" w:rsidRPr="00257E5C" w:rsidRDefault="00993A9D" w:rsidP="00180D45">
            <w:pPr>
              <w:tabs>
                <w:tab w:val="clear" w:pos="284"/>
              </w:tabs>
              <w:spacing w:before="11" w:line="240" w:lineRule="exact"/>
              <w:rPr>
                <w:szCs w:val="22"/>
              </w:rPr>
            </w:pPr>
            <w:r w:rsidRPr="00257E5C">
              <w:rPr>
                <w:szCs w:val="22"/>
              </w:rPr>
              <w:t>30 - 44</w:t>
            </w:r>
          </w:p>
        </w:tc>
        <w:tc>
          <w:tcPr>
            <w:tcW w:w="3492" w:type="dxa"/>
            <w:tcBorders>
              <w:right w:val="single" w:sz="4" w:space="0" w:color="auto"/>
            </w:tcBorders>
          </w:tcPr>
          <w:p w14:paraId="52D37986" w14:textId="77777777" w:rsidR="00993A9D" w:rsidRPr="00257E5C" w:rsidRDefault="00993A9D" w:rsidP="00180D45">
            <w:pPr>
              <w:tabs>
                <w:tab w:val="clear" w:pos="284"/>
              </w:tabs>
              <w:spacing w:before="11" w:line="240" w:lineRule="exact"/>
              <w:rPr>
                <w:szCs w:val="22"/>
              </w:rPr>
            </w:pPr>
            <w:r w:rsidRPr="00257E5C">
              <w:rPr>
                <w:szCs w:val="22"/>
              </w:rPr>
              <w:t>1000 mg</w:t>
            </w:r>
          </w:p>
        </w:tc>
        <w:tc>
          <w:tcPr>
            <w:tcW w:w="4968" w:type="dxa"/>
            <w:tcBorders>
              <w:top w:val="nil"/>
              <w:left w:val="single" w:sz="4" w:space="0" w:color="auto"/>
              <w:bottom w:val="single" w:sz="4" w:space="0" w:color="auto"/>
              <w:right w:val="single" w:sz="4" w:space="0" w:color="auto"/>
            </w:tcBorders>
          </w:tcPr>
          <w:p w14:paraId="15E9E5B2" w14:textId="77777777" w:rsidR="00993A9D" w:rsidRPr="00257E5C" w:rsidRDefault="00993A9D" w:rsidP="00180D45">
            <w:pPr>
              <w:tabs>
                <w:tab w:val="clear" w:pos="284"/>
              </w:tabs>
              <w:spacing w:before="11" w:line="240" w:lineRule="exact"/>
              <w:rPr>
                <w:szCs w:val="22"/>
              </w:rPr>
            </w:pPr>
            <w:r w:rsidRPr="00257E5C">
              <w:rPr>
                <w:szCs w:val="22"/>
              </w:rPr>
              <w:t>Početna doza je najviše polovina maksimalne doze.</w:t>
            </w:r>
          </w:p>
        </w:tc>
      </w:tr>
      <w:tr w:rsidR="00993A9D" w:rsidRPr="00257E5C" w14:paraId="06F4D76D" w14:textId="77777777" w:rsidTr="00180D45">
        <w:tc>
          <w:tcPr>
            <w:tcW w:w="1908" w:type="dxa"/>
          </w:tcPr>
          <w:p w14:paraId="0EA66022" w14:textId="77777777" w:rsidR="00993A9D" w:rsidRPr="00257E5C" w:rsidRDefault="00993A9D" w:rsidP="00180D45">
            <w:pPr>
              <w:tabs>
                <w:tab w:val="clear" w:pos="284"/>
              </w:tabs>
              <w:spacing w:before="11" w:line="240" w:lineRule="exact"/>
              <w:rPr>
                <w:szCs w:val="22"/>
              </w:rPr>
            </w:pPr>
            <w:r w:rsidRPr="00257E5C">
              <w:rPr>
                <w:szCs w:val="22"/>
              </w:rPr>
              <w:t>&lt; 30</w:t>
            </w:r>
          </w:p>
        </w:tc>
        <w:tc>
          <w:tcPr>
            <w:tcW w:w="3492" w:type="dxa"/>
          </w:tcPr>
          <w:p w14:paraId="1FC2AB15" w14:textId="77777777" w:rsidR="00993A9D" w:rsidRPr="00257E5C" w:rsidRDefault="00993A9D" w:rsidP="00180D45">
            <w:pPr>
              <w:tabs>
                <w:tab w:val="clear" w:pos="284"/>
              </w:tabs>
              <w:spacing w:before="11" w:line="240" w:lineRule="exact"/>
              <w:rPr>
                <w:szCs w:val="22"/>
              </w:rPr>
            </w:pPr>
            <w:r w:rsidRPr="00257E5C">
              <w:rPr>
                <w:szCs w:val="22"/>
              </w:rPr>
              <w:t>-</w:t>
            </w:r>
          </w:p>
        </w:tc>
        <w:tc>
          <w:tcPr>
            <w:tcW w:w="4968" w:type="dxa"/>
            <w:tcBorders>
              <w:top w:val="single" w:sz="4" w:space="0" w:color="auto"/>
            </w:tcBorders>
          </w:tcPr>
          <w:p w14:paraId="0A29F6FC" w14:textId="77777777" w:rsidR="00993A9D" w:rsidRPr="00257E5C" w:rsidRDefault="00993A9D" w:rsidP="00180D45">
            <w:pPr>
              <w:tabs>
                <w:tab w:val="clear" w:pos="284"/>
              </w:tabs>
              <w:spacing w:before="11" w:line="240" w:lineRule="exact"/>
              <w:rPr>
                <w:szCs w:val="22"/>
              </w:rPr>
            </w:pPr>
            <w:r w:rsidRPr="00257E5C">
              <w:rPr>
                <w:szCs w:val="22"/>
              </w:rPr>
              <w:t>Metformin je kontraindikovan</w:t>
            </w:r>
          </w:p>
        </w:tc>
      </w:tr>
    </w:tbl>
    <w:p w14:paraId="5B45F3C7" w14:textId="77777777" w:rsidR="00390C16" w:rsidRPr="00257E5C" w:rsidRDefault="00390C16" w:rsidP="00180D45">
      <w:pPr>
        <w:rPr>
          <w:szCs w:val="22"/>
        </w:rPr>
      </w:pPr>
    </w:p>
    <w:p w14:paraId="28F6B4D3" w14:textId="3DFD65B3" w:rsidR="006275B8" w:rsidRPr="00257E5C" w:rsidRDefault="006275B8" w:rsidP="00E25A4C">
      <w:pPr>
        <w:rPr>
          <w:i/>
          <w:szCs w:val="22"/>
        </w:rPr>
      </w:pPr>
      <w:r w:rsidRPr="00257E5C">
        <w:rPr>
          <w:i/>
          <w:szCs w:val="22"/>
        </w:rPr>
        <w:t>Pedijatrijska populacija:</w:t>
      </w:r>
    </w:p>
    <w:p w14:paraId="1B83C125" w14:textId="77777777" w:rsidR="006275B8" w:rsidRPr="00257E5C" w:rsidRDefault="006275B8" w:rsidP="00E25A4C">
      <w:pPr>
        <w:rPr>
          <w:szCs w:val="22"/>
        </w:rPr>
      </w:pPr>
    </w:p>
    <w:p w14:paraId="64476DAD" w14:textId="7D250778" w:rsidR="006275B8" w:rsidRPr="00257E5C" w:rsidRDefault="006275B8" w:rsidP="00E25A4C">
      <w:pPr>
        <w:rPr>
          <w:szCs w:val="22"/>
        </w:rPr>
      </w:pPr>
      <w:r w:rsidRPr="00257E5C">
        <w:rPr>
          <w:szCs w:val="22"/>
        </w:rPr>
        <w:t>Zbog nedostataka relevantnih podataka, lijek Glucophage XR ne treba primjenjivati u ovoj populaciji.</w:t>
      </w:r>
    </w:p>
    <w:p w14:paraId="2638DC7D" w14:textId="4CA4DFEC" w:rsidR="00137369" w:rsidRPr="00257E5C" w:rsidRDefault="00137369" w:rsidP="00E25A4C">
      <w:pPr>
        <w:rPr>
          <w:szCs w:val="22"/>
        </w:rPr>
      </w:pPr>
    </w:p>
    <w:p w14:paraId="6C2F3B52" w14:textId="77777777" w:rsidR="00137369" w:rsidRPr="00257E5C" w:rsidRDefault="00137369" w:rsidP="00E25A4C">
      <w:pPr>
        <w:rPr>
          <w:szCs w:val="22"/>
        </w:rPr>
      </w:pPr>
    </w:p>
    <w:p w14:paraId="70605275" w14:textId="14F6017B" w:rsidR="006275B8" w:rsidRPr="00257E5C" w:rsidRDefault="006275B8" w:rsidP="003B38DC">
      <w:pPr>
        <w:tabs>
          <w:tab w:val="clear" w:pos="284"/>
        </w:tabs>
        <w:rPr>
          <w:szCs w:val="22"/>
          <w:u w:val="single" w:color="000000"/>
        </w:rPr>
      </w:pPr>
      <w:r w:rsidRPr="00257E5C">
        <w:rPr>
          <w:szCs w:val="22"/>
          <w:u w:val="single" w:color="000000"/>
        </w:rPr>
        <w:lastRenderedPageBreak/>
        <w:t>Način primjene</w:t>
      </w:r>
    </w:p>
    <w:p w14:paraId="3CA37A5D" w14:textId="63517639" w:rsidR="006275B8" w:rsidRPr="00257E5C" w:rsidRDefault="00C83DAE" w:rsidP="003B38DC">
      <w:pPr>
        <w:tabs>
          <w:tab w:val="clear" w:pos="284"/>
        </w:tabs>
        <w:rPr>
          <w:szCs w:val="22"/>
        </w:rPr>
      </w:pPr>
      <w:r w:rsidRPr="00257E5C">
        <w:rPr>
          <w:szCs w:val="22"/>
          <w:u w:color="000000"/>
        </w:rPr>
        <w:t>Oralna primjena, uz obrok. Tablete se ne smiju drobiti niti žvakati.</w:t>
      </w:r>
    </w:p>
    <w:p w14:paraId="366136B6" w14:textId="77777777" w:rsidR="00137369" w:rsidRPr="00257E5C" w:rsidRDefault="00137369" w:rsidP="00E25A4C">
      <w:pPr>
        <w:rPr>
          <w:szCs w:val="22"/>
        </w:rPr>
      </w:pPr>
    </w:p>
    <w:p w14:paraId="05000F87" w14:textId="13B3554A" w:rsidR="00CE09F3" w:rsidRPr="00257E5C" w:rsidRDefault="00CE09F3" w:rsidP="00E25A4C">
      <w:pPr>
        <w:rPr>
          <w:b/>
          <w:bCs/>
          <w:szCs w:val="22"/>
        </w:rPr>
      </w:pPr>
      <w:r w:rsidRPr="00257E5C">
        <w:rPr>
          <w:b/>
          <w:bCs/>
          <w:szCs w:val="22"/>
        </w:rPr>
        <w:t xml:space="preserve">4.3. </w:t>
      </w:r>
      <w:r w:rsidR="00B32760" w:rsidRPr="00257E5C">
        <w:rPr>
          <w:b/>
          <w:bCs/>
          <w:szCs w:val="22"/>
        </w:rPr>
        <w:t xml:space="preserve">  </w:t>
      </w:r>
      <w:r w:rsidR="00605FCC" w:rsidRPr="00257E5C">
        <w:rPr>
          <w:b/>
          <w:bCs/>
          <w:szCs w:val="22"/>
        </w:rPr>
        <w:t xml:space="preserve">  </w:t>
      </w:r>
      <w:r w:rsidRPr="00257E5C">
        <w:rPr>
          <w:b/>
          <w:bCs/>
          <w:szCs w:val="22"/>
        </w:rPr>
        <w:t>Kontraindikacije</w:t>
      </w:r>
    </w:p>
    <w:p w14:paraId="6E607107" w14:textId="77777777" w:rsidR="00CE09F3" w:rsidRPr="00257E5C" w:rsidRDefault="00CE09F3" w:rsidP="00E25A4C">
      <w:pPr>
        <w:rPr>
          <w:szCs w:val="22"/>
        </w:rPr>
      </w:pPr>
    </w:p>
    <w:p w14:paraId="04DD0239" w14:textId="0E82E387" w:rsidR="00390C16" w:rsidRPr="00257E5C" w:rsidRDefault="00390C16" w:rsidP="00E25A4C">
      <w:pPr>
        <w:numPr>
          <w:ilvl w:val="0"/>
          <w:numId w:val="4"/>
        </w:numPr>
        <w:tabs>
          <w:tab w:val="clear" w:pos="284"/>
        </w:tabs>
        <w:rPr>
          <w:szCs w:val="22"/>
        </w:rPr>
      </w:pPr>
      <w:r w:rsidRPr="00257E5C">
        <w:rPr>
          <w:szCs w:val="22"/>
        </w:rPr>
        <w:t>Preos</w:t>
      </w:r>
      <w:r w:rsidR="009B6204" w:rsidRPr="00257E5C">
        <w:rPr>
          <w:szCs w:val="22"/>
        </w:rPr>
        <w:t>j</w:t>
      </w:r>
      <w:r w:rsidRPr="00257E5C">
        <w:rPr>
          <w:szCs w:val="22"/>
        </w:rPr>
        <w:t xml:space="preserve">etljivost na metformin ili na bilo koji od ekscipijenasa navedenih u </w:t>
      </w:r>
      <w:r w:rsidR="00705542" w:rsidRPr="00257E5C">
        <w:rPr>
          <w:szCs w:val="22"/>
        </w:rPr>
        <w:t xml:space="preserve">dijelu </w:t>
      </w:r>
      <w:r w:rsidRPr="00257E5C">
        <w:rPr>
          <w:szCs w:val="22"/>
        </w:rPr>
        <w:t>6.1.</w:t>
      </w:r>
    </w:p>
    <w:p w14:paraId="61DBA909" w14:textId="26D95464" w:rsidR="00605FCC" w:rsidRPr="00257E5C" w:rsidRDefault="00605FCC" w:rsidP="00E25A4C">
      <w:pPr>
        <w:numPr>
          <w:ilvl w:val="0"/>
          <w:numId w:val="4"/>
        </w:numPr>
        <w:tabs>
          <w:tab w:val="clear" w:pos="284"/>
        </w:tabs>
        <w:rPr>
          <w:szCs w:val="22"/>
        </w:rPr>
      </w:pPr>
      <w:r w:rsidRPr="00257E5C">
        <w:rPr>
          <w:szCs w:val="22"/>
        </w:rPr>
        <w:t xml:space="preserve">Bilo </w:t>
      </w:r>
      <w:r w:rsidR="00FF152B" w:rsidRPr="00257E5C">
        <w:rPr>
          <w:szCs w:val="22"/>
        </w:rPr>
        <w:t xml:space="preserve">koji tip </w:t>
      </w:r>
      <w:r w:rsidRPr="00257E5C">
        <w:rPr>
          <w:szCs w:val="22"/>
        </w:rPr>
        <w:t xml:space="preserve">akutne metaboličke acidoze (kao što je laktatna acidoza, </w:t>
      </w:r>
      <w:r w:rsidR="004C1BDC" w:rsidRPr="00257E5C">
        <w:rPr>
          <w:szCs w:val="22"/>
        </w:rPr>
        <w:t xml:space="preserve">dijabetička </w:t>
      </w:r>
      <w:r w:rsidRPr="00257E5C">
        <w:rPr>
          <w:szCs w:val="22"/>
        </w:rPr>
        <w:t>ketoacidoza)</w:t>
      </w:r>
      <w:r w:rsidR="004C1BDC" w:rsidRPr="00257E5C">
        <w:rPr>
          <w:szCs w:val="22"/>
        </w:rPr>
        <w:t>.</w:t>
      </w:r>
    </w:p>
    <w:p w14:paraId="2DAAEEBE" w14:textId="4ACDCE12" w:rsidR="00390C16" w:rsidRPr="00257E5C" w:rsidRDefault="004C1BDC" w:rsidP="00E25A4C">
      <w:pPr>
        <w:numPr>
          <w:ilvl w:val="0"/>
          <w:numId w:val="4"/>
        </w:numPr>
        <w:tabs>
          <w:tab w:val="clear" w:pos="284"/>
        </w:tabs>
        <w:rPr>
          <w:szCs w:val="22"/>
        </w:rPr>
      </w:pPr>
      <w:r w:rsidRPr="00257E5C">
        <w:rPr>
          <w:szCs w:val="22"/>
        </w:rPr>
        <w:t>Dijabetička</w:t>
      </w:r>
      <w:r w:rsidR="00390C16" w:rsidRPr="00257E5C">
        <w:rPr>
          <w:szCs w:val="22"/>
        </w:rPr>
        <w:t xml:space="preserve"> pre</w:t>
      </w:r>
      <w:r w:rsidRPr="00257E5C">
        <w:rPr>
          <w:szCs w:val="22"/>
        </w:rPr>
        <w:t>tkoma.</w:t>
      </w:r>
    </w:p>
    <w:p w14:paraId="6EBE8CC7" w14:textId="4E129646" w:rsidR="00605FCC" w:rsidRPr="00257E5C" w:rsidRDefault="00605FCC" w:rsidP="00E25A4C">
      <w:pPr>
        <w:numPr>
          <w:ilvl w:val="0"/>
          <w:numId w:val="4"/>
        </w:numPr>
        <w:tabs>
          <w:tab w:val="clear" w:pos="284"/>
        </w:tabs>
        <w:rPr>
          <w:szCs w:val="22"/>
        </w:rPr>
      </w:pPr>
      <w:r w:rsidRPr="00257E5C">
        <w:rPr>
          <w:szCs w:val="22"/>
        </w:rPr>
        <w:t>Teška insuficijencija bubrega (GFR &lt; 30 ml/min)</w:t>
      </w:r>
      <w:r w:rsidR="004C1BDC" w:rsidRPr="00257E5C">
        <w:rPr>
          <w:szCs w:val="22"/>
        </w:rPr>
        <w:t>.</w:t>
      </w:r>
    </w:p>
    <w:p w14:paraId="39B4FE8E" w14:textId="687EDDEF" w:rsidR="00390C16" w:rsidRPr="00257E5C" w:rsidRDefault="00390C16" w:rsidP="00E25A4C">
      <w:pPr>
        <w:numPr>
          <w:ilvl w:val="0"/>
          <w:numId w:val="4"/>
        </w:numPr>
        <w:tabs>
          <w:tab w:val="clear" w:pos="284"/>
        </w:tabs>
        <w:rPr>
          <w:szCs w:val="22"/>
        </w:rPr>
      </w:pPr>
      <w:r w:rsidRPr="00257E5C">
        <w:rPr>
          <w:szCs w:val="22"/>
        </w:rPr>
        <w:t>Akutna stanja sa potencijalom da prom</w:t>
      </w:r>
      <w:r w:rsidR="004C1BDC" w:rsidRPr="00257E5C">
        <w:rPr>
          <w:szCs w:val="22"/>
        </w:rPr>
        <w:t>i</w:t>
      </w:r>
      <w:r w:rsidR="00117458" w:rsidRPr="00257E5C">
        <w:rPr>
          <w:szCs w:val="22"/>
        </w:rPr>
        <w:t>j</w:t>
      </w:r>
      <w:r w:rsidRPr="00257E5C">
        <w:rPr>
          <w:szCs w:val="22"/>
        </w:rPr>
        <w:t>ene renalnu funkciju kao što su:</w:t>
      </w:r>
    </w:p>
    <w:p w14:paraId="6F9652F8" w14:textId="161CC26E" w:rsidR="00390C16" w:rsidRPr="00257E5C" w:rsidRDefault="00705542" w:rsidP="00E25A4C">
      <w:pPr>
        <w:numPr>
          <w:ilvl w:val="1"/>
          <w:numId w:val="25"/>
        </w:numPr>
        <w:tabs>
          <w:tab w:val="clear" w:pos="284"/>
        </w:tabs>
        <w:rPr>
          <w:szCs w:val="22"/>
        </w:rPr>
      </w:pPr>
      <w:r w:rsidRPr="00257E5C">
        <w:rPr>
          <w:szCs w:val="22"/>
        </w:rPr>
        <w:t>d</w:t>
      </w:r>
      <w:r w:rsidR="00390C16" w:rsidRPr="00257E5C">
        <w:rPr>
          <w:szCs w:val="22"/>
        </w:rPr>
        <w:t>ehidratacija,</w:t>
      </w:r>
    </w:p>
    <w:p w14:paraId="74F9D593" w14:textId="685BA0D1" w:rsidR="00390C16" w:rsidRPr="00257E5C" w:rsidRDefault="00705542" w:rsidP="00E25A4C">
      <w:pPr>
        <w:numPr>
          <w:ilvl w:val="1"/>
          <w:numId w:val="25"/>
        </w:numPr>
        <w:tabs>
          <w:tab w:val="clear" w:pos="284"/>
        </w:tabs>
        <w:rPr>
          <w:szCs w:val="22"/>
        </w:rPr>
      </w:pPr>
      <w:r w:rsidRPr="00257E5C">
        <w:rPr>
          <w:szCs w:val="22"/>
        </w:rPr>
        <w:t xml:space="preserve">teška </w:t>
      </w:r>
      <w:r w:rsidR="00390C16" w:rsidRPr="00257E5C">
        <w:rPr>
          <w:szCs w:val="22"/>
        </w:rPr>
        <w:t>infekcija,</w:t>
      </w:r>
    </w:p>
    <w:p w14:paraId="2F834E62" w14:textId="02D2B464" w:rsidR="00390C16" w:rsidRPr="00257E5C" w:rsidRDefault="00705542" w:rsidP="00E25A4C">
      <w:pPr>
        <w:numPr>
          <w:ilvl w:val="1"/>
          <w:numId w:val="25"/>
        </w:numPr>
        <w:tabs>
          <w:tab w:val="clear" w:pos="284"/>
        </w:tabs>
        <w:rPr>
          <w:szCs w:val="22"/>
        </w:rPr>
      </w:pPr>
      <w:r w:rsidRPr="00257E5C">
        <w:rPr>
          <w:szCs w:val="22"/>
        </w:rPr>
        <w:t>šok.</w:t>
      </w:r>
    </w:p>
    <w:p w14:paraId="25F8EF5F" w14:textId="7062843F" w:rsidR="00390C16" w:rsidRPr="00257E5C" w:rsidRDefault="00390C16" w:rsidP="00E25A4C">
      <w:pPr>
        <w:pStyle w:val="ListParagraph"/>
        <w:numPr>
          <w:ilvl w:val="0"/>
          <w:numId w:val="9"/>
        </w:numPr>
        <w:tabs>
          <w:tab w:val="clear" w:pos="284"/>
        </w:tabs>
        <w:rPr>
          <w:szCs w:val="22"/>
        </w:rPr>
      </w:pPr>
      <w:r w:rsidRPr="00257E5C">
        <w:rPr>
          <w:szCs w:val="22"/>
        </w:rPr>
        <w:t>Bolest</w:t>
      </w:r>
      <w:r w:rsidR="00CB09E6" w:rsidRPr="00257E5C">
        <w:rPr>
          <w:szCs w:val="22"/>
        </w:rPr>
        <w:t>i koje mogu da izazovu</w:t>
      </w:r>
      <w:r w:rsidRPr="00257E5C">
        <w:rPr>
          <w:szCs w:val="22"/>
        </w:rPr>
        <w:t xml:space="preserve"> hipoksiju tkiva </w:t>
      </w:r>
      <w:r w:rsidR="00CB09E6" w:rsidRPr="00257E5C">
        <w:rPr>
          <w:szCs w:val="22"/>
        </w:rPr>
        <w:t xml:space="preserve"> (naročito akutne bolesti, ili pogoršanje hronične bolesti), </w:t>
      </w:r>
      <w:r w:rsidRPr="00257E5C">
        <w:rPr>
          <w:szCs w:val="22"/>
        </w:rPr>
        <w:t>kao što su:</w:t>
      </w:r>
    </w:p>
    <w:p w14:paraId="5A03DE7C" w14:textId="77777777" w:rsidR="00390C16" w:rsidRPr="00257E5C" w:rsidRDefault="00390C16" w:rsidP="00E25A4C">
      <w:pPr>
        <w:numPr>
          <w:ilvl w:val="1"/>
          <w:numId w:val="26"/>
        </w:numPr>
        <w:tabs>
          <w:tab w:val="clear" w:pos="284"/>
        </w:tabs>
        <w:rPr>
          <w:szCs w:val="22"/>
        </w:rPr>
      </w:pPr>
      <w:r w:rsidRPr="00257E5C">
        <w:rPr>
          <w:szCs w:val="22"/>
        </w:rPr>
        <w:t>dekompenzovana srčana insuficijenicija</w:t>
      </w:r>
    </w:p>
    <w:p w14:paraId="617B261E" w14:textId="77777777" w:rsidR="00390C16" w:rsidRPr="00257E5C" w:rsidRDefault="00390C16" w:rsidP="00E25A4C">
      <w:pPr>
        <w:numPr>
          <w:ilvl w:val="1"/>
          <w:numId w:val="26"/>
        </w:numPr>
        <w:tabs>
          <w:tab w:val="clear" w:pos="284"/>
        </w:tabs>
        <w:rPr>
          <w:szCs w:val="22"/>
        </w:rPr>
      </w:pPr>
      <w:r w:rsidRPr="00257E5C">
        <w:rPr>
          <w:szCs w:val="22"/>
        </w:rPr>
        <w:t>respiratorna insuficijencija,</w:t>
      </w:r>
    </w:p>
    <w:p w14:paraId="4C723C64" w14:textId="685F0378" w:rsidR="00390C16" w:rsidRPr="00257E5C" w:rsidRDefault="00705542" w:rsidP="00E25A4C">
      <w:pPr>
        <w:numPr>
          <w:ilvl w:val="1"/>
          <w:numId w:val="26"/>
        </w:numPr>
        <w:tabs>
          <w:tab w:val="clear" w:pos="284"/>
        </w:tabs>
        <w:rPr>
          <w:szCs w:val="22"/>
        </w:rPr>
      </w:pPr>
      <w:r w:rsidRPr="00257E5C">
        <w:rPr>
          <w:szCs w:val="22"/>
        </w:rPr>
        <w:t xml:space="preserve">skorašnji </w:t>
      </w:r>
      <w:r w:rsidR="00390C16" w:rsidRPr="00257E5C">
        <w:rPr>
          <w:szCs w:val="22"/>
        </w:rPr>
        <w:t>infarkt miokarda,</w:t>
      </w:r>
    </w:p>
    <w:p w14:paraId="5583ACF5" w14:textId="5ED61A74" w:rsidR="00390C16" w:rsidRPr="00257E5C" w:rsidRDefault="00705542" w:rsidP="00E25A4C">
      <w:pPr>
        <w:numPr>
          <w:ilvl w:val="1"/>
          <w:numId w:val="26"/>
        </w:numPr>
        <w:tabs>
          <w:tab w:val="clear" w:pos="284"/>
        </w:tabs>
        <w:rPr>
          <w:szCs w:val="22"/>
        </w:rPr>
      </w:pPr>
      <w:r w:rsidRPr="00257E5C">
        <w:rPr>
          <w:szCs w:val="22"/>
        </w:rPr>
        <w:t>šok.</w:t>
      </w:r>
    </w:p>
    <w:p w14:paraId="04D1C432" w14:textId="1FC104E6" w:rsidR="00787CE0" w:rsidRPr="00257E5C" w:rsidRDefault="00787CE0" w:rsidP="00E25A4C">
      <w:pPr>
        <w:numPr>
          <w:ilvl w:val="0"/>
          <w:numId w:val="4"/>
        </w:numPr>
        <w:tabs>
          <w:tab w:val="clear" w:pos="284"/>
        </w:tabs>
        <w:rPr>
          <w:szCs w:val="22"/>
        </w:rPr>
      </w:pPr>
      <w:r w:rsidRPr="00257E5C">
        <w:rPr>
          <w:szCs w:val="22"/>
        </w:rPr>
        <w:t>Insuficijencija jetre, akutna intoksikacija alkoholom, alkoholizam</w:t>
      </w:r>
      <w:r w:rsidR="00705542" w:rsidRPr="00257E5C">
        <w:rPr>
          <w:szCs w:val="22"/>
        </w:rPr>
        <w:t>.</w:t>
      </w:r>
    </w:p>
    <w:p w14:paraId="05992FE5" w14:textId="77777777" w:rsidR="00390C16" w:rsidRPr="00257E5C" w:rsidRDefault="00390C16" w:rsidP="00E25A4C">
      <w:pPr>
        <w:rPr>
          <w:szCs w:val="22"/>
        </w:rPr>
      </w:pPr>
    </w:p>
    <w:p w14:paraId="60CF1BA3" w14:textId="6D0FB75D" w:rsidR="00CE09F3" w:rsidRPr="00257E5C" w:rsidRDefault="00CE09F3" w:rsidP="00E25A4C">
      <w:pPr>
        <w:rPr>
          <w:b/>
          <w:bCs/>
          <w:szCs w:val="22"/>
        </w:rPr>
      </w:pPr>
      <w:r w:rsidRPr="00257E5C">
        <w:rPr>
          <w:b/>
          <w:bCs/>
          <w:szCs w:val="22"/>
        </w:rPr>
        <w:t xml:space="preserve">4.4. </w:t>
      </w:r>
      <w:r w:rsidR="00D24973" w:rsidRPr="00257E5C">
        <w:rPr>
          <w:b/>
          <w:bCs/>
          <w:szCs w:val="22"/>
        </w:rPr>
        <w:t xml:space="preserve">  </w:t>
      </w:r>
      <w:r w:rsidRPr="00257E5C">
        <w:rPr>
          <w:b/>
          <w:bCs/>
          <w:szCs w:val="22"/>
        </w:rPr>
        <w:t>Posebna upozorenja i m</w:t>
      </w:r>
      <w:r w:rsidR="00117458" w:rsidRPr="00257E5C">
        <w:rPr>
          <w:b/>
          <w:bCs/>
          <w:szCs w:val="22"/>
        </w:rPr>
        <w:t>j</w:t>
      </w:r>
      <w:r w:rsidRPr="00257E5C">
        <w:rPr>
          <w:b/>
          <w:bCs/>
          <w:szCs w:val="22"/>
        </w:rPr>
        <w:t>ere opreza pri upotrebi l</w:t>
      </w:r>
      <w:r w:rsidR="00117458" w:rsidRPr="00257E5C">
        <w:rPr>
          <w:b/>
          <w:bCs/>
          <w:szCs w:val="22"/>
        </w:rPr>
        <w:t>ij</w:t>
      </w:r>
      <w:r w:rsidRPr="00257E5C">
        <w:rPr>
          <w:b/>
          <w:bCs/>
          <w:szCs w:val="22"/>
        </w:rPr>
        <w:t>eka</w:t>
      </w:r>
    </w:p>
    <w:p w14:paraId="046425F1" w14:textId="77777777" w:rsidR="00CE09F3" w:rsidRPr="00257E5C" w:rsidRDefault="00CE09F3" w:rsidP="00E25A4C">
      <w:pPr>
        <w:rPr>
          <w:szCs w:val="22"/>
        </w:rPr>
      </w:pPr>
    </w:p>
    <w:p w14:paraId="11104D58" w14:textId="77777777" w:rsidR="00390C16" w:rsidRPr="00257E5C" w:rsidRDefault="00390C16" w:rsidP="00E25A4C">
      <w:pPr>
        <w:pStyle w:val="BodyText"/>
        <w:jc w:val="both"/>
        <w:rPr>
          <w:b w:val="0"/>
          <w:bCs w:val="0"/>
          <w:sz w:val="22"/>
          <w:szCs w:val="22"/>
          <w:u w:val="single"/>
          <w:lang w:val="sr-Latn-CS"/>
        </w:rPr>
      </w:pPr>
      <w:r w:rsidRPr="00257E5C">
        <w:rPr>
          <w:b w:val="0"/>
          <w:bCs w:val="0"/>
          <w:sz w:val="22"/>
          <w:szCs w:val="22"/>
          <w:u w:val="single"/>
          <w:lang w:val="sr-Latn-CS"/>
        </w:rPr>
        <w:t>Laktatna acidoza:</w:t>
      </w:r>
    </w:p>
    <w:p w14:paraId="3973E4B0" w14:textId="77777777" w:rsidR="00390C16" w:rsidRPr="00257E5C" w:rsidRDefault="00390C16" w:rsidP="00E25A4C">
      <w:pPr>
        <w:pStyle w:val="Header"/>
        <w:tabs>
          <w:tab w:val="clear" w:pos="4536"/>
          <w:tab w:val="clear" w:pos="9072"/>
          <w:tab w:val="left" w:pos="284"/>
        </w:tabs>
        <w:rPr>
          <w:bCs/>
          <w:szCs w:val="22"/>
        </w:rPr>
      </w:pPr>
    </w:p>
    <w:p w14:paraId="0397239F" w14:textId="1C92C99E" w:rsidR="00FB39F8" w:rsidRPr="00257E5C" w:rsidRDefault="00FB39F8" w:rsidP="00E25A4C">
      <w:pPr>
        <w:pStyle w:val="Header"/>
        <w:tabs>
          <w:tab w:val="clear" w:pos="4536"/>
          <w:tab w:val="clear" w:pos="9072"/>
          <w:tab w:val="left" w:pos="284"/>
        </w:tabs>
        <w:rPr>
          <w:szCs w:val="22"/>
        </w:rPr>
      </w:pPr>
      <w:r w:rsidRPr="00257E5C">
        <w:rPr>
          <w:szCs w:val="22"/>
        </w:rPr>
        <w:t>Laktatna  acidoza, vrlo rijetka,  ali  ozbiljna  metabolička  komplikacija, najčešće nastaje kod akutnog pogoršanja bubrežne funkcije</w:t>
      </w:r>
      <w:r w:rsidR="00CE0B6F" w:rsidRPr="00257E5C">
        <w:rPr>
          <w:szCs w:val="22"/>
        </w:rPr>
        <w:t xml:space="preserve"> ili kardiorespiratorne bolesti</w:t>
      </w:r>
      <w:r w:rsidRPr="00257E5C">
        <w:rPr>
          <w:szCs w:val="22"/>
        </w:rPr>
        <w:t xml:space="preserve"> ili sepse. Nakupljanje  metformina nastaje kod akutnog pogoršanja bubrežne funkcije i povećava rizik od laktatne acidoze.  </w:t>
      </w:r>
    </w:p>
    <w:p w14:paraId="082F3E59" w14:textId="77777777" w:rsidR="0035049A" w:rsidRPr="00257E5C" w:rsidRDefault="0035049A" w:rsidP="00E25A4C">
      <w:pPr>
        <w:pStyle w:val="Header"/>
        <w:tabs>
          <w:tab w:val="clear" w:pos="4536"/>
          <w:tab w:val="clear" w:pos="9072"/>
          <w:tab w:val="left" w:pos="284"/>
        </w:tabs>
        <w:rPr>
          <w:szCs w:val="22"/>
        </w:rPr>
      </w:pPr>
    </w:p>
    <w:p w14:paraId="6250BD03" w14:textId="77777777" w:rsidR="00CE0B6F" w:rsidRPr="00257E5C" w:rsidRDefault="00CE0B6F" w:rsidP="00E25A4C">
      <w:pPr>
        <w:pStyle w:val="Header"/>
        <w:tabs>
          <w:tab w:val="clear" w:pos="4536"/>
          <w:tab w:val="clear" w:pos="9072"/>
          <w:tab w:val="left" w:pos="284"/>
        </w:tabs>
        <w:rPr>
          <w:szCs w:val="22"/>
        </w:rPr>
      </w:pPr>
      <w:r w:rsidRPr="00257E5C">
        <w:rPr>
          <w:szCs w:val="22"/>
        </w:rPr>
        <w:t>U slučaju dehidratacije (teška dijareja ili povraćanje, febrilno stanje ili smanjen unos tečnosti), potrebno je privremeno obustaviti metformin, a preporučuje se kontakt sa zdravstvenim radnikom.</w:t>
      </w:r>
    </w:p>
    <w:p w14:paraId="21A07BAE" w14:textId="77777777" w:rsidR="00CE0B6F" w:rsidRPr="00257E5C" w:rsidRDefault="00CE0B6F" w:rsidP="00E25A4C">
      <w:pPr>
        <w:pStyle w:val="Header"/>
        <w:tabs>
          <w:tab w:val="clear" w:pos="4536"/>
          <w:tab w:val="clear" w:pos="9072"/>
          <w:tab w:val="left" w:pos="284"/>
        </w:tabs>
        <w:rPr>
          <w:szCs w:val="22"/>
        </w:rPr>
      </w:pPr>
    </w:p>
    <w:p w14:paraId="42D7FF36" w14:textId="4AC1A851" w:rsidR="00CE0B6F" w:rsidRPr="00257E5C" w:rsidRDefault="00CE0B6F" w:rsidP="00E25A4C">
      <w:pPr>
        <w:pStyle w:val="Header"/>
        <w:tabs>
          <w:tab w:val="clear" w:pos="4536"/>
          <w:tab w:val="clear" w:pos="9072"/>
          <w:tab w:val="left" w:pos="284"/>
        </w:tabs>
        <w:rPr>
          <w:szCs w:val="22"/>
        </w:rPr>
      </w:pPr>
      <w:r w:rsidRPr="00257E5C">
        <w:rPr>
          <w:szCs w:val="22"/>
        </w:rPr>
        <w:t xml:space="preserve">Ljekove koji mogu da dovedu do akutnog oštećenja bubrežne funkcije </w:t>
      </w:r>
      <w:r w:rsidR="003E0E56" w:rsidRPr="00257E5C">
        <w:rPr>
          <w:szCs w:val="22"/>
        </w:rPr>
        <w:t>(</w:t>
      </w:r>
      <w:r w:rsidRPr="00257E5C">
        <w:rPr>
          <w:szCs w:val="22"/>
        </w:rPr>
        <w:t>kao što su antihipertenzivi, diuretici i NSAIL (nesteroidni antiinflamatorni lijekovi)</w:t>
      </w:r>
      <w:r w:rsidR="003E0E56" w:rsidRPr="00257E5C">
        <w:rPr>
          <w:szCs w:val="22"/>
        </w:rPr>
        <w:t>)</w:t>
      </w:r>
      <w:r w:rsidRPr="00257E5C">
        <w:rPr>
          <w:szCs w:val="22"/>
        </w:rPr>
        <w:t xml:space="preserve"> treba oprezno da se daju pacijentima koji se liječe metforminom. Ostali faktori rizika za laktatnu acidozu su prekomjerni unos alkohola, </w:t>
      </w:r>
      <w:r w:rsidR="00FC29C3" w:rsidRPr="00257E5C">
        <w:rPr>
          <w:szCs w:val="22"/>
        </w:rPr>
        <w:t>hepatička insuficijencija</w:t>
      </w:r>
      <w:r w:rsidRPr="00257E5C">
        <w:rPr>
          <w:szCs w:val="22"/>
        </w:rPr>
        <w:t xml:space="preserve">, neadekvatno regulisan dijabetes, ketoza, produženo gladovanje i bilo koje drugo stanje </w:t>
      </w:r>
      <w:r w:rsidR="00FC29C3" w:rsidRPr="00257E5C">
        <w:rPr>
          <w:szCs w:val="22"/>
        </w:rPr>
        <w:t>povezano</w:t>
      </w:r>
      <w:r w:rsidRPr="00257E5C">
        <w:rPr>
          <w:szCs w:val="22"/>
        </w:rPr>
        <w:t xml:space="preserve"> sa hipoksijom, kao i istovremeno korišćenje ljekova koji mogu da prouzrokuju laktatnu acidozu (vidjeti djelove 4.3 i 4.5).</w:t>
      </w:r>
    </w:p>
    <w:p w14:paraId="6EEFBEC3" w14:textId="77777777" w:rsidR="00FC29C3" w:rsidRPr="00257E5C" w:rsidRDefault="00FC29C3" w:rsidP="00E25A4C">
      <w:pPr>
        <w:pStyle w:val="Header"/>
        <w:tabs>
          <w:tab w:val="clear" w:pos="4536"/>
          <w:tab w:val="clear" w:pos="9072"/>
          <w:tab w:val="left" w:pos="284"/>
        </w:tabs>
        <w:rPr>
          <w:szCs w:val="22"/>
        </w:rPr>
      </w:pPr>
    </w:p>
    <w:p w14:paraId="7B7E080F" w14:textId="326FFBF9" w:rsidR="00390C16" w:rsidRPr="00257E5C" w:rsidRDefault="004D7069" w:rsidP="00E25A4C">
      <w:pPr>
        <w:pStyle w:val="BodyText"/>
        <w:jc w:val="both"/>
        <w:rPr>
          <w:b w:val="0"/>
          <w:bCs w:val="0"/>
          <w:sz w:val="22"/>
          <w:szCs w:val="22"/>
          <w:lang w:val="sr-Latn-CS"/>
        </w:rPr>
      </w:pPr>
      <w:r w:rsidRPr="00257E5C">
        <w:rPr>
          <w:b w:val="0"/>
          <w:bCs w:val="0"/>
          <w:sz w:val="22"/>
          <w:szCs w:val="22"/>
          <w:lang w:val="sr-Latn-CS"/>
        </w:rPr>
        <w:t>Potrebno je informisati pacijente i/ili osobe koje njeguju pacijente o rizicima od laktatne acidoze. Laktatna acidoza se karakteriše acidoznom dispnejom, abdominalnim bolom, mišićnim grčevima, astenijom i hipotermijom</w:t>
      </w:r>
      <w:r w:rsidR="00FF152B" w:rsidRPr="00257E5C">
        <w:rPr>
          <w:b w:val="0"/>
          <w:bCs w:val="0"/>
          <w:sz w:val="22"/>
          <w:szCs w:val="22"/>
          <w:lang w:val="sr-Latn-CS"/>
        </w:rPr>
        <w:t xml:space="preserve"> koja je </w:t>
      </w:r>
      <w:r w:rsidR="0098305E" w:rsidRPr="00257E5C">
        <w:rPr>
          <w:b w:val="0"/>
          <w:bCs w:val="0"/>
          <w:sz w:val="22"/>
          <w:szCs w:val="22"/>
          <w:lang w:val="sr-Latn-CS"/>
        </w:rPr>
        <w:t>praćen</w:t>
      </w:r>
      <w:r w:rsidR="00FF152B" w:rsidRPr="00257E5C">
        <w:rPr>
          <w:b w:val="0"/>
          <w:bCs w:val="0"/>
          <w:sz w:val="22"/>
          <w:szCs w:val="22"/>
          <w:lang w:val="sr-Latn-CS"/>
        </w:rPr>
        <w:t>a</w:t>
      </w:r>
      <w:r w:rsidR="0098305E" w:rsidRPr="00257E5C">
        <w:rPr>
          <w:b w:val="0"/>
          <w:bCs w:val="0"/>
          <w:sz w:val="22"/>
          <w:szCs w:val="22"/>
          <w:lang w:val="sr-Latn-CS"/>
        </w:rPr>
        <w:t xml:space="preserve"> komom. </w:t>
      </w:r>
      <w:r w:rsidRPr="00257E5C">
        <w:rPr>
          <w:b w:val="0"/>
          <w:bCs w:val="0"/>
          <w:sz w:val="22"/>
          <w:szCs w:val="22"/>
          <w:lang w:val="sr-Latn-CS"/>
        </w:rPr>
        <w:t xml:space="preserve">U slučaju </w:t>
      </w:r>
      <w:r w:rsidR="00FF152B" w:rsidRPr="00257E5C">
        <w:rPr>
          <w:b w:val="0"/>
          <w:bCs w:val="0"/>
          <w:sz w:val="22"/>
          <w:szCs w:val="22"/>
          <w:lang w:val="sr-Latn-CS"/>
        </w:rPr>
        <w:t>sumnje na pojavu ovih simptoma</w:t>
      </w:r>
      <w:r w:rsidRPr="00257E5C">
        <w:rPr>
          <w:b w:val="0"/>
          <w:bCs w:val="0"/>
          <w:sz w:val="22"/>
          <w:szCs w:val="22"/>
          <w:lang w:val="sr-Latn-CS"/>
        </w:rPr>
        <w:t>, pacijent treba da prekine uzimanje metformina i potraži hitnu medicinsku pomoć. Dijagnostički laboratorijski nalazi su: snižen pH krvi (&lt; 7,35), povećane vrijednosti laktata u plazmi (&gt; 5 mmol/l) i povećan</w:t>
      </w:r>
      <w:r w:rsidR="0098305E" w:rsidRPr="00257E5C">
        <w:rPr>
          <w:b w:val="0"/>
          <w:bCs w:val="0"/>
          <w:sz w:val="22"/>
          <w:szCs w:val="22"/>
          <w:lang w:val="sr-Latn-CS"/>
        </w:rPr>
        <w:t xml:space="preserve"> anjonski</w:t>
      </w:r>
      <w:r w:rsidRPr="00257E5C">
        <w:rPr>
          <w:b w:val="0"/>
          <w:bCs w:val="0"/>
          <w:sz w:val="22"/>
          <w:szCs w:val="22"/>
          <w:lang w:val="sr-Latn-CS"/>
        </w:rPr>
        <w:t xml:space="preserve"> </w:t>
      </w:r>
      <w:r w:rsidR="0098305E" w:rsidRPr="00257E5C">
        <w:rPr>
          <w:b w:val="0"/>
          <w:bCs w:val="0"/>
          <w:sz w:val="22"/>
          <w:szCs w:val="22"/>
          <w:lang w:val="sr-Latn-CS"/>
        </w:rPr>
        <w:t xml:space="preserve">„gap“ </w:t>
      </w:r>
      <w:r w:rsidRPr="00257E5C">
        <w:rPr>
          <w:b w:val="0"/>
          <w:bCs w:val="0"/>
          <w:sz w:val="22"/>
          <w:szCs w:val="22"/>
          <w:lang w:val="sr-Latn-CS"/>
        </w:rPr>
        <w:t xml:space="preserve"> i odnos vrijednosti laktata i piruvata. </w:t>
      </w:r>
    </w:p>
    <w:p w14:paraId="2D080FFA" w14:textId="77777777" w:rsidR="00390C16" w:rsidRPr="00257E5C" w:rsidRDefault="00390C16" w:rsidP="00E25A4C">
      <w:pPr>
        <w:pStyle w:val="BodyText"/>
        <w:jc w:val="both"/>
        <w:rPr>
          <w:b w:val="0"/>
          <w:bCs w:val="0"/>
          <w:sz w:val="22"/>
          <w:szCs w:val="22"/>
          <w:u w:val="single"/>
          <w:lang w:val="sr-Latn-CS"/>
        </w:rPr>
      </w:pPr>
    </w:p>
    <w:p w14:paraId="7508E3AD" w14:textId="2703B856" w:rsidR="00390C16" w:rsidRPr="00257E5C" w:rsidRDefault="00390C16" w:rsidP="00E25A4C">
      <w:pPr>
        <w:pStyle w:val="BodyText"/>
        <w:jc w:val="both"/>
        <w:rPr>
          <w:b w:val="0"/>
          <w:bCs w:val="0"/>
          <w:sz w:val="22"/>
          <w:szCs w:val="22"/>
          <w:u w:val="single"/>
          <w:lang w:val="sr-Latn-CS" w:eastAsia="en-US"/>
        </w:rPr>
      </w:pPr>
      <w:r w:rsidRPr="00257E5C">
        <w:rPr>
          <w:b w:val="0"/>
          <w:bCs w:val="0"/>
          <w:sz w:val="22"/>
          <w:szCs w:val="22"/>
          <w:u w:val="single"/>
          <w:lang w:val="sr-Latn-CS" w:eastAsia="en-US"/>
        </w:rPr>
        <w:t xml:space="preserve">Renalna </w:t>
      </w:r>
      <w:r w:rsidR="00B50610" w:rsidRPr="00257E5C">
        <w:rPr>
          <w:b w:val="0"/>
          <w:bCs w:val="0"/>
          <w:sz w:val="22"/>
          <w:szCs w:val="22"/>
          <w:u w:val="single"/>
          <w:lang w:val="sr-Latn-CS" w:eastAsia="en-US"/>
        </w:rPr>
        <w:t>funkcija</w:t>
      </w:r>
    </w:p>
    <w:p w14:paraId="775A127C" w14:textId="77777777" w:rsidR="001E775D" w:rsidRPr="00257E5C" w:rsidRDefault="001E775D" w:rsidP="00E25A4C">
      <w:pPr>
        <w:pStyle w:val="BodyText"/>
        <w:jc w:val="both"/>
        <w:rPr>
          <w:b w:val="0"/>
          <w:bCs w:val="0"/>
          <w:sz w:val="22"/>
          <w:szCs w:val="22"/>
          <w:u w:val="single"/>
          <w:lang w:val="sr-Latn-CS" w:eastAsia="en-US"/>
        </w:rPr>
      </w:pPr>
    </w:p>
    <w:p w14:paraId="39DFE44A" w14:textId="25479004" w:rsidR="00EA6A68" w:rsidRPr="00257E5C" w:rsidRDefault="00EA6A68" w:rsidP="00E25A4C">
      <w:pPr>
        <w:pStyle w:val="BodyText"/>
        <w:jc w:val="both"/>
        <w:rPr>
          <w:b w:val="0"/>
          <w:bCs w:val="0"/>
          <w:sz w:val="22"/>
          <w:szCs w:val="22"/>
          <w:lang w:val="sr-Latn-CS"/>
        </w:rPr>
      </w:pPr>
      <w:r w:rsidRPr="00257E5C">
        <w:rPr>
          <w:b w:val="0"/>
          <w:bCs w:val="0"/>
          <w:sz w:val="22"/>
          <w:szCs w:val="22"/>
          <w:lang w:val="sr-Latn-CS"/>
        </w:rPr>
        <w:t xml:space="preserve">Potrebno je izmjeriti GFR (brzinu glomeluralne filtracije) prije početka liječenja i redovno ga pratiti poslije toga </w:t>
      </w:r>
      <w:r w:rsidR="00FF152B" w:rsidRPr="00257E5C">
        <w:rPr>
          <w:b w:val="0"/>
          <w:bCs w:val="0"/>
          <w:sz w:val="22"/>
          <w:szCs w:val="22"/>
          <w:lang w:val="sr-Latn-CS"/>
        </w:rPr>
        <w:t>(</w:t>
      </w:r>
      <w:r w:rsidRPr="00257E5C">
        <w:rPr>
          <w:b w:val="0"/>
          <w:bCs w:val="0"/>
          <w:sz w:val="22"/>
          <w:szCs w:val="22"/>
          <w:lang w:val="sr-Latn-CS"/>
        </w:rPr>
        <w:t xml:space="preserve">vidjeti </w:t>
      </w:r>
      <w:r w:rsidR="00E23AC9" w:rsidRPr="00257E5C">
        <w:rPr>
          <w:b w:val="0"/>
          <w:bCs w:val="0"/>
          <w:sz w:val="22"/>
          <w:szCs w:val="22"/>
          <w:lang w:val="sr-Latn-CS"/>
        </w:rPr>
        <w:t>dio</w:t>
      </w:r>
      <w:r w:rsidRPr="00257E5C">
        <w:rPr>
          <w:b w:val="0"/>
          <w:bCs w:val="0"/>
          <w:sz w:val="22"/>
          <w:szCs w:val="22"/>
          <w:lang w:val="sr-Latn-CS"/>
        </w:rPr>
        <w:t xml:space="preserve"> 4.2</w:t>
      </w:r>
      <w:r w:rsidR="00FF152B" w:rsidRPr="00257E5C">
        <w:rPr>
          <w:b w:val="0"/>
          <w:bCs w:val="0"/>
          <w:sz w:val="22"/>
          <w:szCs w:val="22"/>
          <w:lang w:val="sr-Latn-CS"/>
        </w:rPr>
        <w:t>)</w:t>
      </w:r>
      <w:r w:rsidRPr="00257E5C">
        <w:rPr>
          <w:b w:val="0"/>
          <w:bCs w:val="0"/>
          <w:sz w:val="22"/>
          <w:szCs w:val="22"/>
          <w:lang w:val="sr-Latn-CS"/>
        </w:rPr>
        <w:t xml:space="preserve">.  Metformin je kontraindikovan kod pacijenata kod kojih je GFR &lt; 30 </w:t>
      </w:r>
      <w:r w:rsidR="003F3CF5" w:rsidRPr="00257E5C">
        <w:rPr>
          <w:b w:val="0"/>
          <w:bCs w:val="0"/>
          <w:sz w:val="22"/>
          <w:szCs w:val="22"/>
          <w:lang w:val="sr-Latn-CS"/>
        </w:rPr>
        <w:t>ml</w:t>
      </w:r>
      <w:r w:rsidRPr="00257E5C">
        <w:rPr>
          <w:b w:val="0"/>
          <w:bCs w:val="0"/>
          <w:sz w:val="22"/>
          <w:szCs w:val="22"/>
          <w:lang w:val="sr-Latn-CS"/>
        </w:rPr>
        <w:t xml:space="preserve">/min i treba da se privremeno obustavi kod stanja koja mijenjaju bubrežnu funkciju </w:t>
      </w:r>
      <w:r w:rsidR="00FF152B" w:rsidRPr="00257E5C">
        <w:rPr>
          <w:b w:val="0"/>
          <w:bCs w:val="0"/>
          <w:sz w:val="22"/>
          <w:szCs w:val="22"/>
          <w:lang w:val="sr-Latn-CS"/>
        </w:rPr>
        <w:t>(</w:t>
      </w:r>
      <w:r w:rsidRPr="00257E5C">
        <w:rPr>
          <w:b w:val="0"/>
          <w:bCs w:val="0"/>
          <w:sz w:val="22"/>
          <w:szCs w:val="22"/>
          <w:lang w:val="sr-Latn-CS"/>
        </w:rPr>
        <w:t>vidjeti dio 4.3</w:t>
      </w:r>
      <w:r w:rsidR="00FF152B" w:rsidRPr="00257E5C">
        <w:rPr>
          <w:b w:val="0"/>
          <w:bCs w:val="0"/>
          <w:sz w:val="22"/>
          <w:szCs w:val="22"/>
          <w:lang w:val="sr-Latn-CS"/>
        </w:rPr>
        <w:t>)</w:t>
      </w:r>
      <w:r w:rsidRPr="00257E5C">
        <w:rPr>
          <w:b w:val="0"/>
          <w:bCs w:val="0"/>
          <w:sz w:val="22"/>
          <w:szCs w:val="22"/>
          <w:lang w:val="sr-Latn-CS"/>
        </w:rPr>
        <w:t>.</w:t>
      </w:r>
    </w:p>
    <w:p w14:paraId="7CED2BD3" w14:textId="03D7930B" w:rsidR="00137369" w:rsidRPr="00257E5C" w:rsidRDefault="00137369" w:rsidP="00E25A4C">
      <w:pPr>
        <w:pStyle w:val="Header"/>
        <w:tabs>
          <w:tab w:val="clear" w:pos="4536"/>
          <w:tab w:val="clear" w:pos="9072"/>
          <w:tab w:val="left" w:pos="284"/>
        </w:tabs>
        <w:rPr>
          <w:szCs w:val="22"/>
        </w:rPr>
      </w:pPr>
    </w:p>
    <w:p w14:paraId="0030B251" w14:textId="0EAABD49" w:rsidR="00161D6E" w:rsidRPr="00257E5C" w:rsidRDefault="00161D6E" w:rsidP="00E25A4C">
      <w:pPr>
        <w:pStyle w:val="Header"/>
        <w:tabs>
          <w:tab w:val="clear" w:pos="4536"/>
          <w:tab w:val="clear" w:pos="9072"/>
          <w:tab w:val="left" w:pos="284"/>
        </w:tabs>
        <w:rPr>
          <w:szCs w:val="22"/>
        </w:rPr>
      </w:pPr>
    </w:p>
    <w:p w14:paraId="472C3FA9" w14:textId="77777777" w:rsidR="00161D6E" w:rsidRPr="00257E5C" w:rsidRDefault="00161D6E" w:rsidP="00E25A4C">
      <w:pPr>
        <w:pStyle w:val="Header"/>
        <w:tabs>
          <w:tab w:val="clear" w:pos="4536"/>
          <w:tab w:val="clear" w:pos="9072"/>
          <w:tab w:val="left" w:pos="284"/>
        </w:tabs>
        <w:rPr>
          <w:szCs w:val="22"/>
        </w:rPr>
      </w:pPr>
    </w:p>
    <w:p w14:paraId="4A7C2C38" w14:textId="77777777" w:rsidR="00390C16" w:rsidRPr="00257E5C" w:rsidRDefault="00390C16" w:rsidP="00E25A4C">
      <w:pPr>
        <w:rPr>
          <w:szCs w:val="22"/>
          <w:u w:val="single"/>
        </w:rPr>
      </w:pPr>
      <w:r w:rsidRPr="00257E5C">
        <w:rPr>
          <w:szCs w:val="22"/>
          <w:u w:val="single"/>
        </w:rPr>
        <w:lastRenderedPageBreak/>
        <w:t>Srčana funkcija</w:t>
      </w:r>
    </w:p>
    <w:p w14:paraId="17E54D20" w14:textId="77777777" w:rsidR="00390C16" w:rsidRPr="00257E5C" w:rsidRDefault="00390C16" w:rsidP="00E25A4C">
      <w:pPr>
        <w:rPr>
          <w:szCs w:val="22"/>
        </w:rPr>
      </w:pPr>
    </w:p>
    <w:p w14:paraId="6F785AC7" w14:textId="779B70C7" w:rsidR="00CC63A8" w:rsidRPr="00257E5C" w:rsidRDefault="00CC63A8" w:rsidP="00E25A4C">
      <w:pPr>
        <w:rPr>
          <w:szCs w:val="22"/>
        </w:rPr>
      </w:pPr>
      <w:r w:rsidRPr="00257E5C">
        <w:rPr>
          <w:szCs w:val="22"/>
        </w:rPr>
        <w:t xml:space="preserve">Pacijenti sa srčanom insuficijencijom imaju veći rizik od nastanka hipoksije i renalne insuficijencije. Kod pacijenata sa stabilnom hroničnom srčanom insuficijencijom, </w:t>
      </w:r>
      <w:r w:rsidR="00BB1561" w:rsidRPr="00257E5C">
        <w:rPr>
          <w:szCs w:val="22"/>
        </w:rPr>
        <w:t xml:space="preserve">metformin se može koristiti uz redovno </w:t>
      </w:r>
      <w:r w:rsidR="00452AFA" w:rsidRPr="00257E5C">
        <w:rPr>
          <w:szCs w:val="22"/>
        </w:rPr>
        <w:t xml:space="preserve">praćenje </w:t>
      </w:r>
      <w:r w:rsidR="00BB1561" w:rsidRPr="00257E5C">
        <w:rPr>
          <w:szCs w:val="22"/>
        </w:rPr>
        <w:t xml:space="preserve">srčane i renalne funkcije.  </w:t>
      </w:r>
    </w:p>
    <w:p w14:paraId="478479BD" w14:textId="77777777" w:rsidR="00BB1561" w:rsidRPr="00257E5C" w:rsidRDefault="00BB1561" w:rsidP="00E25A4C">
      <w:pPr>
        <w:rPr>
          <w:szCs w:val="22"/>
        </w:rPr>
      </w:pPr>
    </w:p>
    <w:p w14:paraId="773F7C06" w14:textId="0FA6531C" w:rsidR="00CC63A8" w:rsidRPr="00257E5C" w:rsidRDefault="00BB1561" w:rsidP="00E25A4C">
      <w:pPr>
        <w:rPr>
          <w:szCs w:val="22"/>
        </w:rPr>
      </w:pPr>
      <w:r w:rsidRPr="00257E5C">
        <w:rPr>
          <w:szCs w:val="22"/>
        </w:rPr>
        <w:t>Metformin je kontraindikovan kod</w:t>
      </w:r>
      <w:r w:rsidR="00CC63A8" w:rsidRPr="00257E5C">
        <w:rPr>
          <w:szCs w:val="22"/>
        </w:rPr>
        <w:t xml:space="preserve"> </w:t>
      </w:r>
      <w:r w:rsidR="00452AFA" w:rsidRPr="00257E5C">
        <w:rPr>
          <w:szCs w:val="22"/>
        </w:rPr>
        <w:t xml:space="preserve">pacijenata </w:t>
      </w:r>
      <w:r w:rsidR="00CC63A8" w:rsidRPr="00257E5C">
        <w:rPr>
          <w:szCs w:val="22"/>
        </w:rPr>
        <w:t xml:space="preserve">sa akutnom i nestabilnom </w:t>
      </w:r>
      <w:r w:rsidRPr="00257E5C">
        <w:rPr>
          <w:szCs w:val="22"/>
        </w:rPr>
        <w:t xml:space="preserve">srčanom </w:t>
      </w:r>
      <w:r w:rsidR="00CC63A8" w:rsidRPr="00257E5C">
        <w:rPr>
          <w:szCs w:val="22"/>
        </w:rPr>
        <w:t>insuficijenc</w:t>
      </w:r>
      <w:r w:rsidRPr="00257E5C">
        <w:rPr>
          <w:szCs w:val="22"/>
        </w:rPr>
        <w:t xml:space="preserve">ijom (vidjeti </w:t>
      </w:r>
      <w:r w:rsidR="00E23AC9" w:rsidRPr="00257E5C">
        <w:rPr>
          <w:szCs w:val="22"/>
        </w:rPr>
        <w:t>dio</w:t>
      </w:r>
      <w:r w:rsidR="00CC63A8" w:rsidRPr="00257E5C">
        <w:rPr>
          <w:szCs w:val="22"/>
        </w:rPr>
        <w:t xml:space="preserve"> 4.3). </w:t>
      </w:r>
    </w:p>
    <w:p w14:paraId="1C78D22A" w14:textId="013362BB" w:rsidR="00CC63A8" w:rsidRPr="00257E5C" w:rsidRDefault="00CC63A8" w:rsidP="00E25A4C">
      <w:pPr>
        <w:rPr>
          <w:szCs w:val="22"/>
        </w:rPr>
      </w:pPr>
    </w:p>
    <w:p w14:paraId="0703CBF2" w14:textId="203BBC30" w:rsidR="00CE7891" w:rsidRPr="00257E5C" w:rsidRDefault="00CE7891" w:rsidP="00E25A4C">
      <w:pPr>
        <w:rPr>
          <w:szCs w:val="22"/>
          <w:u w:val="single"/>
        </w:rPr>
      </w:pPr>
      <w:bookmarkStart w:id="8" w:name="_Hlk499197042"/>
      <w:r w:rsidRPr="00257E5C">
        <w:rPr>
          <w:szCs w:val="22"/>
          <w:u w:val="single"/>
        </w:rPr>
        <w:t>Stari pacijenti:</w:t>
      </w:r>
    </w:p>
    <w:p w14:paraId="2EAF4A17" w14:textId="77777777" w:rsidR="00137369" w:rsidRPr="00257E5C" w:rsidRDefault="00137369" w:rsidP="00E25A4C">
      <w:pPr>
        <w:rPr>
          <w:szCs w:val="22"/>
          <w:u w:val="single"/>
        </w:rPr>
      </w:pPr>
    </w:p>
    <w:p w14:paraId="37B3B950" w14:textId="1CDE6DDF" w:rsidR="00CE7891" w:rsidRPr="00257E5C" w:rsidRDefault="00CE7891" w:rsidP="00E25A4C">
      <w:pPr>
        <w:rPr>
          <w:szCs w:val="22"/>
        </w:rPr>
      </w:pPr>
      <w:r w:rsidRPr="00257E5C">
        <w:rPr>
          <w:szCs w:val="22"/>
        </w:rPr>
        <w:t xml:space="preserve">Uslijed ograničenih podataka o terapijskoj efikasnosti kod smanjenja rizika ili odlaganja pojave dijabetes melitusa </w:t>
      </w:r>
      <w:r w:rsidR="00884CB7" w:rsidRPr="00257E5C">
        <w:rPr>
          <w:szCs w:val="22"/>
        </w:rPr>
        <w:t xml:space="preserve">tipa 2 </w:t>
      </w:r>
      <w:r w:rsidRPr="00257E5C">
        <w:rPr>
          <w:szCs w:val="22"/>
        </w:rPr>
        <w:t xml:space="preserve">kod pacijenata od 75 godina i starijih, </w:t>
      </w:r>
      <w:bookmarkStart w:id="9" w:name="_Hlk497741548"/>
      <w:r w:rsidRPr="00257E5C">
        <w:rPr>
          <w:szCs w:val="22"/>
        </w:rPr>
        <w:t xml:space="preserve">započinjanje terapije metforminom </w:t>
      </w:r>
      <w:bookmarkEnd w:id="9"/>
      <w:r w:rsidRPr="00257E5C">
        <w:rPr>
          <w:szCs w:val="22"/>
        </w:rPr>
        <w:t>se ne preporučuje kod ovih pacijenata.</w:t>
      </w:r>
    </w:p>
    <w:bookmarkEnd w:id="8"/>
    <w:p w14:paraId="56B07402" w14:textId="77777777" w:rsidR="00390C16" w:rsidRPr="00257E5C" w:rsidRDefault="00390C16" w:rsidP="00E25A4C">
      <w:pPr>
        <w:pStyle w:val="Header"/>
        <w:tabs>
          <w:tab w:val="clear" w:pos="4536"/>
          <w:tab w:val="clear" w:pos="9072"/>
          <w:tab w:val="left" w:pos="284"/>
        </w:tabs>
        <w:rPr>
          <w:szCs w:val="22"/>
        </w:rPr>
      </w:pPr>
    </w:p>
    <w:p w14:paraId="4A5F4A31" w14:textId="6D60A221" w:rsidR="00390C16" w:rsidRPr="00257E5C" w:rsidRDefault="00390C16" w:rsidP="00E25A4C">
      <w:pPr>
        <w:pStyle w:val="BodyText"/>
        <w:jc w:val="both"/>
        <w:rPr>
          <w:b w:val="0"/>
          <w:bCs w:val="0"/>
          <w:sz w:val="22"/>
          <w:szCs w:val="22"/>
          <w:u w:val="single"/>
          <w:lang w:val="sr-Latn-CS" w:eastAsia="en-US"/>
        </w:rPr>
      </w:pPr>
      <w:r w:rsidRPr="00257E5C">
        <w:rPr>
          <w:b w:val="0"/>
          <w:bCs w:val="0"/>
          <w:sz w:val="22"/>
          <w:szCs w:val="22"/>
          <w:u w:val="single"/>
          <w:lang w:val="sr-Latn-CS" w:eastAsia="en-US"/>
        </w:rPr>
        <w:t>Prim</w:t>
      </w:r>
      <w:r w:rsidR="00117458" w:rsidRPr="00257E5C">
        <w:rPr>
          <w:b w:val="0"/>
          <w:bCs w:val="0"/>
          <w:sz w:val="22"/>
          <w:szCs w:val="22"/>
          <w:u w:val="single"/>
          <w:lang w:val="sr-Latn-CS" w:eastAsia="en-US"/>
        </w:rPr>
        <w:t>j</w:t>
      </w:r>
      <w:r w:rsidRPr="00257E5C">
        <w:rPr>
          <w:b w:val="0"/>
          <w:bCs w:val="0"/>
          <w:sz w:val="22"/>
          <w:szCs w:val="22"/>
          <w:u w:val="single"/>
          <w:lang w:val="sr-Latn-CS" w:eastAsia="en-US"/>
        </w:rPr>
        <w:t>ena</w:t>
      </w:r>
      <w:r w:rsidR="00B50610" w:rsidRPr="00257E5C">
        <w:rPr>
          <w:b w:val="0"/>
          <w:bCs w:val="0"/>
          <w:sz w:val="22"/>
          <w:szCs w:val="22"/>
          <w:u w:val="single"/>
          <w:lang w:val="sr-Latn-CS" w:eastAsia="en-US"/>
        </w:rPr>
        <w:t xml:space="preserve"> kontrastnih sredstava sa jodom</w:t>
      </w:r>
    </w:p>
    <w:p w14:paraId="44AE0EFF" w14:textId="77777777" w:rsidR="00390C16" w:rsidRPr="00257E5C" w:rsidRDefault="00390C16" w:rsidP="00E25A4C">
      <w:pPr>
        <w:pStyle w:val="BodyText"/>
        <w:jc w:val="both"/>
        <w:rPr>
          <w:b w:val="0"/>
          <w:bCs w:val="0"/>
          <w:sz w:val="22"/>
          <w:szCs w:val="22"/>
          <w:lang w:val="sr-Latn-CS" w:eastAsia="en-US"/>
        </w:rPr>
      </w:pPr>
    </w:p>
    <w:p w14:paraId="579F4B03" w14:textId="18384E56" w:rsidR="00C76BF9" w:rsidRPr="00257E5C" w:rsidRDefault="00C76BF9" w:rsidP="00E25A4C">
      <w:pPr>
        <w:pStyle w:val="BodyText"/>
        <w:jc w:val="both"/>
        <w:rPr>
          <w:b w:val="0"/>
          <w:bCs w:val="0"/>
          <w:sz w:val="22"/>
          <w:szCs w:val="22"/>
          <w:lang w:val="sr-Latn-CS" w:eastAsia="en-US"/>
        </w:rPr>
      </w:pPr>
      <w:r w:rsidRPr="00257E5C">
        <w:rPr>
          <w:b w:val="0"/>
          <w:bCs w:val="0"/>
          <w:sz w:val="22"/>
          <w:szCs w:val="22"/>
          <w:lang w:val="sr-Latn-CS" w:eastAsia="en-US"/>
        </w:rPr>
        <w:t>Intravaskularna primjena kontrastnih sredstava sa jodom može dovesti do kontrastom indukovane nefropatije, što može izazvati akumulacij</w:t>
      </w:r>
      <w:r w:rsidR="00884CB7" w:rsidRPr="00257E5C">
        <w:rPr>
          <w:b w:val="0"/>
          <w:bCs w:val="0"/>
          <w:sz w:val="22"/>
          <w:szCs w:val="22"/>
          <w:lang w:val="sr-Latn-CS" w:eastAsia="en-US"/>
        </w:rPr>
        <w:t>u</w:t>
      </w:r>
      <w:r w:rsidRPr="00257E5C">
        <w:rPr>
          <w:b w:val="0"/>
          <w:bCs w:val="0"/>
          <w:sz w:val="22"/>
          <w:szCs w:val="22"/>
          <w:lang w:val="sr-Latn-CS" w:eastAsia="en-US"/>
        </w:rPr>
        <w:t xml:space="preserve"> metformina i povećan rizik od nastanka laktatne acidoze. Uzimanje metformina treba prekinuti prije</w:t>
      </w:r>
      <w:r w:rsidR="00A7319C" w:rsidRPr="00257E5C">
        <w:rPr>
          <w:b w:val="0"/>
          <w:bCs w:val="0"/>
          <w:sz w:val="22"/>
          <w:szCs w:val="22"/>
          <w:lang w:val="sr-Latn-CS" w:eastAsia="en-US"/>
        </w:rPr>
        <w:t xml:space="preserve"> ili</w:t>
      </w:r>
      <w:r w:rsidRPr="00257E5C">
        <w:rPr>
          <w:b w:val="0"/>
          <w:bCs w:val="0"/>
          <w:sz w:val="22"/>
          <w:szCs w:val="22"/>
          <w:lang w:val="sr-Latn-CS" w:eastAsia="en-US"/>
        </w:rPr>
        <w:t xml:space="preserve"> za vrijeme snimanja, i ne treba ga ponovo uzimati najmanje 48 sati nakon snimanja, a uvesti ga ponovo u terapiju tek nakon reevaluacije renalne funkcije i potvrde da je renalna funkcija normalna </w:t>
      </w:r>
      <w:r w:rsidR="00452AFA" w:rsidRPr="00257E5C">
        <w:rPr>
          <w:b w:val="0"/>
          <w:bCs w:val="0"/>
          <w:sz w:val="22"/>
          <w:szCs w:val="22"/>
          <w:lang w:val="sr-Latn-CS" w:eastAsia="en-US"/>
        </w:rPr>
        <w:t>(</w:t>
      </w:r>
      <w:r w:rsidRPr="00257E5C">
        <w:rPr>
          <w:b w:val="0"/>
          <w:bCs w:val="0"/>
          <w:sz w:val="22"/>
          <w:szCs w:val="22"/>
          <w:lang w:val="sr-Latn-CS" w:eastAsia="en-US"/>
        </w:rPr>
        <w:t>vidjeti djelove 4.2 i  4.5</w:t>
      </w:r>
      <w:r w:rsidR="00452AFA" w:rsidRPr="00257E5C">
        <w:rPr>
          <w:b w:val="0"/>
          <w:bCs w:val="0"/>
          <w:sz w:val="22"/>
          <w:szCs w:val="22"/>
          <w:lang w:val="sr-Latn-CS" w:eastAsia="en-US"/>
        </w:rPr>
        <w:t>)</w:t>
      </w:r>
      <w:r w:rsidRPr="00257E5C">
        <w:rPr>
          <w:b w:val="0"/>
          <w:bCs w:val="0"/>
          <w:sz w:val="22"/>
          <w:szCs w:val="22"/>
          <w:lang w:val="sr-Latn-CS" w:eastAsia="en-US"/>
        </w:rPr>
        <w:t>.</w:t>
      </w:r>
    </w:p>
    <w:p w14:paraId="3DAA1F60" w14:textId="77777777" w:rsidR="00390C16" w:rsidRPr="00257E5C" w:rsidRDefault="00390C16" w:rsidP="00E25A4C">
      <w:pPr>
        <w:pStyle w:val="BodyText"/>
        <w:jc w:val="both"/>
        <w:rPr>
          <w:b w:val="0"/>
          <w:bCs w:val="0"/>
          <w:sz w:val="22"/>
          <w:szCs w:val="22"/>
          <w:u w:val="single"/>
          <w:lang w:val="sr-Latn-CS" w:eastAsia="en-US"/>
        </w:rPr>
      </w:pPr>
    </w:p>
    <w:p w14:paraId="42827D77" w14:textId="2C1EBDAD" w:rsidR="00390C16" w:rsidRPr="00257E5C" w:rsidRDefault="00B50610" w:rsidP="00E25A4C">
      <w:pPr>
        <w:pStyle w:val="BodyText"/>
        <w:jc w:val="both"/>
        <w:rPr>
          <w:b w:val="0"/>
          <w:bCs w:val="0"/>
          <w:sz w:val="22"/>
          <w:szCs w:val="22"/>
          <w:u w:val="single"/>
          <w:lang w:val="sr-Latn-CS" w:eastAsia="en-US"/>
        </w:rPr>
      </w:pPr>
      <w:r w:rsidRPr="00257E5C">
        <w:rPr>
          <w:b w:val="0"/>
          <w:bCs w:val="0"/>
          <w:sz w:val="22"/>
          <w:szCs w:val="22"/>
          <w:u w:val="single"/>
          <w:lang w:val="sr-Latn-CS" w:eastAsia="en-US"/>
        </w:rPr>
        <w:t>Operacija</w:t>
      </w:r>
    </w:p>
    <w:p w14:paraId="18DB0C99" w14:textId="77777777" w:rsidR="00705B56" w:rsidRPr="00257E5C" w:rsidRDefault="00705B56" w:rsidP="00E25A4C">
      <w:pPr>
        <w:pStyle w:val="BodyText"/>
        <w:jc w:val="both"/>
        <w:rPr>
          <w:b w:val="0"/>
          <w:bCs w:val="0"/>
          <w:sz w:val="22"/>
          <w:szCs w:val="22"/>
          <w:u w:val="single"/>
          <w:lang w:val="sr-Latn-CS" w:eastAsia="en-US"/>
        </w:rPr>
      </w:pPr>
    </w:p>
    <w:p w14:paraId="23142509" w14:textId="57D85EC2" w:rsidR="00390C16" w:rsidRPr="00257E5C" w:rsidRDefault="002430AC" w:rsidP="00E25A4C">
      <w:pPr>
        <w:pStyle w:val="BodyText"/>
        <w:jc w:val="both"/>
        <w:rPr>
          <w:b w:val="0"/>
          <w:bCs w:val="0"/>
          <w:sz w:val="22"/>
          <w:szCs w:val="22"/>
          <w:lang w:val="sr-Latn-CS" w:eastAsia="en-US"/>
        </w:rPr>
      </w:pPr>
      <w:r w:rsidRPr="00257E5C">
        <w:rPr>
          <w:b w:val="0"/>
          <w:bCs w:val="0"/>
          <w:sz w:val="22"/>
          <w:szCs w:val="22"/>
          <w:lang w:val="sr-Latn-CS" w:eastAsia="en-US"/>
        </w:rPr>
        <w:t xml:space="preserve">Metformin treba isključiti iz upotrebe </w:t>
      </w:r>
      <w:r w:rsidR="006D6AC6" w:rsidRPr="00257E5C">
        <w:rPr>
          <w:b w:val="0"/>
          <w:bCs w:val="0"/>
          <w:sz w:val="22"/>
          <w:szCs w:val="22"/>
          <w:lang w:val="sr-Latn-CS" w:eastAsia="en-US"/>
        </w:rPr>
        <w:t>u</w:t>
      </w:r>
      <w:r w:rsidR="00705B56" w:rsidRPr="00257E5C">
        <w:rPr>
          <w:b w:val="0"/>
          <w:bCs w:val="0"/>
          <w:sz w:val="22"/>
          <w:szCs w:val="22"/>
          <w:lang w:val="sr-Latn-CS" w:eastAsia="en-US"/>
        </w:rPr>
        <w:t xml:space="preserve"> vrijeme operacije u opštoj, spinalnoj ili epiduralnoj anesteziji.  Liječenje ne treba ponovo započinjati</w:t>
      </w:r>
      <w:r w:rsidR="006D6AC6" w:rsidRPr="00257E5C">
        <w:rPr>
          <w:b w:val="0"/>
          <w:bCs w:val="0"/>
          <w:sz w:val="22"/>
          <w:szCs w:val="22"/>
          <w:lang w:val="sr-Latn-CS" w:eastAsia="en-US"/>
        </w:rPr>
        <w:t xml:space="preserve"> prije nego što prođe 48 sati poslije</w:t>
      </w:r>
      <w:r w:rsidR="00705B56" w:rsidRPr="00257E5C">
        <w:rPr>
          <w:b w:val="0"/>
          <w:bCs w:val="0"/>
          <w:sz w:val="22"/>
          <w:szCs w:val="22"/>
          <w:lang w:val="sr-Latn-CS" w:eastAsia="en-US"/>
        </w:rPr>
        <w:t xml:space="preserve"> operacije</w:t>
      </w:r>
      <w:r w:rsidR="00884CB7" w:rsidRPr="00257E5C">
        <w:rPr>
          <w:b w:val="0"/>
          <w:bCs w:val="0"/>
          <w:sz w:val="22"/>
          <w:szCs w:val="22"/>
          <w:lang w:val="sr-Latn-CS" w:eastAsia="en-US"/>
        </w:rPr>
        <w:t xml:space="preserve"> </w:t>
      </w:r>
      <w:r w:rsidR="00705B56" w:rsidRPr="00257E5C">
        <w:rPr>
          <w:b w:val="0"/>
          <w:bCs w:val="0"/>
          <w:sz w:val="22"/>
          <w:szCs w:val="22"/>
          <w:lang w:val="sr-Latn-CS" w:eastAsia="en-US"/>
        </w:rPr>
        <w:t xml:space="preserve">ili do ponovnog uspostavljanja unosa hrane oralnim putem </w:t>
      </w:r>
      <w:r w:rsidR="00452AFA" w:rsidRPr="00257E5C">
        <w:rPr>
          <w:b w:val="0"/>
          <w:bCs w:val="0"/>
          <w:sz w:val="22"/>
          <w:szCs w:val="22"/>
          <w:lang w:val="sr-Latn-CS" w:eastAsia="en-US"/>
        </w:rPr>
        <w:t>pod uslovom da je proc</w:t>
      </w:r>
      <w:r w:rsidR="00884CB7" w:rsidRPr="00257E5C">
        <w:rPr>
          <w:b w:val="0"/>
          <w:bCs w:val="0"/>
          <w:sz w:val="22"/>
          <w:szCs w:val="22"/>
          <w:lang w:val="sr-Latn-CS" w:eastAsia="en-US"/>
        </w:rPr>
        <w:t>i</w:t>
      </w:r>
      <w:r w:rsidR="00452AFA" w:rsidRPr="00257E5C">
        <w:rPr>
          <w:b w:val="0"/>
          <w:bCs w:val="0"/>
          <w:sz w:val="22"/>
          <w:szCs w:val="22"/>
          <w:lang w:val="sr-Latn-CS" w:eastAsia="en-US"/>
        </w:rPr>
        <w:t>jenjena funkcija bubrega i da je utvrđeno da je stabilna</w:t>
      </w:r>
      <w:r w:rsidR="00705B56" w:rsidRPr="00257E5C">
        <w:rPr>
          <w:b w:val="0"/>
          <w:bCs w:val="0"/>
          <w:sz w:val="22"/>
          <w:szCs w:val="22"/>
          <w:lang w:val="sr-Latn-CS" w:eastAsia="en-US"/>
        </w:rPr>
        <w:t>.</w:t>
      </w:r>
    </w:p>
    <w:p w14:paraId="0B644C18" w14:textId="77777777" w:rsidR="00390C16" w:rsidRPr="00257E5C" w:rsidRDefault="00390C16" w:rsidP="00E25A4C">
      <w:pPr>
        <w:pStyle w:val="Header"/>
        <w:tabs>
          <w:tab w:val="clear" w:pos="4536"/>
          <w:tab w:val="clear" w:pos="9072"/>
          <w:tab w:val="left" w:pos="284"/>
        </w:tabs>
        <w:rPr>
          <w:szCs w:val="22"/>
        </w:rPr>
      </w:pPr>
    </w:p>
    <w:p w14:paraId="21C7F708" w14:textId="743501D3" w:rsidR="00390C16" w:rsidRPr="00257E5C" w:rsidRDefault="00390C16" w:rsidP="00E25A4C">
      <w:pPr>
        <w:rPr>
          <w:szCs w:val="22"/>
          <w:u w:val="single"/>
        </w:rPr>
      </w:pPr>
      <w:r w:rsidRPr="00257E5C">
        <w:rPr>
          <w:szCs w:val="22"/>
          <w:u w:val="single"/>
        </w:rPr>
        <w:t>Ostale m</w:t>
      </w:r>
      <w:r w:rsidR="00117458" w:rsidRPr="00257E5C">
        <w:rPr>
          <w:szCs w:val="22"/>
          <w:u w:val="single"/>
        </w:rPr>
        <w:t>j</w:t>
      </w:r>
      <w:r w:rsidRPr="00257E5C">
        <w:rPr>
          <w:szCs w:val="22"/>
          <w:u w:val="single"/>
        </w:rPr>
        <w:t>ere opreza:</w:t>
      </w:r>
    </w:p>
    <w:p w14:paraId="7D6C050E" w14:textId="77777777" w:rsidR="00A87FCC" w:rsidRPr="00257E5C" w:rsidRDefault="00A87FCC" w:rsidP="00E25A4C">
      <w:pPr>
        <w:rPr>
          <w:szCs w:val="22"/>
          <w:u w:val="single"/>
        </w:rPr>
      </w:pPr>
    </w:p>
    <w:p w14:paraId="58581915" w14:textId="6D678ABB" w:rsidR="00A87FCC" w:rsidRPr="00257E5C" w:rsidRDefault="00A87FCC" w:rsidP="00E25A4C">
      <w:pPr>
        <w:rPr>
          <w:szCs w:val="22"/>
        </w:rPr>
      </w:pPr>
      <w:r w:rsidRPr="00257E5C">
        <w:rPr>
          <w:szCs w:val="22"/>
        </w:rPr>
        <w:t>Svi pacijenti treba da nastave sa svojim režimom ishrane koji uključuje ravnomjeran raspored unosa ugljenih hidrata u toku dana.</w:t>
      </w:r>
      <w:r w:rsidR="00500F36" w:rsidRPr="00257E5C">
        <w:rPr>
          <w:szCs w:val="22"/>
        </w:rPr>
        <w:t xml:space="preserve"> </w:t>
      </w:r>
      <w:r w:rsidR="00A43FFA" w:rsidRPr="00257E5C">
        <w:rPr>
          <w:szCs w:val="22"/>
        </w:rPr>
        <w:t>P</w:t>
      </w:r>
      <w:r w:rsidR="00500F36" w:rsidRPr="00257E5C">
        <w:rPr>
          <w:szCs w:val="22"/>
        </w:rPr>
        <w:t>acijenti</w:t>
      </w:r>
      <w:r w:rsidR="00A43FFA" w:rsidRPr="00257E5C">
        <w:rPr>
          <w:szCs w:val="22"/>
        </w:rPr>
        <w:t xml:space="preserve"> sa p</w:t>
      </w:r>
      <w:r w:rsidR="00245891" w:rsidRPr="00257E5C">
        <w:rPr>
          <w:szCs w:val="22"/>
        </w:rPr>
        <w:t>rekomjern</w:t>
      </w:r>
      <w:r w:rsidR="00A43FFA" w:rsidRPr="00257E5C">
        <w:rPr>
          <w:szCs w:val="22"/>
        </w:rPr>
        <w:t>om tjelesnom masom</w:t>
      </w:r>
      <w:r w:rsidRPr="00257E5C">
        <w:rPr>
          <w:szCs w:val="22"/>
        </w:rPr>
        <w:t xml:space="preserve"> treba da nastave sa svojom niskokalorijskom dijetom. </w:t>
      </w:r>
    </w:p>
    <w:p w14:paraId="18A6CDED" w14:textId="77777777" w:rsidR="002B07CB" w:rsidRPr="00257E5C" w:rsidRDefault="002B07CB" w:rsidP="00E25A4C">
      <w:pPr>
        <w:rPr>
          <w:szCs w:val="22"/>
        </w:rPr>
      </w:pPr>
    </w:p>
    <w:p w14:paraId="50C6C687" w14:textId="698684DA" w:rsidR="00F06711" w:rsidRPr="00257E5C" w:rsidRDefault="00390C16" w:rsidP="00E25A4C">
      <w:pPr>
        <w:rPr>
          <w:szCs w:val="22"/>
        </w:rPr>
      </w:pPr>
      <w:r w:rsidRPr="00257E5C">
        <w:rPr>
          <w:szCs w:val="22"/>
        </w:rPr>
        <w:t xml:space="preserve">Dijabetes </w:t>
      </w:r>
      <w:r w:rsidR="00E44884" w:rsidRPr="00257E5C">
        <w:rPr>
          <w:szCs w:val="22"/>
        </w:rPr>
        <w:t xml:space="preserve">treba redovno </w:t>
      </w:r>
      <w:r w:rsidR="001A6DF3" w:rsidRPr="00257E5C">
        <w:rPr>
          <w:szCs w:val="22"/>
        </w:rPr>
        <w:t xml:space="preserve">pratiti </w:t>
      </w:r>
      <w:r w:rsidRPr="00257E5C">
        <w:rPr>
          <w:szCs w:val="22"/>
        </w:rPr>
        <w:t>uobičajenim laboratorijskim testovima.</w:t>
      </w:r>
    </w:p>
    <w:p w14:paraId="43D51C02" w14:textId="77777777" w:rsidR="00F06711" w:rsidRPr="00257E5C" w:rsidRDefault="00F06711" w:rsidP="00E25A4C">
      <w:pPr>
        <w:rPr>
          <w:szCs w:val="22"/>
        </w:rPr>
      </w:pPr>
    </w:p>
    <w:p w14:paraId="2C474468" w14:textId="64E373BC" w:rsidR="00E44884" w:rsidRPr="00257E5C" w:rsidRDefault="00393E1D" w:rsidP="00E25A4C">
      <w:pPr>
        <w:rPr>
          <w:szCs w:val="22"/>
        </w:rPr>
      </w:pPr>
      <w:r w:rsidRPr="00257E5C">
        <w:rPr>
          <w:szCs w:val="22"/>
        </w:rPr>
        <w:t>Metformin može da smanji nivoe vitamina B12 u serumu</w:t>
      </w:r>
      <w:r w:rsidR="00884CB7" w:rsidRPr="00257E5C">
        <w:rPr>
          <w:szCs w:val="22"/>
        </w:rPr>
        <w:t xml:space="preserve">. </w:t>
      </w:r>
      <w:r w:rsidR="00F06711" w:rsidRPr="00257E5C">
        <w:rPr>
          <w:szCs w:val="22"/>
        </w:rPr>
        <w:t xml:space="preserve">Rizik od </w:t>
      </w:r>
      <w:r w:rsidR="001A6DF3" w:rsidRPr="00257E5C">
        <w:rPr>
          <w:szCs w:val="22"/>
        </w:rPr>
        <w:t xml:space="preserve">nastanka </w:t>
      </w:r>
      <w:r w:rsidR="00F06711" w:rsidRPr="00257E5C">
        <w:rPr>
          <w:szCs w:val="22"/>
        </w:rPr>
        <w:t xml:space="preserve">niskog nivoa vitamina B12 povećava se sa povećanjem doze metformina, trajanjem liječenja i/ili kod pacijenata sa faktorima rizika za koje je poznato da uzrokuju nedostatak vitamina B12. U slučaju sumnje na nedostatak vitamina B12 (kao što je anemija ili neuropatija), treba pratiti nivoe vitamina B12 u serumu. Periodično praćenje vitamina B12 u serumu može biti potrebno kod pacijenata sa faktorima rizika za nedostatak vitamina B12. Terapiju metforminom treba nastaviti sve dok se dobro podnosi i </w:t>
      </w:r>
      <w:r w:rsidR="001A6DF3" w:rsidRPr="00257E5C">
        <w:rPr>
          <w:szCs w:val="22"/>
        </w:rPr>
        <w:t>nije kontraindikovana</w:t>
      </w:r>
      <w:r w:rsidR="00F06711" w:rsidRPr="00257E5C">
        <w:rPr>
          <w:szCs w:val="22"/>
        </w:rPr>
        <w:t>, a nedostatak vitamina B12 treba liječiti adekvatnom korektivnom terapijom u skladu sa važećim smjernicama.</w:t>
      </w:r>
    </w:p>
    <w:p w14:paraId="4983034A" w14:textId="77777777" w:rsidR="00E44884" w:rsidRPr="00257E5C" w:rsidRDefault="00E44884" w:rsidP="00E25A4C">
      <w:pPr>
        <w:rPr>
          <w:szCs w:val="22"/>
        </w:rPr>
      </w:pPr>
    </w:p>
    <w:p w14:paraId="129B90BB" w14:textId="0B71C5F4" w:rsidR="00390C16" w:rsidRPr="00257E5C" w:rsidRDefault="00390C16" w:rsidP="00E25A4C">
      <w:pPr>
        <w:rPr>
          <w:szCs w:val="22"/>
        </w:rPr>
      </w:pPr>
      <w:r w:rsidRPr="00257E5C">
        <w:rPr>
          <w:szCs w:val="22"/>
        </w:rPr>
        <w:t>Metformin sam po sebi nikada ne izaziva hipoglikemiju, mada se preporučuje oprez kada se koristi u kombinaciji sa insulinom ili drugim oralnim antidijabeticima (npr. derivatima sulfonilureje ili meglitinidima).</w:t>
      </w:r>
    </w:p>
    <w:p w14:paraId="750C2295" w14:textId="77777777" w:rsidR="00390C16" w:rsidRPr="00257E5C" w:rsidRDefault="00390C16" w:rsidP="00E25A4C">
      <w:pPr>
        <w:pStyle w:val="Header"/>
        <w:tabs>
          <w:tab w:val="clear" w:pos="4536"/>
          <w:tab w:val="clear" w:pos="9072"/>
          <w:tab w:val="left" w:pos="284"/>
        </w:tabs>
        <w:rPr>
          <w:szCs w:val="22"/>
        </w:rPr>
      </w:pPr>
    </w:p>
    <w:p w14:paraId="6D97A75C" w14:textId="26A96147" w:rsidR="00390C16" w:rsidRPr="00257E5C" w:rsidRDefault="00390C16" w:rsidP="00E25A4C">
      <w:pPr>
        <w:rPr>
          <w:szCs w:val="22"/>
        </w:rPr>
      </w:pPr>
      <w:r w:rsidRPr="00257E5C">
        <w:rPr>
          <w:szCs w:val="22"/>
        </w:rPr>
        <w:t>Omotač tablete se može naći u fecesu. Pacijentima treba objasniti da je to normalna pojava.</w:t>
      </w:r>
    </w:p>
    <w:p w14:paraId="6DFC70BA" w14:textId="77777777" w:rsidR="00CE09F3" w:rsidRPr="00257E5C" w:rsidRDefault="00CE09F3" w:rsidP="00E25A4C">
      <w:pPr>
        <w:rPr>
          <w:szCs w:val="22"/>
        </w:rPr>
      </w:pPr>
    </w:p>
    <w:p w14:paraId="7834D73F" w14:textId="13BF61AD" w:rsidR="00452AFA" w:rsidRPr="00257E5C" w:rsidRDefault="00452AFA" w:rsidP="00E25A4C">
      <w:pPr>
        <w:rPr>
          <w:szCs w:val="22"/>
        </w:rPr>
      </w:pPr>
      <w:r w:rsidRPr="00257E5C">
        <w:rPr>
          <w:szCs w:val="22"/>
        </w:rPr>
        <w:t>Ovaj lek sadrži manje od 1 mmol (23 mg) natrijuma po dozi, što znači da je suštinski „bez natrijuma”.</w:t>
      </w:r>
    </w:p>
    <w:p w14:paraId="7DEF4253" w14:textId="47CCE2CB" w:rsidR="00ED493C" w:rsidRPr="00257E5C" w:rsidRDefault="00ED493C" w:rsidP="00E25A4C">
      <w:pPr>
        <w:rPr>
          <w:szCs w:val="22"/>
        </w:rPr>
      </w:pPr>
    </w:p>
    <w:p w14:paraId="1A2565E2" w14:textId="0C23D468" w:rsidR="00161D6E" w:rsidRPr="00257E5C" w:rsidRDefault="00161D6E" w:rsidP="00E25A4C">
      <w:pPr>
        <w:rPr>
          <w:szCs w:val="22"/>
        </w:rPr>
      </w:pPr>
    </w:p>
    <w:p w14:paraId="5598501A" w14:textId="77777777" w:rsidR="00161D6E" w:rsidRPr="00257E5C" w:rsidRDefault="00161D6E" w:rsidP="00E25A4C">
      <w:pPr>
        <w:rPr>
          <w:szCs w:val="22"/>
        </w:rPr>
      </w:pPr>
    </w:p>
    <w:p w14:paraId="087D769A" w14:textId="25C69FD6" w:rsidR="00CE09F3" w:rsidRPr="00257E5C" w:rsidRDefault="00CE09F3" w:rsidP="00E25A4C">
      <w:pPr>
        <w:rPr>
          <w:b/>
          <w:bCs/>
          <w:szCs w:val="22"/>
        </w:rPr>
      </w:pPr>
      <w:r w:rsidRPr="00257E5C">
        <w:rPr>
          <w:b/>
          <w:bCs/>
          <w:szCs w:val="22"/>
        </w:rPr>
        <w:lastRenderedPageBreak/>
        <w:t xml:space="preserve">4.5. </w:t>
      </w:r>
      <w:r w:rsidR="00F05366" w:rsidRPr="00257E5C">
        <w:rPr>
          <w:b/>
          <w:bCs/>
          <w:szCs w:val="22"/>
        </w:rPr>
        <w:t xml:space="preserve">  </w:t>
      </w:r>
      <w:r w:rsidRPr="00257E5C">
        <w:rPr>
          <w:b/>
          <w:bCs/>
          <w:szCs w:val="22"/>
        </w:rPr>
        <w:t>Interakcije sa drugim l</w:t>
      </w:r>
      <w:r w:rsidR="0082202C" w:rsidRPr="00257E5C">
        <w:rPr>
          <w:b/>
          <w:bCs/>
          <w:szCs w:val="22"/>
        </w:rPr>
        <w:t>j</w:t>
      </w:r>
      <w:r w:rsidRPr="00257E5C">
        <w:rPr>
          <w:b/>
          <w:bCs/>
          <w:szCs w:val="22"/>
        </w:rPr>
        <w:t>ekovima i druge vrste interakcija</w:t>
      </w:r>
    </w:p>
    <w:p w14:paraId="503B9C21" w14:textId="77777777" w:rsidR="00390C16" w:rsidRPr="00257E5C" w:rsidRDefault="00390C16" w:rsidP="00E25A4C">
      <w:pPr>
        <w:rPr>
          <w:b/>
          <w:bCs/>
          <w:szCs w:val="22"/>
        </w:rPr>
      </w:pPr>
    </w:p>
    <w:p w14:paraId="19E181F2" w14:textId="77777777" w:rsidR="00390C16" w:rsidRPr="00257E5C" w:rsidRDefault="00390C16" w:rsidP="00E25A4C">
      <w:pPr>
        <w:pStyle w:val="BodyText"/>
        <w:jc w:val="both"/>
        <w:rPr>
          <w:b w:val="0"/>
          <w:bCs w:val="0"/>
          <w:sz w:val="22"/>
          <w:szCs w:val="22"/>
          <w:u w:val="single"/>
          <w:lang w:val="sr-Latn-CS" w:eastAsia="en-US"/>
        </w:rPr>
      </w:pPr>
      <w:r w:rsidRPr="00257E5C">
        <w:rPr>
          <w:b w:val="0"/>
          <w:bCs w:val="0"/>
          <w:sz w:val="22"/>
          <w:szCs w:val="22"/>
          <w:u w:val="single"/>
          <w:lang w:val="sr-Latn-CS" w:eastAsia="en-US"/>
        </w:rPr>
        <w:t xml:space="preserve">Ne preporučuje se istovremena upotreba sa: </w:t>
      </w:r>
    </w:p>
    <w:p w14:paraId="4FA0FD91" w14:textId="0519EBC4" w:rsidR="00390C16" w:rsidRPr="00257E5C" w:rsidRDefault="00390C16" w:rsidP="00E25A4C">
      <w:pPr>
        <w:pStyle w:val="BodyText"/>
        <w:jc w:val="both"/>
        <w:rPr>
          <w:b w:val="0"/>
          <w:bCs w:val="0"/>
          <w:i/>
          <w:sz w:val="22"/>
          <w:szCs w:val="22"/>
          <w:lang w:val="sr-Latn-CS" w:eastAsia="en-US"/>
        </w:rPr>
      </w:pPr>
      <w:r w:rsidRPr="00257E5C">
        <w:rPr>
          <w:b w:val="0"/>
          <w:bCs w:val="0"/>
          <w:i/>
          <w:sz w:val="22"/>
          <w:szCs w:val="22"/>
          <w:lang w:val="sr-Latn-CS" w:eastAsia="en-US"/>
        </w:rPr>
        <w:t>Alkoholom</w:t>
      </w:r>
    </w:p>
    <w:p w14:paraId="2EF448E7" w14:textId="77777777" w:rsidR="00B50610" w:rsidRPr="00257E5C" w:rsidRDefault="00B50610" w:rsidP="00E25A4C">
      <w:pPr>
        <w:pStyle w:val="BodyText"/>
        <w:jc w:val="both"/>
        <w:rPr>
          <w:b w:val="0"/>
          <w:bCs w:val="0"/>
          <w:sz w:val="22"/>
          <w:szCs w:val="22"/>
          <w:lang w:val="sr-Latn-CS" w:eastAsia="en-US"/>
        </w:rPr>
      </w:pPr>
    </w:p>
    <w:p w14:paraId="5B1CDCCA" w14:textId="0DAA9BB9" w:rsidR="00390C16" w:rsidRPr="00257E5C" w:rsidRDefault="00390C16" w:rsidP="00E25A4C">
      <w:pPr>
        <w:pStyle w:val="BodyText"/>
        <w:jc w:val="both"/>
        <w:rPr>
          <w:b w:val="0"/>
          <w:bCs w:val="0"/>
          <w:sz w:val="22"/>
          <w:szCs w:val="22"/>
          <w:lang w:val="sr-Latn-CS" w:eastAsia="en-US"/>
        </w:rPr>
      </w:pPr>
      <w:r w:rsidRPr="00257E5C">
        <w:rPr>
          <w:b w:val="0"/>
          <w:bCs w:val="0"/>
          <w:sz w:val="22"/>
          <w:szCs w:val="22"/>
          <w:lang w:val="sr-Latn-CS" w:eastAsia="en-US"/>
        </w:rPr>
        <w:t>Akutna intoksikacija alkoholom je povezana sa povećanim rizikom od laktatne acidoze</w:t>
      </w:r>
      <w:r w:rsidR="00DB0B9F" w:rsidRPr="00257E5C">
        <w:rPr>
          <w:b w:val="0"/>
          <w:bCs w:val="0"/>
          <w:sz w:val="22"/>
          <w:szCs w:val="22"/>
          <w:lang w:val="sr-Latn-CS" w:eastAsia="en-US"/>
        </w:rPr>
        <w:t>, posebno u slučajevima gladovanja,</w:t>
      </w:r>
      <w:r w:rsidR="00AA5E69" w:rsidRPr="00257E5C">
        <w:rPr>
          <w:b w:val="0"/>
          <w:bCs w:val="0"/>
          <w:sz w:val="22"/>
          <w:szCs w:val="22"/>
          <w:lang w:val="sr-Latn-CS" w:eastAsia="en-US"/>
        </w:rPr>
        <w:t xml:space="preserve"> </w:t>
      </w:r>
      <w:r w:rsidR="00951B0B" w:rsidRPr="00257E5C">
        <w:rPr>
          <w:b w:val="0"/>
          <w:bCs w:val="0"/>
          <w:sz w:val="22"/>
          <w:szCs w:val="22"/>
          <w:lang w:val="sr-Latn-CS" w:eastAsia="en-US"/>
        </w:rPr>
        <w:t>malnutricije il</w:t>
      </w:r>
      <w:r w:rsidR="00DB0B9F" w:rsidRPr="00257E5C">
        <w:rPr>
          <w:b w:val="0"/>
          <w:bCs w:val="0"/>
          <w:sz w:val="22"/>
          <w:szCs w:val="22"/>
          <w:lang w:val="sr-Latn-CS" w:eastAsia="en-US"/>
        </w:rPr>
        <w:t>i hepatičke insuficijencije</w:t>
      </w:r>
      <w:r w:rsidRPr="00257E5C">
        <w:rPr>
          <w:b w:val="0"/>
          <w:bCs w:val="0"/>
          <w:sz w:val="22"/>
          <w:szCs w:val="22"/>
          <w:lang w:val="sr-Latn-CS" w:eastAsia="en-US"/>
        </w:rPr>
        <w:t xml:space="preserve">. </w:t>
      </w:r>
    </w:p>
    <w:p w14:paraId="263BCFF1" w14:textId="77777777" w:rsidR="00390C16" w:rsidRPr="00257E5C" w:rsidRDefault="00390C16" w:rsidP="00E25A4C">
      <w:pPr>
        <w:pStyle w:val="BodyText"/>
        <w:jc w:val="both"/>
        <w:rPr>
          <w:b w:val="0"/>
          <w:bCs w:val="0"/>
          <w:sz w:val="22"/>
          <w:szCs w:val="22"/>
          <w:lang w:val="sr-Latn-CS" w:eastAsia="en-US"/>
        </w:rPr>
      </w:pPr>
    </w:p>
    <w:p w14:paraId="5FA519FB" w14:textId="4E766457" w:rsidR="00390C16" w:rsidRPr="00257E5C" w:rsidRDefault="00390C16" w:rsidP="00E25A4C">
      <w:pPr>
        <w:pStyle w:val="BodyText"/>
        <w:jc w:val="both"/>
        <w:rPr>
          <w:b w:val="0"/>
          <w:bCs w:val="0"/>
          <w:i/>
          <w:sz w:val="22"/>
          <w:szCs w:val="22"/>
          <w:lang w:val="sr-Latn-CS" w:eastAsia="en-US"/>
        </w:rPr>
      </w:pPr>
      <w:r w:rsidRPr="00257E5C">
        <w:rPr>
          <w:b w:val="0"/>
          <w:bCs w:val="0"/>
          <w:i/>
          <w:sz w:val="22"/>
          <w:szCs w:val="22"/>
          <w:lang w:val="sr-Latn-CS" w:eastAsia="en-US"/>
        </w:rPr>
        <w:t>Kontrastna sredstva koja sadrže jod</w:t>
      </w:r>
    </w:p>
    <w:p w14:paraId="5BE28C52" w14:textId="77777777" w:rsidR="00390C16" w:rsidRPr="00257E5C" w:rsidRDefault="00390C16" w:rsidP="00E25A4C">
      <w:pPr>
        <w:pStyle w:val="BodyText"/>
        <w:jc w:val="both"/>
        <w:rPr>
          <w:b w:val="0"/>
          <w:bCs w:val="0"/>
          <w:sz w:val="22"/>
          <w:szCs w:val="22"/>
          <w:lang w:val="sr-Latn-CS" w:eastAsia="en-US"/>
        </w:rPr>
      </w:pPr>
    </w:p>
    <w:p w14:paraId="497C8CDD" w14:textId="6E90D253" w:rsidR="00095B47" w:rsidRPr="00257E5C" w:rsidRDefault="00095B47" w:rsidP="00E25A4C">
      <w:pPr>
        <w:pStyle w:val="BodyText"/>
        <w:jc w:val="both"/>
        <w:rPr>
          <w:b w:val="0"/>
          <w:bCs w:val="0"/>
          <w:sz w:val="22"/>
          <w:szCs w:val="22"/>
          <w:lang w:val="sr-Latn-CS" w:eastAsia="en-US"/>
        </w:rPr>
      </w:pPr>
      <w:r w:rsidRPr="00257E5C">
        <w:rPr>
          <w:b w:val="0"/>
          <w:bCs w:val="0"/>
          <w:sz w:val="22"/>
          <w:szCs w:val="22"/>
          <w:lang w:val="sr-Latn-CS" w:eastAsia="en-US"/>
        </w:rPr>
        <w:t>Uzimanje metformina treba prekinuti prije</w:t>
      </w:r>
      <w:r w:rsidR="00A7319C" w:rsidRPr="00257E5C">
        <w:rPr>
          <w:b w:val="0"/>
          <w:bCs w:val="0"/>
          <w:sz w:val="22"/>
          <w:szCs w:val="22"/>
          <w:lang w:val="sr-Latn-CS" w:eastAsia="en-US"/>
        </w:rPr>
        <w:t xml:space="preserve"> ili</w:t>
      </w:r>
      <w:r w:rsidRPr="00257E5C">
        <w:rPr>
          <w:b w:val="0"/>
          <w:bCs w:val="0"/>
          <w:sz w:val="22"/>
          <w:szCs w:val="22"/>
          <w:lang w:val="sr-Latn-CS" w:eastAsia="en-US"/>
        </w:rPr>
        <w:t xml:space="preserve"> za vrijeme snimanja, i ne treba ga ponovo uzimati najmanje 48 sati nakon snimanja, </w:t>
      </w:r>
      <w:r w:rsidR="00951B0B" w:rsidRPr="00257E5C">
        <w:rPr>
          <w:b w:val="0"/>
          <w:bCs w:val="0"/>
          <w:sz w:val="22"/>
          <w:szCs w:val="22"/>
          <w:lang w:val="sr-Latn-CS" w:eastAsia="en-US"/>
        </w:rPr>
        <w:t>pod uslovom da je proc</w:t>
      </w:r>
      <w:r w:rsidR="00A7319C" w:rsidRPr="00257E5C">
        <w:rPr>
          <w:b w:val="0"/>
          <w:bCs w:val="0"/>
          <w:sz w:val="22"/>
          <w:szCs w:val="22"/>
          <w:lang w:val="sr-Latn-CS" w:eastAsia="en-US"/>
        </w:rPr>
        <w:t>i</w:t>
      </w:r>
      <w:r w:rsidR="00951B0B" w:rsidRPr="00257E5C">
        <w:rPr>
          <w:b w:val="0"/>
          <w:bCs w:val="0"/>
          <w:sz w:val="22"/>
          <w:szCs w:val="22"/>
          <w:lang w:val="sr-Latn-CS" w:eastAsia="en-US"/>
        </w:rPr>
        <w:t>jenjena funkcija bubrega i da je utvrđeno da je stabilna</w:t>
      </w:r>
      <w:r w:rsidRPr="00257E5C">
        <w:rPr>
          <w:b w:val="0"/>
          <w:bCs w:val="0"/>
          <w:sz w:val="22"/>
          <w:szCs w:val="22"/>
          <w:lang w:val="sr-Latn-CS" w:eastAsia="en-US"/>
        </w:rPr>
        <w:t xml:space="preserve"> </w:t>
      </w:r>
      <w:r w:rsidR="00951B0B" w:rsidRPr="00257E5C">
        <w:rPr>
          <w:b w:val="0"/>
          <w:bCs w:val="0"/>
          <w:sz w:val="22"/>
          <w:szCs w:val="22"/>
          <w:lang w:val="sr-Latn-CS" w:eastAsia="en-US"/>
        </w:rPr>
        <w:t>(</w:t>
      </w:r>
      <w:r w:rsidRPr="00257E5C">
        <w:rPr>
          <w:b w:val="0"/>
          <w:bCs w:val="0"/>
          <w:sz w:val="22"/>
          <w:szCs w:val="22"/>
          <w:lang w:val="sr-Latn-CS" w:eastAsia="en-US"/>
        </w:rPr>
        <w:t>vidjeti djelove 4.2 i 4.4</w:t>
      </w:r>
      <w:r w:rsidR="00951B0B" w:rsidRPr="00257E5C">
        <w:rPr>
          <w:b w:val="0"/>
          <w:bCs w:val="0"/>
          <w:sz w:val="22"/>
          <w:szCs w:val="22"/>
          <w:lang w:val="sr-Latn-CS" w:eastAsia="en-US"/>
        </w:rPr>
        <w:t>)</w:t>
      </w:r>
      <w:r w:rsidRPr="00257E5C">
        <w:rPr>
          <w:b w:val="0"/>
          <w:bCs w:val="0"/>
          <w:sz w:val="22"/>
          <w:szCs w:val="22"/>
          <w:lang w:val="sr-Latn-CS" w:eastAsia="en-US"/>
        </w:rPr>
        <w:t>.</w:t>
      </w:r>
    </w:p>
    <w:p w14:paraId="570081B3" w14:textId="77777777" w:rsidR="00095B47" w:rsidRPr="00257E5C" w:rsidRDefault="00095B47" w:rsidP="00E25A4C">
      <w:pPr>
        <w:pStyle w:val="BodyText"/>
        <w:jc w:val="both"/>
        <w:rPr>
          <w:b w:val="0"/>
          <w:bCs w:val="0"/>
          <w:sz w:val="22"/>
          <w:szCs w:val="22"/>
          <w:lang w:val="sr-Latn-CS" w:eastAsia="en-US"/>
        </w:rPr>
      </w:pPr>
    </w:p>
    <w:p w14:paraId="03AA15FE" w14:textId="77777777" w:rsidR="00390C16" w:rsidRPr="00257E5C" w:rsidRDefault="00390C16" w:rsidP="00E25A4C">
      <w:pPr>
        <w:pStyle w:val="BodyText"/>
        <w:jc w:val="both"/>
        <w:rPr>
          <w:b w:val="0"/>
          <w:bCs w:val="0"/>
          <w:sz w:val="22"/>
          <w:szCs w:val="22"/>
          <w:u w:val="single"/>
          <w:lang w:val="sr-Latn-CS" w:eastAsia="en-US"/>
        </w:rPr>
      </w:pPr>
      <w:r w:rsidRPr="00257E5C">
        <w:rPr>
          <w:b w:val="0"/>
          <w:bCs w:val="0"/>
          <w:sz w:val="22"/>
          <w:szCs w:val="22"/>
          <w:u w:val="single"/>
          <w:lang w:val="sr-Latn-CS" w:eastAsia="en-US"/>
        </w:rPr>
        <w:t>Kombinacije koje zahtevaju oprez prilikom istovremene upotrebe:</w:t>
      </w:r>
    </w:p>
    <w:p w14:paraId="0E3B2058" w14:textId="77777777" w:rsidR="00BB0718" w:rsidRPr="00257E5C" w:rsidRDefault="00BB0718" w:rsidP="00E25A4C">
      <w:pPr>
        <w:pStyle w:val="BodyText"/>
        <w:jc w:val="both"/>
        <w:rPr>
          <w:b w:val="0"/>
          <w:bCs w:val="0"/>
          <w:sz w:val="22"/>
          <w:szCs w:val="22"/>
          <w:u w:val="single"/>
          <w:lang w:val="sr-Latn-CS" w:eastAsia="en-US"/>
        </w:rPr>
      </w:pPr>
    </w:p>
    <w:p w14:paraId="1DCF325E" w14:textId="2259A817" w:rsidR="00BB0718" w:rsidRPr="00257E5C" w:rsidRDefault="00BB0718" w:rsidP="00E25A4C">
      <w:pPr>
        <w:pStyle w:val="BodyText"/>
        <w:jc w:val="both"/>
        <w:rPr>
          <w:b w:val="0"/>
          <w:bCs w:val="0"/>
          <w:sz w:val="22"/>
          <w:szCs w:val="22"/>
          <w:lang w:val="sr-Latn-CS" w:eastAsia="en-US"/>
        </w:rPr>
      </w:pPr>
      <w:r w:rsidRPr="00257E5C">
        <w:rPr>
          <w:b w:val="0"/>
          <w:bCs w:val="0"/>
          <w:sz w:val="22"/>
          <w:szCs w:val="22"/>
          <w:lang w:val="sr-Latn-CS" w:eastAsia="en-US"/>
        </w:rPr>
        <w:t xml:space="preserve">Neki lijekovi mogu negativno uticati na bubrežnu funkciju, što može povećati rizik </w:t>
      </w:r>
      <w:r w:rsidR="00826AF4" w:rsidRPr="00257E5C">
        <w:rPr>
          <w:b w:val="0"/>
          <w:bCs w:val="0"/>
          <w:sz w:val="22"/>
          <w:szCs w:val="22"/>
          <w:lang w:val="sr-Latn-CS" w:eastAsia="en-US"/>
        </w:rPr>
        <w:t>od laktatne acidoze, npr. NSAIL</w:t>
      </w:r>
      <w:r w:rsidRPr="00257E5C">
        <w:rPr>
          <w:b w:val="0"/>
          <w:bCs w:val="0"/>
          <w:sz w:val="22"/>
          <w:szCs w:val="22"/>
          <w:lang w:val="sr-Latn-CS" w:eastAsia="en-US"/>
        </w:rPr>
        <w:t xml:space="preserve"> (nesteroidni antiinflamatorni lijekovi), uljučujući selektivne </w:t>
      </w:r>
      <w:r w:rsidR="00951B0B" w:rsidRPr="00257E5C">
        <w:rPr>
          <w:b w:val="0"/>
          <w:bCs w:val="0"/>
          <w:sz w:val="22"/>
          <w:szCs w:val="22"/>
          <w:lang w:val="sr-Latn-CS" w:eastAsia="en-US"/>
        </w:rPr>
        <w:t xml:space="preserve">inhibitore </w:t>
      </w:r>
      <w:r w:rsidRPr="00257E5C">
        <w:rPr>
          <w:b w:val="0"/>
          <w:bCs w:val="0"/>
          <w:sz w:val="22"/>
          <w:szCs w:val="22"/>
          <w:lang w:val="sr-Latn-CS" w:eastAsia="en-US"/>
        </w:rPr>
        <w:t>ciklooksigenaze</w:t>
      </w:r>
      <w:r w:rsidR="00951B0B" w:rsidRPr="00257E5C">
        <w:rPr>
          <w:b w:val="0"/>
          <w:bCs w:val="0"/>
          <w:sz w:val="22"/>
          <w:szCs w:val="22"/>
          <w:lang w:val="sr-Latn-CS" w:eastAsia="en-US"/>
        </w:rPr>
        <w:t xml:space="preserve"> tip II</w:t>
      </w:r>
      <w:r w:rsidRPr="00257E5C">
        <w:rPr>
          <w:b w:val="0"/>
          <w:bCs w:val="0"/>
          <w:sz w:val="22"/>
          <w:szCs w:val="22"/>
          <w:lang w:val="sr-Latn-CS" w:eastAsia="en-US"/>
        </w:rPr>
        <w:t xml:space="preserve"> (COX II</w:t>
      </w:r>
      <w:r w:rsidR="00951B0B" w:rsidRPr="00257E5C">
        <w:rPr>
          <w:b w:val="0"/>
          <w:bCs w:val="0"/>
          <w:sz w:val="22"/>
          <w:szCs w:val="22"/>
          <w:lang w:val="sr-Latn-CS" w:eastAsia="en-US"/>
        </w:rPr>
        <w:t xml:space="preserve"> inhibitore)</w:t>
      </w:r>
      <w:r w:rsidRPr="00257E5C">
        <w:rPr>
          <w:b w:val="0"/>
          <w:bCs w:val="0"/>
          <w:sz w:val="22"/>
          <w:szCs w:val="22"/>
          <w:lang w:val="sr-Latn-CS" w:eastAsia="en-US"/>
        </w:rPr>
        <w:t xml:space="preserve">, ACE inhibitore, antagoniste angiotenzin II receptora i diuretike, naročito one koji djeluju na nivou </w:t>
      </w:r>
      <w:r w:rsidR="00826AF4" w:rsidRPr="00257E5C">
        <w:rPr>
          <w:b w:val="0"/>
          <w:bCs w:val="0"/>
          <w:sz w:val="22"/>
          <w:szCs w:val="22"/>
          <w:lang w:val="sr-Latn-CS" w:eastAsia="en-US"/>
        </w:rPr>
        <w:t>Henle</w:t>
      </w:r>
      <w:r w:rsidRPr="00257E5C">
        <w:rPr>
          <w:b w:val="0"/>
          <w:bCs w:val="0"/>
          <w:sz w:val="22"/>
          <w:szCs w:val="22"/>
          <w:lang w:val="sr-Latn-CS" w:eastAsia="en-US"/>
        </w:rPr>
        <w:t xml:space="preserve">ove petlje. Kad se </w:t>
      </w:r>
      <w:r w:rsidR="00951B0B" w:rsidRPr="00257E5C">
        <w:rPr>
          <w:b w:val="0"/>
          <w:bCs w:val="0"/>
          <w:sz w:val="22"/>
          <w:szCs w:val="22"/>
          <w:lang w:val="sr-Latn-CS" w:eastAsia="en-US"/>
        </w:rPr>
        <w:t>započinje terapija</w:t>
      </w:r>
      <w:r w:rsidR="0011357F" w:rsidRPr="00257E5C">
        <w:rPr>
          <w:b w:val="0"/>
          <w:bCs w:val="0"/>
          <w:sz w:val="22"/>
          <w:szCs w:val="22"/>
          <w:lang w:val="sr-Latn-CS" w:eastAsia="en-US"/>
        </w:rPr>
        <w:t xml:space="preserve">, ili </w:t>
      </w:r>
      <w:r w:rsidR="00951B0B" w:rsidRPr="00257E5C">
        <w:rPr>
          <w:b w:val="0"/>
          <w:bCs w:val="0"/>
          <w:sz w:val="22"/>
          <w:szCs w:val="22"/>
          <w:lang w:val="sr-Latn-CS" w:eastAsia="en-US"/>
        </w:rPr>
        <w:t>ako se ovi ljekovi već koriste</w:t>
      </w:r>
      <w:r w:rsidRPr="00257E5C">
        <w:rPr>
          <w:b w:val="0"/>
          <w:bCs w:val="0"/>
          <w:sz w:val="22"/>
          <w:szCs w:val="22"/>
          <w:lang w:val="sr-Latn-CS" w:eastAsia="en-US"/>
        </w:rPr>
        <w:t xml:space="preserve"> u kombinaciji sa metforminom, neophodna je stroga kontrola bubrežne funkcije.</w:t>
      </w:r>
    </w:p>
    <w:p w14:paraId="2F1A5DEF" w14:textId="77777777" w:rsidR="00390C16" w:rsidRPr="00257E5C" w:rsidRDefault="00390C16" w:rsidP="00E25A4C">
      <w:pPr>
        <w:pStyle w:val="BodyText"/>
        <w:jc w:val="both"/>
        <w:rPr>
          <w:b w:val="0"/>
          <w:bCs w:val="0"/>
          <w:sz w:val="22"/>
          <w:szCs w:val="22"/>
          <w:lang w:val="sr-Latn-CS" w:eastAsia="en-US"/>
        </w:rPr>
      </w:pPr>
    </w:p>
    <w:p w14:paraId="21925731" w14:textId="2CD65FD1" w:rsidR="00390C16" w:rsidRPr="00257E5C" w:rsidRDefault="00390C16" w:rsidP="00E25A4C">
      <w:pPr>
        <w:pStyle w:val="BodyText"/>
        <w:jc w:val="both"/>
        <w:rPr>
          <w:b w:val="0"/>
          <w:bCs w:val="0"/>
          <w:i/>
          <w:sz w:val="22"/>
          <w:szCs w:val="22"/>
          <w:lang w:val="sr-Latn-CS" w:eastAsia="en-US"/>
        </w:rPr>
      </w:pPr>
      <w:r w:rsidRPr="00257E5C">
        <w:rPr>
          <w:b w:val="0"/>
          <w:bCs w:val="0"/>
          <w:i/>
          <w:sz w:val="22"/>
          <w:szCs w:val="22"/>
          <w:lang w:val="sr-Latn-CS" w:eastAsia="en-US"/>
        </w:rPr>
        <w:t>L</w:t>
      </w:r>
      <w:r w:rsidR="0082202C" w:rsidRPr="00257E5C">
        <w:rPr>
          <w:b w:val="0"/>
          <w:bCs w:val="0"/>
          <w:i/>
          <w:sz w:val="22"/>
          <w:szCs w:val="22"/>
          <w:lang w:val="sr-Latn-CS" w:eastAsia="en-US"/>
        </w:rPr>
        <w:t>j</w:t>
      </w:r>
      <w:r w:rsidRPr="00257E5C">
        <w:rPr>
          <w:b w:val="0"/>
          <w:bCs w:val="0"/>
          <w:i/>
          <w:sz w:val="22"/>
          <w:szCs w:val="22"/>
          <w:lang w:val="sr-Latn-CS" w:eastAsia="en-US"/>
        </w:rPr>
        <w:t xml:space="preserve">ekovi  koji imaju intrinzičku hiperglikemijsku aktivnost </w:t>
      </w:r>
      <w:r w:rsidR="00A7319C" w:rsidRPr="00257E5C">
        <w:rPr>
          <w:b w:val="0"/>
          <w:bCs w:val="0"/>
          <w:i/>
          <w:sz w:val="22"/>
          <w:szCs w:val="22"/>
          <w:lang w:val="sr-Latn-CS" w:eastAsia="en-US"/>
        </w:rPr>
        <w:t>(</w:t>
      </w:r>
      <w:r w:rsidRPr="00257E5C">
        <w:rPr>
          <w:b w:val="0"/>
          <w:bCs w:val="0"/>
          <w:i/>
          <w:sz w:val="22"/>
          <w:szCs w:val="22"/>
          <w:lang w:val="sr-Latn-CS" w:eastAsia="en-US"/>
        </w:rPr>
        <w:t>npr. glukokortikoidi (sistemska  i lokalna prim</w:t>
      </w:r>
      <w:r w:rsidR="0082202C" w:rsidRPr="00257E5C">
        <w:rPr>
          <w:b w:val="0"/>
          <w:bCs w:val="0"/>
          <w:i/>
          <w:sz w:val="22"/>
          <w:szCs w:val="22"/>
          <w:lang w:val="sr-Latn-CS" w:eastAsia="en-US"/>
        </w:rPr>
        <w:t>j</w:t>
      </w:r>
      <w:r w:rsidRPr="00257E5C">
        <w:rPr>
          <w:b w:val="0"/>
          <w:bCs w:val="0"/>
          <w:i/>
          <w:sz w:val="22"/>
          <w:szCs w:val="22"/>
          <w:lang w:val="sr-Latn-CS" w:eastAsia="en-US"/>
        </w:rPr>
        <w:t>ena), i simpatomimetici</w:t>
      </w:r>
      <w:r w:rsidR="00A7319C" w:rsidRPr="00257E5C">
        <w:rPr>
          <w:b w:val="0"/>
          <w:bCs w:val="0"/>
          <w:i/>
          <w:sz w:val="22"/>
          <w:szCs w:val="22"/>
          <w:lang w:val="sr-Latn-CS" w:eastAsia="en-US"/>
        </w:rPr>
        <w:t>)</w:t>
      </w:r>
    </w:p>
    <w:p w14:paraId="47BFAD9B" w14:textId="77777777" w:rsidR="000B1B81" w:rsidRPr="00257E5C" w:rsidRDefault="000B1B81" w:rsidP="00E25A4C">
      <w:pPr>
        <w:pStyle w:val="BodyText"/>
        <w:jc w:val="both"/>
        <w:rPr>
          <w:b w:val="0"/>
          <w:bCs w:val="0"/>
          <w:i/>
          <w:sz w:val="22"/>
          <w:szCs w:val="22"/>
          <w:lang w:val="sr-Latn-CS" w:eastAsia="en-US"/>
        </w:rPr>
      </w:pPr>
    </w:p>
    <w:p w14:paraId="3E86B0E6" w14:textId="649251F2" w:rsidR="00390C16" w:rsidRPr="00257E5C" w:rsidRDefault="00390C16" w:rsidP="00E25A4C">
      <w:pPr>
        <w:pStyle w:val="BodyText"/>
        <w:jc w:val="both"/>
        <w:rPr>
          <w:b w:val="0"/>
          <w:bCs w:val="0"/>
          <w:sz w:val="22"/>
          <w:szCs w:val="22"/>
          <w:lang w:val="sr-Latn-CS" w:eastAsia="en-US"/>
        </w:rPr>
      </w:pPr>
      <w:r w:rsidRPr="00257E5C">
        <w:rPr>
          <w:b w:val="0"/>
          <w:bCs w:val="0"/>
          <w:sz w:val="22"/>
          <w:szCs w:val="22"/>
          <w:lang w:val="sr-Latn-CS" w:eastAsia="en-US"/>
        </w:rPr>
        <w:t>Potrebna je češća kontrola nivoa šećera u krvi, pogotovo na početku terapije.</w:t>
      </w:r>
      <w:r w:rsidR="00B50610" w:rsidRPr="00257E5C">
        <w:rPr>
          <w:b w:val="0"/>
          <w:bCs w:val="0"/>
          <w:sz w:val="22"/>
          <w:szCs w:val="22"/>
          <w:lang w:val="sr-Latn-CS" w:eastAsia="en-US"/>
        </w:rPr>
        <w:t xml:space="preserve"> </w:t>
      </w:r>
      <w:r w:rsidRPr="00257E5C">
        <w:rPr>
          <w:b w:val="0"/>
          <w:bCs w:val="0"/>
          <w:sz w:val="22"/>
          <w:szCs w:val="22"/>
          <w:lang w:val="sr-Latn-CS" w:eastAsia="en-US"/>
        </w:rPr>
        <w:t xml:space="preserve">Ukoliko je neophodno, dozu </w:t>
      </w:r>
      <w:r w:rsidR="000B1B81" w:rsidRPr="00257E5C">
        <w:rPr>
          <w:b w:val="0"/>
          <w:bCs w:val="0"/>
          <w:sz w:val="22"/>
          <w:szCs w:val="22"/>
          <w:lang w:val="sr-Latn-CS" w:eastAsia="en-US"/>
        </w:rPr>
        <w:t>metformina</w:t>
      </w:r>
      <w:r w:rsidRPr="00257E5C">
        <w:rPr>
          <w:b w:val="0"/>
          <w:bCs w:val="0"/>
          <w:sz w:val="22"/>
          <w:szCs w:val="22"/>
          <w:lang w:val="sr-Latn-CS" w:eastAsia="en-US"/>
        </w:rPr>
        <w:t xml:space="preserve"> treba prilagoditi tokom terapije </w:t>
      </w:r>
      <w:r w:rsidR="00951B0B" w:rsidRPr="00257E5C">
        <w:rPr>
          <w:b w:val="0"/>
          <w:bCs w:val="0"/>
          <w:sz w:val="22"/>
          <w:szCs w:val="22"/>
          <w:lang w:val="sr-Latn-CS" w:eastAsia="en-US"/>
        </w:rPr>
        <w:t>drugim</w:t>
      </w:r>
      <w:r w:rsidRPr="00257E5C">
        <w:rPr>
          <w:b w:val="0"/>
          <w:bCs w:val="0"/>
          <w:sz w:val="22"/>
          <w:szCs w:val="22"/>
          <w:lang w:val="sr-Latn-CS" w:eastAsia="en-US"/>
        </w:rPr>
        <w:t xml:space="preserve"> l</w:t>
      </w:r>
      <w:r w:rsidR="0082202C" w:rsidRPr="00257E5C">
        <w:rPr>
          <w:b w:val="0"/>
          <w:bCs w:val="0"/>
          <w:sz w:val="22"/>
          <w:szCs w:val="22"/>
          <w:lang w:val="sr-Latn-CS" w:eastAsia="en-US"/>
        </w:rPr>
        <w:t>ij</w:t>
      </w:r>
      <w:r w:rsidRPr="00257E5C">
        <w:rPr>
          <w:b w:val="0"/>
          <w:bCs w:val="0"/>
          <w:sz w:val="22"/>
          <w:szCs w:val="22"/>
          <w:lang w:val="sr-Latn-CS" w:eastAsia="en-US"/>
        </w:rPr>
        <w:t>ekom i posl</w:t>
      </w:r>
      <w:r w:rsidR="0082202C" w:rsidRPr="00257E5C">
        <w:rPr>
          <w:b w:val="0"/>
          <w:bCs w:val="0"/>
          <w:sz w:val="22"/>
          <w:szCs w:val="22"/>
          <w:lang w:val="sr-Latn-CS" w:eastAsia="en-US"/>
        </w:rPr>
        <w:t>ij</w:t>
      </w:r>
      <w:r w:rsidRPr="00257E5C">
        <w:rPr>
          <w:b w:val="0"/>
          <w:bCs w:val="0"/>
          <w:sz w:val="22"/>
          <w:szCs w:val="22"/>
          <w:lang w:val="sr-Latn-CS" w:eastAsia="en-US"/>
        </w:rPr>
        <w:t>e prestanka upotrebe tog l</w:t>
      </w:r>
      <w:r w:rsidR="0082202C" w:rsidRPr="00257E5C">
        <w:rPr>
          <w:b w:val="0"/>
          <w:bCs w:val="0"/>
          <w:sz w:val="22"/>
          <w:szCs w:val="22"/>
          <w:lang w:val="sr-Latn-CS" w:eastAsia="en-US"/>
        </w:rPr>
        <w:t>ije</w:t>
      </w:r>
      <w:r w:rsidRPr="00257E5C">
        <w:rPr>
          <w:b w:val="0"/>
          <w:bCs w:val="0"/>
          <w:sz w:val="22"/>
          <w:szCs w:val="22"/>
          <w:lang w:val="sr-Latn-CS" w:eastAsia="en-US"/>
        </w:rPr>
        <w:t xml:space="preserve">ka. </w:t>
      </w:r>
    </w:p>
    <w:p w14:paraId="503D40DE" w14:textId="77777777" w:rsidR="00390C16" w:rsidRPr="00257E5C" w:rsidRDefault="00390C16" w:rsidP="00E25A4C">
      <w:pPr>
        <w:pStyle w:val="BodyText"/>
        <w:jc w:val="both"/>
        <w:rPr>
          <w:b w:val="0"/>
          <w:bCs w:val="0"/>
          <w:sz w:val="22"/>
          <w:szCs w:val="22"/>
          <w:lang w:val="sr-Latn-CS" w:eastAsia="en-US"/>
        </w:rPr>
      </w:pPr>
    </w:p>
    <w:p w14:paraId="3AFC4132" w14:textId="5C5E97B7" w:rsidR="000B1B81" w:rsidRPr="00257E5C" w:rsidRDefault="00951B0B" w:rsidP="00E25A4C">
      <w:pPr>
        <w:tabs>
          <w:tab w:val="clear" w:pos="284"/>
          <w:tab w:val="left" w:pos="9180"/>
        </w:tabs>
        <w:ind w:right="-60"/>
        <w:rPr>
          <w:i/>
          <w:iCs/>
          <w:szCs w:val="22"/>
        </w:rPr>
      </w:pPr>
      <w:r w:rsidRPr="00257E5C">
        <w:rPr>
          <w:i/>
          <w:iCs/>
          <w:szCs w:val="22"/>
        </w:rPr>
        <w:t>Transporteri organskih</w:t>
      </w:r>
      <w:r w:rsidR="000B1B81" w:rsidRPr="00257E5C">
        <w:rPr>
          <w:i/>
          <w:iCs/>
          <w:szCs w:val="22"/>
        </w:rPr>
        <w:t xml:space="preserve"> katjona (OCT)</w:t>
      </w:r>
    </w:p>
    <w:p w14:paraId="7A5DE843" w14:textId="77777777" w:rsidR="000B1B81" w:rsidRPr="00257E5C" w:rsidRDefault="000B1B81" w:rsidP="00E25A4C">
      <w:pPr>
        <w:tabs>
          <w:tab w:val="clear" w:pos="284"/>
          <w:tab w:val="left" w:pos="9180"/>
        </w:tabs>
        <w:ind w:right="-60"/>
        <w:rPr>
          <w:szCs w:val="22"/>
        </w:rPr>
      </w:pPr>
    </w:p>
    <w:p w14:paraId="7FA44F04" w14:textId="33EF296A" w:rsidR="000B1B81" w:rsidRPr="00257E5C" w:rsidRDefault="000B1B81" w:rsidP="00E25A4C">
      <w:pPr>
        <w:tabs>
          <w:tab w:val="clear" w:pos="284"/>
          <w:tab w:val="left" w:pos="9180"/>
        </w:tabs>
        <w:ind w:right="-60"/>
        <w:rPr>
          <w:szCs w:val="22"/>
        </w:rPr>
      </w:pPr>
      <w:r w:rsidRPr="00257E5C">
        <w:rPr>
          <w:szCs w:val="22"/>
        </w:rPr>
        <w:t>Metformin je supstrat i za OCT1 i za OCT2 transportere.</w:t>
      </w:r>
    </w:p>
    <w:p w14:paraId="5D78563F" w14:textId="77777777" w:rsidR="000B1B81" w:rsidRPr="00257E5C" w:rsidRDefault="000B1B81" w:rsidP="00E25A4C">
      <w:pPr>
        <w:tabs>
          <w:tab w:val="clear" w:pos="284"/>
          <w:tab w:val="left" w:pos="9180"/>
        </w:tabs>
        <w:ind w:right="-60"/>
        <w:rPr>
          <w:szCs w:val="22"/>
        </w:rPr>
      </w:pPr>
    </w:p>
    <w:p w14:paraId="51067A43" w14:textId="77777777" w:rsidR="00A7319C" w:rsidRPr="00257E5C" w:rsidRDefault="000B1B81" w:rsidP="00E25A4C">
      <w:pPr>
        <w:tabs>
          <w:tab w:val="clear" w:pos="284"/>
          <w:tab w:val="left" w:pos="9180"/>
        </w:tabs>
        <w:ind w:right="-60"/>
        <w:rPr>
          <w:szCs w:val="22"/>
        </w:rPr>
      </w:pPr>
      <w:r w:rsidRPr="00257E5C">
        <w:rPr>
          <w:szCs w:val="22"/>
        </w:rPr>
        <w:t>Istovremena primjena metformina sa</w:t>
      </w:r>
    </w:p>
    <w:p w14:paraId="2B0A673C" w14:textId="4D7E0D9C" w:rsidR="00A7319C" w:rsidRPr="00257E5C" w:rsidRDefault="00A7319C" w:rsidP="007E7F7B">
      <w:pPr>
        <w:pStyle w:val="ListParagraph"/>
        <w:numPr>
          <w:ilvl w:val="0"/>
          <w:numId w:val="27"/>
        </w:numPr>
        <w:tabs>
          <w:tab w:val="left" w:pos="9180"/>
        </w:tabs>
        <w:ind w:right="-60"/>
        <w:rPr>
          <w:szCs w:val="22"/>
        </w:rPr>
      </w:pPr>
      <w:r w:rsidRPr="00257E5C">
        <w:rPr>
          <w:szCs w:val="22"/>
        </w:rPr>
        <w:t>Inhibitorima OCT1 (kao što je verapamil) može smanjiti efikasnost metformina.</w:t>
      </w:r>
    </w:p>
    <w:p w14:paraId="492732C0" w14:textId="18FAF948" w:rsidR="00A7319C" w:rsidRPr="00257E5C" w:rsidRDefault="00A7319C" w:rsidP="007E7F7B">
      <w:pPr>
        <w:pStyle w:val="ListParagraph"/>
        <w:numPr>
          <w:ilvl w:val="0"/>
          <w:numId w:val="27"/>
        </w:numPr>
        <w:tabs>
          <w:tab w:val="left" w:pos="9180"/>
        </w:tabs>
        <w:ind w:right="-60"/>
        <w:rPr>
          <w:szCs w:val="22"/>
        </w:rPr>
      </w:pPr>
      <w:r w:rsidRPr="00257E5C">
        <w:rPr>
          <w:szCs w:val="22"/>
        </w:rPr>
        <w:t>Induktorima OCT1 (kao što je rifampicin) može povećati gastrointestinalnu apsorpciju i efikasnost metformina.</w:t>
      </w:r>
    </w:p>
    <w:p w14:paraId="7FD2D44D" w14:textId="6F0A009A" w:rsidR="00A7319C" w:rsidRPr="00257E5C" w:rsidRDefault="00A7319C" w:rsidP="007E7F7B">
      <w:pPr>
        <w:pStyle w:val="ListParagraph"/>
        <w:numPr>
          <w:ilvl w:val="0"/>
          <w:numId w:val="27"/>
        </w:numPr>
        <w:tabs>
          <w:tab w:val="left" w:pos="9180"/>
        </w:tabs>
        <w:ind w:right="-60"/>
        <w:rPr>
          <w:szCs w:val="22"/>
        </w:rPr>
      </w:pPr>
      <w:r w:rsidRPr="00257E5C">
        <w:rPr>
          <w:szCs w:val="22"/>
        </w:rPr>
        <w:t>Inhibitorima OCT2 (kao što su cimetidin, dolutegravir, ranolazin, trimetoprim, vandetanib, izavukonazol) može smanjiti eliminaciju metformina putem bubrega i tako dovesti do porasta koncentracije metformina u plazmi.</w:t>
      </w:r>
    </w:p>
    <w:p w14:paraId="7ED2EC6C" w14:textId="52AC8DB8" w:rsidR="00A7319C" w:rsidRPr="00257E5C" w:rsidRDefault="00A7319C" w:rsidP="007E7F7B">
      <w:pPr>
        <w:pStyle w:val="ListParagraph"/>
        <w:numPr>
          <w:ilvl w:val="0"/>
          <w:numId w:val="27"/>
        </w:numPr>
        <w:tabs>
          <w:tab w:val="left" w:pos="9180"/>
        </w:tabs>
        <w:ind w:right="-60"/>
        <w:rPr>
          <w:szCs w:val="22"/>
        </w:rPr>
      </w:pPr>
      <w:r w:rsidRPr="00257E5C">
        <w:rPr>
          <w:szCs w:val="22"/>
        </w:rPr>
        <w:t>Inhibitorima i OCT1 i OCT2 (kao što su krizotinib, olaparib) može izmijeniti efikasnost i  eliminaciju metformina u bubrezima.</w:t>
      </w:r>
    </w:p>
    <w:p w14:paraId="1781FBBD" w14:textId="77777777" w:rsidR="000B1B81" w:rsidRPr="00257E5C" w:rsidRDefault="000B1B81" w:rsidP="00E25A4C">
      <w:pPr>
        <w:tabs>
          <w:tab w:val="clear" w:pos="284"/>
          <w:tab w:val="left" w:pos="9180"/>
        </w:tabs>
        <w:ind w:right="-60"/>
        <w:rPr>
          <w:szCs w:val="22"/>
        </w:rPr>
      </w:pPr>
    </w:p>
    <w:p w14:paraId="70A3343C" w14:textId="5B184D4C" w:rsidR="000B1B81" w:rsidRPr="00257E5C" w:rsidRDefault="000B1B81" w:rsidP="00E25A4C">
      <w:pPr>
        <w:tabs>
          <w:tab w:val="clear" w:pos="284"/>
          <w:tab w:val="left" w:pos="9180"/>
        </w:tabs>
        <w:ind w:right="-60"/>
        <w:rPr>
          <w:szCs w:val="22"/>
        </w:rPr>
      </w:pPr>
      <w:r w:rsidRPr="00257E5C">
        <w:rPr>
          <w:szCs w:val="22"/>
        </w:rPr>
        <w:t xml:space="preserve">Stoga se savjetuje oprez, naročito kod pacijenata sa oštećenjem </w:t>
      </w:r>
      <w:r w:rsidR="008C4AED" w:rsidRPr="00257E5C">
        <w:rPr>
          <w:szCs w:val="22"/>
        </w:rPr>
        <w:t>bubrežne funkcije, kad se ovi l</w:t>
      </w:r>
      <w:r w:rsidRPr="00257E5C">
        <w:rPr>
          <w:szCs w:val="22"/>
        </w:rPr>
        <w:t>jekovi primjenjuju istovremeno sa metforminom, pošto se može povećati koncentracija metformina u plazmi. Ukoliko je to potrebno, može se razmotriti</w:t>
      </w:r>
      <w:r w:rsidR="0096517F" w:rsidRPr="00257E5C">
        <w:rPr>
          <w:szCs w:val="22"/>
        </w:rPr>
        <w:t xml:space="preserve"> prilagođavanje doze metformina</w:t>
      </w:r>
      <w:r w:rsidRPr="00257E5C">
        <w:rPr>
          <w:szCs w:val="22"/>
        </w:rPr>
        <w:t>, s obzirom da inhibitori/induktori OCT-a mogu izmijeniti efikasnost metformina.</w:t>
      </w:r>
    </w:p>
    <w:p w14:paraId="1F73E18A" w14:textId="77777777" w:rsidR="000B1B81" w:rsidRPr="00257E5C" w:rsidRDefault="000B1B81" w:rsidP="00E25A4C">
      <w:pPr>
        <w:rPr>
          <w:b/>
          <w:bCs/>
          <w:szCs w:val="22"/>
        </w:rPr>
      </w:pPr>
    </w:p>
    <w:p w14:paraId="51B6E403" w14:textId="79148A7E" w:rsidR="00F05366" w:rsidRPr="00257E5C" w:rsidRDefault="00CE09F3" w:rsidP="00E25A4C">
      <w:pPr>
        <w:tabs>
          <w:tab w:val="left" w:pos="540"/>
          <w:tab w:val="left" w:pos="569"/>
        </w:tabs>
        <w:rPr>
          <w:b/>
          <w:bCs/>
          <w:szCs w:val="22"/>
        </w:rPr>
      </w:pPr>
      <w:r w:rsidRPr="00257E5C">
        <w:rPr>
          <w:b/>
          <w:bCs/>
          <w:szCs w:val="22"/>
        </w:rPr>
        <w:t>4.6.</w:t>
      </w:r>
      <w:r w:rsidR="00F05366" w:rsidRPr="00257E5C">
        <w:rPr>
          <w:b/>
          <w:bCs/>
          <w:szCs w:val="22"/>
        </w:rPr>
        <w:t xml:space="preserve">  </w:t>
      </w:r>
      <w:r w:rsidRPr="00257E5C">
        <w:rPr>
          <w:b/>
          <w:bCs/>
          <w:szCs w:val="22"/>
        </w:rPr>
        <w:t xml:space="preserve"> </w:t>
      </w:r>
      <w:r w:rsidR="00EE4B6D" w:rsidRPr="00257E5C">
        <w:rPr>
          <w:b/>
          <w:bCs/>
          <w:szCs w:val="22"/>
        </w:rPr>
        <w:t>Plodnost, trudnoća i dojenje</w:t>
      </w:r>
    </w:p>
    <w:p w14:paraId="4DA3845A" w14:textId="77777777" w:rsidR="00A047F4" w:rsidRPr="00257E5C" w:rsidRDefault="00A047F4" w:rsidP="00E25A4C">
      <w:pPr>
        <w:pStyle w:val="BodyText"/>
        <w:jc w:val="both"/>
        <w:rPr>
          <w:b w:val="0"/>
          <w:bCs w:val="0"/>
          <w:i/>
          <w:sz w:val="22"/>
          <w:szCs w:val="22"/>
          <w:u w:val="single"/>
          <w:lang w:val="sr-Latn-CS" w:eastAsia="en-US"/>
        </w:rPr>
      </w:pPr>
    </w:p>
    <w:p w14:paraId="45F6D21E" w14:textId="10B6BDFE" w:rsidR="00A047F4" w:rsidRPr="00257E5C" w:rsidRDefault="00A047F4" w:rsidP="00E25A4C">
      <w:pPr>
        <w:pStyle w:val="BodyText"/>
        <w:jc w:val="both"/>
        <w:rPr>
          <w:b w:val="0"/>
          <w:bCs w:val="0"/>
          <w:iCs/>
          <w:sz w:val="22"/>
          <w:szCs w:val="22"/>
          <w:u w:val="single"/>
          <w:lang w:val="sr-Latn-CS" w:eastAsia="en-US"/>
        </w:rPr>
      </w:pPr>
      <w:r w:rsidRPr="00257E5C">
        <w:rPr>
          <w:b w:val="0"/>
          <w:bCs w:val="0"/>
          <w:iCs/>
          <w:sz w:val="22"/>
          <w:szCs w:val="22"/>
          <w:u w:val="single"/>
          <w:lang w:val="sr-Latn-CS" w:eastAsia="en-US"/>
        </w:rPr>
        <w:t>Plodnost</w:t>
      </w:r>
    </w:p>
    <w:p w14:paraId="28E7A9C8" w14:textId="77777777" w:rsidR="00A047F4" w:rsidRPr="00257E5C" w:rsidRDefault="00A047F4" w:rsidP="00E25A4C">
      <w:pPr>
        <w:pStyle w:val="BodyText"/>
        <w:jc w:val="both"/>
        <w:rPr>
          <w:b w:val="0"/>
          <w:bCs w:val="0"/>
          <w:i/>
          <w:sz w:val="22"/>
          <w:szCs w:val="22"/>
          <w:u w:val="single"/>
          <w:lang w:val="sr-Latn-CS" w:eastAsia="en-US"/>
        </w:rPr>
      </w:pPr>
    </w:p>
    <w:p w14:paraId="5A69322D" w14:textId="5EA8C82D" w:rsidR="00A047F4" w:rsidRPr="00257E5C" w:rsidRDefault="00A047F4" w:rsidP="00E25A4C">
      <w:pPr>
        <w:rPr>
          <w:szCs w:val="22"/>
        </w:rPr>
      </w:pPr>
      <w:r w:rsidRPr="00257E5C">
        <w:rPr>
          <w:bCs/>
          <w:szCs w:val="22"/>
        </w:rPr>
        <w:t xml:space="preserve">Fertilitet kod pacova muškog i ženskog pola nije bio promijenjen </w:t>
      </w:r>
      <w:r w:rsidR="00AC507D" w:rsidRPr="00257E5C">
        <w:rPr>
          <w:bCs/>
          <w:szCs w:val="22"/>
        </w:rPr>
        <w:t>nakon primjene</w:t>
      </w:r>
      <w:r w:rsidRPr="00257E5C">
        <w:rPr>
          <w:bCs/>
          <w:szCs w:val="22"/>
        </w:rPr>
        <w:t xml:space="preserve"> visokih doza metformina, kao što je 600 mg/kg/dan, što je </w:t>
      </w:r>
      <w:r w:rsidR="00AC507D" w:rsidRPr="00257E5C">
        <w:rPr>
          <w:bCs/>
          <w:szCs w:val="22"/>
        </w:rPr>
        <w:t xml:space="preserve">približno </w:t>
      </w:r>
      <w:r w:rsidRPr="00257E5C">
        <w:rPr>
          <w:bCs/>
          <w:szCs w:val="22"/>
        </w:rPr>
        <w:t>tri puta više od maksimalnih dnevno preporučenih doza kod čovjeka, računato prema površini tijela.</w:t>
      </w:r>
    </w:p>
    <w:p w14:paraId="6E0608D7" w14:textId="77777777" w:rsidR="00137369" w:rsidRPr="00257E5C" w:rsidRDefault="00137369" w:rsidP="00E25A4C">
      <w:pPr>
        <w:rPr>
          <w:szCs w:val="22"/>
        </w:rPr>
      </w:pPr>
    </w:p>
    <w:p w14:paraId="2839DB1A" w14:textId="77777777" w:rsidR="00390C16" w:rsidRPr="00257E5C" w:rsidRDefault="00390C16" w:rsidP="00E25A4C">
      <w:pPr>
        <w:pStyle w:val="BodyText"/>
        <w:jc w:val="both"/>
        <w:rPr>
          <w:b w:val="0"/>
          <w:bCs w:val="0"/>
          <w:iCs/>
          <w:sz w:val="22"/>
          <w:szCs w:val="22"/>
          <w:u w:val="single"/>
          <w:lang w:val="sr-Latn-CS" w:eastAsia="en-US"/>
        </w:rPr>
      </w:pPr>
      <w:r w:rsidRPr="00257E5C">
        <w:rPr>
          <w:b w:val="0"/>
          <w:bCs w:val="0"/>
          <w:iCs/>
          <w:sz w:val="22"/>
          <w:szCs w:val="22"/>
          <w:u w:val="single"/>
          <w:lang w:val="sr-Latn-CS" w:eastAsia="en-US"/>
        </w:rPr>
        <w:lastRenderedPageBreak/>
        <w:t>Trudnoća</w:t>
      </w:r>
    </w:p>
    <w:p w14:paraId="7E97B4DF" w14:textId="77777777" w:rsidR="001A6DF3" w:rsidRPr="00257E5C" w:rsidRDefault="001A6DF3" w:rsidP="00E25A4C">
      <w:pPr>
        <w:pStyle w:val="BodyText"/>
        <w:jc w:val="both"/>
        <w:rPr>
          <w:b w:val="0"/>
          <w:bCs w:val="0"/>
          <w:sz w:val="22"/>
          <w:szCs w:val="22"/>
          <w:lang w:val="sr-Latn-CS" w:eastAsia="en-US"/>
        </w:rPr>
      </w:pPr>
    </w:p>
    <w:p w14:paraId="2E6AC059" w14:textId="383FCA2A" w:rsidR="00F470B6" w:rsidRPr="00257E5C" w:rsidRDefault="00F470B6" w:rsidP="00E25A4C">
      <w:pPr>
        <w:pStyle w:val="BodyText"/>
        <w:jc w:val="both"/>
        <w:rPr>
          <w:b w:val="0"/>
          <w:bCs w:val="0"/>
          <w:sz w:val="22"/>
          <w:szCs w:val="22"/>
          <w:lang w:val="sr-Latn-CS" w:eastAsia="en-US"/>
        </w:rPr>
      </w:pPr>
      <w:r w:rsidRPr="00257E5C">
        <w:rPr>
          <w:b w:val="0"/>
          <w:bCs w:val="0"/>
          <w:sz w:val="22"/>
          <w:szCs w:val="22"/>
          <w:lang w:val="sr-Latn-CS" w:eastAsia="en-US"/>
        </w:rPr>
        <w:t xml:space="preserve">Nekontrolisana hiperglikemija u perikoncepcijskom periodu ili tokom trudnoće povezana je sa povećanim rizikom od kongenitalnih anomalija, gubitka trudnoće, hipertenzije izazvane trudnoćom, preeklampsije i perinatalnog mortaliteta. </w:t>
      </w:r>
      <w:r w:rsidR="001A6DF3" w:rsidRPr="00257E5C">
        <w:rPr>
          <w:b w:val="0"/>
          <w:bCs w:val="0"/>
          <w:sz w:val="22"/>
          <w:szCs w:val="22"/>
          <w:lang w:val="sr-Latn-CS" w:eastAsia="en-US"/>
        </w:rPr>
        <w:t xml:space="preserve">Tokom trudnoće, važno </w:t>
      </w:r>
      <w:r w:rsidRPr="00257E5C">
        <w:rPr>
          <w:b w:val="0"/>
          <w:bCs w:val="0"/>
          <w:sz w:val="22"/>
          <w:szCs w:val="22"/>
          <w:lang w:val="sr-Latn-CS" w:eastAsia="en-US"/>
        </w:rPr>
        <w:t xml:space="preserve">je održavati nivo glukoze u krvi što je moguće bliže normalnim vrijednostima, kako bi se redukovao rizik od neželjenih posljedica izazvanih hiperglikemijom kod majke i kod djeteta. </w:t>
      </w:r>
    </w:p>
    <w:p w14:paraId="5061E096" w14:textId="1C0E16A6" w:rsidR="00F470B6" w:rsidRPr="00257E5C" w:rsidRDefault="00F470B6" w:rsidP="00E25A4C">
      <w:pPr>
        <w:pStyle w:val="BodyText"/>
        <w:jc w:val="both"/>
        <w:rPr>
          <w:b w:val="0"/>
          <w:bCs w:val="0"/>
          <w:sz w:val="22"/>
          <w:szCs w:val="22"/>
          <w:lang w:val="sr-Latn-CS" w:eastAsia="en-US"/>
        </w:rPr>
      </w:pPr>
      <w:r w:rsidRPr="00257E5C">
        <w:rPr>
          <w:b w:val="0"/>
          <w:bCs w:val="0"/>
          <w:sz w:val="22"/>
          <w:szCs w:val="22"/>
          <w:lang w:val="sr-Latn-CS" w:eastAsia="en-US"/>
        </w:rPr>
        <w:t>Metformin prolazi place</w:t>
      </w:r>
      <w:r w:rsidR="00E920EF" w:rsidRPr="00257E5C">
        <w:rPr>
          <w:b w:val="0"/>
          <w:bCs w:val="0"/>
          <w:sz w:val="22"/>
          <w:szCs w:val="22"/>
          <w:lang w:val="sr-Latn-CS" w:eastAsia="en-US"/>
        </w:rPr>
        <w:t>n</w:t>
      </w:r>
      <w:r w:rsidRPr="00257E5C">
        <w:rPr>
          <w:b w:val="0"/>
          <w:bCs w:val="0"/>
          <w:sz w:val="22"/>
          <w:szCs w:val="22"/>
          <w:lang w:val="sr-Latn-CS" w:eastAsia="en-US"/>
        </w:rPr>
        <w:t>tu u koncentraciji koja može biti ista kao kod majke.</w:t>
      </w:r>
    </w:p>
    <w:p w14:paraId="55F1B48E" w14:textId="77777777" w:rsidR="00F470B6" w:rsidRPr="00257E5C" w:rsidRDefault="00F470B6" w:rsidP="00E25A4C">
      <w:pPr>
        <w:pStyle w:val="BodyText"/>
        <w:jc w:val="both"/>
        <w:rPr>
          <w:b w:val="0"/>
          <w:bCs w:val="0"/>
          <w:sz w:val="22"/>
          <w:szCs w:val="22"/>
          <w:lang w:val="sr-Latn-CS" w:eastAsia="en-US"/>
        </w:rPr>
      </w:pPr>
    </w:p>
    <w:p w14:paraId="34A8922A" w14:textId="09B665EA" w:rsidR="00F470B6" w:rsidRPr="00257E5C" w:rsidRDefault="00393E1D" w:rsidP="00E25A4C">
      <w:pPr>
        <w:pStyle w:val="BodyText"/>
        <w:jc w:val="both"/>
        <w:rPr>
          <w:b w:val="0"/>
          <w:bCs w:val="0"/>
          <w:sz w:val="22"/>
          <w:szCs w:val="22"/>
          <w:lang w:val="sr-Latn-CS" w:eastAsia="en-US"/>
        </w:rPr>
      </w:pPr>
      <w:r w:rsidRPr="00257E5C">
        <w:rPr>
          <w:b w:val="0"/>
          <w:bCs w:val="0"/>
          <w:sz w:val="22"/>
          <w:szCs w:val="22"/>
          <w:lang w:val="sr-Latn-CS" w:eastAsia="en-US"/>
        </w:rPr>
        <w:t>Velika količina</w:t>
      </w:r>
      <w:r w:rsidR="00F470B6" w:rsidRPr="00257E5C">
        <w:rPr>
          <w:b w:val="0"/>
          <w:bCs w:val="0"/>
          <w:sz w:val="22"/>
          <w:szCs w:val="22"/>
          <w:lang w:val="sr-Latn-CS" w:eastAsia="en-US"/>
        </w:rPr>
        <w:t xml:space="preserve"> podataka o trudnicama (više od 1000 ishoda izloženih trudnoća) iz kohortne studije zasnovane na registrima i publikacija</w:t>
      </w:r>
      <w:r w:rsidR="007E7F7B" w:rsidRPr="00257E5C">
        <w:rPr>
          <w:b w:val="0"/>
          <w:bCs w:val="0"/>
          <w:sz w:val="22"/>
          <w:szCs w:val="22"/>
          <w:lang w:val="sr-Latn-CS" w:eastAsia="en-US"/>
        </w:rPr>
        <w:t>ma</w:t>
      </w:r>
      <w:r w:rsidR="00F470B6" w:rsidRPr="00257E5C">
        <w:rPr>
          <w:b w:val="0"/>
          <w:bCs w:val="0"/>
          <w:sz w:val="22"/>
          <w:szCs w:val="22"/>
          <w:lang w:val="sr-Latn-CS" w:eastAsia="en-US"/>
        </w:rPr>
        <w:t xml:space="preserve"> (meta-analize, kliničke studije i registri) ne ukazuju na povećan rizik od kongenitalnih anomalija niti fetalne</w:t>
      </w:r>
      <w:r w:rsidR="001A6DF3" w:rsidRPr="00257E5C">
        <w:rPr>
          <w:b w:val="0"/>
          <w:bCs w:val="0"/>
          <w:sz w:val="22"/>
          <w:szCs w:val="22"/>
          <w:lang w:val="sr-Latn-CS" w:eastAsia="en-US"/>
        </w:rPr>
        <w:t>/</w:t>
      </w:r>
      <w:r w:rsidR="00F470B6" w:rsidRPr="00257E5C">
        <w:rPr>
          <w:b w:val="0"/>
          <w:bCs w:val="0"/>
          <w:sz w:val="22"/>
          <w:szCs w:val="22"/>
          <w:lang w:val="sr-Latn-CS" w:eastAsia="en-US"/>
        </w:rPr>
        <w:t>neonatalne toksičnosti nakon izlaganja metforminu u perikoncepcijskom periodu i/ili tokom trudnoće.</w:t>
      </w:r>
    </w:p>
    <w:p w14:paraId="41FC2249" w14:textId="77777777" w:rsidR="00F470B6" w:rsidRPr="00257E5C" w:rsidRDefault="00F470B6" w:rsidP="00E25A4C">
      <w:pPr>
        <w:pStyle w:val="BodyText"/>
        <w:jc w:val="both"/>
        <w:rPr>
          <w:b w:val="0"/>
          <w:bCs w:val="0"/>
          <w:sz w:val="22"/>
          <w:szCs w:val="22"/>
          <w:lang w:val="sr-Latn-CS" w:eastAsia="en-US"/>
        </w:rPr>
      </w:pPr>
    </w:p>
    <w:p w14:paraId="00BC19DF" w14:textId="6B1FAF1A" w:rsidR="00F470B6" w:rsidRPr="00257E5C" w:rsidRDefault="001A6DF3" w:rsidP="00E25A4C">
      <w:pPr>
        <w:pStyle w:val="BodyText"/>
        <w:jc w:val="both"/>
        <w:rPr>
          <w:b w:val="0"/>
          <w:bCs w:val="0"/>
          <w:sz w:val="22"/>
          <w:szCs w:val="22"/>
          <w:lang w:val="sr-Latn-CS" w:eastAsia="en-US"/>
        </w:rPr>
      </w:pPr>
      <w:r w:rsidRPr="00257E5C">
        <w:rPr>
          <w:b w:val="0"/>
          <w:bCs w:val="0"/>
          <w:sz w:val="22"/>
          <w:szCs w:val="22"/>
          <w:lang w:val="sr-Latn-CS" w:eastAsia="en-US"/>
        </w:rPr>
        <w:t xml:space="preserve">Postoje ograničeni i nejasni dokazi o efektu metformina </w:t>
      </w:r>
      <w:r w:rsidR="00F470B6" w:rsidRPr="00257E5C">
        <w:rPr>
          <w:b w:val="0"/>
          <w:bCs w:val="0"/>
          <w:sz w:val="22"/>
          <w:szCs w:val="22"/>
          <w:lang w:val="sr-Latn-CS" w:eastAsia="en-US"/>
        </w:rPr>
        <w:t xml:space="preserve">na dugoročni ishod tjelesne težine dece izložene </w:t>
      </w:r>
      <w:r w:rsidR="00F470B6" w:rsidRPr="00257E5C">
        <w:rPr>
          <w:b w:val="0"/>
          <w:bCs w:val="0"/>
          <w:i/>
          <w:iCs/>
          <w:sz w:val="22"/>
          <w:szCs w:val="22"/>
          <w:lang w:val="sr-Latn-CS" w:eastAsia="en-US"/>
        </w:rPr>
        <w:t>in utero</w:t>
      </w:r>
      <w:r w:rsidR="00F470B6" w:rsidRPr="00257E5C">
        <w:rPr>
          <w:b w:val="0"/>
          <w:bCs w:val="0"/>
          <w:sz w:val="22"/>
          <w:szCs w:val="22"/>
          <w:lang w:val="sr-Latn-CS" w:eastAsia="en-US"/>
        </w:rPr>
        <w:t xml:space="preserve">. </w:t>
      </w:r>
      <w:r w:rsidRPr="00257E5C">
        <w:rPr>
          <w:b w:val="0"/>
          <w:bCs w:val="0"/>
          <w:sz w:val="22"/>
          <w:szCs w:val="22"/>
          <w:lang w:val="sr-Latn-CS" w:eastAsia="en-US"/>
        </w:rPr>
        <w:t>Čini se da metformin ne utiče</w:t>
      </w:r>
      <w:r w:rsidR="00F470B6" w:rsidRPr="00257E5C">
        <w:rPr>
          <w:b w:val="0"/>
          <w:bCs w:val="0"/>
          <w:sz w:val="22"/>
          <w:szCs w:val="22"/>
          <w:lang w:val="sr-Latn-CS" w:eastAsia="en-US"/>
        </w:rPr>
        <w:t xml:space="preserve"> na motorički i socijalni razvoj djece uzrasta do 4 godine koja su bila izložena metforminu tokom trudnoće, iako su podaci o dugoročnim efektima ograničeni.</w:t>
      </w:r>
    </w:p>
    <w:p w14:paraId="4B394133" w14:textId="77777777" w:rsidR="00F470B6" w:rsidRPr="00257E5C" w:rsidRDefault="00F470B6" w:rsidP="00E25A4C">
      <w:pPr>
        <w:pStyle w:val="BodyText"/>
        <w:jc w:val="both"/>
        <w:rPr>
          <w:b w:val="0"/>
          <w:bCs w:val="0"/>
          <w:sz w:val="22"/>
          <w:szCs w:val="22"/>
          <w:lang w:val="sr-Latn-CS" w:eastAsia="en-US"/>
        </w:rPr>
      </w:pPr>
    </w:p>
    <w:p w14:paraId="44AABFA2" w14:textId="3648272B" w:rsidR="00390C16" w:rsidRPr="00257E5C" w:rsidRDefault="00F470B6" w:rsidP="00E25A4C">
      <w:pPr>
        <w:pStyle w:val="BodyText"/>
        <w:jc w:val="both"/>
        <w:rPr>
          <w:b w:val="0"/>
          <w:bCs w:val="0"/>
          <w:sz w:val="22"/>
          <w:szCs w:val="22"/>
          <w:lang w:val="sr-Latn-CS" w:eastAsia="en-US"/>
        </w:rPr>
      </w:pPr>
      <w:r w:rsidRPr="00257E5C">
        <w:rPr>
          <w:b w:val="0"/>
          <w:bCs w:val="0"/>
          <w:sz w:val="22"/>
          <w:szCs w:val="22"/>
          <w:lang w:val="sr-Latn-CS" w:eastAsia="en-US"/>
        </w:rPr>
        <w:t xml:space="preserve">Ako je klinički opravdano, upotreba metformina </w:t>
      </w:r>
      <w:r w:rsidR="001A6DF3" w:rsidRPr="00257E5C">
        <w:rPr>
          <w:b w:val="0"/>
          <w:bCs w:val="0"/>
          <w:sz w:val="22"/>
          <w:szCs w:val="22"/>
          <w:lang w:val="sr-Latn-CS" w:eastAsia="en-US"/>
        </w:rPr>
        <w:t xml:space="preserve">se može razmotriti </w:t>
      </w:r>
      <w:r w:rsidRPr="00257E5C">
        <w:rPr>
          <w:b w:val="0"/>
          <w:bCs w:val="0"/>
          <w:sz w:val="22"/>
          <w:szCs w:val="22"/>
          <w:lang w:val="sr-Latn-CS" w:eastAsia="en-US"/>
        </w:rPr>
        <w:t xml:space="preserve">tokom trudnoće ili kod žena koje planiraju trudnoću kao dopunska terapija ili </w:t>
      </w:r>
      <w:r w:rsidR="001A6DF3" w:rsidRPr="00257E5C">
        <w:rPr>
          <w:b w:val="0"/>
          <w:bCs w:val="0"/>
          <w:sz w:val="22"/>
          <w:szCs w:val="22"/>
          <w:lang w:val="sr-Latn-CS" w:eastAsia="en-US"/>
        </w:rPr>
        <w:t>alternativa insulinu.</w:t>
      </w:r>
    </w:p>
    <w:p w14:paraId="65868E54" w14:textId="77777777" w:rsidR="00390C16" w:rsidRPr="00257E5C" w:rsidRDefault="00390C16" w:rsidP="00E25A4C">
      <w:pPr>
        <w:pStyle w:val="BodyText"/>
        <w:jc w:val="both"/>
        <w:rPr>
          <w:b w:val="0"/>
          <w:bCs w:val="0"/>
          <w:i/>
          <w:sz w:val="22"/>
          <w:szCs w:val="22"/>
          <w:u w:val="single"/>
          <w:lang w:val="sr-Latn-CS" w:eastAsia="en-US"/>
        </w:rPr>
      </w:pPr>
    </w:p>
    <w:p w14:paraId="760F1C9B" w14:textId="77777777" w:rsidR="00390C16" w:rsidRPr="00257E5C" w:rsidRDefault="00390C16" w:rsidP="00E25A4C">
      <w:pPr>
        <w:pStyle w:val="BodyText"/>
        <w:jc w:val="both"/>
        <w:rPr>
          <w:b w:val="0"/>
          <w:bCs w:val="0"/>
          <w:iCs/>
          <w:sz w:val="22"/>
          <w:szCs w:val="22"/>
          <w:u w:val="single"/>
          <w:lang w:val="sr-Latn-CS" w:eastAsia="en-US"/>
        </w:rPr>
      </w:pPr>
      <w:r w:rsidRPr="00257E5C">
        <w:rPr>
          <w:b w:val="0"/>
          <w:bCs w:val="0"/>
          <w:iCs/>
          <w:sz w:val="22"/>
          <w:szCs w:val="22"/>
          <w:u w:val="single"/>
          <w:lang w:val="sr-Latn-CS" w:eastAsia="en-US"/>
        </w:rPr>
        <w:t>Dojenje</w:t>
      </w:r>
    </w:p>
    <w:p w14:paraId="3CC95C52" w14:textId="737453C0" w:rsidR="00390C16" w:rsidRPr="00257E5C" w:rsidRDefault="00390C16" w:rsidP="00E25A4C">
      <w:pPr>
        <w:pStyle w:val="BodyText"/>
        <w:jc w:val="both"/>
        <w:rPr>
          <w:b w:val="0"/>
          <w:bCs w:val="0"/>
          <w:sz w:val="22"/>
          <w:szCs w:val="22"/>
          <w:lang w:val="sr-Latn-CS" w:eastAsia="en-US"/>
        </w:rPr>
      </w:pPr>
      <w:r w:rsidRPr="00257E5C">
        <w:rPr>
          <w:b w:val="0"/>
          <w:bCs w:val="0"/>
          <w:sz w:val="22"/>
          <w:szCs w:val="22"/>
          <w:lang w:val="sr-Latn-CS" w:eastAsia="en-US"/>
        </w:rPr>
        <w:t>Metformin se izlučuje u</w:t>
      </w:r>
      <w:r w:rsidR="00984C0E" w:rsidRPr="00257E5C">
        <w:rPr>
          <w:b w:val="0"/>
          <w:bCs w:val="0"/>
          <w:sz w:val="22"/>
          <w:szCs w:val="22"/>
          <w:lang w:val="sr-Latn-CS" w:eastAsia="en-US"/>
        </w:rPr>
        <w:t xml:space="preserve"> majčino</w:t>
      </w:r>
      <w:r w:rsidRPr="00257E5C">
        <w:rPr>
          <w:b w:val="0"/>
          <w:bCs w:val="0"/>
          <w:sz w:val="22"/>
          <w:szCs w:val="22"/>
          <w:lang w:val="sr-Latn-CS" w:eastAsia="en-US"/>
        </w:rPr>
        <w:t xml:space="preserve"> ml</w:t>
      </w:r>
      <w:r w:rsidR="0082202C" w:rsidRPr="00257E5C">
        <w:rPr>
          <w:b w:val="0"/>
          <w:bCs w:val="0"/>
          <w:sz w:val="22"/>
          <w:szCs w:val="22"/>
          <w:lang w:val="sr-Latn-CS" w:eastAsia="en-US"/>
        </w:rPr>
        <w:t>ij</w:t>
      </w:r>
      <w:r w:rsidR="00984C0E" w:rsidRPr="00257E5C">
        <w:rPr>
          <w:b w:val="0"/>
          <w:bCs w:val="0"/>
          <w:sz w:val="22"/>
          <w:szCs w:val="22"/>
          <w:lang w:val="sr-Latn-CS" w:eastAsia="en-US"/>
        </w:rPr>
        <w:t>eko</w:t>
      </w:r>
      <w:r w:rsidRPr="00257E5C">
        <w:rPr>
          <w:b w:val="0"/>
          <w:bCs w:val="0"/>
          <w:sz w:val="22"/>
          <w:szCs w:val="22"/>
          <w:lang w:val="sr-Latn-CS" w:eastAsia="en-US"/>
        </w:rPr>
        <w:t>. Ni</w:t>
      </w:r>
      <w:r w:rsidR="00E546EF" w:rsidRPr="00257E5C">
        <w:rPr>
          <w:b w:val="0"/>
          <w:bCs w:val="0"/>
          <w:sz w:val="22"/>
          <w:szCs w:val="22"/>
          <w:lang w:val="sr-Latn-CS" w:eastAsia="en-US"/>
        </w:rPr>
        <w:t>je</w:t>
      </w:r>
      <w:r w:rsidRPr="00257E5C">
        <w:rPr>
          <w:b w:val="0"/>
          <w:bCs w:val="0"/>
          <w:sz w:val="22"/>
          <w:szCs w:val="22"/>
          <w:lang w:val="sr-Latn-CS" w:eastAsia="en-US"/>
        </w:rPr>
        <w:t>su prim</w:t>
      </w:r>
      <w:r w:rsidR="00E546EF" w:rsidRPr="00257E5C">
        <w:rPr>
          <w:b w:val="0"/>
          <w:bCs w:val="0"/>
          <w:sz w:val="22"/>
          <w:szCs w:val="22"/>
          <w:lang w:val="sr-Latn-CS" w:eastAsia="en-US"/>
        </w:rPr>
        <w:t>i</w:t>
      </w:r>
      <w:r w:rsidR="0082202C" w:rsidRPr="00257E5C">
        <w:rPr>
          <w:b w:val="0"/>
          <w:bCs w:val="0"/>
          <w:sz w:val="22"/>
          <w:szCs w:val="22"/>
          <w:lang w:val="sr-Latn-CS" w:eastAsia="en-US"/>
        </w:rPr>
        <w:t>j</w:t>
      </w:r>
      <w:r w:rsidRPr="00257E5C">
        <w:rPr>
          <w:b w:val="0"/>
          <w:bCs w:val="0"/>
          <w:sz w:val="22"/>
          <w:szCs w:val="22"/>
          <w:lang w:val="sr-Latn-CS" w:eastAsia="en-US"/>
        </w:rPr>
        <w:t xml:space="preserve">ećeni neželjeni efekti </w:t>
      </w:r>
      <w:r w:rsidR="00E41511" w:rsidRPr="00257E5C">
        <w:rPr>
          <w:b w:val="0"/>
          <w:bCs w:val="0"/>
          <w:sz w:val="22"/>
          <w:szCs w:val="22"/>
          <w:lang w:val="sr-Latn-CS" w:eastAsia="en-US"/>
        </w:rPr>
        <w:t>kod novorođenčadi/odojčadi koja doje</w:t>
      </w:r>
      <w:r w:rsidRPr="00257E5C">
        <w:rPr>
          <w:b w:val="0"/>
          <w:bCs w:val="0"/>
          <w:sz w:val="22"/>
          <w:szCs w:val="22"/>
          <w:lang w:val="sr-Latn-CS" w:eastAsia="en-US"/>
        </w:rPr>
        <w:t>. Ipak, usl</w:t>
      </w:r>
      <w:r w:rsidR="003B2818" w:rsidRPr="00257E5C">
        <w:rPr>
          <w:b w:val="0"/>
          <w:bCs w:val="0"/>
          <w:sz w:val="22"/>
          <w:szCs w:val="22"/>
          <w:lang w:val="sr-Latn-CS" w:eastAsia="en-US"/>
        </w:rPr>
        <w:t>j</w:t>
      </w:r>
      <w:r w:rsidRPr="00257E5C">
        <w:rPr>
          <w:b w:val="0"/>
          <w:bCs w:val="0"/>
          <w:sz w:val="22"/>
          <w:szCs w:val="22"/>
          <w:lang w:val="sr-Latn-CS" w:eastAsia="en-US"/>
        </w:rPr>
        <w:t>ed ograničenih podataka, doj</w:t>
      </w:r>
      <w:r w:rsidR="00E41511" w:rsidRPr="00257E5C">
        <w:rPr>
          <w:b w:val="0"/>
          <w:bCs w:val="0"/>
          <w:sz w:val="22"/>
          <w:szCs w:val="22"/>
          <w:lang w:val="sr-Latn-CS" w:eastAsia="en-US"/>
        </w:rPr>
        <w:t>enje nije preporučeno tokom terapije metforminom</w:t>
      </w:r>
      <w:r w:rsidRPr="00257E5C">
        <w:rPr>
          <w:b w:val="0"/>
          <w:bCs w:val="0"/>
          <w:sz w:val="22"/>
          <w:szCs w:val="22"/>
          <w:lang w:val="sr-Latn-CS" w:eastAsia="en-US"/>
        </w:rPr>
        <w:t>.</w:t>
      </w:r>
      <w:r w:rsidR="00F05366" w:rsidRPr="00257E5C">
        <w:rPr>
          <w:b w:val="0"/>
          <w:bCs w:val="0"/>
          <w:sz w:val="22"/>
          <w:szCs w:val="22"/>
          <w:lang w:val="sr-Latn-CS" w:eastAsia="en-US"/>
        </w:rPr>
        <w:t xml:space="preserve"> </w:t>
      </w:r>
      <w:r w:rsidRPr="00257E5C">
        <w:rPr>
          <w:b w:val="0"/>
          <w:bCs w:val="0"/>
          <w:sz w:val="22"/>
          <w:szCs w:val="22"/>
          <w:lang w:val="sr-Latn-CS" w:eastAsia="en-US"/>
        </w:rPr>
        <w:t>Odluku o prekidu dojenja treba don</w:t>
      </w:r>
      <w:r w:rsidR="0082202C" w:rsidRPr="00257E5C">
        <w:rPr>
          <w:b w:val="0"/>
          <w:bCs w:val="0"/>
          <w:sz w:val="22"/>
          <w:szCs w:val="22"/>
          <w:lang w:val="sr-Latn-CS" w:eastAsia="en-US"/>
        </w:rPr>
        <w:t>ij</w:t>
      </w:r>
      <w:r w:rsidRPr="00257E5C">
        <w:rPr>
          <w:b w:val="0"/>
          <w:bCs w:val="0"/>
          <w:sz w:val="22"/>
          <w:szCs w:val="22"/>
          <w:lang w:val="sr-Latn-CS" w:eastAsia="en-US"/>
        </w:rPr>
        <w:t>eti uzimajući u obzir važnost dojenja i moguće rizike od neželjenih efekata na d</w:t>
      </w:r>
      <w:r w:rsidR="0082202C" w:rsidRPr="00257E5C">
        <w:rPr>
          <w:b w:val="0"/>
          <w:bCs w:val="0"/>
          <w:sz w:val="22"/>
          <w:szCs w:val="22"/>
          <w:lang w:val="sr-Latn-CS" w:eastAsia="en-US"/>
        </w:rPr>
        <w:t>ij</w:t>
      </w:r>
      <w:r w:rsidRPr="00257E5C">
        <w:rPr>
          <w:b w:val="0"/>
          <w:bCs w:val="0"/>
          <w:sz w:val="22"/>
          <w:szCs w:val="22"/>
          <w:lang w:val="sr-Latn-CS" w:eastAsia="en-US"/>
        </w:rPr>
        <w:t>ete.</w:t>
      </w:r>
    </w:p>
    <w:p w14:paraId="20B99AAB" w14:textId="77777777" w:rsidR="00CE09F3" w:rsidRPr="00257E5C" w:rsidRDefault="00CE09F3" w:rsidP="00E25A4C">
      <w:pPr>
        <w:rPr>
          <w:szCs w:val="22"/>
        </w:rPr>
      </w:pPr>
    </w:p>
    <w:p w14:paraId="4A37A8F0" w14:textId="5BE97B05" w:rsidR="00CE09F3" w:rsidRPr="00257E5C" w:rsidRDefault="00CE09F3" w:rsidP="00E25A4C">
      <w:pPr>
        <w:rPr>
          <w:b/>
          <w:bCs/>
          <w:szCs w:val="22"/>
        </w:rPr>
      </w:pPr>
      <w:r w:rsidRPr="00257E5C">
        <w:rPr>
          <w:b/>
          <w:bCs/>
          <w:spacing w:val="-8"/>
          <w:szCs w:val="22"/>
        </w:rPr>
        <w:t xml:space="preserve">4.7. </w:t>
      </w:r>
      <w:r w:rsidR="00F05366" w:rsidRPr="00257E5C">
        <w:rPr>
          <w:b/>
          <w:bCs/>
          <w:spacing w:val="-8"/>
          <w:szCs w:val="22"/>
        </w:rPr>
        <w:t xml:space="preserve">  </w:t>
      </w:r>
      <w:r w:rsidR="00A047F4" w:rsidRPr="00257E5C">
        <w:rPr>
          <w:b/>
          <w:bCs/>
          <w:szCs w:val="22"/>
        </w:rPr>
        <w:t>Uticaj na sposobnost upravljanja vozilima i rukovanje mašinama</w:t>
      </w:r>
    </w:p>
    <w:p w14:paraId="1D710D80" w14:textId="77777777" w:rsidR="00AC507D" w:rsidRPr="00257E5C" w:rsidRDefault="00AC507D" w:rsidP="00E25A4C">
      <w:pPr>
        <w:rPr>
          <w:szCs w:val="22"/>
        </w:rPr>
      </w:pPr>
    </w:p>
    <w:p w14:paraId="5458E5C3" w14:textId="15B8527A" w:rsidR="00390C16" w:rsidRPr="00257E5C" w:rsidRDefault="0066420D" w:rsidP="00E25A4C">
      <w:pPr>
        <w:pStyle w:val="BodyText"/>
        <w:jc w:val="both"/>
        <w:rPr>
          <w:b w:val="0"/>
          <w:bCs w:val="0"/>
          <w:sz w:val="22"/>
          <w:szCs w:val="22"/>
          <w:lang w:val="sr-Latn-CS" w:eastAsia="en-US"/>
        </w:rPr>
      </w:pPr>
      <w:r w:rsidRPr="00257E5C">
        <w:rPr>
          <w:b w:val="0"/>
          <w:bCs w:val="0"/>
          <w:sz w:val="22"/>
          <w:szCs w:val="22"/>
          <w:lang w:val="sr-Latn-CS" w:eastAsia="en-US"/>
        </w:rPr>
        <w:t xml:space="preserve">Metformin </w:t>
      </w:r>
      <w:r w:rsidR="00390C16" w:rsidRPr="00257E5C">
        <w:rPr>
          <w:b w:val="0"/>
          <w:bCs w:val="0"/>
          <w:sz w:val="22"/>
          <w:szCs w:val="22"/>
          <w:lang w:val="sr-Latn-CS" w:eastAsia="en-US"/>
        </w:rPr>
        <w:t>kao monoterapija ne izaziva hipoglikemiju, tako da ne utiče na sposobnost upravljanja motornim vozilom ili rukovanje mašinama.</w:t>
      </w:r>
    </w:p>
    <w:p w14:paraId="71735D3A" w14:textId="77777777" w:rsidR="00390C16" w:rsidRPr="00257E5C" w:rsidRDefault="00390C16" w:rsidP="00E25A4C">
      <w:pPr>
        <w:pStyle w:val="BodyText"/>
        <w:jc w:val="both"/>
        <w:rPr>
          <w:b w:val="0"/>
          <w:bCs w:val="0"/>
          <w:sz w:val="22"/>
          <w:szCs w:val="22"/>
          <w:lang w:val="sr-Latn-CS" w:eastAsia="en-US"/>
        </w:rPr>
      </w:pPr>
    </w:p>
    <w:p w14:paraId="71CC6FC8" w14:textId="64870826" w:rsidR="00390C16" w:rsidRPr="00257E5C" w:rsidRDefault="00390C16" w:rsidP="00E25A4C">
      <w:pPr>
        <w:pStyle w:val="BodyText"/>
        <w:jc w:val="both"/>
        <w:rPr>
          <w:b w:val="0"/>
          <w:bCs w:val="0"/>
          <w:sz w:val="22"/>
          <w:szCs w:val="22"/>
          <w:lang w:val="sr-Latn-CS" w:eastAsia="en-US"/>
        </w:rPr>
      </w:pPr>
      <w:r w:rsidRPr="00257E5C">
        <w:rPr>
          <w:b w:val="0"/>
          <w:bCs w:val="0"/>
          <w:sz w:val="22"/>
          <w:szCs w:val="22"/>
          <w:lang w:val="sr-Latn-CS" w:eastAsia="en-US"/>
        </w:rPr>
        <w:t>Međutim, pacijente treba upozoriti na rizik od hipoglikemije kada se metformin koristi u kombinaciji sa drugim antidijabeticima (</w:t>
      </w:r>
      <w:r w:rsidR="0066420D" w:rsidRPr="00257E5C">
        <w:rPr>
          <w:b w:val="0"/>
          <w:bCs w:val="0"/>
          <w:sz w:val="22"/>
          <w:szCs w:val="22"/>
          <w:lang w:val="sr-Latn-CS" w:eastAsia="en-US"/>
        </w:rPr>
        <w:t>npr.</w:t>
      </w:r>
      <w:r w:rsidRPr="00257E5C">
        <w:rPr>
          <w:b w:val="0"/>
          <w:bCs w:val="0"/>
          <w:sz w:val="22"/>
          <w:szCs w:val="22"/>
          <w:lang w:val="sr-Latn-CS" w:eastAsia="en-US"/>
        </w:rPr>
        <w:t xml:space="preserve"> </w:t>
      </w:r>
      <w:r w:rsidR="00497553" w:rsidRPr="00257E5C">
        <w:rPr>
          <w:b w:val="0"/>
          <w:bCs w:val="0"/>
          <w:sz w:val="22"/>
          <w:szCs w:val="22"/>
          <w:lang w:val="sr-Latn-CS" w:eastAsia="en-US"/>
        </w:rPr>
        <w:t>sulfonilurejom</w:t>
      </w:r>
      <w:r w:rsidR="0066420D" w:rsidRPr="00257E5C">
        <w:rPr>
          <w:b w:val="0"/>
          <w:bCs w:val="0"/>
          <w:sz w:val="22"/>
          <w:szCs w:val="22"/>
          <w:lang w:val="sr-Latn-CS" w:eastAsia="en-US"/>
        </w:rPr>
        <w:t>, insulinom ili</w:t>
      </w:r>
      <w:r w:rsidRPr="00257E5C">
        <w:rPr>
          <w:b w:val="0"/>
          <w:bCs w:val="0"/>
          <w:sz w:val="22"/>
          <w:szCs w:val="22"/>
          <w:lang w:val="sr-Latn-CS" w:eastAsia="en-US"/>
        </w:rPr>
        <w:t xml:space="preserve"> meglitinidom).</w:t>
      </w:r>
    </w:p>
    <w:p w14:paraId="7EF1BC56" w14:textId="77777777" w:rsidR="00390C16" w:rsidRPr="00257E5C" w:rsidRDefault="00390C16" w:rsidP="00E25A4C">
      <w:pPr>
        <w:rPr>
          <w:b/>
          <w:bCs/>
          <w:szCs w:val="22"/>
        </w:rPr>
      </w:pPr>
    </w:p>
    <w:p w14:paraId="350EE04C" w14:textId="77777777" w:rsidR="00CE09F3" w:rsidRPr="00257E5C" w:rsidRDefault="00CE09F3" w:rsidP="00E25A4C">
      <w:pPr>
        <w:rPr>
          <w:b/>
          <w:bCs/>
          <w:szCs w:val="22"/>
        </w:rPr>
      </w:pPr>
      <w:r w:rsidRPr="00257E5C">
        <w:rPr>
          <w:b/>
          <w:bCs/>
          <w:szCs w:val="22"/>
        </w:rPr>
        <w:t>4.8. Neželjena dejstva</w:t>
      </w:r>
    </w:p>
    <w:p w14:paraId="4E394B45" w14:textId="77777777" w:rsidR="00CE09F3" w:rsidRPr="00257E5C" w:rsidRDefault="00CE09F3" w:rsidP="00E25A4C">
      <w:pPr>
        <w:rPr>
          <w:noProof/>
          <w:szCs w:val="22"/>
          <w:u w:val="single"/>
        </w:rPr>
      </w:pPr>
    </w:p>
    <w:p w14:paraId="07097AC6" w14:textId="4AFA3540" w:rsidR="00390C16" w:rsidRPr="00257E5C" w:rsidRDefault="00390C16" w:rsidP="00E25A4C">
      <w:pPr>
        <w:rPr>
          <w:szCs w:val="22"/>
        </w:rPr>
      </w:pPr>
      <w:r w:rsidRPr="00257E5C">
        <w:rPr>
          <w:szCs w:val="22"/>
        </w:rPr>
        <w:t>Podaci prikupljeni u periodu nakon puštanja l</w:t>
      </w:r>
      <w:r w:rsidR="0082202C" w:rsidRPr="00257E5C">
        <w:rPr>
          <w:szCs w:val="22"/>
        </w:rPr>
        <w:t>ij</w:t>
      </w:r>
      <w:r w:rsidRPr="00257E5C">
        <w:rPr>
          <w:szCs w:val="22"/>
        </w:rPr>
        <w:t xml:space="preserve">eka u promet i iz kontrolisanih kliničkih ispitivanja, su pokazali da su </w:t>
      </w:r>
      <w:r w:rsidR="002310CC" w:rsidRPr="00257E5C">
        <w:rPr>
          <w:szCs w:val="22"/>
        </w:rPr>
        <w:t xml:space="preserve">prijavljene </w:t>
      </w:r>
      <w:r w:rsidRPr="00257E5C">
        <w:rPr>
          <w:szCs w:val="22"/>
        </w:rPr>
        <w:t>neželjene reakcije kod pacijenata l</w:t>
      </w:r>
      <w:r w:rsidR="0082202C" w:rsidRPr="00257E5C">
        <w:rPr>
          <w:szCs w:val="22"/>
        </w:rPr>
        <w:t>ij</w:t>
      </w:r>
      <w:r w:rsidRPr="00257E5C">
        <w:rPr>
          <w:szCs w:val="22"/>
        </w:rPr>
        <w:t>ečenih l</w:t>
      </w:r>
      <w:r w:rsidR="0082202C" w:rsidRPr="00257E5C">
        <w:rPr>
          <w:szCs w:val="22"/>
        </w:rPr>
        <w:t>ij</w:t>
      </w:r>
      <w:r w:rsidRPr="00257E5C">
        <w:rPr>
          <w:szCs w:val="22"/>
        </w:rPr>
        <w:t>ekom Glucophage XR bile slične</w:t>
      </w:r>
      <w:r w:rsidR="002310CC" w:rsidRPr="00257E5C">
        <w:rPr>
          <w:szCs w:val="22"/>
        </w:rPr>
        <w:t xml:space="preserve"> po prirodi i težini</w:t>
      </w:r>
      <w:r w:rsidRPr="00257E5C">
        <w:rPr>
          <w:szCs w:val="22"/>
        </w:rPr>
        <w:t xml:space="preserve"> onim kod pacijenata l</w:t>
      </w:r>
      <w:r w:rsidR="0082202C" w:rsidRPr="00257E5C">
        <w:rPr>
          <w:szCs w:val="22"/>
        </w:rPr>
        <w:t>ij</w:t>
      </w:r>
      <w:r w:rsidRPr="00257E5C">
        <w:rPr>
          <w:szCs w:val="22"/>
        </w:rPr>
        <w:t>ečenih l</w:t>
      </w:r>
      <w:r w:rsidR="0082202C" w:rsidRPr="00257E5C">
        <w:rPr>
          <w:szCs w:val="22"/>
        </w:rPr>
        <w:t>ij</w:t>
      </w:r>
      <w:r w:rsidRPr="00257E5C">
        <w:rPr>
          <w:szCs w:val="22"/>
        </w:rPr>
        <w:t>ekom Glucophage, film tableta sa trenutnim oslobađanjem.</w:t>
      </w:r>
    </w:p>
    <w:p w14:paraId="11B7B634" w14:textId="77777777" w:rsidR="00390C16" w:rsidRPr="00257E5C" w:rsidRDefault="00390C16" w:rsidP="00E25A4C">
      <w:pPr>
        <w:rPr>
          <w:szCs w:val="22"/>
        </w:rPr>
      </w:pPr>
    </w:p>
    <w:p w14:paraId="4FD5AC2D" w14:textId="6EAADDCE" w:rsidR="00390C16" w:rsidRPr="00257E5C" w:rsidRDefault="00AC507D" w:rsidP="00E25A4C">
      <w:pPr>
        <w:rPr>
          <w:szCs w:val="22"/>
        </w:rPr>
      </w:pPr>
      <w:r w:rsidRPr="00257E5C">
        <w:rPr>
          <w:szCs w:val="22"/>
        </w:rPr>
        <w:t xml:space="preserve">Na početku </w:t>
      </w:r>
      <w:r w:rsidR="00390C16" w:rsidRPr="00257E5C">
        <w:rPr>
          <w:szCs w:val="22"/>
        </w:rPr>
        <w:t xml:space="preserve">terapije, najčešće neželjene reakcije su mučnina, povraćanje, </w:t>
      </w:r>
      <w:r w:rsidR="00604B21" w:rsidRPr="00257E5C">
        <w:rPr>
          <w:szCs w:val="22"/>
        </w:rPr>
        <w:t xml:space="preserve">dijareja, </w:t>
      </w:r>
      <w:r w:rsidR="00390C16" w:rsidRPr="00257E5C">
        <w:rPr>
          <w:szCs w:val="22"/>
        </w:rPr>
        <w:t xml:space="preserve">abdominalni bol i gubitak apetita </w:t>
      </w:r>
      <w:r w:rsidRPr="00257E5C">
        <w:rPr>
          <w:szCs w:val="22"/>
        </w:rPr>
        <w:t>koj</w:t>
      </w:r>
      <w:r w:rsidR="00390C16" w:rsidRPr="00257E5C">
        <w:rPr>
          <w:szCs w:val="22"/>
        </w:rPr>
        <w:t>i prolaze spontano u većini slučajeva.</w:t>
      </w:r>
    </w:p>
    <w:p w14:paraId="1C6921D0" w14:textId="77777777" w:rsidR="009156D3" w:rsidRPr="00257E5C" w:rsidRDefault="009156D3" w:rsidP="00E25A4C">
      <w:pPr>
        <w:rPr>
          <w:szCs w:val="22"/>
        </w:rPr>
      </w:pPr>
    </w:p>
    <w:p w14:paraId="533B1888" w14:textId="2C0C20FF" w:rsidR="00390C16" w:rsidRPr="00257E5C" w:rsidRDefault="00390C16" w:rsidP="00E25A4C">
      <w:pPr>
        <w:autoSpaceDE w:val="0"/>
        <w:autoSpaceDN w:val="0"/>
        <w:adjustRightInd w:val="0"/>
        <w:rPr>
          <w:szCs w:val="22"/>
        </w:rPr>
      </w:pPr>
      <w:r w:rsidRPr="00257E5C">
        <w:rPr>
          <w:szCs w:val="22"/>
        </w:rPr>
        <w:t>Sledeće neželjene reakcije su moguće tokom terapije l</w:t>
      </w:r>
      <w:r w:rsidR="0082202C" w:rsidRPr="00257E5C">
        <w:rPr>
          <w:szCs w:val="22"/>
        </w:rPr>
        <w:t>ij</w:t>
      </w:r>
      <w:r w:rsidRPr="00257E5C">
        <w:rPr>
          <w:szCs w:val="22"/>
        </w:rPr>
        <w:t>ekom Glucophage XR.</w:t>
      </w:r>
    </w:p>
    <w:p w14:paraId="281C6F12" w14:textId="77777777" w:rsidR="003F47B8" w:rsidRPr="00257E5C" w:rsidRDefault="003F47B8" w:rsidP="00E25A4C">
      <w:pPr>
        <w:autoSpaceDE w:val="0"/>
        <w:autoSpaceDN w:val="0"/>
        <w:adjustRightInd w:val="0"/>
        <w:rPr>
          <w:szCs w:val="22"/>
        </w:rPr>
      </w:pPr>
    </w:p>
    <w:p w14:paraId="1D28FF9C" w14:textId="77965FF5" w:rsidR="00390C16" w:rsidRPr="00257E5C" w:rsidRDefault="00390C16" w:rsidP="00E25A4C">
      <w:pPr>
        <w:autoSpaceDE w:val="0"/>
        <w:autoSpaceDN w:val="0"/>
        <w:adjustRightInd w:val="0"/>
        <w:rPr>
          <w:szCs w:val="22"/>
        </w:rPr>
      </w:pPr>
      <w:r w:rsidRPr="00257E5C">
        <w:rPr>
          <w:szCs w:val="22"/>
        </w:rPr>
        <w:t>Učestalost se d</w:t>
      </w:r>
      <w:r w:rsidR="002F5D3E" w:rsidRPr="00257E5C">
        <w:rPr>
          <w:szCs w:val="22"/>
        </w:rPr>
        <w:t>efiniše sl</w:t>
      </w:r>
      <w:r w:rsidR="003B2818" w:rsidRPr="00257E5C">
        <w:rPr>
          <w:szCs w:val="22"/>
        </w:rPr>
        <w:t>j</w:t>
      </w:r>
      <w:r w:rsidR="002F5D3E" w:rsidRPr="00257E5C">
        <w:rPr>
          <w:szCs w:val="22"/>
        </w:rPr>
        <w:t xml:space="preserve">edećim: veoma </w:t>
      </w:r>
      <w:r w:rsidR="00AC507D" w:rsidRPr="00257E5C">
        <w:rPr>
          <w:szCs w:val="22"/>
        </w:rPr>
        <w:t>često</w:t>
      </w:r>
      <w:r w:rsidR="003F47B8" w:rsidRPr="00257E5C">
        <w:rPr>
          <w:szCs w:val="22"/>
        </w:rPr>
        <w:t>: &gt;</w:t>
      </w:r>
      <w:r w:rsidRPr="00257E5C">
        <w:rPr>
          <w:szCs w:val="22"/>
        </w:rPr>
        <w:t xml:space="preserve">1/10; </w:t>
      </w:r>
      <w:r w:rsidR="00AC507D" w:rsidRPr="00257E5C">
        <w:rPr>
          <w:szCs w:val="22"/>
        </w:rPr>
        <w:t>često (</w:t>
      </w:r>
      <w:r w:rsidRPr="00257E5C">
        <w:rPr>
          <w:szCs w:val="22"/>
        </w:rPr>
        <w:t>≥1/100</w:t>
      </w:r>
      <w:r w:rsidR="00AC507D" w:rsidRPr="00257E5C">
        <w:rPr>
          <w:szCs w:val="22"/>
        </w:rPr>
        <w:t xml:space="preserve"> do</w:t>
      </w:r>
      <w:r w:rsidRPr="00257E5C">
        <w:rPr>
          <w:szCs w:val="22"/>
        </w:rPr>
        <w:t xml:space="preserve"> &lt;1/10</w:t>
      </w:r>
      <w:r w:rsidR="00AC507D" w:rsidRPr="00257E5C">
        <w:rPr>
          <w:szCs w:val="22"/>
        </w:rPr>
        <w:t>)</w:t>
      </w:r>
      <w:r w:rsidRPr="00257E5C">
        <w:rPr>
          <w:szCs w:val="22"/>
        </w:rPr>
        <w:t xml:space="preserve">; </w:t>
      </w:r>
      <w:r w:rsidR="00AC507D" w:rsidRPr="00257E5C">
        <w:rPr>
          <w:szCs w:val="22"/>
        </w:rPr>
        <w:t xml:space="preserve">povremeno ( </w:t>
      </w:r>
      <w:r w:rsidRPr="00257E5C">
        <w:rPr>
          <w:szCs w:val="22"/>
        </w:rPr>
        <w:t>≥1/1000</w:t>
      </w:r>
      <w:r w:rsidR="00AC507D" w:rsidRPr="00257E5C">
        <w:rPr>
          <w:szCs w:val="22"/>
        </w:rPr>
        <w:t xml:space="preserve"> do </w:t>
      </w:r>
      <w:r w:rsidRPr="00257E5C">
        <w:rPr>
          <w:szCs w:val="22"/>
        </w:rPr>
        <w:t xml:space="preserve"> &lt;1/100</w:t>
      </w:r>
      <w:r w:rsidR="00AC507D" w:rsidRPr="00257E5C">
        <w:rPr>
          <w:szCs w:val="22"/>
        </w:rPr>
        <w:t>)</w:t>
      </w:r>
      <w:r w:rsidRPr="00257E5C">
        <w:rPr>
          <w:szCs w:val="22"/>
        </w:rPr>
        <w:t xml:space="preserve">; </w:t>
      </w:r>
      <w:r w:rsidR="00AC507D" w:rsidRPr="00257E5C">
        <w:rPr>
          <w:szCs w:val="22"/>
        </w:rPr>
        <w:t xml:space="preserve">rijetko ( </w:t>
      </w:r>
      <w:r w:rsidRPr="00257E5C">
        <w:rPr>
          <w:szCs w:val="22"/>
        </w:rPr>
        <w:t>≥1/10000</w:t>
      </w:r>
      <w:r w:rsidR="00AC507D" w:rsidRPr="00257E5C">
        <w:rPr>
          <w:szCs w:val="22"/>
        </w:rPr>
        <w:t xml:space="preserve"> do</w:t>
      </w:r>
      <w:r w:rsidRPr="00257E5C">
        <w:rPr>
          <w:szCs w:val="22"/>
        </w:rPr>
        <w:t xml:space="preserve"> &lt;1/1000</w:t>
      </w:r>
      <w:r w:rsidR="00AC507D" w:rsidRPr="00257E5C">
        <w:rPr>
          <w:szCs w:val="22"/>
        </w:rPr>
        <w:t>)</w:t>
      </w:r>
      <w:r w:rsidRPr="00257E5C">
        <w:rPr>
          <w:szCs w:val="22"/>
        </w:rPr>
        <w:t xml:space="preserve">; veoma </w:t>
      </w:r>
      <w:r w:rsidR="00AC507D" w:rsidRPr="00257E5C">
        <w:rPr>
          <w:szCs w:val="22"/>
        </w:rPr>
        <w:t xml:space="preserve">rijetko ( </w:t>
      </w:r>
      <w:r w:rsidRPr="00257E5C">
        <w:rPr>
          <w:szCs w:val="22"/>
        </w:rPr>
        <w:t>&lt;1/10000</w:t>
      </w:r>
      <w:r w:rsidR="00AC507D" w:rsidRPr="00257E5C">
        <w:rPr>
          <w:szCs w:val="22"/>
        </w:rPr>
        <w:t>)</w:t>
      </w:r>
      <w:r w:rsidRPr="00257E5C">
        <w:rPr>
          <w:szCs w:val="22"/>
        </w:rPr>
        <w:t>.</w:t>
      </w:r>
    </w:p>
    <w:p w14:paraId="48E2D438" w14:textId="77777777" w:rsidR="00390C16" w:rsidRPr="00257E5C" w:rsidRDefault="00390C16" w:rsidP="00E25A4C">
      <w:pPr>
        <w:autoSpaceDE w:val="0"/>
        <w:autoSpaceDN w:val="0"/>
        <w:adjustRightInd w:val="0"/>
        <w:rPr>
          <w:bCs/>
          <w:szCs w:val="22"/>
        </w:rPr>
      </w:pPr>
      <w:r w:rsidRPr="00257E5C">
        <w:rPr>
          <w:bCs/>
          <w:szCs w:val="22"/>
        </w:rPr>
        <w:t>U okviru svake grupe, neželjene reakcije su poređane od ozbiljnijih ka manje ozbiljnim neželjenim reakcijama</w:t>
      </w:r>
    </w:p>
    <w:p w14:paraId="108F1CDA" w14:textId="77777777" w:rsidR="002F5D3E" w:rsidRPr="00257E5C" w:rsidRDefault="002F5D3E" w:rsidP="00E25A4C">
      <w:pPr>
        <w:autoSpaceDE w:val="0"/>
        <w:autoSpaceDN w:val="0"/>
        <w:adjustRightInd w:val="0"/>
        <w:rPr>
          <w:szCs w:val="22"/>
        </w:rPr>
      </w:pPr>
    </w:p>
    <w:p w14:paraId="40F44C4C" w14:textId="09DB39C3" w:rsidR="00390C16" w:rsidRPr="00257E5C" w:rsidRDefault="00390C16" w:rsidP="00E25A4C">
      <w:pPr>
        <w:pStyle w:val="Listepuces2"/>
        <w:tabs>
          <w:tab w:val="clear" w:pos="360"/>
          <w:tab w:val="left" w:pos="1620"/>
        </w:tabs>
        <w:spacing w:before="0" w:line="240" w:lineRule="auto"/>
        <w:ind w:left="0" w:firstLine="0"/>
        <w:rPr>
          <w:rFonts w:ascii="Times New Roman" w:hAnsi="Times New Roman"/>
          <w:szCs w:val="22"/>
          <w:lang w:val="sr-Latn-CS"/>
        </w:rPr>
      </w:pPr>
      <w:r w:rsidRPr="00257E5C">
        <w:rPr>
          <w:rFonts w:ascii="Times New Roman" w:hAnsi="Times New Roman"/>
          <w:szCs w:val="22"/>
          <w:u w:val="single"/>
          <w:lang w:val="sr-Latn-CS"/>
        </w:rPr>
        <w:t>Metabolički poremećaji i poremećaji ishrane</w:t>
      </w:r>
    </w:p>
    <w:p w14:paraId="01510194" w14:textId="77777777" w:rsidR="00393E1D" w:rsidRPr="00257E5C" w:rsidRDefault="00393E1D" w:rsidP="00E25A4C">
      <w:pPr>
        <w:autoSpaceDE w:val="0"/>
        <w:autoSpaceDN w:val="0"/>
        <w:adjustRightInd w:val="0"/>
        <w:spacing w:line="560" w:lineRule="atLeast"/>
        <w:ind w:right="144"/>
        <w:rPr>
          <w:i/>
          <w:iCs/>
          <w:szCs w:val="22"/>
        </w:rPr>
      </w:pPr>
      <w:r w:rsidRPr="00257E5C">
        <w:rPr>
          <w:i/>
          <w:iCs/>
          <w:szCs w:val="22"/>
        </w:rPr>
        <w:t>Često:</w:t>
      </w:r>
    </w:p>
    <w:p w14:paraId="1BB63DDF" w14:textId="245B3103" w:rsidR="00393E1D" w:rsidRPr="00257E5C" w:rsidRDefault="003579E5" w:rsidP="00E25A4C">
      <w:pPr>
        <w:pStyle w:val="ListParagraph"/>
        <w:widowControl w:val="0"/>
        <w:numPr>
          <w:ilvl w:val="0"/>
          <w:numId w:val="20"/>
        </w:numPr>
        <w:autoSpaceDE w:val="0"/>
        <w:autoSpaceDN w:val="0"/>
        <w:spacing w:before="11"/>
        <w:ind w:right="144"/>
        <w:rPr>
          <w:szCs w:val="22"/>
        </w:rPr>
      </w:pPr>
      <w:r w:rsidRPr="00257E5C">
        <w:rPr>
          <w:szCs w:val="22"/>
        </w:rPr>
        <w:t xml:space="preserve">Smanjenje/nedostatak vitamina B12 </w:t>
      </w:r>
      <w:r w:rsidR="00393E1D" w:rsidRPr="00257E5C">
        <w:rPr>
          <w:szCs w:val="22"/>
        </w:rPr>
        <w:t>(vid</w:t>
      </w:r>
      <w:r w:rsidR="003B2818" w:rsidRPr="00257E5C">
        <w:rPr>
          <w:szCs w:val="22"/>
        </w:rPr>
        <w:t>j</w:t>
      </w:r>
      <w:r w:rsidR="00393E1D" w:rsidRPr="00257E5C">
        <w:rPr>
          <w:szCs w:val="22"/>
        </w:rPr>
        <w:t>eti dio 4.4).</w:t>
      </w:r>
    </w:p>
    <w:p w14:paraId="5ECD3401" w14:textId="06AAE5D9" w:rsidR="00393E1D" w:rsidRPr="00257E5C" w:rsidRDefault="00393E1D" w:rsidP="00E25A4C">
      <w:pPr>
        <w:pStyle w:val="Listepuces2"/>
        <w:tabs>
          <w:tab w:val="clear" w:pos="360"/>
          <w:tab w:val="left" w:pos="1620"/>
        </w:tabs>
        <w:spacing w:before="0" w:line="240" w:lineRule="auto"/>
        <w:ind w:left="0" w:firstLine="0"/>
        <w:rPr>
          <w:rFonts w:ascii="Times New Roman" w:hAnsi="Times New Roman"/>
          <w:i/>
          <w:szCs w:val="22"/>
          <w:lang w:val="sr-Latn-CS"/>
        </w:rPr>
      </w:pPr>
    </w:p>
    <w:p w14:paraId="654057D9" w14:textId="77777777" w:rsidR="00137369" w:rsidRPr="00257E5C" w:rsidRDefault="00137369" w:rsidP="00E25A4C">
      <w:pPr>
        <w:pStyle w:val="Listepuces2"/>
        <w:tabs>
          <w:tab w:val="clear" w:pos="360"/>
          <w:tab w:val="left" w:pos="1620"/>
        </w:tabs>
        <w:spacing w:before="0" w:line="240" w:lineRule="auto"/>
        <w:ind w:left="0" w:firstLine="0"/>
        <w:rPr>
          <w:rFonts w:ascii="Times New Roman" w:hAnsi="Times New Roman"/>
          <w:i/>
          <w:szCs w:val="22"/>
          <w:lang w:val="sr-Latn-CS"/>
        </w:rPr>
      </w:pPr>
    </w:p>
    <w:p w14:paraId="7E246ADB" w14:textId="0501E8E2" w:rsidR="00DF3B16" w:rsidRPr="00257E5C" w:rsidRDefault="00653EF9" w:rsidP="00E25A4C">
      <w:pPr>
        <w:pStyle w:val="Listepuces2"/>
        <w:tabs>
          <w:tab w:val="clear" w:pos="360"/>
          <w:tab w:val="left" w:pos="1620"/>
        </w:tabs>
        <w:spacing w:before="0" w:line="240" w:lineRule="auto"/>
        <w:ind w:left="0" w:firstLine="0"/>
        <w:rPr>
          <w:rFonts w:ascii="Times New Roman" w:hAnsi="Times New Roman"/>
          <w:szCs w:val="22"/>
          <w:lang w:val="sr-Latn-CS"/>
        </w:rPr>
      </w:pPr>
      <w:r w:rsidRPr="00257E5C">
        <w:rPr>
          <w:rFonts w:ascii="Times New Roman" w:hAnsi="Times New Roman"/>
          <w:i/>
          <w:szCs w:val="22"/>
          <w:lang w:val="sr-Latn-CS"/>
        </w:rPr>
        <w:lastRenderedPageBreak/>
        <w:t>V</w:t>
      </w:r>
      <w:r w:rsidR="00390C16" w:rsidRPr="00257E5C">
        <w:rPr>
          <w:rFonts w:ascii="Times New Roman" w:hAnsi="Times New Roman"/>
          <w:i/>
          <w:szCs w:val="22"/>
          <w:lang w:val="sr-Latn-CS"/>
        </w:rPr>
        <w:t xml:space="preserve">eoma </w:t>
      </w:r>
      <w:r w:rsidR="00393E1D" w:rsidRPr="00257E5C">
        <w:rPr>
          <w:rFonts w:ascii="Times New Roman" w:hAnsi="Times New Roman"/>
          <w:i/>
          <w:szCs w:val="22"/>
          <w:lang w:val="sr-Latn-CS"/>
        </w:rPr>
        <w:t>rijetko</w:t>
      </w:r>
      <w:r w:rsidR="00390C16" w:rsidRPr="00257E5C">
        <w:rPr>
          <w:rFonts w:ascii="Times New Roman" w:hAnsi="Times New Roman"/>
          <w:i/>
          <w:szCs w:val="22"/>
          <w:lang w:val="sr-Latn-CS"/>
        </w:rPr>
        <w:t>:</w:t>
      </w:r>
      <w:r w:rsidR="00390C16" w:rsidRPr="00257E5C">
        <w:rPr>
          <w:rFonts w:ascii="Times New Roman" w:hAnsi="Times New Roman"/>
          <w:szCs w:val="22"/>
          <w:lang w:val="sr-Latn-CS"/>
        </w:rPr>
        <w:t xml:space="preserve"> </w:t>
      </w:r>
    </w:p>
    <w:p w14:paraId="49A89D48" w14:textId="77777777" w:rsidR="00DF3B16" w:rsidRPr="00257E5C" w:rsidRDefault="00DF3B16" w:rsidP="00E25A4C">
      <w:pPr>
        <w:pStyle w:val="Listepuces2"/>
        <w:tabs>
          <w:tab w:val="clear" w:pos="360"/>
          <w:tab w:val="left" w:pos="1620"/>
        </w:tabs>
        <w:spacing w:before="0" w:line="240" w:lineRule="auto"/>
        <w:ind w:left="0" w:firstLine="0"/>
        <w:rPr>
          <w:rFonts w:ascii="Times New Roman" w:hAnsi="Times New Roman"/>
          <w:szCs w:val="22"/>
          <w:lang w:val="sr-Latn-CS"/>
        </w:rPr>
      </w:pPr>
    </w:p>
    <w:p w14:paraId="1DAC0E05" w14:textId="29243CC4" w:rsidR="00390C16" w:rsidRPr="00257E5C" w:rsidRDefault="00390C16" w:rsidP="00E25A4C">
      <w:pPr>
        <w:pStyle w:val="Listepuces2"/>
        <w:numPr>
          <w:ilvl w:val="0"/>
          <w:numId w:val="15"/>
        </w:numPr>
        <w:tabs>
          <w:tab w:val="left" w:pos="1620"/>
        </w:tabs>
        <w:spacing w:before="0" w:line="240" w:lineRule="auto"/>
        <w:rPr>
          <w:rFonts w:ascii="Times New Roman" w:hAnsi="Times New Roman"/>
          <w:szCs w:val="22"/>
          <w:lang w:val="sr-Latn-CS"/>
        </w:rPr>
      </w:pPr>
      <w:r w:rsidRPr="00257E5C">
        <w:rPr>
          <w:rFonts w:ascii="Times New Roman" w:hAnsi="Times New Roman"/>
          <w:szCs w:val="22"/>
          <w:lang w:val="sr-Latn-CS"/>
        </w:rPr>
        <w:t>Laktatna acidoza (vid</w:t>
      </w:r>
      <w:r w:rsidR="0082202C" w:rsidRPr="00257E5C">
        <w:rPr>
          <w:rFonts w:ascii="Times New Roman" w:hAnsi="Times New Roman"/>
          <w:szCs w:val="22"/>
          <w:lang w:val="sr-Latn-CS"/>
        </w:rPr>
        <w:t>jeti di</w:t>
      </w:r>
      <w:r w:rsidRPr="00257E5C">
        <w:rPr>
          <w:rFonts w:ascii="Times New Roman" w:hAnsi="Times New Roman"/>
          <w:szCs w:val="22"/>
          <w:lang w:val="sr-Latn-CS"/>
        </w:rPr>
        <w:t>o 4.4).</w:t>
      </w:r>
    </w:p>
    <w:p w14:paraId="6CA289E4" w14:textId="77777777" w:rsidR="00390C16" w:rsidRPr="00257E5C" w:rsidRDefault="00390C16" w:rsidP="00E25A4C">
      <w:pPr>
        <w:pStyle w:val="Listepuces2"/>
        <w:tabs>
          <w:tab w:val="clear" w:pos="360"/>
          <w:tab w:val="left" w:pos="1620"/>
        </w:tabs>
        <w:spacing w:before="0" w:line="240" w:lineRule="auto"/>
        <w:ind w:left="0" w:firstLine="0"/>
        <w:rPr>
          <w:rFonts w:ascii="Times New Roman" w:hAnsi="Times New Roman"/>
          <w:szCs w:val="22"/>
          <w:lang w:val="sr-Latn-CS"/>
        </w:rPr>
      </w:pPr>
    </w:p>
    <w:p w14:paraId="37D5C36E" w14:textId="3A439122" w:rsidR="00390C16" w:rsidRPr="00257E5C" w:rsidRDefault="00390C16" w:rsidP="00E25A4C">
      <w:pPr>
        <w:pStyle w:val="Footer"/>
        <w:autoSpaceDE w:val="0"/>
        <w:autoSpaceDN w:val="0"/>
        <w:adjustRightInd w:val="0"/>
        <w:rPr>
          <w:szCs w:val="22"/>
        </w:rPr>
      </w:pPr>
      <w:r w:rsidRPr="00257E5C">
        <w:rPr>
          <w:szCs w:val="22"/>
          <w:u w:val="single"/>
        </w:rPr>
        <w:t>Poremećaji nervnog sistema</w:t>
      </w:r>
    </w:p>
    <w:p w14:paraId="1EB720D0" w14:textId="77777777" w:rsidR="00390C16" w:rsidRPr="00257E5C" w:rsidRDefault="00390C16" w:rsidP="00E25A4C">
      <w:pPr>
        <w:pStyle w:val="Footer"/>
        <w:autoSpaceDE w:val="0"/>
        <w:autoSpaceDN w:val="0"/>
        <w:adjustRightInd w:val="0"/>
        <w:rPr>
          <w:szCs w:val="22"/>
        </w:rPr>
      </w:pPr>
    </w:p>
    <w:p w14:paraId="021AAF49" w14:textId="77777777" w:rsidR="00C20954" w:rsidRPr="00257E5C" w:rsidRDefault="00390C16" w:rsidP="00E25A4C">
      <w:pPr>
        <w:pStyle w:val="Footer"/>
        <w:autoSpaceDE w:val="0"/>
        <w:autoSpaceDN w:val="0"/>
        <w:adjustRightInd w:val="0"/>
        <w:rPr>
          <w:szCs w:val="22"/>
        </w:rPr>
      </w:pPr>
      <w:r w:rsidRPr="00257E5C">
        <w:rPr>
          <w:i/>
          <w:iCs/>
          <w:szCs w:val="22"/>
        </w:rPr>
        <w:t>Čest</w:t>
      </w:r>
      <w:r w:rsidR="00C20954" w:rsidRPr="00257E5C">
        <w:rPr>
          <w:i/>
          <w:iCs/>
          <w:szCs w:val="22"/>
        </w:rPr>
        <w:t>o</w:t>
      </w:r>
      <w:r w:rsidRPr="00257E5C">
        <w:rPr>
          <w:i/>
          <w:iCs/>
          <w:szCs w:val="22"/>
        </w:rPr>
        <w:t xml:space="preserve">: </w:t>
      </w:r>
    </w:p>
    <w:p w14:paraId="72729AD5" w14:textId="6FE36806" w:rsidR="00390C16" w:rsidRPr="00257E5C" w:rsidRDefault="00390C16" w:rsidP="00E25A4C">
      <w:pPr>
        <w:pStyle w:val="Footer"/>
        <w:numPr>
          <w:ilvl w:val="0"/>
          <w:numId w:val="24"/>
        </w:numPr>
        <w:autoSpaceDE w:val="0"/>
        <w:autoSpaceDN w:val="0"/>
        <w:adjustRightInd w:val="0"/>
        <w:rPr>
          <w:szCs w:val="22"/>
        </w:rPr>
      </w:pPr>
      <w:r w:rsidRPr="00257E5C">
        <w:rPr>
          <w:szCs w:val="22"/>
        </w:rPr>
        <w:t>Poremećaj čula ukusa</w:t>
      </w:r>
    </w:p>
    <w:p w14:paraId="31AAE453" w14:textId="77777777" w:rsidR="00390C16" w:rsidRPr="00257E5C" w:rsidRDefault="00390C16" w:rsidP="00E25A4C">
      <w:pPr>
        <w:pStyle w:val="Footer"/>
        <w:autoSpaceDE w:val="0"/>
        <w:autoSpaceDN w:val="0"/>
        <w:adjustRightInd w:val="0"/>
        <w:rPr>
          <w:szCs w:val="22"/>
        </w:rPr>
      </w:pPr>
    </w:p>
    <w:p w14:paraId="0406233E" w14:textId="4D239C69" w:rsidR="00390C16" w:rsidRPr="00257E5C" w:rsidRDefault="00390C16" w:rsidP="00E25A4C">
      <w:pPr>
        <w:keepLines/>
        <w:tabs>
          <w:tab w:val="left" w:pos="1134"/>
        </w:tabs>
        <w:autoSpaceDE w:val="0"/>
        <w:autoSpaceDN w:val="0"/>
        <w:adjustRightInd w:val="0"/>
        <w:rPr>
          <w:szCs w:val="22"/>
        </w:rPr>
      </w:pPr>
      <w:r w:rsidRPr="00257E5C">
        <w:rPr>
          <w:szCs w:val="22"/>
          <w:u w:val="single"/>
        </w:rPr>
        <w:t>Gastrointestinalni poremećaji</w:t>
      </w:r>
    </w:p>
    <w:p w14:paraId="7A82A1E4" w14:textId="77777777" w:rsidR="00390C16" w:rsidRPr="00257E5C" w:rsidRDefault="00390C16" w:rsidP="00E25A4C">
      <w:pPr>
        <w:keepLines/>
        <w:tabs>
          <w:tab w:val="left" w:pos="1134"/>
        </w:tabs>
        <w:autoSpaceDE w:val="0"/>
        <w:autoSpaceDN w:val="0"/>
        <w:adjustRightInd w:val="0"/>
        <w:rPr>
          <w:i/>
          <w:szCs w:val="22"/>
        </w:rPr>
      </w:pPr>
    </w:p>
    <w:p w14:paraId="0B0B045F" w14:textId="77777777" w:rsidR="00C20954" w:rsidRPr="00257E5C" w:rsidRDefault="00653EF9" w:rsidP="00E25A4C">
      <w:pPr>
        <w:keepLines/>
        <w:tabs>
          <w:tab w:val="left" w:pos="1134"/>
        </w:tabs>
        <w:autoSpaceDE w:val="0"/>
        <w:autoSpaceDN w:val="0"/>
        <w:adjustRightInd w:val="0"/>
        <w:rPr>
          <w:szCs w:val="22"/>
        </w:rPr>
      </w:pPr>
      <w:r w:rsidRPr="00257E5C">
        <w:rPr>
          <w:i/>
          <w:szCs w:val="22"/>
        </w:rPr>
        <w:t>V</w:t>
      </w:r>
      <w:r w:rsidR="00390C16" w:rsidRPr="00257E5C">
        <w:rPr>
          <w:i/>
          <w:szCs w:val="22"/>
        </w:rPr>
        <w:t>eoma čest</w:t>
      </w:r>
      <w:r w:rsidR="00C20954" w:rsidRPr="00257E5C">
        <w:rPr>
          <w:i/>
          <w:szCs w:val="22"/>
        </w:rPr>
        <w:t>o</w:t>
      </w:r>
      <w:r w:rsidR="00390C16" w:rsidRPr="00257E5C">
        <w:rPr>
          <w:i/>
          <w:szCs w:val="22"/>
        </w:rPr>
        <w:t>:</w:t>
      </w:r>
      <w:r w:rsidR="00390C16" w:rsidRPr="00257E5C">
        <w:rPr>
          <w:szCs w:val="22"/>
        </w:rPr>
        <w:t xml:space="preserve"> </w:t>
      </w:r>
    </w:p>
    <w:p w14:paraId="008993A7" w14:textId="7F60840D" w:rsidR="00390C16" w:rsidRPr="00257E5C" w:rsidRDefault="00390C16" w:rsidP="00E25A4C">
      <w:pPr>
        <w:pStyle w:val="ListParagraph"/>
        <w:keepLines/>
        <w:numPr>
          <w:ilvl w:val="0"/>
          <w:numId w:val="24"/>
        </w:numPr>
        <w:tabs>
          <w:tab w:val="left" w:pos="1134"/>
        </w:tabs>
        <w:autoSpaceDE w:val="0"/>
        <w:autoSpaceDN w:val="0"/>
        <w:adjustRightInd w:val="0"/>
        <w:rPr>
          <w:szCs w:val="22"/>
        </w:rPr>
      </w:pPr>
      <w:r w:rsidRPr="00257E5C">
        <w:rPr>
          <w:szCs w:val="22"/>
        </w:rPr>
        <w:t>Gastrointestinalni poremećaji kao što su mučnina, povraćanje, dijareja, abdominalni bol i</w:t>
      </w:r>
      <w:r w:rsidR="003B2818" w:rsidRPr="00257E5C">
        <w:rPr>
          <w:szCs w:val="22"/>
        </w:rPr>
        <w:t xml:space="preserve"> </w:t>
      </w:r>
      <w:r w:rsidRPr="00257E5C">
        <w:rPr>
          <w:szCs w:val="22"/>
        </w:rPr>
        <w:t>gubitak apetita. Ova neželjena dejstva se javljaju najčešće tokom početka terapije i prolaze spontano u većini slučajeva. Postepeno povećavanje doze može poboljšati gastrointestinalnu podnošljivost.</w:t>
      </w:r>
    </w:p>
    <w:p w14:paraId="38F22FD5" w14:textId="77777777" w:rsidR="00390C16" w:rsidRPr="00257E5C" w:rsidRDefault="00390C16" w:rsidP="00E25A4C">
      <w:pPr>
        <w:keepLines/>
        <w:tabs>
          <w:tab w:val="left" w:pos="1134"/>
        </w:tabs>
        <w:autoSpaceDE w:val="0"/>
        <w:autoSpaceDN w:val="0"/>
        <w:adjustRightInd w:val="0"/>
        <w:rPr>
          <w:szCs w:val="22"/>
        </w:rPr>
      </w:pPr>
    </w:p>
    <w:p w14:paraId="3E21C0C4" w14:textId="6A34353E" w:rsidR="00390C16" w:rsidRPr="00257E5C" w:rsidRDefault="00390C16" w:rsidP="00E25A4C">
      <w:pPr>
        <w:keepLines/>
        <w:tabs>
          <w:tab w:val="left" w:pos="1134"/>
        </w:tabs>
        <w:autoSpaceDE w:val="0"/>
        <w:autoSpaceDN w:val="0"/>
        <w:adjustRightInd w:val="0"/>
        <w:rPr>
          <w:szCs w:val="22"/>
        </w:rPr>
      </w:pPr>
      <w:r w:rsidRPr="00257E5C">
        <w:rPr>
          <w:szCs w:val="22"/>
          <w:u w:val="single"/>
        </w:rPr>
        <w:t>Hepatobilijarni poremećaji</w:t>
      </w:r>
    </w:p>
    <w:p w14:paraId="22427E78" w14:textId="77777777" w:rsidR="00137369" w:rsidRPr="00257E5C" w:rsidRDefault="00137369" w:rsidP="00E25A4C">
      <w:pPr>
        <w:keepLines/>
        <w:tabs>
          <w:tab w:val="left" w:pos="1134"/>
        </w:tabs>
        <w:autoSpaceDE w:val="0"/>
        <w:autoSpaceDN w:val="0"/>
        <w:adjustRightInd w:val="0"/>
        <w:rPr>
          <w:i/>
          <w:szCs w:val="22"/>
        </w:rPr>
      </w:pPr>
    </w:p>
    <w:p w14:paraId="2FED01F6" w14:textId="1F913F9F" w:rsidR="00390C16" w:rsidRPr="00257E5C" w:rsidRDefault="00390C16" w:rsidP="00E25A4C">
      <w:pPr>
        <w:keepLines/>
        <w:tabs>
          <w:tab w:val="left" w:pos="1134"/>
        </w:tabs>
        <w:autoSpaceDE w:val="0"/>
        <w:autoSpaceDN w:val="0"/>
        <w:adjustRightInd w:val="0"/>
        <w:rPr>
          <w:i/>
          <w:szCs w:val="22"/>
        </w:rPr>
      </w:pPr>
      <w:r w:rsidRPr="00257E5C">
        <w:rPr>
          <w:i/>
          <w:szCs w:val="22"/>
        </w:rPr>
        <w:t>Veoma r</w:t>
      </w:r>
      <w:r w:rsidR="0082202C" w:rsidRPr="00257E5C">
        <w:rPr>
          <w:i/>
          <w:szCs w:val="22"/>
        </w:rPr>
        <w:t>ij</w:t>
      </w:r>
      <w:r w:rsidRPr="00257E5C">
        <w:rPr>
          <w:i/>
          <w:szCs w:val="22"/>
        </w:rPr>
        <w:t>etko</w:t>
      </w:r>
      <w:r w:rsidR="00AC507D" w:rsidRPr="00257E5C">
        <w:rPr>
          <w:i/>
          <w:szCs w:val="22"/>
        </w:rPr>
        <w:t>:</w:t>
      </w:r>
    </w:p>
    <w:p w14:paraId="3270FD48" w14:textId="746E143A" w:rsidR="00390C16" w:rsidRPr="00257E5C" w:rsidRDefault="00390C16" w:rsidP="00E25A4C">
      <w:pPr>
        <w:keepLines/>
        <w:tabs>
          <w:tab w:val="left" w:pos="1134"/>
        </w:tabs>
        <w:autoSpaceDE w:val="0"/>
        <w:autoSpaceDN w:val="0"/>
        <w:adjustRightInd w:val="0"/>
        <w:rPr>
          <w:szCs w:val="22"/>
        </w:rPr>
      </w:pPr>
      <w:r w:rsidRPr="00257E5C">
        <w:rPr>
          <w:szCs w:val="22"/>
        </w:rPr>
        <w:t xml:space="preserve">Izolovani slučajevi </w:t>
      </w:r>
      <w:r w:rsidR="00AC507D" w:rsidRPr="00257E5C">
        <w:rPr>
          <w:szCs w:val="22"/>
        </w:rPr>
        <w:t xml:space="preserve">poremećaja </w:t>
      </w:r>
      <w:r w:rsidRPr="00257E5C">
        <w:rPr>
          <w:szCs w:val="22"/>
        </w:rPr>
        <w:t>testova funkcije jetre ili hepatitis</w:t>
      </w:r>
      <w:r w:rsidR="00AC507D" w:rsidRPr="00257E5C">
        <w:rPr>
          <w:szCs w:val="22"/>
        </w:rPr>
        <w:t>a</w:t>
      </w:r>
      <w:r w:rsidRPr="00257E5C">
        <w:rPr>
          <w:szCs w:val="22"/>
        </w:rPr>
        <w:t xml:space="preserve"> koji </w:t>
      </w:r>
      <w:r w:rsidR="00AC507D" w:rsidRPr="00257E5C">
        <w:rPr>
          <w:szCs w:val="22"/>
        </w:rPr>
        <w:t xml:space="preserve">prolaze </w:t>
      </w:r>
      <w:r w:rsidRPr="00257E5C">
        <w:rPr>
          <w:szCs w:val="22"/>
        </w:rPr>
        <w:t>nakon isključenja metformina iz upotrebe.</w:t>
      </w:r>
    </w:p>
    <w:p w14:paraId="33B16E80" w14:textId="77777777" w:rsidR="00390C16" w:rsidRPr="00257E5C" w:rsidRDefault="00390C16" w:rsidP="00E25A4C">
      <w:pPr>
        <w:pStyle w:val="Listepuces2"/>
        <w:tabs>
          <w:tab w:val="clear" w:pos="360"/>
          <w:tab w:val="left" w:pos="1620"/>
        </w:tabs>
        <w:spacing w:before="0" w:line="240" w:lineRule="auto"/>
        <w:ind w:left="0" w:firstLine="0"/>
        <w:rPr>
          <w:rFonts w:ascii="Times New Roman" w:hAnsi="Times New Roman"/>
          <w:szCs w:val="22"/>
          <w:u w:val="single"/>
          <w:lang w:val="sr-Latn-CS"/>
        </w:rPr>
      </w:pPr>
    </w:p>
    <w:p w14:paraId="38E8F8F2" w14:textId="77777777" w:rsidR="00390C16" w:rsidRPr="00257E5C" w:rsidRDefault="00390C16" w:rsidP="00E25A4C">
      <w:pPr>
        <w:pStyle w:val="Listepuces2"/>
        <w:tabs>
          <w:tab w:val="clear" w:pos="360"/>
          <w:tab w:val="left" w:pos="1620"/>
        </w:tabs>
        <w:spacing w:before="0" w:line="240" w:lineRule="auto"/>
        <w:ind w:left="0" w:firstLine="0"/>
        <w:rPr>
          <w:rFonts w:ascii="Times New Roman" w:hAnsi="Times New Roman"/>
          <w:szCs w:val="22"/>
          <w:lang w:val="sr-Latn-CS"/>
        </w:rPr>
      </w:pPr>
      <w:r w:rsidRPr="00257E5C">
        <w:rPr>
          <w:rFonts w:ascii="Times New Roman" w:hAnsi="Times New Roman"/>
          <w:szCs w:val="22"/>
          <w:u w:val="single"/>
          <w:lang w:val="sr-Latn-CS"/>
        </w:rPr>
        <w:t>Poremećaji kože i potkožnog tkiva:</w:t>
      </w:r>
    </w:p>
    <w:p w14:paraId="5CA32A96" w14:textId="77777777" w:rsidR="00390C16" w:rsidRPr="00257E5C" w:rsidRDefault="00390C16" w:rsidP="00E25A4C">
      <w:pPr>
        <w:pStyle w:val="Listepuces2"/>
        <w:tabs>
          <w:tab w:val="clear" w:pos="360"/>
          <w:tab w:val="left" w:pos="1620"/>
        </w:tabs>
        <w:spacing w:before="0" w:line="240" w:lineRule="auto"/>
        <w:ind w:left="0" w:firstLine="0"/>
        <w:rPr>
          <w:rFonts w:ascii="Times New Roman" w:hAnsi="Times New Roman"/>
          <w:i/>
          <w:szCs w:val="22"/>
          <w:lang w:val="sr-Latn-CS"/>
        </w:rPr>
      </w:pPr>
    </w:p>
    <w:p w14:paraId="07084AF6" w14:textId="77777777" w:rsidR="00C20954" w:rsidRPr="00257E5C" w:rsidRDefault="00653EF9" w:rsidP="00E25A4C">
      <w:pPr>
        <w:pStyle w:val="Listepuces2"/>
        <w:tabs>
          <w:tab w:val="clear" w:pos="360"/>
          <w:tab w:val="left" w:pos="1620"/>
        </w:tabs>
        <w:spacing w:before="0" w:line="240" w:lineRule="auto"/>
        <w:ind w:left="0" w:firstLine="0"/>
        <w:rPr>
          <w:rFonts w:ascii="Times New Roman" w:hAnsi="Times New Roman"/>
          <w:szCs w:val="22"/>
          <w:lang w:val="sr-Latn-CS"/>
        </w:rPr>
      </w:pPr>
      <w:r w:rsidRPr="00257E5C">
        <w:rPr>
          <w:rFonts w:ascii="Times New Roman" w:hAnsi="Times New Roman"/>
          <w:i/>
          <w:szCs w:val="22"/>
          <w:lang w:val="sr-Latn-CS"/>
        </w:rPr>
        <w:t>V</w:t>
      </w:r>
      <w:r w:rsidR="00390C16" w:rsidRPr="00257E5C">
        <w:rPr>
          <w:rFonts w:ascii="Times New Roman" w:hAnsi="Times New Roman"/>
          <w:i/>
          <w:szCs w:val="22"/>
          <w:lang w:val="sr-Latn-CS"/>
        </w:rPr>
        <w:t>eoma r</w:t>
      </w:r>
      <w:r w:rsidR="0082202C" w:rsidRPr="00257E5C">
        <w:rPr>
          <w:rFonts w:ascii="Times New Roman" w:hAnsi="Times New Roman"/>
          <w:i/>
          <w:szCs w:val="22"/>
          <w:lang w:val="sr-Latn-CS"/>
        </w:rPr>
        <w:t>ij</w:t>
      </w:r>
      <w:r w:rsidR="00390C16" w:rsidRPr="00257E5C">
        <w:rPr>
          <w:rFonts w:ascii="Times New Roman" w:hAnsi="Times New Roman"/>
          <w:i/>
          <w:szCs w:val="22"/>
          <w:lang w:val="sr-Latn-CS"/>
        </w:rPr>
        <w:t>etk</w:t>
      </w:r>
      <w:r w:rsidR="00C20954" w:rsidRPr="00257E5C">
        <w:rPr>
          <w:rFonts w:ascii="Times New Roman" w:hAnsi="Times New Roman"/>
          <w:i/>
          <w:szCs w:val="22"/>
          <w:lang w:val="sr-Latn-CS"/>
        </w:rPr>
        <w:t>o</w:t>
      </w:r>
      <w:r w:rsidR="00390C16" w:rsidRPr="00257E5C">
        <w:rPr>
          <w:rFonts w:ascii="Times New Roman" w:hAnsi="Times New Roman"/>
          <w:i/>
          <w:szCs w:val="22"/>
          <w:lang w:val="sr-Latn-CS"/>
        </w:rPr>
        <w:t>:</w:t>
      </w:r>
    </w:p>
    <w:p w14:paraId="7AA5B20D" w14:textId="608C7242" w:rsidR="00390C16" w:rsidRPr="00257E5C" w:rsidRDefault="00390C16" w:rsidP="00E25A4C">
      <w:pPr>
        <w:pStyle w:val="Listepuces2"/>
        <w:numPr>
          <w:ilvl w:val="0"/>
          <w:numId w:val="24"/>
        </w:numPr>
        <w:tabs>
          <w:tab w:val="left" w:pos="1620"/>
        </w:tabs>
        <w:spacing w:before="0" w:line="240" w:lineRule="auto"/>
        <w:rPr>
          <w:rFonts w:ascii="Times New Roman" w:hAnsi="Times New Roman"/>
          <w:szCs w:val="22"/>
          <w:lang w:val="sr-Latn-CS"/>
        </w:rPr>
      </w:pPr>
      <w:r w:rsidRPr="00257E5C">
        <w:rPr>
          <w:rFonts w:ascii="Times New Roman" w:hAnsi="Times New Roman"/>
          <w:szCs w:val="22"/>
          <w:lang w:val="sr-Latn-CS"/>
        </w:rPr>
        <w:t>Reakcije kože kao što je eritem, svrab, urtikarija</w:t>
      </w:r>
    </w:p>
    <w:p w14:paraId="41AC9CB3" w14:textId="77777777" w:rsidR="00CE09F3" w:rsidRPr="00257E5C" w:rsidRDefault="00CE09F3" w:rsidP="00E25A4C">
      <w:pPr>
        <w:rPr>
          <w:noProof/>
          <w:szCs w:val="22"/>
          <w:u w:val="single"/>
        </w:rPr>
      </w:pPr>
    </w:p>
    <w:p w14:paraId="0F8CFB72" w14:textId="77777777" w:rsidR="00EE4B6D" w:rsidRPr="00257E5C" w:rsidRDefault="00EE4B6D" w:rsidP="00E25A4C">
      <w:pPr>
        <w:tabs>
          <w:tab w:val="clear" w:pos="284"/>
        </w:tabs>
        <w:spacing w:after="200" w:line="276" w:lineRule="auto"/>
        <w:rPr>
          <w:rFonts w:eastAsia="Calibri"/>
          <w:szCs w:val="22"/>
          <w:u w:val="single"/>
        </w:rPr>
      </w:pPr>
      <w:r w:rsidRPr="00257E5C">
        <w:rPr>
          <w:rFonts w:eastAsia="Calibri"/>
          <w:szCs w:val="22"/>
          <w:u w:val="single"/>
        </w:rPr>
        <w:t>Prijavljivanje sumnji na neželjena dejstva</w:t>
      </w:r>
    </w:p>
    <w:p w14:paraId="2E970DB2" w14:textId="77777777" w:rsidR="00EE4B6D" w:rsidRPr="00257E5C" w:rsidRDefault="00EE4B6D" w:rsidP="00E25A4C">
      <w:pPr>
        <w:tabs>
          <w:tab w:val="clear" w:pos="284"/>
        </w:tabs>
        <w:spacing w:after="200"/>
        <w:rPr>
          <w:rFonts w:eastAsia="Calibri"/>
          <w:szCs w:val="22"/>
        </w:rPr>
      </w:pPr>
      <w:r w:rsidRPr="00257E5C">
        <w:rPr>
          <w:rFonts w:eastAsia="Calibri"/>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3F531DD" w14:textId="77777777" w:rsidR="00EE4B6D" w:rsidRPr="00257E5C" w:rsidRDefault="00EE4B6D" w:rsidP="00180D45">
      <w:pPr>
        <w:tabs>
          <w:tab w:val="clear" w:pos="284"/>
        </w:tabs>
        <w:rPr>
          <w:rFonts w:eastAsia="Calibri"/>
          <w:szCs w:val="22"/>
        </w:rPr>
      </w:pPr>
      <w:r w:rsidRPr="00257E5C">
        <w:rPr>
          <w:rFonts w:eastAsia="Calibri"/>
          <w:szCs w:val="22"/>
        </w:rPr>
        <w:t xml:space="preserve">Institut za ljekove i medicinska sredstva </w:t>
      </w:r>
    </w:p>
    <w:p w14:paraId="2086E113" w14:textId="77777777" w:rsidR="00EE4B6D" w:rsidRPr="00257E5C" w:rsidRDefault="00EE4B6D" w:rsidP="00180D45">
      <w:pPr>
        <w:tabs>
          <w:tab w:val="clear" w:pos="284"/>
        </w:tabs>
        <w:rPr>
          <w:rFonts w:eastAsia="Calibri"/>
          <w:szCs w:val="22"/>
        </w:rPr>
      </w:pPr>
      <w:r w:rsidRPr="00257E5C">
        <w:rPr>
          <w:rFonts w:eastAsia="Calibri"/>
          <w:szCs w:val="22"/>
        </w:rPr>
        <w:t>Odjeljenje za farmakovigilancu</w:t>
      </w:r>
    </w:p>
    <w:p w14:paraId="71755E0E" w14:textId="77777777" w:rsidR="00EE4B6D" w:rsidRPr="00257E5C" w:rsidRDefault="00EE4B6D" w:rsidP="00180D45">
      <w:pPr>
        <w:tabs>
          <w:tab w:val="clear" w:pos="284"/>
        </w:tabs>
        <w:rPr>
          <w:rFonts w:eastAsia="Calibri"/>
          <w:szCs w:val="22"/>
        </w:rPr>
      </w:pPr>
      <w:r w:rsidRPr="00257E5C">
        <w:rPr>
          <w:rFonts w:eastAsia="Calibri"/>
          <w:szCs w:val="22"/>
        </w:rPr>
        <w:t>Bulevar Ivana Crnojevića 64a, 81000 Podgorica</w:t>
      </w:r>
    </w:p>
    <w:p w14:paraId="3EA63C37" w14:textId="77777777" w:rsidR="00EE4B6D" w:rsidRPr="00257E5C" w:rsidRDefault="00EE4B6D" w:rsidP="00180D45">
      <w:pPr>
        <w:tabs>
          <w:tab w:val="clear" w:pos="284"/>
        </w:tabs>
        <w:rPr>
          <w:rFonts w:eastAsia="Calibri"/>
          <w:szCs w:val="22"/>
        </w:rPr>
      </w:pPr>
    </w:p>
    <w:p w14:paraId="0A60F103" w14:textId="77777777" w:rsidR="00EE4B6D" w:rsidRPr="00257E5C" w:rsidRDefault="00EE4B6D" w:rsidP="00180D45">
      <w:pPr>
        <w:tabs>
          <w:tab w:val="clear" w:pos="284"/>
        </w:tabs>
        <w:rPr>
          <w:rFonts w:eastAsia="Calibri"/>
          <w:szCs w:val="22"/>
        </w:rPr>
      </w:pPr>
      <w:r w:rsidRPr="00257E5C">
        <w:rPr>
          <w:rFonts w:eastAsia="Calibri"/>
          <w:szCs w:val="22"/>
        </w:rPr>
        <w:t>tel: +382 (0) 20 310 280</w:t>
      </w:r>
    </w:p>
    <w:p w14:paraId="440AAA33" w14:textId="77777777" w:rsidR="00EE4B6D" w:rsidRPr="00257E5C" w:rsidRDefault="00EE4B6D" w:rsidP="00180D45">
      <w:pPr>
        <w:tabs>
          <w:tab w:val="clear" w:pos="284"/>
          <w:tab w:val="left" w:pos="6720"/>
        </w:tabs>
        <w:rPr>
          <w:rFonts w:eastAsia="Calibri"/>
          <w:szCs w:val="22"/>
        </w:rPr>
      </w:pPr>
      <w:r w:rsidRPr="00257E5C">
        <w:rPr>
          <w:rFonts w:eastAsia="Calibri"/>
          <w:szCs w:val="22"/>
        </w:rPr>
        <w:t>fax: +382 (0) 20 310 581</w:t>
      </w:r>
      <w:r w:rsidRPr="00257E5C">
        <w:rPr>
          <w:rFonts w:eastAsia="Calibri"/>
          <w:szCs w:val="22"/>
        </w:rPr>
        <w:tab/>
      </w:r>
    </w:p>
    <w:p w14:paraId="68304383" w14:textId="77777777" w:rsidR="00EE4B6D" w:rsidRPr="00257E5C" w:rsidRDefault="009E0FFF" w:rsidP="00180D45">
      <w:pPr>
        <w:tabs>
          <w:tab w:val="clear" w:pos="284"/>
        </w:tabs>
        <w:rPr>
          <w:rFonts w:eastAsia="Calibri"/>
          <w:szCs w:val="22"/>
        </w:rPr>
      </w:pPr>
      <w:hyperlink r:id="rId7" w:history="1">
        <w:r w:rsidR="00EE4B6D" w:rsidRPr="00257E5C">
          <w:rPr>
            <w:rFonts w:eastAsia="Calibri"/>
            <w:color w:val="0563C1"/>
            <w:szCs w:val="22"/>
            <w:u w:val="single"/>
          </w:rPr>
          <w:t>www.cinmed.me</w:t>
        </w:r>
      </w:hyperlink>
    </w:p>
    <w:p w14:paraId="1E9AE264" w14:textId="77777777" w:rsidR="00EE4B6D" w:rsidRPr="00257E5C" w:rsidRDefault="009E0FFF" w:rsidP="00180D45">
      <w:pPr>
        <w:tabs>
          <w:tab w:val="clear" w:pos="284"/>
        </w:tabs>
        <w:rPr>
          <w:rFonts w:eastAsia="Calibri"/>
          <w:color w:val="0000FF"/>
          <w:szCs w:val="22"/>
          <w:u w:val="single"/>
        </w:rPr>
      </w:pPr>
      <w:hyperlink r:id="rId8" w:history="1">
        <w:r w:rsidR="00EE4B6D" w:rsidRPr="00257E5C">
          <w:rPr>
            <w:rFonts w:eastAsia="Calibri"/>
            <w:color w:val="0563C1"/>
            <w:szCs w:val="22"/>
            <w:u w:val="single"/>
          </w:rPr>
          <w:t>nezeljenadejstva@cinmed.me</w:t>
        </w:r>
      </w:hyperlink>
    </w:p>
    <w:p w14:paraId="36EBDC16" w14:textId="77777777" w:rsidR="00EE4B6D" w:rsidRPr="00257E5C" w:rsidRDefault="00EE4B6D" w:rsidP="00180D45">
      <w:pPr>
        <w:tabs>
          <w:tab w:val="clear" w:pos="284"/>
        </w:tabs>
        <w:rPr>
          <w:rFonts w:eastAsia="Calibri"/>
          <w:szCs w:val="22"/>
        </w:rPr>
      </w:pPr>
      <w:r w:rsidRPr="00257E5C">
        <w:rPr>
          <w:rFonts w:eastAsia="Calibri"/>
          <w:szCs w:val="22"/>
        </w:rPr>
        <w:t>putem IS zdravstvene zaštite</w:t>
      </w:r>
    </w:p>
    <w:p w14:paraId="116715F5" w14:textId="77777777" w:rsidR="00EE4B6D" w:rsidRPr="00257E5C" w:rsidRDefault="00EE4B6D" w:rsidP="00180D45">
      <w:pPr>
        <w:tabs>
          <w:tab w:val="clear" w:pos="284"/>
        </w:tabs>
        <w:rPr>
          <w:rFonts w:eastAsia="Calibri"/>
          <w:szCs w:val="22"/>
        </w:rPr>
      </w:pPr>
      <w:r w:rsidRPr="00257E5C">
        <w:rPr>
          <w:rFonts w:eastAsia="Calibri"/>
          <w:szCs w:val="22"/>
        </w:rPr>
        <w:t>QR kod za online prijavu sumnje na neželjeno dejstvo lijeka:</w:t>
      </w:r>
    </w:p>
    <w:p w14:paraId="3AC202F0" w14:textId="77777777" w:rsidR="00EE4B6D" w:rsidRPr="00257E5C" w:rsidRDefault="00EE4B6D" w:rsidP="00180D45">
      <w:pPr>
        <w:tabs>
          <w:tab w:val="clear" w:pos="284"/>
        </w:tabs>
        <w:rPr>
          <w:rFonts w:eastAsia="Calibri"/>
          <w:szCs w:val="22"/>
        </w:rPr>
      </w:pPr>
    </w:p>
    <w:p w14:paraId="3FF78E19" w14:textId="77777777" w:rsidR="00EE4B6D" w:rsidRPr="00257E5C" w:rsidRDefault="00EE4B6D" w:rsidP="00180D45">
      <w:pPr>
        <w:tabs>
          <w:tab w:val="clear" w:pos="284"/>
          <w:tab w:val="left" w:pos="540"/>
          <w:tab w:val="left" w:pos="569"/>
        </w:tabs>
        <w:rPr>
          <w:b/>
          <w:bCs/>
          <w:szCs w:val="22"/>
        </w:rPr>
      </w:pPr>
      <w:r w:rsidRPr="00257E5C">
        <w:rPr>
          <w:b/>
          <w:bCs/>
          <w:noProof/>
          <w:szCs w:val="22"/>
          <w:lang w:val="en-US"/>
        </w:rPr>
        <w:drawing>
          <wp:inline distT="0" distB="0" distL="0" distR="0" wp14:anchorId="171337EA" wp14:editId="47730B4D">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D095280" w14:textId="4A48F5BE" w:rsidR="00653EF9" w:rsidRPr="00257E5C" w:rsidRDefault="00653EF9" w:rsidP="00180D45">
      <w:pPr>
        <w:pStyle w:val="NoSpacing"/>
        <w:jc w:val="both"/>
        <w:rPr>
          <w:rFonts w:eastAsia="Calibri"/>
          <w:sz w:val="22"/>
          <w:szCs w:val="22"/>
          <w:lang w:val="sr-Latn-CS"/>
        </w:rPr>
      </w:pPr>
    </w:p>
    <w:p w14:paraId="797548C0" w14:textId="14BFEB65" w:rsidR="00CE09F3" w:rsidRPr="00257E5C" w:rsidRDefault="00CE09F3" w:rsidP="00E25A4C">
      <w:pPr>
        <w:rPr>
          <w:b/>
          <w:bCs/>
          <w:szCs w:val="22"/>
        </w:rPr>
      </w:pPr>
      <w:r w:rsidRPr="00257E5C">
        <w:rPr>
          <w:b/>
          <w:bCs/>
          <w:szCs w:val="22"/>
        </w:rPr>
        <w:t xml:space="preserve">4.9. </w:t>
      </w:r>
      <w:r w:rsidR="00217100" w:rsidRPr="00257E5C">
        <w:rPr>
          <w:b/>
          <w:bCs/>
          <w:szCs w:val="22"/>
        </w:rPr>
        <w:t xml:space="preserve">  Predoziranje</w:t>
      </w:r>
    </w:p>
    <w:p w14:paraId="75165D9D" w14:textId="77777777" w:rsidR="00217100" w:rsidRPr="00257E5C" w:rsidRDefault="00217100" w:rsidP="00E25A4C">
      <w:pPr>
        <w:rPr>
          <w:szCs w:val="22"/>
        </w:rPr>
      </w:pPr>
    </w:p>
    <w:p w14:paraId="2374EF3A" w14:textId="2096DBCA" w:rsidR="00390C16" w:rsidRPr="00257E5C" w:rsidRDefault="00390C16">
      <w:pPr>
        <w:pStyle w:val="Header"/>
        <w:tabs>
          <w:tab w:val="clear" w:pos="4536"/>
          <w:tab w:val="clear" w:pos="9072"/>
          <w:tab w:val="left" w:pos="284"/>
        </w:tabs>
        <w:rPr>
          <w:szCs w:val="22"/>
        </w:rPr>
      </w:pPr>
      <w:r w:rsidRPr="00257E5C">
        <w:rPr>
          <w:szCs w:val="22"/>
        </w:rPr>
        <w:t>Hipoglikemija nije prim</w:t>
      </w:r>
      <w:r w:rsidR="0082202C" w:rsidRPr="00257E5C">
        <w:rPr>
          <w:szCs w:val="22"/>
        </w:rPr>
        <w:t>ij</w:t>
      </w:r>
      <w:r w:rsidR="004C7497" w:rsidRPr="00257E5C">
        <w:rPr>
          <w:szCs w:val="22"/>
        </w:rPr>
        <w:t>ećena pri dozama metformina</w:t>
      </w:r>
      <w:r w:rsidRPr="00257E5C">
        <w:rPr>
          <w:szCs w:val="22"/>
        </w:rPr>
        <w:t xml:space="preserve"> do 85 g, iako je dolazilo do pojave laktatne acidoze. Predozi</w:t>
      </w:r>
      <w:r w:rsidR="004C7497" w:rsidRPr="00257E5C">
        <w:rPr>
          <w:szCs w:val="22"/>
        </w:rPr>
        <w:t>ranje metforminom</w:t>
      </w:r>
      <w:r w:rsidRPr="00257E5C">
        <w:rPr>
          <w:szCs w:val="22"/>
        </w:rPr>
        <w:t xml:space="preserve"> ili pridruženi faktori rizika mogu dovesti do laktatne acidoze. Laktatna acidoza je </w:t>
      </w:r>
      <w:r w:rsidRPr="00257E5C">
        <w:rPr>
          <w:szCs w:val="22"/>
        </w:rPr>
        <w:lastRenderedPageBreak/>
        <w:t>urgentno stanje i mora se tretirati u bolnici. Najefikasniji metod uklanjanja laktata i metformin</w:t>
      </w:r>
      <w:r w:rsidR="00AC507D" w:rsidRPr="00257E5C">
        <w:rPr>
          <w:szCs w:val="22"/>
        </w:rPr>
        <w:t>a</w:t>
      </w:r>
      <w:r w:rsidRPr="00257E5C">
        <w:rPr>
          <w:szCs w:val="22"/>
        </w:rPr>
        <w:t xml:space="preserve"> je hemodijaliza.</w:t>
      </w:r>
    </w:p>
    <w:p w14:paraId="567A8FA6" w14:textId="4CBA8BED" w:rsidR="00137369" w:rsidRPr="00257E5C" w:rsidRDefault="00137369">
      <w:pPr>
        <w:pStyle w:val="Header"/>
        <w:tabs>
          <w:tab w:val="clear" w:pos="4536"/>
          <w:tab w:val="clear" w:pos="9072"/>
          <w:tab w:val="left" w:pos="284"/>
        </w:tabs>
        <w:rPr>
          <w:szCs w:val="22"/>
        </w:rPr>
      </w:pPr>
    </w:p>
    <w:p w14:paraId="2B96F42B" w14:textId="77777777" w:rsidR="00137369" w:rsidRPr="00257E5C" w:rsidRDefault="00137369">
      <w:pPr>
        <w:pStyle w:val="Header"/>
        <w:tabs>
          <w:tab w:val="clear" w:pos="4536"/>
          <w:tab w:val="clear" w:pos="9072"/>
          <w:tab w:val="left" w:pos="284"/>
        </w:tabs>
        <w:rPr>
          <w:szCs w:val="22"/>
        </w:rPr>
      </w:pPr>
    </w:p>
    <w:p w14:paraId="20098D98" w14:textId="761234F6" w:rsidR="00CE09F3" w:rsidRPr="00257E5C" w:rsidRDefault="00CE09F3" w:rsidP="007E7F7B">
      <w:pPr>
        <w:pStyle w:val="NASLOV123"/>
        <w:spacing w:before="0" w:after="0"/>
        <w:jc w:val="both"/>
      </w:pPr>
      <w:r w:rsidRPr="00257E5C">
        <w:t xml:space="preserve">5. </w:t>
      </w:r>
      <w:r w:rsidR="00217100" w:rsidRPr="00257E5C">
        <w:t xml:space="preserve">    </w:t>
      </w:r>
      <w:r w:rsidRPr="00257E5C">
        <w:t>FARMAKOLOŠKI PODACI</w:t>
      </w:r>
    </w:p>
    <w:p w14:paraId="4275ADF1" w14:textId="77777777" w:rsidR="00137369" w:rsidRPr="00257E5C" w:rsidRDefault="00137369" w:rsidP="00E25A4C">
      <w:pPr>
        <w:rPr>
          <w:b/>
          <w:bCs/>
          <w:szCs w:val="22"/>
        </w:rPr>
      </w:pPr>
    </w:p>
    <w:p w14:paraId="2989D4D1" w14:textId="6F023344" w:rsidR="00CE09F3" w:rsidRPr="00257E5C" w:rsidRDefault="00CE09F3" w:rsidP="00E25A4C">
      <w:pPr>
        <w:rPr>
          <w:b/>
          <w:bCs/>
          <w:szCs w:val="22"/>
        </w:rPr>
      </w:pPr>
      <w:r w:rsidRPr="00257E5C">
        <w:rPr>
          <w:b/>
          <w:bCs/>
          <w:szCs w:val="22"/>
        </w:rPr>
        <w:t>5.1.</w:t>
      </w:r>
      <w:r w:rsidR="00217100" w:rsidRPr="00257E5C">
        <w:rPr>
          <w:b/>
          <w:bCs/>
          <w:szCs w:val="22"/>
        </w:rPr>
        <w:t xml:space="preserve">  </w:t>
      </w:r>
      <w:r w:rsidRPr="00257E5C">
        <w:rPr>
          <w:b/>
          <w:bCs/>
          <w:szCs w:val="22"/>
        </w:rPr>
        <w:t xml:space="preserve"> Farmakodinamski podaci</w:t>
      </w:r>
    </w:p>
    <w:p w14:paraId="27B60C2D" w14:textId="77777777" w:rsidR="002306B7" w:rsidRPr="00257E5C" w:rsidRDefault="002306B7" w:rsidP="00E25A4C">
      <w:pPr>
        <w:rPr>
          <w:b/>
          <w:bCs/>
          <w:szCs w:val="22"/>
        </w:rPr>
      </w:pPr>
    </w:p>
    <w:p w14:paraId="0DFDE14F" w14:textId="08136DC8" w:rsidR="00CE09F3" w:rsidRPr="00257E5C" w:rsidRDefault="00CE09F3" w:rsidP="00E25A4C">
      <w:pPr>
        <w:rPr>
          <w:bCs/>
          <w:szCs w:val="22"/>
        </w:rPr>
      </w:pPr>
      <w:r w:rsidRPr="00257E5C">
        <w:rPr>
          <w:szCs w:val="22"/>
        </w:rPr>
        <w:t>Farmakoterapijska grupa:</w:t>
      </w:r>
      <w:r w:rsidR="00390C16" w:rsidRPr="00257E5C">
        <w:rPr>
          <w:b/>
          <w:bCs/>
          <w:szCs w:val="22"/>
        </w:rPr>
        <w:t xml:space="preserve"> </w:t>
      </w:r>
      <w:r w:rsidR="00390C16" w:rsidRPr="00257E5C">
        <w:rPr>
          <w:bCs/>
          <w:szCs w:val="22"/>
        </w:rPr>
        <w:t>L</w:t>
      </w:r>
      <w:r w:rsidR="0082202C" w:rsidRPr="00257E5C">
        <w:rPr>
          <w:bCs/>
          <w:szCs w:val="22"/>
        </w:rPr>
        <w:t>j</w:t>
      </w:r>
      <w:r w:rsidR="00390C16" w:rsidRPr="00257E5C">
        <w:rPr>
          <w:bCs/>
          <w:szCs w:val="22"/>
        </w:rPr>
        <w:t>ekovi koji snižavaju nivo šećera u krvi, bigvanidini</w:t>
      </w:r>
    </w:p>
    <w:p w14:paraId="5FB947B3" w14:textId="77777777" w:rsidR="00CE09F3" w:rsidRPr="00257E5C" w:rsidRDefault="00CE09F3" w:rsidP="00E25A4C">
      <w:pPr>
        <w:rPr>
          <w:szCs w:val="22"/>
        </w:rPr>
      </w:pPr>
    </w:p>
    <w:p w14:paraId="62007A1D" w14:textId="21B633AC" w:rsidR="00CE09F3" w:rsidRPr="00257E5C" w:rsidRDefault="00CE09F3" w:rsidP="00E25A4C">
      <w:pPr>
        <w:rPr>
          <w:szCs w:val="22"/>
        </w:rPr>
      </w:pPr>
      <w:r w:rsidRPr="00257E5C">
        <w:rPr>
          <w:szCs w:val="22"/>
        </w:rPr>
        <w:t xml:space="preserve">ATC </w:t>
      </w:r>
      <w:r w:rsidR="00A047F4" w:rsidRPr="00257E5C">
        <w:rPr>
          <w:szCs w:val="22"/>
        </w:rPr>
        <w:t>kod</w:t>
      </w:r>
      <w:r w:rsidRPr="00257E5C">
        <w:rPr>
          <w:szCs w:val="22"/>
        </w:rPr>
        <w:t>:</w:t>
      </w:r>
      <w:r w:rsidR="00390C16" w:rsidRPr="00257E5C">
        <w:rPr>
          <w:szCs w:val="22"/>
        </w:rPr>
        <w:t xml:space="preserve"> A10BA02</w:t>
      </w:r>
    </w:p>
    <w:p w14:paraId="00CB4D66" w14:textId="77777777" w:rsidR="004C7497" w:rsidRPr="00257E5C" w:rsidRDefault="004C7497" w:rsidP="00E25A4C">
      <w:pPr>
        <w:rPr>
          <w:b/>
          <w:bCs/>
          <w:szCs w:val="22"/>
        </w:rPr>
      </w:pPr>
    </w:p>
    <w:p w14:paraId="47598D71" w14:textId="1BDBFF05" w:rsidR="00390C16" w:rsidRPr="00257E5C" w:rsidRDefault="00390C16" w:rsidP="00E25A4C">
      <w:pPr>
        <w:pStyle w:val="BodyText"/>
        <w:jc w:val="both"/>
        <w:rPr>
          <w:b w:val="0"/>
          <w:bCs w:val="0"/>
          <w:sz w:val="22"/>
          <w:szCs w:val="22"/>
          <w:lang w:val="sr-Latn-CS" w:eastAsia="en-US"/>
        </w:rPr>
      </w:pPr>
      <w:r w:rsidRPr="00257E5C">
        <w:rPr>
          <w:b w:val="0"/>
          <w:bCs w:val="0"/>
          <w:sz w:val="22"/>
          <w:szCs w:val="22"/>
          <w:lang w:val="sr-Latn-CS" w:eastAsia="en-US"/>
        </w:rPr>
        <w:t>Met</w:t>
      </w:r>
      <w:r w:rsidR="00384AC6" w:rsidRPr="00257E5C">
        <w:rPr>
          <w:b w:val="0"/>
          <w:bCs w:val="0"/>
          <w:sz w:val="22"/>
          <w:szCs w:val="22"/>
          <w:lang w:val="sr-Latn-CS" w:eastAsia="en-US"/>
        </w:rPr>
        <w:t>formin</w:t>
      </w:r>
      <w:r w:rsidRPr="00257E5C">
        <w:rPr>
          <w:b w:val="0"/>
          <w:bCs w:val="0"/>
          <w:sz w:val="22"/>
          <w:szCs w:val="22"/>
          <w:lang w:val="sr-Latn-CS" w:eastAsia="en-US"/>
        </w:rPr>
        <w:t xml:space="preserve"> je bigvanid sa antihiperglikemijskim dejstvima </w:t>
      </w:r>
      <w:r w:rsidR="00F60F73" w:rsidRPr="00257E5C">
        <w:rPr>
          <w:b w:val="0"/>
          <w:bCs w:val="0"/>
          <w:sz w:val="22"/>
          <w:szCs w:val="22"/>
          <w:lang w:val="sr-Latn-CS" w:eastAsia="en-US"/>
        </w:rPr>
        <w:t>na</w:t>
      </w:r>
      <w:r w:rsidRPr="00257E5C">
        <w:rPr>
          <w:b w:val="0"/>
          <w:bCs w:val="0"/>
          <w:sz w:val="22"/>
          <w:szCs w:val="22"/>
          <w:lang w:val="sr-Latn-CS" w:eastAsia="en-US"/>
        </w:rPr>
        <w:t xml:space="preserve"> bazalnu i postprandijalnu </w:t>
      </w:r>
      <w:r w:rsidR="00F60F73" w:rsidRPr="00257E5C">
        <w:rPr>
          <w:b w:val="0"/>
          <w:bCs w:val="0"/>
          <w:sz w:val="22"/>
          <w:szCs w:val="22"/>
          <w:lang w:val="sr-Latn-CS" w:eastAsia="en-US"/>
        </w:rPr>
        <w:t>hiperglikemiju</w:t>
      </w:r>
      <w:r w:rsidRPr="00257E5C">
        <w:rPr>
          <w:b w:val="0"/>
          <w:bCs w:val="0"/>
          <w:sz w:val="22"/>
          <w:szCs w:val="22"/>
          <w:lang w:val="sr-Latn-CS" w:eastAsia="en-US"/>
        </w:rPr>
        <w:t>. Ne stimuliše insulinsku sekreciju zbog čega ne izaziva hipoglikemiju.</w:t>
      </w:r>
    </w:p>
    <w:p w14:paraId="5193F8E6" w14:textId="77777777" w:rsidR="00390C16" w:rsidRPr="00257E5C" w:rsidRDefault="00390C16" w:rsidP="00E25A4C">
      <w:pPr>
        <w:pStyle w:val="BodyText"/>
        <w:jc w:val="both"/>
        <w:rPr>
          <w:b w:val="0"/>
          <w:bCs w:val="0"/>
          <w:sz w:val="22"/>
          <w:szCs w:val="22"/>
          <w:lang w:val="sr-Latn-CS" w:eastAsia="en-US"/>
        </w:rPr>
      </w:pPr>
    </w:p>
    <w:p w14:paraId="6868BA47" w14:textId="77777777" w:rsidR="00F60F73" w:rsidRPr="00257E5C" w:rsidRDefault="00F60F73" w:rsidP="00E25A4C">
      <w:pPr>
        <w:pStyle w:val="BodyText"/>
        <w:jc w:val="both"/>
        <w:rPr>
          <w:b w:val="0"/>
          <w:bCs w:val="0"/>
          <w:sz w:val="22"/>
          <w:szCs w:val="22"/>
          <w:lang w:val="sr-Latn-CS" w:eastAsia="en-US"/>
        </w:rPr>
      </w:pPr>
      <w:r w:rsidRPr="00257E5C">
        <w:rPr>
          <w:b w:val="0"/>
          <w:bCs w:val="0"/>
          <w:sz w:val="22"/>
          <w:szCs w:val="22"/>
          <w:lang w:val="sr-Latn-CS" w:eastAsia="en-US"/>
        </w:rPr>
        <w:t>Metformin smanjuje bazalnu hiperinsulinemiju, a u kombinaciji sa insulinom, smanjuje potrebu za insulinom.</w:t>
      </w:r>
    </w:p>
    <w:p w14:paraId="28D85F99" w14:textId="77777777" w:rsidR="00F60F73" w:rsidRPr="00257E5C" w:rsidRDefault="00F60F73" w:rsidP="00E25A4C">
      <w:pPr>
        <w:pStyle w:val="BodyText"/>
        <w:jc w:val="both"/>
        <w:rPr>
          <w:b w:val="0"/>
          <w:bCs w:val="0"/>
          <w:sz w:val="22"/>
          <w:szCs w:val="22"/>
          <w:lang w:val="sr-Latn-CS" w:eastAsia="en-US"/>
        </w:rPr>
      </w:pPr>
    </w:p>
    <w:p w14:paraId="432B4FDD" w14:textId="6FA3ACEB" w:rsidR="00AD7FEF" w:rsidRPr="00257E5C" w:rsidRDefault="00AD7FEF" w:rsidP="00E25A4C">
      <w:pPr>
        <w:pStyle w:val="BodyText"/>
        <w:jc w:val="both"/>
        <w:rPr>
          <w:b w:val="0"/>
          <w:bCs w:val="0"/>
          <w:sz w:val="22"/>
          <w:szCs w:val="22"/>
          <w:u w:val="single"/>
          <w:lang w:val="sr-Latn-CS" w:eastAsia="en-US"/>
        </w:rPr>
      </w:pPr>
      <w:r w:rsidRPr="00257E5C">
        <w:rPr>
          <w:b w:val="0"/>
          <w:bCs w:val="0"/>
          <w:sz w:val="22"/>
          <w:szCs w:val="22"/>
          <w:u w:val="single"/>
          <w:lang w:val="sr-Latn-CS" w:eastAsia="en-US"/>
        </w:rPr>
        <w:t>Mehanizam dejstva</w:t>
      </w:r>
    </w:p>
    <w:p w14:paraId="7334E8D1" w14:textId="2BA9EF08" w:rsidR="00F60F73" w:rsidRPr="00257E5C" w:rsidRDefault="00F60F73" w:rsidP="00E25A4C">
      <w:pPr>
        <w:pStyle w:val="BodyText"/>
        <w:jc w:val="both"/>
        <w:rPr>
          <w:b w:val="0"/>
          <w:bCs w:val="0"/>
          <w:sz w:val="22"/>
          <w:szCs w:val="22"/>
          <w:lang w:val="sr-Latn-CS" w:eastAsia="en-US"/>
        </w:rPr>
      </w:pPr>
      <w:r w:rsidRPr="00257E5C">
        <w:rPr>
          <w:b w:val="0"/>
          <w:bCs w:val="0"/>
          <w:sz w:val="22"/>
          <w:szCs w:val="22"/>
          <w:lang w:val="sr-Latn-CS" w:eastAsia="en-US"/>
        </w:rPr>
        <w:t>Metformin ispoljava antihiperglikemijski efekat višestrukim mehanizmima:</w:t>
      </w:r>
    </w:p>
    <w:p w14:paraId="4FD48F0A" w14:textId="288DBC53" w:rsidR="00F60F73" w:rsidRPr="00257E5C" w:rsidRDefault="00F60F73" w:rsidP="00E25A4C">
      <w:pPr>
        <w:pStyle w:val="BodyText"/>
        <w:jc w:val="both"/>
        <w:rPr>
          <w:b w:val="0"/>
          <w:bCs w:val="0"/>
          <w:sz w:val="22"/>
          <w:szCs w:val="22"/>
          <w:lang w:val="sr-Latn-CS" w:eastAsia="en-US"/>
        </w:rPr>
      </w:pPr>
      <w:r w:rsidRPr="00257E5C">
        <w:rPr>
          <w:b w:val="0"/>
          <w:bCs w:val="0"/>
          <w:sz w:val="22"/>
          <w:szCs w:val="22"/>
          <w:lang w:val="sr-Latn-CS" w:eastAsia="en-US"/>
        </w:rPr>
        <w:t>(1)</w:t>
      </w:r>
      <w:r w:rsidR="00C20954" w:rsidRPr="00257E5C">
        <w:rPr>
          <w:b w:val="0"/>
          <w:bCs w:val="0"/>
          <w:sz w:val="22"/>
          <w:szCs w:val="22"/>
          <w:lang w:val="sr-Latn-CS" w:eastAsia="en-US"/>
        </w:rPr>
        <w:t xml:space="preserve"> </w:t>
      </w:r>
      <w:r w:rsidRPr="00257E5C">
        <w:rPr>
          <w:b w:val="0"/>
          <w:bCs w:val="0"/>
          <w:sz w:val="22"/>
          <w:szCs w:val="22"/>
          <w:lang w:val="sr-Latn-CS" w:eastAsia="en-US"/>
        </w:rPr>
        <w:t xml:space="preserve">Metformin redukuje stvaranje hepatičke glukoze </w:t>
      </w:r>
    </w:p>
    <w:p w14:paraId="288048E1" w14:textId="6B4AB260" w:rsidR="00F60F73" w:rsidRPr="00257E5C" w:rsidRDefault="00F60F73" w:rsidP="00E25A4C">
      <w:pPr>
        <w:pStyle w:val="BodyText"/>
        <w:jc w:val="both"/>
        <w:rPr>
          <w:b w:val="0"/>
          <w:bCs w:val="0"/>
          <w:sz w:val="22"/>
          <w:szCs w:val="22"/>
          <w:lang w:val="sr-Latn-CS" w:eastAsia="en-US"/>
        </w:rPr>
      </w:pPr>
      <w:r w:rsidRPr="00257E5C">
        <w:rPr>
          <w:b w:val="0"/>
          <w:bCs w:val="0"/>
          <w:sz w:val="22"/>
          <w:szCs w:val="22"/>
          <w:lang w:val="sr-Latn-CS" w:eastAsia="en-US"/>
        </w:rPr>
        <w:t>(2) Metformin olakšava preuzimanje i iskoristljivost glukoze na periferiji, djelimično povećanjem d</w:t>
      </w:r>
      <w:r w:rsidR="00C20954" w:rsidRPr="00257E5C">
        <w:rPr>
          <w:b w:val="0"/>
          <w:bCs w:val="0"/>
          <w:sz w:val="22"/>
          <w:szCs w:val="22"/>
          <w:lang w:val="sr-Latn-CS" w:eastAsia="en-US"/>
        </w:rPr>
        <w:t>j</w:t>
      </w:r>
      <w:r w:rsidRPr="00257E5C">
        <w:rPr>
          <w:b w:val="0"/>
          <w:bCs w:val="0"/>
          <w:sz w:val="22"/>
          <w:szCs w:val="22"/>
          <w:lang w:val="sr-Latn-CS" w:eastAsia="en-US"/>
        </w:rPr>
        <w:t>elovanja insulina.</w:t>
      </w:r>
    </w:p>
    <w:p w14:paraId="5C7895D6" w14:textId="0BEDBE66" w:rsidR="00F60F73" w:rsidRPr="00257E5C" w:rsidRDefault="00F60F73" w:rsidP="00E25A4C">
      <w:pPr>
        <w:pStyle w:val="BodyText"/>
        <w:jc w:val="both"/>
        <w:rPr>
          <w:b w:val="0"/>
          <w:bCs w:val="0"/>
          <w:sz w:val="22"/>
          <w:szCs w:val="22"/>
          <w:lang w:val="sr-Latn-CS" w:eastAsia="en-US"/>
        </w:rPr>
      </w:pPr>
      <w:r w:rsidRPr="00257E5C">
        <w:rPr>
          <w:b w:val="0"/>
          <w:bCs w:val="0"/>
          <w:sz w:val="22"/>
          <w:szCs w:val="22"/>
          <w:lang w:val="sr-Latn-CS" w:eastAsia="en-US"/>
        </w:rPr>
        <w:t>(3)</w:t>
      </w:r>
      <w:r w:rsidR="00C20954" w:rsidRPr="00257E5C">
        <w:rPr>
          <w:b w:val="0"/>
          <w:bCs w:val="0"/>
          <w:sz w:val="22"/>
          <w:szCs w:val="22"/>
          <w:lang w:val="sr-Latn-CS" w:eastAsia="en-US"/>
        </w:rPr>
        <w:t xml:space="preserve"> </w:t>
      </w:r>
      <w:r w:rsidRPr="00257E5C">
        <w:rPr>
          <w:b w:val="0"/>
          <w:bCs w:val="0"/>
          <w:sz w:val="22"/>
          <w:szCs w:val="22"/>
          <w:lang w:val="sr-Latn-CS" w:eastAsia="en-US"/>
        </w:rPr>
        <w:t>Metformin m</w:t>
      </w:r>
      <w:r w:rsidR="008C10A8" w:rsidRPr="00257E5C">
        <w:rPr>
          <w:b w:val="0"/>
          <w:bCs w:val="0"/>
          <w:sz w:val="22"/>
          <w:szCs w:val="22"/>
          <w:lang w:val="sr-Latn-CS" w:eastAsia="en-US"/>
        </w:rPr>
        <w:t>i</w:t>
      </w:r>
      <w:r w:rsidRPr="00257E5C">
        <w:rPr>
          <w:b w:val="0"/>
          <w:bCs w:val="0"/>
          <w:sz w:val="22"/>
          <w:szCs w:val="22"/>
          <w:lang w:val="sr-Latn-CS" w:eastAsia="en-US"/>
        </w:rPr>
        <w:t>jenja promet glukoze u cr</w:t>
      </w:r>
      <w:r w:rsidR="008C10A8" w:rsidRPr="00257E5C">
        <w:rPr>
          <w:b w:val="0"/>
          <w:bCs w:val="0"/>
          <w:sz w:val="22"/>
          <w:szCs w:val="22"/>
          <w:lang w:val="sr-Latn-CS" w:eastAsia="en-US"/>
        </w:rPr>
        <w:t>ij</w:t>
      </w:r>
      <w:r w:rsidRPr="00257E5C">
        <w:rPr>
          <w:b w:val="0"/>
          <w:bCs w:val="0"/>
          <w:sz w:val="22"/>
          <w:szCs w:val="22"/>
          <w:lang w:val="sr-Latn-CS" w:eastAsia="en-US"/>
        </w:rPr>
        <w:t>evima: povećava se unos iz cirkulacije i smanjuje se resorpcija iz hrane.</w:t>
      </w:r>
      <w:r w:rsidR="00C20954" w:rsidRPr="00257E5C">
        <w:rPr>
          <w:b w:val="0"/>
          <w:bCs w:val="0"/>
          <w:sz w:val="22"/>
          <w:szCs w:val="22"/>
          <w:lang w:val="sr-Latn-CS" w:eastAsia="en-US"/>
        </w:rPr>
        <w:t xml:space="preserve"> </w:t>
      </w:r>
      <w:r w:rsidRPr="00257E5C">
        <w:rPr>
          <w:b w:val="0"/>
          <w:bCs w:val="0"/>
          <w:sz w:val="22"/>
          <w:szCs w:val="22"/>
          <w:lang w:val="sr-Latn-CS" w:eastAsia="en-US"/>
        </w:rPr>
        <w:t>Dodatni mehanizmi koji se pripisuju cr</w:t>
      </w:r>
      <w:r w:rsidR="00C20954" w:rsidRPr="00257E5C">
        <w:rPr>
          <w:b w:val="0"/>
          <w:bCs w:val="0"/>
          <w:sz w:val="22"/>
          <w:szCs w:val="22"/>
          <w:lang w:val="sr-Latn-CS" w:eastAsia="en-US"/>
        </w:rPr>
        <w:t>ij</w:t>
      </w:r>
      <w:r w:rsidRPr="00257E5C">
        <w:rPr>
          <w:b w:val="0"/>
          <w:bCs w:val="0"/>
          <w:sz w:val="22"/>
          <w:szCs w:val="22"/>
          <w:lang w:val="sr-Latn-CS" w:eastAsia="en-US"/>
        </w:rPr>
        <w:t>evima uključuju povećanje oslobađanja peptida sličnog glukagonu 1 (GLP-1) i smanjenje resorpcije žučne kiseline. Metformin m</w:t>
      </w:r>
      <w:r w:rsidR="008C10A8" w:rsidRPr="00257E5C">
        <w:rPr>
          <w:b w:val="0"/>
          <w:bCs w:val="0"/>
          <w:sz w:val="22"/>
          <w:szCs w:val="22"/>
          <w:lang w:val="sr-Latn-CS" w:eastAsia="en-US"/>
        </w:rPr>
        <w:t>i</w:t>
      </w:r>
      <w:r w:rsidRPr="00257E5C">
        <w:rPr>
          <w:b w:val="0"/>
          <w:bCs w:val="0"/>
          <w:sz w:val="22"/>
          <w:szCs w:val="22"/>
          <w:lang w:val="sr-Latn-CS" w:eastAsia="en-US"/>
        </w:rPr>
        <w:t>jenja mikrobiom cr</w:t>
      </w:r>
      <w:r w:rsidR="008C10A8" w:rsidRPr="00257E5C">
        <w:rPr>
          <w:b w:val="0"/>
          <w:bCs w:val="0"/>
          <w:sz w:val="22"/>
          <w:szCs w:val="22"/>
          <w:lang w:val="sr-Latn-CS" w:eastAsia="en-US"/>
        </w:rPr>
        <w:t>ij</w:t>
      </w:r>
      <w:r w:rsidRPr="00257E5C">
        <w:rPr>
          <w:b w:val="0"/>
          <w:bCs w:val="0"/>
          <w:sz w:val="22"/>
          <w:szCs w:val="22"/>
          <w:lang w:val="sr-Latn-CS" w:eastAsia="en-US"/>
        </w:rPr>
        <w:t>eva.</w:t>
      </w:r>
    </w:p>
    <w:p w14:paraId="19191221" w14:textId="77777777" w:rsidR="00F60F73" w:rsidRPr="00257E5C" w:rsidRDefault="00F60F73" w:rsidP="00E25A4C">
      <w:pPr>
        <w:pStyle w:val="BodyText"/>
        <w:jc w:val="both"/>
        <w:rPr>
          <w:b w:val="0"/>
          <w:bCs w:val="0"/>
          <w:sz w:val="22"/>
          <w:szCs w:val="22"/>
          <w:lang w:val="sr-Latn-CS" w:eastAsia="en-US"/>
        </w:rPr>
      </w:pPr>
    </w:p>
    <w:p w14:paraId="71D9383A" w14:textId="77777777" w:rsidR="00F60F73" w:rsidRPr="00257E5C" w:rsidRDefault="00F60F73" w:rsidP="00E25A4C">
      <w:pPr>
        <w:pStyle w:val="BodyText"/>
        <w:jc w:val="both"/>
        <w:rPr>
          <w:b w:val="0"/>
          <w:bCs w:val="0"/>
          <w:sz w:val="22"/>
          <w:szCs w:val="22"/>
          <w:lang w:val="sr-Latn-CS" w:eastAsia="en-US"/>
        </w:rPr>
      </w:pPr>
      <w:r w:rsidRPr="00257E5C">
        <w:rPr>
          <w:b w:val="0"/>
          <w:bCs w:val="0"/>
          <w:sz w:val="22"/>
          <w:szCs w:val="22"/>
          <w:lang w:val="sr-Latn-CS" w:eastAsia="en-US"/>
        </w:rPr>
        <w:t>Metformin može poboljšati lipidni profil kod osoba sa hiperlipidemijom.</w:t>
      </w:r>
    </w:p>
    <w:p w14:paraId="354F0AC6" w14:textId="77777777" w:rsidR="00F60F73" w:rsidRPr="00257E5C" w:rsidRDefault="00F60F73" w:rsidP="00E25A4C">
      <w:pPr>
        <w:pStyle w:val="BodyText"/>
        <w:jc w:val="both"/>
        <w:rPr>
          <w:b w:val="0"/>
          <w:bCs w:val="0"/>
          <w:sz w:val="22"/>
          <w:szCs w:val="22"/>
          <w:lang w:val="sr-Latn-CS" w:eastAsia="en-US"/>
        </w:rPr>
      </w:pPr>
    </w:p>
    <w:p w14:paraId="345D1197" w14:textId="77777777" w:rsidR="00F60F73" w:rsidRPr="00257E5C" w:rsidRDefault="00F60F73" w:rsidP="00E25A4C">
      <w:pPr>
        <w:pStyle w:val="BodyText"/>
        <w:jc w:val="both"/>
        <w:rPr>
          <w:b w:val="0"/>
          <w:bCs w:val="0"/>
          <w:sz w:val="22"/>
          <w:szCs w:val="22"/>
          <w:lang w:val="sr-Latn-CS" w:eastAsia="en-US"/>
        </w:rPr>
      </w:pPr>
      <w:r w:rsidRPr="00257E5C">
        <w:rPr>
          <w:b w:val="0"/>
          <w:bCs w:val="0"/>
          <w:sz w:val="22"/>
          <w:szCs w:val="22"/>
          <w:lang w:val="sr-Latn-CS" w:eastAsia="en-US"/>
        </w:rPr>
        <w:t>U kliničkim studijama, upotreba metformina je bila povezana ili sa stabilnom tjelesnom masom ili sa umjerenim gubitkom tjelesne mase.</w:t>
      </w:r>
    </w:p>
    <w:p w14:paraId="7178A884" w14:textId="77777777" w:rsidR="00F60F73" w:rsidRPr="00257E5C" w:rsidRDefault="00F60F73" w:rsidP="00E25A4C">
      <w:pPr>
        <w:pStyle w:val="BodyText"/>
        <w:jc w:val="both"/>
        <w:rPr>
          <w:b w:val="0"/>
          <w:bCs w:val="0"/>
          <w:sz w:val="22"/>
          <w:szCs w:val="22"/>
          <w:lang w:val="sr-Latn-CS" w:eastAsia="en-US"/>
        </w:rPr>
      </w:pPr>
    </w:p>
    <w:p w14:paraId="6FAD1A09" w14:textId="4FB4388E" w:rsidR="00390C16" w:rsidRPr="00257E5C" w:rsidRDefault="00F60F73" w:rsidP="00E25A4C">
      <w:pPr>
        <w:pStyle w:val="ABold"/>
        <w:spacing w:before="0"/>
        <w:rPr>
          <w:b w:val="0"/>
          <w:sz w:val="22"/>
          <w:szCs w:val="22"/>
          <w:lang w:val="sr-Latn-CS" w:eastAsia="en-US"/>
        </w:rPr>
      </w:pPr>
      <w:r w:rsidRPr="00257E5C">
        <w:rPr>
          <w:b w:val="0"/>
          <w:sz w:val="22"/>
          <w:szCs w:val="22"/>
          <w:lang w:val="sr-Latn-CS" w:eastAsia="en-US"/>
        </w:rPr>
        <w:t>Metformin je aktivator adenozin monofosfat-protein-kinaze (AMPK) i povećava transportni kapacitet svih vrsta membranskih transportera glukoze (GLUT).</w:t>
      </w:r>
      <w:r w:rsidR="00390C16" w:rsidRPr="00257E5C">
        <w:rPr>
          <w:b w:val="0"/>
          <w:sz w:val="22"/>
          <w:szCs w:val="22"/>
          <w:lang w:val="sr-Latn-CS" w:eastAsia="en-US"/>
        </w:rPr>
        <w:t xml:space="preserve"> </w:t>
      </w:r>
      <w:r w:rsidR="00390C16" w:rsidRPr="00257E5C">
        <w:rPr>
          <w:b w:val="0"/>
          <w:sz w:val="22"/>
          <w:szCs w:val="22"/>
          <w:lang w:val="sr-Latn-CS" w:eastAsia="en-US"/>
        </w:rPr>
        <w:cr/>
      </w:r>
    </w:p>
    <w:p w14:paraId="5ECCBD89" w14:textId="77777777" w:rsidR="00390C16" w:rsidRPr="00257E5C" w:rsidRDefault="00390C16" w:rsidP="00E25A4C">
      <w:pPr>
        <w:pStyle w:val="ABold"/>
        <w:spacing w:before="0"/>
        <w:rPr>
          <w:b w:val="0"/>
          <w:sz w:val="22"/>
          <w:szCs w:val="22"/>
          <w:u w:val="single"/>
          <w:lang w:val="sr-Latn-CS" w:eastAsia="en-US"/>
        </w:rPr>
      </w:pPr>
      <w:r w:rsidRPr="00257E5C">
        <w:rPr>
          <w:b w:val="0"/>
          <w:sz w:val="22"/>
          <w:szCs w:val="22"/>
          <w:u w:val="single"/>
          <w:lang w:val="sr-Latn-CS" w:eastAsia="en-US"/>
        </w:rPr>
        <w:t xml:space="preserve"> Klinička efikasnost:</w:t>
      </w:r>
    </w:p>
    <w:p w14:paraId="6F900AC1" w14:textId="77777777" w:rsidR="00390C16" w:rsidRPr="00257E5C" w:rsidRDefault="00390C16" w:rsidP="00E25A4C">
      <w:pPr>
        <w:pStyle w:val="BodyText"/>
        <w:jc w:val="both"/>
        <w:rPr>
          <w:sz w:val="22"/>
          <w:szCs w:val="22"/>
          <w:lang w:val="sr-Latn-CS" w:eastAsia="en-US"/>
        </w:rPr>
      </w:pPr>
    </w:p>
    <w:p w14:paraId="36DDDD65" w14:textId="45BDAE1C" w:rsidR="00CE7891" w:rsidRPr="00257E5C" w:rsidRDefault="00CE7891" w:rsidP="00E25A4C">
      <w:pPr>
        <w:pStyle w:val="BodyText"/>
        <w:jc w:val="both"/>
        <w:rPr>
          <w:i/>
          <w:sz w:val="22"/>
          <w:szCs w:val="22"/>
          <w:lang w:val="sr-Latn-CS" w:eastAsia="en-US"/>
        </w:rPr>
      </w:pPr>
      <w:r w:rsidRPr="00257E5C">
        <w:rPr>
          <w:i/>
          <w:sz w:val="22"/>
          <w:szCs w:val="22"/>
          <w:lang w:val="sr-Latn-CS" w:eastAsia="en-US"/>
        </w:rPr>
        <w:t xml:space="preserve">Smanjenje rizika ili odlaganje pojave dijabetes melitusa </w:t>
      </w:r>
      <w:r w:rsidR="008C10A8" w:rsidRPr="00257E5C">
        <w:rPr>
          <w:i/>
          <w:sz w:val="22"/>
          <w:szCs w:val="22"/>
          <w:lang w:val="sr-Latn-CS" w:eastAsia="en-US"/>
        </w:rPr>
        <w:t>tipa 2</w:t>
      </w:r>
    </w:p>
    <w:p w14:paraId="78834467" w14:textId="77777777" w:rsidR="00CE7891" w:rsidRPr="00257E5C" w:rsidRDefault="00CE7891" w:rsidP="00E25A4C">
      <w:pPr>
        <w:pStyle w:val="BodyText"/>
        <w:jc w:val="both"/>
        <w:rPr>
          <w:i/>
          <w:sz w:val="22"/>
          <w:szCs w:val="22"/>
          <w:lang w:val="sr-Latn-CS" w:eastAsia="en-US"/>
        </w:rPr>
      </w:pPr>
    </w:p>
    <w:p w14:paraId="2DC23AC7" w14:textId="77777777" w:rsidR="004D7CF0" w:rsidRPr="00257E5C" w:rsidRDefault="004D7CF0" w:rsidP="007E7F7B">
      <w:pPr>
        <w:pStyle w:val="BodyText"/>
        <w:jc w:val="both"/>
        <w:rPr>
          <w:b w:val="0"/>
          <w:bCs w:val="0"/>
          <w:sz w:val="22"/>
          <w:szCs w:val="22"/>
          <w:lang w:val="sr-Latn-CS" w:eastAsia="en-US"/>
        </w:rPr>
      </w:pPr>
      <w:r w:rsidRPr="00257E5C">
        <w:rPr>
          <w:bCs w:val="0"/>
          <w:sz w:val="22"/>
          <w:szCs w:val="22"/>
          <w:lang w:val="sr-Latn-CS" w:eastAsia="en-US"/>
        </w:rPr>
        <w:t>Program prevencije dijabetesa</w:t>
      </w:r>
      <w:r w:rsidRPr="00257E5C">
        <w:rPr>
          <w:b w:val="0"/>
          <w:bCs w:val="0"/>
          <w:sz w:val="22"/>
          <w:szCs w:val="22"/>
          <w:lang w:val="sr-Latn-CS" w:eastAsia="en-US"/>
        </w:rPr>
        <w:t xml:space="preserve"> (engl. </w:t>
      </w:r>
      <w:r w:rsidRPr="00257E5C">
        <w:rPr>
          <w:b w:val="0"/>
          <w:bCs w:val="0"/>
          <w:i/>
          <w:sz w:val="22"/>
          <w:szCs w:val="22"/>
          <w:lang w:val="sr-Latn-CS" w:eastAsia="en-US"/>
        </w:rPr>
        <w:t>Diabetes Prevention Program</w:t>
      </w:r>
      <w:r w:rsidRPr="00257E5C">
        <w:rPr>
          <w:b w:val="0"/>
          <w:bCs w:val="0"/>
          <w:sz w:val="22"/>
          <w:szCs w:val="22"/>
          <w:lang w:val="sr-Latn-CS" w:eastAsia="en-US"/>
        </w:rPr>
        <w:t>, DPP) je bilo multicentrično, randomizovano kontrolisano kliničko ispitivanje kod odraslih koje je procjenjivalo efikasnost intenzivne intervencije na načinu života ili primjene metformina kako bi se spriječila ili odložila pojava dijabetes melitusa tipa 2. Kriterijumi za uključivanje u ispitivanje bili su ≥25 godina starosti, indeks tjelesne mase BMI ≥24 kg/m2 (≥ 22 kg/m2 za Amerikance azijske rase) i poremećenom tolerancijom na glukozu uz glukozu u plazmi natašte od 95 - 125 mg/dL (ili ≤125 mg/dL za američke Indijance). Pacijenti su bili tretirani ili intenzivnim intervencijama na način života, 2x850 mg metformina plus standardna promjena načina života ili placebom plus standardna promjena načina života.</w:t>
      </w:r>
    </w:p>
    <w:p w14:paraId="0F55A269" w14:textId="77777777" w:rsidR="004D7CF0" w:rsidRPr="00257E5C" w:rsidRDefault="004D7CF0" w:rsidP="007E7F7B">
      <w:pPr>
        <w:pStyle w:val="BodyText"/>
        <w:jc w:val="both"/>
        <w:rPr>
          <w:b w:val="0"/>
          <w:bCs w:val="0"/>
          <w:sz w:val="22"/>
          <w:szCs w:val="22"/>
          <w:lang w:val="sr-Latn-CS" w:eastAsia="en-US"/>
        </w:rPr>
      </w:pPr>
    </w:p>
    <w:p w14:paraId="58F3A1C6" w14:textId="77777777" w:rsidR="004D7CF0" w:rsidRPr="00257E5C" w:rsidRDefault="004D7CF0" w:rsidP="007E7F7B">
      <w:pPr>
        <w:pStyle w:val="NoSpacing"/>
        <w:jc w:val="both"/>
        <w:rPr>
          <w:sz w:val="22"/>
          <w:szCs w:val="22"/>
          <w:lang w:val="sr-Latn-CS"/>
        </w:rPr>
      </w:pPr>
      <w:r w:rsidRPr="00257E5C">
        <w:rPr>
          <w:sz w:val="22"/>
          <w:szCs w:val="22"/>
          <w:lang w:val="sr-Latn-CS"/>
        </w:rPr>
        <w:t>Prosječne početne vrijednosti učesnika u DPP (n=3,234 za 2,8 godine) bile su 50,6 ± 10,7 godina starosti, glukoza u plazmi natašte 106,5 ± 8,3 mg/dl, glukoza u plazmi dva sata nakon oralnog opterećenja glukozom 164,6 ± 17,0 mg/dl, uz indeks tjelesne mase (BMI) 34,0 ± 6,7 kg/m2. Intenzivna intervencija na način života kao i metformin značajno su smanjili rizik od razvoja dijabetesa u poređenju sa placebom, 58% (95% CI 48-66%) odnosno 31% (95% CI 17-43%).</w:t>
      </w:r>
    </w:p>
    <w:p w14:paraId="1E891531" w14:textId="77777777" w:rsidR="004D7CF0" w:rsidRPr="00257E5C" w:rsidRDefault="004D7CF0" w:rsidP="007E7F7B">
      <w:pPr>
        <w:pStyle w:val="NoSpacing"/>
        <w:jc w:val="both"/>
        <w:rPr>
          <w:sz w:val="22"/>
          <w:szCs w:val="22"/>
          <w:lang w:val="sr-Latn-CS"/>
        </w:rPr>
      </w:pPr>
    </w:p>
    <w:p w14:paraId="3CB20416" w14:textId="77777777" w:rsidR="00CE7891" w:rsidRPr="00257E5C" w:rsidRDefault="00CE7891" w:rsidP="007E7F7B">
      <w:pPr>
        <w:pStyle w:val="NoSpacing"/>
        <w:jc w:val="both"/>
        <w:rPr>
          <w:b/>
          <w:bCs/>
          <w:sz w:val="22"/>
          <w:szCs w:val="22"/>
          <w:lang w:val="sr-Latn-CS"/>
        </w:rPr>
      </w:pPr>
      <w:r w:rsidRPr="00257E5C">
        <w:rPr>
          <w:sz w:val="22"/>
          <w:szCs w:val="22"/>
          <w:lang w:val="sr-Latn-CS"/>
        </w:rPr>
        <w:t>Prednost intervencije na način života u odnosu na metformin bila je veća kod starijih osoba.</w:t>
      </w:r>
      <w:r w:rsidRPr="00257E5C">
        <w:rPr>
          <w:sz w:val="22"/>
          <w:szCs w:val="22"/>
          <w:lang w:val="sr-Latn-CS"/>
        </w:rPr>
        <w:br/>
      </w:r>
    </w:p>
    <w:p w14:paraId="54B37EAF" w14:textId="45898D9C" w:rsidR="009A71F7" w:rsidRPr="00257E5C" w:rsidRDefault="00CE7891" w:rsidP="006870D7">
      <w:pPr>
        <w:pStyle w:val="NoSpacing"/>
        <w:jc w:val="both"/>
        <w:rPr>
          <w:sz w:val="22"/>
          <w:szCs w:val="22"/>
          <w:lang w:val="sr-Latn-CS"/>
        </w:rPr>
      </w:pPr>
      <w:r w:rsidRPr="00257E5C">
        <w:rPr>
          <w:sz w:val="22"/>
          <w:szCs w:val="22"/>
          <w:lang w:val="sr-Latn-CS"/>
        </w:rPr>
        <w:lastRenderedPageBreak/>
        <w:t xml:space="preserve">Pacijenti koji su imali najviše koristi od terapije metforminom bili su </w:t>
      </w:r>
      <w:r w:rsidR="002B7499" w:rsidRPr="00257E5C">
        <w:rPr>
          <w:sz w:val="22"/>
          <w:szCs w:val="22"/>
          <w:lang w:val="sr-Latn-CS"/>
        </w:rPr>
        <w:t>starosti</w:t>
      </w:r>
      <w:r w:rsidR="009A71F7" w:rsidRPr="00257E5C">
        <w:rPr>
          <w:sz w:val="22"/>
          <w:szCs w:val="22"/>
          <w:lang w:val="sr-Latn-CS"/>
        </w:rPr>
        <w:t xml:space="preserve"> do </w:t>
      </w:r>
      <w:r w:rsidRPr="00257E5C">
        <w:rPr>
          <w:sz w:val="22"/>
          <w:szCs w:val="22"/>
          <w:lang w:val="sr-Latn-CS"/>
        </w:rPr>
        <w:t>45 godina, sa BMI jednakim ili iznad 35kg/m2, početnom vrijednošću glukoze</w:t>
      </w:r>
      <w:r w:rsidR="00497553" w:rsidRPr="00257E5C">
        <w:rPr>
          <w:sz w:val="22"/>
          <w:szCs w:val="22"/>
          <w:lang w:val="sr-Latn-CS"/>
        </w:rPr>
        <w:t xml:space="preserve"> u plazmi</w:t>
      </w:r>
      <w:r w:rsidRPr="00257E5C">
        <w:rPr>
          <w:sz w:val="22"/>
          <w:szCs w:val="22"/>
          <w:lang w:val="sr-Latn-CS"/>
        </w:rPr>
        <w:t xml:space="preserve"> nakon dva sata od 9,6-11,0 mmol/</w:t>
      </w:r>
      <w:r w:rsidR="00497553" w:rsidRPr="00257E5C">
        <w:rPr>
          <w:sz w:val="22"/>
          <w:szCs w:val="22"/>
          <w:lang w:val="sr-Latn-CS"/>
        </w:rPr>
        <w:t>l</w:t>
      </w:r>
      <w:r w:rsidRPr="00257E5C">
        <w:rPr>
          <w:sz w:val="22"/>
          <w:szCs w:val="22"/>
          <w:lang w:val="sr-Latn-CS"/>
        </w:rPr>
        <w:t>, početnim HbA1C jednakim ili iznad 6,0% ili sa anamnezom gestacionog dijabetesa.</w:t>
      </w:r>
      <w:r w:rsidR="009A71F7" w:rsidRPr="00257E5C">
        <w:rPr>
          <w:sz w:val="22"/>
          <w:szCs w:val="22"/>
          <w:lang w:val="sr-Latn-CS"/>
        </w:rPr>
        <w:t xml:space="preserve"> </w:t>
      </w:r>
    </w:p>
    <w:p w14:paraId="43E4BE5D" w14:textId="77777777" w:rsidR="009A71F7" w:rsidRPr="00257E5C" w:rsidRDefault="009A71F7" w:rsidP="006870D7">
      <w:pPr>
        <w:pStyle w:val="NoSpacing"/>
        <w:jc w:val="both"/>
        <w:rPr>
          <w:sz w:val="22"/>
          <w:szCs w:val="22"/>
          <w:lang w:val="sr-Latn-CS"/>
        </w:rPr>
      </w:pPr>
    </w:p>
    <w:p w14:paraId="481ADA03" w14:textId="77777777" w:rsidR="0085474D" w:rsidRPr="00257E5C" w:rsidRDefault="009A71F7" w:rsidP="007E7F7B">
      <w:pPr>
        <w:pStyle w:val="NoSpacing"/>
        <w:jc w:val="both"/>
        <w:rPr>
          <w:sz w:val="22"/>
          <w:szCs w:val="22"/>
          <w:lang w:val="sr-Latn-CS"/>
        </w:rPr>
      </w:pPr>
      <w:r w:rsidRPr="00257E5C">
        <w:rPr>
          <w:sz w:val="22"/>
          <w:szCs w:val="22"/>
          <w:lang w:val="sr-Latn-CS"/>
        </w:rPr>
        <w:t>Da bi se spriječio jedan novi slučaj dijabetesa tokom tri godine u celoj populaciji DPP, 6,9 pacijenta je moralo da učestvuje u grupi sa intenzivnom promjenom načina života i 13,9 u grupi sa metforminom. Tačka postizanja kumulativne incidence dijabetesa jednake 50% je odložena za oko tri godine u grupi sa metformin u poređenju sa grupom koja je primala placebo.</w:t>
      </w:r>
    </w:p>
    <w:p w14:paraId="343D9B07" w14:textId="043B0E05" w:rsidR="00CE7891" w:rsidRPr="00257E5C" w:rsidRDefault="00CE7891" w:rsidP="003D04C8">
      <w:pPr>
        <w:pStyle w:val="NoSpacing"/>
        <w:rPr>
          <w:sz w:val="22"/>
          <w:szCs w:val="22"/>
        </w:rPr>
      </w:pPr>
    </w:p>
    <w:p w14:paraId="04D4DA05" w14:textId="77777777" w:rsidR="002B7499" w:rsidRPr="00257E5C" w:rsidRDefault="0085474D" w:rsidP="00E25A4C">
      <w:pPr>
        <w:pStyle w:val="BodyText"/>
        <w:jc w:val="both"/>
        <w:rPr>
          <w:b w:val="0"/>
          <w:bCs w:val="0"/>
          <w:sz w:val="22"/>
          <w:szCs w:val="22"/>
          <w:lang w:val="sr-Latn-CS" w:eastAsia="en-US"/>
        </w:rPr>
      </w:pPr>
      <w:r w:rsidRPr="00257E5C">
        <w:rPr>
          <w:bCs w:val="0"/>
          <w:sz w:val="22"/>
          <w:szCs w:val="22"/>
          <w:lang w:val="sr-Latn-CS" w:eastAsia="en-US"/>
        </w:rPr>
        <w:t>Studija ishoda Programa prevencije dijabetesa</w:t>
      </w:r>
      <w:r w:rsidRPr="00257E5C">
        <w:rPr>
          <w:b w:val="0"/>
          <w:bCs w:val="0"/>
          <w:sz w:val="22"/>
          <w:szCs w:val="22"/>
          <w:lang w:val="sr-Latn-CS" w:eastAsia="en-US"/>
        </w:rPr>
        <w:t xml:space="preserve"> (engl.  </w:t>
      </w:r>
      <w:r w:rsidRPr="00257E5C">
        <w:rPr>
          <w:b w:val="0"/>
          <w:bCs w:val="0"/>
          <w:i/>
          <w:sz w:val="22"/>
          <w:szCs w:val="22"/>
          <w:lang w:val="sr-Latn-CS" w:eastAsia="en-US"/>
        </w:rPr>
        <w:t>Diabetes Prevention Program Outcomes Study</w:t>
      </w:r>
      <w:r w:rsidRPr="00257E5C">
        <w:rPr>
          <w:b w:val="0"/>
          <w:bCs w:val="0"/>
          <w:sz w:val="22"/>
          <w:szCs w:val="22"/>
          <w:lang w:val="sr-Latn-CS" w:eastAsia="en-US"/>
        </w:rPr>
        <w:t>,  DPPOS) je dugoročna studija praćenja DPP koja je uključila više od 87% originalne DPP populacije za dugoročno praćenje.</w:t>
      </w:r>
      <w:r w:rsidR="002B7499" w:rsidRPr="00257E5C">
        <w:rPr>
          <w:b w:val="0"/>
          <w:bCs w:val="0"/>
          <w:sz w:val="22"/>
          <w:szCs w:val="22"/>
          <w:lang w:val="sr-Latn-CS" w:eastAsia="en-US"/>
        </w:rPr>
        <w:t xml:space="preserve"> </w:t>
      </w:r>
    </w:p>
    <w:p w14:paraId="5143F73A" w14:textId="77777777" w:rsidR="002B7499" w:rsidRPr="00257E5C" w:rsidRDefault="002B7499" w:rsidP="00E25A4C">
      <w:pPr>
        <w:pStyle w:val="BodyText"/>
        <w:jc w:val="both"/>
        <w:rPr>
          <w:b w:val="0"/>
          <w:bCs w:val="0"/>
          <w:sz w:val="22"/>
          <w:szCs w:val="22"/>
          <w:lang w:val="sr-Latn-CS" w:eastAsia="en-US"/>
        </w:rPr>
      </w:pPr>
    </w:p>
    <w:p w14:paraId="178F7E3B" w14:textId="34358FD9" w:rsidR="002B7499" w:rsidRPr="00257E5C" w:rsidRDefault="002B7499" w:rsidP="00E25A4C">
      <w:pPr>
        <w:pStyle w:val="BodyText"/>
        <w:jc w:val="both"/>
        <w:rPr>
          <w:sz w:val="22"/>
          <w:szCs w:val="22"/>
        </w:rPr>
      </w:pPr>
      <w:r w:rsidRPr="00257E5C">
        <w:rPr>
          <w:b w:val="0"/>
          <w:bCs w:val="0"/>
          <w:sz w:val="22"/>
          <w:szCs w:val="22"/>
          <w:lang w:val="sr-Latn-CS" w:eastAsia="en-US"/>
        </w:rPr>
        <w:t>Među učesnicima DPPOS (n = 2776), kumulativna učestalost dijabetesa u 15. godini je bila 62% u grupi sa placebom, 56% u grupi sa metforminom i 55% u grupi sa intenzivnom promjenom načina života. Neobrađene stope dijabetesa su 7.0, 5.7 i 5.2 slučaja na 100 osoba godišnje među učesnicima sa placebom, metforminom i učesnicima sa intenzivnom promjenom u načinu života. Smanjenje rizika od dijabetesa bilo je 18% (odnos rizika (HR) 0.82, 95% CI 0.72-0.93, p = 0.001) za grupu sa metforminom i 27% (HR 0.73, 95% CI 0.65-0.83, p &lt;0.0001) za grupu sa intenzivnom intervencijom na način života, u poređenju sa grupom sa placebom. Zbirni mikrovaskularni ishod koji uključuje nefropatiju, retinopatiju i neuropatiju nije se značajno razlikovao između ispitivanih grupa, ali među učesnicima koji ni</w:t>
      </w:r>
      <w:r w:rsidR="00E546EF" w:rsidRPr="00257E5C">
        <w:rPr>
          <w:b w:val="0"/>
          <w:bCs w:val="0"/>
          <w:sz w:val="22"/>
          <w:szCs w:val="22"/>
          <w:lang w:val="sr-Latn-CS" w:eastAsia="en-US"/>
        </w:rPr>
        <w:t>je</w:t>
      </w:r>
      <w:r w:rsidRPr="00257E5C">
        <w:rPr>
          <w:b w:val="0"/>
          <w:bCs w:val="0"/>
          <w:sz w:val="22"/>
          <w:szCs w:val="22"/>
          <w:lang w:val="sr-Latn-CS" w:eastAsia="en-US"/>
        </w:rPr>
        <w:t>su razvili dijabetes tokom DPP/DPPOS, prevalenca zbirnog mikrovaskularnog ishoda bila je za 28% niža u poređenju sa onima koji su razvili dijabetes (odnos rizika 0,72, 95% CI 0,63-0,83, p &lt;0,0001). Prospektivni komparativni podaci za metformin i makrovaskularne ishode kod pacijenata sa IGT i/ili IFG i/ili povišenim HbA1C ni</w:t>
      </w:r>
      <w:r w:rsidR="00E546EF" w:rsidRPr="00257E5C">
        <w:rPr>
          <w:b w:val="0"/>
          <w:bCs w:val="0"/>
          <w:sz w:val="22"/>
          <w:szCs w:val="22"/>
          <w:lang w:val="sr-Latn-CS" w:eastAsia="en-US"/>
        </w:rPr>
        <w:t>je</w:t>
      </w:r>
      <w:r w:rsidRPr="00257E5C">
        <w:rPr>
          <w:b w:val="0"/>
          <w:bCs w:val="0"/>
          <w:sz w:val="22"/>
          <w:szCs w:val="22"/>
          <w:lang w:val="sr-Latn-CS" w:eastAsia="en-US"/>
        </w:rPr>
        <w:t>su dostupni.</w:t>
      </w:r>
      <w:r w:rsidRPr="00257E5C">
        <w:rPr>
          <w:sz w:val="22"/>
          <w:szCs w:val="22"/>
        </w:rPr>
        <w:t xml:space="preserve"> </w:t>
      </w:r>
    </w:p>
    <w:p w14:paraId="0A4AF3E5" w14:textId="77777777" w:rsidR="002B7499" w:rsidRPr="00257E5C" w:rsidRDefault="002B7499" w:rsidP="00E25A4C">
      <w:pPr>
        <w:pStyle w:val="BodyText"/>
        <w:jc w:val="both"/>
        <w:rPr>
          <w:sz w:val="22"/>
          <w:szCs w:val="22"/>
        </w:rPr>
      </w:pPr>
    </w:p>
    <w:p w14:paraId="351A6C7A" w14:textId="5691BBBF" w:rsidR="0085474D" w:rsidRPr="00257E5C" w:rsidRDefault="002B7499" w:rsidP="00E25A4C">
      <w:pPr>
        <w:pStyle w:val="BodyText"/>
        <w:jc w:val="both"/>
        <w:rPr>
          <w:b w:val="0"/>
          <w:bCs w:val="0"/>
          <w:sz w:val="22"/>
          <w:szCs w:val="22"/>
          <w:lang w:val="sr-Latn-CS" w:eastAsia="en-US"/>
        </w:rPr>
      </w:pPr>
      <w:r w:rsidRPr="00257E5C">
        <w:rPr>
          <w:b w:val="0"/>
          <w:bCs w:val="0"/>
          <w:sz w:val="22"/>
          <w:szCs w:val="22"/>
          <w:lang w:val="sr-Latn-CS" w:eastAsia="en-US"/>
        </w:rPr>
        <w:t xml:space="preserve">Objavljeni faktori rizika za tip 2 dijabetesa uključuju: azijsku ili crnu etničku pripadnost, starosnu dob iznad 40 godina, dislipidemiju, hipertenziju, gojaznost ili prekomjernu </w:t>
      </w:r>
      <w:r w:rsidR="00A43FFA" w:rsidRPr="00257E5C">
        <w:rPr>
          <w:b w:val="0"/>
          <w:bCs w:val="0"/>
          <w:sz w:val="22"/>
          <w:szCs w:val="22"/>
          <w:lang w:val="sr-Latn-CS" w:eastAsia="en-US"/>
        </w:rPr>
        <w:t>tjelesnu masu</w:t>
      </w:r>
      <w:r w:rsidRPr="00257E5C">
        <w:rPr>
          <w:b w:val="0"/>
          <w:bCs w:val="0"/>
          <w:sz w:val="22"/>
          <w:szCs w:val="22"/>
          <w:lang w:val="sr-Latn-CS" w:eastAsia="en-US"/>
        </w:rPr>
        <w:t xml:space="preserve">, starost, porodičnu istoriju dijabetesa, istoriju gestacionog dijabetes melitusa i sindrom policističnih jajnika (PCOS). </w:t>
      </w:r>
    </w:p>
    <w:p w14:paraId="67B62635" w14:textId="77777777" w:rsidR="002B7499" w:rsidRPr="00257E5C" w:rsidRDefault="002B7499" w:rsidP="002B7499">
      <w:pPr>
        <w:rPr>
          <w:szCs w:val="22"/>
        </w:rPr>
      </w:pPr>
    </w:p>
    <w:p w14:paraId="6A934B55" w14:textId="0C8BCC9C" w:rsidR="002B7499" w:rsidRPr="00257E5C" w:rsidRDefault="002B7499" w:rsidP="002B7499">
      <w:pPr>
        <w:rPr>
          <w:szCs w:val="22"/>
        </w:rPr>
      </w:pPr>
      <w:r w:rsidRPr="00257E5C">
        <w:rPr>
          <w:szCs w:val="22"/>
        </w:rPr>
        <w:t xml:space="preserve">Potrebno je </w:t>
      </w:r>
      <w:r w:rsidR="009439E8" w:rsidRPr="00257E5C">
        <w:rPr>
          <w:szCs w:val="22"/>
        </w:rPr>
        <w:t xml:space="preserve">razmotriti </w:t>
      </w:r>
      <w:r w:rsidR="009439E8" w:rsidRPr="00257E5C">
        <w:rPr>
          <w:i/>
          <w:szCs w:val="22"/>
        </w:rPr>
        <w:t>Protokol za liječenje diabetes mellitusa</w:t>
      </w:r>
      <w:r w:rsidR="009439E8" w:rsidRPr="00257E5C">
        <w:rPr>
          <w:szCs w:val="22"/>
        </w:rPr>
        <w:t xml:space="preserve"> za definiciju</w:t>
      </w:r>
      <w:r w:rsidRPr="00257E5C">
        <w:rPr>
          <w:szCs w:val="22"/>
        </w:rPr>
        <w:t xml:space="preserve"> predijabetesa.</w:t>
      </w:r>
    </w:p>
    <w:p w14:paraId="3A7136E2" w14:textId="58762EE5" w:rsidR="00CE7891" w:rsidRPr="00257E5C" w:rsidRDefault="00CE7891" w:rsidP="00E25A4C">
      <w:pPr>
        <w:pStyle w:val="BodyText"/>
        <w:jc w:val="both"/>
        <w:rPr>
          <w:b w:val="0"/>
          <w:bCs w:val="0"/>
          <w:sz w:val="22"/>
          <w:szCs w:val="22"/>
          <w:lang w:val="sr-Latn-CS" w:eastAsia="en-US"/>
        </w:rPr>
      </w:pPr>
    </w:p>
    <w:p w14:paraId="28BF16A2" w14:textId="5DD8256C" w:rsidR="00CE7891" w:rsidRPr="00257E5C" w:rsidRDefault="00CE7891" w:rsidP="00E25A4C">
      <w:pPr>
        <w:pStyle w:val="BodyText"/>
        <w:jc w:val="both"/>
        <w:rPr>
          <w:b w:val="0"/>
          <w:bCs w:val="0"/>
          <w:sz w:val="22"/>
          <w:szCs w:val="22"/>
          <w:lang w:val="sr-Latn-CS" w:eastAsia="en-US"/>
        </w:rPr>
      </w:pPr>
      <w:r w:rsidRPr="00257E5C">
        <w:rPr>
          <w:b w:val="0"/>
          <w:bCs w:val="0"/>
          <w:sz w:val="22"/>
          <w:szCs w:val="22"/>
          <w:lang w:val="sr-Latn-CS" w:eastAsia="en-US"/>
        </w:rPr>
        <w:t xml:space="preserve">Pacijente sa visokim rizikom treba identifikovati primjenom </w:t>
      </w:r>
      <w:r w:rsidR="009439E8" w:rsidRPr="00257E5C">
        <w:rPr>
          <w:b w:val="0"/>
          <w:bCs w:val="0"/>
          <w:i/>
          <w:sz w:val="22"/>
          <w:szCs w:val="22"/>
          <w:lang w:val="sr-Latn-CS" w:eastAsia="en-US"/>
        </w:rPr>
        <w:t>Protokola za liječenje diabetes mellitusa</w:t>
      </w:r>
      <w:r w:rsidRPr="00257E5C">
        <w:rPr>
          <w:b w:val="0"/>
          <w:bCs w:val="0"/>
          <w:sz w:val="22"/>
          <w:szCs w:val="22"/>
          <w:lang w:val="sr-Latn-CS" w:eastAsia="en-US"/>
        </w:rPr>
        <w:t>.</w:t>
      </w:r>
    </w:p>
    <w:p w14:paraId="45D41A92" w14:textId="77777777" w:rsidR="00CE7891" w:rsidRPr="00257E5C" w:rsidRDefault="00CE7891" w:rsidP="00E25A4C">
      <w:pPr>
        <w:pStyle w:val="BodyText"/>
        <w:jc w:val="both"/>
        <w:rPr>
          <w:i/>
          <w:sz w:val="22"/>
          <w:szCs w:val="22"/>
          <w:lang w:val="sr-Latn-CS" w:eastAsia="en-US"/>
        </w:rPr>
      </w:pPr>
    </w:p>
    <w:p w14:paraId="750C2515" w14:textId="26185DAC" w:rsidR="00CE7891" w:rsidRPr="00257E5C" w:rsidRDefault="00CE7891" w:rsidP="00E25A4C">
      <w:pPr>
        <w:pStyle w:val="BodyText"/>
        <w:jc w:val="both"/>
        <w:rPr>
          <w:i/>
          <w:sz w:val="22"/>
          <w:szCs w:val="22"/>
          <w:lang w:val="sr-Latn-CS" w:eastAsia="en-US"/>
        </w:rPr>
      </w:pPr>
      <w:r w:rsidRPr="00257E5C">
        <w:rPr>
          <w:i/>
          <w:sz w:val="22"/>
          <w:szCs w:val="22"/>
          <w:lang w:val="sr-Latn-CS" w:eastAsia="en-US"/>
        </w:rPr>
        <w:t>Terapija dijabetes melitusa</w:t>
      </w:r>
      <w:r w:rsidR="00855758" w:rsidRPr="00257E5C">
        <w:rPr>
          <w:i/>
          <w:sz w:val="22"/>
          <w:szCs w:val="22"/>
          <w:lang w:val="sr-Latn-CS" w:eastAsia="en-US"/>
        </w:rPr>
        <w:t xml:space="preserve"> tipa 2</w:t>
      </w:r>
    </w:p>
    <w:p w14:paraId="6DF792DC" w14:textId="77777777" w:rsidR="00CE7891" w:rsidRPr="00257E5C" w:rsidRDefault="00CE7891" w:rsidP="00E25A4C">
      <w:pPr>
        <w:pStyle w:val="BodyText"/>
        <w:jc w:val="both"/>
        <w:rPr>
          <w:b w:val="0"/>
          <w:bCs w:val="0"/>
          <w:sz w:val="22"/>
          <w:szCs w:val="22"/>
          <w:lang w:val="sr-Latn-CS" w:eastAsia="en-US"/>
        </w:rPr>
      </w:pPr>
    </w:p>
    <w:p w14:paraId="03F99417" w14:textId="557EBCE4" w:rsidR="00390C16" w:rsidRPr="00257E5C" w:rsidRDefault="00390C16" w:rsidP="00E25A4C">
      <w:pPr>
        <w:pStyle w:val="BodyText"/>
        <w:jc w:val="both"/>
        <w:rPr>
          <w:b w:val="0"/>
          <w:bCs w:val="0"/>
          <w:sz w:val="22"/>
          <w:szCs w:val="22"/>
          <w:lang w:val="sr-Latn-CS" w:eastAsia="en-US"/>
        </w:rPr>
      </w:pPr>
      <w:r w:rsidRPr="00257E5C">
        <w:rPr>
          <w:b w:val="0"/>
          <w:bCs w:val="0"/>
          <w:sz w:val="22"/>
          <w:szCs w:val="22"/>
          <w:lang w:val="sr-Latn-CS" w:eastAsia="en-US"/>
        </w:rPr>
        <w:t>Prospektivna randomizovana (UKPDS) studija je ustanovila dugoročnu korist intenzivne</w:t>
      </w:r>
      <w:r w:rsidR="0061103A" w:rsidRPr="00257E5C">
        <w:rPr>
          <w:b w:val="0"/>
          <w:bCs w:val="0"/>
          <w:sz w:val="22"/>
          <w:szCs w:val="22"/>
          <w:lang w:val="sr-Latn-CS" w:eastAsia="en-US"/>
        </w:rPr>
        <w:t xml:space="preserve"> kontrole glikemije kod </w:t>
      </w:r>
      <w:r w:rsidRPr="00257E5C">
        <w:rPr>
          <w:b w:val="0"/>
          <w:bCs w:val="0"/>
          <w:sz w:val="22"/>
          <w:szCs w:val="22"/>
          <w:lang w:val="sr-Latn-CS" w:eastAsia="en-US"/>
        </w:rPr>
        <w:t>pacijenata</w:t>
      </w:r>
      <w:r w:rsidR="00A43FFA" w:rsidRPr="00257E5C">
        <w:rPr>
          <w:b w:val="0"/>
          <w:bCs w:val="0"/>
          <w:sz w:val="22"/>
          <w:szCs w:val="22"/>
          <w:lang w:val="sr-Latn-CS" w:eastAsia="en-US"/>
        </w:rPr>
        <w:t xml:space="preserve"> sa p</w:t>
      </w:r>
      <w:r w:rsidR="00245891" w:rsidRPr="00257E5C">
        <w:rPr>
          <w:b w:val="0"/>
          <w:bCs w:val="0"/>
          <w:sz w:val="22"/>
          <w:szCs w:val="22"/>
          <w:lang w:val="sr-Latn-CS" w:eastAsia="en-US"/>
        </w:rPr>
        <w:t>rekomjern</w:t>
      </w:r>
      <w:r w:rsidR="00A43FFA" w:rsidRPr="00257E5C">
        <w:rPr>
          <w:b w:val="0"/>
          <w:bCs w:val="0"/>
          <w:sz w:val="22"/>
          <w:szCs w:val="22"/>
          <w:lang w:val="sr-Latn-CS" w:eastAsia="en-US"/>
        </w:rPr>
        <w:t>om tjelesnom masom i</w:t>
      </w:r>
      <w:r w:rsidRPr="00257E5C">
        <w:rPr>
          <w:b w:val="0"/>
          <w:bCs w:val="0"/>
          <w:sz w:val="22"/>
          <w:szCs w:val="22"/>
          <w:lang w:val="sr-Latn-CS" w:eastAsia="en-US"/>
        </w:rPr>
        <w:t xml:space="preserve"> sa tip 2 dijabetesom</w:t>
      </w:r>
      <w:r w:rsidR="0061103A" w:rsidRPr="00257E5C">
        <w:rPr>
          <w:b w:val="0"/>
          <w:bCs w:val="0"/>
          <w:sz w:val="22"/>
          <w:szCs w:val="22"/>
          <w:lang w:val="sr-Latn-CS" w:eastAsia="en-US"/>
        </w:rPr>
        <w:t>, liječenim metforminom sa trenutnim oslobađanjem kao prvom linijom terpije, nakon što režim ishrane nije dao rezultate</w:t>
      </w:r>
      <w:r w:rsidRPr="00257E5C">
        <w:rPr>
          <w:b w:val="0"/>
          <w:bCs w:val="0"/>
          <w:sz w:val="22"/>
          <w:szCs w:val="22"/>
          <w:lang w:val="sr-Latn-CS" w:eastAsia="en-US"/>
        </w:rPr>
        <w:t>.</w:t>
      </w:r>
      <w:r w:rsidR="0061103A" w:rsidRPr="00257E5C">
        <w:rPr>
          <w:b w:val="0"/>
          <w:bCs w:val="0"/>
          <w:sz w:val="22"/>
          <w:szCs w:val="22"/>
          <w:lang w:val="sr-Latn-CS" w:eastAsia="en-US"/>
        </w:rPr>
        <w:t xml:space="preserve"> </w:t>
      </w:r>
    </w:p>
    <w:p w14:paraId="18B2E124" w14:textId="31E16000" w:rsidR="00390C16" w:rsidRPr="00257E5C" w:rsidRDefault="00390C16" w:rsidP="00E25A4C">
      <w:pPr>
        <w:pStyle w:val="BodyText"/>
        <w:jc w:val="both"/>
        <w:rPr>
          <w:b w:val="0"/>
          <w:bCs w:val="0"/>
          <w:sz w:val="22"/>
          <w:szCs w:val="22"/>
          <w:lang w:val="sr-Latn-CS" w:eastAsia="en-US"/>
        </w:rPr>
      </w:pPr>
      <w:r w:rsidRPr="00257E5C">
        <w:rPr>
          <w:b w:val="0"/>
          <w:bCs w:val="0"/>
          <w:sz w:val="22"/>
          <w:szCs w:val="22"/>
          <w:lang w:val="sr-Latn-CS" w:eastAsia="en-US"/>
        </w:rPr>
        <w:t>Analiza rezultata pacijenata</w:t>
      </w:r>
      <w:r w:rsidR="00A43FFA" w:rsidRPr="00257E5C">
        <w:rPr>
          <w:b w:val="0"/>
          <w:bCs w:val="0"/>
          <w:sz w:val="22"/>
          <w:szCs w:val="22"/>
          <w:lang w:val="sr-Latn-CS" w:eastAsia="en-US"/>
        </w:rPr>
        <w:t xml:space="preserve"> sa p</w:t>
      </w:r>
      <w:r w:rsidR="00245891" w:rsidRPr="00257E5C">
        <w:rPr>
          <w:b w:val="0"/>
          <w:bCs w:val="0"/>
          <w:sz w:val="22"/>
          <w:szCs w:val="22"/>
          <w:lang w:val="sr-Latn-CS" w:eastAsia="en-US"/>
        </w:rPr>
        <w:t>rekomjern</w:t>
      </w:r>
      <w:r w:rsidR="00A43FFA" w:rsidRPr="00257E5C">
        <w:rPr>
          <w:b w:val="0"/>
          <w:bCs w:val="0"/>
          <w:sz w:val="22"/>
          <w:szCs w:val="22"/>
          <w:lang w:val="sr-Latn-CS" w:eastAsia="en-US"/>
        </w:rPr>
        <w:t>om tjelesnom masom</w:t>
      </w:r>
      <w:r w:rsidR="00C032CA" w:rsidRPr="00257E5C">
        <w:rPr>
          <w:b w:val="0"/>
          <w:bCs w:val="0"/>
          <w:sz w:val="22"/>
          <w:szCs w:val="22"/>
          <w:lang w:val="sr-Latn-CS" w:eastAsia="en-US"/>
        </w:rPr>
        <w:t>,</w:t>
      </w:r>
      <w:r w:rsidRPr="00257E5C">
        <w:rPr>
          <w:b w:val="0"/>
          <w:bCs w:val="0"/>
          <w:sz w:val="22"/>
          <w:szCs w:val="22"/>
          <w:lang w:val="sr-Latn-CS" w:eastAsia="en-US"/>
        </w:rPr>
        <w:t xml:space="preserve"> koji su bili na terapiji metformin-hidrohloridom sa trenutnim oslobađanjem nakon što dijeta nije dala rezultate</w:t>
      </w:r>
      <w:r w:rsidR="00C032CA" w:rsidRPr="00257E5C">
        <w:rPr>
          <w:b w:val="0"/>
          <w:bCs w:val="0"/>
          <w:sz w:val="22"/>
          <w:szCs w:val="22"/>
          <w:lang w:val="sr-Latn-CS" w:eastAsia="en-US"/>
        </w:rPr>
        <w:t>,</w:t>
      </w:r>
      <w:r w:rsidRPr="00257E5C">
        <w:rPr>
          <w:b w:val="0"/>
          <w:bCs w:val="0"/>
          <w:sz w:val="22"/>
          <w:szCs w:val="22"/>
          <w:lang w:val="sr-Latn-CS" w:eastAsia="en-US"/>
        </w:rPr>
        <w:t xml:space="preserve"> je pokazala:</w:t>
      </w:r>
    </w:p>
    <w:p w14:paraId="2173F10E" w14:textId="77777777" w:rsidR="00390C16" w:rsidRPr="00257E5C" w:rsidRDefault="00390C16" w:rsidP="00E25A4C">
      <w:pPr>
        <w:pStyle w:val="BodyText"/>
        <w:jc w:val="both"/>
        <w:rPr>
          <w:b w:val="0"/>
          <w:bCs w:val="0"/>
          <w:sz w:val="22"/>
          <w:szCs w:val="22"/>
          <w:lang w:val="sr-Latn-CS" w:eastAsia="en-US"/>
        </w:rPr>
      </w:pPr>
    </w:p>
    <w:p w14:paraId="77F36ACB" w14:textId="0EC9D204" w:rsidR="00390C16" w:rsidRPr="00257E5C" w:rsidRDefault="00390C16" w:rsidP="00E25A4C">
      <w:pPr>
        <w:pStyle w:val="List"/>
        <w:numPr>
          <w:ilvl w:val="0"/>
          <w:numId w:val="10"/>
        </w:numPr>
        <w:spacing w:before="0"/>
        <w:rPr>
          <w:sz w:val="22"/>
          <w:szCs w:val="22"/>
          <w:lang w:val="sr-Latn-CS" w:eastAsia="en-US"/>
        </w:rPr>
      </w:pPr>
      <w:r w:rsidRPr="00257E5C">
        <w:rPr>
          <w:sz w:val="22"/>
          <w:szCs w:val="22"/>
          <w:lang w:val="sr-Latn-CS" w:eastAsia="en-US"/>
        </w:rPr>
        <w:t xml:space="preserve">značajno sniženje apsolutnog rizika </w:t>
      </w:r>
      <w:r w:rsidR="00497553" w:rsidRPr="00257E5C">
        <w:rPr>
          <w:sz w:val="22"/>
          <w:szCs w:val="22"/>
          <w:lang w:val="sr-Latn-CS" w:eastAsia="en-US"/>
        </w:rPr>
        <w:t xml:space="preserve">za </w:t>
      </w:r>
      <w:r w:rsidRPr="00257E5C">
        <w:rPr>
          <w:sz w:val="22"/>
          <w:szCs w:val="22"/>
          <w:lang w:val="sr-Latn-CS" w:eastAsia="en-US"/>
        </w:rPr>
        <w:t xml:space="preserve">bilo koje komplikacije vezane za dijabetes u </w:t>
      </w:r>
      <w:r w:rsidR="0061103A" w:rsidRPr="00257E5C">
        <w:rPr>
          <w:sz w:val="22"/>
          <w:szCs w:val="22"/>
          <w:lang w:val="sr-Latn-CS" w:eastAsia="en-US"/>
        </w:rPr>
        <w:t>grupi sa metforminom</w:t>
      </w:r>
      <w:r w:rsidRPr="00257E5C">
        <w:rPr>
          <w:sz w:val="22"/>
          <w:szCs w:val="22"/>
          <w:lang w:val="sr-Latn-CS" w:eastAsia="en-US"/>
        </w:rPr>
        <w:t xml:space="preserve"> (29.8 događaja/1000 pacijent-godina) u odnosu na grupu koja je bila samo na dijeti  (43.3 događaja</w:t>
      </w:r>
      <w:r w:rsidR="00C032CA" w:rsidRPr="00257E5C">
        <w:rPr>
          <w:sz w:val="22"/>
          <w:szCs w:val="22"/>
          <w:lang w:val="sr-Latn-CS" w:eastAsia="en-US"/>
        </w:rPr>
        <w:t>/</w:t>
      </w:r>
      <w:r w:rsidRPr="00257E5C">
        <w:rPr>
          <w:sz w:val="22"/>
          <w:szCs w:val="22"/>
          <w:lang w:val="sr-Latn-CS" w:eastAsia="en-US"/>
        </w:rPr>
        <w:t>1000 pacijent-godina), p=0.0023, i u odnosu na grupu koja je primala kombinaciju sulfonilureje i insulina (40.1 događaja/1000 pacijent-godina), p=0.0034;</w:t>
      </w:r>
    </w:p>
    <w:p w14:paraId="5054DD3D" w14:textId="6F8A9042" w:rsidR="00390C16" w:rsidRPr="00257E5C" w:rsidRDefault="00390C16" w:rsidP="00E25A4C">
      <w:pPr>
        <w:pStyle w:val="List"/>
        <w:numPr>
          <w:ilvl w:val="0"/>
          <w:numId w:val="10"/>
        </w:numPr>
        <w:tabs>
          <w:tab w:val="clear" w:pos="284"/>
        </w:tabs>
        <w:spacing w:before="0"/>
        <w:rPr>
          <w:sz w:val="22"/>
          <w:szCs w:val="22"/>
          <w:lang w:val="sr-Latn-CS" w:eastAsia="en-US"/>
        </w:rPr>
      </w:pPr>
      <w:r w:rsidRPr="00257E5C">
        <w:rPr>
          <w:sz w:val="22"/>
          <w:szCs w:val="22"/>
          <w:lang w:val="sr-Latn-CS" w:eastAsia="en-US"/>
        </w:rPr>
        <w:t xml:space="preserve">značajno sniženje apsolutnog rizika od mortaliteta </w:t>
      </w:r>
      <w:r w:rsidR="00497553" w:rsidRPr="00257E5C">
        <w:rPr>
          <w:sz w:val="22"/>
          <w:szCs w:val="22"/>
          <w:lang w:val="sr-Latn-CS" w:eastAsia="en-US"/>
        </w:rPr>
        <w:t>po</w:t>
      </w:r>
      <w:r w:rsidRPr="00257E5C">
        <w:rPr>
          <w:sz w:val="22"/>
          <w:szCs w:val="22"/>
          <w:lang w:val="sr-Latn-CS" w:eastAsia="en-US"/>
        </w:rPr>
        <w:t xml:space="preserve">vezanog </w:t>
      </w:r>
      <w:r w:rsidR="00497553" w:rsidRPr="00257E5C">
        <w:rPr>
          <w:sz w:val="22"/>
          <w:szCs w:val="22"/>
          <w:lang w:val="sr-Latn-CS" w:eastAsia="en-US"/>
        </w:rPr>
        <w:t xml:space="preserve">sa </w:t>
      </w:r>
      <w:r w:rsidRPr="00257E5C">
        <w:rPr>
          <w:sz w:val="22"/>
          <w:szCs w:val="22"/>
          <w:lang w:val="sr-Latn-CS" w:eastAsia="en-US"/>
        </w:rPr>
        <w:t>dijabetes</w:t>
      </w:r>
      <w:r w:rsidR="00497553" w:rsidRPr="00257E5C">
        <w:rPr>
          <w:sz w:val="22"/>
          <w:szCs w:val="22"/>
          <w:lang w:val="sr-Latn-CS" w:eastAsia="en-US"/>
        </w:rPr>
        <w:t>om</w:t>
      </w:r>
      <w:r w:rsidRPr="00257E5C">
        <w:rPr>
          <w:sz w:val="22"/>
          <w:szCs w:val="22"/>
          <w:lang w:val="sr-Latn-CS" w:eastAsia="en-US"/>
        </w:rPr>
        <w:t xml:space="preserve">: metformin 7.5 događaja /1000 pacijent-godina, </w:t>
      </w:r>
      <w:r w:rsidR="0061103A" w:rsidRPr="00257E5C">
        <w:rPr>
          <w:sz w:val="22"/>
          <w:szCs w:val="22"/>
          <w:lang w:val="sr-Latn-CS" w:eastAsia="en-US"/>
        </w:rPr>
        <w:t xml:space="preserve">samo </w:t>
      </w:r>
      <w:r w:rsidRPr="00257E5C">
        <w:rPr>
          <w:sz w:val="22"/>
          <w:szCs w:val="22"/>
          <w:lang w:val="sr-Latn-CS" w:eastAsia="en-US"/>
        </w:rPr>
        <w:t>dijeta 12.7 događaja/1000 pacijent-godina, p=0.017;</w:t>
      </w:r>
    </w:p>
    <w:p w14:paraId="54268A0C" w14:textId="790D2F1B" w:rsidR="00390C16" w:rsidRPr="00257E5C" w:rsidRDefault="00390C16" w:rsidP="00E25A4C">
      <w:pPr>
        <w:pStyle w:val="List"/>
        <w:numPr>
          <w:ilvl w:val="0"/>
          <w:numId w:val="7"/>
        </w:numPr>
        <w:tabs>
          <w:tab w:val="clear" w:pos="284"/>
        </w:tabs>
        <w:spacing w:before="0"/>
        <w:rPr>
          <w:sz w:val="22"/>
          <w:szCs w:val="22"/>
          <w:lang w:val="sr-Latn-CS"/>
        </w:rPr>
      </w:pPr>
      <w:r w:rsidRPr="00257E5C">
        <w:rPr>
          <w:sz w:val="22"/>
          <w:szCs w:val="22"/>
          <w:lang w:val="sr-Latn-CS" w:eastAsia="en-US"/>
        </w:rPr>
        <w:t>značajno sniženje apsolutnog rizika od sveukupnog mo</w:t>
      </w:r>
      <w:r w:rsidR="0061103A" w:rsidRPr="00257E5C">
        <w:rPr>
          <w:sz w:val="22"/>
          <w:szCs w:val="22"/>
          <w:lang w:val="sr-Latn-CS" w:eastAsia="en-US"/>
        </w:rPr>
        <w:t>rtaliteta: metformin</w:t>
      </w:r>
      <w:r w:rsidRPr="00257E5C">
        <w:rPr>
          <w:sz w:val="22"/>
          <w:szCs w:val="22"/>
          <w:lang w:val="sr-Latn-CS" w:eastAsia="en-US"/>
        </w:rPr>
        <w:t xml:space="preserve"> 13.5 događaja/1000 pacijent-godina u odnosu na dijetu 20.6 događaja/1000 pacijent-godina (p=0.011), i u odnosu na kombinovanu terapiju sulfonilureje sa insulinom 18.9 događaja/1000 pacijent-godina (p=0.021);</w:t>
      </w:r>
    </w:p>
    <w:p w14:paraId="658ADC21" w14:textId="609210B4" w:rsidR="00390C16" w:rsidRPr="00257E5C" w:rsidRDefault="00390C16" w:rsidP="00E25A4C">
      <w:pPr>
        <w:pStyle w:val="List"/>
        <w:numPr>
          <w:ilvl w:val="0"/>
          <w:numId w:val="7"/>
        </w:numPr>
        <w:tabs>
          <w:tab w:val="clear" w:pos="284"/>
        </w:tabs>
        <w:spacing w:before="0"/>
        <w:rPr>
          <w:sz w:val="22"/>
          <w:szCs w:val="22"/>
          <w:lang w:val="sr-Latn-CS" w:eastAsia="en-US"/>
        </w:rPr>
      </w:pPr>
      <w:r w:rsidRPr="00257E5C">
        <w:rPr>
          <w:sz w:val="22"/>
          <w:szCs w:val="22"/>
          <w:lang w:val="sr-Latn-CS" w:eastAsia="en-US"/>
        </w:rPr>
        <w:t>značajno sniženje apsolutnog rizika od infarkta miokarda: metformin 11 događaja/1000 pacijent-godina, dijeta 18 događaja/1000 pacijent-godina (p=0.01).</w:t>
      </w:r>
    </w:p>
    <w:p w14:paraId="1B2BBBCD" w14:textId="77777777" w:rsidR="00390C16" w:rsidRPr="00257E5C" w:rsidRDefault="00390C16" w:rsidP="00E25A4C">
      <w:pPr>
        <w:rPr>
          <w:szCs w:val="22"/>
        </w:rPr>
      </w:pPr>
    </w:p>
    <w:p w14:paraId="77D06AD5" w14:textId="24B937F5" w:rsidR="00390C16" w:rsidRPr="00257E5C" w:rsidRDefault="00390C16" w:rsidP="00E55771">
      <w:pPr>
        <w:pStyle w:val="BodyText"/>
        <w:jc w:val="both"/>
        <w:rPr>
          <w:b w:val="0"/>
          <w:bCs w:val="0"/>
          <w:sz w:val="22"/>
          <w:szCs w:val="22"/>
          <w:lang w:val="sr-Latn-CS" w:eastAsia="en-US"/>
        </w:rPr>
      </w:pPr>
      <w:r w:rsidRPr="00257E5C">
        <w:rPr>
          <w:b w:val="0"/>
          <w:bCs w:val="0"/>
          <w:sz w:val="22"/>
          <w:szCs w:val="22"/>
          <w:lang w:val="sr-Latn-CS" w:eastAsia="en-US"/>
        </w:rPr>
        <w:t xml:space="preserve">Za upotrebu metformina kao terapije drugog izbora, u kombinaciji sa sulfonilurejom, korist u smislu kliničkog ishoda nije </w:t>
      </w:r>
      <w:r w:rsidR="00497553" w:rsidRPr="00257E5C">
        <w:rPr>
          <w:b w:val="0"/>
          <w:bCs w:val="0"/>
          <w:sz w:val="22"/>
          <w:szCs w:val="22"/>
          <w:lang w:val="sr-Latn-CS" w:eastAsia="en-US"/>
        </w:rPr>
        <w:t>pokazana</w:t>
      </w:r>
      <w:r w:rsidRPr="00257E5C">
        <w:rPr>
          <w:b w:val="0"/>
          <w:bCs w:val="0"/>
          <w:sz w:val="22"/>
          <w:szCs w:val="22"/>
          <w:lang w:val="sr-Latn-CS" w:eastAsia="en-US"/>
        </w:rPr>
        <w:t>.</w:t>
      </w:r>
    </w:p>
    <w:p w14:paraId="119F5289" w14:textId="6E5FEB25" w:rsidR="00390C16" w:rsidRPr="00257E5C" w:rsidRDefault="00390C16" w:rsidP="00E55771">
      <w:pPr>
        <w:pStyle w:val="BodyText"/>
        <w:jc w:val="both"/>
        <w:rPr>
          <w:b w:val="0"/>
          <w:bCs w:val="0"/>
          <w:sz w:val="22"/>
          <w:szCs w:val="22"/>
          <w:lang w:val="sr-Latn-CS" w:eastAsia="en-US"/>
        </w:rPr>
      </w:pPr>
      <w:r w:rsidRPr="00257E5C">
        <w:rPr>
          <w:b w:val="0"/>
          <w:bCs w:val="0"/>
          <w:sz w:val="22"/>
          <w:szCs w:val="22"/>
          <w:lang w:val="sr-Latn-CS" w:eastAsia="en-US"/>
        </w:rPr>
        <w:lastRenderedPageBreak/>
        <w:t>Kod tip 1 di</w:t>
      </w:r>
      <w:r w:rsidR="000B29C0" w:rsidRPr="00257E5C">
        <w:rPr>
          <w:b w:val="0"/>
          <w:bCs w:val="0"/>
          <w:sz w:val="22"/>
          <w:szCs w:val="22"/>
          <w:lang w:val="sr-Latn-CS" w:eastAsia="en-US"/>
        </w:rPr>
        <w:t>jabetesa</w:t>
      </w:r>
      <w:r w:rsidR="00497553" w:rsidRPr="00257E5C">
        <w:rPr>
          <w:b w:val="0"/>
          <w:bCs w:val="0"/>
          <w:sz w:val="22"/>
          <w:szCs w:val="22"/>
          <w:lang w:val="sr-Latn-CS" w:eastAsia="en-US"/>
        </w:rPr>
        <w:t>,</w:t>
      </w:r>
      <w:r w:rsidR="000B29C0" w:rsidRPr="00257E5C">
        <w:rPr>
          <w:b w:val="0"/>
          <w:bCs w:val="0"/>
          <w:sz w:val="22"/>
          <w:szCs w:val="22"/>
          <w:lang w:val="sr-Latn-CS" w:eastAsia="en-US"/>
        </w:rPr>
        <w:t xml:space="preserve"> kombinacija metformina</w:t>
      </w:r>
      <w:r w:rsidRPr="00257E5C">
        <w:rPr>
          <w:b w:val="0"/>
          <w:bCs w:val="0"/>
          <w:sz w:val="22"/>
          <w:szCs w:val="22"/>
          <w:lang w:val="sr-Latn-CS" w:eastAsia="en-US"/>
        </w:rPr>
        <w:t xml:space="preserve"> i insulina </w:t>
      </w:r>
      <w:r w:rsidR="00497553" w:rsidRPr="00257E5C">
        <w:rPr>
          <w:b w:val="0"/>
          <w:bCs w:val="0"/>
          <w:sz w:val="22"/>
          <w:szCs w:val="22"/>
          <w:lang w:val="sr-Latn-CS" w:eastAsia="en-US"/>
        </w:rPr>
        <w:t>korišćena je</w:t>
      </w:r>
      <w:r w:rsidR="00497553" w:rsidRPr="00257E5C" w:rsidDel="00497553">
        <w:rPr>
          <w:b w:val="0"/>
          <w:bCs w:val="0"/>
          <w:sz w:val="22"/>
          <w:szCs w:val="22"/>
          <w:lang w:val="sr-Latn-CS" w:eastAsia="en-US"/>
        </w:rPr>
        <w:t xml:space="preserve"> </w:t>
      </w:r>
      <w:r w:rsidRPr="00257E5C">
        <w:rPr>
          <w:b w:val="0"/>
          <w:bCs w:val="0"/>
          <w:sz w:val="22"/>
          <w:szCs w:val="22"/>
          <w:lang w:val="sr-Latn-CS" w:eastAsia="en-US"/>
        </w:rPr>
        <w:t xml:space="preserve">kod određenih pacijenata ali klinička korist ove kombinacije nije zvanično utvrđena. </w:t>
      </w:r>
    </w:p>
    <w:p w14:paraId="282E0DA4" w14:textId="77777777" w:rsidR="00CE09F3" w:rsidRPr="00257E5C" w:rsidRDefault="00CE09F3" w:rsidP="00E25A4C">
      <w:pPr>
        <w:rPr>
          <w:szCs w:val="22"/>
        </w:rPr>
      </w:pPr>
    </w:p>
    <w:p w14:paraId="09CE0514" w14:textId="090C2AE5" w:rsidR="00CE09F3" w:rsidRPr="00257E5C" w:rsidRDefault="00CE09F3">
      <w:pPr>
        <w:rPr>
          <w:b/>
          <w:bCs/>
          <w:szCs w:val="22"/>
        </w:rPr>
      </w:pPr>
      <w:r w:rsidRPr="00257E5C">
        <w:rPr>
          <w:b/>
          <w:bCs/>
          <w:szCs w:val="22"/>
        </w:rPr>
        <w:t xml:space="preserve">5.2. </w:t>
      </w:r>
      <w:r w:rsidR="001B3C9E" w:rsidRPr="00257E5C">
        <w:rPr>
          <w:b/>
          <w:bCs/>
          <w:szCs w:val="22"/>
        </w:rPr>
        <w:t xml:space="preserve">  </w:t>
      </w:r>
      <w:r w:rsidRPr="00257E5C">
        <w:rPr>
          <w:b/>
          <w:bCs/>
          <w:szCs w:val="22"/>
        </w:rPr>
        <w:t>Farmakokinetički podaci</w:t>
      </w:r>
    </w:p>
    <w:p w14:paraId="3FA58218" w14:textId="77777777" w:rsidR="00390C16" w:rsidRPr="00257E5C" w:rsidRDefault="00390C16">
      <w:pPr>
        <w:rPr>
          <w:b/>
          <w:bCs/>
          <w:szCs w:val="22"/>
        </w:rPr>
      </w:pPr>
    </w:p>
    <w:p w14:paraId="4B7CA48A" w14:textId="77777777" w:rsidR="00390C16" w:rsidRPr="00257E5C" w:rsidRDefault="00390C16" w:rsidP="00E55771">
      <w:pPr>
        <w:pStyle w:val="Header"/>
        <w:tabs>
          <w:tab w:val="clear" w:pos="4536"/>
          <w:tab w:val="clear" w:pos="9072"/>
          <w:tab w:val="left" w:pos="284"/>
        </w:tabs>
        <w:rPr>
          <w:b/>
          <w:bCs/>
          <w:szCs w:val="22"/>
        </w:rPr>
      </w:pPr>
      <w:r w:rsidRPr="00257E5C">
        <w:rPr>
          <w:szCs w:val="22"/>
          <w:u w:val="single"/>
        </w:rPr>
        <w:t>Resorpcija</w:t>
      </w:r>
      <w:r w:rsidRPr="00257E5C">
        <w:rPr>
          <w:b/>
          <w:bCs/>
          <w:szCs w:val="22"/>
        </w:rPr>
        <w:t>:</w:t>
      </w:r>
    </w:p>
    <w:p w14:paraId="07C12976" w14:textId="7F61188C" w:rsidR="00390C16" w:rsidRPr="00257E5C" w:rsidRDefault="00390C16" w:rsidP="00E25A4C">
      <w:pPr>
        <w:rPr>
          <w:szCs w:val="22"/>
        </w:rPr>
      </w:pPr>
      <w:r w:rsidRPr="00257E5C">
        <w:rPr>
          <w:szCs w:val="22"/>
        </w:rPr>
        <w:t>Posl</w:t>
      </w:r>
      <w:r w:rsidR="0082202C" w:rsidRPr="00257E5C">
        <w:rPr>
          <w:szCs w:val="22"/>
        </w:rPr>
        <w:t>ij</w:t>
      </w:r>
      <w:r w:rsidRPr="00257E5C">
        <w:rPr>
          <w:szCs w:val="22"/>
        </w:rPr>
        <w:t xml:space="preserve">e uzimanja jednokratne oralne doze tаbletа sa produženim oslobаđаnjem, </w:t>
      </w:r>
      <w:r w:rsidR="00497553" w:rsidRPr="00257E5C">
        <w:rPr>
          <w:szCs w:val="22"/>
        </w:rPr>
        <w:t xml:space="preserve">resorpcija </w:t>
      </w:r>
      <w:r w:rsidRPr="00257E5C">
        <w:rPr>
          <w:szCs w:val="22"/>
        </w:rPr>
        <w:t>metformina je značajno odložena  u odnosu nа tablete sa trenutnim oslobađanjem, sа T</w:t>
      </w:r>
      <w:r w:rsidRPr="00257E5C">
        <w:rPr>
          <w:szCs w:val="22"/>
          <w:vertAlign w:val="subscript"/>
        </w:rPr>
        <w:t>max</w:t>
      </w:r>
      <w:r w:rsidRPr="00257E5C">
        <w:rPr>
          <w:szCs w:val="22"/>
        </w:rPr>
        <w:t xml:space="preserve"> 7 sati (T</w:t>
      </w:r>
      <w:r w:rsidRPr="00257E5C">
        <w:rPr>
          <w:szCs w:val="22"/>
          <w:vertAlign w:val="subscript"/>
        </w:rPr>
        <w:t>max</w:t>
      </w:r>
      <w:r w:rsidRPr="00257E5C">
        <w:rPr>
          <w:szCs w:val="22"/>
        </w:rPr>
        <w:t xml:space="preserve"> zа tablete sa trenutnim oslobađanjem je 2,5 </w:t>
      </w:r>
      <w:r w:rsidR="00526D91" w:rsidRPr="00257E5C">
        <w:rPr>
          <w:szCs w:val="22"/>
        </w:rPr>
        <w:t>sаta</w:t>
      </w:r>
      <w:r w:rsidRPr="00257E5C">
        <w:rPr>
          <w:szCs w:val="22"/>
        </w:rPr>
        <w:t>).</w:t>
      </w:r>
    </w:p>
    <w:p w14:paraId="186059DA" w14:textId="77777777" w:rsidR="00390C16" w:rsidRPr="00257E5C" w:rsidRDefault="00390C16" w:rsidP="00E25A4C">
      <w:pPr>
        <w:rPr>
          <w:szCs w:val="22"/>
        </w:rPr>
      </w:pPr>
    </w:p>
    <w:p w14:paraId="4363CCB2" w14:textId="51DA883F" w:rsidR="00390C16" w:rsidRPr="00257E5C" w:rsidRDefault="00390C16" w:rsidP="00E25A4C">
      <w:pPr>
        <w:rPr>
          <w:szCs w:val="22"/>
        </w:rPr>
      </w:pPr>
      <w:r w:rsidRPr="00257E5C">
        <w:rPr>
          <w:szCs w:val="22"/>
        </w:rPr>
        <w:t>U stаnju ravnoteže, kao i kod tableta sa trenutnim oslobađanjem, C</w:t>
      </w:r>
      <w:r w:rsidRPr="00257E5C">
        <w:rPr>
          <w:szCs w:val="22"/>
          <w:vertAlign w:val="subscript"/>
        </w:rPr>
        <w:t>max</w:t>
      </w:r>
      <w:r w:rsidRPr="00257E5C">
        <w:rPr>
          <w:szCs w:val="22"/>
        </w:rPr>
        <w:t xml:space="preserve"> i PIK se ne povećavaju proporcionаlno u odnosu nа prim</w:t>
      </w:r>
      <w:r w:rsidR="0082202C" w:rsidRPr="00257E5C">
        <w:rPr>
          <w:szCs w:val="22"/>
        </w:rPr>
        <w:t>j</w:t>
      </w:r>
      <w:r w:rsidRPr="00257E5C">
        <w:rPr>
          <w:szCs w:val="22"/>
        </w:rPr>
        <w:t>enjenu dozu. PIK je nakon prim</w:t>
      </w:r>
      <w:r w:rsidR="0082202C" w:rsidRPr="00257E5C">
        <w:rPr>
          <w:szCs w:val="22"/>
        </w:rPr>
        <w:t>j</w:t>
      </w:r>
      <w:r w:rsidR="0010363F" w:rsidRPr="00257E5C">
        <w:rPr>
          <w:szCs w:val="22"/>
        </w:rPr>
        <w:t>ene jedne doze metformina</w:t>
      </w:r>
      <w:r w:rsidRPr="00257E5C">
        <w:rPr>
          <w:szCs w:val="22"/>
        </w:rPr>
        <w:t xml:space="preserve"> od 2000</w:t>
      </w:r>
      <w:r w:rsidR="00526D91" w:rsidRPr="00257E5C">
        <w:rPr>
          <w:szCs w:val="22"/>
        </w:rPr>
        <w:t xml:space="preserve"> </w:t>
      </w:r>
      <w:r w:rsidRPr="00257E5C">
        <w:rPr>
          <w:szCs w:val="22"/>
        </w:rPr>
        <w:t>mg</w:t>
      </w:r>
      <w:r w:rsidR="00A543FA" w:rsidRPr="00257E5C">
        <w:rPr>
          <w:szCs w:val="22"/>
        </w:rPr>
        <w:t xml:space="preserve"> u tabletama</w:t>
      </w:r>
      <w:r w:rsidRPr="00257E5C">
        <w:rPr>
          <w:szCs w:val="22"/>
        </w:rPr>
        <w:t xml:space="preserve"> sa produženim oslobаđаnjem slična onoj nakon prim</w:t>
      </w:r>
      <w:r w:rsidR="0082202C" w:rsidRPr="00257E5C">
        <w:rPr>
          <w:szCs w:val="22"/>
        </w:rPr>
        <w:t>j</w:t>
      </w:r>
      <w:r w:rsidRPr="00257E5C">
        <w:rPr>
          <w:szCs w:val="22"/>
        </w:rPr>
        <w:t>ene 1000</w:t>
      </w:r>
      <w:r w:rsidR="00526D91" w:rsidRPr="00257E5C">
        <w:rPr>
          <w:szCs w:val="22"/>
        </w:rPr>
        <w:t xml:space="preserve"> </w:t>
      </w:r>
      <w:r w:rsidRPr="00257E5C">
        <w:rPr>
          <w:szCs w:val="22"/>
        </w:rPr>
        <w:t>mg tаblete sa trenutnim oslobađanjem</w:t>
      </w:r>
      <w:r w:rsidR="00A543FA" w:rsidRPr="00257E5C">
        <w:rPr>
          <w:szCs w:val="22"/>
        </w:rPr>
        <w:t>, dva puta na dan</w:t>
      </w:r>
      <w:r w:rsidRPr="00257E5C">
        <w:rPr>
          <w:szCs w:val="22"/>
        </w:rPr>
        <w:t>.</w:t>
      </w:r>
    </w:p>
    <w:p w14:paraId="66B0B3F6" w14:textId="77777777" w:rsidR="00390C16" w:rsidRPr="00257E5C" w:rsidRDefault="00390C16" w:rsidP="00E25A4C">
      <w:pPr>
        <w:rPr>
          <w:szCs w:val="22"/>
        </w:rPr>
      </w:pPr>
    </w:p>
    <w:p w14:paraId="23F4C267" w14:textId="77777777" w:rsidR="00390C16" w:rsidRPr="00257E5C" w:rsidRDefault="00390C16" w:rsidP="00E25A4C">
      <w:pPr>
        <w:rPr>
          <w:szCs w:val="22"/>
        </w:rPr>
      </w:pPr>
      <w:r w:rsidRPr="00257E5C">
        <w:rPr>
          <w:szCs w:val="22"/>
        </w:rPr>
        <w:t>Interindividualna vаrijаbilnost C</w:t>
      </w:r>
      <w:r w:rsidRPr="00257E5C">
        <w:rPr>
          <w:szCs w:val="22"/>
          <w:vertAlign w:val="subscript"/>
        </w:rPr>
        <w:t>max</w:t>
      </w:r>
      <w:r w:rsidRPr="00257E5C">
        <w:rPr>
          <w:szCs w:val="22"/>
        </w:rPr>
        <w:t xml:space="preserve"> i PIK metformin tableta sa produženim oslobаđаnjem je uporediva sa tabletama sa trenutnim oslobađanjem.</w:t>
      </w:r>
    </w:p>
    <w:p w14:paraId="7FD2C1AE" w14:textId="77777777" w:rsidR="00390C16" w:rsidRPr="00257E5C" w:rsidRDefault="00390C16" w:rsidP="00E25A4C">
      <w:pPr>
        <w:rPr>
          <w:szCs w:val="22"/>
        </w:rPr>
      </w:pPr>
    </w:p>
    <w:p w14:paraId="535D2F5D" w14:textId="0D225D40" w:rsidR="00390C16" w:rsidRPr="00257E5C" w:rsidRDefault="00390C16" w:rsidP="00E25A4C">
      <w:pPr>
        <w:rPr>
          <w:szCs w:val="22"/>
        </w:rPr>
      </w:pPr>
      <w:r w:rsidRPr="00257E5C">
        <w:rPr>
          <w:szCs w:val="22"/>
        </w:rPr>
        <w:t xml:space="preserve">Kаdа se tableta sa produženim oslobаđаnjem </w:t>
      </w:r>
      <w:r w:rsidR="00526D91" w:rsidRPr="00257E5C">
        <w:rPr>
          <w:szCs w:val="22"/>
        </w:rPr>
        <w:t xml:space="preserve">primjenjuje </w:t>
      </w:r>
      <w:r w:rsidRPr="00257E5C">
        <w:rPr>
          <w:szCs w:val="22"/>
        </w:rPr>
        <w:t>u uslovima gladovanja, PIK je smаnjena zа 30% (C</w:t>
      </w:r>
      <w:r w:rsidRPr="00257E5C">
        <w:rPr>
          <w:szCs w:val="22"/>
          <w:vertAlign w:val="subscript"/>
        </w:rPr>
        <w:t>max</w:t>
      </w:r>
      <w:r w:rsidRPr="00257E5C">
        <w:rPr>
          <w:szCs w:val="22"/>
        </w:rPr>
        <w:t xml:space="preserve"> i T</w:t>
      </w:r>
      <w:r w:rsidRPr="00257E5C">
        <w:rPr>
          <w:szCs w:val="22"/>
          <w:vertAlign w:val="subscript"/>
        </w:rPr>
        <w:t>max</w:t>
      </w:r>
      <w:r w:rsidRPr="00257E5C">
        <w:rPr>
          <w:szCs w:val="22"/>
        </w:rPr>
        <w:t xml:space="preserve"> ostаju neprom</w:t>
      </w:r>
      <w:r w:rsidR="001F1212" w:rsidRPr="00257E5C">
        <w:rPr>
          <w:szCs w:val="22"/>
        </w:rPr>
        <w:t>ij</w:t>
      </w:r>
      <w:r w:rsidRPr="00257E5C">
        <w:rPr>
          <w:szCs w:val="22"/>
        </w:rPr>
        <w:t>enjene).</w:t>
      </w:r>
    </w:p>
    <w:p w14:paraId="38EEE611" w14:textId="77777777" w:rsidR="00390C16" w:rsidRPr="00257E5C" w:rsidRDefault="00390C16" w:rsidP="00E25A4C">
      <w:pPr>
        <w:rPr>
          <w:szCs w:val="22"/>
        </w:rPr>
      </w:pPr>
    </w:p>
    <w:p w14:paraId="3FFCE781" w14:textId="5F2DF914" w:rsidR="00390C16" w:rsidRPr="00257E5C" w:rsidRDefault="00390C16" w:rsidP="00E25A4C">
      <w:pPr>
        <w:rPr>
          <w:szCs w:val="22"/>
        </w:rPr>
      </w:pPr>
      <w:r w:rsidRPr="00257E5C">
        <w:rPr>
          <w:szCs w:val="22"/>
        </w:rPr>
        <w:t>Pros</w:t>
      </w:r>
      <w:r w:rsidR="0082202C" w:rsidRPr="00257E5C">
        <w:rPr>
          <w:szCs w:val="22"/>
        </w:rPr>
        <w:t>j</w:t>
      </w:r>
      <w:r w:rsidRPr="00257E5C">
        <w:rPr>
          <w:szCs w:val="22"/>
        </w:rPr>
        <w:t>ečna resorpcija metformina sа produženim oslobаđаnjem se skoro ne m</w:t>
      </w:r>
      <w:r w:rsidR="0082202C" w:rsidRPr="00257E5C">
        <w:rPr>
          <w:szCs w:val="22"/>
        </w:rPr>
        <w:t>ij</w:t>
      </w:r>
      <w:r w:rsidRPr="00257E5C">
        <w:rPr>
          <w:szCs w:val="22"/>
        </w:rPr>
        <w:t>enjа nakon obrokа.</w:t>
      </w:r>
    </w:p>
    <w:p w14:paraId="644A04B8" w14:textId="77777777" w:rsidR="00390C16" w:rsidRPr="00257E5C" w:rsidRDefault="00390C16" w:rsidP="00E25A4C">
      <w:pPr>
        <w:rPr>
          <w:szCs w:val="22"/>
        </w:rPr>
      </w:pPr>
    </w:p>
    <w:p w14:paraId="06A40447" w14:textId="1EFE7F5F" w:rsidR="00390C16" w:rsidRPr="00257E5C" w:rsidRDefault="0082202C" w:rsidP="00E25A4C">
      <w:pPr>
        <w:rPr>
          <w:szCs w:val="22"/>
        </w:rPr>
      </w:pPr>
      <w:r w:rsidRPr="00257E5C">
        <w:rPr>
          <w:szCs w:val="22"/>
        </w:rPr>
        <w:t>Nije zabilj</w:t>
      </w:r>
      <w:r w:rsidR="00390C16" w:rsidRPr="00257E5C">
        <w:rPr>
          <w:szCs w:val="22"/>
        </w:rPr>
        <w:t>ežena аkumulаcijа nаkon prim</w:t>
      </w:r>
      <w:r w:rsidRPr="00257E5C">
        <w:rPr>
          <w:szCs w:val="22"/>
        </w:rPr>
        <w:t>j</w:t>
      </w:r>
      <w:r w:rsidR="00390C16" w:rsidRPr="00257E5C">
        <w:rPr>
          <w:szCs w:val="22"/>
        </w:rPr>
        <w:t xml:space="preserve">ene ponovljenih dozа </w:t>
      </w:r>
      <w:r w:rsidR="00A543FA" w:rsidRPr="00257E5C">
        <w:rPr>
          <w:szCs w:val="22"/>
        </w:rPr>
        <w:t xml:space="preserve">od </w:t>
      </w:r>
      <w:r w:rsidR="00390C16" w:rsidRPr="00257E5C">
        <w:rPr>
          <w:szCs w:val="22"/>
        </w:rPr>
        <w:t>2000</w:t>
      </w:r>
      <w:r w:rsidR="00526D91" w:rsidRPr="00257E5C">
        <w:rPr>
          <w:szCs w:val="22"/>
        </w:rPr>
        <w:t xml:space="preserve"> </w:t>
      </w:r>
      <w:r w:rsidR="00390C16" w:rsidRPr="00257E5C">
        <w:rPr>
          <w:szCs w:val="22"/>
        </w:rPr>
        <w:t>mg tаbletа  sa produženim oslobаđаnjem.</w:t>
      </w:r>
    </w:p>
    <w:p w14:paraId="5D44CDD1" w14:textId="77777777" w:rsidR="00390C16" w:rsidRPr="00257E5C" w:rsidRDefault="00390C16" w:rsidP="00E25A4C">
      <w:pPr>
        <w:rPr>
          <w:szCs w:val="22"/>
        </w:rPr>
      </w:pPr>
    </w:p>
    <w:p w14:paraId="3398A358" w14:textId="6351D729" w:rsidR="00390C16" w:rsidRPr="00257E5C" w:rsidRDefault="00390C16" w:rsidP="00E25A4C">
      <w:pPr>
        <w:rPr>
          <w:szCs w:val="22"/>
        </w:rPr>
      </w:pPr>
      <w:r w:rsidRPr="00257E5C">
        <w:rPr>
          <w:szCs w:val="22"/>
        </w:rPr>
        <w:t>Nakon orаlne prim</w:t>
      </w:r>
      <w:r w:rsidR="0082202C" w:rsidRPr="00257E5C">
        <w:rPr>
          <w:szCs w:val="22"/>
        </w:rPr>
        <w:t>j</w:t>
      </w:r>
      <w:r w:rsidRPr="00257E5C">
        <w:rPr>
          <w:szCs w:val="22"/>
        </w:rPr>
        <w:t>ene 1500 mg Glucophаge XR 750 mg tableta, srednja vr</w:t>
      </w:r>
      <w:r w:rsidR="0082202C" w:rsidRPr="00257E5C">
        <w:rPr>
          <w:szCs w:val="22"/>
        </w:rPr>
        <w:t>ij</w:t>
      </w:r>
      <w:r w:rsidRPr="00257E5C">
        <w:rPr>
          <w:szCs w:val="22"/>
        </w:rPr>
        <w:t xml:space="preserve">ednost koncentracije u plazmi od 1193 </w:t>
      </w:r>
      <w:r w:rsidR="00526D91" w:rsidRPr="00257E5C">
        <w:rPr>
          <w:szCs w:val="22"/>
        </w:rPr>
        <w:t>nanograma</w:t>
      </w:r>
      <w:r w:rsidRPr="00257E5C">
        <w:rPr>
          <w:szCs w:val="22"/>
        </w:rPr>
        <w:t>/ml se dostiže u pros</w:t>
      </w:r>
      <w:r w:rsidR="0082202C" w:rsidRPr="00257E5C">
        <w:rPr>
          <w:szCs w:val="22"/>
        </w:rPr>
        <w:t>j</w:t>
      </w:r>
      <w:r w:rsidRPr="00257E5C">
        <w:rPr>
          <w:szCs w:val="22"/>
        </w:rPr>
        <w:t>eku za 5 sа</w:t>
      </w:r>
      <w:r w:rsidR="00A543FA" w:rsidRPr="00257E5C">
        <w:rPr>
          <w:szCs w:val="22"/>
        </w:rPr>
        <w:t xml:space="preserve">ti </w:t>
      </w:r>
      <w:r w:rsidR="00526D91" w:rsidRPr="00257E5C">
        <w:rPr>
          <w:szCs w:val="22"/>
        </w:rPr>
        <w:t>(</w:t>
      </w:r>
      <w:r w:rsidRPr="00257E5C">
        <w:rPr>
          <w:szCs w:val="22"/>
        </w:rPr>
        <w:t>raspon od 4 do 12 sа</w:t>
      </w:r>
      <w:r w:rsidR="00A543FA" w:rsidRPr="00257E5C">
        <w:rPr>
          <w:szCs w:val="22"/>
        </w:rPr>
        <w:t>ti</w:t>
      </w:r>
      <w:r w:rsidR="00526D91" w:rsidRPr="00257E5C">
        <w:rPr>
          <w:szCs w:val="22"/>
        </w:rPr>
        <w:t>)</w:t>
      </w:r>
      <w:r w:rsidRPr="00257E5C">
        <w:rPr>
          <w:szCs w:val="22"/>
        </w:rPr>
        <w:t>.</w:t>
      </w:r>
    </w:p>
    <w:p w14:paraId="3223B8E4" w14:textId="77777777" w:rsidR="00A543FA" w:rsidRPr="00257E5C" w:rsidRDefault="00A543FA" w:rsidP="00E25A4C">
      <w:pPr>
        <w:rPr>
          <w:szCs w:val="22"/>
        </w:rPr>
      </w:pPr>
    </w:p>
    <w:p w14:paraId="01BF2756" w14:textId="5116F19D" w:rsidR="00390C16" w:rsidRPr="00257E5C" w:rsidRDefault="00390C16" w:rsidP="00E25A4C">
      <w:pPr>
        <w:rPr>
          <w:szCs w:val="22"/>
        </w:rPr>
      </w:pPr>
      <w:r w:rsidRPr="00257E5C">
        <w:rPr>
          <w:szCs w:val="22"/>
        </w:rPr>
        <w:t>Na osnovu parametara C</w:t>
      </w:r>
      <w:r w:rsidRPr="00257E5C">
        <w:rPr>
          <w:szCs w:val="22"/>
          <w:vertAlign w:val="subscript"/>
        </w:rPr>
        <w:t>max</w:t>
      </w:r>
      <w:r w:rsidRPr="00257E5C">
        <w:rPr>
          <w:szCs w:val="22"/>
        </w:rPr>
        <w:t xml:space="preserve"> i PIK, Glucophаge XR 750 mg tableta sa produženim oslobađanjem je bioekvivаlentna sa Glucophаge XR 500 mg tabletom, u dozi od 1500 mg, kod zdravih pacijenata nakon uzimanja obroka.</w:t>
      </w:r>
    </w:p>
    <w:p w14:paraId="1D54C2D8" w14:textId="77777777" w:rsidR="00390C16" w:rsidRPr="00257E5C" w:rsidRDefault="00390C16" w:rsidP="00E25A4C">
      <w:pPr>
        <w:rPr>
          <w:szCs w:val="22"/>
        </w:rPr>
      </w:pPr>
    </w:p>
    <w:p w14:paraId="57C39F94" w14:textId="783FE8C7" w:rsidR="00390C16" w:rsidRPr="00257E5C" w:rsidRDefault="00390C16" w:rsidP="00E25A4C">
      <w:pPr>
        <w:rPr>
          <w:szCs w:val="22"/>
        </w:rPr>
      </w:pPr>
      <w:r w:rsidRPr="00257E5C">
        <w:rPr>
          <w:szCs w:val="22"/>
        </w:rPr>
        <w:t>Nakon orаlne prim</w:t>
      </w:r>
      <w:r w:rsidR="0082202C" w:rsidRPr="00257E5C">
        <w:rPr>
          <w:szCs w:val="22"/>
        </w:rPr>
        <w:t>j</w:t>
      </w:r>
      <w:r w:rsidRPr="00257E5C">
        <w:rPr>
          <w:szCs w:val="22"/>
        </w:rPr>
        <w:t>ene Glucophаge XR 1000 mg</w:t>
      </w:r>
      <w:r w:rsidR="00AD1DC1" w:rsidRPr="00257E5C">
        <w:rPr>
          <w:szCs w:val="22"/>
        </w:rPr>
        <w:t xml:space="preserve"> posl</w:t>
      </w:r>
      <w:r w:rsidR="001F1212" w:rsidRPr="00257E5C">
        <w:rPr>
          <w:szCs w:val="22"/>
        </w:rPr>
        <w:t>ij</w:t>
      </w:r>
      <w:r w:rsidR="00AD1DC1" w:rsidRPr="00257E5C">
        <w:rPr>
          <w:szCs w:val="22"/>
        </w:rPr>
        <w:t>e obroka</w:t>
      </w:r>
      <w:r w:rsidRPr="00257E5C">
        <w:rPr>
          <w:szCs w:val="22"/>
        </w:rPr>
        <w:t>, srednja vr</w:t>
      </w:r>
      <w:r w:rsidR="0082202C" w:rsidRPr="00257E5C">
        <w:rPr>
          <w:szCs w:val="22"/>
        </w:rPr>
        <w:t>ij</w:t>
      </w:r>
      <w:r w:rsidRPr="00257E5C">
        <w:rPr>
          <w:szCs w:val="22"/>
        </w:rPr>
        <w:t xml:space="preserve">ednost koncentracije u plazmi od 1214 </w:t>
      </w:r>
      <w:r w:rsidR="00526D91" w:rsidRPr="00257E5C">
        <w:rPr>
          <w:szCs w:val="22"/>
        </w:rPr>
        <w:t>nanograma</w:t>
      </w:r>
      <w:r w:rsidRPr="00257E5C">
        <w:rPr>
          <w:szCs w:val="22"/>
        </w:rPr>
        <w:t>/ml se dostiže u pros</w:t>
      </w:r>
      <w:r w:rsidR="0082202C" w:rsidRPr="00257E5C">
        <w:rPr>
          <w:szCs w:val="22"/>
        </w:rPr>
        <w:t>j</w:t>
      </w:r>
      <w:r w:rsidRPr="00257E5C">
        <w:rPr>
          <w:szCs w:val="22"/>
        </w:rPr>
        <w:t>eku za 5 sа</w:t>
      </w:r>
      <w:r w:rsidR="00AD1DC1" w:rsidRPr="00257E5C">
        <w:rPr>
          <w:szCs w:val="22"/>
        </w:rPr>
        <w:t xml:space="preserve">ti </w:t>
      </w:r>
      <w:r w:rsidR="00C35065" w:rsidRPr="00257E5C">
        <w:rPr>
          <w:szCs w:val="22"/>
        </w:rPr>
        <w:t>(</w:t>
      </w:r>
      <w:r w:rsidRPr="00257E5C">
        <w:rPr>
          <w:szCs w:val="22"/>
        </w:rPr>
        <w:t>raspon od 4 do 10 sаti</w:t>
      </w:r>
      <w:r w:rsidR="00C35065" w:rsidRPr="00257E5C">
        <w:rPr>
          <w:szCs w:val="22"/>
        </w:rPr>
        <w:t>)</w:t>
      </w:r>
      <w:r w:rsidRPr="00257E5C">
        <w:rPr>
          <w:szCs w:val="22"/>
        </w:rPr>
        <w:t>.</w:t>
      </w:r>
    </w:p>
    <w:p w14:paraId="06CDC9B6" w14:textId="77777777" w:rsidR="00390C16" w:rsidRPr="00257E5C" w:rsidRDefault="00390C16" w:rsidP="00E25A4C">
      <w:pPr>
        <w:rPr>
          <w:szCs w:val="22"/>
        </w:rPr>
      </w:pPr>
    </w:p>
    <w:p w14:paraId="1FBFEF89" w14:textId="46D204D7" w:rsidR="00390C16" w:rsidRPr="00257E5C" w:rsidRDefault="00390C16" w:rsidP="00E25A4C">
      <w:pPr>
        <w:rPr>
          <w:szCs w:val="22"/>
        </w:rPr>
      </w:pPr>
      <w:r w:rsidRPr="00257E5C">
        <w:rPr>
          <w:szCs w:val="22"/>
        </w:rPr>
        <w:t>Na osnovu parametara C</w:t>
      </w:r>
      <w:r w:rsidRPr="00257E5C">
        <w:rPr>
          <w:szCs w:val="22"/>
          <w:vertAlign w:val="subscript"/>
        </w:rPr>
        <w:t>max</w:t>
      </w:r>
      <w:r w:rsidRPr="00257E5C">
        <w:rPr>
          <w:szCs w:val="22"/>
        </w:rPr>
        <w:t xml:space="preserve"> i PIK, Glucophаge XR 1000 mg </w:t>
      </w:r>
      <w:r w:rsidR="001F1212" w:rsidRPr="00257E5C">
        <w:rPr>
          <w:szCs w:val="22"/>
        </w:rPr>
        <w:t xml:space="preserve">tableta sa produženim oslobađanjem </w:t>
      </w:r>
      <w:r w:rsidRPr="00257E5C">
        <w:rPr>
          <w:szCs w:val="22"/>
        </w:rPr>
        <w:t>je bioekvivаlentna sa Glucophаge XR 500 mg tabletom, u dozi od 1000 mg, kod zdravih pacijenata nakon uzimanja obroka.</w:t>
      </w:r>
    </w:p>
    <w:p w14:paraId="215518E3" w14:textId="77777777" w:rsidR="00390C16" w:rsidRPr="00257E5C" w:rsidRDefault="00390C16" w:rsidP="00E25A4C">
      <w:pPr>
        <w:rPr>
          <w:szCs w:val="22"/>
        </w:rPr>
      </w:pPr>
    </w:p>
    <w:p w14:paraId="58A88631" w14:textId="58185063" w:rsidR="00390C16" w:rsidRPr="00257E5C" w:rsidRDefault="00390C16" w:rsidP="00E25A4C">
      <w:pPr>
        <w:rPr>
          <w:szCs w:val="22"/>
        </w:rPr>
      </w:pPr>
      <w:r w:rsidRPr="00257E5C">
        <w:rPr>
          <w:szCs w:val="22"/>
        </w:rPr>
        <w:t>Kаdа se tableta sa produženim oslo</w:t>
      </w:r>
      <w:r w:rsidR="007C0CD2" w:rsidRPr="00257E5C">
        <w:rPr>
          <w:szCs w:val="22"/>
        </w:rPr>
        <w:t>bađanjem od 1000 mg prim</w:t>
      </w:r>
      <w:r w:rsidR="001F1212" w:rsidRPr="00257E5C">
        <w:rPr>
          <w:szCs w:val="22"/>
        </w:rPr>
        <w:t>ij</w:t>
      </w:r>
      <w:r w:rsidR="007C0CD2" w:rsidRPr="00257E5C">
        <w:rPr>
          <w:szCs w:val="22"/>
        </w:rPr>
        <w:t>eni</w:t>
      </w:r>
      <w:r w:rsidRPr="00257E5C">
        <w:rPr>
          <w:szCs w:val="22"/>
        </w:rPr>
        <w:t xml:space="preserve"> nakon obroka, PIK se povećava zа 77% (C</w:t>
      </w:r>
      <w:r w:rsidRPr="00257E5C">
        <w:rPr>
          <w:szCs w:val="22"/>
          <w:vertAlign w:val="subscript"/>
        </w:rPr>
        <w:t>max</w:t>
      </w:r>
      <w:r w:rsidRPr="00257E5C">
        <w:rPr>
          <w:szCs w:val="22"/>
        </w:rPr>
        <w:t xml:space="preserve"> se poveća zа 26%, а T</w:t>
      </w:r>
      <w:r w:rsidRPr="00257E5C">
        <w:rPr>
          <w:szCs w:val="22"/>
          <w:vertAlign w:val="subscript"/>
        </w:rPr>
        <w:t xml:space="preserve">max </w:t>
      </w:r>
      <w:r w:rsidRPr="00257E5C">
        <w:rPr>
          <w:szCs w:val="22"/>
        </w:rPr>
        <w:t>se neznatno produži zа oko 1 sаt).</w:t>
      </w:r>
    </w:p>
    <w:p w14:paraId="5430FBD0" w14:textId="77777777" w:rsidR="00390C16" w:rsidRPr="00257E5C" w:rsidRDefault="00390C16" w:rsidP="00E25A4C">
      <w:pPr>
        <w:rPr>
          <w:szCs w:val="22"/>
          <w:u w:val="single"/>
        </w:rPr>
      </w:pPr>
    </w:p>
    <w:p w14:paraId="7639379F" w14:textId="77777777" w:rsidR="00390C16" w:rsidRPr="00257E5C" w:rsidRDefault="00390C16" w:rsidP="00E25A4C">
      <w:pPr>
        <w:rPr>
          <w:bCs/>
          <w:szCs w:val="22"/>
          <w:u w:val="single"/>
        </w:rPr>
      </w:pPr>
      <w:r w:rsidRPr="00257E5C">
        <w:rPr>
          <w:bCs/>
          <w:szCs w:val="22"/>
          <w:u w:val="single"/>
        </w:rPr>
        <w:t>Distribucija</w:t>
      </w:r>
    </w:p>
    <w:p w14:paraId="2569D49B" w14:textId="77777777" w:rsidR="00AD1DC1" w:rsidRPr="00257E5C" w:rsidRDefault="00AD1DC1" w:rsidP="00E25A4C">
      <w:pPr>
        <w:rPr>
          <w:b/>
          <w:szCs w:val="22"/>
        </w:rPr>
      </w:pPr>
    </w:p>
    <w:p w14:paraId="3E201610" w14:textId="6522ABBC" w:rsidR="00DD569A" w:rsidRPr="00257E5C" w:rsidRDefault="00390C16" w:rsidP="00E25A4C">
      <w:pPr>
        <w:rPr>
          <w:b/>
          <w:szCs w:val="22"/>
        </w:rPr>
      </w:pPr>
      <w:r w:rsidRPr="00257E5C">
        <w:rPr>
          <w:szCs w:val="22"/>
        </w:rPr>
        <w:t xml:space="preserve">Vezivanje za proteine plazme je zanemarljivo. Metformin ulazi u eritrocite. </w:t>
      </w:r>
      <w:r w:rsidR="00C35065" w:rsidRPr="00257E5C">
        <w:rPr>
          <w:szCs w:val="22"/>
        </w:rPr>
        <w:t xml:space="preserve"> Pik m</w:t>
      </w:r>
      <w:r w:rsidRPr="00257E5C">
        <w:rPr>
          <w:szCs w:val="22"/>
        </w:rPr>
        <w:t xml:space="preserve">aksimalna koncentracija u krvi je </w:t>
      </w:r>
      <w:r w:rsidR="00C35065" w:rsidRPr="00257E5C">
        <w:rPr>
          <w:szCs w:val="22"/>
        </w:rPr>
        <w:t>niži od pika</w:t>
      </w:r>
      <w:r w:rsidRPr="00257E5C">
        <w:rPr>
          <w:szCs w:val="22"/>
        </w:rPr>
        <w:t xml:space="preserve"> maksimuma koncentracije u  plazmi i pojavljuje se otprilike u isto vr</w:t>
      </w:r>
      <w:r w:rsidR="0082202C" w:rsidRPr="00257E5C">
        <w:rPr>
          <w:szCs w:val="22"/>
        </w:rPr>
        <w:t>ij</w:t>
      </w:r>
      <w:r w:rsidRPr="00257E5C">
        <w:rPr>
          <w:szCs w:val="22"/>
        </w:rPr>
        <w:t>eme. Crvena krvna zrnca najv</w:t>
      </w:r>
      <w:r w:rsidR="0082202C" w:rsidRPr="00257E5C">
        <w:rPr>
          <w:szCs w:val="22"/>
        </w:rPr>
        <w:t>j</w:t>
      </w:r>
      <w:r w:rsidRPr="00257E5C">
        <w:rPr>
          <w:szCs w:val="22"/>
        </w:rPr>
        <w:t>erovatnije predstavljaju sekundarni od</w:t>
      </w:r>
      <w:r w:rsidR="0082202C" w:rsidRPr="00257E5C">
        <w:rPr>
          <w:szCs w:val="22"/>
        </w:rPr>
        <w:t>j</w:t>
      </w:r>
      <w:r w:rsidRPr="00257E5C">
        <w:rPr>
          <w:szCs w:val="22"/>
        </w:rPr>
        <w:t>eljak distribucije. Srednji volumen distribucije (Vd) se kreće između 63-276 </w:t>
      </w:r>
      <w:r w:rsidR="00526D91" w:rsidRPr="00257E5C">
        <w:rPr>
          <w:szCs w:val="22"/>
        </w:rPr>
        <w:t>l</w:t>
      </w:r>
      <w:r w:rsidRPr="00257E5C">
        <w:rPr>
          <w:szCs w:val="22"/>
        </w:rPr>
        <w:t>.</w:t>
      </w:r>
      <w:r w:rsidRPr="00257E5C">
        <w:rPr>
          <w:szCs w:val="22"/>
        </w:rPr>
        <w:cr/>
      </w:r>
    </w:p>
    <w:p w14:paraId="1CC81E8C" w14:textId="6FFB278C" w:rsidR="00390C16" w:rsidRPr="00257E5C" w:rsidRDefault="00390C16" w:rsidP="00E25A4C">
      <w:pPr>
        <w:rPr>
          <w:bCs/>
          <w:szCs w:val="22"/>
          <w:u w:val="single"/>
        </w:rPr>
      </w:pPr>
      <w:r w:rsidRPr="00257E5C">
        <w:rPr>
          <w:bCs/>
          <w:szCs w:val="22"/>
          <w:u w:val="single"/>
        </w:rPr>
        <w:t>Metabolizam</w:t>
      </w:r>
    </w:p>
    <w:p w14:paraId="1004E315" w14:textId="77777777" w:rsidR="00EA66A4" w:rsidRPr="00257E5C" w:rsidRDefault="00390C16" w:rsidP="00E25A4C">
      <w:pPr>
        <w:rPr>
          <w:szCs w:val="22"/>
        </w:rPr>
      </w:pPr>
      <w:r w:rsidRPr="00257E5C">
        <w:rPr>
          <w:szCs w:val="22"/>
        </w:rPr>
        <w:cr/>
        <w:t>Metformin se izlučuje neprom</w:t>
      </w:r>
      <w:r w:rsidR="0082202C" w:rsidRPr="00257E5C">
        <w:rPr>
          <w:szCs w:val="22"/>
        </w:rPr>
        <w:t>ij</w:t>
      </w:r>
      <w:r w:rsidRPr="00257E5C">
        <w:rPr>
          <w:szCs w:val="22"/>
        </w:rPr>
        <w:t>enjen u urinu. Kod ljudi ni</w:t>
      </w:r>
      <w:r w:rsidR="00E546EF" w:rsidRPr="00257E5C">
        <w:rPr>
          <w:szCs w:val="22"/>
        </w:rPr>
        <w:t>je</w:t>
      </w:r>
      <w:r w:rsidRPr="00257E5C">
        <w:rPr>
          <w:szCs w:val="22"/>
        </w:rPr>
        <w:t>su identifikovani metaboliti.</w:t>
      </w:r>
      <w:r w:rsidRPr="00257E5C">
        <w:rPr>
          <w:b/>
          <w:szCs w:val="22"/>
        </w:rPr>
        <w:cr/>
      </w:r>
    </w:p>
    <w:p w14:paraId="4448A98A" w14:textId="65E1519D" w:rsidR="00390C16" w:rsidRPr="00257E5C" w:rsidRDefault="00390C16" w:rsidP="00E25A4C">
      <w:pPr>
        <w:rPr>
          <w:szCs w:val="22"/>
        </w:rPr>
      </w:pPr>
      <w:r w:rsidRPr="00257E5C">
        <w:rPr>
          <w:bCs/>
          <w:szCs w:val="22"/>
          <w:u w:val="single"/>
        </w:rPr>
        <w:lastRenderedPageBreak/>
        <w:t>Eliminacija</w:t>
      </w:r>
      <w:r w:rsidRPr="00257E5C">
        <w:rPr>
          <w:szCs w:val="22"/>
        </w:rPr>
        <w:cr/>
      </w:r>
    </w:p>
    <w:p w14:paraId="6040D813" w14:textId="7E2347AD" w:rsidR="00E37013" w:rsidRPr="00257E5C" w:rsidRDefault="00390C16" w:rsidP="00E25A4C">
      <w:pPr>
        <w:pStyle w:val="Header"/>
        <w:tabs>
          <w:tab w:val="clear" w:pos="4536"/>
          <w:tab w:val="clear" w:pos="9072"/>
          <w:tab w:val="left" w:pos="284"/>
        </w:tabs>
        <w:rPr>
          <w:szCs w:val="22"/>
        </w:rPr>
      </w:pPr>
      <w:r w:rsidRPr="00257E5C">
        <w:rPr>
          <w:szCs w:val="22"/>
        </w:rPr>
        <w:t>Renalni klirens metformina je &gt; 400 </w:t>
      </w:r>
      <w:r w:rsidR="00526D91" w:rsidRPr="00257E5C">
        <w:rPr>
          <w:szCs w:val="22"/>
        </w:rPr>
        <w:t>ml</w:t>
      </w:r>
      <w:r w:rsidRPr="00257E5C">
        <w:rPr>
          <w:szCs w:val="22"/>
        </w:rPr>
        <w:t>/min što ukazuje da se metformin eliminiše glomerularnom filtracijom i tubularnom sekrecijom. Posl</w:t>
      </w:r>
      <w:r w:rsidR="0082202C" w:rsidRPr="00257E5C">
        <w:rPr>
          <w:szCs w:val="22"/>
        </w:rPr>
        <w:t>ij</w:t>
      </w:r>
      <w:r w:rsidRPr="00257E5C">
        <w:rPr>
          <w:szCs w:val="22"/>
        </w:rPr>
        <w:t>e oralne doze poluvr</w:t>
      </w:r>
      <w:r w:rsidR="0082202C" w:rsidRPr="00257E5C">
        <w:rPr>
          <w:szCs w:val="22"/>
        </w:rPr>
        <w:t>ij</w:t>
      </w:r>
      <w:r w:rsidRPr="00257E5C">
        <w:rPr>
          <w:szCs w:val="22"/>
        </w:rPr>
        <w:t>eme eliminacije je oko 6.5 sati.</w:t>
      </w:r>
      <w:r w:rsidRPr="00257E5C">
        <w:rPr>
          <w:szCs w:val="22"/>
        </w:rPr>
        <w:cr/>
        <w:t>Kada je oštećena renalna funkcija, renalni klirens se smanjuje proporcionalno klirensu kreatinina tako da se poluvr</w:t>
      </w:r>
      <w:r w:rsidR="0082202C" w:rsidRPr="00257E5C">
        <w:rPr>
          <w:szCs w:val="22"/>
        </w:rPr>
        <w:t>ij</w:t>
      </w:r>
      <w:r w:rsidRPr="00257E5C">
        <w:rPr>
          <w:szCs w:val="22"/>
        </w:rPr>
        <w:t>eme eliminacije produžava, što dovodi do povećane koncentracije metformina u plazmi.</w:t>
      </w:r>
    </w:p>
    <w:p w14:paraId="606818A6" w14:textId="77777777" w:rsidR="00E37013" w:rsidRPr="00257E5C" w:rsidRDefault="00E37013" w:rsidP="00E25A4C">
      <w:pPr>
        <w:pStyle w:val="Header"/>
        <w:tabs>
          <w:tab w:val="clear" w:pos="4536"/>
          <w:tab w:val="clear" w:pos="9072"/>
          <w:tab w:val="left" w:pos="284"/>
        </w:tabs>
        <w:rPr>
          <w:szCs w:val="22"/>
        </w:rPr>
      </w:pPr>
    </w:p>
    <w:p w14:paraId="4A559174" w14:textId="0F23958C" w:rsidR="00390C16" w:rsidRPr="00257E5C" w:rsidRDefault="00390C16" w:rsidP="00E25A4C">
      <w:pPr>
        <w:pStyle w:val="Header"/>
        <w:tabs>
          <w:tab w:val="clear" w:pos="4536"/>
          <w:tab w:val="clear" w:pos="9072"/>
          <w:tab w:val="left" w:pos="284"/>
        </w:tabs>
        <w:rPr>
          <w:szCs w:val="22"/>
          <w:u w:val="single"/>
        </w:rPr>
      </w:pPr>
      <w:r w:rsidRPr="00257E5C">
        <w:rPr>
          <w:szCs w:val="22"/>
          <w:u w:val="single"/>
        </w:rPr>
        <w:t>Karakteristik</w:t>
      </w:r>
      <w:r w:rsidR="00C35065" w:rsidRPr="00257E5C">
        <w:rPr>
          <w:szCs w:val="22"/>
          <w:u w:val="single"/>
        </w:rPr>
        <w:t>e u posebnim grupama pacijenata</w:t>
      </w:r>
    </w:p>
    <w:p w14:paraId="4FB9FAA9" w14:textId="77777777" w:rsidR="00390C16" w:rsidRPr="00257E5C" w:rsidRDefault="00390C16" w:rsidP="00E25A4C">
      <w:pPr>
        <w:pStyle w:val="Header"/>
        <w:rPr>
          <w:szCs w:val="22"/>
        </w:rPr>
      </w:pPr>
    </w:p>
    <w:p w14:paraId="2CD21856" w14:textId="77777777" w:rsidR="00390C16" w:rsidRPr="00257E5C" w:rsidRDefault="00390C16" w:rsidP="00E25A4C">
      <w:pPr>
        <w:pStyle w:val="Header"/>
        <w:rPr>
          <w:szCs w:val="22"/>
        </w:rPr>
      </w:pPr>
      <w:r w:rsidRPr="00257E5C">
        <w:rPr>
          <w:szCs w:val="22"/>
        </w:rPr>
        <w:t>Oštećenje renalne funkcije</w:t>
      </w:r>
    </w:p>
    <w:p w14:paraId="12FC6726" w14:textId="77777777" w:rsidR="00390C16" w:rsidRPr="00257E5C" w:rsidRDefault="00390C16" w:rsidP="00E25A4C">
      <w:pPr>
        <w:pStyle w:val="Header"/>
        <w:rPr>
          <w:szCs w:val="22"/>
        </w:rPr>
      </w:pPr>
    </w:p>
    <w:p w14:paraId="780DD05A" w14:textId="72289AA1" w:rsidR="00390C16" w:rsidRPr="00257E5C" w:rsidRDefault="00390C16" w:rsidP="00E25A4C">
      <w:pPr>
        <w:pStyle w:val="Header"/>
        <w:tabs>
          <w:tab w:val="clear" w:pos="4536"/>
          <w:tab w:val="clear" w:pos="9072"/>
          <w:tab w:val="left" w:pos="284"/>
        </w:tabs>
        <w:rPr>
          <w:szCs w:val="22"/>
        </w:rPr>
      </w:pPr>
      <w:r w:rsidRPr="00257E5C">
        <w:rPr>
          <w:szCs w:val="22"/>
        </w:rPr>
        <w:t>Raspoloživi podaci kod pacijenata sa um</w:t>
      </w:r>
      <w:r w:rsidR="0032510B" w:rsidRPr="00257E5C">
        <w:rPr>
          <w:szCs w:val="22"/>
        </w:rPr>
        <w:t>j</w:t>
      </w:r>
      <w:r w:rsidRPr="00257E5C">
        <w:rPr>
          <w:szCs w:val="22"/>
        </w:rPr>
        <w:t xml:space="preserve">erenom renalnom insuficijencijom su skromni i nema pouzdanih podataka sistemske izloženosti metforminu u ovoj podgupi pacijenata u poređenju sa pacijentima sa normalnom renalnom funkcijom. Prema tome, podešavanje doze treba da bude u skladu sa </w:t>
      </w:r>
      <w:r w:rsidR="00C35065" w:rsidRPr="00257E5C">
        <w:rPr>
          <w:szCs w:val="22"/>
        </w:rPr>
        <w:t>kliničkom</w:t>
      </w:r>
      <w:r w:rsidRPr="00257E5C">
        <w:rPr>
          <w:szCs w:val="22"/>
        </w:rPr>
        <w:t xml:space="preserve"> efikasnosti/podnošljivosti (vid</w:t>
      </w:r>
      <w:r w:rsidR="0032510B" w:rsidRPr="00257E5C">
        <w:rPr>
          <w:szCs w:val="22"/>
        </w:rPr>
        <w:t>j</w:t>
      </w:r>
      <w:r w:rsidRPr="00257E5C">
        <w:rPr>
          <w:szCs w:val="22"/>
        </w:rPr>
        <w:t xml:space="preserve">eti </w:t>
      </w:r>
      <w:r w:rsidR="00E23AC9" w:rsidRPr="00257E5C">
        <w:rPr>
          <w:szCs w:val="22"/>
        </w:rPr>
        <w:t>dio</w:t>
      </w:r>
      <w:r w:rsidRPr="00257E5C">
        <w:rPr>
          <w:szCs w:val="22"/>
        </w:rPr>
        <w:t xml:space="preserve"> 4.2).</w:t>
      </w:r>
    </w:p>
    <w:p w14:paraId="0770A760" w14:textId="77777777" w:rsidR="00CE09F3" w:rsidRPr="00257E5C" w:rsidRDefault="00CE09F3" w:rsidP="00E25A4C">
      <w:pPr>
        <w:rPr>
          <w:szCs w:val="22"/>
        </w:rPr>
      </w:pPr>
    </w:p>
    <w:p w14:paraId="07D1BD15" w14:textId="3B7F0EBA" w:rsidR="00CE09F3" w:rsidRPr="00257E5C" w:rsidRDefault="00CE09F3" w:rsidP="00E25A4C">
      <w:pPr>
        <w:rPr>
          <w:b/>
          <w:bCs/>
          <w:szCs w:val="22"/>
        </w:rPr>
      </w:pPr>
      <w:r w:rsidRPr="00257E5C">
        <w:rPr>
          <w:b/>
          <w:bCs/>
          <w:szCs w:val="22"/>
        </w:rPr>
        <w:t>5.3. Pretklinički podaci o bezb</w:t>
      </w:r>
      <w:r w:rsidR="0032510B" w:rsidRPr="00257E5C">
        <w:rPr>
          <w:b/>
          <w:bCs/>
          <w:szCs w:val="22"/>
        </w:rPr>
        <w:t>j</w:t>
      </w:r>
      <w:r w:rsidR="001B3C9E" w:rsidRPr="00257E5C">
        <w:rPr>
          <w:b/>
          <w:bCs/>
          <w:szCs w:val="22"/>
        </w:rPr>
        <w:t xml:space="preserve">ednosti </w:t>
      </w:r>
    </w:p>
    <w:p w14:paraId="144F92BE" w14:textId="77777777" w:rsidR="00390C16" w:rsidRPr="00257E5C" w:rsidRDefault="00390C16" w:rsidP="00E25A4C">
      <w:pPr>
        <w:rPr>
          <w:b/>
          <w:bCs/>
          <w:szCs w:val="22"/>
        </w:rPr>
      </w:pPr>
    </w:p>
    <w:p w14:paraId="4BBD3AC5" w14:textId="53DA61DD" w:rsidR="00390C16" w:rsidRPr="00257E5C" w:rsidRDefault="00390C16">
      <w:pPr>
        <w:tabs>
          <w:tab w:val="left" w:pos="540"/>
        </w:tabs>
        <w:rPr>
          <w:szCs w:val="22"/>
        </w:rPr>
      </w:pPr>
      <w:r w:rsidRPr="00257E5C">
        <w:rPr>
          <w:szCs w:val="22"/>
        </w:rPr>
        <w:t>Predklinički podaci o bezb</w:t>
      </w:r>
      <w:r w:rsidR="0032510B" w:rsidRPr="00257E5C">
        <w:rPr>
          <w:szCs w:val="22"/>
        </w:rPr>
        <w:t>j</w:t>
      </w:r>
      <w:r w:rsidRPr="00257E5C">
        <w:rPr>
          <w:szCs w:val="22"/>
        </w:rPr>
        <w:t>ednosti l</w:t>
      </w:r>
      <w:r w:rsidR="0032510B" w:rsidRPr="00257E5C">
        <w:rPr>
          <w:szCs w:val="22"/>
        </w:rPr>
        <w:t>ij</w:t>
      </w:r>
      <w:r w:rsidRPr="00257E5C">
        <w:rPr>
          <w:szCs w:val="22"/>
        </w:rPr>
        <w:t>eka, zasnovani na konvencionalnim farmakološkim studijama o bezb</w:t>
      </w:r>
      <w:r w:rsidR="0032510B" w:rsidRPr="00257E5C">
        <w:rPr>
          <w:szCs w:val="22"/>
        </w:rPr>
        <w:t>j</w:t>
      </w:r>
      <w:r w:rsidRPr="00257E5C">
        <w:rPr>
          <w:szCs w:val="22"/>
        </w:rPr>
        <w:t xml:space="preserve">ednosti, toksičnosti pri ponovljenim dozama, genotoksičnosti, karcinogenom potencijalu i reproduktivnoj toksičnosti, </w:t>
      </w:r>
      <w:r w:rsidR="00526D91" w:rsidRPr="00257E5C">
        <w:rPr>
          <w:szCs w:val="22"/>
        </w:rPr>
        <w:t>ne ukazuju na posebne rizike pri prim</w:t>
      </w:r>
      <w:r w:rsidR="00BD7688" w:rsidRPr="00257E5C">
        <w:rPr>
          <w:szCs w:val="22"/>
        </w:rPr>
        <w:t>j</w:t>
      </w:r>
      <w:r w:rsidR="00526D91" w:rsidRPr="00257E5C">
        <w:rPr>
          <w:szCs w:val="22"/>
        </w:rPr>
        <w:t>eni l</w:t>
      </w:r>
      <w:r w:rsidR="00BD7688" w:rsidRPr="00257E5C">
        <w:rPr>
          <w:szCs w:val="22"/>
        </w:rPr>
        <w:t>ij</w:t>
      </w:r>
      <w:r w:rsidR="00526D91" w:rsidRPr="00257E5C">
        <w:rPr>
          <w:szCs w:val="22"/>
        </w:rPr>
        <w:t>eka kod ljudi</w:t>
      </w:r>
      <w:r w:rsidRPr="00257E5C">
        <w:rPr>
          <w:szCs w:val="22"/>
        </w:rPr>
        <w:t>.</w:t>
      </w:r>
    </w:p>
    <w:p w14:paraId="68EE4DCF" w14:textId="323539F5" w:rsidR="00137369" w:rsidRPr="00257E5C" w:rsidRDefault="00137369">
      <w:pPr>
        <w:tabs>
          <w:tab w:val="left" w:pos="540"/>
        </w:tabs>
        <w:rPr>
          <w:szCs w:val="22"/>
        </w:rPr>
      </w:pPr>
    </w:p>
    <w:p w14:paraId="3EFD397B" w14:textId="77777777" w:rsidR="00137369" w:rsidRPr="00257E5C" w:rsidRDefault="00137369">
      <w:pPr>
        <w:tabs>
          <w:tab w:val="left" w:pos="540"/>
        </w:tabs>
        <w:rPr>
          <w:szCs w:val="22"/>
        </w:rPr>
      </w:pPr>
    </w:p>
    <w:p w14:paraId="35CE6B24" w14:textId="7AC63D31" w:rsidR="00CE09F3" w:rsidRPr="00257E5C" w:rsidRDefault="00CE09F3" w:rsidP="00E55771">
      <w:pPr>
        <w:pStyle w:val="NASLOV123"/>
        <w:spacing w:before="0" w:after="0"/>
        <w:jc w:val="both"/>
      </w:pPr>
      <w:r w:rsidRPr="00257E5C">
        <w:t xml:space="preserve">6. </w:t>
      </w:r>
      <w:r w:rsidR="001B3C9E" w:rsidRPr="00257E5C">
        <w:t xml:space="preserve">     </w:t>
      </w:r>
      <w:r w:rsidRPr="00257E5C">
        <w:t>FARMACEUTSKI PODACI</w:t>
      </w:r>
    </w:p>
    <w:p w14:paraId="768168EF" w14:textId="77777777" w:rsidR="00137369" w:rsidRPr="00257E5C" w:rsidRDefault="00137369" w:rsidP="00180D45">
      <w:pPr>
        <w:rPr>
          <w:b/>
          <w:bCs/>
          <w:szCs w:val="22"/>
        </w:rPr>
      </w:pPr>
    </w:p>
    <w:p w14:paraId="4AF127A8" w14:textId="67530205" w:rsidR="00CE09F3" w:rsidRPr="00257E5C" w:rsidRDefault="00CE09F3" w:rsidP="00180D45">
      <w:pPr>
        <w:rPr>
          <w:b/>
          <w:bCs/>
          <w:szCs w:val="22"/>
        </w:rPr>
      </w:pPr>
      <w:r w:rsidRPr="00257E5C">
        <w:rPr>
          <w:b/>
          <w:bCs/>
          <w:szCs w:val="22"/>
        </w:rPr>
        <w:t xml:space="preserve">6.1. </w:t>
      </w:r>
      <w:r w:rsidR="001B3C9E" w:rsidRPr="00257E5C">
        <w:rPr>
          <w:b/>
          <w:bCs/>
          <w:szCs w:val="22"/>
        </w:rPr>
        <w:t xml:space="preserve">  </w:t>
      </w:r>
      <w:r w:rsidRPr="00257E5C">
        <w:rPr>
          <w:b/>
          <w:bCs/>
          <w:szCs w:val="22"/>
        </w:rPr>
        <w:t>Lista pomoćnih supstanci</w:t>
      </w:r>
      <w:r w:rsidR="00A047F4" w:rsidRPr="00257E5C">
        <w:rPr>
          <w:b/>
          <w:bCs/>
          <w:szCs w:val="22"/>
        </w:rPr>
        <w:t xml:space="preserve"> (ekscipijenasa)</w:t>
      </w:r>
    </w:p>
    <w:p w14:paraId="208B413C" w14:textId="77777777" w:rsidR="00CE09F3" w:rsidRPr="00257E5C" w:rsidRDefault="00CE09F3" w:rsidP="00180D45">
      <w:pPr>
        <w:rPr>
          <w:szCs w:val="22"/>
        </w:rPr>
      </w:pPr>
    </w:p>
    <w:p w14:paraId="19524F2D" w14:textId="6C59179D" w:rsidR="00390C16" w:rsidRPr="00257E5C" w:rsidRDefault="00536174" w:rsidP="00180D45">
      <w:pPr>
        <w:pStyle w:val="Header"/>
        <w:tabs>
          <w:tab w:val="clear" w:pos="4536"/>
          <w:tab w:val="clear" w:pos="9072"/>
          <w:tab w:val="left" w:pos="284"/>
        </w:tabs>
        <w:rPr>
          <w:szCs w:val="22"/>
        </w:rPr>
      </w:pPr>
      <w:r w:rsidRPr="00257E5C">
        <w:rPr>
          <w:szCs w:val="22"/>
        </w:rPr>
        <w:t xml:space="preserve">Magnezijum </w:t>
      </w:r>
      <w:r w:rsidR="00390C16" w:rsidRPr="00257E5C">
        <w:rPr>
          <w:szCs w:val="22"/>
        </w:rPr>
        <w:t>stearat</w:t>
      </w:r>
    </w:p>
    <w:p w14:paraId="05B4238E" w14:textId="65CBCF58" w:rsidR="00390C16" w:rsidRPr="00257E5C" w:rsidRDefault="000B70E6" w:rsidP="00180D45">
      <w:pPr>
        <w:pStyle w:val="Header"/>
        <w:tabs>
          <w:tab w:val="clear" w:pos="4536"/>
          <w:tab w:val="clear" w:pos="9072"/>
          <w:tab w:val="left" w:pos="284"/>
        </w:tabs>
        <w:rPr>
          <w:szCs w:val="22"/>
        </w:rPr>
      </w:pPr>
      <w:r w:rsidRPr="00257E5C">
        <w:rPr>
          <w:szCs w:val="22"/>
        </w:rPr>
        <w:t>Karmeloza natrijum</w:t>
      </w:r>
    </w:p>
    <w:p w14:paraId="6AC4A685" w14:textId="77777777" w:rsidR="00390C16" w:rsidRPr="00257E5C" w:rsidRDefault="00390C16" w:rsidP="00180D45">
      <w:pPr>
        <w:pStyle w:val="Header"/>
        <w:tabs>
          <w:tab w:val="clear" w:pos="4536"/>
          <w:tab w:val="clear" w:pos="9072"/>
          <w:tab w:val="left" w:pos="284"/>
        </w:tabs>
        <w:rPr>
          <w:szCs w:val="22"/>
        </w:rPr>
      </w:pPr>
      <w:r w:rsidRPr="00257E5C">
        <w:rPr>
          <w:szCs w:val="22"/>
        </w:rPr>
        <w:t>Hipromeloza</w:t>
      </w:r>
    </w:p>
    <w:p w14:paraId="15353567" w14:textId="77777777" w:rsidR="00CE09F3" w:rsidRPr="00257E5C" w:rsidRDefault="00CE09F3" w:rsidP="00180D45">
      <w:pPr>
        <w:rPr>
          <w:szCs w:val="22"/>
        </w:rPr>
      </w:pPr>
    </w:p>
    <w:p w14:paraId="354E7846" w14:textId="094F50A0" w:rsidR="00CE09F3" w:rsidRPr="00257E5C" w:rsidRDefault="00CE09F3" w:rsidP="00180D45">
      <w:pPr>
        <w:rPr>
          <w:b/>
          <w:bCs/>
          <w:szCs w:val="22"/>
        </w:rPr>
      </w:pPr>
      <w:r w:rsidRPr="00257E5C">
        <w:rPr>
          <w:b/>
          <w:bCs/>
          <w:szCs w:val="22"/>
        </w:rPr>
        <w:t xml:space="preserve">6.2. </w:t>
      </w:r>
      <w:r w:rsidR="001B3C9E" w:rsidRPr="00257E5C">
        <w:rPr>
          <w:b/>
          <w:bCs/>
          <w:szCs w:val="22"/>
        </w:rPr>
        <w:t xml:space="preserve">  </w:t>
      </w:r>
      <w:r w:rsidRPr="00257E5C">
        <w:rPr>
          <w:b/>
          <w:bCs/>
          <w:szCs w:val="22"/>
        </w:rPr>
        <w:t>Inkompatibilnost</w:t>
      </w:r>
      <w:r w:rsidR="001B3C9E" w:rsidRPr="00257E5C">
        <w:rPr>
          <w:b/>
          <w:bCs/>
          <w:szCs w:val="22"/>
        </w:rPr>
        <w:t>i</w:t>
      </w:r>
    </w:p>
    <w:p w14:paraId="1E68F6B0" w14:textId="77777777" w:rsidR="00CE09F3" w:rsidRPr="00257E5C" w:rsidRDefault="00CE09F3" w:rsidP="00180D45">
      <w:pPr>
        <w:rPr>
          <w:szCs w:val="22"/>
        </w:rPr>
      </w:pPr>
    </w:p>
    <w:p w14:paraId="3BCC8EF0" w14:textId="6D0178E3" w:rsidR="00CE09F3" w:rsidRPr="00257E5C" w:rsidRDefault="00390C16" w:rsidP="00180D45">
      <w:pPr>
        <w:rPr>
          <w:szCs w:val="22"/>
        </w:rPr>
      </w:pPr>
      <w:r w:rsidRPr="00257E5C">
        <w:rPr>
          <w:szCs w:val="22"/>
        </w:rPr>
        <w:t>Ni</w:t>
      </w:r>
      <w:r w:rsidR="00137369" w:rsidRPr="00257E5C">
        <w:rPr>
          <w:szCs w:val="22"/>
        </w:rPr>
        <w:t>je primjenljivo</w:t>
      </w:r>
      <w:r w:rsidRPr="00257E5C">
        <w:rPr>
          <w:szCs w:val="22"/>
        </w:rPr>
        <w:t>.</w:t>
      </w:r>
    </w:p>
    <w:p w14:paraId="31944E3A" w14:textId="77777777" w:rsidR="00390C16" w:rsidRPr="00257E5C" w:rsidRDefault="00390C16" w:rsidP="00180D45">
      <w:pPr>
        <w:rPr>
          <w:szCs w:val="22"/>
        </w:rPr>
      </w:pPr>
    </w:p>
    <w:p w14:paraId="2189D406" w14:textId="42D4D07C" w:rsidR="00CE09F3" w:rsidRPr="00257E5C" w:rsidRDefault="00CE09F3" w:rsidP="00180D45">
      <w:pPr>
        <w:rPr>
          <w:b/>
          <w:bCs/>
          <w:szCs w:val="22"/>
        </w:rPr>
      </w:pPr>
      <w:r w:rsidRPr="00257E5C">
        <w:rPr>
          <w:b/>
          <w:bCs/>
          <w:szCs w:val="22"/>
        </w:rPr>
        <w:t xml:space="preserve">6.3. </w:t>
      </w:r>
      <w:r w:rsidR="001B3C9E" w:rsidRPr="00257E5C">
        <w:rPr>
          <w:b/>
          <w:bCs/>
          <w:szCs w:val="22"/>
        </w:rPr>
        <w:t xml:space="preserve">  </w:t>
      </w:r>
      <w:r w:rsidRPr="00257E5C">
        <w:rPr>
          <w:b/>
          <w:bCs/>
          <w:szCs w:val="22"/>
        </w:rPr>
        <w:t>Rok upotrebe</w:t>
      </w:r>
    </w:p>
    <w:p w14:paraId="3F97B290" w14:textId="77777777" w:rsidR="00390C16" w:rsidRPr="00257E5C" w:rsidRDefault="00390C16" w:rsidP="00180D45">
      <w:pPr>
        <w:rPr>
          <w:b/>
          <w:bCs/>
          <w:szCs w:val="22"/>
        </w:rPr>
      </w:pPr>
    </w:p>
    <w:p w14:paraId="39AA039F" w14:textId="7BE8B8A3" w:rsidR="00CE09F3" w:rsidRPr="00257E5C" w:rsidRDefault="00704B1C" w:rsidP="00180D45">
      <w:pPr>
        <w:rPr>
          <w:szCs w:val="22"/>
        </w:rPr>
      </w:pPr>
      <w:r w:rsidRPr="00257E5C">
        <w:rPr>
          <w:szCs w:val="22"/>
        </w:rPr>
        <w:t xml:space="preserve">4 </w:t>
      </w:r>
      <w:r w:rsidR="00390C16" w:rsidRPr="00257E5C">
        <w:rPr>
          <w:szCs w:val="22"/>
        </w:rPr>
        <w:t>godine.</w:t>
      </w:r>
    </w:p>
    <w:p w14:paraId="4A59C546" w14:textId="77777777" w:rsidR="00CE09F3" w:rsidRPr="00257E5C" w:rsidRDefault="00CE09F3" w:rsidP="00180D45">
      <w:pPr>
        <w:rPr>
          <w:szCs w:val="22"/>
        </w:rPr>
      </w:pPr>
    </w:p>
    <w:p w14:paraId="70F1F873" w14:textId="485387C2" w:rsidR="00CE09F3" w:rsidRPr="00257E5C" w:rsidRDefault="00CE09F3" w:rsidP="00180D45">
      <w:pPr>
        <w:rPr>
          <w:b/>
          <w:bCs/>
          <w:szCs w:val="22"/>
        </w:rPr>
      </w:pPr>
      <w:r w:rsidRPr="00257E5C">
        <w:rPr>
          <w:b/>
          <w:bCs/>
          <w:szCs w:val="22"/>
        </w:rPr>
        <w:t xml:space="preserve">6.4. </w:t>
      </w:r>
      <w:r w:rsidR="001B3C9E" w:rsidRPr="00257E5C">
        <w:rPr>
          <w:b/>
          <w:bCs/>
          <w:szCs w:val="22"/>
        </w:rPr>
        <w:t xml:space="preserve">  </w:t>
      </w:r>
      <w:r w:rsidR="00A047F4" w:rsidRPr="00257E5C">
        <w:rPr>
          <w:b/>
          <w:bCs/>
          <w:szCs w:val="22"/>
        </w:rPr>
        <w:t>Posebne mjere upozorenja pri čuvanju lijeka</w:t>
      </w:r>
    </w:p>
    <w:p w14:paraId="0DD554CF" w14:textId="77777777" w:rsidR="00CE09F3" w:rsidRPr="00257E5C" w:rsidRDefault="00CE09F3" w:rsidP="00180D45">
      <w:pPr>
        <w:rPr>
          <w:szCs w:val="22"/>
        </w:rPr>
      </w:pPr>
    </w:p>
    <w:p w14:paraId="4C233495" w14:textId="3BB62FB7" w:rsidR="00390C16" w:rsidRPr="00257E5C" w:rsidRDefault="000B70E6" w:rsidP="00180D45">
      <w:pPr>
        <w:rPr>
          <w:szCs w:val="22"/>
        </w:rPr>
      </w:pPr>
      <w:r w:rsidRPr="00257E5C">
        <w:rPr>
          <w:szCs w:val="22"/>
        </w:rPr>
        <w:t>L</w:t>
      </w:r>
      <w:r w:rsidR="0032510B" w:rsidRPr="00257E5C">
        <w:rPr>
          <w:szCs w:val="22"/>
        </w:rPr>
        <w:t>ij</w:t>
      </w:r>
      <w:r w:rsidR="00390C16" w:rsidRPr="00257E5C">
        <w:rPr>
          <w:szCs w:val="22"/>
        </w:rPr>
        <w:t>ek ne zaht</w:t>
      </w:r>
      <w:r w:rsidR="00137369" w:rsidRPr="00257E5C">
        <w:rPr>
          <w:szCs w:val="22"/>
        </w:rPr>
        <w:t>i</w:t>
      </w:r>
      <w:r w:rsidR="0032510B" w:rsidRPr="00257E5C">
        <w:rPr>
          <w:szCs w:val="22"/>
        </w:rPr>
        <w:t>j</w:t>
      </w:r>
      <w:r w:rsidR="00390C16" w:rsidRPr="00257E5C">
        <w:rPr>
          <w:szCs w:val="22"/>
        </w:rPr>
        <w:t xml:space="preserve">eva posebne </w:t>
      </w:r>
      <w:r w:rsidR="00536174" w:rsidRPr="00257E5C">
        <w:rPr>
          <w:szCs w:val="22"/>
        </w:rPr>
        <w:t>uslove</w:t>
      </w:r>
      <w:r w:rsidR="00390C16" w:rsidRPr="00257E5C">
        <w:rPr>
          <w:szCs w:val="22"/>
        </w:rPr>
        <w:t xml:space="preserve"> čuvanja</w:t>
      </w:r>
      <w:r w:rsidR="008F4B35">
        <w:rPr>
          <w:szCs w:val="22"/>
        </w:rPr>
        <w:t>.</w:t>
      </w:r>
    </w:p>
    <w:p w14:paraId="7DA5187C" w14:textId="77777777" w:rsidR="00CE09F3" w:rsidRPr="00257E5C" w:rsidRDefault="00CE09F3" w:rsidP="00180D45">
      <w:pPr>
        <w:rPr>
          <w:szCs w:val="22"/>
        </w:rPr>
      </w:pPr>
    </w:p>
    <w:p w14:paraId="5CF55107" w14:textId="4A326A4F" w:rsidR="001B3C9E" w:rsidRPr="00257E5C" w:rsidRDefault="0022223A" w:rsidP="00180D45">
      <w:pPr>
        <w:tabs>
          <w:tab w:val="left" w:pos="540"/>
          <w:tab w:val="left" w:pos="569"/>
        </w:tabs>
        <w:rPr>
          <w:b/>
          <w:bCs/>
          <w:szCs w:val="22"/>
        </w:rPr>
      </w:pPr>
      <w:r w:rsidRPr="00257E5C">
        <w:rPr>
          <w:b/>
          <w:bCs/>
          <w:szCs w:val="22"/>
        </w:rPr>
        <w:t xml:space="preserve">6.5. </w:t>
      </w:r>
      <w:r w:rsidR="001B3C9E" w:rsidRPr="00257E5C">
        <w:rPr>
          <w:b/>
          <w:bCs/>
          <w:szCs w:val="22"/>
        </w:rPr>
        <w:t xml:space="preserve">  Vrsta i sadržaj pakovanja</w:t>
      </w:r>
    </w:p>
    <w:p w14:paraId="14A9BD28" w14:textId="71622368" w:rsidR="00CE09F3" w:rsidRPr="00257E5C" w:rsidRDefault="00CE09F3" w:rsidP="00180D45">
      <w:pPr>
        <w:rPr>
          <w:szCs w:val="22"/>
        </w:rPr>
      </w:pPr>
    </w:p>
    <w:p w14:paraId="473A704D" w14:textId="77777777" w:rsidR="008C4ABA" w:rsidRPr="00257E5C" w:rsidRDefault="008C4ABA" w:rsidP="00180D45">
      <w:pPr>
        <w:widowControl w:val="0"/>
        <w:tabs>
          <w:tab w:val="clear" w:pos="284"/>
        </w:tabs>
        <w:autoSpaceDE w:val="0"/>
        <w:autoSpaceDN w:val="0"/>
        <w:spacing w:before="1" w:line="251" w:lineRule="exact"/>
        <w:rPr>
          <w:szCs w:val="22"/>
          <w:u w:val="single"/>
        </w:rPr>
      </w:pPr>
      <w:r w:rsidRPr="00257E5C">
        <w:rPr>
          <w:szCs w:val="22"/>
          <w:u w:val="single"/>
        </w:rPr>
        <w:t>Glucophage</w:t>
      </w:r>
      <w:r w:rsidRPr="00257E5C">
        <w:rPr>
          <w:spacing w:val="-5"/>
          <w:szCs w:val="22"/>
          <w:u w:val="single"/>
        </w:rPr>
        <w:t xml:space="preserve"> </w:t>
      </w:r>
      <w:r w:rsidRPr="00257E5C">
        <w:rPr>
          <w:szCs w:val="22"/>
          <w:u w:val="single"/>
        </w:rPr>
        <w:t>XR,</w:t>
      </w:r>
      <w:r w:rsidRPr="00257E5C">
        <w:rPr>
          <w:spacing w:val="-5"/>
          <w:szCs w:val="22"/>
          <w:u w:val="single"/>
        </w:rPr>
        <w:t xml:space="preserve"> </w:t>
      </w:r>
      <w:r w:rsidRPr="00257E5C">
        <w:rPr>
          <w:szCs w:val="22"/>
          <w:u w:val="single"/>
        </w:rPr>
        <w:t>500</w:t>
      </w:r>
      <w:r w:rsidRPr="00257E5C">
        <w:rPr>
          <w:spacing w:val="-5"/>
          <w:szCs w:val="22"/>
          <w:u w:val="single"/>
        </w:rPr>
        <w:t xml:space="preserve"> mg:</w:t>
      </w:r>
    </w:p>
    <w:p w14:paraId="27F31C21" w14:textId="7C159F06" w:rsidR="008C4ABA" w:rsidRPr="00257E5C" w:rsidRDefault="008C4ABA" w:rsidP="00180D45">
      <w:pPr>
        <w:widowControl w:val="0"/>
        <w:tabs>
          <w:tab w:val="clear" w:pos="284"/>
        </w:tabs>
        <w:autoSpaceDE w:val="0"/>
        <w:autoSpaceDN w:val="0"/>
        <w:spacing w:line="251" w:lineRule="exact"/>
        <w:rPr>
          <w:szCs w:val="22"/>
        </w:rPr>
      </w:pPr>
      <w:r w:rsidRPr="00257E5C">
        <w:rPr>
          <w:szCs w:val="22"/>
        </w:rPr>
        <w:t>Unutrašnje</w:t>
      </w:r>
      <w:r w:rsidRPr="00257E5C">
        <w:rPr>
          <w:spacing w:val="-10"/>
          <w:szCs w:val="22"/>
        </w:rPr>
        <w:t xml:space="preserve"> </w:t>
      </w:r>
      <w:r w:rsidRPr="00257E5C">
        <w:rPr>
          <w:szCs w:val="22"/>
        </w:rPr>
        <w:t>pakovanje</w:t>
      </w:r>
      <w:r w:rsidRPr="00257E5C">
        <w:rPr>
          <w:spacing w:val="-9"/>
          <w:szCs w:val="22"/>
        </w:rPr>
        <w:t xml:space="preserve"> </w:t>
      </w:r>
      <w:r w:rsidRPr="00257E5C">
        <w:rPr>
          <w:szCs w:val="22"/>
        </w:rPr>
        <w:t>lijeka</w:t>
      </w:r>
      <w:r w:rsidRPr="00257E5C">
        <w:rPr>
          <w:spacing w:val="-9"/>
          <w:szCs w:val="22"/>
        </w:rPr>
        <w:t xml:space="preserve"> </w:t>
      </w:r>
      <w:r w:rsidRPr="00257E5C">
        <w:rPr>
          <w:szCs w:val="22"/>
        </w:rPr>
        <w:t>je</w:t>
      </w:r>
      <w:r w:rsidRPr="00257E5C">
        <w:rPr>
          <w:spacing w:val="-6"/>
          <w:szCs w:val="22"/>
        </w:rPr>
        <w:t xml:space="preserve"> </w:t>
      </w:r>
      <w:r w:rsidRPr="00257E5C">
        <w:rPr>
          <w:szCs w:val="22"/>
        </w:rPr>
        <w:t>PVC/PVDC-aluminijumski</w:t>
      </w:r>
      <w:r w:rsidRPr="00257E5C">
        <w:rPr>
          <w:spacing w:val="-9"/>
          <w:szCs w:val="22"/>
        </w:rPr>
        <w:t xml:space="preserve"> </w:t>
      </w:r>
      <w:r w:rsidRPr="00257E5C">
        <w:rPr>
          <w:spacing w:val="-2"/>
          <w:szCs w:val="22"/>
        </w:rPr>
        <w:t>blister</w:t>
      </w:r>
      <w:r w:rsidR="00137369" w:rsidRPr="00257E5C">
        <w:rPr>
          <w:spacing w:val="-2"/>
          <w:szCs w:val="22"/>
        </w:rPr>
        <w:t xml:space="preserve"> koji sadrži 15 tableta </w:t>
      </w:r>
      <w:r w:rsidR="000C0AD1" w:rsidRPr="00257E5C">
        <w:rPr>
          <w:spacing w:val="-2"/>
          <w:szCs w:val="22"/>
        </w:rPr>
        <w:t>sa produženim oslobađanjem</w:t>
      </w:r>
      <w:r w:rsidRPr="00257E5C">
        <w:rPr>
          <w:spacing w:val="-2"/>
          <w:szCs w:val="22"/>
        </w:rPr>
        <w:t>.</w:t>
      </w:r>
    </w:p>
    <w:p w14:paraId="348AF5E1" w14:textId="646B9D54" w:rsidR="008C4ABA" w:rsidRPr="00257E5C" w:rsidRDefault="008C4ABA" w:rsidP="00180D45">
      <w:pPr>
        <w:widowControl w:val="0"/>
        <w:tabs>
          <w:tab w:val="clear" w:pos="284"/>
        </w:tabs>
        <w:autoSpaceDE w:val="0"/>
        <w:autoSpaceDN w:val="0"/>
        <w:spacing w:before="1"/>
        <w:ind w:right="275"/>
        <w:rPr>
          <w:szCs w:val="22"/>
        </w:rPr>
      </w:pPr>
      <w:r w:rsidRPr="00257E5C">
        <w:rPr>
          <w:szCs w:val="22"/>
        </w:rPr>
        <w:t>Spoljašnje</w:t>
      </w:r>
      <w:r w:rsidRPr="00257E5C">
        <w:rPr>
          <w:spacing w:val="-3"/>
          <w:szCs w:val="22"/>
        </w:rPr>
        <w:t xml:space="preserve"> </w:t>
      </w:r>
      <w:r w:rsidRPr="00257E5C">
        <w:rPr>
          <w:szCs w:val="22"/>
        </w:rPr>
        <w:t>pakovanje</w:t>
      </w:r>
      <w:r w:rsidRPr="00257E5C">
        <w:rPr>
          <w:spacing w:val="-3"/>
          <w:szCs w:val="22"/>
        </w:rPr>
        <w:t xml:space="preserve"> </w:t>
      </w:r>
      <w:r w:rsidRPr="00257E5C">
        <w:rPr>
          <w:szCs w:val="22"/>
        </w:rPr>
        <w:t>lijeka</w:t>
      </w:r>
      <w:r w:rsidRPr="00257E5C">
        <w:rPr>
          <w:spacing w:val="-9"/>
          <w:szCs w:val="22"/>
        </w:rPr>
        <w:t xml:space="preserve"> </w:t>
      </w:r>
      <w:r w:rsidRPr="00257E5C">
        <w:rPr>
          <w:szCs w:val="22"/>
        </w:rPr>
        <w:t>je</w:t>
      </w:r>
      <w:r w:rsidRPr="00257E5C">
        <w:rPr>
          <w:spacing w:val="-3"/>
          <w:szCs w:val="22"/>
        </w:rPr>
        <w:t xml:space="preserve"> </w:t>
      </w:r>
      <w:r w:rsidRPr="00257E5C">
        <w:rPr>
          <w:szCs w:val="22"/>
        </w:rPr>
        <w:t>složiva</w:t>
      </w:r>
      <w:r w:rsidRPr="00257E5C">
        <w:rPr>
          <w:spacing w:val="-3"/>
          <w:szCs w:val="22"/>
        </w:rPr>
        <w:t xml:space="preserve"> </w:t>
      </w:r>
      <w:r w:rsidRPr="00257E5C">
        <w:rPr>
          <w:szCs w:val="22"/>
        </w:rPr>
        <w:t>kartonska</w:t>
      </w:r>
      <w:r w:rsidRPr="00257E5C">
        <w:rPr>
          <w:spacing w:val="-3"/>
          <w:szCs w:val="22"/>
        </w:rPr>
        <w:t xml:space="preserve"> </w:t>
      </w:r>
      <w:r w:rsidRPr="00257E5C">
        <w:rPr>
          <w:szCs w:val="22"/>
        </w:rPr>
        <w:t>kutija</w:t>
      </w:r>
      <w:r w:rsidRPr="00257E5C">
        <w:rPr>
          <w:spacing w:val="-3"/>
          <w:szCs w:val="22"/>
        </w:rPr>
        <w:t xml:space="preserve"> </w:t>
      </w:r>
      <w:r w:rsidRPr="00257E5C">
        <w:rPr>
          <w:szCs w:val="22"/>
        </w:rPr>
        <w:t>u</w:t>
      </w:r>
      <w:r w:rsidRPr="00257E5C">
        <w:rPr>
          <w:spacing w:val="-3"/>
          <w:szCs w:val="22"/>
        </w:rPr>
        <w:t xml:space="preserve"> </w:t>
      </w:r>
      <w:r w:rsidRPr="00257E5C">
        <w:rPr>
          <w:szCs w:val="22"/>
        </w:rPr>
        <w:t>kojoj</w:t>
      </w:r>
      <w:r w:rsidRPr="00257E5C">
        <w:rPr>
          <w:spacing w:val="-3"/>
          <w:szCs w:val="22"/>
        </w:rPr>
        <w:t xml:space="preserve"> </w:t>
      </w:r>
      <w:r w:rsidRPr="00257E5C">
        <w:rPr>
          <w:szCs w:val="22"/>
        </w:rPr>
        <w:t>se</w:t>
      </w:r>
      <w:r w:rsidRPr="00257E5C">
        <w:rPr>
          <w:spacing w:val="-3"/>
          <w:szCs w:val="22"/>
        </w:rPr>
        <w:t xml:space="preserve"> </w:t>
      </w:r>
      <w:r w:rsidRPr="00257E5C">
        <w:rPr>
          <w:szCs w:val="22"/>
        </w:rPr>
        <w:t>nalazi</w:t>
      </w:r>
      <w:r w:rsidRPr="00257E5C">
        <w:rPr>
          <w:spacing w:val="-3"/>
          <w:szCs w:val="22"/>
        </w:rPr>
        <w:t xml:space="preserve"> </w:t>
      </w:r>
      <w:r w:rsidRPr="00257E5C">
        <w:rPr>
          <w:szCs w:val="22"/>
        </w:rPr>
        <w:t>2</w:t>
      </w:r>
      <w:r w:rsidRPr="00257E5C">
        <w:rPr>
          <w:spacing w:val="-3"/>
          <w:szCs w:val="22"/>
        </w:rPr>
        <w:t xml:space="preserve"> </w:t>
      </w:r>
      <w:r w:rsidRPr="00257E5C">
        <w:rPr>
          <w:szCs w:val="22"/>
        </w:rPr>
        <w:t>blistera</w:t>
      </w:r>
      <w:r w:rsidRPr="00257E5C">
        <w:rPr>
          <w:spacing w:val="-3"/>
          <w:szCs w:val="22"/>
        </w:rPr>
        <w:t xml:space="preserve"> </w:t>
      </w:r>
      <w:r w:rsidRPr="00257E5C">
        <w:rPr>
          <w:szCs w:val="22"/>
        </w:rPr>
        <w:t>sa</w:t>
      </w:r>
      <w:r w:rsidRPr="00257E5C">
        <w:rPr>
          <w:spacing w:val="-3"/>
          <w:szCs w:val="22"/>
        </w:rPr>
        <w:t xml:space="preserve"> </w:t>
      </w:r>
      <w:r w:rsidRPr="00257E5C">
        <w:rPr>
          <w:szCs w:val="22"/>
        </w:rPr>
        <w:t>po</w:t>
      </w:r>
      <w:r w:rsidRPr="00257E5C">
        <w:rPr>
          <w:spacing w:val="-3"/>
          <w:szCs w:val="22"/>
        </w:rPr>
        <w:t xml:space="preserve"> </w:t>
      </w:r>
      <w:r w:rsidRPr="00257E5C">
        <w:rPr>
          <w:szCs w:val="22"/>
        </w:rPr>
        <w:t>15</w:t>
      </w:r>
      <w:r w:rsidRPr="00257E5C">
        <w:rPr>
          <w:spacing w:val="-3"/>
          <w:szCs w:val="22"/>
        </w:rPr>
        <w:t xml:space="preserve"> </w:t>
      </w:r>
      <w:r w:rsidRPr="00257E5C">
        <w:rPr>
          <w:szCs w:val="22"/>
        </w:rPr>
        <w:t>tableta</w:t>
      </w:r>
      <w:r w:rsidR="00137369" w:rsidRPr="00257E5C">
        <w:rPr>
          <w:szCs w:val="22"/>
        </w:rPr>
        <w:t xml:space="preserve"> (uku</w:t>
      </w:r>
      <w:r w:rsidR="000C0AD1" w:rsidRPr="00257E5C">
        <w:rPr>
          <w:szCs w:val="22"/>
        </w:rPr>
        <w:t>pno 30 tableta sa produženim oslobađanjem)</w:t>
      </w:r>
      <w:r w:rsidRPr="00257E5C">
        <w:rPr>
          <w:spacing w:val="-3"/>
          <w:szCs w:val="22"/>
        </w:rPr>
        <w:t xml:space="preserve"> </w:t>
      </w:r>
      <w:r w:rsidRPr="00257E5C">
        <w:rPr>
          <w:szCs w:val="22"/>
        </w:rPr>
        <w:t>i</w:t>
      </w:r>
      <w:r w:rsidRPr="00257E5C">
        <w:rPr>
          <w:spacing w:val="-3"/>
          <w:szCs w:val="22"/>
        </w:rPr>
        <w:t xml:space="preserve"> </w:t>
      </w:r>
      <w:r w:rsidRPr="00257E5C">
        <w:rPr>
          <w:szCs w:val="22"/>
        </w:rPr>
        <w:t>Uputstvo za lijek.</w:t>
      </w:r>
    </w:p>
    <w:p w14:paraId="5207950D" w14:textId="673DA785" w:rsidR="008C4ABA" w:rsidRPr="00257E5C" w:rsidRDefault="008C4ABA" w:rsidP="00180D45">
      <w:pPr>
        <w:widowControl w:val="0"/>
        <w:tabs>
          <w:tab w:val="clear" w:pos="284"/>
        </w:tabs>
        <w:autoSpaceDE w:val="0"/>
        <w:autoSpaceDN w:val="0"/>
        <w:spacing w:before="11"/>
        <w:rPr>
          <w:szCs w:val="22"/>
        </w:rPr>
      </w:pPr>
    </w:p>
    <w:p w14:paraId="07EDE52C" w14:textId="6F62531F" w:rsidR="008C4ABA" w:rsidRPr="00257E5C" w:rsidRDefault="008C4ABA" w:rsidP="00180D45">
      <w:pPr>
        <w:widowControl w:val="0"/>
        <w:tabs>
          <w:tab w:val="clear" w:pos="284"/>
        </w:tabs>
        <w:autoSpaceDE w:val="0"/>
        <w:autoSpaceDN w:val="0"/>
        <w:rPr>
          <w:szCs w:val="22"/>
          <w:u w:val="single"/>
        </w:rPr>
      </w:pPr>
      <w:r w:rsidRPr="00257E5C">
        <w:rPr>
          <w:szCs w:val="22"/>
          <w:u w:val="single"/>
        </w:rPr>
        <w:t>Glucophage</w:t>
      </w:r>
      <w:r w:rsidRPr="00257E5C">
        <w:rPr>
          <w:spacing w:val="-5"/>
          <w:szCs w:val="22"/>
          <w:u w:val="single"/>
        </w:rPr>
        <w:t xml:space="preserve"> </w:t>
      </w:r>
      <w:r w:rsidRPr="00257E5C">
        <w:rPr>
          <w:szCs w:val="22"/>
          <w:u w:val="single"/>
        </w:rPr>
        <w:t>XR,</w:t>
      </w:r>
      <w:r w:rsidRPr="00257E5C">
        <w:rPr>
          <w:spacing w:val="-3"/>
          <w:szCs w:val="22"/>
          <w:u w:val="single"/>
        </w:rPr>
        <w:t xml:space="preserve"> </w:t>
      </w:r>
      <w:r w:rsidRPr="00257E5C">
        <w:rPr>
          <w:szCs w:val="22"/>
          <w:u w:val="single"/>
        </w:rPr>
        <w:t>750</w:t>
      </w:r>
      <w:r w:rsidRPr="00257E5C">
        <w:rPr>
          <w:spacing w:val="-3"/>
          <w:szCs w:val="22"/>
          <w:u w:val="single"/>
        </w:rPr>
        <w:t xml:space="preserve"> </w:t>
      </w:r>
      <w:r w:rsidRPr="00257E5C">
        <w:rPr>
          <w:spacing w:val="-5"/>
          <w:szCs w:val="22"/>
          <w:u w:val="single"/>
        </w:rPr>
        <w:t>mg:</w:t>
      </w:r>
    </w:p>
    <w:p w14:paraId="4D303783" w14:textId="320AC229" w:rsidR="000C0AD1" w:rsidRPr="00257E5C" w:rsidRDefault="008C4ABA" w:rsidP="000C0AD1">
      <w:pPr>
        <w:widowControl w:val="0"/>
        <w:tabs>
          <w:tab w:val="clear" w:pos="284"/>
        </w:tabs>
        <w:autoSpaceDE w:val="0"/>
        <w:autoSpaceDN w:val="0"/>
        <w:spacing w:line="251" w:lineRule="exact"/>
        <w:rPr>
          <w:szCs w:val="22"/>
        </w:rPr>
      </w:pPr>
      <w:r w:rsidRPr="00257E5C">
        <w:rPr>
          <w:szCs w:val="22"/>
        </w:rPr>
        <w:t>Unutrašnje</w:t>
      </w:r>
      <w:r w:rsidRPr="00257E5C">
        <w:rPr>
          <w:spacing w:val="-10"/>
          <w:szCs w:val="22"/>
        </w:rPr>
        <w:t xml:space="preserve"> </w:t>
      </w:r>
      <w:r w:rsidRPr="00257E5C">
        <w:rPr>
          <w:szCs w:val="22"/>
        </w:rPr>
        <w:t>pakovanje</w:t>
      </w:r>
      <w:r w:rsidRPr="00257E5C">
        <w:rPr>
          <w:spacing w:val="-9"/>
          <w:szCs w:val="22"/>
        </w:rPr>
        <w:t xml:space="preserve"> </w:t>
      </w:r>
      <w:r w:rsidRPr="00257E5C">
        <w:rPr>
          <w:szCs w:val="22"/>
        </w:rPr>
        <w:t>lijeka</w:t>
      </w:r>
      <w:r w:rsidRPr="00257E5C">
        <w:rPr>
          <w:spacing w:val="-9"/>
          <w:szCs w:val="22"/>
        </w:rPr>
        <w:t xml:space="preserve"> </w:t>
      </w:r>
      <w:r w:rsidRPr="00257E5C">
        <w:rPr>
          <w:szCs w:val="22"/>
        </w:rPr>
        <w:t>je</w:t>
      </w:r>
      <w:r w:rsidRPr="00257E5C">
        <w:rPr>
          <w:spacing w:val="-7"/>
          <w:szCs w:val="22"/>
        </w:rPr>
        <w:t xml:space="preserve"> </w:t>
      </w:r>
      <w:r w:rsidRPr="00257E5C">
        <w:rPr>
          <w:szCs w:val="22"/>
        </w:rPr>
        <w:t>PVC/PVDC-aluminijumski</w:t>
      </w:r>
      <w:r w:rsidRPr="00257E5C">
        <w:rPr>
          <w:spacing w:val="-8"/>
          <w:szCs w:val="22"/>
        </w:rPr>
        <w:t xml:space="preserve"> </w:t>
      </w:r>
      <w:r w:rsidRPr="00257E5C">
        <w:rPr>
          <w:spacing w:val="-2"/>
          <w:szCs w:val="22"/>
        </w:rPr>
        <w:t>blister</w:t>
      </w:r>
      <w:r w:rsidR="000C0AD1" w:rsidRPr="00257E5C">
        <w:rPr>
          <w:spacing w:val="-2"/>
          <w:szCs w:val="22"/>
        </w:rPr>
        <w:t xml:space="preserve"> koji sadrži 15 tableta sa produženim oslobađanjem.</w:t>
      </w:r>
    </w:p>
    <w:p w14:paraId="681144EE" w14:textId="77777777" w:rsidR="00EA66A4" w:rsidRPr="00257E5C" w:rsidRDefault="00EA66A4" w:rsidP="00180D45">
      <w:pPr>
        <w:widowControl w:val="0"/>
        <w:tabs>
          <w:tab w:val="clear" w:pos="284"/>
        </w:tabs>
        <w:autoSpaceDE w:val="0"/>
        <w:autoSpaceDN w:val="0"/>
        <w:spacing w:before="4" w:line="237" w:lineRule="auto"/>
        <w:ind w:right="241"/>
        <w:rPr>
          <w:szCs w:val="22"/>
        </w:rPr>
      </w:pPr>
    </w:p>
    <w:p w14:paraId="07A90F30" w14:textId="0FC3DD66" w:rsidR="008C4ABA" w:rsidRPr="00257E5C" w:rsidRDefault="008C4ABA" w:rsidP="00180D45">
      <w:pPr>
        <w:widowControl w:val="0"/>
        <w:tabs>
          <w:tab w:val="clear" w:pos="284"/>
        </w:tabs>
        <w:autoSpaceDE w:val="0"/>
        <w:autoSpaceDN w:val="0"/>
        <w:spacing w:before="4" w:line="237" w:lineRule="auto"/>
        <w:ind w:right="241"/>
        <w:rPr>
          <w:szCs w:val="22"/>
        </w:rPr>
      </w:pPr>
      <w:r w:rsidRPr="00257E5C">
        <w:rPr>
          <w:szCs w:val="22"/>
        </w:rPr>
        <w:lastRenderedPageBreak/>
        <w:t>Spoljašnje pakovanje lijeka</w:t>
      </w:r>
      <w:r w:rsidRPr="00257E5C">
        <w:rPr>
          <w:spacing w:val="-9"/>
          <w:szCs w:val="22"/>
        </w:rPr>
        <w:t xml:space="preserve"> </w:t>
      </w:r>
      <w:r w:rsidRPr="00257E5C">
        <w:rPr>
          <w:szCs w:val="22"/>
        </w:rPr>
        <w:t>je složiva kartonska kutija u kojoj se nalazi 2 blistera sa po 15 tableta</w:t>
      </w:r>
      <w:r w:rsidR="000C0AD1" w:rsidRPr="00257E5C">
        <w:rPr>
          <w:szCs w:val="22"/>
        </w:rPr>
        <w:t xml:space="preserve"> (ukupno 30 tableta sa produženim oslobađanjem</w:t>
      </w:r>
      <w:r w:rsidR="000B70E6" w:rsidRPr="00257E5C">
        <w:rPr>
          <w:szCs w:val="22"/>
        </w:rPr>
        <w:t>)</w:t>
      </w:r>
      <w:r w:rsidR="000C0AD1" w:rsidRPr="00257E5C">
        <w:rPr>
          <w:szCs w:val="22"/>
        </w:rPr>
        <w:t xml:space="preserve"> </w:t>
      </w:r>
      <w:r w:rsidR="000B70E6" w:rsidRPr="00257E5C">
        <w:rPr>
          <w:szCs w:val="22"/>
        </w:rPr>
        <w:t>i</w:t>
      </w:r>
      <w:r w:rsidRPr="00257E5C">
        <w:rPr>
          <w:szCs w:val="22"/>
        </w:rPr>
        <w:t xml:space="preserve"> Uputstvo</w:t>
      </w:r>
      <w:r w:rsidRPr="00257E5C">
        <w:rPr>
          <w:spacing w:val="40"/>
          <w:szCs w:val="22"/>
        </w:rPr>
        <w:t xml:space="preserve"> </w:t>
      </w:r>
      <w:r w:rsidRPr="00257E5C">
        <w:rPr>
          <w:szCs w:val="22"/>
        </w:rPr>
        <w:t>za lijek.</w:t>
      </w:r>
    </w:p>
    <w:p w14:paraId="7BB848B3" w14:textId="77777777" w:rsidR="008C4ABA" w:rsidRPr="00257E5C" w:rsidRDefault="008C4ABA" w:rsidP="00180D45">
      <w:pPr>
        <w:widowControl w:val="0"/>
        <w:tabs>
          <w:tab w:val="clear" w:pos="284"/>
        </w:tabs>
        <w:autoSpaceDE w:val="0"/>
        <w:autoSpaceDN w:val="0"/>
        <w:spacing w:before="2"/>
        <w:rPr>
          <w:szCs w:val="22"/>
        </w:rPr>
      </w:pPr>
    </w:p>
    <w:p w14:paraId="67C9F7EE" w14:textId="77777777" w:rsidR="008C4ABA" w:rsidRPr="00257E5C" w:rsidRDefault="008C4ABA" w:rsidP="00180D45">
      <w:pPr>
        <w:widowControl w:val="0"/>
        <w:tabs>
          <w:tab w:val="clear" w:pos="284"/>
        </w:tabs>
        <w:autoSpaceDE w:val="0"/>
        <w:autoSpaceDN w:val="0"/>
        <w:rPr>
          <w:szCs w:val="22"/>
          <w:u w:val="single"/>
        </w:rPr>
      </w:pPr>
      <w:r w:rsidRPr="00257E5C">
        <w:rPr>
          <w:szCs w:val="22"/>
          <w:u w:val="single"/>
        </w:rPr>
        <w:t>Glucophage</w:t>
      </w:r>
      <w:r w:rsidRPr="00257E5C">
        <w:rPr>
          <w:spacing w:val="-6"/>
          <w:szCs w:val="22"/>
          <w:u w:val="single"/>
        </w:rPr>
        <w:t xml:space="preserve"> </w:t>
      </w:r>
      <w:r w:rsidRPr="00257E5C">
        <w:rPr>
          <w:szCs w:val="22"/>
          <w:u w:val="single"/>
        </w:rPr>
        <w:t>XR,</w:t>
      </w:r>
      <w:r w:rsidRPr="00257E5C">
        <w:rPr>
          <w:spacing w:val="-4"/>
          <w:szCs w:val="22"/>
          <w:u w:val="single"/>
        </w:rPr>
        <w:t xml:space="preserve"> </w:t>
      </w:r>
      <w:r w:rsidRPr="00257E5C">
        <w:rPr>
          <w:szCs w:val="22"/>
          <w:u w:val="single"/>
        </w:rPr>
        <w:t>1000</w:t>
      </w:r>
      <w:r w:rsidRPr="00257E5C">
        <w:rPr>
          <w:spacing w:val="-6"/>
          <w:szCs w:val="22"/>
          <w:u w:val="single"/>
        </w:rPr>
        <w:t xml:space="preserve"> </w:t>
      </w:r>
      <w:r w:rsidRPr="00257E5C">
        <w:rPr>
          <w:spacing w:val="-5"/>
          <w:szCs w:val="22"/>
          <w:u w:val="single"/>
        </w:rPr>
        <w:t>mg:</w:t>
      </w:r>
    </w:p>
    <w:p w14:paraId="736480F6" w14:textId="3CA91362" w:rsidR="000C0AD1" w:rsidRPr="00257E5C" w:rsidRDefault="008C4ABA" w:rsidP="000C0AD1">
      <w:pPr>
        <w:widowControl w:val="0"/>
        <w:tabs>
          <w:tab w:val="clear" w:pos="284"/>
        </w:tabs>
        <w:autoSpaceDE w:val="0"/>
        <w:autoSpaceDN w:val="0"/>
        <w:spacing w:line="251" w:lineRule="exact"/>
        <w:rPr>
          <w:szCs w:val="22"/>
        </w:rPr>
      </w:pPr>
      <w:r w:rsidRPr="00257E5C">
        <w:rPr>
          <w:szCs w:val="22"/>
        </w:rPr>
        <w:t>Unutrašnje</w:t>
      </w:r>
      <w:r w:rsidRPr="00257E5C">
        <w:rPr>
          <w:spacing w:val="-10"/>
          <w:szCs w:val="22"/>
        </w:rPr>
        <w:t xml:space="preserve"> </w:t>
      </w:r>
      <w:r w:rsidRPr="00257E5C">
        <w:rPr>
          <w:szCs w:val="22"/>
        </w:rPr>
        <w:t>pakovanje</w:t>
      </w:r>
      <w:r w:rsidRPr="00257E5C">
        <w:rPr>
          <w:spacing w:val="-9"/>
          <w:szCs w:val="22"/>
        </w:rPr>
        <w:t xml:space="preserve"> </w:t>
      </w:r>
      <w:r w:rsidRPr="00257E5C">
        <w:rPr>
          <w:szCs w:val="22"/>
        </w:rPr>
        <w:t>lijeka</w:t>
      </w:r>
      <w:r w:rsidRPr="00257E5C">
        <w:rPr>
          <w:spacing w:val="-9"/>
          <w:szCs w:val="22"/>
        </w:rPr>
        <w:t xml:space="preserve"> </w:t>
      </w:r>
      <w:r w:rsidRPr="00257E5C">
        <w:rPr>
          <w:szCs w:val="22"/>
        </w:rPr>
        <w:t>je</w:t>
      </w:r>
      <w:r w:rsidRPr="00257E5C">
        <w:rPr>
          <w:spacing w:val="-6"/>
          <w:szCs w:val="22"/>
        </w:rPr>
        <w:t xml:space="preserve"> </w:t>
      </w:r>
      <w:r w:rsidRPr="00257E5C">
        <w:rPr>
          <w:szCs w:val="22"/>
        </w:rPr>
        <w:t>PVC/PVDC-aluminijumski</w:t>
      </w:r>
      <w:r w:rsidRPr="00257E5C">
        <w:rPr>
          <w:spacing w:val="-7"/>
          <w:szCs w:val="22"/>
        </w:rPr>
        <w:t xml:space="preserve"> </w:t>
      </w:r>
      <w:r w:rsidRPr="00257E5C">
        <w:rPr>
          <w:spacing w:val="-2"/>
          <w:szCs w:val="22"/>
        </w:rPr>
        <w:t>blister</w:t>
      </w:r>
      <w:r w:rsidR="000C0AD1" w:rsidRPr="00257E5C">
        <w:rPr>
          <w:spacing w:val="-2"/>
          <w:szCs w:val="22"/>
        </w:rPr>
        <w:t xml:space="preserve"> koji sadrži 10 tableta sa produženim oslobađanjem.</w:t>
      </w:r>
    </w:p>
    <w:p w14:paraId="15D309E2" w14:textId="50DB2305" w:rsidR="008C4ABA" w:rsidRPr="00257E5C" w:rsidRDefault="008C4ABA" w:rsidP="00180D45">
      <w:pPr>
        <w:widowControl w:val="0"/>
        <w:tabs>
          <w:tab w:val="clear" w:pos="284"/>
        </w:tabs>
        <w:autoSpaceDE w:val="0"/>
        <w:autoSpaceDN w:val="0"/>
        <w:ind w:right="275"/>
        <w:rPr>
          <w:szCs w:val="22"/>
        </w:rPr>
      </w:pPr>
      <w:r w:rsidRPr="00257E5C">
        <w:rPr>
          <w:szCs w:val="22"/>
        </w:rPr>
        <w:t>Spoljašnje</w:t>
      </w:r>
      <w:r w:rsidRPr="00257E5C">
        <w:rPr>
          <w:spacing w:val="-3"/>
          <w:szCs w:val="22"/>
        </w:rPr>
        <w:t xml:space="preserve"> </w:t>
      </w:r>
      <w:r w:rsidRPr="00257E5C">
        <w:rPr>
          <w:szCs w:val="22"/>
        </w:rPr>
        <w:t>pakovanje</w:t>
      </w:r>
      <w:r w:rsidRPr="00257E5C">
        <w:rPr>
          <w:spacing w:val="-3"/>
          <w:szCs w:val="22"/>
        </w:rPr>
        <w:t xml:space="preserve"> </w:t>
      </w:r>
      <w:r w:rsidRPr="00257E5C">
        <w:rPr>
          <w:szCs w:val="22"/>
        </w:rPr>
        <w:t>lijeka</w:t>
      </w:r>
      <w:r w:rsidRPr="00257E5C">
        <w:rPr>
          <w:spacing w:val="-9"/>
          <w:szCs w:val="22"/>
        </w:rPr>
        <w:t xml:space="preserve"> </w:t>
      </w:r>
      <w:r w:rsidRPr="00257E5C">
        <w:rPr>
          <w:szCs w:val="22"/>
        </w:rPr>
        <w:t>je</w:t>
      </w:r>
      <w:r w:rsidRPr="00257E5C">
        <w:rPr>
          <w:spacing w:val="-3"/>
          <w:szCs w:val="22"/>
        </w:rPr>
        <w:t xml:space="preserve"> </w:t>
      </w:r>
      <w:r w:rsidRPr="00257E5C">
        <w:rPr>
          <w:szCs w:val="22"/>
        </w:rPr>
        <w:t>složiva</w:t>
      </w:r>
      <w:r w:rsidRPr="00257E5C">
        <w:rPr>
          <w:spacing w:val="-3"/>
          <w:szCs w:val="22"/>
        </w:rPr>
        <w:t xml:space="preserve"> </w:t>
      </w:r>
      <w:r w:rsidRPr="00257E5C">
        <w:rPr>
          <w:szCs w:val="22"/>
        </w:rPr>
        <w:t>kartonska</w:t>
      </w:r>
      <w:r w:rsidRPr="00257E5C">
        <w:rPr>
          <w:spacing w:val="-3"/>
          <w:szCs w:val="22"/>
        </w:rPr>
        <w:t xml:space="preserve"> </w:t>
      </w:r>
      <w:r w:rsidRPr="00257E5C">
        <w:rPr>
          <w:szCs w:val="22"/>
        </w:rPr>
        <w:t>kutija</w:t>
      </w:r>
      <w:r w:rsidRPr="00257E5C">
        <w:rPr>
          <w:spacing w:val="-3"/>
          <w:szCs w:val="22"/>
        </w:rPr>
        <w:t xml:space="preserve"> </w:t>
      </w:r>
      <w:r w:rsidRPr="00257E5C">
        <w:rPr>
          <w:szCs w:val="22"/>
        </w:rPr>
        <w:t>u</w:t>
      </w:r>
      <w:r w:rsidRPr="00257E5C">
        <w:rPr>
          <w:spacing w:val="-3"/>
          <w:szCs w:val="22"/>
        </w:rPr>
        <w:t xml:space="preserve"> </w:t>
      </w:r>
      <w:r w:rsidRPr="00257E5C">
        <w:rPr>
          <w:szCs w:val="22"/>
        </w:rPr>
        <w:t>kojoj</w:t>
      </w:r>
      <w:r w:rsidRPr="00257E5C">
        <w:rPr>
          <w:spacing w:val="-3"/>
          <w:szCs w:val="22"/>
        </w:rPr>
        <w:t xml:space="preserve"> </w:t>
      </w:r>
      <w:r w:rsidRPr="00257E5C">
        <w:rPr>
          <w:szCs w:val="22"/>
        </w:rPr>
        <w:t>se</w:t>
      </w:r>
      <w:r w:rsidRPr="00257E5C">
        <w:rPr>
          <w:spacing w:val="-3"/>
          <w:szCs w:val="22"/>
        </w:rPr>
        <w:t xml:space="preserve"> </w:t>
      </w:r>
      <w:r w:rsidRPr="00257E5C">
        <w:rPr>
          <w:szCs w:val="22"/>
        </w:rPr>
        <w:t>nalazi</w:t>
      </w:r>
      <w:r w:rsidRPr="00257E5C">
        <w:rPr>
          <w:spacing w:val="-3"/>
          <w:szCs w:val="22"/>
        </w:rPr>
        <w:t xml:space="preserve"> </w:t>
      </w:r>
      <w:r w:rsidRPr="00257E5C">
        <w:rPr>
          <w:szCs w:val="22"/>
        </w:rPr>
        <w:t>3</w:t>
      </w:r>
      <w:r w:rsidRPr="00257E5C">
        <w:rPr>
          <w:spacing w:val="-3"/>
          <w:szCs w:val="22"/>
        </w:rPr>
        <w:t xml:space="preserve"> </w:t>
      </w:r>
      <w:r w:rsidRPr="00257E5C">
        <w:rPr>
          <w:szCs w:val="22"/>
        </w:rPr>
        <w:t>blistera</w:t>
      </w:r>
      <w:r w:rsidRPr="00257E5C">
        <w:rPr>
          <w:spacing w:val="-3"/>
          <w:szCs w:val="22"/>
        </w:rPr>
        <w:t xml:space="preserve"> </w:t>
      </w:r>
      <w:r w:rsidRPr="00257E5C">
        <w:rPr>
          <w:szCs w:val="22"/>
        </w:rPr>
        <w:t>sa</w:t>
      </w:r>
      <w:r w:rsidRPr="00257E5C">
        <w:rPr>
          <w:spacing w:val="-3"/>
          <w:szCs w:val="22"/>
        </w:rPr>
        <w:t xml:space="preserve"> </w:t>
      </w:r>
      <w:r w:rsidRPr="00257E5C">
        <w:rPr>
          <w:szCs w:val="22"/>
        </w:rPr>
        <w:t>po</w:t>
      </w:r>
      <w:r w:rsidRPr="00257E5C">
        <w:rPr>
          <w:spacing w:val="-3"/>
          <w:szCs w:val="22"/>
        </w:rPr>
        <w:t xml:space="preserve"> </w:t>
      </w:r>
      <w:r w:rsidRPr="00257E5C">
        <w:rPr>
          <w:szCs w:val="22"/>
        </w:rPr>
        <w:t>10</w:t>
      </w:r>
      <w:r w:rsidRPr="00257E5C">
        <w:rPr>
          <w:spacing w:val="-3"/>
          <w:szCs w:val="22"/>
        </w:rPr>
        <w:t xml:space="preserve"> </w:t>
      </w:r>
      <w:r w:rsidRPr="00257E5C">
        <w:rPr>
          <w:szCs w:val="22"/>
        </w:rPr>
        <w:t>tableta</w:t>
      </w:r>
      <w:r w:rsidR="000C0AD1" w:rsidRPr="00257E5C">
        <w:rPr>
          <w:szCs w:val="22"/>
        </w:rPr>
        <w:t xml:space="preserve"> (ukupno 30 tableta sa produženim oslobađanjem)</w:t>
      </w:r>
      <w:r w:rsidRPr="00257E5C">
        <w:rPr>
          <w:spacing w:val="-3"/>
          <w:szCs w:val="22"/>
        </w:rPr>
        <w:t xml:space="preserve"> </w:t>
      </w:r>
      <w:r w:rsidRPr="00257E5C">
        <w:rPr>
          <w:szCs w:val="22"/>
        </w:rPr>
        <w:t>i</w:t>
      </w:r>
      <w:r w:rsidRPr="00257E5C">
        <w:rPr>
          <w:spacing w:val="-3"/>
          <w:szCs w:val="22"/>
        </w:rPr>
        <w:t xml:space="preserve"> </w:t>
      </w:r>
      <w:r w:rsidRPr="00257E5C">
        <w:rPr>
          <w:szCs w:val="22"/>
        </w:rPr>
        <w:t>Uputstvo za lijek.</w:t>
      </w:r>
    </w:p>
    <w:p w14:paraId="48425D29" w14:textId="77777777" w:rsidR="00390C16" w:rsidRPr="00257E5C" w:rsidRDefault="00390C16" w:rsidP="00180D45">
      <w:pPr>
        <w:rPr>
          <w:szCs w:val="22"/>
        </w:rPr>
      </w:pPr>
    </w:p>
    <w:p w14:paraId="5A7A43FF" w14:textId="478C063A" w:rsidR="00D63EFE" w:rsidRPr="00257E5C" w:rsidRDefault="00CE09F3" w:rsidP="00180D45">
      <w:pPr>
        <w:tabs>
          <w:tab w:val="left" w:pos="540"/>
          <w:tab w:val="left" w:pos="569"/>
        </w:tabs>
        <w:rPr>
          <w:b/>
          <w:bCs/>
          <w:szCs w:val="22"/>
        </w:rPr>
      </w:pPr>
      <w:r w:rsidRPr="00257E5C">
        <w:rPr>
          <w:b/>
          <w:bCs/>
          <w:szCs w:val="22"/>
        </w:rPr>
        <w:t xml:space="preserve">6.6. </w:t>
      </w:r>
      <w:r w:rsidR="00D63EFE" w:rsidRPr="00257E5C">
        <w:rPr>
          <w:b/>
          <w:bCs/>
          <w:szCs w:val="22"/>
        </w:rPr>
        <w:t xml:space="preserve">  </w:t>
      </w:r>
      <w:r w:rsidR="00A047F4" w:rsidRPr="00257E5C">
        <w:rPr>
          <w:b/>
          <w:bCs/>
          <w:szCs w:val="22"/>
        </w:rPr>
        <w:t>Posebne mjere opreza pri odlaganju materijala koji treba odbaciti nakon primjene lijeka (i druga uputstva za rukovanje lijekom)</w:t>
      </w:r>
    </w:p>
    <w:p w14:paraId="43E329F5" w14:textId="77777777" w:rsidR="00390C16" w:rsidRPr="00257E5C" w:rsidRDefault="00390C16" w:rsidP="00180D45">
      <w:pPr>
        <w:numPr>
          <w:ilvl w:val="12"/>
          <w:numId w:val="0"/>
        </w:numPr>
        <w:ind w:right="-2"/>
        <w:rPr>
          <w:szCs w:val="22"/>
        </w:rPr>
      </w:pPr>
    </w:p>
    <w:p w14:paraId="06A08072" w14:textId="1945B6C1" w:rsidR="000B70E6" w:rsidRPr="00257E5C" w:rsidRDefault="000B70E6" w:rsidP="000B70E6">
      <w:pPr>
        <w:numPr>
          <w:ilvl w:val="12"/>
          <w:numId w:val="0"/>
        </w:numPr>
        <w:ind w:right="-2"/>
        <w:rPr>
          <w:szCs w:val="22"/>
        </w:rPr>
      </w:pPr>
      <w:r w:rsidRPr="00257E5C">
        <w:rPr>
          <w:szCs w:val="22"/>
        </w:rPr>
        <w:t>Svu neiskorišćenu količinu l</w:t>
      </w:r>
      <w:r w:rsidR="00F917CA" w:rsidRPr="00257E5C">
        <w:rPr>
          <w:szCs w:val="22"/>
        </w:rPr>
        <w:t>ij</w:t>
      </w:r>
      <w:r w:rsidRPr="00257E5C">
        <w:rPr>
          <w:szCs w:val="22"/>
        </w:rPr>
        <w:t>eka ili otpadnog materijala nakon njegove upotrebe treba ukloniti, u skladu sa</w:t>
      </w:r>
    </w:p>
    <w:p w14:paraId="7CCD850D" w14:textId="733FAFDD" w:rsidR="00390C16" w:rsidRPr="00257E5C" w:rsidRDefault="000B70E6">
      <w:pPr>
        <w:numPr>
          <w:ilvl w:val="12"/>
          <w:numId w:val="0"/>
        </w:numPr>
        <w:ind w:right="-2"/>
        <w:rPr>
          <w:szCs w:val="22"/>
        </w:rPr>
      </w:pPr>
      <w:r w:rsidRPr="00257E5C">
        <w:rPr>
          <w:szCs w:val="22"/>
        </w:rPr>
        <w:t>važećim propisima</w:t>
      </w:r>
      <w:r w:rsidR="00390C16" w:rsidRPr="00257E5C">
        <w:rPr>
          <w:szCs w:val="22"/>
        </w:rPr>
        <w:t>.</w:t>
      </w:r>
    </w:p>
    <w:p w14:paraId="447963E3" w14:textId="74A70279" w:rsidR="00D10C87" w:rsidRPr="00257E5C" w:rsidRDefault="00D10C87">
      <w:pPr>
        <w:numPr>
          <w:ilvl w:val="12"/>
          <w:numId w:val="0"/>
        </w:numPr>
        <w:ind w:right="-2"/>
        <w:rPr>
          <w:szCs w:val="22"/>
        </w:rPr>
      </w:pPr>
    </w:p>
    <w:p w14:paraId="4616C1DC" w14:textId="77777777" w:rsidR="000C0AD1" w:rsidRPr="00257E5C" w:rsidRDefault="000C0AD1">
      <w:pPr>
        <w:numPr>
          <w:ilvl w:val="12"/>
          <w:numId w:val="0"/>
        </w:numPr>
        <w:ind w:right="-2"/>
        <w:rPr>
          <w:szCs w:val="22"/>
        </w:rPr>
      </w:pPr>
    </w:p>
    <w:p w14:paraId="1924835A" w14:textId="77777777" w:rsidR="00CE09F3" w:rsidRPr="00257E5C" w:rsidRDefault="00CE09F3" w:rsidP="00E55771">
      <w:pPr>
        <w:pStyle w:val="NASLOV123"/>
        <w:spacing w:before="0" w:after="0"/>
        <w:jc w:val="both"/>
      </w:pPr>
      <w:r w:rsidRPr="00257E5C">
        <w:t xml:space="preserve">7. NOSILAC DOZVOLE </w:t>
      </w:r>
    </w:p>
    <w:p w14:paraId="6D9BA900" w14:textId="77777777" w:rsidR="000C0AD1" w:rsidRPr="00257E5C" w:rsidRDefault="000C0AD1" w:rsidP="00180D45">
      <w:pPr>
        <w:pStyle w:val="Header"/>
        <w:tabs>
          <w:tab w:val="clear" w:pos="4536"/>
          <w:tab w:val="clear" w:pos="9072"/>
          <w:tab w:val="left" w:pos="284"/>
        </w:tabs>
        <w:rPr>
          <w:szCs w:val="22"/>
        </w:rPr>
      </w:pPr>
    </w:p>
    <w:p w14:paraId="28CFC1EE" w14:textId="5FDE48CC" w:rsidR="00390C16" w:rsidRPr="00257E5C" w:rsidRDefault="000C0AD1" w:rsidP="00180D45">
      <w:pPr>
        <w:pStyle w:val="Header"/>
        <w:tabs>
          <w:tab w:val="clear" w:pos="4536"/>
          <w:tab w:val="clear" w:pos="9072"/>
          <w:tab w:val="left" w:pos="284"/>
        </w:tabs>
        <w:rPr>
          <w:szCs w:val="22"/>
        </w:rPr>
      </w:pPr>
      <w:r w:rsidRPr="00257E5C">
        <w:rPr>
          <w:szCs w:val="22"/>
        </w:rPr>
        <w:t>„</w:t>
      </w:r>
      <w:r w:rsidR="00390C16" w:rsidRPr="00257E5C">
        <w:rPr>
          <w:szCs w:val="22"/>
        </w:rPr>
        <w:t>Merck</w:t>
      </w:r>
      <w:r w:rsidRPr="00257E5C">
        <w:rPr>
          <w:szCs w:val="22"/>
        </w:rPr>
        <w:t>“</w:t>
      </w:r>
      <w:r w:rsidR="00390C16" w:rsidRPr="00257E5C">
        <w:rPr>
          <w:szCs w:val="22"/>
        </w:rPr>
        <w:t xml:space="preserve"> d.o.o.</w:t>
      </w:r>
      <w:r w:rsidR="00D63EFE" w:rsidRPr="00257E5C">
        <w:rPr>
          <w:szCs w:val="22"/>
        </w:rPr>
        <w:t xml:space="preserve"> Beograd</w:t>
      </w:r>
      <w:r w:rsidRPr="00257E5C">
        <w:rPr>
          <w:szCs w:val="22"/>
        </w:rPr>
        <w:t xml:space="preserve"> </w:t>
      </w:r>
      <w:r w:rsidR="00D63EFE" w:rsidRPr="00257E5C">
        <w:rPr>
          <w:szCs w:val="22"/>
        </w:rPr>
        <w:t xml:space="preserve">- </w:t>
      </w:r>
      <w:r w:rsidR="00887535" w:rsidRPr="00257E5C">
        <w:rPr>
          <w:szCs w:val="22"/>
        </w:rPr>
        <w:t>d</w:t>
      </w:r>
      <w:r w:rsidR="00D63EFE" w:rsidRPr="00257E5C">
        <w:rPr>
          <w:szCs w:val="22"/>
        </w:rPr>
        <w:t>io stranog društva u Podgorici</w:t>
      </w:r>
    </w:p>
    <w:p w14:paraId="15967614" w14:textId="4648C4F9" w:rsidR="00CE09F3" w:rsidRPr="00257E5C" w:rsidRDefault="00D63EFE" w:rsidP="00E55771">
      <w:pPr>
        <w:pStyle w:val="Header"/>
        <w:tabs>
          <w:tab w:val="clear" w:pos="4536"/>
          <w:tab w:val="clear" w:pos="9072"/>
          <w:tab w:val="left" w:pos="284"/>
        </w:tabs>
        <w:rPr>
          <w:szCs w:val="22"/>
        </w:rPr>
      </w:pPr>
      <w:r w:rsidRPr="00257E5C">
        <w:rPr>
          <w:szCs w:val="22"/>
        </w:rPr>
        <w:t>Serdara Jola Piletića 8,</w:t>
      </w:r>
      <w:r w:rsidR="000C0AD1" w:rsidRPr="00257E5C">
        <w:rPr>
          <w:szCs w:val="22"/>
        </w:rPr>
        <w:t xml:space="preserve"> </w:t>
      </w:r>
      <w:r w:rsidRPr="00257E5C">
        <w:rPr>
          <w:szCs w:val="22"/>
        </w:rPr>
        <w:t>81 000 Podgorica</w:t>
      </w:r>
      <w:r w:rsidR="000C0AD1" w:rsidRPr="00257E5C">
        <w:rPr>
          <w:szCs w:val="22"/>
        </w:rPr>
        <w:t>, Crna Gora</w:t>
      </w:r>
    </w:p>
    <w:p w14:paraId="483C9144" w14:textId="3BF2FC31" w:rsidR="00CE09F3" w:rsidRPr="00257E5C" w:rsidRDefault="00CE09F3">
      <w:pPr>
        <w:rPr>
          <w:szCs w:val="22"/>
        </w:rPr>
      </w:pPr>
    </w:p>
    <w:p w14:paraId="73C1B59F" w14:textId="77777777" w:rsidR="000C0AD1" w:rsidRPr="00257E5C" w:rsidRDefault="000C0AD1">
      <w:pPr>
        <w:rPr>
          <w:szCs w:val="22"/>
        </w:rPr>
      </w:pPr>
    </w:p>
    <w:p w14:paraId="569DB9CA" w14:textId="67297B31" w:rsidR="00CE09F3" w:rsidRPr="00257E5C" w:rsidRDefault="00CE09F3" w:rsidP="00E55771">
      <w:pPr>
        <w:pStyle w:val="NASLOV123"/>
        <w:spacing w:before="0" w:after="0"/>
        <w:jc w:val="both"/>
      </w:pPr>
      <w:r w:rsidRPr="00257E5C">
        <w:t xml:space="preserve">8. </w:t>
      </w:r>
      <w:r w:rsidR="00887535" w:rsidRPr="00257E5C">
        <w:rPr>
          <w:bCs/>
        </w:rPr>
        <w:t>BROJ DOZVOLE ZA STAVLJANJE LIJEKA U PROMET</w:t>
      </w:r>
    </w:p>
    <w:p w14:paraId="719B0CF2" w14:textId="77777777" w:rsidR="000C0AD1" w:rsidRPr="00257E5C" w:rsidRDefault="000C0AD1" w:rsidP="00180D45">
      <w:pPr>
        <w:rPr>
          <w:szCs w:val="22"/>
        </w:rPr>
      </w:pPr>
    </w:p>
    <w:p w14:paraId="6C524992" w14:textId="60F10B30" w:rsidR="00AC137D" w:rsidRPr="00257E5C" w:rsidRDefault="00AC137D" w:rsidP="00180D45">
      <w:pPr>
        <w:rPr>
          <w:szCs w:val="22"/>
        </w:rPr>
      </w:pPr>
      <w:r w:rsidRPr="00257E5C">
        <w:rPr>
          <w:szCs w:val="22"/>
        </w:rPr>
        <w:t>Glucophage XR, tableta sa produženim oslobađanjem, 500</w:t>
      </w:r>
      <w:r w:rsidR="000C0AD1" w:rsidRPr="00257E5C">
        <w:rPr>
          <w:szCs w:val="22"/>
        </w:rPr>
        <w:t xml:space="preserve"> </w:t>
      </w:r>
      <w:r w:rsidRPr="00257E5C">
        <w:rPr>
          <w:szCs w:val="22"/>
        </w:rPr>
        <w:t xml:space="preserve">mg, blister, 30 tableta: </w:t>
      </w:r>
      <w:r w:rsidR="00EA66A4" w:rsidRPr="00257E5C">
        <w:rPr>
          <w:szCs w:val="22"/>
        </w:rPr>
        <w:t>2030/25/2508 - 2379</w:t>
      </w:r>
    </w:p>
    <w:p w14:paraId="638659DC" w14:textId="02C7A9F8" w:rsidR="00AC137D" w:rsidRPr="00257E5C" w:rsidRDefault="00AC137D" w:rsidP="00180D45">
      <w:pPr>
        <w:rPr>
          <w:szCs w:val="22"/>
        </w:rPr>
      </w:pPr>
      <w:r w:rsidRPr="00257E5C">
        <w:rPr>
          <w:szCs w:val="22"/>
        </w:rPr>
        <w:t>Glucophage XR, tableta sa produženim oslobađanjem, 750</w:t>
      </w:r>
      <w:r w:rsidR="000C0AD1" w:rsidRPr="00257E5C">
        <w:rPr>
          <w:szCs w:val="22"/>
        </w:rPr>
        <w:t xml:space="preserve"> </w:t>
      </w:r>
      <w:r w:rsidRPr="00257E5C">
        <w:rPr>
          <w:szCs w:val="22"/>
        </w:rPr>
        <w:t xml:space="preserve">mg, blister, 30 tableta: </w:t>
      </w:r>
      <w:r w:rsidR="00EA66A4" w:rsidRPr="00257E5C">
        <w:rPr>
          <w:szCs w:val="22"/>
        </w:rPr>
        <w:t>2030/25/2509 - 2377</w:t>
      </w:r>
    </w:p>
    <w:p w14:paraId="070DCA16" w14:textId="30CC0797" w:rsidR="00AC137D" w:rsidRPr="00257E5C" w:rsidRDefault="00AC137D">
      <w:pPr>
        <w:rPr>
          <w:szCs w:val="22"/>
        </w:rPr>
      </w:pPr>
      <w:r w:rsidRPr="00257E5C">
        <w:rPr>
          <w:szCs w:val="22"/>
        </w:rPr>
        <w:t>Glucophage XR, tableta sa produženim oslobađanjem, 1000</w:t>
      </w:r>
      <w:r w:rsidR="000C0AD1" w:rsidRPr="00257E5C">
        <w:rPr>
          <w:szCs w:val="22"/>
        </w:rPr>
        <w:t xml:space="preserve"> </w:t>
      </w:r>
      <w:r w:rsidRPr="00257E5C">
        <w:rPr>
          <w:szCs w:val="22"/>
        </w:rPr>
        <w:t xml:space="preserve">mg, blister, 30 tableta: </w:t>
      </w:r>
      <w:r w:rsidR="00EA66A4" w:rsidRPr="00257E5C">
        <w:rPr>
          <w:szCs w:val="22"/>
        </w:rPr>
        <w:t>2030/25/2510 - 2378</w:t>
      </w:r>
    </w:p>
    <w:p w14:paraId="370E71BA" w14:textId="02090986" w:rsidR="00AC137D" w:rsidRPr="00257E5C" w:rsidRDefault="00AC137D">
      <w:pPr>
        <w:rPr>
          <w:szCs w:val="22"/>
        </w:rPr>
      </w:pPr>
    </w:p>
    <w:p w14:paraId="2FBF0630" w14:textId="77777777" w:rsidR="000C0AD1" w:rsidRPr="00257E5C" w:rsidRDefault="000C0AD1">
      <w:pPr>
        <w:rPr>
          <w:szCs w:val="22"/>
        </w:rPr>
      </w:pPr>
    </w:p>
    <w:p w14:paraId="51AC311E" w14:textId="050F58A9" w:rsidR="00CE09F3" w:rsidRPr="00257E5C" w:rsidRDefault="00CE09F3" w:rsidP="00E55771">
      <w:pPr>
        <w:pStyle w:val="NASLOV123"/>
        <w:spacing w:before="0" w:after="0"/>
        <w:jc w:val="both"/>
      </w:pPr>
      <w:r w:rsidRPr="00257E5C">
        <w:t xml:space="preserve">9. </w:t>
      </w:r>
      <w:r w:rsidR="00887535" w:rsidRPr="00257E5C">
        <w:rPr>
          <w:bCs/>
        </w:rPr>
        <w:t>DATUM PRVE DOZVOLE/OBNOVE DOZVOLE ZA STAVLJANJE LIJEKA U PROMET</w:t>
      </w:r>
    </w:p>
    <w:p w14:paraId="5845B052" w14:textId="77777777" w:rsidR="000C0AD1" w:rsidRPr="00257E5C" w:rsidRDefault="000C0AD1" w:rsidP="00180D45">
      <w:pPr>
        <w:rPr>
          <w:szCs w:val="22"/>
        </w:rPr>
      </w:pPr>
    </w:p>
    <w:p w14:paraId="5E085337" w14:textId="0CF38D6D" w:rsidR="00AC137D" w:rsidRPr="00257E5C" w:rsidRDefault="008C4ABA" w:rsidP="00180D45">
      <w:pPr>
        <w:rPr>
          <w:szCs w:val="22"/>
        </w:rPr>
      </w:pPr>
      <w:r w:rsidRPr="00257E5C">
        <w:rPr>
          <w:szCs w:val="22"/>
        </w:rPr>
        <w:t>Datum prve dozvole</w:t>
      </w:r>
      <w:r w:rsidR="00AC137D" w:rsidRPr="00257E5C">
        <w:rPr>
          <w:szCs w:val="22"/>
        </w:rPr>
        <w:t>: 16.01.2017.</w:t>
      </w:r>
      <w:r w:rsidR="003E79D2">
        <w:rPr>
          <w:szCs w:val="22"/>
        </w:rPr>
        <w:t xml:space="preserve"> godine</w:t>
      </w:r>
    </w:p>
    <w:p w14:paraId="3F65EBAD" w14:textId="441D00B5" w:rsidR="008C4ABA" w:rsidRPr="00257E5C" w:rsidRDefault="008C4ABA">
      <w:pPr>
        <w:rPr>
          <w:szCs w:val="22"/>
        </w:rPr>
      </w:pPr>
      <w:r w:rsidRPr="00257E5C">
        <w:rPr>
          <w:szCs w:val="22"/>
        </w:rPr>
        <w:t>Datum posljednje obnove dozvole:</w:t>
      </w:r>
      <w:r w:rsidR="00EA66A4" w:rsidRPr="00257E5C">
        <w:rPr>
          <w:szCs w:val="22"/>
        </w:rPr>
        <w:t xml:space="preserve"> </w:t>
      </w:r>
      <w:r w:rsidR="0081057D">
        <w:t>28</w:t>
      </w:r>
      <w:bookmarkStart w:id="10" w:name="_GoBack"/>
      <w:bookmarkEnd w:id="10"/>
      <w:r w:rsidR="00257E5C">
        <w:t>.07.2025. godine</w:t>
      </w:r>
    </w:p>
    <w:p w14:paraId="0D75C97F" w14:textId="77777777" w:rsidR="000C0AD1" w:rsidRPr="00257E5C" w:rsidRDefault="000C0AD1" w:rsidP="00E55771">
      <w:pPr>
        <w:pStyle w:val="NASLOV123"/>
        <w:spacing w:before="0" w:after="0"/>
        <w:jc w:val="both"/>
      </w:pPr>
    </w:p>
    <w:p w14:paraId="7ED50368" w14:textId="77777777" w:rsidR="000C0AD1" w:rsidRPr="00257E5C" w:rsidRDefault="000C0AD1" w:rsidP="00E55771">
      <w:pPr>
        <w:pStyle w:val="NASLOV123"/>
        <w:spacing w:before="0" w:after="0"/>
        <w:jc w:val="both"/>
      </w:pPr>
    </w:p>
    <w:p w14:paraId="484D4C17" w14:textId="1FD30E36" w:rsidR="00CE09F3" w:rsidRPr="00257E5C" w:rsidRDefault="00CE09F3" w:rsidP="00E55771">
      <w:pPr>
        <w:pStyle w:val="NASLOV123"/>
        <w:spacing w:before="0" w:after="0"/>
        <w:jc w:val="both"/>
      </w:pPr>
      <w:r w:rsidRPr="00257E5C">
        <w:t>10. DATUM REVIZIJE TEKSTA</w:t>
      </w:r>
    </w:p>
    <w:p w14:paraId="63F524C4" w14:textId="14AC6DE5" w:rsidR="00923865" w:rsidRPr="00257E5C" w:rsidRDefault="00923865" w:rsidP="00180D45">
      <w:pPr>
        <w:rPr>
          <w:bCs/>
          <w:szCs w:val="22"/>
        </w:rPr>
      </w:pPr>
    </w:p>
    <w:p w14:paraId="360099B2" w14:textId="7C570DEB" w:rsidR="00EA66A4" w:rsidRPr="00257E5C" w:rsidRDefault="00EA66A4" w:rsidP="00180D45">
      <w:pPr>
        <w:rPr>
          <w:bCs/>
          <w:szCs w:val="22"/>
        </w:rPr>
      </w:pPr>
      <w:r w:rsidRPr="00257E5C">
        <w:rPr>
          <w:bCs/>
          <w:szCs w:val="22"/>
        </w:rPr>
        <w:t>Jul, 2025. godine</w:t>
      </w:r>
    </w:p>
    <w:sectPr w:rsidR="00EA66A4" w:rsidRPr="00257E5C" w:rsidSect="00EA66A4">
      <w:headerReference w:type="default" r:id="rId11"/>
      <w:footerReference w:type="even" r:id="rId12"/>
      <w:footerReference w:type="default" r:id="rId13"/>
      <w:pgSz w:w="11907" w:h="16840" w:code="9"/>
      <w:pgMar w:top="864" w:right="1138" w:bottom="907" w:left="113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6CDD5" w14:textId="77777777" w:rsidR="009E0FFF" w:rsidRDefault="009E0FFF">
      <w:r>
        <w:separator/>
      </w:r>
    </w:p>
  </w:endnote>
  <w:endnote w:type="continuationSeparator" w:id="0">
    <w:p w14:paraId="5D4F1529" w14:textId="77777777" w:rsidR="009E0FFF" w:rsidRDefault="009E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CC9C" w14:textId="77777777" w:rsidR="00A43FFA" w:rsidRDefault="00A43FF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6F487F" w14:textId="77777777" w:rsidR="00A43FFA" w:rsidRDefault="00A43F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AE3E" w14:textId="6FDFFF97" w:rsidR="00A43FFA" w:rsidRPr="00C536C2" w:rsidRDefault="00A43FFA" w:rsidP="00137369">
    <w:pPr>
      <w:pStyle w:val="Footer"/>
      <w:tabs>
        <w:tab w:val="left" w:pos="5448"/>
      </w:tabs>
      <w:spacing w:before="360"/>
      <w:jc w:val="center"/>
    </w:pPr>
    <w:r w:rsidRPr="00B23F69">
      <w:rPr>
        <w:szCs w:val="22"/>
      </w:rPr>
      <w:fldChar w:fldCharType="begin"/>
    </w:r>
    <w:r w:rsidRPr="00B23F69">
      <w:rPr>
        <w:szCs w:val="22"/>
      </w:rPr>
      <w:instrText xml:space="preserve"> PAGE </w:instrText>
    </w:r>
    <w:r w:rsidRPr="00B23F69">
      <w:rPr>
        <w:szCs w:val="22"/>
      </w:rPr>
      <w:fldChar w:fldCharType="separate"/>
    </w:r>
    <w:r w:rsidR="0081057D">
      <w:rPr>
        <w:noProof/>
        <w:szCs w:val="22"/>
      </w:rPr>
      <w:t>12</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81057D">
      <w:rPr>
        <w:noProof/>
        <w:szCs w:val="22"/>
      </w:rPr>
      <w:t>13</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EC061" w14:textId="77777777" w:rsidR="009E0FFF" w:rsidRDefault="009E0FFF">
      <w:r>
        <w:separator/>
      </w:r>
    </w:p>
  </w:footnote>
  <w:footnote w:type="continuationSeparator" w:id="0">
    <w:p w14:paraId="36D77FDE" w14:textId="77777777" w:rsidR="009E0FFF" w:rsidRDefault="009E0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C114" w14:textId="12C8203F" w:rsidR="00A43FFA" w:rsidRDefault="00A43FFA" w:rsidP="00286AB4">
    <w:pPr>
      <w:pStyle w:val="Header"/>
      <w:jc w:val="right"/>
    </w:pPr>
  </w:p>
  <w:p w14:paraId="6A998DD8" w14:textId="378BDE43" w:rsidR="00A43FFA" w:rsidRDefault="00A43FFA" w:rsidP="00286AB4">
    <w:pPr>
      <w:pStyle w:val="Header"/>
      <w:jc w:val="right"/>
    </w:pPr>
  </w:p>
  <w:p w14:paraId="1FE37D4C" w14:textId="77777777" w:rsidR="00A43FFA" w:rsidRDefault="00A43FFA" w:rsidP="00286A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4FDC"/>
    <w:multiLevelType w:val="hybridMultilevel"/>
    <w:tmpl w:val="DEE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E1D30AD"/>
    <w:multiLevelType w:val="hybridMultilevel"/>
    <w:tmpl w:val="A74CA288"/>
    <w:lvl w:ilvl="0" w:tplc="FFFFFFFF">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B234F"/>
    <w:multiLevelType w:val="hybridMultilevel"/>
    <w:tmpl w:val="9ADC8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9F7122"/>
    <w:multiLevelType w:val="hybridMultilevel"/>
    <w:tmpl w:val="EC40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860D1"/>
    <w:multiLevelType w:val="hybridMultilevel"/>
    <w:tmpl w:val="00BEE3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049FC"/>
    <w:multiLevelType w:val="hybridMultilevel"/>
    <w:tmpl w:val="3668A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73AA8"/>
    <w:multiLevelType w:val="hybridMultilevel"/>
    <w:tmpl w:val="2C9A9FBA"/>
    <w:lvl w:ilvl="0" w:tplc="FFFFFFFF">
      <w:start w:val="1"/>
      <w:numFmt w:val="bullet"/>
      <w:lvlText w:val=""/>
      <w:lvlJc w:val="left"/>
      <w:pPr>
        <w:tabs>
          <w:tab w:val="num" w:pos="567"/>
        </w:tabs>
        <w:ind w:left="567" w:hanging="283"/>
      </w:pPr>
      <w:rPr>
        <w:rFonts w:ascii="Symbol" w:hAnsi="Symbol" w:hint="default"/>
      </w:rPr>
    </w:lvl>
    <w:lvl w:ilvl="1" w:tplc="BF803BDE">
      <w:start w:val="7"/>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13DFF"/>
    <w:multiLevelType w:val="hybridMultilevel"/>
    <w:tmpl w:val="2002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71B09"/>
    <w:multiLevelType w:val="hybridMultilevel"/>
    <w:tmpl w:val="B9928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0373D"/>
    <w:multiLevelType w:val="hybridMultilevel"/>
    <w:tmpl w:val="DDE6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74341B"/>
    <w:multiLevelType w:val="hybridMultilevel"/>
    <w:tmpl w:val="107A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44AB2"/>
    <w:multiLevelType w:val="hybridMultilevel"/>
    <w:tmpl w:val="35F2F87C"/>
    <w:lvl w:ilvl="0" w:tplc="E56C1B8A">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1E3ACF"/>
    <w:multiLevelType w:val="hybridMultilevel"/>
    <w:tmpl w:val="E09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F6102"/>
    <w:multiLevelType w:val="hybridMultilevel"/>
    <w:tmpl w:val="F8FC6662"/>
    <w:lvl w:ilvl="0" w:tplc="04090001">
      <w:start w:val="1"/>
      <w:numFmt w:val="bullet"/>
      <w:lvlText w:val=""/>
      <w:lvlJc w:val="left"/>
      <w:pPr>
        <w:ind w:left="720" w:hanging="360"/>
      </w:pPr>
      <w:rPr>
        <w:rFonts w:ascii="Symbol" w:hAnsi="Symbol" w:hint="default"/>
      </w:rPr>
    </w:lvl>
    <w:lvl w:ilvl="1" w:tplc="E670D55C">
      <w:numFmt w:val="bullet"/>
      <w:lvlText w:val="-"/>
      <w:lvlJc w:val="left"/>
      <w:pPr>
        <w:ind w:left="1440" w:hanging="360"/>
      </w:pPr>
      <w:rPr>
        <w:rFonts w:ascii="Tahoma" w:hAnsi="Tahoma" w:cs="Symbol" w:hint="default"/>
        <w:i/>
        <w:iCs/>
        <w:color w:val="0000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542FE"/>
    <w:multiLevelType w:val="hybridMultilevel"/>
    <w:tmpl w:val="7F0A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A01A2"/>
    <w:multiLevelType w:val="hybridMultilevel"/>
    <w:tmpl w:val="A9BE53C4"/>
    <w:lvl w:ilvl="0" w:tplc="FFFFFFFF">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66046C1"/>
    <w:multiLevelType w:val="hybridMultilevel"/>
    <w:tmpl w:val="275A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6602DC"/>
    <w:multiLevelType w:val="hybridMultilevel"/>
    <w:tmpl w:val="BEB6FB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6AB498A"/>
    <w:multiLevelType w:val="hybridMultilevel"/>
    <w:tmpl w:val="D534A9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7B40E19"/>
    <w:multiLevelType w:val="hybridMultilevel"/>
    <w:tmpl w:val="03CC1466"/>
    <w:lvl w:ilvl="0" w:tplc="FFFFFFFF">
      <w:start w:val="1"/>
      <w:numFmt w:val="bullet"/>
      <w:lvlText w:val=""/>
      <w:lvlJc w:val="left"/>
      <w:pPr>
        <w:tabs>
          <w:tab w:val="num" w:pos="567"/>
        </w:tabs>
        <w:ind w:left="567" w:hanging="283"/>
      </w:pPr>
      <w:rPr>
        <w:rFonts w:ascii="Symbol" w:hAnsi="Symbol" w:hint="default"/>
      </w:rPr>
    </w:lvl>
    <w:lvl w:ilvl="1" w:tplc="BF803BDE">
      <w:start w:val="7"/>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09366A"/>
    <w:multiLevelType w:val="hybridMultilevel"/>
    <w:tmpl w:val="7364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45579"/>
    <w:multiLevelType w:val="hybridMultilevel"/>
    <w:tmpl w:val="10BEA2B4"/>
    <w:lvl w:ilvl="0" w:tplc="04090001">
      <w:start w:val="1"/>
      <w:numFmt w:val="bullet"/>
      <w:lvlText w:val=""/>
      <w:lvlJc w:val="left"/>
      <w:pPr>
        <w:tabs>
          <w:tab w:val="num" w:pos="708"/>
        </w:tabs>
        <w:ind w:left="708" w:hanging="360"/>
      </w:pPr>
      <w:rPr>
        <w:rFonts w:ascii="Symbol" w:hAnsi="Symbol" w:cs="Symbol" w:hint="default"/>
      </w:rPr>
    </w:lvl>
    <w:lvl w:ilvl="1" w:tplc="04090003">
      <w:start w:val="1"/>
      <w:numFmt w:val="bullet"/>
      <w:lvlText w:val="o"/>
      <w:lvlJc w:val="left"/>
      <w:pPr>
        <w:tabs>
          <w:tab w:val="num" w:pos="1428"/>
        </w:tabs>
        <w:ind w:left="1428" w:hanging="360"/>
      </w:pPr>
      <w:rPr>
        <w:rFonts w:ascii="Courier New" w:hAnsi="Courier New" w:cs="Courier New" w:hint="default"/>
      </w:rPr>
    </w:lvl>
    <w:lvl w:ilvl="2" w:tplc="04090005">
      <w:start w:val="1"/>
      <w:numFmt w:val="bullet"/>
      <w:lvlText w:val=""/>
      <w:lvlJc w:val="left"/>
      <w:pPr>
        <w:tabs>
          <w:tab w:val="num" w:pos="2148"/>
        </w:tabs>
        <w:ind w:left="2148" w:hanging="360"/>
      </w:pPr>
      <w:rPr>
        <w:rFonts w:ascii="Wingdings" w:hAnsi="Wingdings" w:cs="Wingdings" w:hint="default"/>
      </w:rPr>
    </w:lvl>
    <w:lvl w:ilvl="3" w:tplc="04090001">
      <w:start w:val="1"/>
      <w:numFmt w:val="bullet"/>
      <w:lvlText w:val=""/>
      <w:lvlJc w:val="left"/>
      <w:pPr>
        <w:tabs>
          <w:tab w:val="num" w:pos="2868"/>
        </w:tabs>
        <w:ind w:left="2868" w:hanging="360"/>
      </w:pPr>
      <w:rPr>
        <w:rFonts w:ascii="Symbol" w:hAnsi="Symbol" w:cs="Symbol" w:hint="default"/>
      </w:rPr>
    </w:lvl>
    <w:lvl w:ilvl="4" w:tplc="04090003">
      <w:start w:val="1"/>
      <w:numFmt w:val="bullet"/>
      <w:lvlText w:val="o"/>
      <w:lvlJc w:val="left"/>
      <w:pPr>
        <w:tabs>
          <w:tab w:val="num" w:pos="3588"/>
        </w:tabs>
        <w:ind w:left="3588" w:hanging="360"/>
      </w:pPr>
      <w:rPr>
        <w:rFonts w:ascii="Courier New" w:hAnsi="Courier New" w:cs="Courier New" w:hint="default"/>
      </w:rPr>
    </w:lvl>
    <w:lvl w:ilvl="5" w:tplc="04090005">
      <w:start w:val="1"/>
      <w:numFmt w:val="bullet"/>
      <w:lvlText w:val=""/>
      <w:lvlJc w:val="left"/>
      <w:pPr>
        <w:tabs>
          <w:tab w:val="num" w:pos="4308"/>
        </w:tabs>
        <w:ind w:left="4308" w:hanging="360"/>
      </w:pPr>
      <w:rPr>
        <w:rFonts w:ascii="Wingdings" w:hAnsi="Wingdings" w:cs="Wingdings" w:hint="default"/>
      </w:rPr>
    </w:lvl>
    <w:lvl w:ilvl="6" w:tplc="04090001">
      <w:start w:val="1"/>
      <w:numFmt w:val="bullet"/>
      <w:lvlText w:val=""/>
      <w:lvlJc w:val="left"/>
      <w:pPr>
        <w:tabs>
          <w:tab w:val="num" w:pos="5028"/>
        </w:tabs>
        <w:ind w:left="5028" w:hanging="360"/>
      </w:pPr>
      <w:rPr>
        <w:rFonts w:ascii="Symbol" w:hAnsi="Symbol" w:cs="Symbol" w:hint="default"/>
      </w:rPr>
    </w:lvl>
    <w:lvl w:ilvl="7" w:tplc="04090003">
      <w:start w:val="1"/>
      <w:numFmt w:val="bullet"/>
      <w:lvlText w:val="o"/>
      <w:lvlJc w:val="left"/>
      <w:pPr>
        <w:tabs>
          <w:tab w:val="num" w:pos="5748"/>
        </w:tabs>
        <w:ind w:left="5748" w:hanging="360"/>
      </w:pPr>
      <w:rPr>
        <w:rFonts w:ascii="Courier New" w:hAnsi="Courier New" w:cs="Courier New" w:hint="default"/>
      </w:rPr>
    </w:lvl>
    <w:lvl w:ilvl="8" w:tplc="04090005">
      <w:start w:val="1"/>
      <w:numFmt w:val="bullet"/>
      <w:lvlText w:val=""/>
      <w:lvlJc w:val="left"/>
      <w:pPr>
        <w:tabs>
          <w:tab w:val="num" w:pos="6468"/>
        </w:tabs>
        <w:ind w:left="6468" w:hanging="360"/>
      </w:pPr>
      <w:rPr>
        <w:rFonts w:ascii="Wingdings" w:hAnsi="Wingdings" w:cs="Wingdings" w:hint="default"/>
      </w:rPr>
    </w:lvl>
  </w:abstractNum>
  <w:num w:numId="1">
    <w:abstractNumId w:val="4"/>
  </w:num>
  <w:num w:numId="2">
    <w:abstractNumId w:val="1"/>
    <w:lvlOverride w:ilvl="0">
      <w:startOverride w:val="7"/>
    </w:lvlOverride>
  </w:num>
  <w:num w:numId="3">
    <w:abstractNumId w:val="23"/>
  </w:num>
  <w:num w:numId="4">
    <w:abstractNumId w:val="14"/>
  </w:num>
  <w:num w:numId="5">
    <w:abstractNumId w:val="12"/>
  </w:num>
  <w:num w:numId="6">
    <w:abstractNumId w:val="5"/>
  </w:num>
  <w:num w:numId="7">
    <w:abstractNumId w:val="20"/>
  </w:num>
  <w:num w:numId="8">
    <w:abstractNumId w:val="21"/>
  </w:num>
  <w:num w:numId="9">
    <w:abstractNumId w:val="25"/>
  </w:num>
  <w:num w:numId="10">
    <w:abstractNumId w:val="3"/>
  </w:num>
  <w:num w:numId="11">
    <w:abstractNumId w:val="19"/>
  </w:num>
  <w:num w:numId="12">
    <w:abstractNumId w:val="11"/>
  </w:num>
  <w:num w:numId="13">
    <w:abstractNumId w:val="0"/>
  </w:num>
  <w:num w:numId="14">
    <w:abstractNumId w:val="26"/>
  </w:num>
  <w:num w:numId="15">
    <w:abstractNumId w:val="13"/>
  </w:num>
  <w:num w:numId="16">
    <w:abstractNumId w:val="15"/>
  </w:num>
  <w:num w:numId="17">
    <w:abstractNumId w:val="10"/>
  </w:num>
  <w:num w:numId="18">
    <w:abstractNumId w:val="16"/>
  </w:num>
  <w:num w:numId="19">
    <w:abstractNumId w:val="22"/>
  </w:num>
  <w:num w:numId="20">
    <w:abstractNumId w:val="17"/>
  </w:num>
  <w:num w:numId="21">
    <w:abstractNumId w:val="2"/>
  </w:num>
  <w:num w:numId="22">
    <w:abstractNumId w:val="6"/>
  </w:num>
  <w:num w:numId="23">
    <w:abstractNumId w:val="7"/>
  </w:num>
  <w:num w:numId="24">
    <w:abstractNumId w:val="9"/>
  </w:num>
  <w:num w:numId="25">
    <w:abstractNumId w:val="8"/>
  </w:num>
  <w:num w:numId="26">
    <w:abstractNumId w:val="2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626"/>
    <w:rsid w:val="00017801"/>
    <w:rsid w:val="00031E04"/>
    <w:rsid w:val="00056488"/>
    <w:rsid w:val="0005798D"/>
    <w:rsid w:val="00064273"/>
    <w:rsid w:val="00075FDD"/>
    <w:rsid w:val="00083BE0"/>
    <w:rsid w:val="000935EF"/>
    <w:rsid w:val="00095B47"/>
    <w:rsid w:val="00095FB6"/>
    <w:rsid w:val="00096EBC"/>
    <w:rsid w:val="0009758B"/>
    <w:rsid w:val="000A0F4A"/>
    <w:rsid w:val="000A1DCD"/>
    <w:rsid w:val="000B1B81"/>
    <w:rsid w:val="000B1DD4"/>
    <w:rsid w:val="000B29C0"/>
    <w:rsid w:val="000B53B6"/>
    <w:rsid w:val="000B70E6"/>
    <w:rsid w:val="000C0AD1"/>
    <w:rsid w:val="000D5631"/>
    <w:rsid w:val="000E75C0"/>
    <w:rsid w:val="000F4A63"/>
    <w:rsid w:val="0010363F"/>
    <w:rsid w:val="0011357F"/>
    <w:rsid w:val="00113A1A"/>
    <w:rsid w:val="00117458"/>
    <w:rsid w:val="00137369"/>
    <w:rsid w:val="00141639"/>
    <w:rsid w:val="0014180A"/>
    <w:rsid w:val="0015010E"/>
    <w:rsid w:val="001529D5"/>
    <w:rsid w:val="00161D6E"/>
    <w:rsid w:val="00173D18"/>
    <w:rsid w:val="00175772"/>
    <w:rsid w:val="00175A7E"/>
    <w:rsid w:val="00180D45"/>
    <w:rsid w:val="00185EB0"/>
    <w:rsid w:val="0018601D"/>
    <w:rsid w:val="001A6DF3"/>
    <w:rsid w:val="001B3C9E"/>
    <w:rsid w:val="001B706A"/>
    <w:rsid w:val="001C0198"/>
    <w:rsid w:val="001C23F2"/>
    <w:rsid w:val="001C6D25"/>
    <w:rsid w:val="001D10C9"/>
    <w:rsid w:val="001E0A07"/>
    <w:rsid w:val="001E6145"/>
    <w:rsid w:val="001E775D"/>
    <w:rsid w:val="001F105A"/>
    <w:rsid w:val="001F1212"/>
    <w:rsid w:val="001F293D"/>
    <w:rsid w:val="001F2D4E"/>
    <w:rsid w:val="001F39B6"/>
    <w:rsid w:val="002113D2"/>
    <w:rsid w:val="00217100"/>
    <w:rsid w:val="0022218E"/>
    <w:rsid w:val="0022223A"/>
    <w:rsid w:val="002306B7"/>
    <w:rsid w:val="002310CC"/>
    <w:rsid w:val="0024132F"/>
    <w:rsid w:val="00242DCD"/>
    <w:rsid w:val="002430AC"/>
    <w:rsid w:val="00245891"/>
    <w:rsid w:val="00247C5C"/>
    <w:rsid w:val="00257E5C"/>
    <w:rsid w:val="00265A23"/>
    <w:rsid w:val="002674B1"/>
    <w:rsid w:val="00270C99"/>
    <w:rsid w:val="002719D7"/>
    <w:rsid w:val="00273BE0"/>
    <w:rsid w:val="00285B6C"/>
    <w:rsid w:val="00286AB4"/>
    <w:rsid w:val="00295F14"/>
    <w:rsid w:val="00296986"/>
    <w:rsid w:val="002B07CB"/>
    <w:rsid w:val="002B6F6A"/>
    <w:rsid w:val="002B7499"/>
    <w:rsid w:val="002C0FBF"/>
    <w:rsid w:val="002D15FB"/>
    <w:rsid w:val="002D22A0"/>
    <w:rsid w:val="002E089C"/>
    <w:rsid w:val="002E09E6"/>
    <w:rsid w:val="002E3F4A"/>
    <w:rsid w:val="002E5C98"/>
    <w:rsid w:val="002F5D3E"/>
    <w:rsid w:val="002F5E2F"/>
    <w:rsid w:val="003139E2"/>
    <w:rsid w:val="00316FC0"/>
    <w:rsid w:val="00321865"/>
    <w:rsid w:val="00321E51"/>
    <w:rsid w:val="0032510B"/>
    <w:rsid w:val="00325C4E"/>
    <w:rsid w:val="003452C0"/>
    <w:rsid w:val="0035049A"/>
    <w:rsid w:val="003579E5"/>
    <w:rsid w:val="003734A3"/>
    <w:rsid w:val="003774D2"/>
    <w:rsid w:val="00383195"/>
    <w:rsid w:val="003843C5"/>
    <w:rsid w:val="00384AC6"/>
    <w:rsid w:val="00390C16"/>
    <w:rsid w:val="00393E1D"/>
    <w:rsid w:val="003A2DF8"/>
    <w:rsid w:val="003B2082"/>
    <w:rsid w:val="003B2818"/>
    <w:rsid w:val="003B38DC"/>
    <w:rsid w:val="003C18A4"/>
    <w:rsid w:val="003C389F"/>
    <w:rsid w:val="003D04C8"/>
    <w:rsid w:val="003E026E"/>
    <w:rsid w:val="003E0E56"/>
    <w:rsid w:val="003E3EC7"/>
    <w:rsid w:val="003E6953"/>
    <w:rsid w:val="003E79D2"/>
    <w:rsid w:val="003F3CF5"/>
    <w:rsid w:val="003F47B8"/>
    <w:rsid w:val="00411A51"/>
    <w:rsid w:val="004123CD"/>
    <w:rsid w:val="004168B9"/>
    <w:rsid w:val="004234ED"/>
    <w:rsid w:val="00427D41"/>
    <w:rsid w:val="004351E1"/>
    <w:rsid w:val="00445212"/>
    <w:rsid w:val="00451FAF"/>
    <w:rsid w:val="00452AFA"/>
    <w:rsid w:val="00452D61"/>
    <w:rsid w:val="00453342"/>
    <w:rsid w:val="00462C33"/>
    <w:rsid w:val="0047125A"/>
    <w:rsid w:val="00491706"/>
    <w:rsid w:val="00492248"/>
    <w:rsid w:val="0049443F"/>
    <w:rsid w:val="00495FD0"/>
    <w:rsid w:val="00497553"/>
    <w:rsid w:val="00497648"/>
    <w:rsid w:val="004B2B36"/>
    <w:rsid w:val="004B5A11"/>
    <w:rsid w:val="004B7A50"/>
    <w:rsid w:val="004C1BDC"/>
    <w:rsid w:val="004C7497"/>
    <w:rsid w:val="004D230F"/>
    <w:rsid w:val="004D5224"/>
    <w:rsid w:val="004D7069"/>
    <w:rsid w:val="004D7CF0"/>
    <w:rsid w:val="00500F36"/>
    <w:rsid w:val="00503974"/>
    <w:rsid w:val="00514D78"/>
    <w:rsid w:val="0052230B"/>
    <w:rsid w:val="00525A8A"/>
    <w:rsid w:val="00525DAE"/>
    <w:rsid w:val="00526D91"/>
    <w:rsid w:val="005276F0"/>
    <w:rsid w:val="00530909"/>
    <w:rsid w:val="00536174"/>
    <w:rsid w:val="00542B8D"/>
    <w:rsid w:val="005448EE"/>
    <w:rsid w:val="00562894"/>
    <w:rsid w:val="005767B5"/>
    <w:rsid w:val="00590E66"/>
    <w:rsid w:val="00595DEC"/>
    <w:rsid w:val="005A5252"/>
    <w:rsid w:val="005B3388"/>
    <w:rsid w:val="005C3F73"/>
    <w:rsid w:val="005C7891"/>
    <w:rsid w:val="005F2F37"/>
    <w:rsid w:val="00603302"/>
    <w:rsid w:val="00604B21"/>
    <w:rsid w:val="00604E4F"/>
    <w:rsid w:val="006054EE"/>
    <w:rsid w:val="00605FCC"/>
    <w:rsid w:val="0061103A"/>
    <w:rsid w:val="006118B6"/>
    <w:rsid w:val="006270C0"/>
    <w:rsid w:val="006275B8"/>
    <w:rsid w:val="00630195"/>
    <w:rsid w:val="006330F7"/>
    <w:rsid w:val="00633E8D"/>
    <w:rsid w:val="00650081"/>
    <w:rsid w:val="00650823"/>
    <w:rsid w:val="00653479"/>
    <w:rsid w:val="006539C8"/>
    <w:rsid w:val="00653EF9"/>
    <w:rsid w:val="006559AF"/>
    <w:rsid w:val="00656719"/>
    <w:rsid w:val="00656E06"/>
    <w:rsid w:val="00660ED5"/>
    <w:rsid w:val="0066420D"/>
    <w:rsid w:val="00670845"/>
    <w:rsid w:val="00676156"/>
    <w:rsid w:val="006870D7"/>
    <w:rsid w:val="00693874"/>
    <w:rsid w:val="00693F46"/>
    <w:rsid w:val="006A3693"/>
    <w:rsid w:val="006D14CD"/>
    <w:rsid w:val="006D353D"/>
    <w:rsid w:val="006D6AC6"/>
    <w:rsid w:val="006E43CB"/>
    <w:rsid w:val="006F158F"/>
    <w:rsid w:val="006F67AF"/>
    <w:rsid w:val="007037CA"/>
    <w:rsid w:val="00704B1C"/>
    <w:rsid w:val="00705542"/>
    <w:rsid w:val="00705B56"/>
    <w:rsid w:val="00745D86"/>
    <w:rsid w:val="0076361B"/>
    <w:rsid w:val="00764648"/>
    <w:rsid w:val="007672F3"/>
    <w:rsid w:val="007758DD"/>
    <w:rsid w:val="00787CE0"/>
    <w:rsid w:val="0079525B"/>
    <w:rsid w:val="007B16C4"/>
    <w:rsid w:val="007B2B5F"/>
    <w:rsid w:val="007C0CD2"/>
    <w:rsid w:val="007C2D7E"/>
    <w:rsid w:val="007D17FD"/>
    <w:rsid w:val="007D2936"/>
    <w:rsid w:val="007D48C5"/>
    <w:rsid w:val="007E06F0"/>
    <w:rsid w:val="007E7F7B"/>
    <w:rsid w:val="007F7BC5"/>
    <w:rsid w:val="00802DFC"/>
    <w:rsid w:val="0081057D"/>
    <w:rsid w:val="00814781"/>
    <w:rsid w:val="00816B6C"/>
    <w:rsid w:val="0082202C"/>
    <w:rsid w:val="008239C5"/>
    <w:rsid w:val="008259A1"/>
    <w:rsid w:val="00826AF4"/>
    <w:rsid w:val="008275C7"/>
    <w:rsid w:val="00834DBB"/>
    <w:rsid w:val="00842FFB"/>
    <w:rsid w:val="0085474D"/>
    <w:rsid w:val="00855758"/>
    <w:rsid w:val="0086351A"/>
    <w:rsid w:val="00866FDC"/>
    <w:rsid w:val="00867FB8"/>
    <w:rsid w:val="00874B61"/>
    <w:rsid w:val="0087567C"/>
    <w:rsid w:val="00877914"/>
    <w:rsid w:val="00882021"/>
    <w:rsid w:val="00884CB7"/>
    <w:rsid w:val="00887535"/>
    <w:rsid w:val="00891773"/>
    <w:rsid w:val="008A48B7"/>
    <w:rsid w:val="008A4FB9"/>
    <w:rsid w:val="008B3EB5"/>
    <w:rsid w:val="008C00C2"/>
    <w:rsid w:val="008C10A8"/>
    <w:rsid w:val="008C4ABA"/>
    <w:rsid w:val="008C4AED"/>
    <w:rsid w:val="008C5809"/>
    <w:rsid w:val="008D501A"/>
    <w:rsid w:val="008D69B5"/>
    <w:rsid w:val="008D78C9"/>
    <w:rsid w:val="008D79B3"/>
    <w:rsid w:val="008E0716"/>
    <w:rsid w:val="008E0FC9"/>
    <w:rsid w:val="008F4B35"/>
    <w:rsid w:val="0090121B"/>
    <w:rsid w:val="00913684"/>
    <w:rsid w:val="009156D3"/>
    <w:rsid w:val="00923865"/>
    <w:rsid w:val="0093016E"/>
    <w:rsid w:val="00934B4D"/>
    <w:rsid w:val="009439E8"/>
    <w:rsid w:val="00950EAC"/>
    <w:rsid w:val="00951B0B"/>
    <w:rsid w:val="00955C75"/>
    <w:rsid w:val="0096517F"/>
    <w:rsid w:val="00965C70"/>
    <w:rsid w:val="009677DF"/>
    <w:rsid w:val="0098305E"/>
    <w:rsid w:val="00984019"/>
    <w:rsid w:val="00984C0E"/>
    <w:rsid w:val="00993A9D"/>
    <w:rsid w:val="009946F8"/>
    <w:rsid w:val="00996E6B"/>
    <w:rsid w:val="009A1D64"/>
    <w:rsid w:val="009A3915"/>
    <w:rsid w:val="009A71F7"/>
    <w:rsid w:val="009B1292"/>
    <w:rsid w:val="009B2430"/>
    <w:rsid w:val="009B338B"/>
    <w:rsid w:val="009B58AD"/>
    <w:rsid w:val="009B6204"/>
    <w:rsid w:val="009B7935"/>
    <w:rsid w:val="009C5651"/>
    <w:rsid w:val="009C72C1"/>
    <w:rsid w:val="009C7BA2"/>
    <w:rsid w:val="009D1161"/>
    <w:rsid w:val="009D667B"/>
    <w:rsid w:val="009E0FFF"/>
    <w:rsid w:val="009E192A"/>
    <w:rsid w:val="009E33EC"/>
    <w:rsid w:val="009F4449"/>
    <w:rsid w:val="00A02252"/>
    <w:rsid w:val="00A047F4"/>
    <w:rsid w:val="00A127F1"/>
    <w:rsid w:val="00A1706F"/>
    <w:rsid w:val="00A24CF8"/>
    <w:rsid w:val="00A269B0"/>
    <w:rsid w:val="00A27130"/>
    <w:rsid w:val="00A43FFA"/>
    <w:rsid w:val="00A53087"/>
    <w:rsid w:val="00A543FA"/>
    <w:rsid w:val="00A70B09"/>
    <w:rsid w:val="00A7147C"/>
    <w:rsid w:val="00A7319C"/>
    <w:rsid w:val="00A7660B"/>
    <w:rsid w:val="00A86897"/>
    <w:rsid w:val="00A87FCC"/>
    <w:rsid w:val="00A95733"/>
    <w:rsid w:val="00AA5E69"/>
    <w:rsid w:val="00AB3D0B"/>
    <w:rsid w:val="00AB4EDF"/>
    <w:rsid w:val="00AB5465"/>
    <w:rsid w:val="00AC00CB"/>
    <w:rsid w:val="00AC137D"/>
    <w:rsid w:val="00AC507D"/>
    <w:rsid w:val="00AD1DC1"/>
    <w:rsid w:val="00AD7FEF"/>
    <w:rsid w:val="00AF62F3"/>
    <w:rsid w:val="00B00142"/>
    <w:rsid w:val="00B26FAC"/>
    <w:rsid w:val="00B31AA2"/>
    <w:rsid w:val="00B32760"/>
    <w:rsid w:val="00B479A5"/>
    <w:rsid w:val="00B50610"/>
    <w:rsid w:val="00B57C9E"/>
    <w:rsid w:val="00B6208D"/>
    <w:rsid w:val="00B7371C"/>
    <w:rsid w:val="00B74C0B"/>
    <w:rsid w:val="00B76E76"/>
    <w:rsid w:val="00B8351C"/>
    <w:rsid w:val="00B8400D"/>
    <w:rsid w:val="00B87959"/>
    <w:rsid w:val="00B91872"/>
    <w:rsid w:val="00B93A37"/>
    <w:rsid w:val="00BA1819"/>
    <w:rsid w:val="00BA5A22"/>
    <w:rsid w:val="00BB0718"/>
    <w:rsid w:val="00BB1561"/>
    <w:rsid w:val="00BB55E5"/>
    <w:rsid w:val="00BB6F85"/>
    <w:rsid w:val="00BD14D9"/>
    <w:rsid w:val="00BD725A"/>
    <w:rsid w:val="00BD7688"/>
    <w:rsid w:val="00BF3750"/>
    <w:rsid w:val="00C032CA"/>
    <w:rsid w:val="00C04A82"/>
    <w:rsid w:val="00C06244"/>
    <w:rsid w:val="00C114B4"/>
    <w:rsid w:val="00C20954"/>
    <w:rsid w:val="00C27B45"/>
    <w:rsid w:val="00C30052"/>
    <w:rsid w:val="00C35065"/>
    <w:rsid w:val="00C43B40"/>
    <w:rsid w:val="00C536C2"/>
    <w:rsid w:val="00C55F47"/>
    <w:rsid w:val="00C56E2E"/>
    <w:rsid w:val="00C62296"/>
    <w:rsid w:val="00C64A31"/>
    <w:rsid w:val="00C76BF9"/>
    <w:rsid w:val="00C80935"/>
    <w:rsid w:val="00C82E8B"/>
    <w:rsid w:val="00C83DAE"/>
    <w:rsid w:val="00C8425D"/>
    <w:rsid w:val="00C84811"/>
    <w:rsid w:val="00CB09E6"/>
    <w:rsid w:val="00CB79C1"/>
    <w:rsid w:val="00CC0B98"/>
    <w:rsid w:val="00CC4C88"/>
    <w:rsid w:val="00CC63A8"/>
    <w:rsid w:val="00CC6D1C"/>
    <w:rsid w:val="00CD0B1F"/>
    <w:rsid w:val="00CD0C39"/>
    <w:rsid w:val="00CD3F96"/>
    <w:rsid w:val="00CE09F3"/>
    <w:rsid w:val="00CE0B6F"/>
    <w:rsid w:val="00CE2FC2"/>
    <w:rsid w:val="00CE6697"/>
    <w:rsid w:val="00CE76DA"/>
    <w:rsid w:val="00CE7891"/>
    <w:rsid w:val="00CF0DE7"/>
    <w:rsid w:val="00D10C87"/>
    <w:rsid w:val="00D11E94"/>
    <w:rsid w:val="00D15556"/>
    <w:rsid w:val="00D24973"/>
    <w:rsid w:val="00D30389"/>
    <w:rsid w:val="00D337F6"/>
    <w:rsid w:val="00D47612"/>
    <w:rsid w:val="00D500E8"/>
    <w:rsid w:val="00D52CDB"/>
    <w:rsid w:val="00D61710"/>
    <w:rsid w:val="00D63EFE"/>
    <w:rsid w:val="00D6611E"/>
    <w:rsid w:val="00D74C3D"/>
    <w:rsid w:val="00D85F37"/>
    <w:rsid w:val="00D92A4D"/>
    <w:rsid w:val="00DA032C"/>
    <w:rsid w:val="00DA183E"/>
    <w:rsid w:val="00DA4709"/>
    <w:rsid w:val="00DB0B9F"/>
    <w:rsid w:val="00DB4534"/>
    <w:rsid w:val="00DC2D64"/>
    <w:rsid w:val="00DD2A82"/>
    <w:rsid w:val="00DD569A"/>
    <w:rsid w:val="00DD5C7D"/>
    <w:rsid w:val="00DF3B16"/>
    <w:rsid w:val="00DF46E4"/>
    <w:rsid w:val="00E02A09"/>
    <w:rsid w:val="00E04856"/>
    <w:rsid w:val="00E050CE"/>
    <w:rsid w:val="00E07A41"/>
    <w:rsid w:val="00E14B0E"/>
    <w:rsid w:val="00E23AC9"/>
    <w:rsid w:val="00E25A4C"/>
    <w:rsid w:val="00E34FC5"/>
    <w:rsid w:val="00E37013"/>
    <w:rsid w:val="00E41511"/>
    <w:rsid w:val="00E44884"/>
    <w:rsid w:val="00E50CD3"/>
    <w:rsid w:val="00E546EF"/>
    <w:rsid w:val="00E55771"/>
    <w:rsid w:val="00E56089"/>
    <w:rsid w:val="00E57681"/>
    <w:rsid w:val="00E7346C"/>
    <w:rsid w:val="00E8232A"/>
    <w:rsid w:val="00E87BE1"/>
    <w:rsid w:val="00E90928"/>
    <w:rsid w:val="00E920EF"/>
    <w:rsid w:val="00E97FCF"/>
    <w:rsid w:val="00EA020F"/>
    <w:rsid w:val="00EA1F85"/>
    <w:rsid w:val="00EA66A4"/>
    <w:rsid w:val="00EA6A68"/>
    <w:rsid w:val="00EA7A0D"/>
    <w:rsid w:val="00ED4585"/>
    <w:rsid w:val="00ED493C"/>
    <w:rsid w:val="00ED735F"/>
    <w:rsid w:val="00EE17F6"/>
    <w:rsid w:val="00EE4B6D"/>
    <w:rsid w:val="00EF4BC4"/>
    <w:rsid w:val="00F05366"/>
    <w:rsid w:val="00F06711"/>
    <w:rsid w:val="00F1030A"/>
    <w:rsid w:val="00F228C0"/>
    <w:rsid w:val="00F37289"/>
    <w:rsid w:val="00F42610"/>
    <w:rsid w:val="00F470B6"/>
    <w:rsid w:val="00F5775F"/>
    <w:rsid w:val="00F60F73"/>
    <w:rsid w:val="00F63F24"/>
    <w:rsid w:val="00F7629B"/>
    <w:rsid w:val="00F917CA"/>
    <w:rsid w:val="00FB39F8"/>
    <w:rsid w:val="00FB75EF"/>
    <w:rsid w:val="00FC29C3"/>
    <w:rsid w:val="00FC5BF4"/>
    <w:rsid w:val="00FD4488"/>
    <w:rsid w:val="00FE2663"/>
    <w:rsid w:val="00FF0D13"/>
    <w:rsid w:val="00FF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AC63C"/>
  <w15:docId w15:val="{98D0D355-3945-4ACE-8007-5EAA1FC4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lang w:val="sr-Latn-CS"/>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5A7E"/>
    <w:pPr>
      <w:tabs>
        <w:tab w:val="clear" w:pos="284"/>
        <w:tab w:val="center" w:pos="4536"/>
        <w:tab w:val="right" w:pos="9072"/>
      </w:tabs>
    </w:pPr>
  </w:style>
  <w:style w:type="paragraph" w:styleId="Footer">
    <w:name w:val="footer"/>
    <w:basedOn w:val="Normal"/>
    <w:link w:val="FooterChar"/>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link w:val="Header"/>
    <w:rsid w:val="00390C16"/>
    <w:rPr>
      <w:sz w:val="22"/>
      <w:szCs w:val="24"/>
    </w:rPr>
  </w:style>
  <w:style w:type="paragraph" w:customStyle="1" w:styleId="knZulassung01">
    <w:name w:val="knZulassung01"/>
    <w:basedOn w:val="Normal"/>
    <w:rsid w:val="00390C16"/>
    <w:pPr>
      <w:tabs>
        <w:tab w:val="clear" w:pos="284"/>
        <w:tab w:val="left" w:pos="567"/>
      </w:tabs>
      <w:ind w:left="1843" w:right="284" w:hanging="1843"/>
      <w:jc w:val="left"/>
    </w:pPr>
    <w:rPr>
      <w:rFonts w:ascii="Courier" w:hAnsi="Courier"/>
      <w:sz w:val="24"/>
      <w:lang w:val="de-DE"/>
    </w:rPr>
  </w:style>
  <w:style w:type="paragraph" w:styleId="BodyText">
    <w:name w:val="Body Text"/>
    <w:aliases w:val="Body text"/>
    <w:basedOn w:val="Normal"/>
    <w:link w:val="BodyTextChar"/>
    <w:rsid w:val="00390C16"/>
    <w:pPr>
      <w:tabs>
        <w:tab w:val="clear" w:pos="284"/>
      </w:tabs>
      <w:jc w:val="left"/>
    </w:pPr>
    <w:rPr>
      <w:b/>
      <w:bCs/>
      <w:sz w:val="24"/>
      <w:lang w:val="en-GB" w:eastAsia="x-none"/>
    </w:rPr>
  </w:style>
  <w:style w:type="character" w:customStyle="1" w:styleId="BodyTextChar">
    <w:name w:val="Body Text Char"/>
    <w:aliases w:val="Body text Char"/>
    <w:basedOn w:val="DefaultParagraphFont"/>
    <w:link w:val="BodyText"/>
    <w:rsid w:val="00390C16"/>
    <w:rPr>
      <w:b/>
      <w:bCs/>
      <w:sz w:val="24"/>
      <w:szCs w:val="24"/>
      <w:lang w:val="en-GB" w:eastAsia="x-none"/>
    </w:rPr>
  </w:style>
  <w:style w:type="paragraph" w:customStyle="1" w:styleId="Listepuces2">
    <w:name w:val="Liste à puces2"/>
    <w:basedOn w:val="Normal"/>
    <w:rsid w:val="00390C16"/>
    <w:pPr>
      <w:keepLines/>
      <w:tabs>
        <w:tab w:val="clear" w:pos="284"/>
        <w:tab w:val="num" w:pos="360"/>
      </w:tabs>
      <w:spacing w:before="240" w:line="280" w:lineRule="exact"/>
      <w:ind w:left="360" w:hanging="360"/>
    </w:pPr>
    <w:rPr>
      <w:rFonts w:ascii="Arial" w:hAnsi="Arial"/>
      <w:szCs w:val="20"/>
      <w:lang w:val="fr-FR"/>
    </w:rPr>
  </w:style>
  <w:style w:type="paragraph" w:styleId="List">
    <w:name w:val="List"/>
    <w:basedOn w:val="BodyText"/>
    <w:next w:val="Normal"/>
    <w:rsid w:val="00390C16"/>
    <w:pPr>
      <w:tabs>
        <w:tab w:val="left" w:pos="284"/>
      </w:tabs>
      <w:spacing w:before="120"/>
      <w:ind w:left="284" w:hanging="284"/>
      <w:jc w:val="both"/>
    </w:pPr>
    <w:rPr>
      <w:b w:val="0"/>
      <w:bCs w:val="0"/>
      <w:szCs w:val="20"/>
      <w:lang w:val="en-US"/>
    </w:rPr>
  </w:style>
  <w:style w:type="paragraph" w:customStyle="1" w:styleId="ABold">
    <w:name w:val="A_Bold"/>
    <w:basedOn w:val="BodyText"/>
    <w:next w:val="BodyText"/>
    <w:rsid w:val="00390C16"/>
    <w:pPr>
      <w:spacing w:before="240"/>
      <w:jc w:val="both"/>
    </w:pPr>
    <w:rPr>
      <w:bCs w:val="0"/>
      <w:szCs w:val="20"/>
      <w:lang w:val="en-US"/>
    </w:rPr>
  </w:style>
  <w:style w:type="paragraph" w:styleId="ListParagraph">
    <w:name w:val="List Paragraph"/>
    <w:basedOn w:val="Normal"/>
    <w:uiPriority w:val="34"/>
    <w:qFormat/>
    <w:rsid w:val="00D24973"/>
    <w:pPr>
      <w:ind w:left="720"/>
      <w:contextualSpacing/>
    </w:pPr>
  </w:style>
  <w:style w:type="paragraph" w:styleId="NoSpacing">
    <w:name w:val="No Spacing"/>
    <w:uiPriority w:val="1"/>
    <w:qFormat/>
    <w:rsid w:val="00653EF9"/>
    <w:rPr>
      <w:sz w:val="24"/>
      <w:szCs w:val="24"/>
    </w:rPr>
  </w:style>
  <w:style w:type="paragraph" w:styleId="Revision">
    <w:name w:val="Revision"/>
    <w:hidden/>
    <w:uiPriority w:val="99"/>
    <w:semiHidden/>
    <w:rsid w:val="00704B1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13</Pages>
  <Words>5079</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7</cp:revision>
  <cp:lastPrinted>2022-11-16T11:51:00Z</cp:lastPrinted>
  <dcterms:created xsi:type="dcterms:W3CDTF">2025-07-04T06:29:00Z</dcterms:created>
  <dcterms:modified xsi:type="dcterms:W3CDTF">2025-07-28T08:08:00Z</dcterms:modified>
</cp:coreProperties>
</file>