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EDE6" w14:textId="64ACDD93" w:rsidR="00F91C7B" w:rsidRPr="0082654D" w:rsidRDefault="00F91C7B" w:rsidP="001A5518">
      <w:pPr>
        <w:rPr>
          <w:b/>
          <w:bCs/>
          <w:i/>
          <w:iCs/>
          <w:sz w:val="22"/>
          <w:szCs w:val="22"/>
          <w:u w:val="single"/>
        </w:rPr>
      </w:pPr>
    </w:p>
    <w:p w14:paraId="0FE04409" w14:textId="77777777" w:rsidR="002510A5" w:rsidRPr="0082654D" w:rsidRDefault="002510A5" w:rsidP="002510A5">
      <w:pPr>
        <w:jc w:val="center"/>
        <w:rPr>
          <w:b/>
          <w:bCs/>
          <w:iCs/>
          <w:sz w:val="22"/>
          <w:szCs w:val="22"/>
          <w:u w:val="single"/>
        </w:rPr>
      </w:pPr>
      <w:r w:rsidRPr="0082654D">
        <w:rPr>
          <w:b/>
          <w:bCs/>
          <w:iCs/>
          <w:sz w:val="22"/>
          <w:szCs w:val="22"/>
          <w:u w:val="single"/>
        </w:rPr>
        <w:t>SAŽETAK KARAKTERISTIKA LIJEKA</w:t>
      </w:r>
    </w:p>
    <w:p w14:paraId="299EB894" w14:textId="77777777" w:rsidR="002510A5" w:rsidRPr="0082654D" w:rsidRDefault="002510A5" w:rsidP="002510A5">
      <w:pPr>
        <w:rPr>
          <w:b/>
          <w:bCs/>
          <w:i/>
          <w:iCs/>
          <w:sz w:val="22"/>
          <w:szCs w:val="22"/>
          <w:u w:val="single"/>
        </w:rPr>
      </w:pPr>
    </w:p>
    <w:p w14:paraId="0760D06A" w14:textId="3A860496" w:rsidR="00C37FD7" w:rsidRPr="0082654D" w:rsidRDefault="00C37FD7" w:rsidP="00F5167F">
      <w:pPr>
        <w:tabs>
          <w:tab w:val="left" w:pos="540"/>
          <w:tab w:val="left" w:pos="569"/>
        </w:tabs>
        <w:rPr>
          <w:bCs/>
          <w:sz w:val="22"/>
          <w:szCs w:val="22"/>
        </w:rPr>
      </w:pPr>
    </w:p>
    <w:p w14:paraId="28282D07" w14:textId="77777777" w:rsidR="00411B4B" w:rsidRPr="0082654D" w:rsidRDefault="00411B4B" w:rsidP="00F5167F">
      <w:pPr>
        <w:tabs>
          <w:tab w:val="left" w:pos="540"/>
          <w:tab w:val="left" w:pos="569"/>
        </w:tabs>
        <w:rPr>
          <w:b/>
          <w:bCs/>
          <w:sz w:val="22"/>
          <w:szCs w:val="22"/>
        </w:rPr>
      </w:pPr>
      <w:r w:rsidRPr="0082654D">
        <w:rPr>
          <w:b/>
          <w:bCs/>
          <w:sz w:val="22"/>
          <w:szCs w:val="22"/>
        </w:rPr>
        <w:t>1.</w:t>
      </w:r>
      <w:r w:rsidR="00F5167F" w:rsidRPr="0082654D">
        <w:rPr>
          <w:b/>
          <w:bCs/>
          <w:sz w:val="22"/>
          <w:szCs w:val="22"/>
        </w:rPr>
        <w:tab/>
      </w:r>
      <w:r w:rsidR="002846DB" w:rsidRPr="0082654D">
        <w:rPr>
          <w:b/>
          <w:bCs/>
          <w:sz w:val="22"/>
          <w:szCs w:val="22"/>
        </w:rPr>
        <w:t xml:space="preserve">NAZIV </w:t>
      </w:r>
      <w:r w:rsidRPr="0082654D">
        <w:rPr>
          <w:b/>
          <w:bCs/>
          <w:sz w:val="22"/>
          <w:szCs w:val="22"/>
        </w:rPr>
        <w:t>LIJEKA</w:t>
      </w:r>
    </w:p>
    <w:p w14:paraId="28543A10" w14:textId="77777777" w:rsidR="00EC2532" w:rsidRPr="0082654D" w:rsidRDefault="00EC2532">
      <w:pPr>
        <w:rPr>
          <w:sz w:val="22"/>
          <w:szCs w:val="22"/>
          <w:lang w:val="pl-PL"/>
        </w:rPr>
      </w:pPr>
    </w:p>
    <w:p w14:paraId="42444D75" w14:textId="77777777" w:rsidR="0082654D" w:rsidRPr="0082654D" w:rsidRDefault="0082654D" w:rsidP="0082654D">
      <w:pPr>
        <w:rPr>
          <w:bCs/>
          <w:sz w:val="22"/>
          <w:szCs w:val="22"/>
          <w:lang w:val="sr-Latn-CS"/>
        </w:rPr>
      </w:pPr>
      <w:r w:rsidRPr="00C10B32">
        <w:rPr>
          <w:bCs/>
          <w:sz w:val="22"/>
          <w:szCs w:val="22"/>
          <w:lang w:val="sr-Latn-CS"/>
        </w:rPr>
        <w:t xml:space="preserve">Piqray, 50 mg, film </w:t>
      </w:r>
      <w:r w:rsidR="007A3BC6" w:rsidRPr="00C10B32">
        <w:rPr>
          <w:bCs/>
          <w:sz w:val="22"/>
          <w:szCs w:val="22"/>
          <w:lang w:val="sr-Latn-CS"/>
        </w:rPr>
        <w:t>tablet</w:t>
      </w:r>
      <w:r w:rsidR="007A3BC6">
        <w:rPr>
          <w:bCs/>
          <w:sz w:val="22"/>
          <w:szCs w:val="22"/>
          <w:lang w:val="sr-Latn-CS"/>
        </w:rPr>
        <w:t>a</w:t>
      </w:r>
    </w:p>
    <w:p w14:paraId="515C4C95" w14:textId="77777777" w:rsidR="0082654D" w:rsidRPr="0082654D" w:rsidRDefault="0082654D" w:rsidP="0082654D">
      <w:pPr>
        <w:rPr>
          <w:bCs/>
          <w:sz w:val="22"/>
          <w:szCs w:val="22"/>
          <w:lang w:val="sr-Latn-CS"/>
        </w:rPr>
      </w:pPr>
      <w:r w:rsidRPr="0082654D">
        <w:rPr>
          <w:bCs/>
          <w:sz w:val="22"/>
          <w:szCs w:val="22"/>
          <w:lang w:val="sr-Latn-CS"/>
        </w:rPr>
        <w:t xml:space="preserve">Piqray, 150 mg, film </w:t>
      </w:r>
      <w:r w:rsidR="007A3BC6" w:rsidRPr="0082654D">
        <w:rPr>
          <w:bCs/>
          <w:sz w:val="22"/>
          <w:szCs w:val="22"/>
          <w:lang w:val="sr-Latn-CS"/>
        </w:rPr>
        <w:t>tablet</w:t>
      </w:r>
      <w:r w:rsidR="007A3BC6">
        <w:rPr>
          <w:bCs/>
          <w:sz w:val="22"/>
          <w:szCs w:val="22"/>
          <w:lang w:val="sr-Latn-CS"/>
        </w:rPr>
        <w:t>a</w:t>
      </w:r>
    </w:p>
    <w:p w14:paraId="5CF2CA1E" w14:textId="77777777" w:rsidR="0082654D" w:rsidRPr="0082654D" w:rsidRDefault="0082654D" w:rsidP="0082654D">
      <w:pPr>
        <w:rPr>
          <w:bCs/>
          <w:sz w:val="22"/>
          <w:szCs w:val="22"/>
          <w:lang w:val="sr-Latn-CS"/>
        </w:rPr>
      </w:pPr>
      <w:r w:rsidRPr="0082654D">
        <w:rPr>
          <w:bCs/>
          <w:sz w:val="22"/>
          <w:szCs w:val="22"/>
          <w:lang w:val="sr-Latn-CS"/>
        </w:rPr>
        <w:t xml:space="preserve">Piqray, 200 mg, film </w:t>
      </w:r>
      <w:r w:rsidR="007A3BC6" w:rsidRPr="0082654D">
        <w:rPr>
          <w:bCs/>
          <w:sz w:val="22"/>
          <w:szCs w:val="22"/>
          <w:lang w:val="sr-Latn-CS"/>
        </w:rPr>
        <w:t>tablet</w:t>
      </w:r>
      <w:r w:rsidR="007A3BC6">
        <w:rPr>
          <w:bCs/>
          <w:sz w:val="22"/>
          <w:szCs w:val="22"/>
          <w:lang w:val="sr-Latn-CS"/>
        </w:rPr>
        <w:t>a</w:t>
      </w:r>
    </w:p>
    <w:p w14:paraId="6940C081" w14:textId="77777777" w:rsidR="000D425A" w:rsidRPr="0082654D" w:rsidRDefault="000D425A">
      <w:pPr>
        <w:rPr>
          <w:bCs/>
          <w:sz w:val="22"/>
          <w:szCs w:val="22"/>
          <w:lang w:val="sv-SE"/>
        </w:rPr>
      </w:pPr>
    </w:p>
    <w:p w14:paraId="74260C5F" w14:textId="77777777" w:rsidR="006D20A5" w:rsidRPr="0082654D" w:rsidRDefault="006D20A5" w:rsidP="006D20A5">
      <w:pPr>
        <w:rPr>
          <w:sz w:val="22"/>
          <w:szCs w:val="22"/>
          <w:lang w:val="sr-Latn-CS"/>
        </w:rPr>
      </w:pPr>
      <w:r w:rsidRPr="0082654D">
        <w:rPr>
          <w:sz w:val="22"/>
          <w:szCs w:val="22"/>
          <w:lang w:val="sv-SE"/>
        </w:rPr>
        <w:t>INN:</w:t>
      </w:r>
      <w:r w:rsidR="0082654D" w:rsidRPr="0082654D">
        <w:rPr>
          <w:sz w:val="22"/>
          <w:szCs w:val="22"/>
          <w:lang w:val="sv-SE"/>
        </w:rPr>
        <w:t xml:space="preserve"> alpelisib</w:t>
      </w:r>
    </w:p>
    <w:p w14:paraId="72B58DD9" w14:textId="77777777" w:rsidR="006D20A5" w:rsidRPr="0082654D" w:rsidRDefault="006D20A5">
      <w:pPr>
        <w:rPr>
          <w:bCs/>
          <w:sz w:val="22"/>
          <w:szCs w:val="22"/>
          <w:lang w:val="sv-SE"/>
        </w:rPr>
      </w:pPr>
    </w:p>
    <w:p w14:paraId="3A0FA90E" w14:textId="77777777" w:rsidR="00530BD7" w:rsidRPr="00223224" w:rsidRDefault="00530BD7">
      <w:pPr>
        <w:rPr>
          <w:bCs/>
          <w:sz w:val="22"/>
          <w:szCs w:val="22"/>
          <w:lang w:val="sv-SE"/>
        </w:rPr>
      </w:pPr>
    </w:p>
    <w:p w14:paraId="05D5553B" w14:textId="77777777" w:rsidR="00411B4B" w:rsidRPr="0082654D" w:rsidRDefault="00411B4B" w:rsidP="00F5167F">
      <w:pPr>
        <w:tabs>
          <w:tab w:val="left" w:pos="540"/>
          <w:tab w:val="left" w:pos="569"/>
        </w:tabs>
        <w:rPr>
          <w:b/>
          <w:bCs/>
          <w:sz w:val="22"/>
          <w:szCs w:val="22"/>
        </w:rPr>
      </w:pPr>
      <w:r w:rsidRPr="0082654D">
        <w:rPr>
          <w:b/>
          <w:bCs/>
          <w:sz w:val="22"/>
          <w:szCs w:val="22"/>
        </w:rPr>
        <w:t xml:space="preserve">2. </w:t>
      </w:r>
      <w:r w:rsidR="00F5167F" w:rsidRPr="0082654D">
        <w:rPr>
          <w:b/>
          <w:bCs/>
          <w:sz w:val="22"/>
          <w:szCs w:val="22"/>
        </w:rPr>
        <w:tab/>
      </w:r>
      <w:r w:rsidRPr="0082654D">
        <w:rPr>
          <w:b/>
          <w:bCs/>
          <w:sz w:val="22"/>
          <w:szCs w:val="22"/>
        </w:rPr>
        <w:t>KVALITATIVNI I KVANTITATIVNI SASTAV</w:t>
      </w:r>
    </w:p>
    <w:p w14:paraId="6433756C" w14:textId="77777777" w:rsidR="005A0B2E" w:rsidRPr="0082654D" w:rsidRDefault="005A0B2E">
      <w:pPr>
        <w:rPr>
          <w:sz w:val="22"/>
          <w:szCs w:val="22"/>
          <w:lang w:val="sr-Latn-CS"/>
        </w:rPr>
      </w:pPr>
    </w:p>
    <w:p w14:paraId="252CAAE5" w14:textId="77777777" w:rsidR="0082654D" w:rsidRPr="0082654D" w:rsidRDefault="0082654D" w:rsidP="0082654D">
      <w:pPr>
        <w:keepNext/>
        <w:shd w:val="clear" w:color="auto" w:fill="FFFFFF" w:themeFill="background1"/>
        <w:rPr>
          <w:sz w:val="22"/>
          <w:szCs w:val="22"/>
          <w:lang w:val="hr-HR"/>
        </w:rPr>
      </w:pPr>
      <w:r w:rsidRPr="0082654D">
        <w:rPr>
          <w:sz w:val="22"/>
          <w:szCs w:val="22"/>
          <w:u w:val="single"/>
          <w:lang w:val="hr-HR"/>
        </w:rPr>
        <w:t xml:space="preserve">Piqray 50 mg film </w:t>
      </w:r>
      <w:r w:rsidR="007A3BC6" w:rsidRPr="0082654D">
        <w:rPr>
          <w:sz w:val="22"/>
          <w:szCs w:val="22"/>
          <w:u w:val="single"/>
          <w:lang w:val="hr-HR"/>
        </w:rPr>
        <w:t>tablet</w:t>
      </w:r>
      <w:r w:rsidR="007A3BC6">
        <w:rPr>
          <w:sz w:val="22"/>
          <w:szCs w:val="22"/>
          <w:u w:val="single"/>
          <w:lang w:val="hr-HR"/>
        </w:rPr>
        <w:t>a</w:t>
      </w:r>
    </w:p>
    <w:p w14:paraId="3DA4D3EE" w14:textId="77777777" w:rsidR="0082654D" w:rsidRPr="0082654D" w:rsidRDefault="0082654D" w:rsidP="0082654D">
      <w:pPr>
        <w:shd w:val="clear" w:color="auto" w:fill="FFFFFF" w:themeFill="background1"/>
        <w:rPr>
          <w:sz w:val="22"/>
          <w:szCs w:val="22"/>
          <w:lang w:val="hr-HR"/>
        </w:rPr>
      </w:pPr>
      <w:r w:rsidRPr="0082654D">
        <w:rPr>
          <w:sz w:val="22"/>
          <w:szCs w:val="22"/>
          <w:lang w:val="hr-HR"/>
        </w:rPr>
        <w:t>Jedna film tableta sadrži 50 mg alpelisiba.</w:t>
      </w:r>
    </w:p>
    <w:p w14:paraId="776328E6" w14:textId="77777777" w:rsidR="0082654D" w:rsidRPr="0082654D" w:rsidRDefault="0082654D" w:rsidP="0082654D">
      <w:pPr>
        <w:shd w:val="clear" w:color="auto" w:fill="FFFFFF" w:themeFill="background1"/>
        <w:rPr>
          <w:sz w:val="22"/>
          <w:szCs w:val="22"/>
          <w:lang w:val="hr-HR"/>
        </w:rPr>
      </w:pPr>
    </w:p>
    <w:p w14:paraId="3224FEC9" w14:textId="77777777" w:rsidR="0082654D" w:rsidRPr="0082654D" w:rsidRDefault="0082654D" w:rsidP="0082654D">
      <w:pPr>
        <w:keepNext/>
        <w:shd w:val="clear" w:color="auto" w:fill="FFFFFF" w:themeFill="background1"/>
        <w:rPr>
          <w:sz w:val="22"/>
          <w:szCs w:val="22"/>
          <w:lang w:val="hr-HR"/>
        </w:rPr>
      </w:pPr>
      <w:r w:rsidRPr="0082654D">
        <w:rPr>
          <w:sz w:val="22"/>
          <w:szCs w:val="22"/>
          <w:u w:val="single"/>
          <w:lang w:val="hr-HR"/>
        </w:rPr>
        <w:t xml:space="preserve">Piqray 150 mg film </w:t>
      </w:r>
      <w:r w:rsidR="007A3BC6" w:rsidRPr="0082654D">
        <w:rPr>
          <w:sz w:val="22"/>
          <w:szCs w:val="22"/>
          <w:u w:val="single"/>
          <w:lang w:val="hr-HR"/>
        </w:rPr>
        <w:t>tablet</w:t>
      </w:r>
      <w:r w:rsidR="007A3BC6">
        <w:rPr>
          <w:sz w:val="22"/>
          <w:szCs w:val="22"/>
          <w:u w:val="single"/>
          <w:lang w:val="hr-HR"/>
        </w:rPr>
        <w:t>a</w:t>
      </w:r>
    </w:p>
    <w:p w14:paraId="504F28FB" w14:textId="77777777" w:rsidR="0082654D" w:rsidRPr="0082654D" w:rsidRDefault="0082654D" w:rsidP="0082654D">
      <w:pPr>
        <w:shd w:val="clear" w:color="auto" w:fill="FFFFFF" w:themeFill="background1"/>
        <w:rPr>
          <w:sz w:val="22"/>
          <w:szCs w:val="22"/>
          <w:lang w:val="hr-HR"/>
        </w:rPr>
      </w:pPr>
      <w:r w:rsidRPr="0082654D">
        <w:rPr>
          <w:sz w:val="22"/>
          <w:szCs w:val="22"/>
          <w:lang w:val="hr-HR"/>
        </w:rPr>
        <w:t>Jedna film tableta sadrži 150 mg alpelisiba.</w:t>
      </w:r>
    </w:p>
    <w:p w14:paraId="07E3F55C" w14:textId="77777777" w:rsidR="0082654D" w:rsidRPr="0082654D" w:rsidRDefault="0082654D" w:rsidP="0082654D">
      <w:pPr>
        <w:shd w:val="clear" w:color="auto" w:fill="FFFFFF" w:themeFill="background1"/>
        <w:rPr>
          <w:sz w:val="22"/>
          <w:szCs w:val="22"/>
          <w:lang w:val="hr-HR"/>
        </w:rPr>
      </w:pPr>
    </w:p>
    <w:p w14:paraId="4F488B89" w14:textId="77777777" w:rsidR="0082654D" w:rsidRPr="0082654D" w:rsidRDefault="0082654D" w:rsidP="0082654D">
      <w:pPr>
        <w:keepNext/>
        <w:shd w:val="clear" w:color="auto" w:fill="FFFFFF" w:themeFill="background1"/>
        <w:rPr>
          <w:sz w:val="22"/>
          <w:szCs w:val="22"/>
          <w:lang w:val="hr-HR"/>
        </w:rPr>
      </w:pPr>
      <w:r w:rsidRPr="0082654D">
        <w:rPr>
          <w:sz w:val="22"/>
          <w:szCs w:val="22"/>
          <w:u w:val="single"/>
          <w:lang w:val="hr-HR"/>
        </w:rPr>
        <w:t xml:space="preserve">Piqray 200 mg film </w:t>
      </w:r>
      <w:r w:rsidR="007A3BC6" w:rsidRPr="0082654D">
        <w:rPr>
          <w:sz w:val="22"/>
          <w:szCs w:val="22"/>
          <w:u w:val="single"/>
          <w:lang w:val="hr-HR"/>
        </w:rPr>
        <w:t>tablet</w:t>
      </w:r>
      <w:r w:rsidR="007A3BC6">
        <w:rPr>
          <w:sz w:val="22"/>
          <w:szCs w:val="22"/>
          <w:u w:val="single"/>
          <w:lang w:val="hr-HR"/>
        </w:rPr>
        <w:t>a</w:t>
      </w:r>
    </w:p>
    <w:p w14:paraId="2D1DDAB1" w14:textId="77777777" w:rsidR="0082654D" w:rsidRPr="0082654D" w:rsidRDefault="0082654D" w:rsidP="0082654D">
      <w:pPr>
        <w:shd w:val="clear" w:color="auto" w:fill="FFFFFF" w:themeFill="background1"/>
        <w:rPr>
          <w:sz w:val="22"/>
          <w:szCs w:val="22"/>
          <w:lang w:val="hr-HR"/>
        </w:rPr>
      </w:pPr>
      <w:r w:rsidRPr="0082654D">
        <w:rPr>
          <w:sz w:val="22"/>
          <w:szCs w:val="22"/>
          <w:lang w:val="hr-HR"/>
        </w:rPr>
        <w:t>Jedna film tableta sadrži 200 mg alpelisiba.</w:t>
      </w:r>
    </w:p>
    <w:p w14:paraId="6D5B7C8F" w14:textId="77777777" w:rsidR="0082654D" w:rsidRPr="0082654D" w:rsidRDefault="0082654D">
      <w:pPr>
        <w:rPr>
          <w:sz w:val="22"/>
          <w:szCs w:val="22"/>
          <w:lang w:val="sr-Latn-CS"/>
        </w:rPr>
      </w:pPr>
    </w:p>
    <w:p w14:paraId="69C665FE" w14:textId="77777777" w:rsidR="0003793F" w:rsidRPr="0082654D" w:rsidRDefault="0003793F">
      <w:pPr>
        <w:rPr>
          <w:sz w:val="22"/>
          <w:szCs w:val="22"/>
          <w:lang w:val="sr-Latn-CS"/>
        </w:rPr>
      </w:pPr>
      <w:r w:rsidRPr="0082654D">
        <w:rPr>
          <w:sz w:val="22"/>
          <w:szCs w:val="22"/>
          <w:lang w:val="sr-Latn-CS"/>
        </w:rPr>
        <w:t>Za spisak svih ekscipijenasa, pogledati dio 6.1.</w:t>
      </w:r>
    </w:p>
    <w:p w14:paraId="7B43BEC6" w14:textId="77777777" w:rsidR="0003793F" w:rsidRPr="0082654D" w:rsidRDefault="0003793F">
      <w:pPr>
        <w:rPr>
          <w:sz w:val="22"/>
          <w:szCs w:val="22"/>
          <w:lang w:val="sr-Latn-CS"/>
        </w:rPr>
      </w:pPr>
    </w:p>
    <w:p w14:paraId="70FABBA5" w14:textId="77777777" w:rsidR="00C37FD7" w:rsidRPr="0082654D" w:rsidRDefault="00C37FD7">
      <w:pPr>
        <w:rPr>
          <w:sz w:val="22"/>
          <w:szCs w:val="22"/>
          <w:lang w:val="sr-Latn-CS"/>
        </w:rPr>
      </w:pPr>
    </w:p>
    <w:p w14:paraId="5DFDA3BF" w14:textId="77777777" w:rsidR="00411B4B" w:rsidRPr="0082654D" w:rsidRDefault="00411B4B" w:rsidP="00F5167F">
      <w:pPr>
        <w:tabs>
          <w:tab w:val="left" w:pos="540"/>
          <w:tab w:val="left" w:pos="569"/>
        </w:tabs>
        <w:rPr>
          <w:b/>
          <w:bCs/>
          <w:sz w:val="22"/>
          <w:szCs w:val="22"/>
        </w:rPr>
      </w:pPr>
      <w:r w:rsidRPr="0082654D">
        <w:rPr>
          <w:b/>
          <w:bCs/>
          <w:sz w:val="22"/>
          <w:szCs w:val="22"/>
        </w:rPr>
        <w:t xml:space="preserve">3. </w:t>
      </w:r>
      <w:r w:rsidR="00F5167F" w:rsidRPr="0082654D">
        <w:rPr>
          <w:b/>
          <w:bCs/>
          <w:sz w:val="22"/>
          <w:szCs w:val="22"/>
        </w:rPr>
        <w:tab/>
      </w:r>
      <w:r w:rsidRPr="0082654D">
        <w:rPr>
          <w:b/>
          <w:bCs/>
          <w:sz w:val="22"/>
          <w:szCs w:val="22"/>
        </w:rPr>
        <w:t>FARMACEUTSKI OBLIK</w:t>
      </w:r>
      <w:r w:rsidR="009F2D23" w:rsidRPr="0082654D">
        <w:rPr>
          <w:b/>
          <w:bCs/>
          <w:sz w:val="22"/>
          <w:szCs w:val="22"/>
        </w:rPr>
        <w:t xml:space="preserve"> </w:t>
      </w:r>
    </w:p>
    <w:p w14:paraId="667FCB7F" w14:textId="77777777" w:rsidR="00411B4B" w:rsidRPr="0082654D" w:rsidRDefault="00411B4B">
      <w:pPr>
        <w:rPr>
          <w:bCs/>
          <w:sz w:val="22"/>
          <w:szCs w:val="22"/>
          <w:lang w:val="sr-Latn-CS"/>
        </w:rPr>
      </w:pPr>
    </w:p>
    <w:p w14:paraId="4FAEC3AB" w14:textId="77777777" w:rsidR="0082654D" w:rsidRPr="0082654D" w:rsidRDefault="0082654D" w:rsidP="0082654D">
      <w:pPr>
        <w:shd w:val="clear" w:color="auto" w:fill="FFFFFF" w:themeFill="background1"/>
        <w:rPr>
          <w:sz w:val="22"/>
          <w:szCs w:val="22"/>
          <w:lang w:val="hr-HR"/>
        </w:rPr>
      </w:pPr>
      <w:r w:rsidRPr="0082654D">
        <w:rPr>
          <w:sz w:val="22"/>
          <w:szCs w:val="22"/>
          <w:lang w:val="hr-HR"/>
        </w:rPr>
        <w:t>Film tableta.</w:t>
      </w:r>
    </w:p>
    <w:p w14:paraId="7E954C9C" w14:textId="77777777" w:rsidR="0082654D" w:rsidRPr="0082654D" w:rsidRDefault="0082654D" w:rsidP="0082654D">
      <w:pPr>
        <w:shd w:val="clear" w:color="auto" w:fill="FFFFFF" w:themeFill="background1"/>
        <w:rPr>
          <w:sz w:val="22"/>
          <w:szCs w:val="22"/>
          <w:lang w:val="hr-HR"/>
        </w:rPr>
      </w:pPr>
    </w:p>
    <w:p w14:paraId="40A9068A" w14:textId="77777777" w:rsidR="0082654D" w:rsidRPr="0082654D" w:rsidRDefault="0082654D" w:rsidP="0082654D">
      <w:pPr>
        <w:keepNext/>
        <w:shd w:val="clear" w:color="auto" w:fill="FFFFFF" w:themeFill="background1"/>
        <w:rPr>
          <w:sz w:val="22"/>
          <w:szCs w:val="22"/>
          <w:lang w:val="hr-HR"/>
        </w:rPr>
      </w:pPr>
      <w:r w:rsidRPr="0082654D">
        <w:rPr>
          <w:sz w:val="22"/>
          <w:szCs w:val="22"/>
          <w:u w:val="single"/>
          <w:lang w:val="hr-HR"/>
        </w:rPr>
        <w:t xml:space="preserve">Piqray 50 mg film </w:t>
      </w:r>
      <w:r w:rsidR="00AD01A5" w:rsidRPr="0082654D">
        <w:rPr>
          <w:sz w:val="22"/>
          <w:szCs w:val="22"/>
          <w:u w:val="single"/>
          <w:lang w:val="hr-HR"/>
        </w:rPr>
        <w:t>tablet</w:t>
      </w:r>
      <w:r w:rsidR="00AD01A5">
        <w:rPr>
          <w:sz w:val="22"/>
          <w:szCs w:val="22"/>
          <w:u w:val="single"/>
          <w:lang w:val="hr-HR"/>
        </w:rPr>
        <w:t>a</w:t>
      </w:r>
    </w:p>
    <w:p w14:paraId="2F6CBE5D" w14:textId="77777777" w:rsidR="0082654D" w:rsidRPr="0082654D" w:rsidRDefault="0082654D" w:rsidP="0082654D">
      <w:pPr>
        <w:shd w:val="clear" w:color="auto" w:fill="FFFFFF" w:themeFill="background1"/>
        <w:rPr>
          <w:sz w:val="22"/>
          <w:szCs w:val="22"/>
          <w:lang w:val="hr-HR"/>
        </w:rPr>
      </w:pPr>
      <w:r w:rsidRPr="0082654D">
        <w:rPr>
          <w:sz w:val="22"/>
          <w:szCs w:val="22"/>
          <w:lang w:val="hr-HR"/>
        </w:rPr>
        <w:t>Sv</w:t>
      </w:r>
      <w:r w:rsidR="007F4F69">
        <w:rPr>
          <w:sz w:val="22"/>
          <w:szCs w:val="22"/>
          <w:lang w:val="hr-HR"/>
        </w:rPr>
        <w:t>ij</w:t>
      </w:r>
      <w:r w:rsidRPr="0082654D">
        <w:rPr>
          <w:sz w:val="22"/>
          <w:szCs w:val="22"/>
          <w:lang w:val="hr-HR"/>
        </w:rPr>
        <w:t>etloružičasta, okrugla, zaobljena film tableta, fasetiranih ivica sa utisnutom oznakom „L7“ sa jedne strane i „NVR“ sa druge strane. Približan prečnik: 7,2 mm.</w:t>
      </w:r>
    </w:p>
    <w:p w14:paraId="79CFD4A4" w14:textId="77777777" w:rsidR="0082654D" w:rsidRPr="0082654D" w:rsidRDefault="0082654D" w:rsidP="0082654D">
      <w:pPr>
        <w:shd w:val="clear" w:color="auto" w:fill="FFFFFF" w:themeFill="background1"/>
        <w:rPr>
          <w:sz w:val="22"/>
          <w:szCs w:val="22"/>
          <w:lang w:val="hr-HR"/>
        </w:rPr>
      </w:pPr>
    </w:p>
    <w:p w14:paraId="351D9622" w14:textId="77777777" w:rsidR="0082654D" w:rsidRPr="0082654D" w:rsidRDefault="0082654D" w:rsidP="0082654D">
      <w:pPr>
        <w:keepNext/>
        <w:shd w:val="clear" w:color="auto" w:fill="FFFFFF" w:themeFill="background1"/>
        <w:rPr>
          <w:sz w:val="22"/>
          <w:szCs w:val="22"/>
          <w:lang w:val="hr-HR"/>
        </w:rPr>
      </w:pPr>
      <w:r w:rsidRPr="0082654D">
        <w:rPr>
          <w:sz w:val="22"/>
          <w:szCs w:val="22"/>
          <w:u w:val="single"/>
          <w:lang w:val="hr-HR"/>
        </w:rPr>
        <w:t xml:space="preserve">Piqray 150 mg film </w:t>
      </w:r>
      <w:r w:rsidR="00AD01A5" w:rsidRPr="0082654D">
        <w:rPr>
          <w:sz w:val="22"/>
          <w:szCs w:val="22"/>
          <w:u w:val="single"/>
          <w:lang w:val="hr-HR"/>
        </w:rPr>
        <w:t>tablet</w:t>
      </w:r>
      <w:r w:rsidR="00AD01A5">
        <w:rPr>
          <w:sz w:val="22"/>
          <w:szCs w:val="22"/>
          <w:u w:val="single"/>
          <w:lang w:val="hr-HR"/>
        </w:rPr>
        <w:t>a</w:t>
      </w:r>
    </w:p>
    <w:p w14:paraId="4B15683F" w14:textId="77777777" w:rsidR="0082654D" w:rsidRPr="0082654D" w:rsidRDefault="0082654D" w:rsidP="0082654D">
      <w:pPr>
        <w:shd w:val="clear" w:color="auto" w:fill="FFFFFF" w:themeFill="background1"/>
        <w:rPr>
          <w:sz w:val="22"/>
          <w:szCs w:val="22"/>
          <w:lang w:val="hr-HR"/>
        </w:rPr>
      </w:pPr>
      <w:r w:rsidRPr="0082654D">
        <w:rPr>
          <w:sz w:val="22"/>
          <w:szCs w:val="22"/>
          <w:lang w:val="hr-HR"/>
        </w:rPr>
        <w:t>Bl</w:t>
      </w:r>
      <w:r w:rsidR="007F4F69">
        <w:rPr>
          <w:sz w:val="22"/>
          <w:szCs w:val="22"/>
          <w:lang w:val="hr-HR"/>
        </w:rPr>
        <w:t>ij</w:t>
      </w:r>
      <w:r w:rsidRPr="0082654D">
        <w:rPr>
          <w:sz w:val="22"/>
          <w:szCs w:val="22"/>
          <w:lang w:val="hr-HR"/>
        </w:rPr>
        <w:t>edocrvena, ovaloidna, zaobljena film tableta, fasetiranih ivica sa utisnutom oznakom „UL7“ sa jedne strane i „NVR“ sa druge strane. Približna veličina: 14,2 mm (dužina); 5,7 mm (širina).</w:t>
      </w:r>
    </w:p>
    <w:p w14:paraId="0F4D272F" w14:textId="77777777" w:rsidR="0082654D" w:rsidRPr="0082654D" w:rsidRDefault="0082654D" w:rsidP="0082654D">
      <w:pPr>
        <w:shd w:val="clear" w:color="auto" w:fill="FFFFFF" w:themeFill="background1"/>
        <w:rPr>
          <w:sz w:val="22"/>
          <w:szCs w:val="22"/>
          <w:lang w:val="hr-HR"/>
        </w:rPr>
      </w:pPr>
    </w:p>
    <w:p w14:paraId="1DE4F7F0" w14:textId="77777777" w:rsidR="0082654D" w:rsidRPr="0082654D" w:rsidRDefault="0082654D" w:rsidP="0082654D">
      <w:pPr>
        <w:keepNext/>
        <w:shd w:val="clear" w:color="auto" w:fill="FFFFFF" w:themeFill="background1"/>
        <w:rPr>
          <w:sz w:val="22"/>
          <w:szCs w:val="22"/>
          <w:lang w:val="hr-HR"/>
        </w:rPr>
      </w:pPr>
      <w:r w:rsidRPr="0082654D">
        <w:rPr>
          <w:sz w:val="22"/>
          <w:szCs w:val="22"/>
          <w:u w:val="single"/>
          <w:lang w:val="hr-HR"/>
        </w:rPr>
        <w:t xml:space="preserve">Piqray 200 mg film </w:t>
      </w:r>
      <w:r w:rsidR="00AD01A5" w:rsidRPr="0082654D">
        <w:rPr>
          <w:sz w:val="22"/>
          <w:szCs w:val="22"/>
          <w:u w:val="single"/>
          <w:lang w:val="hr-HR"/>
        </w:rPr>
        <w:t>tablet</w:t>
      </w:r>
      <w:r w:rsidR="00AD01A5">
        <w:rPr>
          <w:sz w:val="22"/>
          <w:szCs w:val="22"/>
          <w:u w:val="single"/>
          <w:lang w:val="hr-HR"/>
        </w:rPr>
        <w:t>a</w:t>
      </w:r>
    </w:p>
    <w:p w14:paraId="74087F10" w14:textId="77777777" w:rsidR="0082654D" w:rsidRPr="0082654D" w:rsidRDefault="0082654D" w:rsidP="0082654D">
      <w:pPr>
        <w:shd w:val="clear" w:color="auto" w:fill="FFFFFF" w:themeFill="background1"/>
        <w:rPr>
          <w:sz w:val="22"/>
          <w:szCs w:val="22"/>
          <w:lang w:val="hr-HR"/>
        </w:rPr>
      </w:pPr>
      <w:r w:rsidRPr="0082654D">
        <w:rPr>
          <w:sz w:val="22"/>
          <w:szCs w:val="22"/>
          <w:lang w:val="hr-HR"/>
        </w:rPr>
        <w:t>Sv</w:t>
      </w:r>
      <w:r w:rsidR="007F4F69">
        <w:rPr>
          <w:sz w:val="22"/>
          <w:szCs w:val="22"/>
          <w:lang w:val="hr-HR"/>
        </w:rPr>
        <w:t>ij</w:t>
      </w:r>
      <w:r w:rsidRPr="0082654D">
        <w:rPr>
          <w:sz w:val="22"/>
          <w:szCs w:val="22"/>
          <w:lang w:val="hr-HR"/>
        </w:rPr>
        <w:t>etlocrvena, ovaloidna, zaobljena film tableta, fasetiranih ivica sa utisnutom oznakom „YL7“ sa jedne strane i „NVR“ sa druge strane. Približna veličina: 16,2 mm (dužina); 6,5 mm (širina).</w:t>
      </w:r>
    </w:p>
    <w:p w14:paraId="04FF7098" w14:textId="596EB94C" w:rsidR="00EC2532" w:rsidRDefault="00EC2532">
      <w:pPr>
        <w:rPr>
          <w:bCs/>
          <w:sz w:val="22"/>
          <w:szCs w:val="22"/>
          <w:lang w:val="sr-Latn-CS"/>
        </w:rPr>
      </w:pPr>
    </w:p>
    <w:p w14:paraId="07C76B7C" w14:textId="77777777" w:rsidR="00450357" w:rsidRPr="0082654D" w:rsidRDefault="00450357">
      <w:pPr>
        <w:rPr>
          <w:bCs/>
          <w:sz w:val="22"/>
          <w:szCs w:val="22"/>
          <w:lang w:val="sr-Latn-CS"/>
        </w:rPr>
      </w:pPr>
    </w:p>
    <w:p w14:paraId="568F1A5C" w14:textId="77777777" w:rsidR="00411B4B" w:rsidRPr="0082654D" w:rsidRDefault="00411B4B" w:rsidP="00F5167F">
      <w:pPr>
        <w:tabs>
          <w:tab w:val="left" w:pos="540"/>
          <w:tab w:val="left" w:pos="569"/>
        </w:tabs>
        <w:rPr>
          <w:b/>
          <w:bCs/>
          <w:sz w:val="22"/>
          <w:szCs w:val="22"/>
        </w:rPr>
      </w:pPr>
      <w:r w:rsidRPr="0082654D">
        <w:rPr>
          <w:b/>
          <w:bCs/>
          <w:sz w:val="22"/>
          <w:szCs w:val="22"/>
        </w:rPr>
        <w:t xml:space="preserve">4. </w:t>
      </w:r>
      <w:r w:rsidR="00480FB1" w:rsidRPr="0082654D">
        <w:rPr>
          <w:b/>
          <w:bCs/>
          <w:sz w:val="22"/>
          <w:szCs w:val="22"/>
        </w:rPr>
        <w:tab/>
      </w:r>
      <w:r w:rsidRPr="0082654D">
        <w:rPr>
          <w:b/>
          <w:bCs/>
          <w:sz w:val="22"/>
          <w:szCs w:val="22"/>
        </w:rPr>
        <w:t>KLINIČKI PODACI</w:t>
      </w:r>
    </w:p>
    <w:p w14:paraId="4AF31C87" w14:textId="77777777" w:rsidR="00CD6F02" w:rsidRPr="0082654D" w:rsidRDefault="00CD6F02" w:rsidP="00480FB1">
      <w:pPr>
        <w:tabs>
          <w:tab w:val="left" w:pos="540"/>
          <w:tab w:val="left" w:pos="569"/>
        </w:tabs>
        <w:rPr>
          <w:bCs/>
          <w:sz w:val="22"/>
          <w:szCs w:val="22"/>
        </w:rPr>
      </w:pPr>
    </w:p>
    <w:p w14:paraId="6B9A5077" w14:textId="77777777" w:rsidR="00411B4B" w:rsidRPr="0082654D" w:rsidRDefault="00411B4B" w:rsidP="00480FB1">
      <w:pPr>
        <w:tabs>
          <w:tab w:val="left" w:pos="540"/>
          <w:tab w:val="left" w:pos="569"/>
        </w:tabs>
        <w:rPr>
          <w:b/>
          <w:bCs/>
          <w:sz w:val="22"/>
          <w:szCs w:val="22"/>
        </w:rPr>
      </w:pPr>
      <w:r w:rsidRPr="0082654D">
        <w:rPr>
          <w:b/>
          <w:bCs/>
          <w:sz w:val="22"/>
          <w:szCs w:val="22"/>
        </w:rPr>
        <w:t xml:space="preserve">4.1. </w:t>
      </w:r>
      <w:r w:rsidR="00480FB1" w:rsidRPr="0082654D">
        <w:rPr>
          <w:b/>
          <w:bCs/>
          <w:sz w:val="22"/>
          <w:szCs w:val="22"/>
        </w:rPr>
        <w:tab/>
      </w:r>
      <w:r w:rsidRPr="0082654D">
        <w:rPr>
          <w:b/>
          <w:bCs/>
          <w:sz w:val="22"/>
          <w:szCs w:val="22"/>
        </w:rPr>
        <w:t>Terapijske indikacije</w:t>
      </w:r>
    </w:p>
    <w:p w14:paraId="1A0DD4E0" w14:textId="77777777" w:rsidR="0082654D" w:rsidRPr="0082654D" w:rsidRDefault="0082654D" w:rsidP="0082654D">
      <w:pPr>
        <w:rPr>
          <w:sz w:val="22"/>
          <w:szCs w:val="22"/>
        </w:rPr>
      </w:pPr>
    </w:p>
    <w:p w14:paraId="1FAC61BB" w14:textId="06BB27DF" w:rsidR="0082654D" w:rsidRPr="0082654D" w:rsidRDefault="0082654D" w:rsidP="00A26CAB">
      <w:pPr>
        <w:shd w:val="clear" w:color="auto" w:fill="FFFFFF" w:themeFill="background1"/>
        <w:jc w:val="both"/>
        <w:rPr>
          <w:sz w:val="22"/>
          <w:szCs w:val="22"/>
          <w:lang w:val="hr-HR"/>
        </w:rPr>
      </w:pPr>
      <w:r w:rsidRPr="0082654D">
        <w:rPr>
          <w:sz w:val="22"/>
          <w:szCs w:val="22"/>
          <w:lang w:val="hr-HR"/>
        </w:rPr>
        <w:t>L</w:t>
      </w:r>
      <w:r w:rsidR="00C10B32">
        <w:rPr>
          <w:sz w:val="22"/>
          <w:szCs w:val="22"/>
          <w:lang w:val="hr-HR"/>
        </w:rPr>
        <w:t>ij</w:t>
      </w:r>
      <w:r w:rsidRPr="0082654D">
        <w:rPr>
          <w:sz w:val="22"/>
          <w:szCs w:val="22"/>
          <w:lang w:val="hr-HR"/>
        </w:rPr>
        <w:t xml:space="preserve">ek Piqray je indikovan u kombinaciji sa fulvestrantom za </w:t>
      </w:r>
      <w:r w:rsidR="00B66BE0">
        <w:rPr>
          <w:sz w:val="22"/>
          <w:szCs w:val="22"/>
          <w:lang w:val="hr-HR"/>
        </w:rPr>
        <w:t>liječenj</w:t>
      </w:r>
      <w:r w:rsidRPr="0082654D">
        <w:rPr>
          <w:sz w:val="22"/>
          <w:szCs w:val="22"/>
          <w:lang w:val="hr-HR"/>
        </w:rPr>
        <w:t xml:space="preserve">e postmenopauzalnih žena, i muškaraca, sa lokalno uznapredovalim ili metastatskim </w:t>
      </w:r>
      <w:r w:rsidR="002C51B9">
        <w:rPr>
          <w:sz w:val="22"/>
          <w:szCs w:val="22"/>
          <w:lang w:val="hr-HR"/>
        </w:rPr>
        <w:t>karcinom</w:t>
      </w:r>
      <w:r w:rsidR="002C51B9" w:rsidRPr="0082654D">
        <w:rPr>
          <w:sz w:val="22"/>
          <w:szCs w:val="22"/>
          <w:lang w:val="hr-HR"/>
        </w:rPr>
        <w:t xml:space="preserve">om </w:t>
      </w:r>
      <w:r w:rsidRPr="0082654D">
        <w:rPr>
          <w:sz w:val="22"/>
          <w:szCs w:val="22"/>
          <w:lang w:val="hr-HR"/>
        </w:rPr>
        <w:t>dojke pozitivnim na hormonski receptor (HR) i negativnim na receptor za humani epidermalni faktor rasta 2 (HER2) sa PIK3CA mutacijom nakon progresije bolesti do koje je došlo na endokrinoj terapiji koja se primjenjivala kao monoterapija (</w:t>
      </w:r>
      <w:r w:rsidR="00EF7C8E">
        <w:rPr>
          <w:sz w:val="22"/>
          <w:szCs w:val="22"/>
          <w:lang w:val="hr-HR"/>
        </w:rPr>
        <w:t>pogledati dio</w:t>
      </w:r>
      <w:r w:rsidRPr="0082654D">
        <w:rPr>
          <w:sz w:val="22"/>
          <w:szCs w:val="22"/>
          <w:lang w:val="hr-HR"/>
        </w:rPr>
        <w:t> 5.1).</w:t>
      </w:r>
    </w:p>
    <w:p w14:paraId="332DF9EF" w14:textId="77777777" w:rsidR="00411B4B" w:rsidRPr="0082654D" w:rsidRDefault="00411B4B" w:rsidP="00A26CAB">
      <w:pPr>
        <w:tabs>
          <w:tab w:val="left" w:pos="540"/>
          <w:tab w:val="left" w:pos="569"/>
        </w:tabs>
        <w:jc w:val="both"/>
        <w:rPr>
          <w:bCs/>
          <w:sz w:val="22"/>
          <w:szCs w:val="22"/>
        </w:rPr>
      </w:pPr>
    </w:p>
    <w:p w14:paraId="05DA05BE" w14:textId="77777777" w:rsidR="00411B4B" w:rsidRPr="0082654D" w:rsidRDefault="00411B4B" w:rsidP="00A26CAB">
      <w:pPr>
        <w:tabs>
          <w:tab w:val="left" w:pos="540"/>
          <w:tab w:val="left" w:pos="569"/>
        </w:tabs>
        <w:jc w:val="both"/>
        <w:rPr>
          <w:b/>
          <w:bCs/>
          <w:sz w:val="22"/>
          <w:szCs w:val="22"/>
        </w:rPr>
      </w:pPr>
      <w:r w:rsidRPr="0082654D">
        <w:rPr>
          <w:b/>
          <w:bCs/>
          <w:sz w:val="22"/>
          <w:szCs w:val="22"/>
        </w:rPr>
        <w:t xml:space="preserve">4.2. </w:t>
      </w:r>
      <w:r w:rsidR="00480FB1" w:rsidRPr="0082654D">
        <w:rPr>
          <w:b/>
          <w:bCs/>
          <w:sz w:val="22"/>
          <w:szCs w:val="22"/>
        </w:rPr>
        <w:tab/>
      </w:r>
      <w:r w:rsidRPr="0082654D">
        <w:rPr>
          <w:b/>
          <w:bCs/>
          <w:sz w:val="22"/>
          <w:szCs w:val="22"/>
        </w:rPr>
        <w:t>Doziranje i način primjene</w:t>
      </w:r>
    </w:p>
    <w:p w14:paraId="181AFB2E" w14:textId="77777777" w:rsidR="0082654D" w:rsidRPr="0082654D" w:rsidRDefault="0082654D" w:rsidP="0082654D">
      <w:pPr>
        <w:shd w:val="clear" w:color="auto" w:fill="FFFFFF" w:themeFill="background1"/>
        <w:rPr>
          <w:sz w:val="22"/>
          <w:szCs w:val="22"/>
          <w:lang w:val="hr-HR"/>
        </w:rPr>
      </w:pPr>
    </w:p>
    <w:p w14:paraId="782643C3" w14:textId="3B30AB84" w:rsidR="0082654D" w:rsidRPr="0082654D" w:rsidRDefault="00B66BE0" w:rsidP="00A26CAB">
      <w:pPr>
        <w:shd w:val="clear" w:color="auto" w:fill="FFFFFF" w:themeFill="background1"/>
        <w:jc w:val="both"/>
        <w:rPr>
          <w:sz w:val="22"/>
          <w:szCs w:val="22"/>
          <w:lang w:val="hr-HR"/>
        </w:rPr>
      </w:pPr>
      <w:r>
        <w:rPr>
          <w:sz w:val="22"/>
          <w:szCs w:val="22"/>
          <w:lang w:val="hr-HR"/>
        </w:rPr>
        <w:t>Liječenj</w:t>
      </w:r>
      <w:r w:rsidR="0082654D" w:rsidRPr="0082654D">
        <w:rPr>
          <w:sz w:val="22"/>
          <w:szCs w:val="22"/>
          <w:lang w:val="hr-HR"/>
        </w:rPr>
        <w:t xml:space="preserve">e </w:t>
      </w:r>
      <w:r w:rsidR="00C10B32">
        <w:rPr>
          <w:sz w:val="22"/>
          <w:szCs w:val="22"/>
          <w:lang w:val="hr-HR"/>
        </w:rPr>
        <w:t>lijek</w:t>
      </w:r>
      <w:r w:rsidR="0082654D" w:rsidRPr="0082654D">
        <w:rPr>
          <w:sz w:val="22"/>
          <w:szCs w:val="22"/>
          <w:lang w:val="hr-HR"/>
        </w:rPr>
        <w:t xml:space="preserve">om Piqray mora da započne </w:t>
      </w:r>
      <w:r w:rsidR="00C10B32">
        <w:rPr>
          <w:sz w:val="22"/>
          <w:szCs w:val="22"/>
          <w:lang w:val="hr-HR"/>
        </w:rPr>
        <w:t>ljekar</w:t>
      </w:r>
      <w:r w:rsidR="0082654D" w:rsidRPr="0082654D">
        <w:rPr>
          <w:sz w:val="22"/>
          <w:szCs w:val="22"/>
          <w:lang w:val="hr-HR"/>
        </w:rPr>
        <w:t xml:space="preserve"> sa iskustvom u </w:t>
      </w:r>
      <w:r w:rsidR="00C21CF1">
        <w:rPr>
          <w:sz w:val="22"/>
          <w:szCs w:val="22"/>
          <w:lang w:val="hr-HR"/>
        </w:rPr>
        <w:t>primjen</w:t>
      </w:r>
      <w:r w:rsidR="0082654D" w:rsidRPr="0082654D">
        <w:rPr>
          <w:sz w:val="22"/>
          <w:szCs w:val="22"/>
          <w:lang w:val="hr-HR"/>
        </w:rPr>
        <w:t xml:space="preserve">i terapija protiv </w:t>
      </w:r>
      <w:r w:rsidR="002C51B9">
        <w:rPr>
          <w:sz w:val="22"/>
          <w:szCs w:val="22"/>
          <w:lang w:val="hr-HR"/>
        </w:rPr>
        <w:t>karcinom</w:t>
      </w:r>
      <w:r w:rsidR="002C51B9" w:rsidRPr="0082654D">
        <w:rPr>
          <w:sz w:val="22"/>
          <w:szCs w:val="22"/>
          <w:lang w:val="hr-HR"/>
        </w:rPr>
        <w:t>a</w:t>
      </w:r>
      <w:r w:rsidR="0082654D" w:rsidRPr="0082654D">
        <w:rPr>
          <w:sz w:val="22"/>
          <w:szCs w:val="22"/>
          <w:lang w:val="hr-HR"/>
        </w:rPr>
        <w:t>.</w:t>
      </w:r>
      <w:bookmarkStart w:id="0" w:name="_GoBack"/>
      <w:bookmarkEnd w:id="0"/>
    </w:p>
    <w:p w14:paraId="6F0278D0" w14:textId="04DFDDD7" w:rsidR="0082654D" w:rsidRPr="0082654D" w:rsidRDefault="0082654D" w:rsidP="00A26CAB">
      <w:pPr>
        <w:shd w:val="clear" w:color="auto" w:fill="FFFFFF" w:themeFill="background1"/>
        <w:jc w:val="both"/>
        <w:rPr>
          <w:sz w:val="22"/>
          <w:szCs w:val="22"/>
          <w:lang w:val="hr-HR"/>
        </w:rPr>
      </w:pPr>
      <w:r w:rsidRPr="0082654D">
        <w:rPr>
          <w:sz w:val="22"/>
          <w:szCs w:val="22"/>
          <w:lang w:val="hr-HR"/>
        </w:rPr>
        <w:lastRenderedPageBreak/>
        <w:t>Pacijenti sa HR</w:t>
      </w:r>
      <w:r w:rsidRPr="0082654D">
        <w:rPr>
          <w:sz w:val="22"/>
          <w:szCs w:val="22"/>
          <w:lang w:val="hr-HR"/>
        </w:rPr>
        <w:noBreakHyphen/>
        <w:t>pozitivnim, HER2</w:t>
      </w:r>
      <w:r w:rsidRPr="0082654D">
        <w:rPr>
          <w:sz w:val="22"/>
          <w:szCs w:val="22"/>
          <w:lang w:val="hr-HR"/>
        </w:rPr>
        <w:noBreakHyphen/>
        <w:t xml:space="preserve">negativnim uznapredovalim </w:t>
      </w:r>
      <w:r w:rsidR="002C51B9">
        <w:rPr>
          <w:sz w:val="22"/>
          <w:szCs w:val="22"/>
          <w:lang w:val="hr-HR"/>
        </w:rPr>
        <w:t>karcinom</w:t>
      </w:r>
      <w:r w:rsidR="002C51B9" w:rsidRPr="0082654D">
        <w:rPr>
          <w:sz w:val="22"/>
          <w:szCs w:val="22"/>
          <w:lang w:val="hr-HR"/>
        </w:rPr>
        <w:t xml:space="preserve">om </w:t>
      </w:r>
      <w:r w:rsidRPr="0082654D">
        <w:rPr>
          <w:sz w:val="22"/>
          <w:szCs w:val="22"/>
          <w:lang w:val="hr-HR"/>
        </w:rPr>
        <w:t>dojke biraju se na osnovu prisustva PIK3CA mutacije u uzorcima tumora ili plazme, koristeći validirani test. Ako se ne otkrije mutacija u uzorku plazme, potrebno je testirati tumorsko tkivo ako je dostupno.</w:t>
      </w:r>
    </w:p>
    <w:p w14:paraId="4CE1AFD5" w14:textId="77777777" w:rsidR="0072020E" w:rsidRPr="0082654D" w:rsidRDefault="0072020E" w:rsidP="00480FB1">
      <w:pPr>
        <w:tabs>
          <w:tab w:val="left" w:pos="540"/>
          <w:tab w:val="left" w:pos="569"/>
        </w:tabs>
        <w:rPr>
          <w:bCs/>
          <w:sz w:val="22"/>
          <w:szCs w:val="22"/>
        </w:rPr>
      </w:pPr>
    </w:p>
    <w:p w14:paraId="09236A5B" w14:textId="77777777" w:rsidR="0082654D" w:rsidRPr="0082654D" w:rsidRDefault="00452E9D" w:rsidP="0082654D">
      <w:pPr>
        <w:tabs>
          <w:tab w:val="left" w:pos="540"/>
          <w:tab w:val="left" w:pos="569"/>
        </w:tabs>
        <w:rPr>
          <w:bCs/>
          <w:sz w:val="22"/>
          <w:szCs w:val="22"/>
          <w:u w:val="single"/>
        </w:rPr>
      </w:pPr>
      <w:r w:rsidRPr="0082654D">
        <w:rPr>
          <w:bCs/>
          <w:sz w:val="22"/>
          <w:szCs w:val="22"/>
          <w:u w:val="single"/>
        </w:rPr>
        <w:t>Doziranje</w:t>
      </w:r>
    </w:p>
    <w:p w14:paraId="2EB3CEB8" w14:textId="77777777" w:rsidR="0082654D" w:rsidRPr="0082654D" w:rsidRDefault="0082654D" w:rsidP="00A26CAB">
      <w:pPr>
        <w:tabs>
          <w:tab w:val="left" w:pos="540"/>
          <w:tab w:val="left" w:pos="569"/>
        </w:tabs>
        <w:jc w:val="both"/>
        <w:rPr>
          <w:bCs/>
          <w:sz w:val="22"/>
          <w:szCs w:val="22"/>
          <w:u w:val="single"/>
        </w:rPr>
      </w:pPr>
    </w:p>
    <w:p w14:paraId="430E4262" w14:textId="23BA29AA" w:rsidR="0082654D" w:rsidRPr="0082654D" w:rsidRDefault="0082654D" w:rsidP="00A26CAB">
      <w:pPr>
        <w:shd w:val="clear" w:color="auto" w:fill="FFFFFF" w:themeFill="background1"/>
        <w:jc w:val="both"/>
        <w:rPr>
          <w:sz w:val="22"/>
          <w:szCs w:val="22"/>
          <w:lang w:val="hr-HR"/>
        </w:rPr>
      </w:pPr>
      <w:r w:rsidRPr="0082654D">
        <w:rPr>
          <w:sz w:val="22"/>
          <w:szCs w:val="22"/>
          <w:lang w:val="hr-HR"/>
        </w:rPr>
        <w:t>Preporučena doza je 300 mg (dv</w:t>
      </w:r>
      <w:r w:rsidR="002C51B9">
        <w:rPr>
          <w:sz w:val="22"/>
          <w:szCs w:val="22"/>
          <w:lang w:val="hr-HR"/>
        </w:rPr>
        <w:t>ij</w:t>
      </w:r>
      <w:r w:rsidRPr="0082654D">
        <w:rPr>
          <w:sz w:val="22"/>
          <w:szCs w:val="22"/>
          <w:lang w:val="hr-HR"/>
        </w:rPr>
        <w:t xml:space="preserve">e film tablete od po 150 mg) alpelisiba jedanput na dan u kontinuitetu. Najviša preporučena dnevna doza </w:t>
      </w:r>
      <w:r w:rsidR="00C10B32">
        <w:rPr>
          <w:sz w:val="22"/>
          <w:szCs w:val="22"/>
          <w:lang w:val="hr-HR"/>
        </w:rPr>
        <w:t>lijek</w:t>
      </w:r>
      <w:r w:rsidRPr="0082654D">
        <w:rPr>
          <w:sz w:val="22"/>
          <w:szCs w:val="22"/>
          <w:lang w:val="hr-HR"/>
        </w:rPr>
        <w:t>a Piqray je 300 mg.</w:t>
      </w:r>
    </w:p>
    <w:p w14:paraId="151585C4" w14:textId="77777777" w:rsidR="0082654D" w:rsidRPr="0082654D" w:rsidRDefault="0082654D" w:rsidP="0082654D">
      <w:pPr>
        <w:shd w:val="clear" w:color="auto" w:fill="FFFFFF" w:themeFill="background1"/>
        <w:rPr>
          <w:sz w:val="22"/>
          <w:szCs w:val="22"/>
          <w:lang w:val="hr-HR"/>
        </w:rPr>
      </w:pPr>
    </w:p>
    <w:p w14:paraId="75B973B6" w14:textId="737E4559" w:rsidR="0082654D" w:rsidRPr="0082654D" w:rsidRDefault="0082654D" w:rsidP="00A26CAB">
      <w:pPr>
        <w:shd w:val="clear" w:color="auto" w:fill="FFFFFF" w:themeFill="background1"/>
        <w:jc w:val="both"/>
        <w:rPr>
          <w:sz w:val="22"/>
          <w:szCs w:val="22"/>
          <w:lang w:val="hr-HR"/>
        </w:rPr>
      </w:pPr>
      <w:r w:rsidRPr="0082654D">
        <w:rPr>
          <w:sz w:val="22"/>
          <w:szCs w:val="22"/>
          <w:lang w:val="hr-HR"/>
        </w:rPr>
        <w:t>Ako se propusti doza, može da se uzme odmah nakon obroka i to unutar 9 sati od propuštene doze. Ako je od propuštene doze prošlo više od 9 sati, dozu za taj dan je potrebno preskočiti. Sl</w:t>
      </w:r>
      <w:r w:rsidR="00A26CAB">
        <w:rPr>
          <w:sz w:val="22"/>
          <w:szCs w:val="22"/>
          <w:lang w:val="hr-HR"/>
        </w:rPr>
        <w:t>j</w:t>
      </w:r>
      <w:r w:rsidRPr="0082654D">
        <w:rPr>
          <w:sz w:val="22"/>
          <w:szCs w:val="22"/>
          <w:lang w:val="hr-HR"/>
        </w:rPr>
        <w:t>edećeg dana treba uzeti</w:t>
      </w:r>
      <w:r w:rsidR="002032DE">
        <w:rPr>
          <w:sz w:val="22"/>
          <w:szCs w:val="22"/>
          <w:lang w:val="hr-HR"/>
        </w:rPr>
        <w:t xml:space="preserve"> </w:t>
      </w:r>
      <w:r w:rsidRPr="0082654D">
        <w:rPr>
          <w:sz w:val="22"/>
          <w:szCs w:val="22"/>
          <w:lang w:val="hr-HR"/>
        </w:rPr>
        <w:t xml:space="preserve"> u uobičajeno </w:t>
      </w:r>
      <w:r w:rsidR="00A26CAB">
        <w:rPr>
          <w:sz w:val="22"/>
          <w:szCs w:val="22"/>
          <w:lang w:val="hr-HR"/>
        </w:rPr>
        <w:t>vrijem</w:t>
      </w:r>
      <w:r w:rsidRPr="0082654D">
        <w:rPr>
          <w:sz w:val="22"/>
          <w:szCs w:val="22"/>
          <w:lang w:val="hr-HR"/>
        </w:rPr>
        <w:t xml:space="preserve">e. Ako pacijent povraća nakon uzimanja doze </w:t>
      </w:r>
      <w:r w:rsidR="00C10B32">
        <w:rPr>
          <w:sz w:val="22"/>
          <w:szCs w:val="22"/>
          <w:lang w:val="hr-HR"/>
        </w:rPr>
        <w:t>lijek</w:t>
      </w:r>
      <w:r w:rsidRPr="0082654D">
        <w:rPr>
          <w:sz w:val="22"/>
          <w:szCs w:val="22"/>
          <w:lang w:val="hr-HR"/>
        </w:rPr>
        <w:t>a Piqray, ne sm</w:t>
      </w:r>
      <w:r w:rsidR="007F4F69">
        <w:rPr>
          <w:sz w:val="22"/>
          <w:szCs w:val="22"/>
          <w:lang w:val="hr-HR"/>
        </w:rPr>
        <w:t>ij</w:t>
      </w:r>
      <w:r w:rsidRPr="0082654D">
        <w:rPr>
          <w:sz w:val="22"/>
          <w:szCs w:val="22"/>
          <w:lang w:val="hr-HR"/>
        </w:rPr>
        <w:t>e da uzima dodatnu dozu toga dana</w:t>
      </w:r>
      <w:r w:rsidR="002C51B9">
        <w:rPr>
          <w:sz w:val="22"/>
          <w:szCs w:val="22"/>
          <w:lang w:val="hr-HR"/>
        </w:rPr>
        <w:t>,</w:t>
      </w:r>
      <w:r w:rsidRPr="0082654D">
        <w:rPr>
          <w:sz w:val="22"/>
          <w:szCs w:val="22"/>
          <w:lang w:val="hr-HR"/>
        </w:rPr>
        <w:t xml:space="preserve"> već treba da nastavi sa uobičajenim rasporedom doziranja </w:t>
      </w:r>
      <w:r w:rsidR="00A26CAB">
        <w:rPr>
          <w:sz w:val="22"/>
          <w:szCs w:val="22"/>
          <w:lang w:val="hr-HR"/>
        </w:rPr>
        <w:t>sljedeć</w:t>
      </w:r>
      <w:r w:rsidRPr="0082654D">
        <w:rPr>
          <w:sz w:val="22"/>
          <w:szCs w:val="22"/>
          <w:lang w:val="hr-HR"/>
        </w:rPr>
        <w:t xml:space="preserve">eg dana u uobičajeno </w:t>
      </w:r>
      <w:r w:rsidR="00A26CAB">
        <w:rPr>
          <w:sz w:val="22"/>
          <w:szCs w:val="22"/>
          <w:lang w:val="hr-HR"/>
        </w:rPr>
        <w:t>vrijem</w:t>
      </w:r>
      <w:r w:rsidRPr="0082654D">
        <w:rPr>
          <w:sz w:val="22"/>
          <w:szCs w:val="22"/>
          <w:lang w:val="hr-HR"/>
        </w:rPr>
        <w:t>e.</w:t>
      </w:r>
    </w:p>
    <w:p w14:paraId="66990034" w14:textId="77777777" w:rsidR="0082654D" w:rsidRPr="0082654D" w:rsidRDefault="0082654D" w:rsidP="00A26CAB">
      <w:pPr>
        <w:shd w:val="clear" w:color="auto" w:fill="FFFFFF" w:themeFill="background1"/>
        <w:jc w:val="both"/>
        <w:rPr>
          <w:sz w:val="22"/>
          <w:szCs w:val="22"/>
          <w:lang w:val="hr-HR"/>
        </w:rPr>
      </w:pPr>
    </w:p>
    <w:p w14:paraId="16A9CB19" w14:textId="77777777" w:rsidR="0082654D" w:rsidRPr="0082654D" w:rsidRDefault="00C10B32" w:rsidP="00A26CAB">
      <w:pPr>
        <w:shd w:val="clear" w:color="auto" w:fill="FFFFFF" w:themeFill="background1"/>
        <w:jc w:val="both"/>
        <w:rPr>
          <w:sz w:val="22"/>
          <w:szCs w:val="22"/>
          <w:lang w:val="hr-HR"/>
        </w:rPr>
      </w:pPr>
      <w:r>
        <w:rPr>
          <w:sz w:val="22"/>
          <w:szCs w:val="22"/>
          <w:lang w:val="hr-HR"/>
        </w:rPr>
        <w:t>Lijek</w:t>
      </w:r>
      <w:r w:rsidR="0082654D" w:rsidRPr="0082654D">
        <w:rPr>
          <w:sz w:val="22"/>
          <w:szCs w:val="22"/>
          <w:lang w:val="hr-HR"/>
        </w:rPr>
        <w:t xml:space="preserve"> Piqray se </w:t>
      </w:r>
      <w:r w:rsidR="00C21CF1">
        <w:rPr>
          <w:sz w:val="22"/>
          <w:szCs w:val="22"/>
          <w:lang w:val="hr-HR"/>
        </w:rPr>
        <w:t>primjen</w:t>
      </w:r>
      <w:r w:rsidR="0082654D" w:rsidRPr="0082654D">
        <w:rPr>
          <w:sz w:val="22"/>
          <w:szCs w:val="22"/>
          <w:lang w:val="hr-HR"/>
        </w:rPr>
        <w:t xml:space="preserve">juje uz fulvestrant. Preporučena doza fulvestranta je 500 mg </w:t>
      </w:r>
      <w:r w:rsidR="00C21CF1">
        <w:rPr>
          <w:sz w:val="22"/>
          <w:szCs w:val="22"/>
          <w:lang w:val="hr-HR"/>
        </w:rPr>
        <w:t>prim</w:t>
      </w:r>
      <w:r w:rsidR="002C51B9">
        <w:rPr>
          <w:sz w:val="22"/>
          <w:szCs w:val="22"/>
          <w:lang w:val="hr-HR"/>
        </w:rPr>
        <w:t>i</w:t>
      </w:r>
      <w:r w:rsidR="00C21CF1">
        <w:rPr>
          <w:sz w:val="22"/>
          <w:szCs w:val="22"/>
          <w:lang w:val="hr-HR"/>
        </w:rPr>
        <w:t>jen</w:t>
      </w:r>
      <w:r w:rsidR="0082654D" w:rsidRPr="0082654D">
        <w:rPr>
          <w:sz w:val="22"/>
          <w:szCs w:val="22"/>
          <w:lang w:val="hr-HR"/>
        </w:rPr>
        <w:t>jeno intramuskularno 1</w:t>
      </w:r>
      <w:r w:rsidR="002C51B9">
        <w:rPr>
          <w:sz w:val="22"/>
          <w:szCs w:val="22"/>
          <w:lang w:val="hr-HR"/>
        </w:rPr>
        <w:t>.</w:t>
      </w:r>
      <w:r w:rsidR="0082654D" w:rsidRPr="0082654D">
        <w:rPr>
          <w:sz w:val="22"/>
          <w:szCs w:val="22"/>
          <w:lang w:val="hr-HR"/>
        </w:rPr>
        <w:t>, 15. i 29. dana, a nakon toga jednom m</w:t>
      </w:r>
      <w:r w:rsidR="002C51B9">
        <w:rPr>
          <w:sz w:val="22"/>
          <w:szCs w:val="22"/>
          <w:lang w:val="hr-HR"/>
        </w:rPr>
        <w:t>j</w:t>
      </w:r>
      <w:r w:rsidR="0082654D" w:rsidRPr="0082654D">
        <w:rPr>
          <w:sz w:val="22"/>
          <w:szCs w:val="22"/>
          <w:lang w:val="hr-HR"/>
        </w:rPr>
        <w:t xml:space="preserve">esečno. </w:t>
      </w:r>
      <w:r w:rsidR="00C21CF1">
        <w:rPr>
          <w:sz w:val="22"/>
          <w:szCs w:val="22"/>
          <w:lang w:val="hr-HR"/>
        </w:rPr>
        <w:t>Vidjet</w:t>
      </w:r>
      <w:r w:rsidR="0082654D" w:rsidRPr="0082654D">
        <w:rPr>
          <w:sz w:val="22"/>
          <w:szCs w:val="22"/>
          <w:lang w:val="hr-HR"/>
        </w:rPr>
        <w:t xml:space="preserve">i kompletne informacije o </w:t>
      </w:r>
      <w:r>
        <w:rPr>
          <w:sz w:val="22"/>
          <w:szCs w:val="22"/>
          <w:lang w:val="hr-HR"/>
        </w:rPr>
        <w:t>lijek</w:t>
      </w:r>
      <w:r w:rsidR="0082654D" w:rsidRPr="0082654D">
        <w:rPr>
          <w:sz w:val="22"/>
          <w:szCs w:val="22"/>
          <w:lang w:val="hr-HR"/>
        </w:rPr>
        <w:t>u za fulvestrant.</w:t>
      </w:r>
    </w:p>
    <w:p w14:paraId="0AE12965" w14:textId="77777777" w:rsidR="0082654D" w:rsidRPr="0082654D" w:rsidRDefault="0082654D" w:rsidP="00A26CAB">
      <w:pPr>
        <w:shd w:val="clear" w:color="auto" w:fill="FFFFFF" w:themeFill="background1"/>
        <w:jc w:val="both"/>
        <w:rPr>
          <w:sz w:val="22"/>
          <w:szCs w:val="22"/>
          <w:lang w:val="hr-HR"/>
        </w:rPr>
      </w:pPr>
    </w:p>
    <w:p w14:paraId="7AFDBAB7" w14:textId="77777777" w:rsidR="0082654D" w:rsidRPr="0082654D" w:rsidRDefault="00B66BE0" w:rsidP="00A26CAB">
      <w:pPr>
        <w:shd w:val="clear" w:color="auto" w:fill="FFFFFF" w:themeFill="background1"/>
        <w:jc w:val="both"/>
        <w:rPr>
          <w:sz w:val="22"/>
          <w:szCs w:val="22"/>
          <w:lang w:val="hr-HR"/>
        </w:rPr>
      </w:pPr>
      <w:r>
        <w:rPr>
          <w:sz w:val="22"/>
          <w:szCs w:val="22"/>
          <w:lang w:val="hr-HR"/>
        </w:rPr>
        <w:t>Liječenj</w:t>
      </w:r>
      <w:r w:rsidR="0082654D" w:rsidRPr="0082654D">
        <w:rPr>
          <w:sz w:val="22"/>
          <w:szCs w:val="22"/>
          <w:lang w:val="hr-HR"/>
        </w:rPr>
        <w:t>e je potrebno nastaviti dokle god se uočava klinička korist ili dok se ne pojavi neprihvatljiva toksičnost. Moguće je da će biti potrebno prilagođavanje doze radi poboljšanja podnošljivosti.</w:t>
      </w:r>
    </w:p>
    <w:p w14:paraId="72F0F311" w14:textId="77777777" w:rsidR="0082654D" w:rsidRPr="0082654D" w:rsidRDefault="0082654D" w:rsidP="00A26CAB">
      <w:pPr>
        <w:shd w:val="clear" w:color="auto" w:fill="FFFFFF" w:themeFill="background1"/>
        <w:jc w:val="both"/>
        <w:rPr>
          <w:sz w:val="22"/>
          <w:szCs w:val="22"/>
          <w:lang w:val="hr-HR"/>
        </w:rPr>
      </w:pPr>
    </w:p>
    <w:p w14:paraId="20A9C54B" w14:textId="77777777" w:rsidR="0082654D" w:rsidRPr="0082654D" w:rsidRDefault="0082654D" w:rsidP="00A26CAB">
      <w:pPr>
        <w:keepNext/>
        <w:shd w:val="clear" w:color="auto" w:fill="FFFFFF" w:themeFill="background1"/>
        <w:jc w:val="both"/>
        <w:rPr>
          <w:sz w:val="22"/>
          <w:szCs w:val="22"/>
          <w:lang w:val="hr-HR"/>
        </w:rPr>
      </w:pPr>
      <w:r w:rsidRPr="002A51AB">
        <w:rPr>
          <w:i/>
          <w:sz w:val="22"/>
          <w:szCs w:val="22"/>
          <w:u w:val="single"/>
          <w:lang w:val="hr-HR"/>
        </w:rPr>
        <w:t>Prilagođavanje doze</w:t>
      </w:r>
    </w:p>
    <w:p w14:paraId="2C029A4D" w14:textId="77777777" w:rsidR="0082654D" w:rsidRPr="0082654D" w:rsidRDefault="0082654D" w:rsidP="00A26CAB">
      <w:pPr>
        <w:shd w:val="clear" w:color="auto" w:fill="FFFFFF" w:themeFill="background1"/>
        <w:jc w:val="both"/>
        <w:rPr>
          <w:sz w:val="22"/>
          <w:szCs w:val="22"/>
          <w:lang w:val="hr-HR"/>
        </w:rPr>
      </w:pPr>
      <w:r w:rsidRPr="0082654D">
        <w:rPr>
          <w:sz w:val="22"/>
          <w:szCs w:val="22"/>
          <w:lang w:val="hr-HR"/>
        </w:rPr>
        <w:t>Zbog zbrinjavanja teških ili nepodnošljivih neželjenih reakcija možda će biti potrebno da se pri</w:t>
      </w:r>
      <w:r w:rsidR="002A51AB">
        <w:rPr>
          <w:sz w:val="22"/>
          <w:szCs w:val="22"/>
          <w:lang w:val="hr-HR"/>
        </w:rPr>
        <w:t>vr</w:t>
      </w:r>
      <w:r w:rsidR="00A26CAB">
        <w:rPr>
          <w:sz w:val="22"/>
          <w:szCs w:val="22"/>
          <w:lang w:val="hr-HR"/>
        </w:rPr>
        <w:t>em</w:t>
      </w:r>
      <w:r w:rsidRPr="0082654D">
        <w:rPr>
          <w:sz w:val="22"/>
          <w:szCs w:val="22"/>
          <w:lang w:val="hr-HR"/>
        </w:rPr>
        <w:t xml:space="preserve">eno prekine terapija, smanji doza i/ili obustavi </w:t>
      </w:r>
      <w:r w:rsidR="00C21CF1">
        <w:rPr>
          <w:sz w:val="22"/>
          <w:szCs w:val="22"/>
          <w:lang w:val="hr-HR"/>
        </w:rPr>
        <w:t>primjen</w:t>
      </w:r>
      <w:r w:rsidRPr="0082654D">
        <w:rPr>
          <w:sz w:val="22"/>
          <w:szCs w:val="22"/>
          <w:lang w:val="hr-HR"/>
        </w:rPr>
        <w:t xml:space="preserve">a </w:t>
      </w:r>
      <w:r w:rsidR="00C10B32">
        <w:rPr>
          <w:sz w:val="22"/>
          <w:szCs w:val="22"/>
          <w:lang w:val="hr-HR"/>
        </w:rPr>
        <w:t>lijek</w:t>
      </w:r>
      <w:r w:rsidRPr="0082654D">
        <w:rPr>
          <w:sz w:val="22"/>
          <w:szCs w:val="22"/>
          <w:lang w:val="hr-HR"/>
        </w:rPr>
        <w:t>a Piqray. Ako je potrebno smanjenje doze, sm</w:t>
      </w:r>
      <w:r w:rsidR="002A51AB">
        <w:rPr>
          <w:sz w:val="22"/>
          <w:szCs w:val="22"/>
          <w:lang w:val="hr-HR"/>
        </w:rPr>
        <w:t>j</w:t>
      </w:r>
      <w:r w:rsidRPr="0082654D">
        <w:rPr>
          <w:sz w:val="22"/>
          <w:szCs w:val="22"/>
          <w:lang w:val="hr-HR"/>
        </w:rPr>
        <w:t xml:space="preserve">ernice za smanjenje doze zbog neželjenih reakcija navedene su u Tabeli 1. Preporučuju se najviše dva smanjenja doze, nakon čega kod pacijenata treba trajno obustaviti </w:t>
      </w:r>
      <w:r w:rsidR="00B66BE0">
        <w:rPr>
          <w:sz w:val="22"/>
          <w:szCs w:val="22"/>
          <w:lang w:val="hr-HR"/>
        </w:rPr>
        <w:t>liječenj</w:t>
      </w:r>
      <w:r w:rsidRPr="0082654D">
        <w:rPr>
          <w:sz w:val="22"/>
          <w:szCs w:val="22"/>
          <w:lang w:val="hr-HR"/>
        </w:rPr>
        <w:t xml:space="preserve">e </w:t>
      </w:r>
      <w:r w:rsidR="00C10B32">
        <w:rPr>
          <w:sz w:val="22"/>
          <w:szCs w:val="22"/>
          <w:lang w:val="hr-HR"/>
        </w:rPr>
        <w:t>lijek</w:t>
      </w:r>
      <w:r w:rsidRPr="0082654D">
        <w:rPr>
          <w:sz w:val="22"/>
          <w:szCs w:val="22"/>
          <w:lang w:val="hr-HR"/>
        </w:rPr>
        <w:t>om Piqray. Smanjenje doze mora da bude zasnovano na najgoroj prethodnoj toksičnosti.</w:t>
      </w:r>
    </w:p>
    <w:p w14:paraId="7AE63D75" w14:textId="77777777" w:rsidR="0082654D" w:rsidRPr="0082654D" w:rsidRDefault="0082654D" w:rsidP="00A26CAB">
      <w:pPr>
        <w:shd w:val="clear" w:color="auto" w:fill="FFFFFF" w:themeFill="background1"/>
        <w:jc w:val="both"/>
        <w:rPr>
          <w:sz w:val="22"/>
          <w:szCs w:val="22"/>
          <w:lang w:val="hr-HR"/>
        </w:rPr>
      </w:pPr>
    </w:p>
    <w:p w14:paraId="6DD0A843" w14:textId="6BDAB52C" w:rsidR="0082654D" w:rsidRPr="0082654D" w:rsidRDefault="0082654D" w:rsidP="0082654D">
      <w:pPr>
        <w:keepNext/>
        <w:keepLines/>
        <w:shd w:val="clear" w:color="auto" w:fill="FFFFFF" w:themeFill="background1"/>
        <w:ind w:left="1134" w:hanging="1134"/>
        <w:rPr>
          <w:sz w:val="22"/>
          <w:szCs w:val="22"/>
          <w:lang w:val="hr-HR"/>
        </w:rPr>
      </w:pPr>
      <w:r w:rsidRPr="0082654D">
        <w:rPr>
          <w:b/>
          <w:sz w:val="22"/>
          <w:szCs w:val="22"/>
          <w:lang w:val="hr-HR"/>
        </w:rPr>
        <w:t>Tabela 1</w:t>
      </w:r>
      <w:r w:rsidRPr="0082654D">
        <w:rPr>
          <w:b/>
          <w:sz w:val="22"/>
          <w:szCs w:val="22"/>
          <w:lang w:val="hr-HR"/>
        </w:rPr>
        <w:tab/>
        <w:t>Sm</w:t>
      </w:r>
      <w:r w:rsidR="002A51AB">
        <w:rPr>
          <w:b/>
          <w:sz w:val="22"/>
          <w:szCs w:val="22"/>
          <w:lang w:val="hr-HR"/>
        </w:rPr>
        <w:t>j</w:t>
      </w:r>
      <w:r w:rsidRPr="0082654D">
        <w:rPr>
          <w:b/>
          <w:sz w:val="22"/>
          <w:szCs w:val="22"/>
          <w:lang w:val="hr-HR"/>
        </w:rPr>
        <w:t xml:space="preserve">ernice za preporučeno smanjenje doze zbog neželjenih reakcija </w:t>
      </w:r>
      <w:r w:rsidR="002032DE">
        <w:rPr>
          <w:b/>
          <w:sz w:val="22"/>
          <w:szCs w:val="22"/>
          <w:lang w:val="hr-HR"/>
        </w:rPr>
        <w:t xml:space="preserve"> </w:t>
      </w:r>
      <w:r w:rsidRPr="0082654D">
        <w:rPr>
          <w:rFonts w:ascii="Times New Roman Bold" w:hAnsi="Times New Roman Bold"/>
          <w:b/>
          <w:sz w:val="22"/>
          <w:szCs w:val="22"/>
          <w:vertAlign w:val="superscript"/>
          <w:lang w:val="hr-HR"/>
        </w:rPr>
        <w:t>1</w:t>
      </w:r>
    </w:p>
    <w:p w14:paraId="78D40ECB" w14:textId="77777777" w:rsidR="0082654D" w:rsidRPr="0082654D" w:rsidRDefault="0082654D" w:rsidP="0082654D">
      <w:pPr>
        <w:keepNext/>
        <w:keepLines/>
        <w:shd w:val="clear" w:color="auto" w:fill="FFFFFF" w:themeFill="background1"/>
        <w:ind w:left="1170" w:hanging="1170"/>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759"/>
        <w:gridCol w:w="3828"/>
      </w:tblGrid>
      <w:tr w:rsidR="0082654D" w:rsidRPr="0082654D" w14:paraId="5DF8E8B1" w14:textId="77777777" w:rsidTr="00C10B32">
        <w:trPr>
          <w:cantSplit/>
        </w:trPr>
        <w:tc>
          <w:tcPr>
            <w:tcW w:w="1371" w:type="pct"/>
            <w:shd w:val="clear" w:color="auto" w:fill="auto"/>
          </w:tcPr>
          <w:p w14:paraId="7A4876B5" w14:textId="77777777" w:rsidR="0082654D" w:rsidRPr="0082654D" w:rsidRDefault="0082654D" w:rsidP="00C10B32">
            <w:pPr>
              <w:keepNext/>
              <w:keepLines/>
              <w:shd w:val="clear" w:color="auto" w:fill="FFFFFF" w:themeFill="background1"/>
              <w:rPr>
                <w:b/>
                <w:sz w:val="22"/>
                <w:szCs w:val="22"/>
                <w:lang w:val="hr-HR"/>
              </w:rPr>
            </w:pPr>
            <w:r w:rsidRPr="0082654D">
              <w:rPr>
                <w:b/>
                <w:sz w:val="22"/>
                <w:szCs w:val="22"/>
                <w:lang w:val="hr-HR"/>
              </w:rPr>
              <w:t xml:space="preserve">Nivo doze </w:t>
            </w:r>
            <w:r w:rsidR="00C10B32">
              <w:rPr>
                <w:b/>
                <w:sz w:val="22"/>
                <w:szCs w:val="22"/>
                <w:lang w:val="hr-HR"/>
              </w:rPr>
              <w:t>lijek</w:t>
            </w:r>
            <w:r w:rsidRPr="0082654D">
              <w:rPr>
                <w:b/>
                <w:sz w:val="22"/>
                <w:szCs w:val="22"/>
                <w:lang w:val="hr-HR"/>
              </w:rPr>
              <w:t>a Piqray</w:t>
            </w:r>
          </w:p>
        </w:tc>
        <w:tc>
          <w:tcPr>
            <w:tcW w:w="1520" w:type="pct"/>
            <w:shd w:val="clear" w:color="auto" w:fill="auto"/>
          </w:tcPr>
          <w:p w14:paraId="48FEEC6C" w14:textId="77777777" w:rsidR="0082654D" w:rsidRPr="0082654D" w:rsidRDefault="0082654D" w:rsidP="00C10B32">
            <w:pPr>
              <w:keepNext/>
              <w:keepLines/>
              <w:shd w:val="clear" w:color="auto" w:fill="FFFFFF" w:themeFill="background1"/>
              <w:rPr>
                <w:b/>
                <w:sz w:val="22"/>
                <w:szCs w:val="22"/>
                <w:lang w:val="hr-HR"/>
              </w:rPr>
            </w:pPr>
            <w:r w:rsidRPr="0082654D">
              <w:rPr>
                <w:b/>
                <w:sz w:val="22"/>
                <w:szCs w:val="22"/>
                <w:lang w:val="hr-HR"/>
              </w:rPr>
              <w:t>Doza i raspored</w:t>
            </w:r>
          </w:p>
        </w:tc>
        <w:tc>
          <w:tcPr>
            <w:tcW w:w="2108" w:type="pct"/>
            <w:shd w:val="clear" w:color="auto" w:fill="auto"/>
          </w:tcPr>
          <w:p w14:paraId="76C0D003" w14:textId="77777777" w:rsidR="0082654D" w:rsidRPr="0082654D" w:rsidRDefault="0082654D" w:rsidP="00C10B32">
            <w:pPr>
              <w:keepNext/>
              <w:keepLines/>
              <w:shd w:val="clear" w:color="auto" w:fill="FFFFFF" w:themeFill="background1"/>
              <w:rPr>
                <w:b/>
                <w:sz w:val="22"/>
                <w:szCs w:val="22"/>
                <w:lang w:val="hr-HR"/>
              </w:rPr>
            </w:pPr>
            <w:r w:rsidRPr="0082654D">
              <w:rPr>
                <w:b/>
                <w:sz w:val="22"/>
                <w:szCs w:val="22"/>
                <w:lang w:val="hr-HR"/>
              </w:rPr>
              <w:t>Broj i jačina tableta</w:t>
            </w:r>
          </w:p>
        </w:tc>
      </w:tr>
      <w:tr w:rsidR="0082654D" w:rsidRPr="0082654D" w14:paraId="6EC88402" w14:textId="77777777" w:rsidTr="00C10B32">
        <w:trPr>
          <w:cantSplit/>
        </w:trPr>
        <w:tc>
          <w:tcPr>
            <w:tcW w:w="1371" w:type="pct"/>
            <w:shd w:val="clear" w:color="auto" w:fill="auto"/>
          </w:tcPr>
          <w:p w14:paraId="3103B3D4"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Početna doza</w:t>
            </w:r>
          </w:p>
        </w:tc>
        <w:tc>
          <w:tcPr>
            <w:tcW w:w="1520" w:type="pct"/>
            <w:shd w:val="clear" w:color="auto" w:fill="auto"/>
          </w:tcPr>
          <w:p w14:paraId="7616AA92"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300 mg/dan kontinuirano</w:t>
            </w:r>
          </w:p>
        </w:tc>
        <w:tc>
          <w:tcPr>
            <w:tcW w:w="2108" w:type="pct"/>
            <w:shd w:val="clear" w:color="auto" w:fill="auto"/>
          </w:tcPr>
          <w:p w14:paraId="5E9AAC15"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2 tablete od 150 mg</w:t>
            </w:r>
          </w:p>
        </w:tc>
      </w:tr>
      <w:tr w:rsidR="0082654D" w:rsidRPr="0082654D" w14:paraId="1A4E4BBC" w14:textId="77777777" w:rsidTr="00C10B32">
        <w:trPr>
          <w:cantSplit/>
        </w:trPr>
        <w:tc>
          <w:tcPr>
            <w:tcW w:w="1371" w:type="pct"/>
            <w:shd w:val="clear" w:color="auto" w:fill="auto"/>
          </w:tcPr>
          <w:p w14:paraId="1D7D2D86"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Prvo smanjenje doze</w:t>
            </w:r>
          </w:p>
        </w:tc>
        <w:tc>
          <w:tcPr>
            <w:tcW w:w="1520" w:type="pct"/>
            <w:shd w:val="clear" w:color="auto" w:fill="auto"/>
          </w:tcPr>
          <w:p w14:paraId="66483DA0"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250 mg/dan kontinuirano</w:t>
            </w:r>
          </w:p>
        </w:tc>
        <w:tc>
          <w:tcPr>
            <w:tcW w:w="2108" w:type="pct"/>
            <w:shd w:val="clear" w:color="auto" w:fill="auto"/>
          </w:tcPr>
          <w:p w14:paraId="7C711C0E"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1 tableta od 200 mg i 1 tableta od 50 mg</w:t>
            </w:r>
          </w:p>
        </w:tc>
      </w:tr>
      <w:tr w:rsidR="0082654D" w:rsidRPr="0082654D" w14:paraId="13B05020" w14:textId="77777777" w:rsidTr="00C10B32">
        <w:trPr>
          <w:cantSplit/>
        </w:trPr>
        <w:tc>
          <w:tcPr>
            <w:tcW w:w="1371" w:type="pct"/>
            <w:shd w:val="clear" w:color="auto" w:fill="auto"/>
          </w:tcPr>
          <w:p w14:paraId="48BC2E82"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Drugo smanjenje doze</w:t>
            </w:r>
          </w:p>
        </w:tc>
        <w:tc>
          <w:tcPr>
            <w:tcW w:w="1520" w:type="pct"/>
            <w:shd w:val="clear" w:color="auto" w:fill="auto"/>
          </w:tcPr>
          <w:p w14:paraId="76510871"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200 mg/dan kontinuirano</w:t>
            </w:r>
          </w:p>
        </w:tc>
        <w:tc>
          <w:tcPr>
            <w:tcW w:w="2108" w:type="pct"/>
            <w:shd w:val="clear" w:color="auto" w:fill="auto"/>
          </w:tcPr>
          <w:p w14:paraId="1DBDC160"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1 tableta od 200 mg</w:t>
            </w:r>
          </w:p>
        </w:tc>
      </w:tr>
      <w:tr w:rsidR="0082654D" w:rsidRPr="0082654D" w14:paraId="5CDB268D" w14:textId="77777777" w:rsidTr="00C10B32">
        <w:trPr>
          <w:cantSplit/>
        </w:trPr>
        <w:tc>
          <w:tcPr>
            <w:tcW w:w="5000" w:type="pct"/>
            <w:gridSpan w:val="3"/>
            <w:shd w:val="clear" w:color="auto" w:fill="auto"/>
          </w:tcPr>
          <w:p w14:paraId="6DFEA3B4" w14:textId="77777777" w:rsidR="0082654D" w:rsidRPr="0082654D" w:rsidRDefault="0082654D" w:rsidP="00C10B32">
            <w:pPr>
              <w:shd w:val="clear" w:color="auto" w:fill="FFFFFF" w:themeFill="background1"/>
              <w:rPr>
                <w:sz w:val="20"/>
                <w:szCs w:val="22"/>
                <w:lang w:val="hr-HR"/>
              </w:rPr>
            </w:pPr>
            <w:r w:rsidRPr="0082654D">
              <w:rPr>
                <w:sz w:val="20"/>
                <w:szCs w:val="22"/>
                <w:vertAlign w:val="superscript"/>
                <w:lang w:val="hr-HR"/>
              </w:rPr>
              <w:t>1</w:t>
            </w:r>
            <w:r w:rsidRPr="0082654D">
              <w:rPr>
                <w:sz w:val="20"/>
                <w:szCs w:val="22"/>
                <w:lang w:val="hr-HR"/>
              </w:rPr>
              <w:t> Kod pankreatitisa</w:t>
            </w:r>
            <w:r w:rsidR="00FE51A7">
              <w:rPr>
                <w:sz w:val="20"/>
                <w:szCs w:val="22"/>
                <w:lang w:val="hr-HR"/>
              </w:rPr>
              <w:t>,</w:t>
            </w:r>
            <w:r w:rsidRPr="0082654D">
              <w:rPr>
                <w:sz w:val="20"/>
                <w:szCs w:val="22"/>
                <w:lang w:val="hr-HR"/>
              </w:rPr>
              <w:t xml:space="preserve"> dopušteno je samo jedno smanjenje doze.</w:t>
            </w:r>
          </w:p>
        </w:tc>
      </w:tr>
    </w:tbl>
    <w:p w14:paraId="5E62DA4B" w14:textId="77777777" w:rsidR="0082654D" w:rsidRPr="0082654D" w:rsidRDefault="0082654D" w:rsidP="0082654D">
      <w:pPr>
        <w:shd w:val="clear" w:color="auto" w:fill="FFFFFF" w:themeFill="background1"/>
        <w:rPr>
          <w:sz w:val="22"/>
          <w:szCs w:val="22"/>
          <w:lang w:val="hr-HR"/>
        </w:rPr>
      </w:pPr>
    </w:p>
    <w:p w14:paraId="115D5EBE" w14:textId="4E3761D7" w:rsidR="0082654D" w:rsidRPr="0082654D" w:rsidRDefault="0082654D" w:rsidP="002A51AB">
      <w:pPr>
        <w:shd w:val="clear" w:color="auto" w:fill="FFFFFF" w:themeFill="background1"/>
        <w:jc w:val="both"/>
        <w:rPr>
          <w:sz w:val="22"/>
          <w:szCs w:val="22"/>
          <w:lang w:val="hr-HR"/>
        </w:rPr>
      </w:pPr>
      <w:r w:rsidRPr="0082654D">
        <w:rPr>
          <w:sz w:val="22"/>
          <w:szCs w:val="22"/>
          <w:lang w:val="hr-HR"/>
        </w:rPr>
        <w:t>U Tabelama 2</w:t>
      </w:r>
      <w:r w:rsidRPr="0082654D">
        <w:rPr>
          <w:sz w:val="22"/>
          <w:szCs w:val="22"/>
          <w:lang w:val="hr-HR"/>
        </w:rPr>
        <w:noBreakHyphen/>
        <w:t>5 naveden je sažetak preporuka za pri</w:t>
      </w:r>
      <w:r w:rsidR="002A51AB">
        <w:rPr>
          <w:sz w:val="22"/>
          <w:szCs w:val="22"/>
          <w:lang w:val="hr-HR"/>
        </w:rPr>
        <w:t>vr</w:t>
      </w:r>
      <w:r w:rsidR="00A26CAB">
        <w:rPr>
          <w:sz w:val="22"/>
          <w:szCs w:val="22"/>
          <w:lang w:val="hr-HR"/>
        </w:rPr>
        <w:t>em</w:t>
      </w:r>
      <w:r w:rsidRPr="0082654D">
        <w:rPr>
          <w:sz w:val="22"/>
          <w:szCs w:val="22"/>
          <w:lang w:val="hr-HR"/>
        </w:rPr>
        <w:t xml:space="preserve">eni prekid terapije, smanjenje doze ili obustavu </w:t>
      </w:r>
      <w:r w:rsidR="00C21CF1">
        <w:rPr>
          <w:sz w:val="22"/>
          <w:szCs w:val="22"/>
          <w:lang w:val="hr-HR"/>
        </w:rPr>
        <w:t>primjen</w:t>
      </w:r>
      <w:r w:rsidRPr="0082654D">
        <w:rPr>
          <w:sz w:val="22"/>
          <w:szCs w:val="22"/>
          <w:lang w:val="hr-HR"/>
        </w:rPr>
        <w:t xml:space="preserve">e </w:t>
      </w:r>
      <w:r w:rsidR="00C10B32">
        <w:rPr>
          <w:sz w:val="22"/>
          <w:szCs w:val="22"/>
          <w:lang w:val="hr-HR"/>
        </w:rPr>
        <w:t>lijek</w:t>
      </w:r>
      <w:r w:rsidRPr="0082654D">
        <w:rPr>
          <w:sz w:val="22"/>
          <w:szCs w:val="22"/>
          <w:lang w:val="hr-HR"/>
        </w:rPr>
        <w:t xml:space="preserve">a Piqray zbog zbrinjavanja specifičnih neželjenih reakcija. U planu zbrinjavanja za svakog pacijenta, </w:t>
      </w:r>
      <w:r w:rsidR="00C10B32">
        <w:rPr>
          <w:sz w:val="22"/>
          <w:szCs w:val="22"/>
          <w:lang w:val="hr-HR"/>
        </w:rPr>
        <w:t>ljekar</w:t>
      </w:r>
      <w:r w:rsidRPr="0082654D">
        <w:rPr>
          <w:sz w:val="22"/>
          <w:szCs w:val="22"/>
          <w:lang w:val="hr-HR"/>
        </w:rPr>
        <w:t xml:space="preserve"> koji sprovodi </w:t>
      </w:r>
      <w:r w:rsidR="00B66BE0">
        <w:rPr>
          <w:sz w:val="22"/>
          <w:szCs w:val="22"/>
          <w:lang w:val="hr-HR"/>
        </w:rPr>
        <w:t>liječenj</w:t>
      </w:r>
      <w:r w:rsidRPr="0082654D">
        <w:rPr>
          <w:sz w:val="22"/>
          <w:szCs w:val="22"/>
          <w:lang w:val="hr-HR"/>
        </w:rPr>
        <w:t>e treba da se vodi kliničkom proc</w:t>
      </w:r>
      <w:r w:rsidR="006703B2">
        <w:rPr>
          <w:sz w:val="22"/>
          <w:szCs w:val="22"/>
          <w:lang w:val="hr-HR"/>
        </w:rPr>
        <w:t>j</w:t>
      </w:r>
      <w:r w:rsidRPr="0082654D">
        <w:rPr>
          <w:sz w:val="22"/>
          <w:szCs w:val="22"/>
          <w:lang w:val="hr-HR"/>
        </w:rPr>
        <w:t>enom, što uključuje i potvrdu laboratorijskih rezultata ako se to smatra potrebnim, na osnovu proc</w:t>
      </w:r>
      <w:r w:rsidR="006703B2">
        <w:rPr>
          <w:sz w:val="22"/>
          <w:szCs w:val="22"/>
          <w:lang w:val="hr-HR"/>
        </w:rPr>
        <w:t>j</w:t>
      </w:r>
      <w:r w:rsidRPr="0082654D">
        <w:rPr>
          <w:sz w:val="22"/>
          <w:szCs w:val="22"/>
          <w:lang w:val="hr-HR"/>
        </w:rPr>
        <w:t>ene koristi/rizika</w:t>
      </w:r>
      <w:r w:rsidR="002032DE">
        <w:rPr>
          <w:sz w:val="22"/>
          <w:szCs w:val="22"/>
          <w:lang w:val="hr-HR"/>
        </w:rPr>
        <w:t xml:space="preserve"> </w:t>
      </w:r>
      <w:r w:rsidRPr="0082654D">
        <w:rPr>
          <w:sz w:val="22"/>
          <w:szCs w:val="22"/>
          <w:lang w:val="hr-HR"/>
        </w:rPr>
        <w:t>kod svakog pojedinačnog pacijenta.</w:t>
      </w:r>
    </w:p>
    <w:p w14:paraId="46085D4A" w14:textId="77777777" w:rsidR="0082654D" w:rsidRPr="0082654D" w:rsidRDefault="0082654D" w:rsidP="0082654D">
      <w:pPr>
        <w:shd w:val="clear" w:color="auto" w:fill="FFFFFF" w:themeFill="background1"/>
        <w:rPr>
          <w:sz w:val="22"/>
          <w:szCs w:val="22"/>
          <w:lang w:val="hr-HR"/>
        </w:rPr>
      </w:pPr>
    </w:p>
    <w:p w14:paraId="49EFB78C" w14:textId="77777777" w:rsidR="0082654D" w:rsidRPr="0082654D" w:rsidRDefault="0082654D" w:rsidP="0082654D">
      <w:pPr>
        <w:keepNext/>
        <w:shd w:val="clear" w:color="auto" w:fill="FFFFFF" w:themeFill="background1"/>
        <w:rPr>
          <w:i/>
          <w:sz w:val="22"/>
          <w:szCs w:val="22"/>
          <w:lang w:val="hr-HR"/>
        </w:rPr>
      </w:pPr>
      <w:r w:rsidRPr="0082654D">
        <w:rPr>
          <w:i/>
          <w:sz w:val="22"/>
          <w:szCs w:val="22"/>
          <w:lang w:val="hr-HR"/>
        </w:rPr>
        <w:t>Hiperglikemija</w:t>
      </w:r>
    </w:p>
    <w:p w14:paraId="0C6163A2" w14:textId="77777777" w:rsidR="002A5E87" w:rsidRPr="0082654D" w:rsidRDefault="002A5E87" w:rsidP="00275401">
      <w:pPr>
        <w:shd w:val="clear" w:color="auto" w:fill="FFFFFF" w:themeFill="background1"/>
        <w:jc w:val="both"/>
        <w:rPr>
          <w:sz w:val="22"/>
          <w:szCs w:val="22"/>
          <w:lang w:val="hr-HR"/>
        </w:rPr>
      </w:pPr>
      <w:r w:rsidRPr="0082654D">
        <w:rPr>
          <w:sz w:val="22"/>
          <w:szCs w:val="22"/>
          <w:lang w:val="hr-HR"/>
        </w:rPr>
        <w:t>Uv</w:t>
      </w:r>
      <w:r>
        <w:rPr>
          <w:sz w:val="22"/>
          <w:szCs w:val="22"/>
          <w:lang w:val="hr-HR"/>
        </w:rPr>
        <w:t>ij</w:t>
      </w:r>
      <w:r w:rsidRPr="0082654D">
        <w:rPr>
          <w:sz w:val="22"/>
          <w:szCs w:val="22"/>
          <w:lang w:val="hr-HR"/>
        </w:rPr>
        <w:t>ek je potrebno razmotriti sav</w:t>
      </w:r>
      <w:r>
        <w:rPr>
          <w:sz w:val="22"/>
          <w:szCs w:val="22"/>
          <w:lang w:val="hr-HR"/>
        </w:rPr>
        <w:t>j</w:t>
      </w:r>
      <w:r w:rsidRPr="0082654D">
        <w:rPr>
          <w:sz w:val="22"/>
          <w:szCs w:val="22"/>
          <w:lang w:val="hr-HR"/>
        </w:rPr>
        <w:t xml:space="preserve">etovanje sa zdravstvenim radnikom koji ima iskustva u </w:t>
      </w:r>
      <w:r>
        <w:rPr>
          <w:sz w:val="22"/>
          <w:szCs w:val="22"/>
          <w:lang w:val="hr-HR"/>
        </w:rPr>
        <w:t>liječenj</w:t>
      </w:r>
      <w:r w:rsidRPr="0082654D">
        <w:rPr>
          <w:sz w:val="22"/>
          <w:szCs w:val="22"/>
          <w:lang w:val="hr-HR"/>
        </w:rPr>
        <w:t xml:space="preserve">u hiperglikemije, a preporučuje se i za preddijabetesne pacijente ili one kojima je </w:t>
      </w:r>
      <w:r>
        <w:rPr>
          <w:sz w:val="22"/>
          <w:szCs w:val="22"/>
          <w:lang w:val="hr-HR"/>
        </w:rPr>
        <w:t>vrijednost</w:t>
      </w:r>
      <w:r w:rsidRPr="0082654D">
        <w:rPr>
          <w:sz w:val="22"/>
          <w:szCs w:val="22"/>
          <w:lang w:val="hr-HR"/>
        </w:rPr>
        <w:t xml:space="preserve"> glukoze natašte (engl. </w:t>
      </w:r>
      <w:r w:rsidRPr="0082654D">
        <w:rPr>
          <w:i/>
          <w:sz w:val="22"/>
          <w:szCs w:val="22"/>
          <w:lang w:val="hr-HR"/>
        </w:rPr>
        <w:t>fasting glucose</w:t>
      </w:r>
      <w:r w:rsidRPr="0082654D">
        <w:rPr>
          <w:sz w:val="22"/>
          <w:szCs w:val="22"/>
          <w:lang w:val="hr-HR"/>
        </w:rPr>
        <w:t xml:space="preserve">) &gt;250 mg/dL ili 13,9 mmol/L, indeks </w:t>
      </w:r>
      <w:r>
        <w:rPr>
          <w:sz w:val="22"/>
          <w:szCs w:val="22"/>
          <w:lang w:val="hr-HR"/>
        </w:rPr>
        <w:t>tjelesn</w:t>
      </w:r>
      <w:r w:rsidRPr="0082654D">
        <w:rPr>
          <w:sz w:val="22"/>
          <w:szCs w:val="22"/>
          <w:lang w:val="hr-HR"/>
        </w:rPr>
        <w:t>e mase (BMI) ≥30 ili su uzrasta ≥75 godina.</w:t>
      </w:r>
    </w:p>
    <w:p w14:paraId="0F37F54D" w14:textId="77777777" w:rsidR="002A5E87" w:rsidRPr="0082654D" w:rsidRDefault="002A5E87" w:rsidP="00275401">
      <w:pPr>
        <w:shd w:val="clear" w:color="auto" w:fill="FFFFFF" w:themeFill="background1"/>
        <w:jc w:val="both"/>
        <w:rPr>
          <w:sz w:val="22"/>
          <w:szCs w:val="22"/>
          <w:lang w:val="hr-HR"/>
        </w:rPr>
      </w:pPr>
      <w:r w:rsidRPr="0082654D">
        <w:rPr>
          <w:sz w:val="22"/>
          <w:szCs w:val="22"/>
          <w:lang w:val="hr-HR"/>
        </w:rPr>
        <w:t xml:space="preserve">Za pacijente sa dijabetesom </w:t>
      </w:r>
      <w:r w:rsidR="0037235B" w:rsidRPr="0082654D">
        <w:rPr>
          <w:sz w:val="22"/>
          <w:szCs w:val="22"/>
          <w:lang w:val="hr-HR"/>
        </w:rPr>
        <w:t xml:space="preserve">je </w:t>
      </w:r>
      <w:r w:rsidRPr="0082654D">
        <w:rPr>
          <w:sz w:val="22"/>
          <w:szCs w:val="22"/>
          <w:lang w:val="hr-HR"/>
        </w:rPr>
        <w:t>uv</w:t>
      </w:r>
      <w:r>
        <w:rPr>
          <w:sz w:val="22"/>
          <w:szCs w:val="22"/>
          <w:lang w:val="hr-HR"/>
        </w:rPr>
        <w:t>ij</w:t>
      </w:r>
      <w:r w:rsidRPr="0082654D">
        <w:rPr>
          <w:sz w:val="22"/>
          <w:szCs w:val="22"/>
          <w:lang w:val="hr-HR"/>
        </w:rPr>
        <w:t>ek potrebno posav</w:t>
      </w:r>
      <w:r>
        <w:rPr>
          <w:sz w:val="22"/>
          <w:szCs w:val="22"/>
          <w:lang w:val="hr-HR"/>
        </w:rPr>
        <w:t>j</w:t>
      </w:r>
      <w:r w:rsidRPr="0082654D">
        <w:rPr>
          <w:sz w:val="22"/>
          <w:szCs w:val="22"/>
          <w:lang w:val="hr-HR"/>
        </w:rPr>
        <w:t xml:space="preserve">etovati se sa </w:t>
      </w:r>
      <w:r>
        <w:rPr>
          <w:sz w:val="22"/>
          <w:szCs w:val="22"/>
          <w:lang w:val="hr-HR"/>
        </w:rPr>
        <w:t>ljekar</w:t>
      </w:r>
      <w:r w:rsidRPr="0082654D">
        <w:rPr>
          <w:sz w:val="22"/>
          <w:szCs w:val="22"/>
          <w:lang w:val="hr-HR"/>
        </w:rPr>
        <w:t>om čija je specijalnost dijabetes</w:t>
      </w:r>
      <w:r w:rsidR="0037235B">
        <w:rPr>
          <w:sz w:val="22"/>
          <w:szCs w:val="22"/>
          <w:lang w:val="hr-HR"/>
        </w:rPr>
        <w:t>,</w:t>
      </w:r>
      <w:r w:rsidRPr="0082654D">
        <w:rPr>
          <w:sz w:val="22"/>
          <w:szCs w:val="22"/>
          <w:lang w:val="hr-HR"/>
        </w:rPr>
        <w:t xml:space="preserve"> ili </w:t>
      </w:r>
      <w:r w:rsidR="0037235B">
        <w:rPr>
          <w:sz w:val="22"/>
          <w:szCs w:val="22"/>
          <w:lang w:val="hr-HR"/>
        </w:rPr>
        <w:t xml:space="preserve">sa </w:t>
      </w:r>
      <w:r w:rsidRPr="0082654D">
        <w:rPr>
          <w:sz w:val="22"/>
          <w:szCs w:val="22"/>
          <w:lang w:val="hr-HR"/>
        </w:rPr>
        <w:t xml:space="preserve">zdravstvenim radnikom koji ima iskustva u </w:t>
      </w:r>
      <w:r>
        <w:rPr>
          <w:sz w:val="22"/>
          <w:szCs w:val="22"/>
          <w:lang w:val="hr-HR"/>
        </w:rPr>
        <w:t>liječenj</w:t>
      </w:r>
      <w:r w:rsidRPr="0082654D">
        <w:rPr>
          <w:sz w:val="22"/>
          <w:szCs w:val="22"/>
          <w:lang w:val="hr-HR"/>
        </w:rPr>
        <w:t>u hiperglikemije.</w:t>
      </w:r>
    </w:p>
    <w:p w14:paraId="70CA4E55" w14:textId="77777777" w:rsidR="002A5E87" w:rsidRPr="0082654D" w:rsidRDefault="002A5E87" w:rsidP="002A5E87">
      <w:pPr>
        <w:keepNext/>
        <w:shd w:val="clear" w:color="auto" w:fill="FFFFFF" w:themeFill="background1"/>
        <w:rPr>
          <w:sz w:val="22"/>
          <w:szCs w:val="22"/>
          <w:lang w:val="hr-HR"/>
        </w:rPr>
      </w:pPr>
    </w:p>
    <w:p w14:paraId="1C2BF809" w14:textId="202CBE75" w:rsidR="0082654D" w:rsidRPr="0082654D" w:rsidRDefault="0082654D" w:rsidP="0082654D">
      <w:pPr>
        <w:keepNext/>
        <w:keepLines/>
        <w:shd w:val="clear" w:color="auto" w:fill="FFFFFF" w:themeFill="background1"/>
        <w:rPr>
          <w:b/>
          <w:sz w:val="22"/>
          <w:szCs w:val="22"/>
          <w:lang w:val="hr-HR"/>
        </w:rPr>
      </w:pPr>
      <w:r w:rsidRPr="0082654D">
        <w:rPr>
          <w:b/>
          <w:sz w:val="22"/>
          <w:szCs w:val="22"/>
          <w:lang w:val="hr-HR"/>
        </w:rPr>
        <w:t>Tabela 2</w:t>
      </w:r>
      <w:r w:rsidRPr="0082654D">
        <w:rPr>
          <w:b/>
          <w:sz w:val="22"/>
          <w:szCs w:val="22"/>
          <w:lang w:val="hr-HR"/>
        </w:rPr>
        <w:tab/>
        <w:t>Prilagođavanje doze i zbrinjavanje hiperglikemije</w:t>
      </w:r>
    </w:p>
    <w:p w14:paraId="5DD72D23" w14:textId="77777777" w:rsidR="0082654D" w:rsidRPr="0082654D" w:rsidRDefault="0082654D" w:rsidP="0082654D">
      <w:pPr>
        <w:keepNext/>
        <w:keepLines/>
        <w:shd w:val="clear" w:color="auto" w:fill="FFFFFF" w:themeFill="background1"/>
        <w:rPr>
          <w:sz w:val="22"/>
          <w:szCs w:val="22"/>
          <w:lang w:val="hr-HR"/>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67"/>
        <w:gridCol w:w="6957"/>
      </w:tblGrid>
      <w:tr w:rsidR="0082654D" w:rsidRPr="0082654D" w14:paraId="6EE6420A" w14:textId="77777777" w:rsidTr="00C10B32">
        <w:trPr>
          <w:cantSplit/>
        </w:trPr>
        <w:tc>
          <w:tcPr>
            <w:tcW w:w="1229" w:type="pct"/>
            <w:shd w:val="clear" w:color="auto" w:fill="auto"/>
          </w:tcPr>
          <w:p w14:paraId="22EB7693" w14:textId="77777777" w:rsidR="0082654D" w:rsidRPr="0082654D" w:rsidRDefault="0082654D" w:rsidP="00C10B32">
            <w:pPr>
              <w:shd w:val="clear" w:color="auto" w:fill="FFFFFF" w:themeFill="background1"/>
              <w:rPr>
                <w:b/>
                <w:sz w:val="22"/>
                <w:szCs w:val="22"/>
                <w:lang w:val="hr-HR"/>
              </w:rPr>
            </w:pPr>
            <w:r w:rsidRPr="0082654D">
              <w:rPr>
                <w:b/>
                <w:sz w:val="22"/>
                <w:szCs w:val="22"/>
                <w:lang w:val="hr-HR"/>
              </w:rPr>
              <w:t>Vr</w:t>
            </w:r>
            <w:r w:rsidR="002A51AB">
              <w:rPr>
                <w:b/>
                <w:sz w:val="22"/>
                <w:szCs w:val="22"/>
                <w:lang w:val="hr-HR"/>
              </w:rPr>
              <w:t>ij</w:t>
            </w:r>
            <w:r w:rsidRPr="0082654D">
              <w:rPr>
                <w:b/>
                <w:sz w:val="22"/>
                <w:szCs w:val="22"/>
                <w:lang w:val="hr-HR"/>
              </w:rPr>
              <w:t>ednosti glukoze natašte</w:t>
            </w:r>
            <w:r w:rsidRPr="0082654D">
              <w:rPr>
                <w:b/>
                <w:sz w:val="22"/>
                <w:szCs w:val="22"/>
                <w:vertAlign w:val="superscript"/>
                <w:lang w:val="hr-HR"/>
              </w:rPr>
              <w:t>1</w:t>
            </w:r>
          </w:p>
        </w:tc>
        <w:tc>
          <w:tcPr>
            <w:tcW w:w="3771" w:type="pct"/>
          </w:tcPr>
          <w:p w14:paraId="3E30BD98" w14:textId="77777777" w:rsidR="0082654D" w:rsidRPr="0082654D" w:rsidRDefault="0082654D" w:rsidP="00C10B32">
            <w:pPr>
              <w:shd w:val="clear" w:color="auto" w:fill="FFFFFF" w:themeFill="background1"/>
              <w:rPr>
                <w:b/>
                <w:sz w:val="22"/>
                <w:szCs w:val="22"/>
                <w:lang w:val="hr-HR"/>
              </w:rPr>
            </w:pPr>
            <w:r w:rsidRPr="0082654D">
              <w:rPr>
                <w:b/>
                <w:sz w:val="22"/>
                <w:szCs w:val="22"/>
                <w:lang w:val="hr-HR"/>
              </w:rPr>
              <w:t>Preporuka</w:t>
            </w:r>
          </w:p>
        </w:tc>
      </w:tr>
      <w:tr w:rsidR="0082654D" w:rsidRPr="0082654D" w14:paraId="6214836C" w14:textId="77777777" w:rsidTr="00C10B32">
        <w:trPr>
          <w:cantSplit/>
        </w:trPr>
        <w:tc>
          <w:tcPr>
            <w:tcW w:w="5000" w:type="pct"/>
            <w:gridSpan w:val="2"/>
            <w:shd w:val="clear" w:color="auto" w:fill="auto"/>
          </w:tcPr>
          <w:p w14:paraId="128060F6" w14:textId="77777777" w:rsidR="0082654D" w:rsidRPr="0082654D" w:rsidRDefault="002A5E87" w:rsidP="00C10B32">
            <w:pPr>
              <w:shd w:val="clear" w:color="auto" w:fill="FFFFFF" w:themeFill="background1"/>
              <w:rPr>
                <w:b/>
                <w:sz w:val="22"/>
                <w:szCs w:val="22"/>
                <w:lang w:val="hr-HR"/>
              </w:rPr>
            </w:pPr>
            <w:r>
              <w:rPr>
                <w:b/>
                <w:sz w:val="22"/>
                <w:szCs w:val="22"/>
                <w:lang w:val="hr-HR"/>
              </w:rPr>
              <w:t>Modifikacija i prilagođavanje</w:t>
            </w:r>
            <w:r w:rsidRPr="0082654D">
              <w:rPr>
                <w:b/>
                <w:sz w:val="22"/>
                <w:szCs w:val="22"/>
                <w:lang w:val="hr-HR"/>
              </w:rPr>
              <w:t xml:space="preserve"> </w:t>
            </w:r>
            <w:r w:rsidR="0082654D" w:rsidRPr="0082654D">
              <w:rPr>
                <w:b/>
                <w:sz w:val="22"/>
                <w:szCs w:val="22"/>
                <w:lang w:val="hr-HR"/>
              </w:rPr>
              <w:t xml:space="preserve">doze treba da se </w:t>
            </w:r>
            <w:r w:rsidR="0082654D" w:rsidRPr="0082654D">
              <w:rPr>
                <w:b/>
                <w:sz w:val="22"/>
                <w:szCs w:val="22"/>
                <w:lang w:val="sr-Latn-RS"/>
              </w:rPr>
              <w:t>zasniva</w:t>
            </w:r>
            <w:r w:rsidR="0082654D" w:rsidRPr="0082654D">
              <w:rPr>
                <w:b/>
                <w:sz w:val="22"/>
                <w:szCs w:val="22"/>
                <w:lang w:val="hr-HR"/>
              </w:rPr>
              <w:t xml:space="preserve"> samo na </w:t>
            </w:r>
            <w:r w:rsidR="002A51AB">
              <w:rPr>
                <w:b/>
                <w:sz w:val="22"/>
                <w:szCs w:val="22"/>
                <w:lang w:val="hr-HR"/>
              </w:rPr>
              <w:t>vrijednost</w:t>
            </w:r>
            <w:r w:rsidR="0082654D" w:rsidRPr="0082654D">
              <w:rPr>
                <w:b/>
                <w:sz w:val="22"/>
                <w:szCs w:val="22"/>
                <w:lang w:val="hr-HR"/>
              </w:rPr>
              <w:t>ima glukoze natašte (plazma/krv).</w:t>
            </w:r>
          </w:p>
        </w:tc>
      </w:tr>
      <w:tr w:rsidR="0082654D" w:rsidRPr="0082654D" w14:paraId="1F3BFA8E" w14:textId="77777777" w:rsidTr="00C10B32">
        <w:trPr>
          <w:cantSplit/>
        </w:trPr>
        <w:tc>
          <w:tcPr>
            <w:tcW w:w="1229" w:type="pct"/>
            <w:shd w:val="clear" w:color="auto" w:fill="auto"/>
          </w:tcPr>
          <w:p w14:paraId="4802C011" w14:textId="77777777" w:rsidR="0082654D" w:rsidRPr="0082654D" w:rsidRDefault="0082654D" w:rsidP="00C10B32">
            <w:pPr>
              <w:shd w:val="clear" w:color="auto" w:fill="FFFFFF" w:themeFill="background1"/>
              <w:rPr>
                <w:sz w:val="22"/>
                <w:szCs w:val="22"/>
                <w:lang w:val="hr-HR"/>
              </w:rPr>
            </w:pPr>
            <w:r w:rsidRPr="0082654D">
              <w:rPr>
                <w:sz w:val="22"/>
                <w:szCs w:val="22"/>
                <w:lang w:val="hr-HR"/>
              </w:rPr>
              <w:lastRenderedPageBreak/>
              <w:t>&gt;GGN</w:t>
            </w:r>
            <w:r w:rsidRPr="0082654D">
              <w:rPr>
                <w:sz w:val="22"/>
                <w:szCs w:val="22"/>
                <w:lang w:val="hr-HR"/>
              </w:rPr>
              <w:noBreakHyphen/>
              <w:t>160 mg/dL ili &gt;GGN</w:t>
            </w:r>
            <w:r w:rsidRPr="0082654D">
              <w:rPr>
                <w:sz w:val="22"/>
                <w:szCs w:val="22"/>
                <w:lang w:val="hr-HR"/>
              </w:rPr>
              <w:noBreakHyphen/>
              <w:t>8,9 mmol/L</w:t>
            </w:r>
          </w:p>
        </w:tc>
        <w:tc>
          <w:tcPr>
            <w:tcW w:w="3771" w:type="pct"/>
          </w:tcPr>
          <w:p w14:paraId="2C8F335B" w14:textId="77777777" w:rsidR="0082654D" w:rsidRPr="0082654D" w:rsidRDefault="0082654D" w:rsidP="00C10B32">
            <w:pPr>
              <w:shd w:val="clear" w:color="auto" w:fill="FFFFFF" w:themeFill="background1"/>
              <w:rPr>
                <w:sz w:val="22"/>
                <w:szCs w:val="22"/>
                <w:lang w:val="hr-HR"/>
              </w:rPr>
            </w:pPr>
            <w:r w:rsidRPr="0082654D">
              <w:rPr>
                <w:sz w:val="22"/>
                <w:szCs w:val="22"/>
                <w:lang w:val="hr-HR"/>
              </w:rPr>
              <w:t xml:space="preserve">Nije potrebno prilagođavanje doze </w:t>
            </w:r>
            <w:r w:rsidR="00C10B32">
              <w:rPr>
                <w:sz w:val="22"/>
                <w:szCs w:val="22"/>
                <w:lang w:val="hr-HR"/>
              </w:rPr>
              <w:t>lijek</w:t>
            </w:r>
            <w:r w:rsidRPr="0082654D">
              <w:rPr>
                <w:sz w:val="22"/>
                <w:szCs w:val="22"/>
                <w:lang w:val="hr-HR"/>
              </w:rPr>
              <w:t>a Piqray.</w:t>
            </w:r>
          </w:p>
          <w:p w14:paraId="0CB1E21C" w14:textId="77777777" w:rsidR="0082654D" w:rsidRPr="0082654D" w:rsidRDefault="0082654D" w:rsidP="00C10B32">
            <w:pPr>
              <w:shd w:val="clear" w:color="auto" w:fill="FFFFFF" w:themeFill="background1"/>
              <w:rPr>
                <w:sz w:val="22"/>
                <w:szCs w:val="22"/>
                <w:lang w:val="hr-HR"/>
              </w:rPr>
            </w:pPr>
            <w:r w:rsidRPr="0082654D">
              <w:rPr>
                <w:sz w:val="22"/>
                <w:szCs w:val="22"/>
                <w:lang w:val="hr-HR"/>
              </w:rPr>
              <w:t xml:space="preserve">Započeti ili intenzivirati </w:t>
            </w:r>
            <w:r w:rsidR="00B66BE0">
              <w:rPr>
                <w:sz w:val="22"/>
                <w:szCs w:val="22"/>
                <w:lang w:val="hr-HR"/>
              </w:rPr>
              <w:t>liječenj</w:t>
            </w:r>
            <w:r w:rsidRPr="0082654D">
              <w:rPr>
                <w:sz w:val="22"/>
                <w:szCs w:val="22"/>
                <w:lang w:val="hr-HR"/>
              </w:rPr>
              <w:t>e peroralnim antidijabetikom</w:t>
            </w:r>
            <w:r w:rsidRPr="0082654D">
              <w:rPr>
                <w:sz w:val="22"/>
                <w:szCs w:val="22"/>
                <w:vertAlign w:val="superscript"/>
                <w:lang w:val="hr-HR"/>
              </w:rPr>
              <w:t>2</w:t>
            </w:r>
            <w:r w:rsidRPr="0082654D">
              <w:rPr>
                <w:sz w:val="22"/>
                <w:szCs w:val="22"/>
                <w:lang w:val="hr-HR"/>
              </w:rPr>
              <w:t>.</w:t>
            </w:r>
          </w:p>
        </w:tc>
      </w:tr>
      <w:tr w:rsidR="0082654D" w:rsidRPr="0082654D" w14:paraId="054FC420" w14:textId="77777777" w:rsidTr="00C10B32">
        <w:trPr>
          <w:cantSplit/>
        </w:trPr>
        <w:tc>
          <w:tcPr>
            <w:tcW w:w="1229" w:type="pct"/>
            <w:shd w:val="clear" w:color="auto" w:fill="auto"/>
          </w:tcPr>
          <w:p w14:paraId="5B07DDC5" w14:textId="77777777" w:rsidR="0082654D" w:rsidRPr="0082654D" w:rsidRDefault="0082654D" w:rsidP="00C10B32">
            <w:pPr>
              <w:shd w:val="clear" w:color="auto" w:fill="FFFFFF" w:themeFill="background1"/>
              <w:rPr>
                <w:sz w:val="22"/>
                <w:szCs w:val="22"/>
                <w:lang w:val="hr-HR"/>
              </w:rPr>
            </w:pPr>
            <w:r w:rsidRPr="0082654D">
              <w:rPr>
                <w:sz w:val="22"/>
                <w:szCs w:val="22"/>
                <w:lang w:val="hr-HR"/>
              </w:rPr>
              <w:t>&gt;160</w:t>
            </w:r>
            <w:r w:rsidRPr="0082654D">
              <w:rPr>
                <w:sz w:val="22"/>
                <w:szCs w:val="22"/>
                <w:lang w:val="hr-HR"/>
              </w:rPr>
              <w:noBreakHyphen/>
              <w:t>250 mg/dL ili &gt;8,9</w:t>
            </w:r>
            <w:r w:rsidRPr="0082654D">
              <w:rPr>
                <w:sz w:val="22"/>
                <w:szCs w:val="22"/>
                <w:lang w:val="hr-HR"/>
              </w:rPr>
              <w:noBreakHyphen/>
              <w:t>13,9 mmol/L</w:t>
            </w:r>
          </w:p>
        </w:tc>
        <w:tc>
          <w:tcPr>
            <w:tcW w:w="3771" w:type="pct"/>
          </w:tcPr>
          <w:p w14:paraId="57D3B3A5" w14:textId="77777777" w:rsidR="0082654D" w:rsidRPr="0082654D" w:rsidRDefault="0082654D" w:rsidP="00C10B32">
            <w:pPr>
              <w:shd w:val="clear" w:color="auto" w:fill="FFFFFF" w:themeFill="background1"/>
              <w:rPr>
                <w:sz w:val="22"/>
                <w:szCs w:val="22"/>
                <w:lang w:val="hr-HR"/>
              </w:rPr>
            </w:pPr>
            <w:r w:rsidRPr="0082654D">
              <w:rPr>
                <w:sz w:val="22"/>
                <w:szCs w:val="22"/>
                <w:lang w:val="hr-HR"/>
              </w:rPr>
              <w:t xml:space="preserve">Nije potrebno prilagođavanje doze </w:t>
            </w:r>
            <w:r w:rsidR="00C10B32">
              <w:rPr>
                <w:sz w:val="22"/>
                <w:szCs w:val="22"/>
                <w:lang w:val="hr-HR"/>
              </w:rPr>
              <w:t>lijek</w:t>
            </w:r>
            <w:r w:rsidRPr="0082654D">
              <w:rPr>
                <w:sz w:val="22"/>
                <w:szCs w:val="22"/>
                <w:lang w:val="hr-HR"/>
              </w:rPr>
              <w:t>a Piqray.</w:t>
            </w:r>
          </w:p>
          <w:p w14:paraId="6F9F9C0D" w14:textId="77777777" w:rsidR="0082654D" w:rsidRPr="0082654D" w:rsidRDefault="0082654D" w:rsidP="00C10B32">
            <w:pPr>
              <w:shd w:val="clear" w:color="auto" w:fill="FFFFFF" w:themeFill="background1"/>
              <w:rPr>
                <w:sz w:val="22"/>
                <w:szCs w:val="22"/>
                <w:lang w:val="hr-HR"/>
              </w:rPr>
            </w:pPr>
            <w:r w:rsidRPr="0082654D">
              <w:rPr>
                <w:sz w:val="22"/>
                <w:szCs w:val="22"/>
                <w:lang w:val="hr-HR"/>
              </w:rPr>
              <w:t>Započeti ili dodatno intenzivirati peroralnu antidijabetesnu terapiju</w:t>
            </w:r>
            <w:r w:rsidRPr="0082654D">
              <w:rPr>
                <w:sz w:val="22"/>
                <w:szCs w:val="22"/>
                <w:vertAlign w:val="superscript"/>
                <w:lang w:val="hr-HR"/>
              </w:rPr>
              <w:t>2</w:t>
            </w:r>
            <w:r w:rsidRPr="0082654D">
              <w:rPr>
                <w:sz w:val="22"/>
                <w:szCs w:val="22"/>
                <w:lang w:val="hr-HR"/>
              </w:rPr>
              <w:t>.</w:t>
            </w:r>
          </w:p>
          <w:p w14:paraId="59329A21" w14:textId="77777777" w:rsidR="0082654D" w:rsidRPr="0082654D" w:rsidRDefault="0082654D" w:rsidP="00A0017D">
            <w:pPr>
              <w:shd w:val="clear" w:color="auto" w:fill="FFFFFF" w:themeFill="background1"/>
              <w:rPr>
                <w:sz w:val="22"/>
                <w:szCs w:val="22"/>
                <w:lang w:val="hr-HR"/>
              </w:rPr>
            </w:pPr>
            <w:r w:rsidRPr="0082654D">
              <w:rPr>
                <w:sz w:val="22"/>
                <w:szCs w:val="22"/>
                <w:lang w:val="hr-HR"/>
              </w:rPr>
              <w:t xml:space="preserve">Ako se </w:t>
            </w:r>
            <w:r w:rsidR="002A51AB">
              <w:rPr>
                <w:sz w:val="22"/>
                <w:szCs w:val="22"/>
                <w:lang w:val="hr-HR"/>
              </w:rPr>
              <w:t>vrijednost</w:t>
            </w:r>
            <w:r w:rsidRPr="0082654D">
              <w:rPr>
                <w:sz w:val="22"/>
                <w:szCs w:val="22"/>
                <w:lang w:val="hr-HR"/>
              </w:rPr>
              <w:t xml:space="preserve"> glukoze natašte ne smanji na ≤160 mg/dL ili 8,9 mmol/</w:t>
            </w:r>
            <w:r w:rsidR="00A0017D">
              <w:rPr>
                <w:sz w:val="22"/>
                <w:szCs w:val="22"/>
                <w:lang w:val="hr-HR"/>
              </w:rPr>
              <w:t>L</w:t>
            </w:r>
            <w:r w:rsidRPr="0082654D">
              <w:rPr>
                <w:sz w:val="22"/>
                <w:szCs w:val="22"/>
                <w:lang w:val="hr-HR"/>
              </w:rPr>
              <w:t xml:space="preserve"> u roku od 21 dan uz odgovarajuću peroralnu antidijabetesnu terapiju</w:t>
            </w:r>
            <w:r w:rsidRPr="0082654D">
              <w:rPr>
                <w:sz w:val="22"/>
                <w:szCs w:val="22"/>
                <w:vertAlign w:val="superscript"/>
                <w:lang w:val="hr-HR"/>
              </w:rPr>
              <w:t>2,3</w:t>
            </w:r>
            <w:r w:rsidRPr="0082654D">
              <w:rPr>
                <w:sz w:val="22"/>
                <w:szCs w:val="22"/>
                <w:lang w:val="hr-HR"/>
              </w:rPr>
              <w:t xml:space="preserve">, smanjiti dozu </w:t>
            </w:r>
            <w:r w:rsidR="00C10B32">
              <w:rPr>
                <w:sz w:val="22"/>
                <w:szCs w:val="22"/>
                <w:lang w:val="hr-HR"/>
              </w:rPr>
              <w:t>lijek</w:t>
            </w:r>
            <w:r w:rsidR="002A51AB">
              <w:rPr>
                <w:sz w:val="22"/>
                <w:szCs w:val="22"/>
                <w:lang w:val="hr-HR"/>
              </w:rPr>
              <w:t>a Piqray za 1 nivo doze i sl</w:t>
            </w:r>
            <w:r w:rsidR="007F4F69">
              <w:rPr>
                <w:sz w:val="22"/>
                <w:szCs w:val="22"/>
                <w:lang w:val="hr-HR"/>
              </w:rPr>
              <w:t>i</w:t>
            </w:r>
            <w:r w:rsidR="002A51AB">
              <w:rPr>
                <w:sz w:val="22"/>
                <w:szCs w:val="22"/>
                <w:lang w:val="hr-HR"/>
              </w:rPr>
              <w:t>je</w:t>
            </w:r>
            <w:r w:rsidRPr="0082654D">
              <w:rPr>
                <w:sz w:val="22"/>
                <w:szCs w:val="22"/>
                <w:lang w:val="hr-HR"/>
              </w:rPr>
              <w:t xml:space="preserve">diti preporuke za specifične </w:t>
            </w:r>
            <w:r w:rsidR="002A51AB">
              <w:rPr>
                <w:sz w:val="22"/>
                <w:szCs w:val="22"/>
                <w:lang w:val="hr-HR"/>
              </w:rPr>
              <w:t>vrijednost</w:t>
            </w:r>
            <w:r w:rsidRPr="0082654D">
              <w:rPr>
                <w:sz w:val="22"/>
                <w:szCs w:val="22"/>
                <w:lang w:val="hr-HR"/>
              </w:rPr>
              <w:t>i glukoze natašte.</w:t>
            </w:r>
          </w:p>
        </w:tc>
      </w:tr>
      <w:tr w:rsidR="0082654D" w:rsidRPr="0082654D" w14:paraId="368E4DB7" w14:textId="77777777" w:rsidTr="00C10B32">
        <w:trPr>
          <w:cantSplit/>
        </w:trPr>
        <w:tc>
          <w:tcPr>
            <w:tcW w:w="1229" w:type="pct"/>
            <w:shd w:val="clear" w:color="auto" w:fill="auto"/>
          </w:tcPr>
          <w:p w14:paraId="6023B4D3" w14:textId="77777777" w:rsidR="0082654D" w:rsidRPr="0082654D" w:rsidRDefault="0082654D" w:rsidP="00C10B32">
            <w:pPr>
              <w:shd w:val="clear" w:color="auto" w:fill="FFFFFF" w:themeFill="background1"/>
              <w:rPr>
                <w:sz w:val="22"/>
                <w:szCs w:val="22"/>
                <w:lang w:val="hr-HR"/>
              </w:rPr>
            </w:pPr>
            <w:r w:rsidRPr="0082654D">
              <w:rPr>
                <w:sz w:val="22"/>
                <w:szCs w:val="22"/>
                <w:lang w:val="hr-HR"/>
              </w:rPr>
              <w:t>&gt;250</w:t>
            </w:r>
            <w:r w:rsidRPr="0082654D">
              <w:rPr>
                <w:sz w:val="22"/>
                <w:szCs w:val="22"/>
                <w:lang w:val="hr-HR"/>
              </w:rPr>
              <w:noBreakHyphen/>
              <w:t>500 mg/dL ili &gt;13,9</w:t>
            </w:r>
            <w:r w:rsidRPr="0082654D">
              <w:rPr>
                <w:sz w:val="22"/>
                <w:szCs w:val="22"/>
                <w:lang w:val="hr-HR"/>
              </w:rPr>
              <w:noBreakHyphen/>
              <w:t>27,8 mmol/L</w:t>
            </w:r>
          </w:p>
        </w:tc>
        <w:tc>
          <w:tcPr>
            <w:tcW w:w="3771" w:type="pct"/>
          </w:tcPr>
          <w:p w14:paraId="54DCDB24" w14:textId="77777777" w:rsidR="0082654D" w:rsidRPr="0082654D" w:rsidRDefault="0082654D" w:rsidP="00C10B32">
            <w:pPr>
              <w:shd w:val="clear" w:color="auto" w:fill="FFFFFF" w:themeFill="background1"/>
              <w:rPr>
                <w:sz w:val="22"/>
                <w:szCs w:val="22"/>
                <w:lang w:val="hr-HR"/>
              </w:rPr>
            </w:pPr>
            <w:r w:rsidRPr="0082654D">
              <w:rPr>
                <w:sz w:val="22"/>
                <w:szCs w:val="22"/>
                <w:lang w:val="hr-HR"/>
              </w:rPr>
              <w:t>Pri</w:t>
            </w:r>
            <w:r w:rsidR="00D60803">
              <w:rPr>
                <w:sz w:val="22"/>
                <w:szCs w:val="22"/>
                <w:lang w:val="hr-HR"/>
              </w:rPr>
              <w:t>vr</w:t>
            </w:r>
            <w:r w:rsidR="00A26CAB">
              <w:rPr>
                <w:sz w:val="22"/>
                <w:szCs w:val="22"/>
                <w:lang w:val="hr-HR"/>
              </w:rPr>
              <w:t>em</w:t>
            </w:r>
            <w:r w:rsidRPr="0082654D">
              <w:rPr>
                <w:sz w:val="22"/>
                <w:szCs w:val="22"/>
                <w:lang w:val="hr-HR"/>
              </w:rPr>
              <w:t xml:space="preserve">eno prekinuti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w:t>
            </w:r>
          </w:p>
          <w:p w14:paraId="37CFE1C6" w14:textId="77777777" w:rsidR="0082654D" w:rsidRPr="0082654D" w:rsidRDefault="0082654D" w:rsidP="00C10B32">
            <w:pPr>
              <w:shd w:val="clear" w:color="auto" w:fill="FFFFFF" w:themeFill="background1"/>
              <w:rPr>
                <w:sz w:val="22"/>
                <w:szCs w:val="22"/>
                <w:lang w:val="hr-HR"/>
              </w:rPr>
            </w:pPr>
            <w:r w:rsidRPr="0082654D">
              <w:rPr>
                <w:sz w:val="22"/>
                <w:szCs w:val="22"/>
                <w:lang w:val="hr-HR"/>
              </w:rPr>
              <w:t>Započeti ili intenzivirati peroralnu antidijabetesnu terapiju</w:t>
            </w:r>
            <w:r w:rsidRPr="0082654D">
              <w:rPr>
                <w:sz w:val="22"/>
                <w:szCs w:val="22"/>
                <w:vertAlign w:val="superscript"/>
                <w:lang w:val="hr-HR"/>
              </w:rPr>
              <w:t>2</w:t>
            </w:r>
            <w:r w:rsidRPr="0082654D">
              <w:rPr>
                <w:sz w:val="22"/>
                <w:szCs w:val="22"/>
                <w:lang w:val="hr-HR"/>
              </w:rPr>
              <w:t xml:space="preserve"> i razmotriti dodatne antidijabetike</w:t>
            </w:r>
            <w:r w:rsidR="005E0C04">
              <w:rPr>
                <w:sz w:val="22"/>
                <w:szCs w:val="22"/>
                <w:lang w:val="hr-HR"/>
              </w:rPr>
              <w:t>,</w:t>
            </w:r>
            <w:r w:rsidRPr="0082654D">
              <w:rPr>
                <w:sz w:val="22"/>
                <w:szCs w:val="22"/>
                <w:lang w:val="hr-HR"/>
              </w:rPr>
              <w:t xml:space="preserve"> kao što je insulin</w:t>
            </w:r>
            <w:r w:rsidRPr="0082654D">
              <w:rPr>
                <w:sz w:val="22"/>
                <w:szCs w:val="22"/>
                <w:vertAlign w:val="superscript"/>
                <w:lang w:val="hr-HR"/>
              </w:rPr>
              <w:t>3</w:t>
            </w:r>
            <w:r w:rsidR="002A5E87">
              <w:rPr>
                <w:sz w:val="22"/>
                <w:szCs w:val="22"/>
                <w:lang w:val="hr-HR"/>
              </w:rPr>
              <w:t>,</w:t>
            </w:r>
            <w:r w:rsidRPr="0082654D">
              <w:rPr>
                <w:sz w:val="22"/>
                <w:szCs w:val="22"/>
                <w:lang w:val="hr-HR"/>
              </w:rPr>
              <w:t xml:space="preserve"> na 1</w:t>
            </w:r>
            <w:r w:rsidRPr="0082654D">
              <w:rPr>
                <w:sz w:val="22"/>
                <w:szCs w:val="22"/>
                <w:lang w:val="hr-HR"/>
              </w:rPr>
              <w:noBreakHyphen/>
              <w:t>2 dana dok se hiperglikemija ne povuče</w:t>
            </w:r>
            <w:r w:rsidR="002A5E87">
              <w:rPr>
                <w:sz w:val="22"/>
                <w:szCs w:val="22"/>
                <w:lang w:val="hr-HR"/>
              </w:rPr>
              <w:t>,</w:t>
            </w:r>
            <w:r w:rsidR="002A5E87">
              <w:t xml:space="preserve"> </w:t>
            </w:r>
            <w:r w:rsidR="002A5E87">
              <w:rPr>
                <w:sz w:val="22"/>
                <w:szCs w:val="22"/>
                <w:lang w:val="hr-HR"/>
              </w:rPr>
              <w:t>kako je klinički indikovano</w:t>
            </w:r>
            <w:r w:rsidRPr="0082654D">
              <w:rPr>
                <w:sz w:val="22"/>
                <w:szCs w:val="22"/>
                <w:lang w:val="hr-HR"/>
              </w:rPr>
              <w:t>.</w:t>
            </w:r>
          </w:p>
          <w:p w14:paraId="3D153FC6" w14:textId="77777777" w:rsidR="0082654D" w:rsidRPr="0082654D" w:rsidRDefault="00C21CF1" w:rsidP="00C10B32">
            <w:pPr>
              <w:shd w:val="clear" w:color="auto" w:fill="FFFFFF" w:themeFill="background1"/>
              <w:rPr>
                <w:sz w:val="22"/>
                <w:szCs w:val="22"/>
                <w:lang w:val="hr-HR"/>
              </w:rPr>
            </w:pPr>
            <w:r>
              <w:rPr>
                <w:sz w:val="22"/>
                <w:szCs w:val="22"/>
                <w:lang w:val="hr-HR"/>
              </w:rPr>
              <w:t>Prim</w:t>
            </w:r>
            <w:r w:rsidR="007F4F69">
              <w:rPr>
                <w:sz w:val="22"/>
                <w:szCs w:val="22"/>
                <w:lang w:val="hr-HR"/>
              </w:rPr>
              <w:t>i</w:t>
            </w:r>
            <w:r>
              <w:rPr>
                <w:sz w:val="22"/>
                <w:szCs w:val="22"/>
                <w:lang w:val="hr-HR"/>
              </w:rPr>
              <w:t>jen</w:t>
            </w:r>
            <w:r w:rsidR="0082654D" w:rsidRPr="0082654D">
              <w:rPr>
                <w:sz w:val="22"/>
                <w:szCs w:val="22"/>
                <w:lang w:val="hr-HR"/>
              </w:rPr>
              <w:t>iti intravensku hidra</w:t>
            </w:r>
            <w:r w:rsidR="00A0017D">
              <w:rPr>
                <w:sz w:val="22"/>
                <w:szCs w:val="22"/>
                <w:lang w:val="hr-HR"/>
              </w:rPr>
              <w:t>ta</w:t>
            </w:r>
            <w:r w:rsidR="0082654D" w:rsidRPr="0082654D">
              <w:rPr>
                <w:sz w:val="22"/>
                <w:szCs w:val="22"/>
                <w:lang w:val="hr-HR"/>
              </w:rPr>
              <w:t>ciju i razmotriti prikladnu terapiju (npr. intervenciju kod poremećaja elektrolita / ketoacidoze / hiperosmolarnosti).</w:t>
            </w:r>
          </w:p>
          <w:p w14:paraId="733C5669" w14:textId="77777777" w:rsidR="0082654D" w:rsidRPr="0082654D" w:rsidRDefault="0082654D" w:rsidP="00C10B32">
            <w:pPr>
              <w:shd w:val="clear" w:color="auto" w:fill="FFFFFF" w:themeFill="background1"/>
              <w:rPr>
                <w:sz w:val="22"/>
                <w:szCs w:val="22"/>
                <w:lang w:val="hr-HR"/>
              </w:rPr>
            </w:pPr>
            <w:r w:rsidRPr="0082654D">
              <w:rPr>
                <w:sz w:val="22"/>
                <w:szCs w:val="22"/>
                <w:lang w:val="hr-HR"/>
              </w:rPr>
              <w:t xml:space="preserve">Ako se </w:t>
            </w:r>
            <w:r w:rsidR="002A51AB">
              <w:rPr>
                <w:sz w:val="22"/>
                <w:szCs w:val="22"/>
                <w:lang w:val="hr-HR"/>
              </w:rPr>
              <w:t>vrijednost</w:t>
            </w:r>
            <w:r w:rsidRPr="0082654D">
              <w:rPr>
                <w:sz w:val="22"/>
                <w:szCs w:val="22"/>
                <w:lang w:val="hr-HR"/>
              </w:rPr>
              <w:t xml:space="preserve"> glukoze natašte smanji na ≤160 mg/dL ili 8,9 mmol/L u roku od 3 do 5 dana na odgovarajućoj antidijabetesnoj terapiji, nastaviti sa </w:t>
            </w:r>
            <w:r w:rsidR="00C21CF1">
              <w:rPr>
                <w:sz w:val="22"/>
                <w:szCs w:val="22"/>
                <w:lang w:val="hr-HR"/>
              </w:rPr>
              <w:t>primjen</w:t>
            </w:r>
            <w:r w:rsidRPr="0082654D">
              <w:rPr>
                <w:sz w:val="22"/>
                <w:szCs w:val="22"/>
                <w:lang w:val="hr-HR"/>
              </w:rPr>
              <w:t xml:space="preserve">om </w:t>
            </w:r>
            <w:r w:rsidR="00C10B32">
              <w:rPr>
                <w:sz w:val="22"/>
                <w:szCs w:val="22"/>
                <w:lang w:val="hr-HR"/>
              </w:rPr>
              <w:t>lijek</w:t>
            </w:r>
            <w:r w:rsidRPr="0082654D">
              <w:rPr>
                <w:sz w:val="22"/>
                <w:szCs w:val="22"/>
                <w:lang w:val="hr-HR"/>
              </w:rPr>
              <w:t xml:space="preserve">a Piqray u </w:t>
            </w:r>
            <w:r w:rsidR="00A26CAB">
              <w:rPr>
                <w:sz w:val="22"/>
                <w:szCs w:val="22"/>
                <w:lang w:val="hr-HR"/>
              </w:rPr>
              <w:t>sljedeć</w:t>
            </w:r>
            <w:r w:rsidRPr="0082654D">
              <w:rPr>
                <w:sz w:val="22"/>
                <w:szCs w:val="22"/>
                <w:lang w:val="hr-HR"/>
              </w:rPr>
              <w:t>oj nižoj dozi.</w:t>
            </w:r>
          </w:p>
          <w:p w14:paraId="6CCBDEEC" w14:textId="77777777" w:rsidR="0082654D" w:rsidRPr="0082654D" w:rsidRDefault="0082654D" w:rsidP="00C10B32">
            <w:pPr>
              <w:shd w:val="clear" w:color="auto" w:fill="FFFFFF" w:themeFill="background1"/>
              <w:rPr>
                <w:sz w:val="22"/>
                <w:szCs w:val="22"/>
                <w:lang w:val="hr-HR"/>
              </w:rPr>
            </w:pPr>
            <w:r w:rsidRPr="0082654D">
              <w:rPr>
                <w:sz w:val="22"/>
                <w:szCs w:val="22"/>
                <w:lang w:val="hr-HR"/>
              </w:rPr>
              <w:t xml:space="preserve">Ako se </w:t>
            </w:r>
            <w:r w:rsidR="002A51AB">
              <w:rPr>
                <w:sz w:val="22"/>
                <w:szCs w:val="22"/>
                <w:lang w:val="hr-HR"/>
              </w:rPr>
              <w:t>vrijednost</w:t>
            </w:r>
            <w:r w:rsidRPr="0082654D">
              <w:rPr>
                <w:sz w:val="22"/>
                <w:szCs w:val="22"/>
                <w:lang w:val="hr-HR"/>
              </w:rPr>
              <w:t xml:space="preserve"> glukoze natašte ne smanji na ≤160 mg/dL ili 8,9 mmol/L u roku od 3 do 5 dana na odgovarajućoj antidijabetesnoj terapiji, preporučuje se sav</w:t>
            </w:r>
            <w:r w:rsidR="002A51AB">
              <w:rPr>
                <w:sz w:val="22"/>
                <w:szCs w:val="22"/>
                <w:lang w:val="hr-HR"/>
              </w:rPr>
              <w:t>j</w:t>
            </w:r>
            <w:r w:rsidRPr="0082654D">
              <w:rPr>
                <w:sz w:val="22"/>
                <w:szCs w:val="22"/>
                <w:lang w:val="hr-HR"/>
              </w:rPr>
              <w:t xml:space="preserve">etovanje sa zdravstvenim radnikom koji je stručnjak za </w:t>
            </w:r>
            <w:r w:rsidR="00B66BE0">
              <w:rPr>
                <w:sz w:val="22"/>
                <w:szCs w:val="22"/>
                <w:lang w:val="hr-HR"/>
              </w:rPr>
              <w:t>liječenj</w:t>
            </w:r>
            <w:r w:rsidRPr="0082654D">
              <w:rPr>
                <w:sz w:val="22"/>
                <w:szCs w:val="22"/>
                <w:lang w:val="hr-HR"/>
              </w:rPr>
              <w:t>e hiperglikemije.</w:t>
            </w:r>
          </w:p>
          <w:p w14:paraId="6433E969" w14:textId="77777777" w:rsidR="0082654D" w:rsidRPr="0082654D" w:rsidRDefault="0082654D" w:rsidP="0082654D">
            <w:pPr>
              <w:numPr>
                <w:ilvl w:val="0"/>
                <w:numId w:val="12"/>
              </w:numPr>
              <w:shd w:val="clear" w:color="auto" w:fill="FFFFFF" w:themeFill="background1"/>
              <w:ind w:left="0" w:hanging="567"/>
              <w:rPr>
                <w:sz w:val="22"/>
                <w:szCs w:val="22"/>
                <w:lang w:val="hr-HR"/>
              </w:rPr>
            </w:pPr>
            <w:r w:rsidRPr="0082654D">
              <w:rPr>
                <w:sz w:val="22"/>
                <w:szCs w:val="22"/>
                <w:lang w:val="hr-HR"/>
              </w:rPr>
              <w:t xml:space="preserve">Ako se </w:t>
            </w:r>
            <w:r w:rsidR="002A51AB">
              <w:rPr>
                <w:sz w:val="22"/>
                <w:szCs w:val="22"/>
                <w:lang w:val="hr-HR"/>
              </w:rPr>
              <w:t>vrijednost</w:t>
            </w:r>
            <w:r w:rsidRPr="0082654D">
              <w:rPr>
                <w:sz w:val="22"/>
                <w:szCs w:val="22"/>
                <w:lang w:val="hr-HR"/>
              </w:rPr>
              <w:t xml:space="preserve"> glukoze natašte ne smanji na ≤160 mg/dL ili 8,9 mmol/L u roku od 21 dan nakon odgovarajuće antidijabetesne terapije</w:t>
            </w:r>
            <w:r w:rsidRPr="0082654D">
              <w:rPr>
                <w:sz w:val="22"/>
                <w:szCs w:val="22"/>
                <w:vertAlign w:val="superscript"/>
                <w:lang w:val="hr-HR"/>
              </w:rPr>
              <w:t>2,3</w:t>
            </w:r>
            <w:r w:rsidRPr="0082654D">
              <w:rPr>
                <w:sz w:val="22"/>
                <w:szCs w:val="22"/>
                <w:lang w:val="hr-HR"/>
              </w:rPr>
              <w:t xml:space="preserve">, trajno obustaviti </w:t>
            </w:r>
            <w:r w:rsidR="00B66BE0">
              <w:rPr>
                <w:sz w:val="22"/>
                <w:szCs w:val="22"/>
                <w:lang w:val="hr-HR"/>
              </w:rPr>
              <w:t>liječenj</w:t>
            </w:r>
            <w:r w:rsidRPr="0082654D">
              <w:rPr>
                <w:sz w:val="22"/>
                <w:szCs w:val="22"/>
                <w:lang w:val="hr-HR"/>
              </w:rPr>
              <w:t xml:space="preserve">e </w:t>
            </w:r>
            <w:r w:rsidR="00C10B32">
              <w:rPr>
                <w:sz w:val="22"/>
                <w:szCs w:val="22"/>
                <w:lang w:val="hr-HR"/>
              </w:rPr>
              <w:t>lijek</w:t>
            </w:r>
            <w:r w:rsidRPr="0082654D">
              <w:rPr>
                <w:sz w:val="22"/>
                <w:szCs w:val="22"/>
                <w:lang w:val="hr-HR"/>
              </w:rPr>
              <w:t>om Piqray.</w:t>
            </w:r>
          </w:p>
        </w:tc>
      </w:tr>
      <w:tr w:rsidR="0082654D" w:rsidRPr="0082654D" w14:paraId="36D33178" w14:textId="77777777" w:rsidTr="00C10B32">
        <w:trPr>
          <w:cantSplit/>
        </w:trPr>
        <w:tc>
          <w:tcPr>
            <w:tcW w:w="1229" w:type="pct"/>
            <w:shd w:val="clear" w:color="auto" w:fill="auto"/>
          </w:tcPr>
          <w:p w14:paraId="0C4846E4" w14:textId="6F935190"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&gt;500 mg/dL ili </w:t>
            </w:r>
            <w:r w:rsidR="00CD2312">
              <w:rPr>
                <w:szCs w:val="22"/>
              </w:rPr>
              <w:t>&gt;</w:t>
            </w:r>
            <w:r w:rsidRPr="0082654D">
              <w:rPr>
                <w:sz w:val="22"/>
                <w:szCs w:val="22"/>
                <w:lang w:val="hr-HR"/>
              </w:rPr>
              <w:t>27,8 mmol/L</w:t>
            </w:r>
          </w:p>
        </w:tc>
        <w:tc>
          <w:tcPr>
            <w:tcW w:w="3771" w:type="pct"/>
          </w:tcPr>
          <w:p w14:paraId="4BD45166"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Pri</w:t>
            </w:r>
            <w:r w:rsidR="002A51AB">
              <w:rPr>
                <w:sz w:val="22"/>
                <w:szCs w:val="22"/>
                <w:lang w:val="hr-HR"/>
              </w:rPr>
              <w:t>vr</w:t>
            </w:r>
            <w:r w:rsidR="00A26CAB">
              <w:rPr>
                <w:sz w:val="22"/>
                <w:szCs w:val="22"/>
                <w:lang w:val="hr-HR"/>
              </w:rPr>
              <w:t>em</w:t>
            </w:r>
            <w:r w:rsidRPr="0082654D">
              <w:rPr>
                <w:sz w:val="22"/>
                <w:szCs w:val="22"/>
                <w:lang w:val="hr-HR"/>
              </w:rPr>
              <w:t xml:space="preserve">eno prekinuti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w:t>
            </w:r>
          </w:p>
          <w:p w14:paraId="2B439537"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Započeti ili intenzivirati odgovarajuću antidijabetiesnu terapiju</w:t>
            </w:r>
            <w:r w:rsidRPr="0082654D">
              <w:rPr>
                <w:sz w:val="22"/>
                <w:szCs w:val="22"/>
                <w:vertAlign w:val="superscript"/>
                <w:lang w:val="hr-HR"/>
              </w:rPr>
              <w:t>2,3</w:t>
            </w:r>
            <w:r w:rsidRPr="0082654D">
              <w:rPr>
                <w:sz w:val="22"/>
                <w:szCs w:val="22"/>
                <w:lang w:val="hr-HR"/>
              </w:rPr>
              <w:t xml:space="preserve"> (</w:t>
            </w:r>
            <w:r w:rsidR="00C21CF1">
              <w:rPr>
                <w:sz w:val="22"/>
                <w:szCs w:val="22"/>
                <w:lang w:val="hr-HR"/>
              </w:rPr>
              <w:t>prim</w:t>
            </w:r>
            <w:r w:rsidR="007F4F69">
              <w:rPr>
                <w:sz w:val="22"/>
                <w:szCs w:val="22"/>
                <w:lang w:val="hr-HR"/>
              </w:rPr>
              <w:t>i</w:t>
            </w:r>
            <w:r w:rsidR="00C21CF1">
              <w:rPr>
                <w:sz w:val="22"/>
                <w:szCs w:val="22"/>
                <w:lang w:val="hr-HR"/>
              </w:rPr>
              <w:t>jen</w:t>
            </w:r>
            <w:r w:rsidRPr="0082654D">
              <w:rPr>
                <w:sz w:val="22"/>
                <w:szCs w:val="22"/>
                <w:lang w:val="hr-HR"/>
              </w:rPr>
              <w:t>iti intravensku hidra</w:t>
            </w:r>
            <w:r w:rsidR="00A0017D">
              <w:rPr>
                <w:sz w:val="22"/>
                <w:szCs w:val="22"/>
                <w:lang w:val="hr-HR"/>
              </w:rPr>
              <w:t>ta</w:t>
            </w:r>
            <w:r w:rsidRPr="0082654D">
              <w:rPr>
                <w:sz w:val="22"/>
                <w:szCs w:val="22"/>
                <w:lang w:val="hr-HR"/>
              </w:rPr>
              <w:t xml:space="preserve">ciju i razmotriti odgovarajuću terapiju [npr. intervenciju kod poremećaja elektrolita / ketoacidoze / hiperosmolarnosti]), ponovo </w:t>
            </w:r>
            <w:r w:rsidR="002A51AB">
              <w:rPr>
                <w:sz w:val="22"/>
                <w:szCs w:val="22"/>
                <w:lang w:val="hr-HR"/>
              </w:rPr>
              <w:t>provje</w:t>
            </w:r>
            <w:r w:rsidRPr="0082654D">
              <w:rPr>
                <w:sz w:val="22"/>
                <w:szCs w:val="22"/>
                <w:lang w:val="hr-HR"/>
              </w:rPr>
              <w:t>riti u roku od 24 sata prema kliničkim indikacijama.</w:t>
            </w:r>
          </w:p>
          <w:p w14:paraId="5AC02CAE" w14:textId="77777777" w:rsidR="0082654D" w:rsidRPr="0082654D" w:rsidRDefault="0082654D" w:rsidP="0082654D">
            <w:pPr>
              <w:keepNext/>
              <w:keepLines/>
              <w:numPr>
                <w:ilvl w:val="0"/>
                <w:numId w:val="12"/>
              </w:numPr>
              <w:shd w:val="clear" w:color="auto" w:fill="FFFFFF" w:themeFill="background1"/>
              <w:ind w:left="0" w:hanging="567"/>
              <w:rPr>
                <w:sz w:val="22"/>
                <w:szCs w:val="22"/>
                <w:lang w:val="hr-HR"/>
              </w:rPr>
            </w:pPr>
            <w:r w:rsidRPr="0082654D">
              <w:rPr>
                <w:sz w:val="22"/>
                <w:szCs w:val="22"/>
                <w:lang w:val="hr-HR"/>
              </w:rPr>
              <w:t xml:space="preserve">Ako se </w:t>
            </w:r>
            <w:r w:rsidR="002A51AB">
              <w:rPr>
                <w:sz w:val="22"/>
                <w:szCs w:val="22"/>
                <w:lang w:val="hr-HR"/>
              </w:rPr>
              <w:t>vrijednost</w:t>
            </w:r>
            <w:r w:rsidRPr="0082654D">
              <w:rPr>
                <w:sz w:val="22"/>
                <w:szCs w:val="22"/>
                <w:lang w:val="hr-HR"/>
              </w:rPr>
              <w:t xml:space="preserve"> glukoze natašte smanji na ≤500 mg/dL ili ≤27,8 mmol/L, potrebno je sl</w:t>
            </w:r>
            <w:r w:rsidR="00C926F9">
              <w:rPr>
                <w:sz w:val="22"/>
                <w:szCs w:val="22"/>
                <w:lang w:val="hr-HR"/>
              </w:rPr>
              <w:t>i</w:t>
            </w:r>
            <w:r w:rsidR="002A51AB">
              <w:rPr>
                <w:sz w:val="22"/>
                <w:szCs w:val="22"/>
                <w:lang w:val="hr-HR"/>
              </w:rPr>
              <w:t>j</w:t>
            </w:r>
            <w:r w:rsidRPr="0082654D">
              <w:rPr>
                <w:sz w:val="22"/>
                <w:szCs w:val="22"/>
                <w:lang w:val="hr-HR"/>
              </w:rPr>
              <w:t xml:space="preserve">editi specifične preporuke za </w:t>
            </w:r>
            <w:r w:rsidR="002A51AB">
              <w:rPr>
                <w:sz w:val="22"/>
                <w:szCs w:val="22"/>
                <w:lang w:val="hr-HR"/>
              </w:rPr>
              <w:t>vrijednost</w:t>
            </w:r>
            <w:r w:rsidRPr="0082654D">
              <w:rPr>
                <w:sz w:val="22"/>
                <w:szCs w:val="22"/>
                <w:lang w:val="hr-HR"/>
              </w:rPr>
              <w:t>i glukoze natašte &lt;500 mg/dL.</w:t>
            </w:r>
          </w:p>
          <w:p w14:paraId="197EF6EA" w14:textId="01ACF0F6"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Ako se potvrdi </w:t>
            </w:r>
            <w:r w:rsidR="002A51AB">
              <w:rPr>
                <w:sz w:val="22"/>
                <w:szCs w:val="22"/>
                <w:lang w:val="hr-HR"/>
              </w:rPr>
              <w:t>vrijednost</w:t>
            </w:r>
            <w:r w:rsidRPr="0082654D">
              <w:rPr>
                <w:sz w:val="22"/>
                <w:szCs w:val="22"/>
                <w:lang w:val="hr-HR"/>
              </w:rPr>
              <w:t xml:space="preserve"> glukoze natašte &gt;500 mg/dL ili </w:t>
            </w:r>
            <w:r w:rsidR="00CD2312">
              <w:rPr>
                <w:szCs w:val="22"/>
              </w:rPr>
              <w:t>&gt;</w:t>
            </w:r>
            <w:r w:rsidRPr="0082654D">
              <w:rPr>
                <w:sz w:val="22"/>
                <w:szCs w:val="22"/>
                <w:lang w:val="hr-HR"/>
              </w:rPr>
              <w:t xml:space="preserve">27,8 mmol/L nakon 24 sata, trajno obustaviti </w:t>
            </w:r>
            <w:r w:rsidR="00B66BE0">
              <w:rPr>
                <w:sz w:val="22"/>
                <w:szCs w:val="22"/>
                <w:lang w:val="hr-HR"/>
              </w:rPr>
              <w:t>liječenj</w:t>
            </w:r>
            <w:r w:rsidRPr="0082654D">
              <w:rPr>
                <w:sz w:val="22"/>
                <w:szCs w:val="22"/>
                <w:lang w:val="hr-HR"/>
              </w:rPr>
              <w:t xml:space="preserve">e </w:t>
            </w:r>
            <w:r w:rsidR="00C10B32">
              <w:rPr>
                <w:sz w:val="22"/>
                <w:szCs w:val="22"/>
                <w:lang w:val="hr-HR"/>
              </w:rPr>
              <w:t>lijek</w:t>
            </w:r>
            <w:r w:rsidRPr="0082654D">
              <w:rPr>
                <w:sz w:val="22"/>
                <w:szCs w:val="22"/>
                <w:lang w:val="hr-HR"/>
              </w:rPr>
              <w:t>om Piqray.</w:t>
            </w:r>
          </w:p>
        </w:tc>
      </w:tr>
      <w:tr w:rsidR="0082654D" w:rsidRPr="0082654D" w14:paraId="28523717" w14:textId="77777777" w:rsidTr="00C10B32">
        <w:trPr>
          <w:cantSplit/>
        </w:trPr>
        <w:tc>
          <w:tcPr>
            <w:tcW w:w="5000" w:type="pct"/>
            <w:gridSpan w:val="2"/>
            <w:shd w:val="clear" w:color="auto" w:fill="auto"/>
          </w:tcPr>
          <w:p w14:paraId="5F1DA6DA" w14:textId="77777777" w:rsidR="000E055A" w:rsidRDefault="0082654D" w:rsidP="00C10B32">
            <w:pPr>
              <w:shd w:val="clear" w:color="auto" w:fill="FFFFFF" w:themeFill="background1"/>
              <w:ind w:left="284" w:hanging="284"/>
              <w:rPr>
                <w:sz w:val="20"/>
                <w:szCs w:val="22"/>
                <w:lang w:val="hr-HR"/>
              </w:rPr>
            </w:pPr>
            <w:r w:rsidRPr="0082654D">
              <w:rPr>
                <w:sz w:val="20"/>
                <w:szCs w:val="22"/>
                <w:vertAlign w:val="superscript"/>
                <w:lang w:val="hr-HR"/>
              </w:rPr>
              <w:t>1</w:t>
            </w:r>
            <w:r w:rsidRPr="0082654D">
              <w:rPr>
                <w:sz w:val="20"/>
                <w:szCs w:val="22"/>
                <w:lang w:val="hr-HR"/>
              </w:rPr>
              <w:tab/>
              <w:t xml:space="preserve">Nivoi glukoze natašte odražavaju nivoe hiperglikemije prema CTCAE Verziji 4.03 </w:t>
            </w:r>
          </w:p>
          <w:p w14:paraId="0F96E65E" w14:textId="77777777" w:rsidR="0082654D" w:rsidRPr="0082654D" w:rsidRDefault="000E055A" w:rsidP="00C10B32">
            <w:pPr>
              <w:shd w:val="clear" w:color="auto" w:fill="FFFFFF" w:themeFill="background1"/>
              <w:ind w:left="284" w:hanging="284"/>
              <w:rPr>
                <w:sz w:val="20"/>
                <w:szCs w:val="22"/>
                <w:lang w:val="hr-HR"/>
              </w:rPr>
            </w:pPr>
            <w:r>
              <w:rPr>
                <w:sz w:val="20"/>
                <w:szCs w:val="22"/>
                <w:lang w:val="hr-HR"/>
              </w:rPr>
              <w:t xml:space="preserve">     </w:t>
            </w:r>
            <w:r w:rsidR="0082654D" w:rsidRPr="0082654D">
              <w:rPr>
                <w:sz w:val="20"/>
                <w:szCs w:val="22"/>
                <w:lang w:val="hr-HR"/>
              </w:rPr>
              <w:t>CTCAE = Zajednički terminološki kriterijumi za neželjene događaje.</w:t>
            </w:r>
          </w:p>
          <w:p w14:paraId="2B107094" w14:textId="58BECF6C" w:rsidR="0082654D" w:rsidRPr="0082654D" w:rsidRDefault="0082654D" w:rsidP="00C10B32">
            <w:pPr>
              <w:shd w:val="clear" w:color="auto" w:fill="FFFFFF" w:themeFill="background1"/>
              <w:ind w:left="284" w:hanging="284"/>
              <w:rPr>
                <w:sz w:val="20"/>
                <w:szCs w:val="22"/>
                <w:lang w:val="hr-HR"/>
              </w:rPr>
            </w:pPr>
            <w:r w:rsidRPr="0082654D">
              <w:rPr>
                <w:sz w:val="20"/>
                <w:szCs w:val="22"/>
                <w:vertAlign w:val="superscript"/>
                <w:lang w:val="hr-HR"/>
              </w:rPr>
              <w:t>2</w:t>
            </w:r>
            <w:r w:rsidRPr="0082654D">
              <w:rPr>
                <w:sz w:val="20"/>
                <w:szCs w:val="22"/>
                <w:lang w:val="hr-HR"/>
              </w:rPr>
              <w:tab/>
              <w:t xml:space="preserve">Potrebno je započeti </w:t>
            </w:r>
            <w:r w:rsidR="00C21CF1">
              <w:rPr>
                <w:sz w:val="20"/>
                <w:szCs w:val="22"/>
                <w:lang w:val="hr-HR"/>
              </w:rPr>
              <w:t>primjen</w:t>
            </w:r>
            <w:r w:rsidRPr="0082654D">
              <w:rPr>
                <w:sz w:val="20"/>
                <w:szCs w:val="22"/>
                <w:lang w:val="hr-HR"/>
              </w:rPr>
              <w:t xml:space="preserve">u odgovarajućih antidijabetika, </w:t>
            </w:r>
            <w:r w:rsidR="002A5E87" w:rsidRPr="002A5E87">
              <w:rPr>
                <w:sz w:val="20"/>
                <w:szCs w:val="22"/>
                <w:lang w:val="hr-HR"/>
              </w:rPr>
              <w:t xml:space="preserve">kao što </w:t>
            </w:r>
            <w:r w:rsidR="00C926F9">
              <w:rPr>
                <w:sz w:val="20"/>
                <w:szCs w:val="22"/>
                <w:lang w:val="hr-HR"/>
              </w:rPr>
              <w:t>su</w:t>
            </w:r>
            <w:r w:rsidR="00C926F9" w:rsidRPr="002A5E87">
              <w:rPr>
                <w:sz w:val="20"/>
                <w:szCs w:val="22"/>
                <w:lang w:val="hr-HR"/>
              </w:rPr>
              <w:t xml:space="preserve"> </w:t>
            </w:r>
            <w:r w:rsidR="002A5E87" w:rsidRPr="002A5E87">
              <w:rPr>
                <w:sz w:val="20"/>
                <w:szCs w:val="22"/>
                <w:lang w:val="hr-HR"/>
              </w:rPr>
              <w:t>metformin, SGLT2 inhibitori ili senzibilizatori za insulin (npr. tiazolidindioni ili inhibitori dipeptidil peptidaze-4 [DPP‑4]),</w:t>
            </w:r>
            <w:r w:rsidR="002A5E87">
              <w:rPr>
                <w:sz w:val="20"/>
                <w:szCs w:val="22"/>
                <w:lang w:val="hr-HR"/>
              </w:rPr>
              <w:t xml:space="preserve"> </w:t>
            </w:r>
            <w:r w:rsidRPr="0082654D">
              <w:rPr>
                <w:sz w:val="20"/>
                <w:szCs w:val="22"/>
                <w:lang w:val="hr-HR"/>
              </w:rPr>
              <w:t xml:space="preserve">zatim proučiti značajne informacije o </w:t>
            </w:r>
            <w:r w:rsidR="00C10B32">
              <w:rPr>
                <w:sz w:val="20"/>
                <w:szCs w:val="22"/>
                <w:lang w:val="hr-HR"/>
              </w:rPr>
              <w:t>lijek</w:t>
            </w:r>
            <w:r w:rsidRPr="0082654D">
              <w:rPr>
                <w:sz w:val="20"/>
                <w:szCs w:val="22"/>
                <w:lang w:val="hr-HR"/>
              </w:rPr>
              <w:t>u za preporuke oko doziranja i titracije doze, uključujući lokalne sm</w:t>
            </w:r>
            <w:r w:rsidR="00D60803">
              <w:rPr>
                <w:sz w:val="20"/>
                <w:szCs w:val="22"/>
                <w:lang w:val="hr-HR"/>
              </w:rPr>
              <w:t>j</w:t>
            </w:r>
            <w:r w:rsidRPr="0082654D">
              <w:rPr>
                <w:sz w:val="20"/>
                <w:szCs w:val="22"/>
                <w:lang w:val="hr-HR"/>
              </w:rPr>
              <w:t xml:space="preserve">ernice za </w:t>
            </w:r>
            <w:r w:rsidR="00B66BE0">
              <w:rPr>
                <w:sz w:val="20"/>
                <w:szCs w:val="22"/>
                <w:lang w:val="hr-HR"/>
              </w:rPr>
              <w:t>liječenj</w:t>
            </w:r>
            <w:r w:rsidRPr="0082654D">
              <w:rPr>
                <w:sz w:val="20"/>
                <w:szCs w:val="22"/>
                <w:lang w:val="hr-HR"/>
              </w:rPr>
              <w:t xml:space="preserve">e dijabetesa. Metformin je bio preporučen u kliničkom ispitivanju faze III sa </w:t>
            </w:r>
            <w:r w:rsidR="00A26CAB">
              <w:rPr>
                <w:sz w:val="20"/>
                <w:szCs w:val="22"/>
                <w:lang w:val="hr-HR"/>
              </w:rPr>
              <w:t>sljedeć</w:t>
            </w:r>
            <w:r w:rsidRPr="0082654D">
              <w:rPr>
                <w:sz w:val="20"/>
                <w:szCs w:val="22"/>
                <w:lang w:val="hr-HR"/>
              </w:rPr>
              <w:t>im uputstvom: Metformin je potrebno započeti u dozi od 500 mg jedanput na dan. U odnosu na podnošljivost, doza metformina može se povećati na 500 mg dvaput na dan, nakon čega sl</w:t>
            </w:r>
            <w:r w:rsidR="000E055A">
              <w:rPr>
                <w:sz w:val="20"/>
                <w:szCs w:val="22"/>
                <w:lang w:val="hr-HR"/>
              </w:rPr>
              <w:t>ij</w:t>
            </w:r>
            <w:r w:rsidRPr="0082654D">
              <w:rPr>
                <w:sz w:val="20"/>
                <w:szCs w:val="22"/>
                <w:lang w:val="hr-HR"/>
              </w:rPr>
              <w:t>edi 500 mg uz doručak i zatim 1000 mg uz večeru, a nakon toga dalje povećanje na 1000 mg dvaput na dan prema potrebi (</w:t>
            </w:r>
            <w:r w:rsidR="00EF7C8E">
              <w:rPr>
                <w:sz w:val="20"/>
                <w:szCs w:val="22"/>
                <w:lang w:val="hr-HR"/>
              </w:rPr>
              <w:t>pogledati dio</w:t>
            </w:r>
            <w:r w:rsidRPr="0082654D">
              <w:rPr>
                <w:sz w:val="20"/>
                <w:szCs w:val="22"/>
                <w:lang w:val="hr-HR"/>
              </w:rPr>
              <w:t> 4.4).</w:t>
            </w:r>
          </w:p>
          <w:p w14:paraId="30BB9BBC" w14:textId="77777777" w:rsidR="0082654D" w:rsidRPr="0082654D" w:rsidRDefault="0082654D" w:rsidP="000E055A">
            <w:pPr>
              <w:shd w:val="clear" w:color="auto" w:fill="FFFFFF" w:themeFill="background1"/>
              <w:ind w:left="284" w:hanging="284"/>
              <w:rPr>
                <w:sz w:val="22"/>
                <w:szCs w:val="22"/>
                <w:lang w:val="hr-HR"/>
              </w:rPr>
            </w:pPr>
            <w:r w:rsidRPr="0082654D">
              <w:rPr>
                <w:sz w:val="20"/>
                <w:szCs w:val="22"/>
                <w:vertAlign w:val="superscript"/>
                <w:lang w:val="hr-HR"/>
              </w:rPr>
              <w:t>3</w:t>
            </w:r>
            <w:r w:rsidRPr="0082654D">
              <w:rPr>
                <w:sz w:val="20"/>
                <w:szCs w:val="22"/>
                <w:vertAlign w:val="superscript"/>
                <w:lang w:val="hr-HR"/>
              </w:rPr>
              <w:tab/>
            </w:r>
            <w:r w:rsidRPr="0082654D">
              <w:rPr>
                <w:sz w:val="20"/>
                <w:szCs w:val="22"/>
                <w:lang w:val="hr-HR"/>
              </w:rPr>
              <w:t>Prema preporuci iz kliničkog ispitivanja faze III, insulin se može koristiti 1</w:t>
            </w:r>
            <w:r w:rsidRPr="0082654D">
              <w:rPr>
                <w:sz w:val="20"/>
                <w:szCs w:val="22"/>
                <w:lang w:val="hr-HR"/>
              </w:rPr>
              <w:noBreakHyphen/>
              <w:t xml:space="preserve">2 dana dok se hiperglikemija ne povuče. Međutim, to možda neće biti potrebno u većini slučajeva hiperglikemije uzrokovane alpelisibom, sa obzirom na </w:t>
            </w:r>
            <w:r w:rsidR="000E055A" w:rsidRPr="0082654D">
              <w:rPr>
                <w:sz w:val="20"/>
                <w:szCs w:val="22"/>
                <w:lang w:val="hr-HR"/>
              </w:rPr>
              <w:t>krat</w:t>
            </w:r>
            <w:r w:rsidR="000E055A">
              <w:rPr>
                <w:sz w:val="20"/>
                <w:szCs w:val="22"/>
                <w:lang w:val="hr-HR"/>
              </w:rPr>
              <w:t>ko</w:t>
            </w:r>
            <w:r w:rsidR="000E055A" w:rsidRPr="0082654D">
              <w:rPr>
                <w:sz w:val="20"/>
                <w:szCs w:val="22"/>
                <w:lang w:val="hr-HR"/>
              </w:rPr>
              <w:t xml:space="preserve"> polu</w:t>
            </w:r>
            <w:r w:rsidR="000E055A">
              <w:rPr>
                <w:sz w:val="20"/>
                <w:szCs w:val="22"/>
                <w:lang w:val="hr-HR"/>
              </w:rPr>
              <w:t>vrijeme eliminacije</w:t>
            </w:r>
            <w:r w:rsidR="000E055A" w:rsidRPr="0082654D">
              <w:rPr>
                <w:sz w:val="20"/>
                <w:szCs w:val="22"/>
                <w:lang w:val="hr-HR"/>
              </w:rPr>
              <w:t xml:space="preserve"> </w:t>
            </w:r>
            <w:r w:rsidRPr="0082654D">
              <w:rPr>
                <w:sz w:val="20"/>
                <w:szCs w:val="22"/>
                <w:lang w:val="hr-HR"/>
              </w:rPr>
              <w:t>alpelisiba i očekivanje da će se nivoi glukoze normalizovati nakon pri</w:t>
            </w:r>
            <w:r w:rsidR="0004274D">
              <w:rPr>
                <w:sz w:val="20"/>
                <w:szCs w:val="22"/>
                <w:lang w:val="hr-HR"/>
              </w:rPr>
              <w:t>vr</w:t>
            </w:r>
            <w:r w:rsidR="00A26CAB">
              <w:rPr>
                <w:sz w:val="20"/>
                <w:szCs w:val="22"/>
                <w:lang w:val="hr-HR"/>
              </w:rPr>
              <w:t>em</w:t>
            </w:r>
            <w:r w:rsidRPr="0082654D">
              <w:rPr>
                <w:sz w:val="20"/>
                <w:szCs w:val="22"/>
                <w:lang w:val="hr-HR"/>
              </w:rPr>
              <w:t xml:space="preserve">enog prekida </w:t>
            </w:r>
            <w:r w:rsidR="00C21CF1">
              <w:rPr>
                <w:sz w:val="20"/>
                <w:szCs w:val="22"/>
                <w:lang w:val="hr-HR"/>
              </w:rPr>
              <w:t>primjen</w:t>
            </w:r>
            <w:r w:rsidRPr="0082654D">
              <w:rPr>
                <w:sz w:val="20"/>
                <w:szCs w:val="22"/>
                <w:lang w:val="hr-HR"/>
              </w:rPr>
              <w:t xml:space="preserve">e </w:t>
            </w:r>
            <w:r w:rsidR="00C10B32">
              <w:rPr>
                <w:sz w:val="20"/>
                <w:szCs w:val="22"/>
                <w:lang w:val="hr-HR"/>
              </w:rPr>
              <w:t>lijek</w:t>
            </w:r>
            <w:r w:rsidRPr="0082654D">
              <w:rPr>
                <w:sz w:val="20"/>
                <w:szCs w:val="22"/>
                <w:lang w:val="hr-HR"/>
              </w:rPr>
              <w:t>a Piqray.</w:t>
            </w:r>
          </w:p>
        </w:tc>
      </w:tr>
    </w:tbl>
    <w:p w14:paraId="7518453E" w14:textId="77777777" w:rsidR="0082654D" w:rsidRPr="0082654D" w:rsidRDefault="0082654D" w:rsidP="0082654D">
      <w:pPr>
        <w:shd w:val="clear" w:color="auto" w:fill="FFFFFF" w:themeFill="background1"/>
        <w:rPr>
          <w:sz w:val="22"/>
          <w:szCs w:val="22"/>
          <w:lang w:val="hr-HR"/>
        </w:rPr>
      </w:pPr>
    </w:p>
    <w:p w14:paraId="3F255E33" w14:textId="6275BEBC" w:rsidR="0082654D" w:rsidRPr="0082654D" w:rsidRDefault="0082654D" w:rsidP="0004274D">
      <w:pPr>
        <w:keepNext/>
        <w:shd w:val="clear" w:color="auto" w:fill="FFFFFF" w:themeFill="background1"/>
        <w:jc w:val="both"/>
        <w:rPr>
          <w:sz w:val="22"/>
          <w:szCs w:val="22"/>
          <w:lang w:val="hr-HR"/>
        </w:rPr>
      </w:pPr>
      <w:r w:rsidRPr="0082654D">
        <w:rPr>
          <w:sz w:val="22"/>
          <w:szCs w:val="22"/>
          <w:lang w:val="hr-HR"/>
        </w:rPr>
        <w:t xml:space="preserve">Pokazano je da su dijabetesni i preddijabetesni status na početku, početni BMI ≥30 i početni uzrast ≥75 godina faktori rizika za hiperglikemiju kod pacijenata </w:t>
      </w:r>
      <w:r w:rsidR="00295316">
        <w:rPr>
          <w:sz w:val="22"/>
          <w:szCs w:val="22"/>
          <w:lang w:val="hr-HR"/>
        </w:rPr>
        <w:t>liječeni</w:t>
      </w:r>
      <w:r w:rsidRPr="0082654D">
        <w:rPr>
          <w:sz w:val="22"/>
          <w:szCs w:val="22"/>
          <w:lang w:val="hr-HR"/>
        </w:rPr>
        <w:t>h alpelisibom. Ovi faktori rizika bili su prisutni kod 74,</w:t>
      </w:r>
      <w:r w:rsidR="005C1969">
        <w:rPr>
          <w:sz w:val="22"/>
          <w:szCs w:val="22"/>
          <w:lang w:val="hr-HR"/>
        </w:rPr>
        <w:t>9</w:t>
      </w:r>
      <w:r w:rsidRPr="0082654D">
        <w:rPr>
          <w:sz w:val="22"/>
          <w:szCs w:val="22"/>
          <w:lang w:val="hr-HR"/>
        </w:rPr>
        <w:t>% pacijenata sa bilo kojim nivo</w:t>
      </w:r>
      <w:r w:rsidR="00A0017D">
        <w:rPr>
          <w:sz w:val="22"/>
          <w:szCs w:val="22"/>
          <w:lang w:val="hr-HR"/>
        </w:rPr>
        <w:t>o</w:t>
      </w:r>
      <w:r w:rsidRPr="0082654D">
        <w:rPr>
          <w:sz w:val="22"/>
          <w:szCs w:val="22"/>
          <w:lang w:val="hr-HR"/>
        </w:rPr>
        <w:t>m hiperglikemije</w:t>
      </w:r>
      <w:r w:rsidR="00C44D47">
        <w:rPr>
          <w:sz w:val="22"/>
          <w:szCs w:val="22"/>
          <w:lang w:val="hr-HR"/>
        </w:rPr>
        <w:t>,</w:t>
      </w:r>
      <w:r w:rsidRPr="0082654D">
        <w:rPr>
          <w:sz w:val="22"/>
          <w:szCs w:val="22"/>
          <w:lang w:val="hr-HR"/>
        </w:rPr>
        <w:t xml:space="preserve"> i kod </w:t>
      </w:r>
      <w:r w:rsidR="005C1969" w:rsidRPr="0082654D">
        <w:rPr>
          <w:sz w:val="22"/>
          <w:szCs w:val="22"/>
          <w:lang w:val="hr-HR"/>
        </w:rPr>
        <w:t>8</w:t>
      </w:r>
      <w:r w:rsidR="005C1969">
        <w:rPr>
          <w:sz w:val="22"/>
          <w:szCs w:val="22"/>
          <w:lang w:val="hr-HR"/>
        </w:rPr>
        <w:t>4</w:t>
      </w:r>
      <w:r w:rsidRPr="0082654D">
        <w:rPr>
          <w:sz w:val="22"/>
          <w:szCs w:val="22"/>
          <w:lang w:val="hr-HR"/>
        </w:rPr>
        <w:t>,</w:t>
      </w:r>
      <w:r w:rsidR="005C1969">
        <w:rPr>
          <w:sz w:val="22"/>
          <w:szCs w:val="22"/>
          <w:lang w:val="hr-HR"/>
        </w:rPr>
        <w:t>7</w:t>
      </w:r>
      <w:r w:rsidRPr="0082654D">
        <w:rPr>
          <w:sz w:val="22"/>
          <w:szCs w:val="22"/>
          <w:lang w:val="hr-HR"/>
        </w:rPr>
        <w:t>% pacijenata sa hiperglikemijom 3. ili 4. </w:t>
      </w:r>
      <w:r w:rsidR="00C44D47">
        <w:rPr>
          <w:sz w:val="22"/>
          <w:szCs w:val="22"/>
          <w:lang w:val="hr-HR"/>
        </w:rPr>
        <w:t>stepena</w:t>
      </w:r>
      <w:r w:rsidR="00C44D47" w:rsidRPr="0082654D">
        <w:rPr>
          <w:sz w:val="22"/>
          <w:szCs w:val="22"/>
          <w:lang w:val="hr-HR"/>
        </w:rPr>
        <w:t xml:space="preserve"> </w:t>
      </w:r>
      <w:r w:rsidRPr="0082654D">
        <w:rPr>
          <w:sz w:val="22"/>
          <w:szCs w:val="22"/>
          <w:lang w:val="hr-HR"/>
        </w:rPr>
        <w:t>(</w:t>
      </w:r>
      <w:r w:rsidR="00EF7C8E">
        <w:rPr>
          <w:sz w:val="22"/>
          <w:szCs w:val="22"/>
          <w:lang w:val="hr-HR"/>
        </w:rPr>
        <w:t>pogledati dio</w:t>
      </w:r>
      <w:r w:rsidRPr="0082654D">
        <w:rPr>
          <w:sz w:val="22"/>
          <w:szCs w:val="22"/>
          <w:lang w:val="hr-HR"/>
        </w:rPr>
        <w:t xml:space="preserve"> 4.4).</w:t>
      </w:r>
    </w:p>
    <w:p w14:paraId="179B9BFA" w14:textId="77777777" w:rsidR="0082654D" w:rsidRPr="0082654D" w:rsidRDefault="0082654D" w:rsidP="0004274D">
      <w:pPr>
        <w:shd w:val="clear" w:color="auto" w:fill="FFFFFF" w:themeFill="background1"/>
        <w:jc w:val="both"/>
        <w:rPr>
          <w:sz w:val="22"/>
          <w:szCs w:val="22"/>
          <w:lang w:val="hr-HR"/>
        </w:rPr>
      </w:pPr>
    </w:p>
    <w:p w14:paraId="47BB8A4E" w14:textId="77777777" w:rsidR="0082654D" w:rsidRPr="0082654D" w:rsidRDefault="0082654D" w:rsidP="0004274D">
      <w:pPr>
        <w:keepNext/>
        <w:shd w:val="clear" w:color="auto" w:fill="FFFFFF" w:themeFill="background1"/>
        <w:jc w:val="both"/>
        <w:rPr>
          <w:i/>
          <w:sz w:val="22"/>
          <w:szCs w:val="22"/>
          <w:lang w:val="hr-HR"/>
        </w:rPr>
      </w:pPr>
      <w:r w:rsidRPr="0082654D">
        <w:rPr>
          <w:i/>
          <w:sz w:val="22"/>
          <w:szCs w:val="22"/>
          <w:lang w:val="hr-HR"/>
        </w:rPr>
        <w:t>Osip</w:t>
      </w:r>
    </w:p>
    <w:p w14:paraId="00B5ACEE" w14:textId="77777777" w:rsidR="0082654D" w:rsidRPr="0082654D" w:rsidRDefault="0082654D" w:rsidP="0004274D">
      <w:pPr>
        <w:shd w:val="clear" w:color="auto" w:fill="FFFFFF" w:themeFill="background1"/>
        <w:jc w:val="both"/>
        <w:rPr>
          <w:sz w:val="22"/>
          <w:szCs w:val="22"/>
          <w:lang w:val="hr-HR"/>
        </w:rPr>
      </w:pPr>
      <w:r w:rsidRPr="0082654D">
        <w:rPr>
          <w:sz w:val="22"/>
          <w:szCs w:val="22"/>
          <w:lang w:val="hr-HR"/>
        </w:rPr>
        <w:t xml:space="preserve">Može se razmotriti </w:t>
      </w:r>
      <w:r w:rsidR="00C21CF1">
        <w:rPr>
          <w:sz w:val="22"/>
          <w:szCs w:val="22"/>
          <w:lang w:val="hr-HR"/>
        </w:rPr>
        <w:t>primjen</w:t>
      </w:r>
      <w:r w:rsidRPr="0082654D">
        <w:rPr>
          <w:sz w:val="22"/>
          <w:szCs w:val="22"/>
          <w:lang w:val="hr-HR"/>
        </w:rPr>
        <w:t xml:space="preserve">a peroralnog antihistaminika kao profilakse na početku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 Uz to se preporučuju antihistaminici za zbrinjavanje simptoma osipa.</w:t>
      </w:r>
    </w:p>
    <w:p w14:paraId="54B7CABA" w14:textId="77777777" w:rsidR="0082654D" w:rsidRPr="0082654D" w:rsidRDefault="0082654D" w:rsidP="0004274D">
      <w:pPr>
        <w:shd w:val="clear" w:color="auto" w:fill="FFFFFF" w:themeFill="background1"/>
        <w:jc w:val="both"/>
        <w:rPr>
          <w:sz w:val="22"/>
          <w:szCs w:val="22"/>
          <w:lang w:val="hr-HR"/>
        </w:rPr>
      </w:pPr>
    </w:p>
    <w:p w14:paraId="29E9181E" w14:textId="3D850603" w:rsidR="0082654D" w:rsidRPr="0082654D" w:rsidRDefault="0082654D" w:rsidP="0004274D">
      <w:pPr>
        <w:shd w:val="clear" w:color="auto" w:fill="FFFFFF" w:themeFill="background1"/>
        <w:jc w:val="both"/>
        <w:rPr>
          <w:sz w:val="22"/>
          <w:szCs w:val="22"/>
          <w:lang w:val="hr-HR"/>
        </w:rPr>
      </w:pPr>
      <w:r w:rsidRPr="0082654D">
        <w:rPr>
          <w:sz w:val="22"/>
          <w:szCs w:val="22"/>
          <w:lang w:val="hr-HR"/>
        </w:rPr>
        <w:lastRenderedPageBreak/>
        <w:t xml:space="preserve">Potrebno je započeti </w:t>
      </w:r>
      <w:r w:rsidR="00B66BE0">
        <w:rPr>
          <w:sz w:val="22"/>
          <w:szCs w:val="22"/>
          <w:lang w:val="hr-HR"/>
        </w:rPr>
        <w:t>liječenj</w:t>
      </w:r>
      <w:r w:rsidRPr="0082654D">
        <w:rPr>
          <w:sz w:val="22"/>
          <w:szCs w:val="22"/>
          <w:lang w:val="hr-HR"/>
        </w:rPr>
        <w:t>e topikalnim kortikosteroidom na prvi znak osipa, a peroralne kortikosteroide treba razmotriti u slučaju um</w:t>
      </w:r>
      <w:r w:rsidR="007F4F69">
        <w:rPr>
          <w:sz w:val="22"/>
          <w:szCs w:val="22"/>
          <w:lang w:val="hr-HR"/>
        </w:rPr>
        <w:t>j</w:t>
      </w:r>
      <w:r w:rsidRPr="0082654D">
        <w:rPr>
          <w:sz w:val="22"/>
          <w:szCs w:val="22"/>
          <w:lang w:val="hr-HR"/>
        </w:rPr>
        <w:t>erenih do teških osipa. U zavisnosti od težine osipa</w:t>
      </w:r>
      <w:r w:rsidR="00144828">
        <w:rPr>
          <w:sz w:val="22"/>
          <w:szCs w:val="22"/>
          <w:lang w:val="hr-HR"/>
        </w:rPr>
        <w:t>,</w:t>
      </w:r>
      <w:r w:rsidRPr="0082654D">
        <w:rPr>
          <w:sz w:val="22"/>
          <w:szCs w:val="22"/>
          <w:lang w:val="hr-HR"/>
        </w:rPr>
        <w:t xml:space="preserve"> moglo bi da bude potrebno pri</w:t>
      </w:r>
      <w:r w:rsidR="0004274D">
        <w:rPr>
          <w:sz w:val="22"/>
          <w:szCs w:val="22"/>
          <w:lang w:val="hr-HR"/>
        </w:rPr>
        <w:t>vr</w:t>
      </w:r>
      <w:r w:rsidR="00A26CAB">
        <w:rPr>
          <w:sz w:val="22"/>
          <w:szCs w:val="22"/>
          <w:lang w:val="hr-HR"/>
        </w:rPr>
        <w:t>em</w:t>
      </w:r>
      <w:r w:rsidRPr="0082654D">
        <w:rPr>
          <w:sz w:val="22"/>
          <w:szCs w:val="22"/>
          <w:lang w:val="hr-HR"/>
        </w:rPr>
        <w:t xml:space="preserve">eno prekidanje </w:t>
      </w:r>
      <w:r w:rsidR="00C21CF1">
        <w:rPr>
          <w:sz w:val="22"/>
          <w:szCs w:val="22"/>
          <w:lang w:val="hr-HR"/>
        </w:rPr>
        <w:t>primjen</w:t>
      </w:r>
      <w:r w:rsidRPr="0082654D">
        <w:rPr>
          <w:sz w:val="22"/>
          <w:szCs w:val="22"/>
          <w:lang w:val="hr-HR"/>
        </w:rPr>
        <w:t xml:space="preserve">e </w:t>
      </w:r>
      <w:r w:rsidR="00C10B32">
        <w:rPr>
          <w:sz w:val="22"/>
          <w:szCs w:val="22"/>
          <w:lang w:val="hr-HR"/>
        </w:rPr>
        <w:t>lijek</w:t>
      </w:r>
      <w:r w:rsidRPr="0082654D">
        <w:rPr>
          <w:sz w:val="22"/>
          <w:szCs w:val="22"/>
          <w:lang w:val="hr-HR"/>
        </w:rPr>
        <w:t>a Piqray, smanjenje doze ili trajno obustavljanje, kako je opisano u Tabeli 3 (</w:t>
      </w:r>
      <w:r w:rsidR="00EF7C8E">
        <w:rPr>
          <w:sz w:val="22"/>
          <w:szCs w:val="22"/>
          <w:lang w:val="hr-HR"/>
        </w:rPr>
        <w:t>pogledati dio</w:t>
      </w:r>
      <w:r w:rsidRPr="0082654D">
        <w:rPr>
          <w:sz w:val="22"/>
          <w:szCs w:val="22"/>
          <w:lang w:val="hr-HR"/>
        </w:rPr>
        <w:t xml:space="preserve"> 4.8).</w:t>
      </w:r>
    </w:p>
    <w:p w14:paraId="6E4EEDF8" w14:textId="77777777" w:rsidR="0082654D" w:rsidRPr="0082654D" w:rsidRDefault="0082654D" w:rsidP="0082654D">
      <w:pPr>
        <w:shd w:val="clear" w:color="auto" w:fill="FFFFFF" w:themeFill="background1"/>
        <w:rPr>
          <w:sz w:val="22"/>
          <w:szCs w:val="22"/>
          <w:lang w:val="hr-HR"/>
        </w:rPr>
      </w:pPr>
    </w:p>
    <w:p w14:paraId="650C3056" w14:textId="62A4B35B" w:rsidR="0082654D" w:rsidRPr="0082654D" w:rsidRDefault="0082654D" w:rsidP="0082654D">
      <w:pPr>
        <w:keepNext/>
        <w:keepLines/>
        <w:shd w:val="clear" w:color="auto" w:fill="FFFFFF" w:themeFill="background1"/>
        <w:rPr>
          <w:b/>
          <w:sz w:val="22"/>
          <w:szCs w:val="22"/>
          <w:lang w:val="hr-HR"/>
        </w:rPr>
      </w:pPr>
      <w:r w:rsidRPr="0082654D">
        <w:rPr>
          <w:b/>
          <w:sz w:val="22"/>
          <w:szCs w:val="22"/>
          <w:lang w:val="hr-HR"/>
        </w:rPr>
        <w:t>Tabela 3</w:t>
      </w:r>
      <w:r w:rsidRPr="0082654D">
        <w:rPr>
          <w:b/>
          <w:sz w:val="22"/>
          <w:szCs w:val="22"/>
          <w:lang w:val="hr-HR"/>
        </w:rPr>
        <w:tab/>
        <w:t>Prilagođavanje doze i zbrinjavanje osipa</w:t>
      </w:r>
    </w:p>
    <w:p w14:paraId="1FA74D27" w14:textId="77777777" w:rsidR="0082654D" w:rsidRPr="0082654D" w:rsidRDefault="0082654D" w:rsidP="0082654D">
      <w:pPr>
        <w:keepNext/>
        <w:keepLines/>
        <w:shd w:val="clear" w:color="auto" w:fill="FFFFFF" w:themeFill="background1"/>
        <w:rPr>
          <w:sz w:val="22"/>
          <w:szCs w:val="22"/>
          <w:lang w:val="hr-HR"/>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7"/>
        <w:gridCol w:w="5542"/>
      </w:tblGrid>
      <w:tr w:rsidR="0082654D" w:rsidRPr="0082654D" w14:paraId="378E9BDF" w14:textId="77777777" w:rsidTr="00C10B32">
        <w:trPr>
          <w:cantSplit/>
        </w:trPr>
        <w:tc>
          <w:tcPr>
            <w:tcW w:w="1958" w:type="pct"/>
            <w:shd w:val="clear" w:color="auto" w:fill="auto"/>
          </w:tcPr>
          <w:p w14:paraId="704798F2" w14:textId="5E51B5D6" w:rsidR="0082654D" w:rsidRPr="0082654D" w:rsidRDefault="0082654D" w:rsidP="00C10B32">
            <w:pPr>
              <w:keepNext/>
              <w:keepLines/>
              <w:shd w:val="clear" w:color="auto" w:fill="FFFFFF" w:themeFill="background1"/>
              <w:rPr>
                <w:b/>
                <w:sz w:val="22"/>
                <w:szCs w:val="22"/>
                <w:lang w:val="hr-HR"/>
              </w:rPr>
            </w:pPr>
            <w:r w:rsidRPr="0082654D">
              <w:rPr>
                <w:b/>
                <w:sz w:val="22"/>
                <w:szCs w:val="22"/>
                <w:lang w:val="hr-HR"/>
              </w:rPr>
              <w:t>Stepen</w:t>
            </w:r>
            <w:r w:rsidR="00A45623" w:rsidRPr="0082654D">
              <w:rPr>
                <w:b/>
                <w:sz w:val="22"/>
                <w:szCs w:val="22"/>
                <w:vertAlign w:val="superscript"/>
                <w:lang w:val="hr-HR"/>
              </w:rPr>
              <w:t>1</w:t>
            </w:r>
          </w:p>
        </w:tc>
        <w:tc>
          <w:tcPr>
            <w:tcW w:w="3042" w:type="pct"/>
          </w:tcPr>
          <w:p w14:paraId="05C37C92" w14:textId="77777777" w:rsidR="0082654D" w:rsidRPr="0082654D" w:rsidRDefault="0082654D" w:rsidP="00C10B32">
            <w:pPr>
              <w:keepNext/>
              <w:keepLines/>
              <w:shd w:val="clear" w:color="auto" w:fill="FFFFFF" w:themeFill="background1"/>
              <w:rPr>
                <w:b/>
                <w:sz w:val="22"/>
                <w:szCs w:val="22"/>
                <w:lang w:val="hr-HR"/>
              </w:rPr>
            </w:pPr>
            <w:r w:rsidRPr="0082654D">
              <w:rPr>
                <w:b/>
                <w:sz w:val="22"/>
                <w:szCs w:val="22"/>
                <w:lang w:val="hr-HR"/>
              </w:rPr>
              <w:t>Preporuka</w:t>
            </w:r>
          </w:p>
        </w:tc>
      </w:tr>
      <w:tr w:rsidR="0082654D" w:rsidRPr="0082654D" w14:paraId="09AE11AF" w14:textId="77777777" w:rsidTr="00C10B32">
        <w:trPr>
          <w:cantSplit/>
        </w:trPr>
        <w:tc>
          <w:tcPr>
            <w:tcW w:w="1958" w:type="pct"/>
            <w:shd w:val="clear" w:color="auto" w:fill="auto"/>
          </w:tcPr>
          <w:p w14:paraId="74FE81A4"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Svi stepeni</w:t>
            </w:r>
          </w:p>
        </w:tc>
        <w:tc>
          <w:tcPr>
            <w:tcW w:w="3042" w:type="pct"/>
          </w:tcPr>
          <w:p w14:paraId="62C0634B"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Uv</w:t>
            </w:r>
            <w:r w:rsidR="0004274D">
              <w:rPr>
                <w:sz w:val="22"/>
                <w:szCs w:val="22"/>
                <w:lang w:val="hr-HR"/>
              </w:rPr>
              <w:t>ij</w:t>
            </w:r>
            <w:r w:rsidRPr="0082654D">
              <w:rPr>
                <w:sz w:val="22"/>
                <w:szCs w:val="22"/>
                <w:lang w:val="hr-HR"/>
              </w:rPr>
              <w:t>ek razmotriti sav</w:t>
            </w:r>
            <w:r w:rsidR="0004274D">
              <w:rPr>
                <w:sz w:val="22"/>
                <w:szCs w:val="22"/>
                <w:lang w:val="hr-HR"/>
              </w:rPr>
              <w:t>j</w:t>
            </w:r>
            <w:r w:rsidRPr="0082654D">
              <w:rPr>
                <w:sz w:val="22"/>
                <w:szCs w:val="22"/>
                <w:lang w:val="hr-HR"/>
              </w:rPr>
              <w:t>etovanje sa dermatologom.</w:t>
            </w:r>
          </w:p>
        </w:tc>
      </w:tr>
      <w:tr w:rsidR="0082654D" w:rsidRPr="0082654D" w14:paraId="062162E4" w14:textId="77777777" w:rsidTr="00C10B32">
        <w:trPr>
          <w:cantSplit/>
        </w:trPr>
        <w:tc>
          <w:tcPr>
            <w:tcW w:w="1958" w:type="pct"/>
            <w:shd w:val="clear" w:color="auto" w:fill="auto"/>
          </w:tcPr>
          <w:p w14:paraId="75E92D74"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1. stepen</w:t>
            </w:r>
          </w:p>
          <w:p w14:paraId="0D81B4E7" w14:textId="77777777" w:rsidR="0082654D" w:rsidRPr="0082654D" w:rsidRDefault="0082654D" w:rsidP="00C10B32">
            <w:pPr>
              <w:keepNext/>
              <w:keepLines/>
              <w:shd w:val="clear" w:color="auto" w:fill="FFFFFF" w:themeFill="background1"/>
              <w:rPr>
                <w:sz w:val="22"/>
                <w:szCs w:val="22"/>
                <w:lang w:val="hr-HR"/>
              </w:rPr>
            </w:pPr>
            <w:r w:rsidRPr="0082654D">
              <w:rPr>
                <w:bCs/>
                <w:sz w:val="22"/>
                <w:szCs w:val="22"/>
                <w:lang w:val="hr-HR"/>
              </w:rPr>
              <w:t>(&lt;10% površine t</w:t>
            </w:r>
            <w:r w:rsidR="007F4F69">
              <w:rPr>
                <w:bCs/>
                <w:sz w:val="22"/>
                <w:szCs w:val="22"/>
                <w:lang w:val="hr-HR"/>
              </w:rPr>
              <w:t>ij</w:t>
            </w:r>
            <w:r w:rsidRPr="0082654D">
              <w:rPr>
                <w:bCs/>
                <w:sz w:val="22"/>
                <w:szCs w:val="22"/>
                <w:lang w:val="hr-HR"/>
              </w:rPr>
              <w:t xml:space="preserve">ela [engl. </w:t>
            </w:r>
            <w:r w:rsidRPr="0082654D">
              <w:rPr>
                <w:bCs/>
                <w:i/>
                <w:sz w:val="22"/>
                <w:szCs w:val="22"/>
                <w:lang w:val="hr-HR"/>
              </w:rPr>
              <w:t>body surface area</w:t>
            </w:r>
            <w:r w:rsidRPr="0082654D">
              <w:rPr>
                <w:bCs/>
                <w:sz w:val="22"/>
                <w:szCs w:val="22"/>
                <w:lang w:val="hr-HR"/>
              </w:rPr>
              <w:t>, BSA] zahvaćeno aktivnom kožnom toksičnošću)</w:t>
            </w:r>
          </w:p>
        </w:tc>
        <w:tc>
          <w:tcPr>
            <w:tcW w:w="3042" w:type="pct"/>
          </w:tcPr>
          <w:p w14:paraId="4405BBD6"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Nije potrebno prilagođavanje doze </w:t>
            </w:r>
            <w:r w:rsidR="00C10B32">
              <w:rPr>
                <w:sz w:val="22"/>
                <w:szCs w:val="22"/>
                <w:lang w:val="hr-HR"/>
              </w:rPr>
              <w:t>lijek</w:t>
            </w:r>
            <w:r w:rsidRPr="0082654D">
              <w:rPr>
                <w:sz w:val="22"/>
                <w:szCs w:val="22"/>
                <w:lang w:val="hr-HR"/>
              </w:rPr>
              <w:t>a Piqray.</w:t>
            </w:r>
          </w:p>
          <w:p w14:paraId="2B03EA3E"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Započeti </w:t>
            </w:r>
            <w:r w:rsidR="00B66BE0">
              <w:rPr>
                <w:sz w:val="22"/>
                <w:szCs w:val="22"/>
                <w:lang w:val="hr-HR"/>
              </w:rPr>
              <w:t>liječenj</w:t>
            </w:r>
            <w:r w:rsidRPr="0082654D">
              <w:rPr>
                <w:sz w:val="22"/>
                <w:szCs w:val="22"/>
                <w:lang w:val="hr-HR"/>
              </w:rPr>
              <w:t>e topikalnim kortikosteroidom.</w:t>
            </w:r>
          </w:p>
          <w:p w14:paraId="503E1CC5" w14:textId="77777777" w:rsidR="002A5E87" w:rsidRDefault="0082654D" w:rsidP="00C10B32">
            <w:pPr>
              <w:keepNext/>
              <w:keepLines/>
              <w:shd w:val="clear" w:color="auto" w:fill="FFFFFF" w:themeFill="background1"/>
            </w:pPr>
            <w:r w:rsidRPr="0082654D">
              <w:rPr>
                <w:sz w:val="22"/>
                <w:szCs w:val="22"/>
                <w:lang w:val="hr-HR"/>
              </w:rPr>
              <w:t>Razmotriti dodavanje terapije peroralnim antihistaminikom za zbrinjavanje simptoma.</w:t>
            </w:r>
            <w:r w:rsidR="002A5E87">
              <w:t xml:space="preserve"> </w:t>
            </w:r>
          </w:p>
          <w:p w14:paraId="79E2A002" w14:textId="77777777" w:rsidR="0082654D" w:rsidRPr="0082654D" w:rsidRDefault="002A5E87" w:rsidP="00C10B32">
            <w:pPr>
              <w:keepNext/>
              <w:keepLines/>
              <w:shd w:val="clear" w:color="auto" w:fill="FFFFFF" w:themeFill="background1"/>
              <w:rPr>
                <w:sz w:val="22"/>
                <w:szCs w:val="22"/>
                <w:lang w:val="hr-HR"/>
              </w:rPr>
            </w:pPr>
            <w:r w:rsidRPr="002A5E87">
              <w:rPr>
                <w:sz w:val="22"/>
                <w:szCs w:val="22"/>
                <w:lang w:val="hr-HR"/>
              </w:rPr>
              <w:t>Ako ne dođe do poboljšanja osipa u roku od 28 dana od prim</w:t>
            </w:r>
            <w:r>
              <w:rPr>
                <w:sz w:val="22"/>
                <w:szCs w:val="22"/>
                <w:lang w:val="hr-HR"/>
              </w:rPr>
              <w:t>j</w:t>
            </w:r>
            <w:r w:rsidRPr="002A5E87">
              <w:rPr>
                <w:sz w:val="22"/>
                <w:szCs w:val="22"/>
                <w:lang w:val="hr-HR"/>
              </w:rPr>
              <w:t>ene odgovarajuće terapije, dodati nisku dozu sistemskog kortikosteroida.</w:t>
            </w:r>
          </w:p>
        </w:tc>
      </w:tr>
      <w:tr w:rsidR="0082654D" w:rsidRPr="0082654D" w14:paraId="712BCB63" w14:textId="77777777" w:rsidTr="00C10B32">
        <w:trPr>
          <w:cantSplit/>
        </w:trPr>
        <w:tc>
          <w:tcPr>
            <w:tcW w:w="1958" w:type="pct"/>
            <w:shd w:val="clear" w:color="auto" w:fill="auto"/>
          </w:tcPr>
          <w:p w14:paraId="49DB8989"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2. stepen</w:t>
            </w:r>
          </w:p>
          <w:p w14:paraId="06383C44" w14:textId="77777777" w:rsidR="0082654D" w:rsidRPr="0082654D" w:rsidRDefault="0082654D" w:rsidP="00C10B32">
            <w:pPr>
              <w:keepNext/>
              <w:keepLines/>
              <w:shd w:val="clear" w:color="auto" w:fill="FFFFFF" w:themeFill="background1"/>
              <w:rPr>
                <w:sz w:val="22"/>
                <w:szCs w:val="22"/>
                <w:lang w:val="hr-HR"/>
              </w:rPr>
            </w:pPr>
            <w:r w:rsidRPr="0082654D">
              <w:rPr>
                <w:bCs/>
                <w:sz w:val="22"/>
                <w:szCs w:val="22"/>
                <w:lang w:val="hr-HR"/>
              </w:rPr>
              <w:t>(10</w:t>
            </w:r>
            <w:r w:rsidRPr="0082654D">
              <w:rPr>
                <w:bCs/>
                <w:sz w:val="22"/>
                <w:szCs w:val="22"/>
                <w:lang w:val="hr-HR"/>
              </w:rPr>
              <w:noBreakHyphen/>
              <w:t>30% površine t</w:t>
            </w:r>
            <w:r w:rsidR="007F4F69">
              <w:rPr>
                <w:bCs/>
                <w:sz w:val="22"/>
                <w:szCs w:val="22"/>
                <w:lang w:val="hr-HR"/>
              </w:rPr>
              <w:t>ij</w:t>
            </w:r>
            <w:r w:rsidRPr="0082654D">
              <w:rPr>
                <w:bCs/>
                <w:sz w:val="22"/>
                <w:szCs w:val="22"/>
                <w:lang w:val="hr-HR"/>
              </w:rPr>
              <w:t>ela zahvaćeno aktivnom kožnom toksičnošću)</w:t>
            </w:r>
          </w:p>
        </w:tc>
        <w:tc>
          <w:tcPr>
            <w:tcW w:w="3042" w:type="pct"/>
          </w:tcPr>
          <w:p w14:paraId="366CBAF8"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Nije potrebno prilagođavanje doze </w:t>
            </w:r>
            <w:r w:rsidR="00C10B32">
              <w:rPr>
                <w:sz w:val="22"/>
                <w:szCs w:val="22"/>
                <w:lang w:val="hr-HR"/>
              </w:rPr>
              <w:t>lijek</w:t>
            </w:r>
            <w:r w:rsidRPr="0082654D">
              <w:rPr>
                <w:sz w:val="22"/>
                <w:szCs w:val="22"/>
                <w:lang w:val="hr-HR"/>
              </w:rPr>
              <w:t>a Piqray.</w:t>
            </w:r>
          </w:p>
          <w:p w14:paraId="044D93C4"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Započeti ili intenzivirati </w:t>
            </w:r>
            <w:r w:rsidR="00B66BE0">
              <w:rPr>
                <w:sz w:val="22"/>
                <w:szCs w:val="22"/>
                <w:lang w:val="hr-HR"/>
              </w:rPr>
              <w:t>liječenj</w:t>
            </w:r>
            <w:r w:rsidRPr="0082654D">
              <w:rPr>
                <w:sz w:val="22"/>
                <w:szCs w:val="22"/>
                <w:lang w:val="hr-HR"/>
              </w:rPr>
              <w:t>e topikalnim kortikosteroidom i peroralnim antihistaminikom.</w:t>
            </w:r>
          </w:p>
          <w:p w14:paraId="2F2A673F" w14:textId="77777777" w:rsidR="0082654D" w:rsidRDefault="0082654D" w:rsidP="002A5E87">
            <w:pPr>
              <w:keepNext/>
              <w:keepLines/>
              <w:shd w:val="clear" w:color="auto" w:fill="FFFFFF" w:themeFill="background1"/>
              <w:rPr>
                <w:sz w:val="22"/>
                <w:szCs w:val="22"/>
                <w:lang w:val="hr-HR"/>
              </w:rPr>
            </w:pPr>
            <w:r w:rsidRPr="0082654D">
              <w:rPr>
                <w:sz w:val="22"/>
                <w:szCs w:val="22"/>
                <w:lang w:val="hr-HR"/>
              </w:rPr>
              <w:t xml:space="preserve">Razmotriti </w:t>
            </w:r>
            <w:r w:rsidR="00B66BE0">
              <w:rPr>
                <w:sz w:val="22"/>
                <w:szCs w:val="22"/>
                <w:lang w:val="hr-HR"/>
              </w:rPr>
              <w:t>liječenj</w:t>
            </w:r>
            <w:r w:rsidRPr="0082654D">
              <w:rPr>
                <w:sz w:val="22"/>
                <w:szCs w:val="22"/>
                <w:lang w:val="hr-HR"/>
              </w:rPr>
              <w:t xml:space="preserve">e niskom dozom </w:t>
            </w:r>
            <w:r w:rsidR="002A5E87">
              <w:rPr>
                <w:sz w:val="22"/>
                <w:szCs w:val="22"/>
                <w:lang w:val="hr-HR"/>
              </w:rPr>
              <w:t>sistemskog</w:t>
            </w:r>
            <w:r w:rsidR="002A5E87" w:rsidRPr="0082654D">
              <w:rPr>
                <w:sz w:val="22"/>
                <w:szCs w:val="22"/>
                <w:lang w:val="hr-HR"/>
              </w:rPr>
              <w:t xml:space="preserve"> </w:t>
            </w:r>
            <w:r w:rsidRPr="0082654D">
              <w:rPr>
                <w:sz w:val="22"/>
                <w:szCs w:val="22"/>
                <w:lang w:val="hr-HR"/>
              </w:rPr>
              <w:t>kortikosteroida.</w:t>
            </w:r>
          </w:p>
          <w:p w14:paraId="08C7B9B3" w14:textId="77777777" w:rsidR="002A5E87" w:rsidRPr="002A5E87" w:rsidRDefault="002A5E87" w:rsidP="002A5E87">
            <w:pPr>
              <w:keepNext/>
              <w:keepLines/>
              <w:shd w:val="clear" w:color="auto" w:fill="FFFFFF" w:themeFill="background1"/>
              <w:rPr>
                <w:iCs/>
                <w:sz w:val="22"/>
                <w:szCs w:val="22"/>
                <w:lang w:val="hr-HR"/>
              </w:rPr>
            </w:pPr>
            <w:r w:rsidRPr="002A5E87">
              <w:rPr>
                <w:iCs/>
                <w:sz w:val="22"/>
                <w:szCs w:val="22"/>
                <w:lang w:val="hr-HR"/>
              </w:rPr>
              <w:t>Ako se osip poboljša do stepena ≤1 u roku od 10 dana, sistemski kortikosteroid se može obustaviti.</w:t>
            </w:r>
          </w:p>
        </w:tc>
      </w:tr>
      <w:tr w:rsidR="0082654D" w:rsidRPr="0082654D" w14:paraId="71E6F753" w14:textId="77777777" w:rsidTr="00C10B32">
        <w:trPr>
          <w:cantSplit/>
        </w:trPr>
        <w:tc>
          <w:tcPr>
            <w:tcW w:w="1958" w:type="pct"/>
            <w:shd w:val="clear" w:color="auto" w:fill="auto"/>
          </w:tcPr>
          <w:p w14:paraId="38267A1E"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3. stepen (npr. težak osip koji ne reaguje na zbrinjavanje </w:t>
            </w:r>
            <w:r w:rsidR="00C10B32">
              <w:rPr>
                <w:sz w:val="22"/>
                <w:szCs w:val="22"/>
                <w:lang w:val="hr-HR"/>
              </w:rPr>
              <w:t>ljekov</w:t>
            </w:r>
            <w:r w:rsidRPr="0082654D">
              <w:rPr>
                <w:sz w:val="22"/>
                <w:szCs w:val="22"/>
                <w:lang w:val="hr-HR"/>
              </w:rPr>
              <w:t>ima)</w:t>
            </w:r>
          </w:p>
          <w:p w14:paraId="3727B321" w14:textId="77777777" w:rsidR="0082654D" w:rsidRPr="0082654D" w:rsidRDefault="0082654D" w:rsidP="00C10B32">
            <w:pPr>
              <w:keepNext/>
              <w:keepLines/>
              <w:shd w:val="clear" w:color="auto" w:fill="FFFFFF" w:themeFill="background1"/>
              <w:rPr>
                <w:sz w:val="22"/>
                <w:szCs w:val="22"/>
                <w:lang w:val="hr-HR"/>
              </w:rPr>
            </w:pPr>
            <w:r w:rsidRPr="0082654D">
              <w:rPr>
                <w:bCs/>
                <w:sz w:val="22"/>
                <w:szCs w:val="22"/>
                <w:lang w:val="hr-HR"/>
              </w:rPr>
              <w:t>(&gt;30% površine t</w:t>
            </w:r>
            <w:r w:rsidR="007F4F69">
              <w:rPr>
                <w:bCs/>
                <w:sz w:val="22"/>
                <w:szCs w:val="22"/>
                <w:lang w:val="hr-HR"/>
              </w:rPr>
              <w:t>ij</w:t>
            </w:r>
            <w:r w:rsidRPr="0082654D">
              <w:rPr>
                <w:bCs/>
                <w:sz w:val="22"/>
                <w:szCs w:val="22"/>
                <w:lang w:val="hr-HR"/>
              </w:rPr>
              <w:t>ela zahvaćeno aktivnom kožnom toksičnošću)</w:t>
            </w:r>
          </w:p>
        </w:tc>
        <w:tc>
          <w:tcPr>
            <w:tcW w:w="3042" w:type="pct"/>
          </w:tcPr>
          <w:p w14:paraId="090FD7DA"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Pri</w:t>
            </w:r>
            <w:r w:rsidR="0004274D">
              <w:rPr>
                <w:sz w:val="22"/>
                <w:szCs w:val="22"/>
                <w:lang w:val="hr-HR"/>
              </w:rPr>
              <w:t>vr</w:t>
            </w:r>
            <w:r w:rsidR="00A26CAB">
              <w:rPr>
                <w:sz w:val="22"/>
                <w:szCs w:val="22"/>
                <w:lang w:val="hr-HR"/>
              </w:rPr>
              <w:t>em</w:t>
            </w:r>
            <w:r w:rsidRPr="0082654D">
              <w:rPr>
                <w:sz w:val="22"/>
                <w:szCs w:val="22"/>
                <w:lang w:val="hr-HR"/>
              </w:rPr>
              <w:t xml:space="preserve">eno prekinuti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 do</w:t>
            </w:r>
            <w:r w:rsidR="002A5E87">
              <w:rPr>
                <w:sz w:val="22"/>
                <w:szCs w:val="22"/>
                <w:lang w:val="hr-HR"/>
              </w:rPr>
              <w:t xml:space="preserve"> poboljšanja</w:t>
            </w:r>
            <w:r w:rsidRPr="0082654D">
              <w:rPr>
                <w:sz w:val="22"/>
                <w:szCs w:val="22"/>
                <w:lang w:val="hr-HR"/>
              </w:rPr>
              <w:t xml:space="preserve"> osip</w:t>
            </w:r>
            <w:r w:rsidR="002A5E87">
              <w:rPr>
                <w:sz w:val="22"/>
                <w:szCs w:val="22"/>
                <w:lang w:val="hr-HR"/>
              </w:rPr>
              <w:t>a</w:t>
            </w:r>
            <w:r w:rsidRPr="0082654D">
              <w:rPr>
                <w:sz w:val="22"/>
                <w:szCs w:val="22"/>
                <w:lang w:val="hr-HR"/>
              </w:rPr>
              <w:t xml:space="preserve"> </w:t>
            </w:r>
            <w:r w:rsidR="002A5E87">
              <w:rPr>
                <w:sz w:val="22"/>
                <w:szCs w:val="22"/>
                <w:lang w:val="hr-HR"/>
              </w:rPr>
              <w:t>do</w:t>
            </w:r>
            <w:r w:rsidRPr="0082654D">
              <w:rPr>
                <w:sz w:val="22"/>
                <w:szCs w:val="22"/>
                <w:lang w:val="hr-HR"/>
              </w:rPr>
              <w:t xml:space="preserve"> ≤1. stepena.</w:t>
            </w:r>
          </w:p>
          <w:p w14:paraId="3FD87806"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Započeti ili intenzivirati </w:t>
            </w:r>
            <w:r w:rsidR="00B66BE0">
              <w:rPr>
                <w:sz w:val="22"/>
                <w:szCs w:val="22"/>
                <w:lang w:val="hr-HR"/>
              </w:rPr>
              <w:t>liječenj</w:t>
            </w:r>
            <w:r w:rsidRPr="0082654D">
              <w:rPr>
                <w:sz w:val="22"/>
                <w:szCs w:val="22"/>
                <w:lang w:val="hr-HR"/>
              </w:rPr>
              <w:t>e topikalnim/</w:t>
            </w:r>
            <w:r w:rsidR="002A5E87">
              <w:rPr>
                <w:sz w:val="22"/>
                <w:szCs w:val="22"/>
                <w:lang w:val="hr-HR"/>
              </w:rPr>
              <w:t>sistemskim</w:t>
            </w:r>
            <w:r w:rsidR="002A5E87" w:rsidRPr="0082654D">
              <w:rPr>
                <w:sz w:val="22"/>
                <w:szCs w:val="22"/>
                <w:lang w:val="hr-HR"/>
              </w:rPr>
              <w:t xml:space="preserve"> </w:t>
            </w:r>
            <w:r w:rsidRPr="0082654D">
              <w:rPr>
                <w:sz w:val="22"/>
                <w:szCs w:val="22"/>
                <w:lang w:val="hr-HR"/>
              </w:rPr>
              <w:t>kortikosteroidom i antihistaminikom.</w:t>
            </w:r>
          </w:p>
          <w:p w14:paraId="6E815000" w14:textId="77777777" w:rsidR="0082654D" w:rsidRPr="0082654D" w:rsidRDefault="0082654D" w:rsidP="002A5E87">
            <w:pPr>
              <w:keepNext/>
              <w:keepLines/>
              <w:shd w:val="clear" w:color="auto" w:fill="FFFFFF" w:themeFill="background1"/>
              <w:rPr>
                <w:sz w:val="22"/>
                <w:szCs w:val="22"/>
                <w:lang w:val="hr-HR"/>
              </w:rPr>
            </w:pPr>
            <w:r w:rsidRPr="0082654D">
              <w:rPr>
                <w:sz w:val="22"/>
                <w:szCs w:val="22"/>
                <w:lang w:val="hr-HR"/>
              </w:rPr>
              <w:t xml:space="preserve">Nakon što se </w:t>
            </w:r>
            <w:r w:rsidR="002A5E87">
              <w:rPr>
                <w:sz w:val="22"/>
                <w:szCs w:val="22"/>
                <w:lang w:val="hr-HR"/>
              </w:rPr>
              <w:t xml:space="preserve">osip </w:t>
            </w:r>
            <w:r w:rsidRPr="0082654D">
              <w:rPr>
                <w:sz w:val="22"/>
                <w:szCs w:val="22"/>
                <w:lang w:val="hr-HR"/>
              </w:rPr>
              <w:t xml:space="preserve">poboljša do ≤1. stepena, nastaviti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 xml:space="preserve">a Piqray u </w:t>
            </w:r>
            <w:r w:rsidR="00A26CAB">
              <w:rPr>
                <w:sz w:val="22"/>
                <w:szCs w:val="22"/>
                <w:lang w:val="hr-HR"/>
              </w:rPr>
              <w:t>sljedeć</w:t>
            </w:r>
            <w:r w:rsidRPr="0082654D">
              <w:rPr>
                <w:sz w:val="22"/>
                <w:szCs w:val="22"/>
                <w:lang w:val="hr-HR"/>
              </w:rPr>
              <w:t>oj nižoj dozi.</w:t>
            </w:r>
          </w:p>
        </w:tc>
      </w:tr>
      <w:tr w:rsidR="0082654D" w:rsidRPr="0082654D" w14:paraId="6EF8E0E3" w14:textId="77777777" w:rsidTr="00C10B32">
        <w:trPr>
          <w:cantSplit/>
        </w:trPr>
        <w:tc>
          <w:tcPr>
            <w:tcW w:w="1958" w:type="pct"/>
            <w:shd w:val="clear" w:color="auto" w:fill="auto"/>
          </w:tcPr>
          <w:p w14:paraId="44AB1793"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4. stepen (npr. teške bulozne, vezikulozne ili eksfolijativne </w:t>
            </w:r>
            <w:r w:rsidR="00065093">
              <w:rPr>
                <w:sz w:val="22"/>
                <w:szCs w:val="22"/>
                <w:lang w:val="hr-HR"/>
              </w:rPr>
              <w:t>promjen</w:t>
            </w:r>
            <w:r w:rsidRPr="0082654D">
              <w:rPr>
                <w:sz w:val="22"/>
                <w:szCs w:val="22"/>
                <w:lang w:val="hr-HR"/>
              </w:rPr>
              <w:t>e na koži)</w:t>
            </w:r>
          </w:p>
          <w:p w14:paraId="72B435F2" w14:textId="77777777" w:rsidR="0082654D" w:rsidRPr="0082654D" w:rsidRDefault="0082654D" w:rsidP="00A0017D">
            <w:pPr>
              <w:keepNext/>
              <w:keepLines/>
              <w:shd w:val="clear" w:color="auto" w:fill="FFFFFF" w:themeFill="background1"/>
              <w:rPr>
                <w:sz w:val="22"/>
                <w:szCs w:val="22"/>
                <w:lang w:val="hr-HR"/>
              </w:rPr>
            </w:pPr>
            <w:r w:rsidRPr="0082654D">
              <w:rPr>
                <w:sz w:val="22"/>
                <w:szCs w:val="22"/>
                <w:lang w:val="hr-HR"/>
              </w:rPr>
              <w:t>(bilo koji % površine t</w:t>
            </w:r>
            <w:r w:rsidR="007F4F69">
              <w:rPr>
                <w:sz w:val="22"/>
                <w:szCs w:val="22"/>
                <w:lang w:val="hr-HR"/>
              </w:rPr>
              <w:t>ij</w:t>
            </w:r>
            <w:r w:rsidRPr="0082654D">
              <w:rPr>
                <w:sz w:val="22"/>
                <w:szCs w:val="22"/>
                <w:lang w:val="hr-HR"/>
              </w:rPr>
              <w:t xml:space="preserve">ela povezan sa </w:t>
            </w:r>
            <w:r w:rsidR="00A0017D">
              <w:rPr>
                <w:sz w:val="22"/>
                <w:szCs w:val="22"/>
                <w:lang w:val="hr-HR"/>
              </w:rPr>
              <w:t>obimnom</w:t>
            </w:r>
            <w:r w:rsidR="00A0017D" w:rsidRPr="0082654D">
              <w:rPr>
                <w:sz w:val="22"/>
                <w:szCs w:val="22"/>
                <w:lang w:val="hr-HR"/>
              </w:rPr>
              <w:t xml:space="preserve"> </w:t>
            </w:r>
            <w:r w:rsidRPr="0082654D">
              <w:rPr>
                <w:sz w:val="22"/>
                <w:szCs w:val="22"/>
                <w:lang w:val="hr-HR"/>
              </w:rPr>
              <w:t>superinfekcijom kod koje su indikovani intravenski antibiotici; posl</w:t>
            </w:r>
            <w:r w:rsidR="007F4F69">
              <w:rPr>
                <w:sz w:val="22"/>
                <w:szCs w:val="22"/>
                <w:lang w:val="hr-HR"/>
              </w:rPr>
              <w:t>j</w:t>
            </w:r>
            <w:r w:rsidRPr="0082654D">
              <w:rPr>
                <w:sz w:val="22"/>
                <w:szCs w:val="22"/>
                <w:lang w:val="hr-HR"/>
              </w:rPr>
              <w:t>edice opasne po život)</w:t>
            </w:r>
          </w:p>
        </w:tc>
        <w:tc>
          <w:tcPr>
            <w:tcW w:w="3042" w:type="pct"/>
          </w:tcPr>
          <w:p w14:paraId="06867310"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Trajno obustaviti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w:t>
            </w:r>
          </w:p>
        </w:tc>
      </w:tr>
      <w:tr w:rsidR="0082654D" w:rsidRPr="0082654D" w14:paraId="703C983F" w14:textId="77777777" w:rsidTr="00C10B32">
        <w:trPr>
          <w:cantSplit/>
        </w:trPr>
        <w:tc>
          <w:tcPr>
            <w:tcW w:w="5000" w:type="pct"/>
            <w:gridSpan w:val="2"/>
            <w:shd w:val="clear" w:color="auto" w:fill="auto"/>
          </w:tcPr>
          <w:p w14:paraId="5CD84785" w14:textId="77777777" w:rsidR="0082654D" w:rsidRPr="0082654D" w:rsidRDefault="0082654D" w:rsidP="00C10B32">
            <w:pPr>
              <w:shd w:val="clear" w:color="auto" w:fill="FFFFFF" w:themeFill="background1"/>
              <w:ind w:left="567" w:hanging="567"/>
              <w:rPr>
                <w:iCs/>
                <w:sz w:val="20"/>
                <w:szCs w:val="22"/>
                <w:lang w:val="hr-HR"/>
              </w:rPr>
            </w:pPr>
            <w:r w:rsidRPr="0082654D">
              <w:rPr>
                <w:sz w:val="20"/>
                <w:szCs w:val="22"/>
                <w:vertAlign w:val="superscript"/>
                <w:lang w:val="hr-HR"/>
              </w:rPr>
              <w:t>1</w:t>
            </w:r>
            <w:r w:rsidRPr="0082654D">
              <w:rPr>
                <w:sz w:val="20"/>
                <w:szCs w:val="22"/>
                <w:lang w:val="hr-HR"/>
              </w:rPr>
              <w:tab/>
              <w:t>Određivanje stepena prema</w:t>
            </w:r>
            <w:r w:rsidRPr="0082654D">
              <w:rPr>
                <w:iCs/>
                <w:sz w:val="20"/>
                <w:szCs w:val="22"/>
                <w:lang w:val="hr-HR"/>
              </w:rPr>
              <w:t xml:space="preserve"> CTCAE Verziji 5.0</w:t>
            </w:r>
          </w:p>
        </w:tc>
      </w:tr>
    </w:tbl>
    <w:p w14:paraId="5FA9AE68" w14:textId="77777777" w:rsidR="0082654D" w:rsidRPr="0082654D" w:rsidRDefault="0082654D" w:rsidP="0082654D">
      <w:pPr>
        <w:shd w:val="clear" w:color="auto" w:fill="FFFFFF" w:themeFill="background1"/>
        <w:rPr>
          <w:sz w:val="22"/>
          <w:szCs w:val="22"/>
          <w:lang w:val="hr-HR"/>
        </w:rPr>
      </w:pPr>
    </w:p>
    <w:p w14:paraId="0B94C000" w14:textId="095F2494" w:rsidR="0082654D" w:rsidRPr="0082654D" w:rsidRDefault="0082654D" w:rsidP="0082654D">
      <w:pPr>
        <w:keepNext/>
        <w:keepLines/>
        <w:rPr>
          <w:i/>
          <w:sz w:val="22"/>
          <w:szCs w:val="22"/>
          <w:lang w:val="hr-HR"/>
        </w:rPr>
      </w:pPr>
      <w:r w:rsidRPr="0082654D">
        <w:rPr>
          <w:i/>
          <w:sz w:val="22"/>
          <w:szCs w:val="22"/>
          <w:lang w:val="hr-HR"/>
        </w:rPr>
        <w:lastRenderedPageBreak/>
        <w:t>Dijareja</w:t>
      </w:r>
      <w:r w:rsidR="00A45623">
        <w:rPr>
          <w:i/>
          <w:sz w:val="22"/>
          <w:szCs w:val="22"/>
          <w:lang w:val="hr-HR"/>
        </w:rPr>
        <w:t xml:space="preserve"> ili kolitis</w:t>
      </w:r>
    </w:p>
    <w:p w14:paraId="649668E9" w14:textId="77777777" w:rsidR="0082654D" w:rsidRPr="0082654D" w:rsidRDefault="0082654D" w:rsidP="0082654D">
      <w:pPr>
        <w:keepNext/>
        <w:keepLines/>
        <w:rPr>
          <w:sz w:val="22"/>
          <w:szCs w:val="22"/>
          <w:lang w:val="hr-HR"/>
        </w:rPr>
      </w:pPr>
    </w:p>
    <w:p w14:paraId="79439339" w14:textId="4E2E5B26" w:rsidR="0082654D" w:rsidRPr="0082654D" w:rsidRDefault="0082654D" w:rsidP="0082654D">
      <w:pPr>
        <w:keepNext/>
        <w:keepLines/>
        <w:rPr>
          <w:b/>
          <w:sz w:val="22"/>
          <w:szCs w:val="22"/>
          <w:lang w:val="hr-HR"/>
        </w:rPr>
      </w:pPr>
      <w:r w:rsidRPr="0082654D">
        <w:rPr>
          <w:b/>
          <w:sz w:val="22"/>
          <w:szCs w:val="22"/>
          <w:lang w:val="hr-HR"/>
        </w:rPr>
        <w:t>Tabela 4</w:t>
      </w:r>
      <w:r w:rsidRPr="0082654D">
        <w:rPr>
          <w:b/>
          <w:sz w:val="22"/>
          <w:szCs w:val="22"/>
          <w:lang w:val="hr-HR"/>
        </w:rPr>
        <w:tab/>
        <w:t>Prilagođavanje doze i zbrinjavanje dijareje</w:t>
      </w:r>
      <w:r w:rsidR="00A45623">
        <w:rPr>
          <w:b/>
          <w:sz w:val="22"/>
          <w:szCs w:val="22"/>
          <w:lang w:val="hr-HR"/>
        </w:rPr>
        <w:t xml:space="preserve"> ili kolitisa</w:t>
      </w:r>
    </w:p>
    <w:p w14:paraId="3073F715" w14:textId="77777777" w:rsidR="0082654D" w:rsidRPr="0082654D" w:rsidRDefault="0082654D" w:rsidP="0082654D">
      <w:pPr>
        <w:keepNext/>
        <w:keepLines/>
        <w:rPr>
          <w:sz w:val="22"/>
          <w:szCs w:val="22"/>
          <w:lang w:val="hr-HR"/>
        </w:rPr>
      </w:pPr>
    </w:p>
    <w:tbl>
      <w:tblPr>
        <w:tblStyle w:val="TableGrid"/>
        <w:tblW w:w="5000" w:type="pct"/>
        <w:tblLook w:val="04A0" w:firstRow="1" w:lastRow="0" w:firstColumn="1" w:lastColumn="0" w:noHBand="0" w:noVBand="1"/>
      </w:tblPr>
      <w:tblGrid>
        <w:gridCol w:w="1799"/>
        <w:gridCol w:w="7276"/>
      </w:tblGrid>
      <w:tr w:rsidR="0082654D" w:rsidRPr="0082654D" w14:paraId="100B9B4B" w14:textId="77777777" w:rsidTr="00C10B32">
        <w:trPr>
          <w:cantSplit/>
        </w:trPr>
        <w:tc>
          <w:tcPr>
            <w:tcW w:w="991" w:type="pct"/>
          </w:tcPr>
          <w:p w14:paraId="6BDAA064" w14:textId="77777777" w:rsidR="0082654D" w:rsidRPr="0082654D" w:rsidRDefault="0082654D" w:rsidP="00C10B32">
            <w:pPr>
              <w:keepNext/>
              <w:keepLines/>
              <w:rPr>
                <w:sz w:val="22"/>
                <w:szCs w:val="22"/>
                <w:lang w:val="hr-HR"/>
              </w:rPr>
            </w:pPr>
            <w:r w:rsidRPr="0082654D">
              <w:rPr>
                <w:b/>
                <w:sz w:val="22"/>
                <w:szCs w:val="22"/>
                <w:lang w:val="hr-HR"/>
              </w:rPr>
              <w:t>Stepen</w:t>
            </w:r>
            <w:r w:rsidRPr="0082654D">
              <w:rPr>
                <w:b/>
                <w:sz w:val="22"/>
                <w:szCs w:val="22"/>
                <w:vertAlign w:val="superscript"/>
                <w:lang w:val="hr-HR"/>
              </w:rPr>
              <w:t>1</w:t>
            </w:r>
          </w:p>
        </w:tc>
        <w:tc>
          <w:tcPr>
            <w:tcW w:w="4009" w:type="pct"/>
          </w:tcPr>
          <w:p w14:paraId="3D480C46" w14:textId="77777777" w:rsidR="0082654D" w:rsidRPr="0082654D" w:rsidRDefault="0082654D" w:rsidP="00C10B32">
            <w:pPr>
              <w:keepNext/>
              <w:keepLines/>
              <w:rPr>
                <w:sz w:val="22"/>
                <w:szCs w:val="22"/>
                <w:lang w:val="hr-HR"/>
              </w:rPr>
            </w:pPr>
            <w:r w:rsidRPr="0082654D">
              <w:rPr>
                <w:b/>
                <w:sz w:val="22"/>
                <w:szCs w:val="22"/>
                <w:lang w:val="hr-HR"/>
              </w:rPr>
              <w:t>Preporuka</w:t>
            </w:r>
          </w:p>
        </w:tc>
      </w:tr>
      <w:tr w:rsidR="0082654D" w:rsidRPr="0082654D" w14:paraId="28F06310" w14:textId="77777777" w:rsidTr="00C10B32">
        <w:trPr>
          <w:cantSplit/>
        </w:trPr>
        <w:tc>
          <w:tcPr>
            <w:tcW w:w="991" w:type="pct"/>
          </w:tcPr>
          <w:p w14:paraId="28515920" w14:textId="77777777" w:rsidR="0082654D" w:rsidRPr="0082654D" w:rsidRDefault="0082654D" w:rsidP="00C10B32">
            <w:pPr>
              <w:keepNext/>
              <w:keepLines/>
              <w:rPr>
                <w:sz w:val="22"/>
                <w:szCs w:val="22"/>
                <w:lang w:val="hr-HR"/>
              </w:rPr>
            </w:pPr>
            <w:r w:rsidRPr="0082654D">
              <w:rPr>
                <w:sz w:val="22"/>
                <w:szCs w:val="22"/>
                <w:lang w:val="hr-HR"/>
              </w:rPr>
              <w:t>1. stepen</w:t>
            </w:r>
          </w:p>
        </w:tc>
        <w:tc>
          <w:tcPr>
            <w:tcW w:w="4009" w:type="pct"/>
          </w:tcPr>
          <w:p w14:paraId="53D4E209" w14:textId="77777777" w:rsidR="0082654D" w:rsidRPr="0082654D" w:rsidRDefault="0082654D" w:rsidP="00C10B32">
            <w:pPr>
              <w:keepNext/>
              <w:keepLines/>
              <w:rPr>
                <w:sz w:val="22"/>
                <w:szCs w:val="22"/>
                <w:lang w:val="hr-HR"/>
              </w:rPr>
            </w:pPr>
            <w:r w:rsidRPr="0082654D">
              <w:rPr>
                <w:sz w:val="22"/>
                <w:szCs w:val="22"/>
                <w:lang w:val="hr-HR"/>
              </w:rPr>
              <w:t xml:space="preserve">Nije potrebno prilagođavanje doze </w:t>
            </w:r>
            <w:r w:rsidR="00C10B32">
              <w:rPr>
                <w:sz w:val="22"/>
                <w:szCs w:val="22"/>
                <w:lang w:val="hr-HR"/>
              </w:rPr>
              <w:t>lijek</w:t>
            </w:r>
            <w:r w:rsidRPr="0082654D">
              <w:rPr>
                <w:sz w:val="22"/>
                <w:szCs w:val="22"/>
                <w:lang w:val="hr-HR"/>
              </w:rPr>
              <w:t xml:space="preserve">a Piqray. Započeti odgovarajuću terapiju </w:t>
            </w:r>
            <w:r w:rsidR="00C10B32">
              <w:rPr>
                <w:sz w:val="22"/>
                <w:szCs w:val="22"/>
                <w:lang w:val="hr-HR"/>
              </w:rPr>
              <w:t>ljekov</w:t>
            </w:r>
            <w:r w:rsidRPr="0082654D">
              <w:rPr>
                <w:sz w:val="22"/>
                <w:szCs w:val="22"/>
                <w:lang w:val="hr-HR"/>
              </w:rPr>
              <w:t>ima i pratiti prema kliničkim indikacijama.</w:t>
            </w:r>
          </w:p>
        </w:tc>
      </w:tr>
      <w:tr w:rsidR="0082654D" w:rsidRPr="0082654D" w14:paraId="283D3D3D" w14:textId="77777777" w:rsidTr="00C10B32">
        <w:trPr>
          <w:cantSplit/>
        </w:trPr>
        <w:tc>
          <w:tcPr>
            <w:tcW w:w="991" w:type="pct"/>
          </w:tcPr>
          <w:p w14:paraId="291536F4" w14:textId="41107209" w:rsidR="0082654D" w:rsidRPr="0082654D" w:rsidRDefault="0082654D" w:rsidP="00C10B32">
            <w:pPr>
              <w:keepNext/>
              <w:keepLines/>
              <w:rPr>
                <w:sz w:val="22"/>
                <w:szCs w:val="22"/>
                <w:lang w:val="hr-HR"/>
              </w:rPr>
            </w:pPr>
            <w:r w:rsidRPr="0082654D">
              <w:rPr>
                <w:sz w:val="22"/>
                <w:szCs w:val="22"/>
                <w:lang w:val="hr-HR"/>
              </w:rPr>
              <w:t>2. stepen</w:t>
            </w:r>
            <w:r w:rsidR="00264ADA" w:rsidRPr="0082654D">
              <w:rPr>
                <w:sz w:val="22"/>
                <w:szCs w:val="22"/>
                <w:vertAlign w:val="superscript"/>
                <w:lang w:val="hr-HR"/>
              </w:rPr>
              <w:t>2</w:t>
            </w:r>
          </w:p>
        </w:tc>
        <w:tc>
          <w:tcPr>
            <w:tcW w:w="4009" w:type="pct"/>
          </w:tcPr>
          <w:p w14:paraId="2DE9F5D3" w14:textId="77777777" w:rsidR="002A5E87" w:rsidRDefault="0082654D" w:rsidP="00C10B32">
            <w:pPr>
              <w:keepNext/>
              <w:keepLines/>
              <w:rPr>
                <w:sz w:val="22"/>
                <w:szCs w:val="22"/>
                <w:lang w:val="hr-HR"/>
              </w:rPr>
            </w:pPr>
            <w:r w:rsidRPr="0082654D">
              <w:rPr>
                <w:sz w:val="22"/>
                <w:szCs w:val="22"/>
                <w:lang w:val="hr-HR"/>
              </w:rPr>
              <w:t>Pri</w:t>
            </w:r>
            <w:r w:rsidR="00DD0799">
              <w:rPr>
                <w:sz w:val="22"/>
                <w:szCs w:val="22"/>
                <w:lang w:val="hr-HR"/>
              </w:rPr>
              <w:t>vr</w:t>
            </w:r>
            <w:r w:rsidR="00A26CAB">
              <w:rPr>
                <w:sz w:val="22"/>
                <w:szCs w:val="22"/>
                <w:lang w:val="hr-HR"/>
              </w:rPr>
              <w:t>em</w:t>
            </w:r>
            <w:r w:rsidRPr="0082654D">
              <w:rPr>
                <w:sz w:val="22"/>
                <w:szCs w:val="22"/>
                <w:lang w:val="hr-HR"/>
              </w:rPr>
              <w:t xml:space="preserve">eno prekinuti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w:t>
            </w:r>
            <w:r w:rsidR="002A5E87">
              <w:rPr>
                <w:sz w:val="22"/>
                <w:szCs w:val="22"/>
                <w:lang w:val="hr-HR"/>
              </w:rPr>
              <w:t>.</w:t>
            </w:r>
          </w:p>
          <w:p w14:paraId="03886890" w14:textId="77777777" w:rsidR="002A5E87" w:rsidRPr="002A5E87" w:rsidRDefault="002A5E87" w:rsidP="002A5E87">
            <w:pPr>
              <w:keepNext/>
              <w:keepLines/>
              <w:rPr>
                <w:sz w:val="22"/>
                <w:szCs w:val="22"/>
                <w:lang w:val="hr-HR"/>
              </w:rPr>
            </w:pPr>
            <w:r w:rsidRPr="002A5E87">
              <w:rPr>
                <w:sz w:val="22"/>
                <w:szCs w:val="22"/>
                <w:lang w:val="hr-HR"/>
              </w:rPr>
              <w:t>Započeti ili intenzivirati odgovarajuću terapiju l</w:t>
            </w:r>
            <w:r>
              <w:rPr>
                <w:sz w:val="22"/>
                <w:szCs w:val="22"/>
                <w:lang w:val="hr-HR"/>
              </w:rPr>
              <w:t>j</w:t>
            </w:r>
            <w:r w:rsidRPr="002A5E87">
              <w:rPr>
                <w:sz w:val="22"/>
                <w:szCs w:val="22"/>
                <w:lang w:val="hr-HR"/>
              </w:rPr>
              <w:t>ekovima i pratiti kako je klinički indikovano.</w:t>
            </w:r>
          </w:p>
          <w:p w14:paraId="232005AD" w14:textId="663C87D6" w:rsidR="002A5E87" w:rsidRDefault="002A5E87" w:rsidP="002A5E87">
            <w:pPr>
              <w:keepNext/>
              <w:keepLines/>
            </w:pPr>
            <w:r w:rsidRPr="002A5E87">
              <w:rPr>
                <w:sz w:val="22"/>
                <w:szCs w:val="22"/>
                <w:lang w:val="hr-HR"/>
              </w:rPr>
              <w:t>Ako dođe do poboljšanja dijareje</w:t>
            </w:r>
            <w:r w:rsidR="00A45623">
              <w:rPr>
                <w:sz w:val="22"/>
                <w:szCs w:val="22"/>
                <w:lang w:val="hr-HR"/>
              </w:rPr>
              <w:t xml:space="preserve"> ili kolitisa</w:t>
            </w:r>
            <w:r w:rsidRPr="002A5E87">
              <w:rPr>
                <w:sz w:val="22"/>
                <w:szCs w:val="22"/>
                <w:lang w:val="hr-HR"/>
              </w:rPr>
              <w:t xml:space="preserve"> </w:t>
            </w:r>
            <w:r w:rsidR="0082654D" w:rsidRPr="0082654D">
              <w:rPr>
                <w:sz w:val="22"/>
                <w:szCs w:val="22"/>
                <w:lang w:val="hr-HR"/>
              </w:rPr>
              <w:t xml:space="preserve">do ≤1. stepena, nastaviti sa </w:t>
            </w:r>
            <w:r w:rsidR="00C10B32">
              <w:rPr>
                <w:sz w:val="22"/>
                <w:szCs w:val="22"/>
                <w:lang w:val="hr-HR"/>
              </w:rPr>
              <w:t>lijek</w:t>
            </w:r>
            <w:r w:rsidR="0082654D" w:rsidRPr="0082654D">
              <w:rPr>
                <w:sz w:val="22"/>
                <w:szCs w:val="22"/>
                <w:lang w:val="hr-HR"/>
              </w:rPr>
              <w:t>om Piqray u istoj dozi.</w:t>
            </w:r>
            <w:r>
              <w:t xml:space="preserve"> </w:t>
            </w:r>
          </w:p>
          <w:p w14:paraId="1E867B84" w14:textId="3DDFD39E" w:rsidR="0082654D" w:rsidRPr="0082654D" w:rsidRDefault="00264ADA" w:rsidP="00264ADA">
            <w:pPr>
              <w:keepNext/>
              <w:keepLines/>
              <w:rPr>
                <w:sz w:val="22"/>
                <w:szCs w:val="22"/>
                <w:lang w:val="hr-HR"/>
              </w:rPr>
            </w:pPr>
            <w:r>
              <w:rPr>
                <w:sz w:val="22"/>
                <w:szCs w:val="22"/>
                <w:lang w:val="hr-HR"/>
              </w:rPr>
              <w:t>Kod ponovljene</w:t>
            </w:r>
            <w:r w:rsidR="002A5E87" w:rsidRPr="002A5E87">
              <w:rPr>
                <w:sz w:val="22"/>
                <w:szCs w:val="22"/>
                <w:lang w:val="hr-HR"/>
              </w:rPr>
              <w:t xml:space="preserve"> </w:t>
            </w:r>
            <w:r w:rsidRPr="002A5E87">
              <w:rPr>
                <w:sz w:val="22"/>
                <w:szCs w:val="22"/>
                <w:lang w:val="hr-HR"/>
              </w:rPr>
              <w:t>dijarej</w:t>
            </w:r>
            <w:r>
              <w:rPr>
                <w:sz w:val="22"/>
                <w:szCs w:val="22"/>
                <w:lang w:val="hr-HR"/>
              </w:rPr>
              <w:t>e ili kolitisa</w:t>
            </w:r>
            <w:r w:rsidR="002A5E87" w:rsidRPr="002A5E87">
              <w:rPr>
                <w:sz w:val="22"/>
                <w:szCs w:val="22"/>
                <w:lang w:val="hr-HR"/>
              </w:rPr>
              <w:t xml:space="preserve"> kao stepen ≥2, privremeno prekinuti prim</w:t>
            </w:r>
            <w:r w:rsidR="002A5E87">
              <w:rPr>
                <w:sz w:val="22"/>
                <w:szCs w:val="22"/>
                <w:lang w:val="hr-HR"/>
              </w:rPr>
              <w:t>j</w:t>
            </w:r>
            <w:r w:rsidR="002A5E87" w:rsidRPr="002A5E87">
              <w:rPr>
                <w:sz w:val="22"/>
                <w:szCs w:val="22"/>
                <w:lang w:val="hr-HR"/>
              </w:rPr>
              <w:t>enu l</w:t>
            </w:r>
            <w:r w:rsidR="002A5E87">
              <w:rPr>
                <w:sz w:val="22"/>
                <w:szCs w:val="22"/>
                <w:lang w:val="hr-HR"/>
              </w:rPr>
              <w:t>ij</w:t>
            </w:r>
            <w:r w:rsidR="002A5E87" w:rsidRPr="002A5E87">
              <w:rPr>
                <w:sz w:val="22"/>
                <w:szCs w:val="22"/>
                <w:lang w:val="hr-HR"/>
              </w:rPr>
              <w:t>eka Piqray do poboljšanja do ≤1. stepena, a zatim nastaviti sa l</w:t>
            </w:r>
            <w:r w:rsidR="002A5E87">
              <w:rPr>
                <w:sz w:val="22"/>
                <w:szCs w:val="22"/>
                <w:lang w:val="hr-HR"/>
              </w:rPr>
              <w:t>ij</w:t>
            </w:r>
            <w:r w:rsidR="002A5E87" w:rsidRPr="002A5E87">
              <w:rPr>
                <w:sz w:val="22"/>
                <w:szCs w:val="22"/>
                <w:lang w:val="hr-HR"/>
              </w:rPr>
              <w:t>ekom Piqray u sl</w:t>
            </w:r>
            <w:r w:rsidR="002A5E87">
              <w:rPr>
                <w:sz w:val="22"/>
                <w:szCs w:val="22"/>
                <w:lang w:val="hr-HR"/>
              </w:rPr>
              <w:t>j</w:t>
            </w:r>
            <w:r w:rsidR="002A5E87" w:rsidRPr="002A5E87">
              <w:rPr>
                <w:sz w:val="22"/>
                <w:szCs w:val="22"/>
                <w:lang w:val="hr-HR"/>
              </w:rPr>
              <w:t>edećoj nižoj dozi.</w:t>
            </w:r>
          </w:p>
        </w:tc>
      </w:tr>
      <w:tr w:rsidR="0082654D" w:rsidRPr="0082654D" w14:paraId="4A2CB55C" w14:textId="77777777" w:rsidTr="00C10B32">
        <w:trPr>
          <w:cantSplit/>
        </w:trPr>
        <w:tc>
          <w:tcPr>
            <w:tcW w:w="991" w:type="pct"/>
          </w:tcPr>
          <w:p w14:paraId="50630F2C" w14:textId="76CF2C8B" w:rsidR="0082654D" w:rsidRPr="0082654D" w:rsidRDefault="0082654D" w:rsidP="002A5E87">
            <w:pPr>
              <w:keepNext/>
              <w:keepLines/>
              <w:rPr>
                <w:sz w:val="22"/>
                <w:szCs w:val="22"/>
                <w:lang w:val="hr-HR"/>
              </w:rPr>
            </w:pPr>
            <w:r w:rsidRPr="0082654D">
              <w:rPr>
                <w:sz w:val="22"/>
                <w:szCs w:val="22"/>
                <w:lang w:val="hr-HR"/>
              </w:rPr>
              <w:t>3. stepen</w:t>
            </w:r>
            <w:r w:rsidR="00264ADA" w:rsidRPr="0082654D">
              <w:rPr>
                <w:sz w:val="22"/>
                <w:szCs w:val="22"/>
                <w:vertAlign w:val="superscript"/>
                <w:lang w:val="hr-HR"/>
              </w:rPr>
              <w:t>2</w:t>
            </w:r>
            <w:r w:rsidR="00264ADA">
              <w:rPr>
                <w:sz w:val="22"/>
                <w:szCs w:val="22"/>
                <w:vertAlign w:val="superscript"/>
                <w:lang w:val="hr-HR"/>
              </w:rPr>
              <w:t>, 3</w:t>
            </w:r>
          </w:p>
        </w:tc>
        <w:tc>
          <w:tcPr>
            <w:tcW w:w="4009" w:type="pct"/>
          </w:tcPr>
          <w:p w14:paraId="0349E5CD" w14:textId="77777777" w:rsidR="002A5E87" w:rsidRDefault="002A5E87" w:rsidP="00C10B32">
            <w:pPr>
              <w:keepNext/>
              <w:keepLines/>
              <w:rPr>
                <w:sz w:val="22"/>
                <w:szCs w:val="22"/>
                <w:lang w:val="hr-HR"/>
              </w:rPr>
            </w:pPr>
            <w:r w:rsidRPr="002A5E87">
              <w:rPr>
                <w:sz w:val="22"/>
                <w:szCs w:val="22"/>
                <w:lang w:val="hr-HR"/>
              </w:rPr>
              <w:t>Privremeno prekinuti prim</w:t>
            </w:r>
            <w:r>
              <w:rPr>
                <w:sz w:val="22"/>
                <w:szCs w:val="22"/>
                <w:lang w:val="hr-HR"/>
              </w:rPr>
              <w:t>j</w:t>
            </w:r>
            <w:r w:rsidRPr="002A5E87">
              <w:rPr>
                <w:sz w:val="22"/>
                <w:szCs w:val="22"/>
                <w:lang w:val="hr-HR"/>
              </w:rPr>
              <w:t>enu l</w:t>
            </w:r>
            <w:r>
              <w:rPr>
                <w:sz w:val="22"/>
                <w:szCs w:val="22"/>
                <w:lang w:val="hr-HR"/>
              </w:rPr>
              <w:t>ij</w:t>
            </w:r>
            <w:r w:rsidRPr="002A5E87">
              <w:rPr>
                <w:sz w:val="22"/>
                <w:szCs w:val="22"/>
                <w:lang w:val="hr-HR"/>
              </w:rPr>
              <w:t>eka Piqray.</w:t>
            </w:r>
          </w:p>
          <w:p w14:paraId="4501A2A5" w14:textId="77777777" w:rsidR="002A5E87" w:rsidRDefault="0082654D" w:rsidP="00C10B32">
            <w:pPr>
              <w:keepNext/>
              <w:keepLines/>
              <w:rPr>
                <w:sz w:val="22"/>
                <w:szCs w:val="22"/>
                <w:lang w:val="hr-HR"/>
              </w:rPr>
            </w:pPr>
            <w:r w:rsidRPr="0082654D">
              <w:rPr>
                <w:sz w:val="22"/>
                <w:szCs w:val="22"/>
                <w:lang w:val="hr-HR"/>
              </w:rPr>
              <w:t xml:space="preserve">Započeti ili intenzivirati odgovarajuću terapiju </w:t>
            </w:r>
            <w:r w:rsidR="00C10B32">
              <w:rPr>
                <w:sz w:val="22"/>
                <w:szCs w:val="22"/>
                <w:lang w:val="hr-HR"/>
              </w:rPr>
              <w:t>ljekov</w:t>
            </w:r>
            <w:r w:rsidRPr="0082654D">
              <w:rPr>
                <w:sz w:val="22"/>
                <w:szCs w:val="22"/>
                <w:lang w:val="hr-HR"/>
              </w:rPr>
              <w:t xml:space="preserve">ima i pratiti prema kliničkim indikacijama. </w:t>
            </w:r>
          </w:p>
          <w:p w14:paraId="6AC95E1F" w14:textId="3532B53D" w:rsidR="0082654D" w:rsidRPr="0082654D" w:rsidRDefault="002A5E87" w:rsidP="002A5E87">
            <w:pPr>
              <w:keepNext/>
              <w:keepLines/>
              <w:rPr>
                <w:sz w:val="22"/>
                <w:szCs w:val="22"/>
                <w:lang w:val="hr-HR"/>
              </w:rPr>
            </w:pPr>
            <w:r w:rsidRPr="002A5E87">
              <w:rPr>
                <w:sz w:val="22"/>
                <w:szCs w:val="22"/>
                <w:lang w:val="hr-HR"/>
              </w:rPr>
              <w:t xml:space="preserve">Ako dođe do poboljšanja dijareje </w:t>
            </w:r>
            <w:r w:rsidR="00264ADA">
              <w:rPr>
                <w:sz w:val="22"/>
                <w:szCs w:val="22"/>
                <w:lang w:val="hr-HR"/>
              </w:rPr>
              <w:t xml:space="preserve">ili kolitisa </w:t>
            </w:r>
            <w:r w:rsidR="0082654D" w:rsidRPr="0082654D">
              <w:rPr>
                <w:sz w:val="22"/>
                <w:szCs w:val="22"/>
                <w:lang w:val="hr-HR"/>
              </w:rPr>
              <w:t xml:space="preserve">do ≤1. stepena, nastaviti sa </w:t>
            </w:r>
            <w:r w:rsidR="00C10B32">
              <w:rPr>
                <w:sz w:val="22"/>
                <w:szCs w:val="22"/>
                <w:lang w:val="hr-HR"/>
              </w:rPr>
              <w:t>lijek</w:t>
            </w:r>
            <w:r w:rsidR="0082654D" w:rsidRPr="0082654D">
              <w:rPr>
                <w:sz w:val="22"/>
                <w:szCs w:val="22"/>
                <w:lang w:val="hr-HR"/>
              </w:rPr>
              <w:t xml:space="preserve">om Piqray u </w:t>
            </w:r>
            <w:r w:rsidR="00A26CAB">
              <w:rPr>
                <w:sz w:val="22"/>
                <w:szCs w:val="22"/>
                <w:lang w:val="hr-HR"/>
              </w:rPr>
              <w:t>sljedeć</w:t>
            </w:r>
            <w:r w:rsidR="0082654D" w:rsidRPr="0082654D">
              <w:rPr>
                <w:sz w:val="22"/>
                <w:szCs w:val="22"/>
                <w:lang w:val="hr-HR"/>
              </w:rPr>
              <w:t>oj nižoj dozi.</w:t>
            </w:r>
          </w:p>
        </w:tc>
      </w:tr>
      <w:tr w:rsidR="002A5E87" w:rsidRPr="0082654D" w14:paraId="4226C11C" w14:textId="77777777" w:rsidTr="00C10B32">
        <w:trPr>
          <w:cantSplit/>
        </w:trPr>
        <w:tc>
          <w:tcPr>
            <w:tcW w:w="991" w:type="pct"/>
          </w:tcPr>
          <w:p w14:paraId="30366C0E" w14:textId="4291C4D7" w:rsidR="002A5E87" w:rsidRPr="0082654D" w:rsidRDefault="002A5E87" w:rsidP="00C10B32">
            <w:pPr>
              <w:keepNext/>
              <w:keepLines/>
              <w:rPr>
                <w:sz w:val="22"/>
                <w:szCs w:val="22"/>
                <w:lang w:val="hr-HR"/>
              </w:rPr>
            </w:pPr>
            <w:r w:rsidRPr="0082654D">
              <w:rPr>
                <w:sz w:val="22"/>
                <w:szCs w:val="22"/>
                <w:lang w:val="hr-HR"/>
              </w:rPr>
              <w:t>4. stepen</w:t>
            </w:r>
            <w:r w:rsidRPr="0082654D">
              <w:rPr>
                <w:sz w:val="22"/>
                <w:szCs w:val="22"/>
                <w:vertAlign w:val="superscript"/>
                <w:lang w:val="hr-HR"/>
              </w:rPr>
              <w:t>2</w:t>
            </w:r>
            <w:r w:rsidR="00264ADA">
              <w:rPr>
                <w:sz w:val="22"/>
                <w:szCs w:val="22"/>
                <w:vertAlign w:val="superscript"/>
                <w:lang w:val="hr-HR"/>
              </w:rPr>
              <w:t>, 3</w:t>
            </w:r>
          </w:p>
        </w:tc>
        <w:tc>
          <w:tcPr>
            <w:tcW w:w="4009" w:type="pct"/>
          </w:tcPr>
          <w:p w14:paraId="32DC2290" w14:textId="77777777" w:rsidR="002A5E87" w:rsidRPr="0082654D" w:rsidRDefault="002A5E87" w:rsidP="00C10B32">
            <w:pPr>
              <w:keepNext/>
              <w:keepLines/>
              <w:rPr>
                <w:sz w:val="22"/>
                <w:szCs w:val="22"/>
                <w:lang w:val="hr-HR"/>
              </w:rPr>
            </w:pPr>
            <w:r w:rsidRPr="002A5E87">
              <w:rPr>
                <w:sz w:val="22"/>
                <w:szCs w:val="22"/>
                <w:lang w:val="hr-HR"/>
              </w:rPr>
              <w:t>Trajno obustaviti prim</w:t>
            </w:r>
            <w:r>
              <w:rPr>
                <w:sz w:val="22"/>
                <w:szCs w:val="22"/>
                <w:lang w:val="hr-HR"/>
              </w:rPr>
              <w:t>j</w:t>
            </w:r>
            <w:r w:rsidRPr="002A5E87">
              <w:rPr>
                <w:sz w:val="22"/>
                <w:szCs w:val="22"/>
                <w:lang w:val="hr-HR"/>
              </w:rPr>
              <w:t>enu l</w:t>
            </w:r>
            <w:r>
              <w:rPr>
                <w:sz w:val="22"/>
                <w:szCs w:val="22"/>
                <w:lang w:val="hr-HR"/>
              </w:rPr>
              <w:t>ij</w:t>
            </w:r>
            <w:r w:rsidRPr="002A5E87">
              <w:rPr>
                <w:sz w:val="22"/>
                <w:szCs w:val="22"/>
                <w:lang w:val="hr-HR"/>
              </w:rPr>
              <w:t>eka Piqray.</w:t>
            </w:r>
          </w:p>
        </w:tc>
      </w:tr>
      <w:tr w:rsidR="0082654D" w:rsidRPr="0082654D" w14:paraId="036D294E" w14:textId="77777777" w:rsidTr="00C10B32">
        <w:trPr>
          <w:cantSplit/>
        </w:trPr>
        <w:tc>
          <w:tcPr>
            <w:tcW w:w="5000" w:type="pct"/>
            <w:gridSpan w:val="2"/>
          </w:tcPr>
          <w:p w14:paraId="63CB1DFF" w14:textId="77777777" w:rsidR="0082654D" w:rsidRPr="0082654D" w:rsidRDefault="0082654D" w:rsidP="00C10B32">
            <w:pPr>
              <w:pStyle w:val="Text"/>
              <w:spacing w:before="0"/>
              <w:ind w:left="562" w:hanging="562"/>
              <w:jc w:val="left"/>
              <w:rPr>
                <w:iCs/>
                <w:sz w:val="20"/>
                <w:szCs w:val="22"/>
                <w:lang w:val="hr-HR"/>
              </w:rPr>
            </w:pPr>
            <w:r w:rsidRPr="0082654D">
              <w:rPr>
                <w:sz w:val="20"/>
                <w:szCs w:val="22"/>
                <w:vertAlign w:val="superscript"/>
                <w:lang w:val="hr-HR"/>
              </w:rPr>
              <w:t>1</w:t>
            </w:r>
            <w:r w:rsidRPr="0082654D">
              <w:rPr>
                <w:sz w:val="20"/>
                <w:szCs w:val="22"/>
                <w:lang w:val="hr-HR"/>
              </w:rPr>
              <w:tab/>
            </w:r>
            <w:r w:rsidRPr="0082654D">
              <w:rPr>
                <w:iCs/>
                <w:sz w:val="20"/>
                <w:szCs w:val="22"/>
                <w:lang w:val="hr-HR"/>
              </w:rPr>
              <w:t>Određivanje stepena prema CTCAE Verziji 5.0.</w:t>
            </w:r>
          </w:p>
          <w:p w14:paraId="45CBA3ED" w14:textId="77777777" w:rsidR="00264ADA" w:rsidRDefault="0082654D" w:rsidP="00264ADA">
            <w:pPr>
              <w:ind w:left="562" w:hanging="562"/>
              <w:rPr>
                <w:iCs/>
                <w:sz w:val="20"/>
              </w:rPr>
            </w:pPr>
            <w:r w:rsidRPr="0082654D">
              <w:rPr>
                <w:iCs/>
                <w:sz w:val="20"/>
                <w:szCs w:val="22"/>
                <w:vertAlign w:val="superscript"/>
                <w:lang w:val="hr-HR"/>
              </w:rPr>
              <w:t>2</w:t>
            </w:r>
            <w:r w:rsidRPr="0082654D">
              <w:rPr>
                <w:iCs/>
                <w:sz w:val="20"/>
                <w:szCs w:val="22"/>
                <w:lang w:val="hr-HR"/>
              </w:rPr>
              <w:tab/>
            </w:r>
            <w:r w:rsidR="00264ADA">
              <w:rPr>
                <w:iCs/>
                <w:sz w:val="20"/>
                <w:lang w:val="hr-HR"/>
              </w:rPr>
              <w:t xml:space="preserve">Za stepen </w:t>
            </w:r>
            <w:r w:rsidR="00264ADA" w:rsidRPr="00E92A1B">
              <w:rPr>
                <w:sz w:val="20"/>
                <w:szCs w:val="16"/>
              </w:rPr>
              <w:t>≥</w:t>
            </w:r>
            <w:r w:rsidR="00264ADA" w:rsidRPr="0025435B">
              <w:rPr>
                <w:iCs/>
                <w:sz w:val="20"/>
              </w:rPr>
              <w:t xml:space="preserve">2 </w:t>
            </w:r>
            <w:r w:rsidR="00264ADA">
              <w:rPr>
                <w:iCs/>
                <w:sz w:val="20"/>
              </w:rPr>
              <w:t>razmotriti dodatnu terapiju, kao što su steroidi</w:t>
            </w:r>
          </w:p>
          <w:p w14:paraId="024A9CC7" w14:textId="466AB3A1" w:rsidR="0082654D" w:rsidRPr="0082654D" w:rsidRDefault="00264ADA" w:rsidP="00C10B32">
            <w:pPr>
              <w:ind w:left="562" w:hanging="562"/>
              <w:rPr>
                <w:sz w:val="22"/>
                <w:szCs w:val="22"/>
                <w:lang w:val="hr-HR"/>
              </w:rPr>
            </w:pPr>
            <w:r w:rsidRPr="00791C05">
              <w:rPr>
                <w:iCs/>
                <w:sz w:val="20"/>
                <w:szCs w:val="22"/>
                <w:vertAlign w:val="superscript"/>
                <w:lang w:val="hr-HR"/>
              </w:rPr>
              <w:t xml:space="preserve">3 </w:t>
            </w:r>
            <w:r>
              <w:rPr>
                <w:iCs/>
                <w:sz w:val="20"/>
                <w:szCs w:val="22"/>
                <w:vertAlign w:val="superscript"/>
                <w:lang w:val="hr-HR"/>
              </w:rPr>
              <w:t xml:space="preserve">              </w:t>
            </w:r>
            <w:r w:rsidR="0082654D" w:rsidRPr="0082654D">
              <w:rPr>
                <w:iCs/>
                <w:sz w:val="20"/>
                <w:szCs w:val="22"/>
                <w:lang w:val="hr-HR"/>
              </w:rPr>
              <w:t xml:space="preserve">Pacijente je potrebno dodatno zbrinuti prema lokalnom standardnom </w:t>
            </w:r>
            <w:r w:rsidR="00B66BE0">
              <w:rPr>
                <w:iCs/>
                <w:sz w:val="20"/>
                <w:szCs w:val="22"/>
                <w:lang w:val="hr-HR"/>
              </w:rPr>
              <w:t>liječenj</w:t>
            </w:r>
            <w:r w:rsidR="0082654D" w:rsidRPr="0082654D">
              <w:rPr>
                <w:iCs/>
                <w:sz w:val="20"/>
                <w:szCs w:val="22"/>
                <w:lang w:val="hr-HR"/>
              </w:rPr>
              <w:t xml:space="preserve">u, što uključuje praćenje elektrolita, </w:t>
            </w:r>
            <w:r w:rsidR="00C21CF1">
              <w:rPr>
                <w:iCs/>
                <w:sz w:val="20"/>
                <w:szCs w:val="22"/>
                <w:lang w:val="hr-HR"/>
              </w:rPr>
              <w:t>primjen</w:t>
            </w:r>
            <w:r w:rsidR="0082654D" w:rsidRPr="0082654D">
              <w:rPr>
                <w:iCs/>
                <w:sz w:val="20"/>
                <w:szCs w:val="22"/>
                <w:lang w:val="hr-HR"/>
              </w:rPr>
              <w:t>u antiemetika i antidijaroika i/ili nadoknadu tečnosti i elektrolita prema kliničkim indikacijama.</w:t>
            </w:r>
          </w:p>
        </w:tc>
      </w:tr>
    </w:tbl>
    <w:p w14:paraId="0DD652DC" w14:textId="77777777" w:rsidR="0082654D" w:rsidRPr="0082654D" w:rsidRDefault="0082654D" w:rsidP="0082654D">
      <w:pPr>
        <w:shd w:val="clear" w:color="auto" w:fill="FFFFFF" w:themeFill="background1"/>
        <w:rPr>
          <w:sz w:val="22"/>
          <w:szCs w:val="22"/>
          <w:lang w:val="hr-HR"/>
        </w:rPr>
      </w:pPr>
    </w:p>
    <w:p w14:paraId="72356AE5" w14:textId="77777777" w:rsidR="0082654D" w:rsidRPr="0082654D" w:rsidRDefault="00A0017D" w:rsidP="0082654D">
      <w:pPr>
        <w:keepNext/>
        <w:keepLines/>
        <w:shd w:val="clear" w:color="auto" w:fill="FFFFFF" w:themeFill="background1"/>
        <w:ind w:left="1134" w:hanging="1134"/>
        <w:rPr>
          <w:i/>
          <w:sz w:val="22"/>
          <w:szCs w:val="22"/>
          <w:lang w:val="hr-HR"/>
        </w:rPr>
      </w:pPr>
      <w:r>
        <w:rPr>
          <w:i/>
          <w:sz w:val="22"/>
          <w:szCs w:val="22"/>
          <w:lang w:val="hr-HR"/>
        </w:rPr>
        <w:t xml:space="preserve">Druge </w:t>
      </w:r>
      <w:r w:rsidR="0082654D" w:rsidRPr="0082654D">
        <w:rPr>
          <w:i/>
          <w:sz w:val="22"/>
          <w:szCs w:val="22"/>
          <w:lang w:val="hr-HR"/>
        </w:rPr>
        <w:t>toksičnosti</w:t>
      </w:r>
    </w:p>
    <w:p w14:paraId="0652D1DD" w14:textId="77777777" w:rsidR="0082654D" w:rsidRPr="0082654D" w:rsidRDefault="0082654D" w:rsidP="0082654D">
      <w:pPr>
        <w:keepNext/>
        <w:keepLines/>
        <w:shd w:val="clear" w:color="auto" w:fill="FFFFFF" w:themeFill="background1"/>
        <w:ind w:left="1134" w:hanging="1134"/>
        <w:rPr>
          <w:sz w:val="22"/>
          <w:szCs w:val="22"/>
          <w:lang w:val="hr-HR"/>
        </w:rPr>
      </w:pPr>
    </w:p>
    <w:p w14:paraId="3249AE21" w14:textId="4EC63521" w:rsidR="0082654D" w:rsidRPr="0082654D" w:rsidRDefault="0082654D" w:rsidP="0082654D">
      <w:pPr>
        <w:keepNext/>
        <w:keepLines/>
        <w:shd w:val="clear" w:color="auto" w:fill="FFFFFF" w:themeFill="background1"/>
        <w:ind w:left="1134" w:hanging="1134"/>
        <w:rPr>
          <w:b/>
          <w:sz w:val="22"/>
          <w:szCs w:val="22"/>
          <w:lang w:val="hr-HR"/>
        </w:rPr>
      </w:pPr>
      <w:r w:rsidRPr="0082654D">
        <w:rPr>
          <w:b/>
          <w:sz w:val="22"/>
          <w:szCs w:val="22"/>
          <w:lang w:val="hr-HR"/>
        </w:rPr>
        <w:t>Tabela 5</w:t>
      </w:r>
      <w:r w:rsidRPr="0082654D">
        <w:rPr>
          <w:b/>
          <w:sz w:val="22"/>
          <w:szCs w:val="22"/>
          <w:lang w:val="hr-HR"/>
        </w:rPr>
        <w:tab/>
        <w:t xml:space="preserve">Prilagođavanje doze i zbrinjavanje </w:t>
      </w:r>
      <w:r w:rsidR="00A0017D">
        <w:rPr>
          <w:b/>
          <w:sz w:val="22"/>
          <w:szCs w:val="22"/>
          <w:lang w:val="hr-HR"/>
        </w:rPr>
        <w:t>drugih</w:t>
      </w:r>
      <w:r w:rsidR="00A0017D" w:rsidRPr="0082654D">
        <w:rPr>
          <w:b/>
          <w:sz w:val="22"/>
          <w:szCs w:val="22"/>
          <w:lang w:val="hr-HR"/>
        </w:rPr>
        <w:t xml:space="preserve"> </w:t>
      </w:r>
      <w:r w:rsidRPr="0082654D">
        <w:rPr>
          <w:b/>
          <w:sz w:val="22"/>
          <w:szCs w:val="22"/>
          <w:lang w:val="hr-HR"/>
        </w:rPr>
        <w:t>toksičnosti (isključujući hiperglikemiju, osip i dijareju</w:t>
      </w:r>
      <w:r w:rsidR="00264ADA">
        <w:rPr>
          <w:b/>
          <w:sz w:val="22"/>
          <w:szCs w:val="22"/>
          <w:lang w:val="hr-HR"/>
        </w:rPr>
        <w:t xml:space="preserve"> ili kolitis</w:t>
      </w:r>
      <w:r w:rsidRPr="0082654D">
        <w:rPr>
          <w:b/>
          <w:sz w:val="22"/>
          <w:szCs w:val="22"/>
          <w:lang w:val="hr-HR"/>
        </w:rPr>
        <w:t>)</w:t>
      </w:r>
    </w:p>
    <w:p w14:paraId="4FA9ED39" w14:textId="77777777" w:rsidR="0082654D" w:rsidRPr="0082654D" w:rsidRDefault="0082654D" w:rsidP="0082654D">
      <w:pPr>
        <w:keepNext/>
        <w:keepLines/>
        <w:shd w:val="clear" w:color="auto" w:fill="FFFFFF" w:themeFill="background1"/>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7452"/>
      </w:tblGrid>
      <w:tr w:rsidR="0082654D" w:rsidRPr="0082654D" w14:paraId="1CAEBCFC" w14:textId="77777777" w:rsidTr="00C10B32">
        <w:trPr>
          <w:cantSplit/>
        </w:trPr>
        <w:tc>
          <w:tcPr>
            <w:tcW w:w="894" w:type="pct"/>
            <w:shd w:val="clear" w:color="auto" w:fill="auto"/>
          </w:tcPr>
          <w:p w14:paraId="44FE7741" w14:textId="273DA77C" w:rsidR="0082654D" w:rsidRPr="0082654D" w:rsidRDefault="0082654D" w:rsidP="00C10B32">
            <w:pPr>
              <w:keepNext/>
              <w:keepLines/>
              <w:shd w:val="clear" w:color="auto" w:fill="FFFFFF" w:themeFill="background1"/>
              <w:rPr>
                <w:sz w:val="22"/>
                <w:szCs w:val="22"/>
                <w:lang w:val="hr-HR"/>
              </w:rPr>
            </w:pPr>
            <w:r w:rsidRPr="0082654D">
              <w:rPr>
                <w:b/>
                <w:bCs/>
                <w:sz w:val="22"/>
                <w:szCs w:val="22"/>
                <w:lang w:val="hr-HR"/>
              </w:rPr>
              <w:t>Stepen</w:t>
            </w:r>
            <w:r w:rsidR="00264ADA" w:rsidRPr="0082654D">
              <w:rPr>
                <w:b/>
                <w:sz w:val="22"/>
                <w:szCs w:val="22"/>
                <w:vertAlign w:val="superscript"/>
                <w:lang w:val="hr-HR"/>
              </w:rPr>
              <w:t>1</w:t>
            </w:r>
          </w:p>
        </w:tc>
        <w:tc>
          <w:tcPr>
            <w:tcW w:w="4106" w:type="pct"/>
          </w:tcPr>
          <w:p w14:paraId="7131C064" w14:textId="77777777" w:rsidR="0082654D" w:rsidRPr="0082654D" w:rsidRDefault="0082654D" w:rsidP="00C10B32">
            <w:pPr>
              <w:keepNext/>
              <w:keepLines/>
              <w:shd w:val="clear" w:color="auto" w:fill="FFFFFF" w:themeFill="background1"/>
              <w:rPr>
                <w:sz w:val="22"/>
                <w:szCs w:val="22"/>
                <w:lang w:val="hr-HR"/>
              </w:rPr>
            </w:pPr>
            <w:r w:rsidRPr="0082654D">
              <w:rPr>
                <w:b/>
                <w:bCs/>
                <w:sz w:val="22"/>
                <w:szCs w:val="22"/>
                <w:lang w:val="hr-HR"/>
              </w:rPr>
              <w:t xml:space="preserve">Preporuka </w:t>
            </w:r>
          </w:p>
        </w:tc>
      </w:tr>
      <w:tr w:rsidR="0082654D" w:rsidRPr="0082654D" w14:paraId="2F09755D" w14:textId="77777777" w:rsidTr="00C10B32">
        <w:trPr>
          <w:cantSplit/>
        </w:trPr>
        <w:tc>
          <w:tcPr>
            <w:tcW w:w="894" w:type="pct"/>
            <w:shd w:val="clear" w:color="auto" w:fill="auto"/>
          </w:tcPr>
          <w:p w14:paraId="7694BE60"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1. ili 2. stepen</w:t>
            </w:r>
          </w:p>
        </w:tc>
        <w:tc>
          <w:tcPr>
            <w:tcW w:w="4106" w:type="pct"/>
          </w:tcPr>
          <w:p w14:paraId="435856DF"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Nije potrebno prilagođavanje doze </w:t>
            </w:r>
            <w:r w:rsidR="00C10B32">
              <w:rPr>
                <w:sz w:val="22"/>
                <w:szCs w:val="22"/>
                <w:lang w:val="hr-HR"/>
              </w:rPr>
              <w:t>lijek</w:t>
            </w:r>
            <w:r w:rsidRPr="0082654D">
              <w:rPr>
                <w:sz w:val="22"/>
                <w:szCs w:val="22"/>
                <w:lang w:val="hr-HR"/>
              </w:rPr>
              <w:t xml:space="preserve">a Piqray. Započeti odgovarajuću terapiju </w:t>
            </w:r>
            <w:r w:rsidR="00C10B32">
              <w:rPr>
                <w:sz w:val="22"/>
                <w:szCs w:val="22"/>
                <w:lang w:val="hr-HR"/>
              </w:rPr>
              <w:t>ljekov</w:t>
            </w:r>
            <w:r w:rsidRPr="0082654D">
              <w:rPr>
                <w:sz w:val="22"/>
                <w:szCs w:val="22"/>
                <w:lang w:val="hr-HR"/>
              </w:rPr>
              <w:t>ima i pratiti prema kliničkim indikacijama</w:t>
            </w:r>
            <w:r w:rsidRPr="0082654D">
              <w:rPr>
                <w:sz w:val="22"/>
                <w:szCs w:val="22"/>
                <w:vertAlign w:val="superscript"/>
                <w:lang w:val="hr-HR"/>
              </w:rPr>
              <w:t>2,3</w:t>
            </w:r>
            <w:r w:rsidRPr="0082654D">
              <w:rPr>
                <w:sz w:val="22"/>
                <w:szCs w:val="22"/>
                <w:lang w:val="hr-HR"/>
              </w:rPr>
              <w:t>.</w:t>
            </w:r>
          </w:p>
        </w:tc>
      </w:tr>
      <w:tr w:rsidR="0082654D" w:rsidRPr="0082654D" w14:paraId="6F9CB55B" w14:textId="77777777" w:rsidTr="00C10B32">
        <w:trPr>
          <w:cantSplit/>
        </w:trPr>
        <w:tc>
          <w:tcPr>
            <w:tcW w:w="894" w:type="pct"/>
            <w:shd w:val="clear" w:color="auto" w:fill="auto"/>
          </w:tcPr>
          <w:p w14:paraId="18E84E26"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3. stepen</w:t>
            </w:r>
          </w:p>
        </w:tc>
        <w:tc>
          <w:tcPr>
            <w:tcW w:w="4106" w:type="pct"/>
          </w:tcPr>
          <w:p w14:paraId="230AC7B8"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Pri</w:t>
            </w:r>
            <w:r w:rsidR="00DD0799">
              <w:rPr>
                <w:sz w:val="22"/>
                <w:szCs w:val="22"/>
                <w:lang w:val="hr-HR"/>
              </w:rPr>
              <w:t>vr</w:t>
            </w:r>
            <w:r w:rsidR="00A26CAB">
              <w:rPr>
                <w:sz w:val="22"/>
                <w:szCs w:val="22"/>
                <w:lang w:val="hr-HR"/>
              </w:rPr>
              <w:t>em</w:t>
            </w:r>
            <w:r w:rsidRPr="0082654D">
              <w:rPr>
                <w:sz w:val="22"/>
                <w:szCs w:val="22"/>
                <w:lang w:val="hr-HR"/>
              </w:rPr>
              <w:t xml:space="preserve">eno prekinuti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 xml:space="preserve">a Piqray do oporavka do ≤1. stepena, zatim nastaviti sa </w:t>
            </w:r>
            <w:r w:rsidR="00C21CF1">
              <w:rPr>
                <w:sz w:val="22"/>
                <w:szCs w:val="22"/>
                <w:lang w:val="hr-HR"/>
              </w:rPr>
              <w:t>primjen</w:t>
            </w:r>
            <w:r w:rsidRPr="0082654D">
              <w:rPr>
                <w:sz w:val="22"/>
                <w:szCs w:val="22"/>
                <w:lang w:val="hr-HR"/>
              </w:rPr>
              <w:t xml:space="preserve">om u </w:t>
            </w:r>
            <w:r w:rsidR="00A26CAB">
              <w:rPr>
                <w:sz w:val="22"/>
                <w:szCs w:val="22"/>
                <w:lang w:val="hr-HR"/>
              </w:rPr>
              <w:t>sljedeć</w:t>
            </w:r>
            <w:r w:rsidRPr="0082654D">
              <w:rPr>
                <w:sz w:val="22"/>
                <w:szCs w:val="22"/>
                <w:lang w:val="hr-HR"/>
              </w:rPr>
              <w:t>oj nižoj dozi</w:t>
            </w:r>
            <w:r w:rsidRPr="0082654D">
              <w:rPr>
                <w:sz w:val="22"/>
                <w:szCs w:val="22"/>
                <w:vertAlign w:val="superscript"/>
                <w:lang w:val="hr-HR"/>
              </w:rPr>
              <w:t>2</w:t>
            </w:r>
            <w:r w:rsidRPr="0082654D">
              <w:rPr>
                <w:sz w:val="22"/>
                <w:szCs w:val="22"/>
                <w:lang w:val="hr-HR"/>
              </w:rPr>
              <w:t>.</w:t>
            </w:r>
          </w:p>
        </w:tc>
      </w:tr>
      <w:tr w:rsidR="0082654D" w:rsidRPr="0082654D" w14:paraId="26BFB39B" w14:textId="77777777" w:rsidTr="00C10B32">
        <w:trPr>
          <w:cantSplit/>
        </w:trPr>
        <w:tc>
          <w:tcPr>
            <w:tcW w:w="894" w:type="pct"/>
            <w:shd w:val="clear" w:color="auto" w:fill="auto"/>
          </w:tcPr>
          <w:p w14:paraId="69E66A41"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4. stepen</w:t>
            </w:r>
          </w:p>
        </w:tc>
        <w:tc>
          <w:tcPr>
            <w:tcW w:w="4106" w:type="pct"/>
          </w:tcPr>
          <w:p w14:paraId="478725BE" w14:textId="77777777" w:rsidR="0082654D" w:rsidRPr="0082654D" w:rsidRDefault="0082654D" w:rsidP="00C10B32">
            <w:pPr>
              <w:keepNext/>
              <w:keepLines/>
              <w:shd w:val="clear" w:color="auto" w:fill="FFFFFF" w:themeFill="background1"/>
              <w:rPr>
                <w:sz w:val="22"/>
                <w:szCs w:val="22"/>
                <w:lang w:val="hr-HR"/>
              </w:rPr>
            </w:pPr>
            <w:r w:rsidRPr="0082654D">
              <w:rPr>
                <w:sz w:val="22"/>
                <w:szCs w:val="22"/>
                <w:lang w:val="hr-HR"/>
              </w:rPr>
              <w:t xml:space="preserve">Trajno obustaviti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w:t>
            </w:r>
            <w:r w:rsidRPr="0082654D">
              <w:rPr>
                <w:sz w:val="22"/>
                <w:szCs w:val="22"/>
                <w:vertAlign w:val="superscript"/>
                <w:lang w:val="hr-HR"/>
              </w:rPr>
              <w:t>3</w:t>
            </w:r>
            <w:r w:rsidRPr="0082654D">
              <w:rPr>
                <w:sz w:val="22"/>
                <w:szCs w:val="22"/>
                <w:lang w:val="hr-HR"/>
              </w:rPr>
              <w:t>.</w:t>
            </w:r>
          </w:p>
        </w:tc>
      </w:tr>
      <w:tr w:rsidR="0082654D" w:rsidRPr="0082654D" w14:paraId="6E7A920D" w14:textId="77777777" w:rsidTr="00C10B32">
        <w:trPr>
          <w:cantSplit/>
        </w:trPr>
        <w:tc>
          <w:tcPr>
            <w:tcW w:w="5000" w:type="pct"/>
            <w:gridSpan w:val="2"/>
            <w:shd w:val="clear" w:color="auto" w:fill="auto"/>
          </w:tcPr>
          <w:p w14:paraId="235A0306" w14:textId="77777777" w:rsidR="0082654D" w:rsidRPr="0082654D" w:rsidRDefault="0082654D" w:rsidP="00C10B32">
            <w:pPr>
              <w:shd w:val="clear" w:color="auto" w:fill="FFFFFF" w:themeFill="background1"/>
              <w:ind w:left="567" w:hanging="567"/>
              <w:rPr>
                <w:iCs/>
                <w:sz w:val="22"/>
                <w:szCs w:val="22"/>
                <w:lang w:val="hr-HR"/>
              </w:rPr>
            </w:pPr>
            <w:r w:rsidRPr="0082654D">
              <w:rPr>
                <w:sz w:val="22"/>
                <w:szCs w:val="22"/>
                <w:vertAlign w:val="superscript"/>
                <w:lang w:val="hr-HR"/>
              </w:rPr>
              <w:t>1</w:t>
            </w:r>
            <w:r w:rsidR="00DD0799">
              <w:rPr>
                <w:sz w:val="22"/>
                <w:szCs w:val="22"/>
                <w:lang w:val="hr-HR"/>
              </w:rPr>
              <w:t xml:space="preserve">    </w:t>
            </w:r>
            <w:r w:rsidRPr="0082654D">
              <w:rPr>
                <w:iCs/>
                <w:sz w:val="22"/>
                <w:szCs w:val="22"/>
                <w:lang w:val="hr-HR"/>
              </w:rPr>
              <w:t>Određivanje stepena prema CTCAE Verziji 5.0</w:t>
            </w:r>
          </w:p>
          <w:p w14:paraId="4F32BC1E" w14:textId="77777777" w:rsidR="0082654D" w:rsidRPr="0082654D" w:rsidRDefault="0082654D" w:rsidP="00C10B32">
            <w:pPr>
              <w:shd w:val="clear" w:color="auto" w:fill="FFFFFF" w:themeFill="background1"/>
              <w:ind w:left="284" w:hanging="284"/>
              <w:rPr>
                <w:iCs/>
                <w:sz w:val="22"/>
                <w:szCs w:val="22"/>
                <w:lang w:val="hr-HR"/>
              </w:rPr>
            </w:pPr>
            <w:r w:rsidRPr="0082654D">
              <w:rPr>
                <w:iCs/>
                <w:sz w:val="22"/>
                <w:szCs w:val="22"/>
                <w:vertAlign w:val="superscript"/>
                <w:lang w:val="hr-HR"/>
              </w:rPr>
              <w:t>2</w:t>
            </w:r>
            <w:r w:rsidRPr="0082654D">
              <w:rPr>
                <w:iCs/>
                <w:sz w:val="22"/>
                <w:szCs w:val="22"/>
                <w:lang w:val="hr-HR"/>
              </w:rPr>
              <w:tab/>
              <w:t>Kod pankreatitisa 2. i 3. stepena, pri</w:t>
            </w:r>
            <w:r w:rsidR="00DD0799">
              <w:rPr>
                <w:iCs/>
                <w:sz w:val="22"/>
                <w:szCs w:val="22"/>
                <w:lang w:val="hr-HR"/>
              </w:rPr>
              <w:t>vr</w:t>
            </w:r>
            <w:r w:rsidR="00A26CAB">
              <w:rPr>
                <w:iCs/>
                <w:sz w:val="22"/>
                <w:szCs w:val="22"/>
                <w:lang w:val="hr-HR"/>
              </w:rPr>
              <w:t>em</w:t>
            </w:r>
            <w:r w:rsidRPr="0082654D">
              <w:rPr>
                <w:iCs/>
                <w:sz w:val="22"/>
                <w:szCs w:val="22"/>
                <w:lang w:val="hr-HR"/>
              </w:rPr>
              <w:t xml:space="preserve">eno prekinuti </w:t>
            </w:r>
            <w:r w:rsidR="00C21CF1">
              <w:rPr>
                <w:iCs/>
                <w:sz w:val="22"/>
                <w:szCs w:val="22"/>
                <w:lang w:val="hr-HR"/>
              </w:rPr>
              <w:t>primjen</w:t>
            </w:r>
            <w:r w:rsidRPr="0082654D">
              <w:rPr>
                <w:iCs/>
                <w:sz w:val="22"/>
                <w:szCs w:val="22"/>
                <w:lang w:val="hr-HR"/>
              </w:rPr>
              <w:t xml:space="preserve">u </w:t>
            </w:r>
            <w:r w:rsidR="00C10B32">
              <w:rPr>
                <w:iCs/>
                <w:sz w:val="22"/>
                <w:szCs w:val="22"/>
                <w:lang w:val="hr-HR"/>
              </w:rPr>
              <w:t>lijek</w:t>
            </w:r>
            <w:r w:rsidRPr="0082654D">
              <w:rPr>
                <w:iCs/>
                <w:sz w:val="22"/>
                <w:szCs w:val="22"/>
                <w:lang w:val="hr-HR"/>
              </w:rPr>
              <w:t xml:space="preserve">a Piqray do oporavka do ≤1. stepena, zatim ponovo nastaviti u </w:t>
            </w:r>
            <w:r w:rsidR="00A26CAB">
              <w:rPr>
                <w:iCs/>
                <w:sz w:val="22"/>
                <w:szCs w:val="22"/>
                <w:lang w:val="hr-HR"/>
              </w:rPr>
              <w:t>sljedeć</w:t>
            </w:r>
            <w:r w:rsidRPr="0082654D">
              <w:rPr>
                <w:iCs/>
                <w:sz w:val="22"/>
                <w:szCs w:val="22"/>
                <w:lang w:val="hr-HR"/>
              </w:rPr>
              <w:t xml:space="preserve">oj nižoj dozi. Dopušteno je samo jedno smanjenje doze. Ako se ponovo javi toksičnost, trajno obustaviti </w:t>
            </w:r>
            <w:r w:rsidR="00B66BE0">
              <w:rPr>
                <w:iCs/>
                <w:sz w:val="22"/>
                <w:szCs w:val="22"/>
                <w:lang w:val="hr-HR"/>
              </w:rPr>
              <w:t>liječenj</w:t>
            </w:r>
            <w:r w:rsidRPr="0082654D">
              <w:rPr>
                <w:iCs/>
                <w:sz w:val="22"/>
                <w:szCs w:val="22"/>
                <w:lang w:val="hr-HR"/>
              </w:rPr>
              <w:t xml:space="preserve">e </w:t>
            </w:r>
            <w:r w:rsidR="00C10B32">
              <w:rPr>
                <w:iCs/>
                <w:sz w:val="22"/>
                <w:szCs w:val="22"/>
                <w:lang w:val="hr-HR"/>
              </w:rPr>
              <w:t>lijek</w:t>
            </w:r>
            <w:r w:rsidRPr="0082654D">
              <w:rPr>
                <w:iCs/>
                <w:sz w:val="22"/>
                <w:szCs w:val="22"/>
                <w:lang w:val="hr-HR"/>
              </w:rPr>
              <w:t>om Piqray.</w:t>
            </w:r>
          </w:p>
          <w:p w14:paraId="6867BAEA" w14:textId="27B50B31" w:rsidR="0082654D" w:rsidRPr="0082654D" w:rsidRDefault="0082654D" w:rsidP="00DD0799">
            <w:pPr>
              <w:shd w:val="clear" w:color="auto" w:fill="FFFFFF" w:themeFill="background1"/>
              <w:ind w:left="284" w:hanging="284"/>
              <w:rPr>
                <w:sz w:val="22"/>
                <w:szCs w:val="22"/>
                <w:lang w:val="hr-HR"/>
              </w:rPr>
            </w:pPr>
            <w:r w:rsidRPr="0082654D">
              <w:rPr>
                <w:iCs/>
                <w:sz w:val="22"/>
                <w:szCs w:val="22"/>
                <w:vertAlign w:val="superscript"/>
                <w:lang w:val="hr-HR"/>
              </w:rPr>
              <w:t>3</w:t>
            </w:r>
            <w:r w:rsidRPr="0082654D">
              <w:rPr>
                <w:iCs/>
                <w:sz w:val="22"/>
                <w:szCs w:val="22"/>
                <w:lang w:val="hr-HR"/>
              </w:rPr>
              <w:tab/>
              <w:t>Kod povišenja ukupnog bilirubina 2. stepena, pri</w:t>
            </w:r>
            <w:r w:rsidR="00DD0799">
              <w:rPr>
                <w:iCs/>
                <w:sz w:val="22"/>
                <w:szCs w:val="22"/>
                <w:lang w:val="hr-HR"/>
              </w:rPr>
              <w:t>vr</w:t>
            </w:r>
            <w:r w:rsidR="00A26CAB">
              <w:rPr>
                <w:iCs/>
                <w:sz w:val="22"/>
                <w:szCs w:val="22"/>
                <w:lang w:val="hr-HR"/>
              </w:rPr>
              <w:t>em</w:t>
            </w:r>
            <w:r w:rsidRPr="0082654D">
              <w:rPr>
                <w:iCs/>
                <w:sz w:val="22"/>
                <w:szCs w:val="22"/>
                <w:lang w:val="hr-HR"/>
              </w:rPr>
              <w:t xml:space="preserve">eno prekinuti </w:t>
            </w:r>
            <w:r w:rsidR="00C21CF1">
              <w:rPr>
                <w:iCs/>
                <w:sz w:val="22"/>
                <w:szCs w:val="22"/>
                <w:lang w:val="hr-HR"/>
              </w:rPr>
              <w:t>primjen</w:t>
            </w:r>
            <w:r w:rsidRPr="0082654D">
              <w:rPr>
                <w:iCs/>
                <w:sz w:val="22"/>
                <w:szCs w:val="22"/>
                <w:lang w:val="hr-HR"/>
              </w:rPr>
              <w:t xml:space="preserve">u </w:t>
            </w:r>
            <w:r w:rsidR="00C10B32">
              <w:rPr>
                <w:iCs/>
                <w:sz w:val="22"/>
                <w:szCs w:val="22"/>
                <w:lang w:val="hr-HR"/>
              </w:rPr>
              <w:t>lijek</w:t>
            </w:r>
            <w:r w:rsidRPr="0082654D">
              <w:rPr>
                <w:iCs/>
                <w:sz w:val="22"/>
                <w:szCs w:val="22"/>
                <w:lang w:val="hr-HR"/>
              </w:rPr>
              <w:t>a Piqray do oporavka do ≤1. stepena</w:t>
            </w:r>
            <w:r w:rsidR="00B408AC">
              <w:rPr>
                <w:iCs/>
                <w:sz w:val="22"/>
                <w:szCs w:val="22"/>
                <w:lang w:val="hr-HR"/>
              </w:rPr>
              <w:t>,</w:t>
            </w:r>
            <w:r w:rsidRPr="0082654D">
              <w:rPr>
                <w:iCs/>
                <w:sz w:val="22"/>
                <w:szCs w:val="22"/>
                <w:lang w:val="hr-HR"/>
              </w:rPr>
              <w:t xml:space="preserve"> zatim ponovo nastaviti u istoj dozi ako se stanje r</w:t>
            </w:r>
            <w:r w:rsidR="00144828">
              <w:rPr>
                <w:iCs/>
                <w:sz w:val="22"/>
                <w:szCs w:val="22"/>
                <w:lang w:val="hr-HR"/>
              </w:rPr>
              <w:t>ij</w:t>
            </w:r>
            <w:r w:rsidRPr="0082654D">
              <w:rPr>
                <w:iCs/>
                <w:sz w:val="22"/>
                <w:szCs w:val="22"/>
                <w:lang w:val="hr-HR"/>
              </w:rPr>
              <w:t xml:space="preserve">eši za ≤14 dana ili nastaviti u </w:t>
            </w:r>
            <w:r w:rsidR="00A26CAB">
              <w:rPr>
                <w:iCs/>
                <w:sz w:val="22"/>
                <w:szCs w:val="22"/>
                <w:lang w:val="hr-HR"/>
              </w:rPr>
              <w:t>sljedeć</w:t>
            </w:r>
            <w:r w:rsidRPr="0082654D">
              <w:rPr>
                <w:iCs/>
                <w:sz w:val="22"/>
                <w:szCs w:val="22"/>
                <w:lang w:val="hr-HR"/>
              </w:rPr>
              <w:t>oj nižoj dozi ako se r</w:t>
            </w:r>
            <w:r w:rsidR="00144828">
              <w:rPr>
                <w:iCs/>
                <w:sz w:val="22"/>
                <w:szCs w:val="22"/>
                <w:lang w:val="hr-HR"/>
              </w:rPr>
              <w:t>ij</w:t>
            </w:r>
            <w:r w:rsidRPr="0082654D">
              <w:rPr>
                <w:iCs/>
                <w:sz w:val="22"/>
                <w:szCs w:val="22"/>
                <w:lang w:val="hr-HR"/>
              </w:rPr>
              <w:t>eši za &gt;14 dana.</w:t>
            </w:r>
          </w:p>
        </w:tc>
      </w:tr>
    </w:tbl>
    <w:p w14:paraId="6F41DDE7" w14:textId="77777777" w:rsidR="0082654D" w:rsidRPr="0082654D" w:rsidRDefault="0082654D" w:rsidP="00265449">
      <w:pPr>
        <w:shd w:val="clear" w:color="auto" w:fill="FFFFFF" w:themeFill="background1"/>
        <w:jc w:val="both"/>
        <w:rPr>
          <w:sz w:val="22"/>
          <w:szCs w:val="22"/>
          <w:lang w:val="hr-HR"/>
        </w:rPr>
      </w:pPr>
    </w:p>
    <w:p w14:paraId="4CEAD763" w14:textId="77777777" w:rsidR="0082654D" w:rsidRPr="0082654D" w:rsidRDefault="0082654D" w:rsidP="00265449">
      <w:pPr>
        <w:keepNext/>
        <w:shd w:val="clear" w:color="auto" w:fill="FFFFFF" w:themeFill="background1"/>
        <w:jc w:val="both"/>
        <w:rPr>
          <w:sz w:val="22"/>
          <w:szCs w:val="22"/>
          <w:lang w:val="hr-HR"/>
        </w:rPr>
      </w:pPr>
      <w:r w:rsidRPr="0082654D">
        <w:rPr>
          <w:i/>
          <w:sz w:val="22"/>
          <w:szCs w:val="22"/>
          <w:u w:val="single"/>
          <w:lang w:val="hr-HR"/>
        </w:rPr>
        <w:t>Posebne populacije</w:t>
      </w:r>
    </w:p>
    <w:p w14:paraId="6855BD2A" w14:textId="77777777" w:rsidR="0082654D" w:rsidRPr="0082654D" w:rsidRDefault="0082654D" w:rsidP="00265449">
      <w:pPr>
        <w:keepNext/>
        <w:shd w:val="clear" w:color="auto" w:fill="FFFFFF" w:themeFill="background1"/>
        <w:jc w:val="both"/>
        <w:rPr>
          <w:i/>
          <w:sz w:val="22"/>
          <w:szCs w:val="22"/>
          <w:lang w:val="hr-HR"/>
        </w:rPr>
      </w:pPr>
      <w:r w:rsidRPr="0082654D">
        <w:rPr>
          <w:i/>
          <w:sz w:val="22"/>
          <w:szCs w:val="22"/>
          <w:lang w:val="hr-HR"/>
        </w:rPr>
        <w:t>Starije osobe</w:t>
      </w:r>
    </w:p>
    <w:p w14:paraId="3C46EA0C" w14:textId="24790FE6" w:rsidR="0082654D" w:rsidRPr="0082654D" w:rsidRDefault="0082654D" w:rsidP="00265449">
      <w:pPr>
        <w:shd w:val="clear" w:color="auto" w:fill="FFFFFF" w:themeFill="background1"/>
        <w:jc w:val="both"/>
        <w:rPr>
          <w:sz w:val="22"/>
          <w:szCs w:val="22"/>
          <w:lang w:val="hr-HR"/>
        </w:rPr>
      </w:pPr>
      <w:r w:rsidRPr="0082654D">
        <w:rPr>
          <w:sz w:val="22"/>
          <w:szCs w:val="22"/>
          <w:lang w:val="hr-HR"/>
        </w:rPr>
        <w:t>Nije potrebno prilagođavanje režima doziranja kod pacijenata uzrasta od 65 i više godina (</w:t>
      </w:r>
      <w:r w:rsidR="00EF7C8E">
        <w:rPr>
          <w:sz w:val="22"/>
          <w:szCs w:val="22"/>
          <w:lang w:val="hr-HR"/>
        </w:rPr>
        <w:t>pogledati dio</w:t>
      </w:r>
      <w:r w:rsidRPr="0082654D">
        <w:rPr>
          <w:sz w:val="22"/>
          <w:szCs w:val="22"/>
          <w:lang w:val="hr-HR"/>
        </w:rPr>
        <w:t> 5.2). Postoje ograničeni podaci za pacijente uzrasta ≥75 godina, a naročito za one ≥85 godina.</w:t>
      </w:r>
    </w:p>
    <w:p w14:paraId="078D9685" w14:textId="77777777" w:rsidR="0082654D" w:rsidRPr="0082654D" w:rsidRDefault="0082654D" w:rsidP="00265449">
      <w:pPr>
        <w:shd w:val="clear" w:color="auto" w:fill="FFFFFF" w:themeFill="background1"/>
        <w:jc w:val="both"/>
        <w:rPr>
          <w:sz w:val="22"/>
          <w:szCs w:val="22"/>
          <w:lang w:val="hr-HR"/>
        </w:rPr>
      </w:pPr>
    </w:p>
    <w:p w14:paraId="5DD41CB8" w14:textId="77777777" w:rsidR="0082654D" w:rsidRPr="0082654D" w:rsidRDefault="0082654D" w:rsidP="00265449">
      <w:pPr>
        <w:keepNext/>
        <w:shd w:val="clear" w:color="auto" w:fill="FFFFFF" w:themeFill="background1"/>
        <w:jc w:val="both"/>
        <w:rPr>
          <w:sz w:val="22"/>
          <w:szCs w:val="22"/>
          <w:lang w:val="hr-HR"/>
        </w:rPr>
      </w:pPr>
      <w:r w:rsidRPr="0082654D">
        <w:rPr>
          <w:i/>
          <w:sz w:val="22"/>
          <w:szCs w:val="22"/>
          <w:lang w:val="hr-HR"/>
        </w:rPr>
        <w:t>Oštećenje funkcije bubrega</w:t>
      </w:r>
    </w:p>
    <w:p w14:paraId="2D5EA5B9" w14:textId="5A9E9CE5" w:rsidR="0082654D" w:rsidRPr="0082654D" w:rsidRDefault="0082654D" w:rsidP="00265449">
      <w:pPr>
        <w:shd w:val="clear" w:color="auto" w:fill="FFFFFF" w:themeFill="background1"/>
        <w:jc w:val="both"/>
        <w:rPr>
          <w:sz w:val="22"/>
          <w:szCs w:val="22"/>
          <w:lang w:val="hr-HR"/>
        </w:rPr>
      </w:pPr>
      <w:r w:rsidRPr="0082654D">
        <w:rPr>
          <w:sz w:val="22"/>
          <w:szCs w:val="22"/>
          <w:lang w:val="hr-HR"/>
        </w:rPr>
        <w:t>Na osnovu populacione farmakokinetičke analize</w:t>
      </w:r>
      <w:r w:rsidR="008639DB">
        <w:rPr>
          <w:sz w:val="22"/>
          <w:szCs w:val="22"/>
          <w:lang w:val="hr-HR"/>
        </w:rPr>
        <w:t>,</w:t>
      </w:r>
      <w:r w:rsidRPr="0082654D">
        <w:rPr>
          <w:sz w:val="22"/>
          <w:szCs w:val="22"/>
          <w:lang w:val="hr-HR"/>
        </w:rPr>
        <w:t xml:space="preserve"> nije potrebno prilagođavati doze kod pacijenata sa blagim ili um</w:t>
      </w:r>
      <w:r w:rsidR="00265449">
        <w:rPr>
          <w:sz w:val="22"/>
          <w:szCs w:val="22"/>
          <w:lang w:val="hr-HR"/>
        </w:rPr>
        <w:t>j</w:t>
      </w:r>
      <w:r w:rsidRPr="0082654D">
        <w:rPr>
          <w:sz w:val="22"/>
          <w:szCs w:val="22"/>
          <w:lang w:val="hr-HR"/>
        </w:rPr>
        <w:t>erenim oštećenjem funkcije bubrega (</w:t>
      </w:r>
      <w:r w:rsidR="00EF7C8E">
        <w:rPr>
          <w:sz w:val="22"/>
          <w:szCs w:val="22"/>
          <w:lang w:val="hr-HR"/>
        </w:rPr>
        <w:t>pogledati dio</w:t>
      </w:r>
      <w:r w:rsidRPr="0082654D">
        <w:rPr>
          <w:sz w:val="22"/>
          <w:szCs w:val="22"/>
          <w:lang w:val="hr-HR"/>
        </w:rPr>
        <w:t xml:space="preserve"> 5.2). Potreban je oprez kod pacijenata sa teškim oštećenjem funkcije bubrega, jer nema iskustva sa </w:t>
      </w:r>
      <w:r w:rsidR="00C21CF1">
        <w:rPr>
          <w:sz w:val="22"/>
          <w:szCs w:val="22"/>
          <w:lang w:val="hr-HR"/>
        </w:rPr>
        <w:t>primjen</w:t>
      </w:r>
      <w:r w:rsidRPr="0082654D">
        <w:rPr>
          <w:sz w:val="22"/>
          <w:szCs w:val="22"/>
          <w:lang w:val="hr-HR"/>
        </w:rPr>
        <w:t xml:space="preserve">om </w:t>
      </w:r>
      <w:r w:rsidR="00C10B32">
        <w:rPr>
          <w:sz w:val="22"/>
          <w:szCs w:val="22"/>
          <w:lang w:val="hr-HR"/>
        </w:rPr>
        <w:t>lijek</w:t>
      </w:r>
      <w:r w:rsidRPr="0082654D">
        <w:rPr>
          <w:sz w:val="22"/>
          <w:szCs w:val="22"/>
          <w:lang w:val="hr-HR"/>
        </w:rPr>
        <w:t>a Piqray u toj populaciji.</w:t>
      </w:r>
    </w:p>
    <w:p w14:paraId="23086CBF" w14:textId="77777777" w:rsidR="0082654D" w:rsidRPr="0082654D" w:rsidRDefault="0082654D" w:rsidP="00265449">
      <w:pPr>
        <w:shd w:val="clear" w:color="auto" w:fill="FFFFFF" w:themeFill="background1"/>
        <w:jc w:val="both"/>
        <w:rPr>
          <w:sz w:val="22"/>
          <w:szCs w:val="22"/>
          <w:lang w:val="hr-HR"/>
        </w:rPr>
      </w:pPr>
    </w:p>
    <w:p w14:paraId="15409A41" w14:textId="77777777" w:rsidR="0082654D" w:rsidRPr="0082654D" w:rsidRDefault="0082654D" w:rsidP="00265449">
      <w:pPr>
        <w:keepNext/>
        <w:shd w:val="clear" w:color="auto" w:fill="FFFFFF" w:themeFill="background1"/>
        <w:jc w:val="both"/>
        <w:rPr>
          <w:sz w:val="22"/>
          <w:szCs w:val="22"/>
          <w:lang w:val="hr-HR"/>
        </w:rPr>
      </w:pPr>
      <w:r w:rsidRPr="0082654D">
        <w:rPr>
          <w:i/>
          <w:sz w:val="22"/>
          <w:szCs w:val="22"/>
          <w:lang w:val="hr-HR"/>
        </w:rPr>
        <w:lastRenderedPageBreak/>
        <w:t>Oštećenje funkcije jetre</w:t>
      </w:r>
    </w:p>
    <w:p w14:paraId="6A6A724C" w14:textId="64C8C7C9" w:rsidR="0082654D" w:rsidRPr="0082654D" w:rsidRDefault="0082654D" w:rsidP="00265449">
      <w:pPr>
        <w:shd w:val="clear" w:color="auto" w:fill="FFFFFF" w:themeFill="background1"/>
        <w:jc w:val="both"/>
        <w:rPr>
          <w:sz w:val="22"/>
          <w:szCs w:val="22"/>
          <w:lang w:val="hr-HR"/>
        </w:rPr>
      </w:pPr>
      <w:r w:rsidRPr="0082654D">
        <w:rPr>
          <w:sz w:val="22"/>
          <w:szCs w:val="22"/>
          <w:lang w:val="hr-HR"/>
        </w:rPr>
        <w:t xml:space="preserve">Na osnovu ispitivanja oštećenja funkcije jetre kod neonkoloških </w:t>
      </w:r>
      <w:r w:rsidR="00A0017D">
        <w:rPr>
          <w:sz w:val="22"/>
          <w:szCs w:val="22"/>
          <w:lang w:val="hr-HR"/>
        </w:rPr>
        <w:t>ispitanika</w:t>
      </w:r>
      <w:r w:rsidR="00A0017D" w:rsidRPr="0082654D">
        <w:rPr>
          <w:sz w:val="22"/>
          <w:szCs w:val="22"/>
          <w:lang w:val="hr-HR"/>
        </w:rPr>
        <w:t xml:space="preserve"> </w:t>
      </w:r>
      <w:r w:rsidRPr="0082654D">
        <w:rPr>
          <w:sz w:val="22"/>
          <w:szCs w:val="22"/>
          <w:lang w:val="hr-HR"/>
        </w:rPr>
        <w:t>koji imaju oštećenje funkcije jetre, nije potrebno prilagođavanje doze kod pacijenata sa blagim, um</w:t>
      </w:r>
      <w:r w:rsidR="00265449">
        <w:rPr>
          <w:sz w:val="22"/>
          <w:szCs w:val="22"/>
          <w:lang w:val="hr-HR"/>
        </w:rPr>
        <w:t>j</w:t>
      </w:r>
      <w:r w:rsidRPr="0082654D">
        <w:rPr>
          <w:sz w:val="22"/>
          <w:szCs w:val="22"/>
          <w:lang w:val="hr-HR"/>
        </w:rPr>
        <w:t>erenim ili teškim oštećenjem funkcije jetre (</w:t>
      </w:r>
      <w:r w:rsidRPr="00275401">
        <w:rPr>
          <w:i/>
          <w:sz w:val="22"/>
          <w:szCs w:val="22"/>
          <w:lang w:val="hr-HR"/>
        </w:rPr>
        <w:t>Child</w:t>
      </w:r>
      <w:r w:rsidRPr="00275401">
        <w:rPr>
          <w:i/>
          <w:sz w:val="22"/>
          <w:szCs w:val="22"/>
          <w:lang w:val="hr-HR"/>
        </w:rPr>
        <w:noBreakHyphen/>
        <w:t>Pugh</w:t>
      </w:r>
      <w:r w:rsidRPr="0082654D">
        <w:rPr>
          <w:sz w:val="22"/>
          <w:szCs w:val="22"/>
          <w:lang w:val="hr-HR"/>
        </w:rPr>
        <w:t xml:space="preserve"> </w:t>
      </w:r>
      <w:r w:rsidR="00A0017D">
        <w:rPr>
          <w:sz w:val="22"/>
          <w:szCs w:val="22"/>
          <w:lang w:val="hr-HR"/>
        </w:rPr>
        <w:t>klasa</w:t>
      </w:r>
      <w:r w:rsidR="00A0017D" w:rsidRPr="0082654D">
        <w:rPr>
          <w:sz w:val="22"/>
          <w:szCs w:val="22"/>
          <w:lang w:val="hr-HR"/>
        </w:rPr>
        <w:t> </w:t>
      </w:r>
      <w:r w:rsidRPr="0082654D">
        <w:rPr>
          <w:sz w:val="22"/>
          <w:szCs w:val="22"/>
          <w:lang w:val="hr-HR"/>
        </w:rPr>
        <w:t>A, B odnosno C) (</w:t>
      </w:r>
      <w:r w:rsidR="00EF7C8E">
        <w:rPr>
          <w:sz w:val="22"/>
          <w:szCs w:val="22"/>
          <w:lang w:val="hr-HR"/>
        </w:rPr>
        <w:t>pogledati dio</w:t>
      </w:r>
      <w:r w:rsidRPr="0082654D">
        <w:rPr>
          <w:sz w:val="22"/>
          <w:szCs w:val="22"/>
          <w:lang w:val="hr-HR"/>
        </w:rPr>
        <w:t xml:space="preserve"> 5.2).</w:t>
      </w:r>
    </w:p>
    <w:p w14:paraId="10AFC0C7" w14:textId="77777777" w:rsidR="0082654D" w:rsidRPr="0082654D" w:rsidRDefault="0082654D" w:rsidP="00265449">
      <w:pPr>
        <w:shd w:val="clear" w:color="auto" w:fill="FFFFFF" w:themeFill="background1"/>
        <w:jc w:val="both"/>
        <w:rPr>
          <w:sz w:val="22"/>
          <w:szCs w:val="22"/>
          <w:lang w:val="hr-HR"/>
        </w:rPr>
      </w:pPr>
    </w:p>
    <w:p w14:paraId="41834CBD" w14:textId="77777777" w:rsidR="0082654D" w:rsidRPr="0082654D" w:rsidRDefault="0082654D" w:rsidP="00265449">
      <w:pPr>
        <w:keepNext/>
        <w:shd w:val="clear" w:color="auto" w:fill="FFFFFF" w:themeFill="background1"/>
        <w:jc w:val="both"/>
        <w:rPr>
          <w:sz w:val="22"/>
          <w:szCs w:val="22"/>
          <w:lang w:val="hr-HR"/>
        </w:rPr>
      </w:pPr>
      <w:r w:rsidRPr="0082654D">
        <w:rPr>
          <w:i/>
          <w:sz w:val="22"/>
          <w:szCs w:val="22"/>
          <w:lang w:val="hr-HR"/>
        </w:rPr>
        <w:t>Pedijatrijska populacija</w:t>
      </w:r>
    </w:p>
    <w:p w14:paraId="6523BC36" w14:textId="77777777" w:rsidR="0082654D" w:rsidRPr="0082654D" w:rsidRDefault="0082654D" w:rsidP="00265449">
      <w:pPr>
        <w:shd w:val="clear" w:color="auto" w:fill="FFFFFF" w:themeFill="background1"/>
        <w:autoSpaceDE w:val="0"/>
        <w:autoSpaceDN w:val="0"/>
        <w:adjustRightInd w:val="0"/>
        <w:jc w:val="both"/>
        <w:rPr>
          <w:sz w:val="22"/>
          <w:szCs w:val="22"/>
          <w:lang w:val="hr-HR"/>
        </w:rPr>
      </w:pPr>
      <w:r w:rsidRPr="0082654D">
        <w:rPr>
          <w:sz w:val="22"/>
          <w:szCs w:val="22"/>
          <w:lang w:val="hr-HR"/>
        </w:rPr>
        <w:t>Bezb</w:t>
      </w:r>
      <w:r w:rsidR="007F4F69">
        <w:rPr>
          <w:sz w:val="22"/>
          <w:szCs w:val="22"/>
          <w:lang w:val="hr-HR"/>
        </w:rPr>
        <w:t>j</w:t>
      </w:r>
      <w:r w:rsidRPr="0082654D">
        <w:rPr>
          <w:sz w:val="22"/>
          <w:szCs w:val="22"/>
          <w:lang w:val="hr-HR"/>
        </w:rPr>
        <w:t xml:space="preserve">ednost i efikasnost </w:t>
      </w:r>
      <w:r w:rsidR="00C10B32">
        <w:rPr>
          <w:sz w:val="22"/>
          <w:szCs w:val="22"/>
          <w:lang w:val="hr-HR"/>
        </w:rPr>
        <w:t>lijek</w:t>
      </w:r>
      <w:r w:rsidRPr="0082654D">
        <w:rPr>
          <w:sz w:val="22"/>
          <w:szCs w:val="22"/>
          <w:lang w:val="hr-HR"/>
        </w:rPr>
        <w:t>a Piqray kod d</w:t>
      </w:r>
      <w:r w:rsidR="007F4F69">
        <w:rPr>
          <w:sz w:val="22"/>
          <w:szCs w:val="22"/>
          <w:lang w:val="hr-HR"/>
        </w:rPr>
        <w:t>j</w:t>
      </w:r>
      <w:r w:rsidRPr="0082654D">
        <w:rPr>
          <w:sz w:val="22"/>
          <w:szCs w:val="22"/>
          <w:lang w:val="hr-HR"/>
        </w:rPr>
        <w:t>ece uzrasta od</w:t>
      </w:r>
      <w:r w:rsidRPr="0082654D">
        <w:rPr>
          <w:iCs/>
          <w:sz w:val="22"/>
          <w:szCs w:val="22"/>
          <w:lang w:val="hr-HR"/>
        </w:rPr>
        <w:t xml:space="preserve"> 0 do 18 godina </w:t>
      </w:r>
      <w:r w:rsidR="00D944EF">
        <w:rPr>
          <w:iCs/>
          <w:sz w:val="22"/>
          <w:szCs w:val="22"/>
          <w:lang w:val="hr-HR"/>
        </w:rPr>
        <w:t>nijesu</w:t>
      </w:r>
      <w:r w:rsidRPr="0082654D">
        <w:rPr>
          <w:iCs/>
          <w:sz w:val="22"/>
          <w:szCs w:val="22"/>
          <w:lang w:val="hr-HR"/>
        </w:rPr>
        <w:t xml:space="preserve"> ustanovljene</w:t>
      </w:r>
      <w:r w:rsidRPr="0082654D">
        <w:rPr>
          <w:sz w:val="22"/>
          <w:szCs w:val="22"/>
          <w:lang w:val="hr-HR"/>
        </w:rPr>
        <w:t xml:space="preserve">. </w:t>
      </w:r>
      <w:r w:rsidRPr="0082654D">
        <w:rPr>
          <w:rFonts w:eastAsia="SimSun"/>
          <w:sz w:val="22"/>
          <w:szCs w:val="22"/>
          <w:lang w:val="hr-HR"/>
        </w:rPr>
        <w:t>Nema dostupnih podataka.</w:t>
      </w:r>
    </w:p>
    <w:p w14:paraId="26F83D62" w14:textId="77777777" w:rsidR="00452E9D" w:rsidRPr="0082654D" w:rsidRDefault="00452E9D" w:rsidP="00480FB1">
      <w:pPr>
        <w:tabs>
          <w:tab w:val="left" w:pos="540"/>
          <w:tab w:val="left" w:pos="569"/>
        </w:tabs>
        <w:rPr>
          <w:bCs/>
          <w:sz w:val="22"/>
          <w:szCs w:val="22"/>
          <w:u w:val="single"/>
        </w:rPr>
      </w:pPr>
    </w:p>
    <w:p w14:paraId="1C57A34F" w14:textId="77777777" w:rsidR="00452E9D" w:rsidRPr="0082654D" w:rsidRDefault="00452E9D" w:rsidP="00480FB1">
      <w:pPr>
        <w:tabs>
          <w:tab w:val="left" w:pos="540"/>
          <w:tab w:val="left" w:pos="569"/>
        </w:tabs>
        <w:rPr>
          <w:bCs/>
          <w:sz w:val="22"/>
          <w:szCs w:val="22"/>
          <w:u w:val="single"/>
        </w:rPr>
      </w:pPr>
      <w:r w:rsidRPr="0082654D">
        <w:rPr>
          <w:bCs/>
          <w:sz w:val="22"/>
          <w:szCs w:val="22"/>
          <w:u w:val="single"/>
        </w:rPr>
        <w:t>Način primjene</w:t>
      </w:r>
    </w:p>
    <w:p w14:paraId="6920C4D8" w14:textId="77777777" w:rsidR="0082654D" w:rsidRPr="0082654D" w:rsidRDefault="0082654D" w:rsidP="00265449">
      <w:pPr>
        <w:shd w:val="clear" w:color="auto" w:fill="FFFFFF" w:themeFill="background1"/>
        <w:jc w:val="both"/>
        <w:rPr>
          <w:sz w:val="22"/>
          <w:szCs w:val="22"/>
          <w:lang w:val="hr-HR"/>
        </w:rPr>
      </w:pPr>
    </w:p>
    <w:p w14:paraId="292C86AF" w14:textId="77777777" w:rsidR="0082654D" w:rsidRDefault="00C10B32" w:rsidP="00265449">
      <w:pPr>
        <w:shd w:val="clear" w:color="auto" w:fill="FFFFFF" w:themeFill="background1"/>
        <w:jc w:val="both"/>
        <w:rPr>
          <w:sz w:val="22"/>
          <w:szCs w:val="22"/>
          <w:lang w:val="hr-HR"/>
        </w:rPr>
      </w:pPr>
      <w:r>
        <w:rPr>
          <w:sz w:val="22"/>
          <w:szCs w:val="22"/>
          <w:lang w:val="hr-HR"/>
        </w:rPr>
        <w:t>Lijek</w:t>
      </w:r>
      <w:r w:rsidR="0082654D" w:rsidRPr="0082654D">
        <w:rPr>
          <w:sz w:val="22"/>
          <w:szCs w:val="22"/>
          <w:lang w:val="hr-HR"/>
        </w:rPr>
        <w:t xml:space="preserve"> Piqray je nam</w:t>
      </w:r>
      <w:r w:rsidR="00D30E7D">
        <w:rPr>
          <w:sz w:val="22"/>
          <w:szCs w:val="22"/>
          <w:lang w:val="hr-HR"/>
        </w:rPr>
        <w:t>i</w:t>
      </w:r>
      <w:r w:rsidR="00265449">
        <w:rPr>
          <w:sz w:val="22"/>
          <w:szCs w:val="22"/>
          <w:lang w:val="hr-HR"/>
        </w:rPr>
        <w:t>j</w:t>
      </w:r>
      <w:r w:rsidR="0082654D" w:rsidRPr="0082654D">
        <w:rPr>
          <w:sz w:val="22"/>
          <w:szCs w:val="22"/>
          <w:lang w:val="hr-HR"/>
        </w:rPr>
        <w:t>enjen za peroralnu upotrebu. Tablete se moraju progutati c</w:t>
      </w:r>
      <w:r w:rsidR="007F4F69">
        <w:rPr>
          <w:sz w:val="22"/>
          <w:szCs w:val="22"/>
          <w:lang w:val="hr-HR"/>
        </w:rPr>
        <w:t>ij</w:t>
      </w:r>
      <w:r w:rsidR="0082654D" w:rsidRPr="0082654D">
        <w:rPr>
          <w:sz w:val="22"/>
          <w:szCs w:val="22"/>
          <w:lang w:val="hr-HR"/>
        </w:rPr>
        <w:t xml:space="preserve">ele. Ne </w:t>
      </w:r>
      <w:r w:rsidR="00265449">
        <w:rPr>
          <w:sz w:val="22"/>
          <w:szCs w:val="22"/>
          <w:lang w:val="hr-HR"/>
        </w:rPr>
        <w:t>smiju</w:t>
      </w:r>
      <w:r w:rsidR="0082654D" w:rsidRPr="0082654D">
        <w:rPr>
          <w:sz w:val="22"/>
          <w:szCs w:val="22"/>
          <w:lang w:val="hr-HR"/>
        </w:rPr>
        <w:t xml:space="preserve"> se žvakati, drobiti ili lomiti pr</w:t>
      </w:r>
      <w:r w:rsidR="002D1529">
        <w:rPr>
          <w:sz w:val="22"/>
          <w:szCs w:val="22"/>
          <w:lang w:val="hr-HR"/>
        </w:rPr>
        <w:t>ij</w:t>
      </w:r>
      <w:r w:rsidR="0082654D" w:rsidRPr="0082654D">
        <w:rPr>
          <w:sz w:val="22"/>
          <w:szCs w:val="22"/>
          <w:lang w:val="hr-HR"/>
        </w:rPr>
        <w:t xml:space="preserve">e gutanja. Tablete koje su prelomljene, napuknute ili na neki drugi način oštećene ne </w:t>
      </w:r>
      <w:r w:rsidR="00265449">
        <w:rPr>
          <w:sz w:val="22"/>
          <w:szCs w:val="22"/>
          <w:lang w:val="hr-HR"/>
        </w:rPr>
        <w:t>smiju</w:t>
      </w:r>
      <w:r w:rsidR="0082654D" w:rsidRPr="0082654D">
        <w:rPr>
          <w:sz w:val="22"/>
          <w:szCs w:val="22"/>
          <w:lang w:val="hr-HR"/>
        </w:rPr>
        <w:t xml:space="preserve"> se uzimati.</w:t>
      </w:r>
    </w:p>
    <w:p w14:paraId="4174A5FB" w14:textId="77777777" w:rsidR="002032DE" w:rsidRPr="0082654D" w:rsidRDefault="002032DE" w:rsidP="00265449">
      <w:pPr>
        <w:shd w:val="clear" w:color="auto" w:fill="FFFFFF" w:themeFill="background1"/>
        <w:jc w:val="both"/>
        <w:rPr>
          <w:sz w:val="22"/>
          <w:szCs w:val="22"/>
          <w:lang w:val="hr-HR"/>
        </w:rPr>
      </w:pPr>
    </w:p>
    <w:p w14:paraId="3B59A596" w14:textId="5BAEE3C1" w:rsidR="002032DE" w:rsidRPr="002032DE" w:rsidRDefault="002032DE" w:rsidP="002032DE">
      <w:pPr>
        <w:shd w:val="clear" w:color="auto" w:fill="FFFFFF"/>
        <w:tabs>
          <w:tab w:val="left" w:pos="284"/>
        </w:tabs>
        <w:jc w:val="both"/>
        <w:rPr>
          <w:sz w:val="22"/>
          <w:szCs w:val="22"/>
          <w:lang w:val="hr-HR"/>
        </w:rPr>
      </w:pPr>
      <w:r w:rsidRPr="002032DE">
        <w:rPr>
          <w:sz w:val="22"/>
          <w:szCs w:val="22"/>
          <w:lang w:val="hr-HR"/>
        </w:rPr>
        <w:t>Tablete treba uzimati odmah nakon obroka, otprilike u isto vr</w:t>
      </w:r>
      <w:r w:rsidR="003D45CD">
        <w:rPr>
          <w:sz w:val="22"/>
          <w:szCs w:val="22"/>
          <w:lang w:val="hr-HR"/>
        </w:rPr>
        <w:t>ij</w:t>
      </w:r>
      <w:r w:rsidRPr="002032DE">
        <w:rPr>
          <w:sz w:val="22"/>
          <w:szCs w:val="22"/>
          <w:lang w:val="hr-HR"/>
        </w:rPr>
        <w:t>eme svakog dana (vid</w:t>
      </w:r>
      <w:r w:rsidR="003D45CD">
        <w:rPr>
          <w:sz w:val="22"/>
          <w:szCs w:val="22"/>
          <w:lang w:val="hr-HR"/>
        </w:rPr>
        <w:t>j</w:t>
      </w:r>
      <w:r w:rsidRPr="002032DE">
        <w:rPr>
          <w:sz w:val="22"/>
          <w:szCs w:val="22"/>
          <w:lang w:val="hr-HR"/>
        </w:rPr>
        <w:t xml:space="preserve">eti </w:t>
      </w:r>
      <w:r w:rsidR="005E3209">
        <w:rPr>
          <w:sz w:val="22"/>
          <w:szCs w:val="22"/>
          <w:lang w:val="hr-HR"/>
        </w:rPr>
        <w:t>dio</w:t>
      </w:r>
      <w:r w:rsidRPr="002032DE">
        <w:rPr>
          <w:sz w:val="22"/>
          <w:szCs w:val="22"/>
          <w:lang w:val="hr-HR"/>
        </w:rPr>
        <w:t> 5.2).</w:t>
      </w:r>
    </w:p>
    <w:p w14:paraId="2C37B6DA" w14:textId="77777777" w:rsidR="0082654D" w:rsidRPr="0082654D" w:rsidRDefault="0082654D" w:rsidP="00480FB1">
      <w:pPr>
        <w:tabs>
          <w:tab w:val="left" w:pos="540"/>
          <w:tab w:val="left" w:pos="569"/>
        </w:tabs>
        <w:rPr>
          <w:bCs/>
          <w:sz w:val="22"/>
          <w:szCs w:val="22"/>
          <w:u w:val="single"/>
        </w:rPr>
      </w:pPr>
    </w:p>
    <w:p w14:paraId="706E8369" w14:textId="77777777" w:rsidR="00411B4B" w:rsidRPr="0082654D" w:rsidRDefault="00411B4B" w:rsidP="00480FB1">
      <w:pPr>
        <w:tabs>
          <w:tab w:val="left" w:pos="540"/>
          <w:tab w:val="left" w:pos="569"/>
        </w:tabs>
        <w:rPr>
          <w:b/>
          <w:bCs/>
          <w:sz w:val="22"/>
          <w:szCs w:val="22"/>
        </w:rPr>
      </w:pPr>
      <w:r w:rsidRPr="0082654D">
        <w:rPr>
          <w:b/>
          <w:bCs/>
          <w:sz w:val="22"/>
          <w:szCs w:val="22"/>
        </w:rPr>
        <w:t xml:space="preserve">4.3. </w:t>
      </w:r>
      <w:r w:rsidR="00480FB1" w:rsidRPr="0082654D">
        <w:rPr>
          <w:b/>
          <w:bCs/>
          <w:sz w:val="22"/>
          <w:szCs w:val="22"/>
        </w:rPr>
        <w:tab/>
      </w:r>
      <w:r w:rsidRPr="0082654D">
        <w:rPr>
          <w:b/>
          <w:bCs/>
          <w:sz w:val="22"/>
          <w:szCs w:val="22"/>
        </w:rPr>
        <w:t>Kontraindikacije</w:t>
      </w:r>
    </w:p>
    <w:p w14:paraId="5AB45884" w14:textId="77777777" w:rsidR="0072020E" w:rsidRPr="0082654D" w:rsidRDefault="0072020E" w:rsidP="00480FB1">
      <w:pPr>
        <w:tabs>
          <w:tab w:val="left" w:pos="540"/>
          <w:tab w:val="left" w:pos="569"/>
        </w:tabs>
        <w:rPr>
          <w:bCs/>
          <w:sz w:val="22"/>
          <w:szCs w:val="22"/>
        </w:rPr>
      </w:pPr>
    </w:p>
    <w:p w14:paraId="53B4A614" w14:textId="05A550D3" w:rsidR="0082654D" w:rsidRPr="0082654D" w:rsidRDefault="0082654D" w:rsidP="0082654D">
      <w:pPr>
        <w:shd w:val="clear" w:color="auto" w:fill="FFFFFF" w:themeFill="background1"/>
        <w:rPr>
          <w:sz w:val="22"/>
          <w:szCs w:val="22"/>
          <w:lang w:val="hr-HR"/>
        </w:rPr>
      </w:pPr>
      <w:r w:rsidRPr="0082654D">
        <w:rPr>
          <w:sz w:val="22"/>
          <w:szCs w:val="22"/>
          <w:lang w:val="hr-HR"/>
        </w:rPr>
        <w:t>Preos</w:t>
      </w:r>
      <w:r w:rsidR="002D1529">
        <w:rPr>
          <w:sz w:val="22"/>
          <w:szCs w:val="22"/>
          <w:lang w:val="hr-HR"/>
        </w:rPr>
        <w:t>j</w:t>
      </w:r>
      <w:r w:rsidRPr="0082654D">
        <w:rPr>
          <w:sz w:val="22"/>
          <w:szCs w:val="22"/>
          <w:lang w:val="hr-HR"/>
        </w:rPr>
        <w:t xml:space="preserve">etljivost na aktivnu supstancu ili </w:t>
      </w:r>
      <w:r w:rsidR="00D30E7D">
        <w:rPr>
          <w:sz w:val="22"/>
          <w:szCs w:val="22"/>
          <w:lang w:val="hr-HR"/>
        </w:rPr>
        <w:t xml:space="preserve">na </w:t>
      </w:r>
      <w:r w:rsidRPr="0082654D">
        <w:rPr>
          <w:sz w:val="22"/>
          <w:szCs w:val="22"/>
          <w:lang w:val="hr-HR"/>
        </w:rPr>
        <w:t xml:space="preserve">neku od pomoćnih supstanci navedenih u </w:t>
      </w:r>
      <w:r w:rsidR="008639DB">
        <w:rPr>
          <w:sz w:val="22"/>
          <w:szCs w:val="22"/>
          <w:lang w:val="hr-HR"/>
        </w:rPr>
        <w:t>dijelu</w:t>
      </w:r>
      <w:r w:rsidRPr="0082654D">
        <w:rPr>
          <w:sz w:val="22"/>
          <w:szCs w:val="22"/>
          <w:lang w:val="hr-HR"/>
        </w:rPr>
        <w:t> 6.1.</w:t>
      </w:r>
    </w:p>
    <w:p w14:paraId="54543D35" w14:textId="77777777" w:rsidR="0082654D" w:rsidRPr="0082654D" w:rsidRDefault="0082654D" w:rsidP="00480FB1">
      <w:pPr>
        <w:tabs>
          <w:tab w:val="left" w:pos="540"/>
          <w:tab w:val="left" w:pos="569"/>
        </w:tabs>
        <w:rPr>
          <w:bCs/>
          <w:sz w:val="22"/>
          <w:szCs w:val="22"/>
        </w:rPr>
      </w:pPr>
    </w:p>
    <w:p w14:paraId="3EBD0254" w14:textId="77777777" w:rsidR="00411B4B" w:rsidRPr="0082654D" w:rsidRDefault="00411B4B" w:rsidP="00480FB1">
      <w:pPr>
        <w:tabs>
          <w:tab w:val="left" w:pos="540"/>
          <w:tab w:val="left" w:pos="569"/>
        </w:tabs>
        <w:rPr>
          <w:b/>
          <w:bCs/>
          <w:sz w:val="22"/>
          <w:szCs w:val="22"/>
        </w:rPr>
      </w:pPr>
      <w:r w:rsidRPr="0082654D">
        <w:rPr>
          <w:b/>
          <w:bCs/>
          <w:sz w:val="22"/>
          <w:szCs w:val="22"/>
        </w:rPr>
        <w:t xml:space="preserve">4.4. </w:t>
      </w:r>
      <w:r w:rsidR="00480FB1" w:rsidRPr="0082654D">
        <w:rPr>
          <w:b/>
          <w:bCs/>
          <w:sz w:val="22"/>
          <w:szCs w:val="22"/>
        </w:rPr>
        <w:tab/>
      </w:r>
      <w:r w:rsidRPr="0082654D">
        <w:rPr>
          <w:b/>
          <w:bCs/>
          <w:sz w:val="22"/>
          <w:szCs w:val="22"/>
        </w:rPr>
        <w:t>Posebna upozorenja i mjere opreza pri upotrebi lijeka</w:t>
      </w:r>
    </w:p>
    <w:p w14:paraId="740F35D1" w14:textId="77777777" w:rsidR="0072020E" w:rsidRPr="0082654D" w:rsidRDefault="0072020E" w:rsidP="002D1529">
      <w:pPr>
        <w:tabs>
          <w:tab w:val="left" w:pos="540"/>
          <w:tab w:val="left" w:pos="569"/>
        </w:tabs>
        <w:jc w:val="both"/>
        <w:rPr>
          <w:bCs/>
          <w:sz w:val="22"/>
          <w:szCs w:val="22"/>
        </w:rPr>
      </w:pPr>
    </w:p>
    <w:p w14:paraId="069082F3" w14:textId="77777777" w:rsidR="0082654D" w:rsidRPr="0082654D" w:rsidRDefault="0082654D" w:rsidP="002D1529">
      <w:pPr>
        <w:keepNext/>
        <w:jc w:val="both"/>
        <w:outlineLvl w:val="0"/>
        <w:rPr>
          <w:noProof/>
          <w:sz w:val="22"/>
          <w:szCs w:val="22"/>
          <w:lang w:val="hr-HR"/>
        </w:rPr>
      </w:pPr>
      <w:r w:rsidRPr="0082654D">
        <w:rPr>
          <w:noProof/>
          <w:sz w:val="22"/>
          <w:szCs w:val="22"/>
          <w:u w:val="single"/>
          <w:lang w:val="hr-HR"/>
        </w:rPr>
        <w:t>Fulvestrant</w:t>
      </w:r>
    </w:p>
    <w:p w14:paraId="70FC46AB" w14:textId="77777777" w:rsidR="0082654D" w:rsidRPr="0082654D" w:rsidRDefault="0082654D" w:rsidP="002D1529">
      <w:pPr>
        <w:keepNext/>
        <w:jc w:val="both"/>
        <w:outlineLvl w:val="0"/>
        <w:rPr>
          <w:noProof/>
          <w:sz w:val="22"/>
          <w:szCs w:val="22"/>
          <w:lang w:val="hr-HR"/>
        </w:rPr>
      </w:pPr>
    </w:p>
    <w:p w14:paraId="192FF646" w14:textId="0851A1FB" w:rsidR="0082654D" w:rsidRPr="0082654D" w:rsidRDefault="0082654D" w:rsidP="002D1529">
      <w:pPr>
        <w:jc w:val="both"/>
        <w:outlineLvl w:val="0"/>
        <w:rPr>
          <w:noProof/>
          <w:sz w:val="22"/>
          <w:szCs w:val="22"/>
          <w:lang w:val="hr-HR"/>
        </w:rPr>
      </w:pPr>
      <w:r w:rsidRPr="0082654D">
        <w:rPr>
          <w:sz w:val="22"/>
          <w:szCs w:val="22"/>
          <w:lang w:val="hr-HR"/>
        </w:rPr>
        <w:t>Usl</w:t>
      </w:r>
      <w:r w:rsidR="00D30E7D">
        <w:rPr>
          <w:sz w:val="22"/>
          <w:szCs w:val="22"/>
          <w:lang w:val="hr-HR"/>
        </w:rPr>
        <w:t>j</w:t>
      </w:r>
      <w:r w:rsidRPr="0082654D">
        <w:rPr>
          <w:sz w:val="22"/>
          <w:szCs w:val="22"/>
          <w:lang w:val="hr-HR"/>
        </w:rPr>
        <w:t xml:space="preserve">ed ograničenih podataka kod pacijenata sa prethodnom </w:t>
      </w:r>
      <w:r w:rsidR="00C21CF1">
        <w:rPr>
          <w:sz w:val="22"/>
          <w:szCs w:val="22"/>
          <w:lang w:val="hr-HR"/>
        </w:rPr>
        <w:t>primjen</w:t>
      </w:r>
      <w:r w:rsidRPr="0082654D">
        <w:rPr>
          <w:sz w:val="22"/>
          <w:szCs w:val="22"/>
          <w:lang w:val="hr-HR"/>
        </w:rPr>
        <w:t>om fulvestranta (n=39, ispitivanje CBYL719X2101), smatra se da efikasnost nije utvrđena u ovoj populaciji (</w:t>
      </w:r>
      <w:r w:rsidR="00EF7C8E">
        <w:rPr>
          <w:sz w:val="22"/>
          <w:szCs w:val="22"/>
          <w:lang w:val="hr-HR"/>
        </w:rPr>
        <w:t>pogledati dio</w:t>
      </w:r>
      <w:r w:rsidRPr="0082654D">
        <w:rPr>
          <w:sz w:val="22"/>
          <w:szCs w:val="22"/>
          <w:lang w:val="hr-HR"/>
        </w:rPr>
        <w:t xml:space="preserve"> 5.1).</w:t>
      </w:r>
    </w:p>
    <w:p w14:paraId="6007A17C" w14:textId="77777777" w:rsidR="0082654D" w:rsidRPr="0082654D" w:rsidRDefault="0082654D" w:rsidP="002D1529">
      <w:pPr>
        <w:jc w:val="both"/>
        <w:rPr>
          <w:noProof/>
          <w:sz w:val="22"/>
          <w:szCs w:val="22"/>
          <w:lang w:val="hr-HR"/>
        </w:rPr>
      </w:pPr>
    </w:p>
    <w:p w14:paraId="1FCB0BE2" w14:textId="77777777" w:rsidR="0082654D" w:rsidRPr="0082654D" w:rsidRDefault="0082654D" w:rsidP="002D1529">
      <w:pPr>
        <w:keepNext/>
        <w:shd w:val="clear" w:color="auto" w:fill="FFFFFF" w:themeFill="background1"/>
        <w:jc w:val="both"/>
        <w:rPr>
          <w:sz w:val="22"/>
          <w:szCs w:val="22"/>
          <w:lang w:val="hr-HR"/>
        </w:rPr>
      </w:pPr>
      <w:r w:rsidRPr="0082654D">
        <w:rPr>
          <w:sz w:val="22"/>
          <w:szCs w:val="22"/>
          <w:u w:val="single"/>
          <w:lang w:val="hr-HR"/>
        </w:rPr>
        <w:t>Preos</w:t>
      </w:r>
      <w:r w:rsidR="002D1529">
        <w:rPr>
          <w:sz w:val="22"/>
          <w:szCs w:val="22"/>
          <w:u w:val="single"/>
          <w:lang w:val="hr-HR"/>
        </w:rPr>
        <w:t>j</w:t>
      </w:r>
      <w:r w:rsidRPr="0082654D">
        <w:rPr>
          <w:sz w:val="22"/>
          <w:szCs w:val="22"/>
          <w:u w:val="single"/>
          <w:lang w:val="hr-HR"/>
        </w:rPr>
        <w:t>etljivost (uključujući anafilaktičku reakciju)</w:t>
      </w:r>
    </w:p>
    <w:p w14:paraId="4B939DEA" w14:textId="77777777" w:rsidR="0082654D" w:rsidRPr="0082654D" w:rsidRDefault="0082654D" w:rsidP="002D1529">
      <w:pPr>
        <w:keepNext/>
        <w:shd w:val="clear" w:color="auto" w:fill="FFFFFF" w:themeFill="background1"/>
        <w:jc w:val="both"/>
        <w:rPr>
          <w:sz w:val="22"/>
          <w:szCs w:val="22"/>
          <w:lang w:val="hr-HR"/>
        </w:rPr>
      </w:pPr>
    </w:p>
    <w:p w14:paraId="791DF86A" w14:textId="3E6B4374" w:rsidR="0082654D" w:rsidRPr="0082654D" w:rsidRDefault="0082654D" w:rsidP="002D1529">
      <w:pPr>
        <w:shd w:val="clear" w:color="auto" w:fill="FFFFFF" w:themeFill="background1"/>
        <w:jc w:val="both"/>
        <w:rPr>
          <w:sz w:val="22"/>
          <w:szCs w:val="22"/>
          <w:lang w:val="hr-HR"/>
        </w:rPr>
      </w:pPr>
      <w:r w:rsidRPr="0082654D">
        <w:rPr>
          <w:sz w:val="22"/>
          <w:szCs w:val="22"/>
          <w:lang w:val="hr-HR"/>
        </w:rPr>
        <w:t>Ozbiljne reakcije preos</w:t>
      </w:r>
      <w:r w:rsidR="0010032C">
        <w:rPr>
          <w:sz w:val="22"/>
          <w:szCs w:val="22"/>
          <w:lang w:val="hr-HR"/>
        </w:rPr>
        <w:t>j</w:t>
      </w:r>
      <w:r w:rsidRPr="0082654D">
        <w:rPr>
          <w:sz w:val="22"/>
          <w:szCs w:val="22"/>
          <w:lang w:val="hr-HR"/>
        </w:rPr>
        <w:t>etljivosti (uključujući anafilaktičku reakciju</w:t>
      </w:r>
      <w:r w:rsidR="00264ADA">
        <w:rPr>
          <w:sz w:val="22"/>
          <w:szCs w:val="22"/>
          <w:lang w:val="hr-HR"/>
        </w:rPr>
        <w:t xml:space="preserve">, </w:t>
      </w:r>
      <w:r w:rsidRPr="0082654D">
        <w:rPr>
          <w:sz w:val="22"/>
          <w:szCs w:val="22"/>
          <w:lang w:val="hr-HR"/>
        </w:rPr>
        <w:t>anafilaktički šok</w:t>
      </w:r>
      <w:r w:rsidR="00264ADA">
        <w:rPr>
          <w:sz w:val="22"/>
          <w:szCs w:val="22"/>
          <w:lang w:val="hr-HR"/>
        </w:rPr>
        <w:t xml:space="preserve"> i angioedem</w:t>
      </w:r>
      <w:r w:rsidRPr="0082654D">
        <w:rPr>
          <w:sz w:val="22"/>
          <w:szCs w:val="22"/>
          <w:lang w:val="hr-HR"/>
        </w:rPr>
        <w:t>), koje se manifestuju simptomima koji uključuju, između ostaloga, dispneju, „nalete“ crvenila, osip, povišenu t</w:t>
      </w:r>
      <w:r w:rsidR="0010032C">
        <w:rPr>
          <w:sz w:val="22"/>
          <w:szCs w:val="22"/>
          <w:lang w:val="hr-HR"/>
        </w:rPr>
        <w:t>j</w:t>
      </w:r>
      <w:r w:rsidRPr="0082654D">
        <w:rPr>
          <w:sz w:val="22"/>
          <w:szCs w:val="22"/>
          <w:lang w:val="hr-HR"/>
        </w:rPr>
        <w:t>elesnu temperaturu ili tahikardiju, bile su prijavljene kod pacijenata l</w:t>
      </w:r>
      <w:r w:rsidR="0010032C">
        <w:rPr>
          <w:sz w:val="22"/>
          <w:szCs w:val="22"/>
          <w:lang w:val="hr-HR"/>
        </w:rPr>
        <w:t>ij</w:t>
      </w:r>
      <w:r w:rsidRPr="0082654D">
        <w:rPr>
          <w:sz w:val="22"/>
          <w:szCs w:val="22"/>
          <w:lang w:val="hr-HR"/>
        </w:rPr>
        <w:t xml:space="preserve">ečenih </w:t>
      </w:r>
      <w:r w:rsidR="00C10B32">
        <w:rPr>
          <w:sz w:val="22"/>
          <w:szCs w:val="22"/>
          <w:lang w:val="hr-HR"/>
        </w:rPr>
        <w:t>lijek</w:t>
      </w:r>
      <w:r w:rsidRPr="0082654D">
        <w:rPr>
          <w:sz w:val="22"/>
          <w:szCs w:val="22"/>
          <w:lang w:val="hr-HR"/>
        </w:rPr>
        <w:t>om Piqray (</w:t>
      </w:r>
      <w:r w:rsidR="00EF7C8E">
        <w:rPr>
          <w:sz w:val="22"/>
          <w:szCs w:val="22"/>
          <w:lang w:val="hr-HR"/>
        </w:rPr>
        <w:t>pogledati dio</w:t>
      </w:r>
      <w:r w:rsidRPr="0082654D">
        <w:rPr>
          <w:sz w:val="22"/>
          <w:szCs w:val="22"/>
          <w:lang w:val="hr-HR"/>
        </w:rPr>
        <w:t xml:space="preserve"> 4.8). </w:t>
      </w:r>
      <w:r w:rsidR="00C10B32">
        <w:rPr>
          <w:sz w:val="22"/>
          <w:szCs w:val="22"/>
          <w:lang w:val="hr-HR"/>
        </w:rPr>
        <w:t>Lijek</w:t>
      </w:r>
      <w:r w:rsidRPr="0082654D">
        <w:rPr>
          <w:sz w:val="22"/>
          <w:szCs w:val="22"/>
          <w:lang w:val="hr-HR"/>
        </w:rPr>
        <w:t xml:space="preserve"> Piqray se mora trajno obustaviti i ne sm</w:t>
      </w:r>
      <w:r w:rsidR="0010032C">
        <w:rPr>
          <w:sz w:val="22"/>
          <w:szCs w:val="22"/>
          <w:lang w:val="hr-HR"/>
        </w:rPr>
        <w:t>ij</w:t>
      </w:r>
      <w:r w:rsidRPr="0082654D">
        <w:rPr>
          <w:sz w:val="22"/>
          <w:szCs w:val="22"/>
          <w:lang w:val="hr-HR"/>
        </w:rPr>
        <w:t>e se ponovo uvoditi kod pacijenata sa ozbiljnim reakcijama preos</w:t>
      </w:r>
      <w:r w:rsidR="00D30E7D">
        <w:rPr>
          <w:sz w:val="22"/>
          <w:szCs w:val="22"/>
          <w:lang w:val="hr-HR"/>
        </w:rPr>
        <w:t>j</w:t>
      </w:r>
      <w:r w:rsidRPr="0082654D">
        <w:rPr>
          <w:sz w:val="22"/>
          <w:szCs w:val="22"/>
          <w:lang w:val="hr-HR"/>
        </w:rPr>
        <w:t xml:space="preserve">etljivosti. Potrebno je odmah započeti odgovarajuće </w:t>
      </w:r>
      <w:r w:rsidR="00B66BE0">
        <w:rPr>
          <w:sz w:val="22"/>
          <w:szCs w:val="22"/>
          <w:lang w:val="hr-HR"/>
        </w:rPr>
        <w:t>liječenj</w:t>
      </w:r>
      <w:r w:rsidRPr="0082654D">
        <w:rPr>
          <w:sz w:val="22"/>
          <w:szCs w:val="22"/>
          <w:lang w:val="hr-HR"/>
        </w:rPr>
        <w:t>e.</w:t>
      </w:r>
    </w:p>
    <w:p w14:paraId="0DCFF59E" w14:textId="77777777" w:rsidR="0082654D" w:rsidRPr="0082654D" w:rsidRDefault="0082654D" w:rsidP="002D1529">
      <w:pPr>
        <w:shd w:val="clear" w:color="auto" w:fill="FFFFFF" w:themeFill="background1"/>
        <w:jc w:val="both"/>
        <w:rPr>
          <w:sz w:val="22"/>
          <w:szCs w:val="22"/>
          <w:lang w:val="hr-HR"/>
        </w:rPr>
      </w:pPr>
    </w:p>
    <w:p w14:paraId="7E0E72A8" w14:textId="77777777" w:rsidR="0082654D" w:rsidRPr="0082654D" w:rsidRDefault="0082654D" w:rsidP="002D1529">
      <w:pPr>
        <w:keepNext/>
        <w:shd w:val="clear" w:color="auto" w:fill="FFFFFF" w:themeFill="background1"/>
        <w:jc w:val="both"/>
        <w:rPr>
          <w:sz w:val="22"/>
          <w:szCs w:val="22"/>
          <w:lang w:val="hr-HR"/>
        </w:rPr>
      </w:pPr>
      <w:r w:rsidRPr="0082654D">
        <w:rPr>
          <w:sz w:val="22"/>
          <w:szCs w:val="22"/>
          <w:u w:val="single"/>
          <w:lang w:val="hr-HR"/>
        </w:rPr>
        <w:t>Teške reakcije kože</w:t>
      </w:r>
    </w:p>
    <w:p w14:paraId="0B518315" w14:textId="77777777" w:rsidR="0082654D" w:rsidRPr="0082654D" w:rsidRDefault="0082654D" w:rsidP="002D1529">
      <w:pPr>
        <w:keepNext/>
        <w:shd w:val="clear" w:color="auto" w:fill="FFFFFF" w:themeFill="background1"/>
        <w:jc w:val="both"/>
        <w:rPr>
          <w:sz w:val="22"/>
          <w:szCs w:val="22"/>
          <w:lang w:val="hr-HR"/>
        </w:rPr>
      </w:pPr>
    </w:p>
    <w:p w14:paraId="511E6D68" w14:textId="17184559" w:rsidR="0082654D" w:rsidRPr="0082654D" w:rsidRDefault="0082654D" w:rsidP="002D1529">
      <w:pPr>
        <w:shd w:val="clear" w:color="auto" w:fill="FFFFFF" w:themeFill="background1"/>
        <w:jc w:val="both"/>
        <w:rPr>
          <w:sz w:val="22"/>
          <w:szCs w:val="22"/>
          <w:lang w:val="hr-HR"/>
        </w:rPr>
      </w:pPr>
      <w:r w:rsidRPr="0082654D">
        <w:rPr>
          <w:sz w:val="22"/>
          <w:szCs w:val="22"/>
          <w:lang w:val="hr-HR"/>
        </w:rPr>
        <w:t>Teške reak</w:t>
      </w:r>
      <w:r w:rsidR="009A54B4">
        <w:rPr>
          <w:sz w:val="22"/>
          <w:szCs w:val="22"/>
          <w:lang w:val="hr-HR"/>
        </w:rPr>
        <w:t>cije kože prijavljene su uz pri</w:t>
      </w:r>
      <w:r w:rsidRPr="0082654D">
        <w:rPr>
          <w:sz w:val="22"/>
          <w:szCs w:val="22"/>
          <w:lang w:val="hr-HR"/>
        </w:rPr>
        <w:t>m</w:t>
      </w:r>
      <w:r w:rsidR="007F4F69">
        <w:rPr>
          <w:sz w:val="22"/>
          <w:szCs w:val="22"/>
          <w:lang w:val="hr-HR"/>
        </w:rPr>
        <w:t>j</w:t>
      </w:r>
      <w:r w:rsidR="009A54B4">
        <w:rPr>
          <w:sz w:val="22"/>
          <w:szCs w:val="22"/>
          <w:lang w:val="hr-HR"/>
        </w:rPr>
        <w:t>e</w:t>
      </w:r>
      <w:r w:rsidRPr="0082654D">
        <w:rPr>
          <w:sz w:val="22"/>
          <w:szCs w:val="22"/>
          <w:lang w:val="hr-HR"/>
        </w:rPr>
        <w:t xml:space="preserve">nu alpelisiba. U kliničkom ispitivanju faze III bio je prijavljen </w:t>
      </w:r>
      <w:r w:rsidRPr="00275401">
        <w:rPr>
          <w:i/>
          <w:sz w:val="22"/>
          <w:szCs w:val="22"/>
          <w:lang w:val="hr-HR"/>
        </w:rPr>
        <w:t>Stevens-Johnson</w:t>
      </w:r>
      <w:r w:rsidR="00D30E7D">
        <w:rPr>
          <w:sz w:val="22"/>
          <w:szCs w:val="22"/>
          <w:lang w:val="hr-HR"/>
        </w:rPr>
        <w:t>-</w:t>
      </w:r>
      <w:r w:rsidRPr="0082654D">
        <w:rPr>
          <w:sz w:val="22"/>
          <w:szCs w:val="22"/>
          <w:lang w:val="hr-HR"/>
        </w:rPr>
        <w:t xml:space="preserve">ov sindrom (SJS) kod 1 (0,4%) pacijenta, zatim multiformni eritem (EM) kod 3 (1,1%) pacijenta. Reakcija na </w:t>
      </w:r>
      <w:r w:rsidR="00C10B32">
        <w:rPr>
          <w:sz w:val="22"/>
          <w:szCs w:val="22"/>
          <w:lang w:val="hr-HR"/>
        </w:rPr>
        <w:t>lijek</w:t>
      </w:r>
      <w:r w:rsidRPr="0082654D">
        <w:rPr>
          <w:sz w:val="22"/>
          <w:szCs w:val="22"/>
          <w:lang w:val="hr-HR"/>
        </w:rPr>
        <w:t xml:space="preserve"> sa eozinofilijom i sistemskim simptomima (engl</w:t>
      </w:r>
      <w:r w:rsidRPr="0082654D">
        <w:rPr>
          <w:i/>
          <w:sz w:val="22"/>
          <w:szCs w:val="22"/>
          <w:lang w:val="hr-HR"/>
        </w:rPr>
        <w:t>. drug reaction with eosinophilia and systemic symptoms</w:t>
      </w:r>
      <w:r w:rsidRPr="0082654D">
        <w:rPr>
          <w:sz w:val="22"/>
          <w:szCs w:val="22"/>
          <w:lang w:val="hr-HR"/>
        </w:rPr>
        <w:t xml:space="preserve">, DRESS) bila je prijavljena nakon stavljanja </w:t>
      </w:r>
      <w:r w:rsidR="00C10B32">
        <w:rPr>
          <w:sz w:val="22"/>
          <w:szCs w:val="22"/>
          <w:lang w:val="hr-HR"/>
        </w:rPr>
        <w:t>lijek</w:t>
      </w:r>
      <w:r w:rsidRPr="0082654D">
        <w:rPr>
          <w:sz w:val="22"/>
          <w:szCs w:val="22"/>
          <w:lang w:val="hr-HR"/>
        </w:rPr>
        <w:t>a u promet (</w:t>
      </w:r>
      <w:r w:rsidR="00EF7C8E">
        <w:rPr>
          <w:sz w:val="22"/>
          <w:szCs w:val="22"/>
          <w:lang w:val="hr-HR"/>
        </w:rPr>
        <w:t>pogledati dio</w:t>
      </w:r>
      <w:r w:rsidRPr="0082654D">
        <w:rPr>
          <w:sz w:val="22"/>
          <w:szCs w:val="22"/>
          <w:lang w:val="hr-HR"/>
        </w:rPr>
        <w:t xml:space="preserve"> 4.8).</w:t>
      </w:r>
    </w:p>
    <w:p w14:paraId="17581224" w14:textId="77777777" w:rsidR="0082654D" w:rsidRPr="0082654D" w:rsidRDefault="0082654D" w:rsidP="002D1529">
      <w:pPr>
        <w:shd w:val="clear" w:color="auto" w:fill="FFFFFF" w:themeFill="background1"/>
        <w:jc w:val="both"/>
        <w:rPr>
          <w:sz w:val="22"/>
          <w:szCs w:val="22"/>
          <w:lang w:val="hr-HR"/>
        </w:rPr>
      </w:pPr>
    </w:p>
    <w:p w14:paraId="28BC9D03" w14:textId="5F6454B4" w:rsidR="0082654D" w:rsidRPr="0082654D" w:rsidRDefault="00B66BE0" w:rsidP="009A54B4">
      <w:pPr>
        <w:shd w:val="clear" w:color="auto" w:fill="FFFFFF" w:themeFill="background1"/>
        <w:jc w:val="both"/>
        <w:rPr>
          <w:sz w:val="22"/>
          <w:szCs w:val="22"/>
          <w:lang w:val="hr-HR"/>
        </w:rPr>
      </w:pPr>
      <w:r>
        <w:rPr>
          <w:sz w:val="22"/>
          <w:szCs w:val="22"/>
          <w:lang w:val="hr-HR"/>
        </w:rPr>
        <w:t>Liječenj</w:t>
      </w:r>
      <w:r w:rsidR="0082654D" w:rsidRPr="0082654D">
        <w:rPr>
          <w:sz w:val="22"/>
          <w:szCs w:val="22"/>
          <w:lang w:val="hr-HR"/>
        </w:rPr>
        <w:t xml:space="preserve">e </w:t>
      </w:r>
      <w:r w:rsidR="002032DE">
        <w:rPr>
          <w:sz w:val="22"/>
          <w:szCs w:val="22"/>
          <w:lang w:val="hr-HR"/>
        </w:rPr>
        <w:t xml:space="preserve">se </w:t>
      </w:r>
      <w:r w:rsidR="0082654D" w:rsidRPr="0082654D">
        <w:rPr>
          <w:sz w:val="22"/>
          <w:szCs w:val="22"/>
          <w:lang w:val="hr-HR"/>
        </w:rPr>
        <w:t>ne sm</w:t>
      </w:r>
      <w:r w:rsidR="007F4F69">
        <w:rPr>
          <w:sz w:val="22"/>
          <w:szCs w:val="22"/>
          <w:lang w:val="hr-HR"/>
        </w:rPr>
        <w:t>ij</w:t>
      </w:r>
      <w:r w:rsidR="0082654D" w:rsidRPr="0082654D">
        <w:rPr>
          <w:sz w:val="22"/>
          <w:szCs w:val="22"/>
          <w:lang w:val="hr-HR"/>
        </w:rPr>
        <w:t>e</w:t>
      </w:r>
      <w:r w:rsidR="002032DE">
        <w:rPr>
          <w:sz w:val="22"/>
          <w:szCs w:val="22"/>
          <w:lang w:val="hr-HR"/>
        </w:rPr>
        <w:t xml:space="preserve"> </w:t>
      </w:r>
      <w:r w:rsidR="0082654D" w:rsidRPr="0082654D">
        <w:rPr>
          <w:sz w:val="22"/>
          <w:szCs w:val="22"/>
          <w:lang w:val="hr-HR"/>
        </w:rPr>
        <w:t>započeti kod pacijenata koji imaju teške reakcije kože u anamnezi.</w:t>
      </w:r>
    </w:p>
    <w:p w14:paraId="66E03CD3" w14:textId="77777777" w:rsidR="0082654D" w:rsidRPr="0082654D" w:rsidRDefault="0082654D" w:rsidP="009A54B4">
      <w:pPr>
        <w:shd w:val="clear" w:color="auto" w:fill="FFFFFF" w:themeFill="background1"/>
        <w:jc w:val="both"/>
        <w:rPr>
          <w:sz w:val="22"/>
          <w:szCs w:val="22"/>
          <w:lang w:val="hr-HR"/>
        </w:rPr>
      </w:pPr>
    </w:p>
    <w:p w14:paraId="438A6875" w14:textId="19291A23" w:rsidR="0082654D" w:rsidRPr="0082654D" w:rsidRDefault="0082654D" w:rsidP="009A54B4">
      <w:pPr>
        <w:shd w:val="clear" w:color="auto" w:fill="FFFFFF" w:themeFill="background1"/>
        <w:jc w:val="both"/>
        <w:rPr>
          <w:sz w:val="22"/>
          <w:szCs w:val="22"/>
          <w:lang w:val="hr-HR"/>
        </w:rPr>
      </w:pPr>
      <w:r w:rsidRPr="0082654D">
        <w:rPr>
          <w:sz w:val="22"/>
          <w:szCs w:val="22"/>
          <w:lang w:val="hr-HR"/>
        </w:rPr>
        <w:t xml:space="preserve">Pacijente je potrebno upoznati sa znakovima i simptomima teških reakcija kože (npr. prodromalni stadijum povišene </w:t>
      </w:r>
      <w:r w:rsidR="0010032C">
        <w:rPr>
          <w:sz w:val="22"/>
          <w:szCs w:val="22"/>
          <w:lang w:val="hr-HR"/>
        </w:rPr>
        <w:t>tjelesn</w:t>
      </w:r>
      <w:r w:rsidRPr="0082654D">
        <w:rPr>
          <w:sz w:val="22"/>
          <w:szCs w:val="22"/>
          <w:lang w:val="hr-HR"/>
        </w:rPr>
        <w:t>e temperature, simptomi nalik grip</w:t>
      </w:r>
      <w:r w:rsidR="008639DB">
        <w:rPr>
          <w:sz w:val="22"/>
          <w:szCs w:val="22"/>
          <w:lang w:val="hr-HR"/>
        </w:rPr>
        <w:t>u</w:t>
      </w:r>
      <w:r w:rsidRPr="0082654D">
        <w:rPr>
          <w:sz w:val="22"/>
          <w:szCs w:val="22"/>
          <w:lang w:val="hr-HR"/>
        </w:rPr>
        <w:t>, lezije sluznice ili progresivni kožni osip). Ako su prisutni znakovi ili simptomi teških reakcija kože, potrebno je pri</w:t>
      </w:r>
      <w:r w:rsidR="009A54B4">
        <w:rPr>
          <w:sz w:val="22"/>
          <w:szCs w:val="22"/>
          <w:lang w:val="hr-HR"/>
        </w:rPr>
        <w:t>vr</w:t>
      </w:r>
      <w:r w:rsidR="00A26CAB">
        <w:rPr>
          <w:sz w:val="22"/>
          <w:szCs w:val="22"/>
          <w:lang w:val="hr-HR"/>
        </w:rPr>
        <w:t>em</w:t>
      </w:r>
      <w:r w:rsidRPr="0082654D">
        <w:rPr>
          <w:sz w:val="22"/>
          <w:szCs w:val="22"/>
          <w:lang w:val="hr-HR"/>
        </w:rPr>
        <w:t xml:space="preserve">eno prekinuti </w:t>
      </w:r>
      <w:r w:rsidR="00C21CF1">
        <w:rPr>
          <w:sz w:val="22"/>
          <w:szCs w:val="22"/>
          <w:lang w:val="hr-HR"/>
        </w:rPr>
        <w:t>primjen</w:t>
      </w:r>
      <w:r w:rsidRPr="0082654D">
        <w:rPr>
          <w:sz w:val="22"/>
          <w:szCs w:val="22"/>
          <w:lang w:val="hr-HR"/>
        </w:rPr>
        <w:t xml:space="preserve">u </w:t>
      </w:r>
      <w:r w:rsidR="00C10B32">
        <w:rPr>
          <w:sz w:val="22"/>
          <w:szCs w:val="22"/>
          <w:lang w:val="hr-HR"/>
        </w:rPr>
        <w:t>lijek</w:t>
      </w:r>
      <w:r w:rsidRPr="0082654D">
        <w:rPr>
          <w:sz w:val="22"/>
          <w:szCs w:val="22"/>
          <w:lang w:val="hr-HR"/>
        </w:rPr>
        <w:t>a Piqray dok se ne utvrdi etiologija reakcije. Preporučuje se sav</w:t>
      </w:r>
      <w:r w:rsidR="009A54B4">
        <w:rPr>
          <w:sz w:val="22"/>
          <w:szCs w:val="22"/>
          <w:lang w:val="hr-HR"/>
        </w:rPr>
        <w:t>j</w:t>
      </w:r>
      <w:r w:rsidRPr="0082654D">
        <w:rPr>
          <w:sz w:val="22"/>
          <w:szCs w:val="22"/>
          <w:lang w:val="hr-HR"/>
        </w:rPr>
        <w:t xml:space="preserve">etovanje sa dermatologom. </w:t>
      </w:r>
    </w:p>
    <w:p w14:paraId="2FD6295F" w14:textId="77777777" w:rsidR="0082654D" w:rsidRPr="0082654D" w:rsidRDefault="0082654D" w:rsidP="009A54B4">
      <w:pPr>
        <w:shd w:val="clear" w:color="auto" w:fill="FFFFFF" w:themeFill="background1"/>
        <w:jc w:val="both"/>
        <w:rPr>
          <w:sz w:val="22"/>
          <w:szCs w:val="22"/>
          <w:lang w:val="hr-HR"/>
        </w:rPr>
      </w:pPr>
    </w:p>
    <w:p w14:paraId="45FDE552" w14:textId="475962DC" w:rsidR="0082654D" w:rsidRPr="0082654D" w:rsidRDefault="0082654D" w:rsidP="009A54B4">
      <w:pPr>
        <w:shd w:val="clear" w:color="auto" w:fill="FFFFFF" w:themeFill="background1"/>
        <w:jc w:val="both"/>
        <w:rPr>
          <w:sz w:val="22"/>
          <w:szCs w:val="22"/>
          <w:lang w:val="hr-HR"/>
        </w:rPr>
      </w:pPr>
      <w:r w:rsidRPr="0082654D">
        <w:rPr>
          <w:sz w:val="22"/>
          <w:szCs w:val="22"/>
          <w:lang w:val="hr-HR"/>
        </w:rPr>
        <w:t xml:space="preserve">Ako se potvrdi teška reakcija kože, </w:t>
      </w:r>
      <w:r w:rsidR="00C10B32">
        <w:rPr>
          <w:sz w:val="22"/>
          <w:szCs w:val="22"/>
          <w:lang w:val="hr-HR"/>
        </w:rPr>
        <w:t>lijek</w:t>
      </w:r>
      <w:r w:rsidRPr="0082654D">
        <w:rPr>
          <w:sz w:val="22"/>
          <w:szCs w:val="22"/>
          <w:lang w:val="hr-HR"/>
        </w:rPr>
        <w:t xml:space="preserve"> Piqray je potrebno trajno obustaviti. </w:t>
      </w:r>
      <w:r w:rsidR="002032DE">
        <w:rPr>
          <w:sz w:val="22"/>
          <w:szCs w:val="22"/>
          <w:lang w:val="hr-HR"/>
        </w:rPr>
        <w:t xml:space="preserve"> Ne</w:t>
      </w:r>
      <w:r w:rsidRPr="0082654D">
        <w:rPr>
          <w:sz w:val="22"/>
          <w:szCs w:val="22"/>
          <w:lang w:val="hr-HR"/>
        </w:rPr>
        <w:t xml:space="preserve"> sm</w:t>
      </w:r>
      <w:r w:rsidR="007F4F69">
        <w:rPr>
          <w:sz w:val="22"/>
          <w:szCs w:val="22"/>
          <w:lang w:val="hr-HR"/>
        </w:rPr>
        <w:t>ij</w:t>
      </w:r>
      <w:r w:rsidRPr="0082654D">
        <w:rPr>
          <w:sz w:val="22"/>
          <w:szCs w:val="22"/>
          <w:lang w:val="hr-HR"/>
        </w:rPr>
        <w:t xml:space="preserve">e </w:t>
      </w:r>
      <w:r w:rsidR="002032DE">
        <w:rPr>
          <w:sz w:val="22"/>
          <w:szCs w:val="22"/>
          <w:lang w:val="hr-HR"/>
        </w:rPr>
        <w:t xml:space="preserve">se </w:t>
      </w:r>
      <w:r w:rsidRPr="0082654D">
        <w:rPr>
          <w:sz w:val="22"/>
          <w:szCs w:val="22"/>
          <w:lang w:val="hr-HR"/>
        </w:rPr>
        <w:t>ponovo uvoditi kod pacijenata koji su imali prethodne teške reakcije kože. Ako se teška reakcija kože ne potvrdi, moglo bi da bude potrebno pri</w:t>
      </w:r>
      <w:r w:rsidR="009A54B4">
        <w:rPr>
          <w:sz w:val="22"/>
          <w:szCs w:val="22"/>
          <w:lang w:val="hr-HR"/>
        </w:rPr>
        <w:t>vr</w:t>
      </w:r>
      <w:r w:rsidR="00A26CAB">
        <w:rPr>
          <w:sz w:val="22"/>
          <w:szCs w:val="22"/>
          <w:lang w:val="hr-HR"/>
        </w:rPr>
        <w:t>em</w:t>
      </w:r>
      <w:r w:rsidRPr="0082654D">
        <w:rPr>
          <w:sz w:val="22"/>
          <w:szCs w:val="22"/>
          <w:lang w:val="hr-HR"/>
        </w:rPr>
        <w:t xml:space="preserve">eno prekinuti </w:t>
      </w:r>
      <w:r w:rsidR="00B66BE0">
        <w:rPr>
          <w:sz w:val="22"/>
          <w:szCs w:val="22"/>
          <w:lang w:val="hr-HR"/>
        </w:rPr>
        <w:t>liječenj</w:t>
      </w:r>
      <w:r w:rsidRPr="0082654D">
        <w:rPr>
          <w:sz w:val="22"/>
          <w:szCs w:val="22"/>
          <w:lang w:val="hr-HR"/>
        </w:rPr>
        <w:t xml:space="preserve">e </w:t>
      </w:r>
      <w:r w:rsidR="00C10B32">
        <w:rPr>
          <w:sz w:val="22"/>
          <w:szCs w:val="22"/>
          <w:lang w:val="hr-HR"/>
        </w:rPr>
        <w:t>lijek</w:t>
      </w:r>
      <w:r w:rsidRPr="0082654D">
        <w:rPr>
          <w:sz w:val="22"/>
          <w:szCs w:val="22"/>
          <w:lang w:val="hr-HR"/>
        </w:rPr>
        <w:t xml:space="preserve">om Piqray, smanjiti dozu ili obustaviti </w:t>
      </w:r>
      <w:r w:rsidR="00B66BE0">
        <w:rPr>
          <w:sz w:val="22"/>
          <w:szCs w:val="22"/>
          <w:lang w:val="hr-HR"/>
        </w:rPr>
        <w:t>liječenj</w:t>
      </w:r>
      <w:r w:rsidRPr="0082654D">
        <w:rPr>
          <w:sz w:val="22"/>
          <w:szCs w:val="22"/>
          <w:lang w:val="hr-HR"/>
        </w:rPr>
        <w:t>e, kako je opisano u Tabeli 3 (</w:t>
      </w:r>
      <w:r w:rsidR="00EF7C8E">
        <w:rPr>
          <w:sz w:val="22"/>
          <w:szCs w:val="22"/>
          <w:lang w:val="hr-HR"/>
        </w:rPr>
        <w:t>pogledati dio</w:t>
      </w:r>
      <w:r w:rsidRPr="0082654D">
        <w:rPr>
          <w:sz w:val="22"/>
          <w:szCs w:val="22"/>
          <w:lang w:val="hr-HR"/>
        </w:rPr>
        <w:t xml:space="preserve"> 4.2).</w:t>
      </w:r>
    </w:p>
    <w:p w14:paraId="38536364" w14:textId="77777777" w:rsidR="0082654D" w:rsidRPr="0082654D" w:rsidRDefault="0082654D" w:rsidP="009A54B4">
      <w:pPr>
        <w:shd w:val="clear" w:color="auto" w:fill="FFFFFF" w:themeFill="background1"/>
        <w:jc w:val="both"/>
        <w:rPr>
          <w:sz w:val="22"/>
          <w:szCs w:val="22"/>
          <w:lang w:val="hr-HR"/>
        </w:rPr>
      </w:pPr>
    </w:p>
    <w:p w14:paraId="7218BCAE" w14:textId="77777777" w:rsidR="0082654D" w:rsidRPr="0082654D" w:rsidRDefault="0082654D" w:rsidP="009A54B4">
      <w:pPr>
        <w:keepNext/>
        <w:shd w:val="clear" w:color="auto" w:fill="FFFFFF" w:themeFill="background1"/>
        <w:jc w:val="both"/>
        <w:rPr>
          <w:sz w:val="22"/>
          <w:szCs w:val="22"/>
          <w:lang w:val="hr-HR"/>
        </w:rPr>
      </w:pPr>
      <w:r w:rsidRPr="0082654D">
        <w:rPr>
          <w:sz w:val="22"/>
          <w:szCs w:val="22"/>
          <w:u w:val="single"/>
          <w:lang w:val="hr-HR"/>
        </w:rPr>
        <w:lastRenderedPageBreak/>
        <w:t>Hiperglikemija</w:t>
      </w:r>
    </w:p>
    <w:p w14:paraId="3A0B58BF" w14:textId="77777777" w:rsidR="0082654D" w:rsidRPr="0082654D" w:rsidRDefault="0082654D" w:rsidP="009A54B4">
      <w:pPr>
        <w:keepNext/>
        <w:shd w:val="clear" w:color="auto" w:fill="FFFFFF" w:themeFill="background1"/>
        <w:jc w:val="both"/>
        <w:rPr>
          <w:sz w:val="22"/>
          <w:szCs w:val="22"/>
          <w:lang w:val="hr-HR"/>
        </w:rPr>
      </w:pPr>
    </w:p>
    <w:p w14:paraId="605862D6" w14:textId="77777777" w:rsidR="0082654D" w:rsidRPr="0082654D" w:rsidRDefault="0082654D" w:rsidP="009A54B4">
      <w:pPr>
        <w:shd w:val="clear" w:color="auto" w:fill="FFFFFF" w:themeFill="background1"/>
        <w:jc w:val="both"/>
        <w:rPr>
          <w:sz w:val="22"/>
          <w:szCs w:val="22"/>
          <w:lang w:val="hr-HR"/>
        </w:rPr>
      </w:pPr>
      <w:r w:rsidRPr="0082654D">
        <w:rPr>
          <w:sz w:val="22"/>
          <w:szCs w:val="22"/>
          <w:lang w:val="hr-HR"/>
        </w:rPr>
        <w:t xml:space="preserve">Teška hiperglikemija, </w:t>
      </w:r>
      <w:r w:rsidR="002A5E87" w:rsidRPr="002A5E87">
        <w:rPr>
          <w:sz w:val="22"/>
          <w:szCs w:val="22"/>
          <w:lang w:val="hr-HR"/>
        </w:rPr>
        <w:t xml:space="preserve">u nekim slučajevima povezana sa neketotičnim hiperosmolarnim hiperglikemijskim sindromom (NKHHS) ili </w:t>
      </w:r>
      <w:r w:rsidR="002A5E87" w:rsidRPr="0082654D">
        <w:rPr>
          <w:sz w:val="22"/>
          <w:szCs w:val="22"/>
          <w:lang w:val="hr-HR"/>
        </w:rPr>
        <w:t>ketoacidoz</w:t>
      </w:r>
      <w:r w:rsidR="002A5E87">
        <w:rPr>
          <w:sz w:val="22"/>
          <w:szCs w:val="22"/>
          <w:lang w:val="hr-HR"/>
        </w:rPr>
        <w:t>om</w:t>
      </w:r>
      <w:r w:rsidRPr="0082654D">
        <w:rPr>
          <w:sz w:val="22"/>
          <w:szCs w:val="22"/>
          <w:lang w:val="hr-HR"/>
        </w:rPr>
        <w:t xml:space="preserve">, bila je </w:t>
      </w:r>
      <w:r w:rsidR="002A5E87">
        <w:rPr>
          <w:sz w:val="22"/>
          <w:szCs w:val="22"/>
          <w:lang w:val="hr-HR"/>
        </w:rPr>
        <w:t>primijećena</w:t>
      </w:r>
      <w:r w:rsidR="002A5E87" w:rsidRPr="0082654D">
        <w:rPr>
          <w:sz w:val="22"/>
          <w:szCs w:val="22"/>
          <w:lang w:val="hr-HR"/>
        </w:rPr>
        <w:t xml:space="preserve"> </w:t>
      </w:r>
      <w:r w:rsidRPr="0082654D">
        <w:rPr>
          <w:sz w:val="22"/>
          <w:szCs w:val="22"/>
          <w:lang w:val="hr-HR"/>
        </w:rPr>
        <w:t>kod pacijenata l</w:t>
      </w:r>
      <w:r w:rsidR="009A54B4">
        <w:rPr>
          <w:sz w:val="22"/>
          <w:szCs w:val="22"/>
          <w:lang w:val="hr-HR"/>
        </w:rPr>
        <w:t>ij</w:t>
      </w:r>
      <w:r w:rsidRPr="0082654D">
        <w:rPr>
          <w:sz w:val="22"/>
          <w:szCs w:val="22"/>
          <w:lang w:val="hr-HR"/>
        </w:rPr>
        <w:t xml:space="preserve">ečenih </w:t>
      </w:r>
      <w:r w:rsidR="00C10B32">
        <w:rPr>
          <w:sz w:val="22"/>
          <w:szCs w:val="22"/>
          <w:lang w:val="hr-HR"/>
        </w:rPr>
        <w:t>lijek</w:t>
      </w:r>
      <w:r w:rsidRPr="0082654D">
        <w:rPr>
          <w:sz w:val="22"/>
          <w:szCs w:val="22"/>
          <w:lang w:val="hr-HR"/>
        </w:rPr>
        <w:t>om Piqray.</w:t>
      </w:r>
      <w:r w:rsidR="002A5E87" w:rsidRPr="002A5E87">
        <w:t xml:space="preserve"> </w:t>
      </w:r>
      <w:r w:rsidR="002A5E87" w:rsidRPr="002A5E87">
        <w:rPr>
          <w:sz w:val="22"/>
          <w:szCs w:val="22"/>
          <w:lang w:val="hr-HR"/>
        </w:rPr>
        <w:t>Neki slučajevi ketoacidoze sa smrtnim ishodom zab</w:t>
      </w:r>
      <w:r w:rsidR="002A5E87">
        <w:rPr>
          <w:sz w:val="22"/>
          <w:szCs w:val="22"/>
          <w:lang w:val="hr-HR"/>
        </w:rPr>
        <w:t>ilje</w:t>
      </w:r>
      <w:r w:rsidR="002A5E87" w:rsidRPr="002A5E87">
        <w:rPr>
          <w:sz w:val="22"/>
          <w:szCs w:val="22"/>
          <w:lang w:val="hr-HR"/>
        </w:rPr>
        <w:t>ženi su u periodu nakon stavljanja l</w:t>
      </w:r>
      <w:r w:rsidR="002A5E87">
        <w:rPr>
          <w:sz w:val="22"/>
          <w:szCs w:val="22"/>
          <w:lang w:val="hr-HR"/>
        </w:rPr>
        <w:t>ij</w:t>
      </w:r>
      <w:r w:rsidR="002A5E87" w:rsidRPr="002A5E87">
        <w:rPr>
          <w:sz w:val="22"/>
          <w:szCs w:val="22"/>
          <w:lang w:val="hr-HR"/>
        </w:rPr>
        <w:t>eka u promet.</w:t>
      </w:r>
    </w:p>
    <w:p w14:paraId="39D4A893" w14:textId="77777777" w:rsidR="0082654D" w:rsidRPr="0082654D" w:rsidRDefault="0082654D" w:rsidP="009A54B4">
      <w:pPr>
        <w:shd w:val="clear" w:color="auto" w:fill="FFFFFF" w:themeFill="background1"/>
        <w:jc w:val="both"/>
        <w:rPr>
          <w:sz w:val="22"/>
          <w:szCs w:val="22"/>
          <w:lang w:val="hr-HR"/>
        </w:rPr>
      </w:pPr>
    </w:p>
    <w:p w14:paraId="2E53DA68" w14:textId="57DEA155" w:rsidR="0082654D" w:rsidRPr="0082654D" w:rsidRDefault="0082654D" w:rsidP="009A54B4">
      <w:pPr>
        <w:shd w:val="clear" w:color="auto" w:fill="FFFFFF" w:themeFill="background1"/>
        <w:jc w:val="both"/>
        <w:rPr>
          <w:sz w:val="22"/>
          <w:szCs w:val="22"/>
          <w:lang w:val="hr-HR"/>
        </w:rPr>
      </w:pPr>
      <w:r w:rsidRPr="0082654D">
        <w:rPr>
          <w:sz w:val="22"/>
          <w:szCs w:val="22"/>
          <w:lang w:val="hr-HR"/>
        </w:rPr>
        <w:t>U kliničkom ispitivanju faze III, hiperglikemija se pojavila učestalije kod pacijenata koji su imali dijabetes (0 od 12 pacijenata [0%] sa 1</w:t>
      </w:r>
      <w:r w:rsidRPr="0082654D">
        <w:rPr>
          <w:sz w:val="22"/>
          <w:szCs w:val="22"/>
          <w:lang w:val="hr-HR"/>
        </w:rPr>
        <w:noBreakHyphen/>
        <w:t>2. stepenom, zatim kod 10 od 12 pacijenata [83,3%] sa 3</w:t>
      </w:r>
      <w:r w:rsidRPr="0082654D">
        <w:rPr>
          <w:sz w:val="22"/>
          <w:szCs w:val="22"/>
          <w:lang w:val="hr-HR"/>
        </w:rPr>
        <w:noBreakHyphen/>
        <w:t>4. stepenom), preddijabetes (</w:t>
      </w:r>
      <w:r w:rsidR="005C1969" w:rsidRPr="0082654D">
        <w:rPr>
          <w:sz w:val="22"/>
          <w:szCs w:val="22"/>
          <w:lang w:val="hr-HR"/>
        </w:rPr>
        <w:t>4</w:t>
      </w:r>
      <w:r w:rsidR="005C1969">
        <w:rPr>
          <w:sz w:val="22"/>
          <w:szCs w:val="22"/>
          <w:lang w:val="hr-HR"/>
        </w:rPr>
        <w:t>3</w:t>
      </w:r>
      <w:r w:rsidR="005C1969" w:rsidRPr="0082654D">
        <w:rPr>
          <w:sz w:val="22"/>
          <w:szCs w:val="22"/>
          <w:lang w:val="hr-HR"/>
        </w:rPr>
        <w:t xml:space="preserve"> </w:t>
      </w:r>
      <w:r w:rsidRPr="0082654D">
        <w:rPr>
          <w:sz w:val="22"/>
          <w:szCs w:val="22"/>
          <w:lang w:val="hr-HR"/>
        </w:rPr>
        <w:t>od 159 pacijenata [</w:t>
      </w:r>
      <w:r w:rsidR="005C1969">
        <w:rPr>
          <w:sz w:val="22"/>
          <w:szCs w:val="22"/>
          <w:lang w:val="hr-HR"/>
        </w:rPr>
        <w:t>27</w:t>
      </w:r>
      <w:r w:rsidRPr="0082654D">
        <w:rPr>
          <w:sz w:val="22"/>
          <w:szCs w:val="22"/>
          <w:lang w:val="hr-HR"/>
        </w:rPr>
        <w:t>,4</w:t>
      </w:r>
      <w:r w:rsidR="005C1969">
        <w:rPr>
          <w:sz w:val="22"/>
          <w:szCs w:val="22"/>
          <w:lang w:val="hr-HR"/>
        </w:rPr>
        <w:t>0</w:t>
      </w:r>
      <w:r w:rsidRPr="0082654D">
        <w:rPr>
          <w:sz w:val="22"/>
          <w:szCs w:val="22"/>
          <w:lang w:val="hr-HR"/>
        </w:rPr>
        <w:t>%] sa 1</w:t>
      </w:r>
      <w:r w:rsidRPr="0082654D">
        <w:rPr>
          <w:sz w:val="22"/>
          <w:szCs w:val="22"/>
          <w:lang w:val="hr-HR"/>
        </w:rPr>
        <w:noBreakHyphen/>
        <w:t>2. stepenom, kod 77 od 159 pacijenata [48,4%] sa 3</w:t>
      </w:r>
      <w:r w:rsidRPr="0082654D">
        <w:rPr>
          <w:sz w:val="22"/>
          <w:szCs w:val="22"/>
          <w:lang w:val="hr-HR"/>
        </w:rPr>
        <w:noBreakHyphen/>
        <w:t>4. stepenom), BMI ≥30 na „skriningu“ (</w:t>
      </w:r>
      <w:r w:rsidR="005C1969" w:rsidRPr="0082654D">
        <w:rPr>
          <w:sz w:val="22"/>
          <w:szCs w:val="22"/>
          <w:lang w:val="hr-HR"/>
        </w:rPr>
        <w:t>1</w:t>
      </w:r>
      <w:r w:rsidR="005C1969">
        <w:rPr>
          <w:sz w:val="22"/>
          <w:szCs w:val="22"/>
          <w:lang w:val="hr-HR"/>
        </w:rPr>
        <w:t>4</w:t>
      </w:r>
      <w:r w:rsidR="005C1969" w:rsidRPr="0082654D">
        <w:rPr>
          <w:sz w:val="22"/>
          <w:szCs w:val="22"/>
          <w:lang w:val="hr-HR"/>
        </w:rPr>
        <w:t xml:space="preserve"> </w:t>
      </w:r>
      <w:r w:rsidRPr="0082654D">
        <w:rPr>
          <w:sz w:val="22"/>
          <w:szCs w:val="22"/>
          <w:lang w:val="hr-HR"/>
        </w:rPr>
        <w:t>od 74 pacijenata [</w:t>
      </w:r>
      <w:r w:rsidR="005C1969" w:rsidRPr="0082654D">
        <w:rPr>
          <w:sz w:val="22"/>
          <w:szCs w:val="22"/>
          <w:lang w:val="hr-HR"/>
        </w:rPr>
        <w:t>1</w:t>
      </w:r>
      <w:r w:rsidR="005C1969">
        <w:rPr>
          <w:sz w:val="22"/>
          <w:szCs w:val="22"/>
          <w:lang w:val="hr-HR"/>
        </w:rPr>
        <w:t>8</w:t>
      </w:r>
      <w:r w:rsidRPr="0082654D">
        <w:rPr>
          <w:sz w:val="22"/>
          <w:szCs w:val="22"/>
          <w:lang w:val="hr-HR"/>
        </w:rPr>
        <w:t>,</w:t>
      </w:r>
      <w:r w:rsidR="005C1969">
        <w:rPr>
          <w:sz w:val="22"/>
          <w:szCs w:val="22"/>
          <w:lang w:val="hr-HR"/>
        </w:rPr>
        <w:t>9</w:t>
      </w:r>
      <w:r w:rsidRPr="0082654D">
        <w:rPr>
          <w:sz w:val="22"/>
          <w:szCs w:val="22"/>
          <w:lang w:val="hr-HR"/>
        </w:rPr>
        <w:t>%] sa 1</w:t>
      </w:r>
      <w:r w:rsidRPr="0082654D">
        <w:rPr>
          <w:sz w:val="22"/>
          <w:szCs w:val="22"/>
          <w:lang w:val="hr-HR"/>
        </w:rPr>
        <w:noBreakHyphen/>
        <w:t>2. stepenom, kod 38 od 74 pacijenata [51,4%] sa 3</w:t>
      </w:r>
      <w:r w:rsidRPr="0082654D">
        <w:rPr>
          <w:sz w:val="22"/>
          <w:szCs w:val="22"/>
          <w:lang w:val="hr-HR"/>
        </w:rPr>
        <w:noBreakHyphen/>
        <w:t>4. stepenom) ili uzrast ≥75 godina (6 od 34 pacijenata [17,6%] sa 1</w:t>
      </w:r>
      <w:r w:rsidRPr="0082654D">
        <w:rPr>
          <w:sz w:val="22"/>
          <w:szCs w:val="22"/>
          <w:lang w:val="hr-HR"/>
        </w:rPr>
        <w:noBreakHyphen/>
        <w:t>2. stepenom, zatim 19 od 34 pacijenata [55,9%] sa 3</w:t>
      </w:r>
      <w:r w:rsidRPr="0082654D">
        <w:rPr>
          <w:sz w:val="22"/>
          <w:szCs w:val="22"/>
          <w:lang w:val="hr-HR"/>
        </w:rPr>
        <w:noBreakHyphen/>
        <w:t>4. stepenom).</w:t>
      </w:r>
    </w:p>
    <w:p w14:paraId="61EE9ACD" w14:textId="77777777" w:rsidR="0082654D" w:rsidRPr="0082654D" w:rsidRDefault="0082654D" w:rsidP="0082654D">
      <w:pPr>
        <w:shd w:val="clear" w:color="auto" w:fill="FFFFFF" w:themeFill="background1"/>
        <w:rPr>
          <w:sz w:val="22"/>
          <w:szCs w:val="22"/>
          <w:lang w:val="hr-HR"/>
        </w:rPr>
      </w:pPr>
    </w:p>
    <w:p w14:paraId="19B58E34" w14:textId="77777777" w:rsidR="0082654D" w:rsidRPr="0082654D" w:rsidRDefault="0082654D" w:rsidP="009A54B4">
      <w:pPr>
        <w:shd w:val="clear" w:color="auto" w:fill="FFFFFF" w:themeFill="background1"/>
        <w:jc w:val="both"/>
        <w:rPr>
          <w:sz w:val="22"/>
          <w:szCs w:val="22"/>
          <w:lang w:val="hr-HR"/>
        </w:rPr>
      </w:pPr>
      <w:r w:rsidRPr="0082654D">
        <w:rPr>
          <w:sz w:val="22"/>
          <w:szCs w:val="22"/>
          <w:lang w:val="hr-HR"/>
        </w:rPr>
        <w:t xml:space="preserve">S tim da se hiperglikemija može pojaviti sa brzim nastupom nakon početka </w:t>
      </w:r>
      <w:r w:rsidR="00B66BE0">
        <w:rPr>
          <w:sz w:val="22"/>
          <w:szCs w:val="22"/>
          <w:lang w:val="hr-HR"/>
        </w:rPr>
        <w:t>liječenj</w:t>
      </w:r>
      <w:r w:rsidRPr="0082654D">
        <w:rPr>
          <w:sz w:val="22"/>
          <w:szCs w:val="22"/>
          <w:lang w:val="hr-HR"/>
        </w:rPr>
        <w:t>a, preporučuje se da se učestalo sprovodi samopraćenje tokom prve 4 </w:t>
      </w:r>
      <w:r w:rsidR="009A54B4">
        <w:rPr>
          <w:sz w:val="22"/>
          <w:szCs w:val="22"/>
          <w:lang w:val="hr-HR"/>
        </w:rPr>
        <w:t>nedjel</w:t>
      </w:r>
      <w:r w:rsidRPr="0082654D">
        <w:rPr>
          <w:sz w:val="22"/>
          <w:szCs w:val="22"/>
          <w:lang w:val="hr-HR"/>
        </w:rPr>
        <w:t>je, a naročito u prve 2 </w:t>
      </w:r>
      <w:r w:rsidR="009A54B4">
        <w:rPr>
          <w:sz w:val="22"/>
          <w:szCs w:val="22"/>
          <w:lang w:val="hr-HR"/>
        </w:rPr>
        <w:t>nedjel</w:t>
      </w:r>
      <w:r w:rsidRPr="0082654D">
        <w:rPr>
          <w:sz w:val="22"/>
          <w:szCs w:val="22"/>
          <w:lang w:val="hr-HR"/>
        </w:rPr>
        <w:t xml:space="preserve">je </w:t>
      </w:r>
      <w:r w:rsidR="00B66BE0">
        <w:rPr>
          <w:sz w:val="22"/>
          <w:szCs w:val="22"/>
          <w:lang w:val="hr-HR"/>
        </w:rPr>
        <w:t>liječenj</w:t>
      </w:r>
      <w:r w:rsidRPr="0082654D">
        <w:rPr>
          <w:sz w:val="22"/>
          <w:szCs w:val="22"/>
          <w:lang w:val="hr-HR"/>
        </w:rPr>
        <w:t>a, prema kliničkim indikacijama. Specifičan raspored za praćenje glukoze natašte je preporučen u Tabeli 6.</w:t>
      </w:r>
    </w:p>
    <w:p w14:paraId="651D31A9" w14:textId="77777777" w:rsidR="0082654D" w:rsidRPr="0082654D" w:rsidRDefault="0082654D" w:rsidP="009A54B4">
      <w:pPr>
        <w:shd w:val="clear" w:color="auto" w:fill="FFFFFF" w:themeFill="background1"/>
        <w:jc w:val="both"/>
        <w:rPr>
          <w:sz w:val="22"/>
          <w:szCs w:val="22"/>
          <w:lang w:val="hr-HR"/>
        </w:rPr>
      </w:pPr>
    </w:p>
    <w:p w14:paraId="2C071941" w14:textId="77777777" w:rsidR="0082654D" w:rsidRPr="0082654D" w:rsidRDefault="0082654D" w:rsidP="009A54B4">
      <w:pPr>
        <w:shd w:val="clear" w:color="auto" w:fill="FFFFFF" w:themeFill="background1"/>
        <w:jc w:val="both"/>
        <w:rPr>
          <w:sz w:val="22"/>
          <w:szCs w:val="22"/>
          <w:lang w:val="hr-HR"/>
        </w:rPr>
      </w:pPr>
      <w:r w:rsidRPr="0082654D">
        <w:rPr>
          <w:sz w:val="22"/>
          <w:szCs w:val="22"/>
          <w:lang w:val="hr-HR"/>
        </w:rPr>
        <w:t>U kliničkom ispitivanju faze III, pacijenti</w:t>
      </w:r>
      <w:r w:rsidR="00A0017D">
        <w:rPr>
          <w:sz w:val="22"/>
          <w:szCs w:val="22"/>
          <w:lang w:val="hr-HR"/>
        </w:rPr>
        <w:t>ma</w:t>
      </w:r>
      <w:r w:rsidRPr="0082654D">
        <w:rPr>
          <w:sz w:val="22"/>
          <w:szCs w:val="22"/>
          <w:lang w:val="hr-HR"/>
        </w:rPr>
        <w:t xml:space="preserve"> sa dijabetesom u anamnezi intenzivira</w:t>
      </w:r>
      <w:r w:rsidR="00A0017D">
        <w:rPr>
          <w:sz w:val="22"/>
          <w:szCs w:val="22"/>
          <w:lang w:val="hr-HR"/>
        </w:rPr>
        <w:t>na</w:t>
      </w:r>
      <w:r w:rsidRPr="0082654D">
        <w:rPr>
          <w:sz w:val="22"/>
          <w:szCs w:val="22"/>
          <w:lang w:val="hr-HR"/>
        </w:rPr>
        <w:t xml:space="preserve"> </w:t>
      </w:r>
      <w:r w:rsidR="00A0017D">
        <w:rPr>
          <w:sz w:val="22"/>
          <w:szCs w:val="22"/>
          <w:lang w:val="hr-HR"/>
        </w:rPr>
        <w:t xml:space="preserve">je primjena </w:t>
      </w:r>
      <w:r w:rsidRPr="0082654D">
        <w:rPr>
          <w:sz w:val="22"/>
          <w:szCs w:val="22"/>
          <w:lang w:val="hr-HR"/>
        </w:rPr>
        <w:t xml:space="preserve">antidijabetika za </w:t>
      </w:r>
      <w:r w:rsidR="00A26CAB">
        <w:rPr>
          <w:sz w:val="22"/>
          <w:szCs w:val="22"/>
          <w:lang w:val="hr-HR"/>
        </w:rPr>
        <w:t>vrijem</w:t>
      </w:r>
      <w:r w:rsidRPr="0082654D">
        <w:rPr>
          <w:sz w:val="22"/>
          <w:szCs w:val="22"/>
          <w:lang w:val="hr-HR"/>
        </w:rPr>
        <w:t xml:space="preserve">e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w:t>
      </w:r>
    </w:p>
    <w:p w14:paraId="2760ABEE" w14:textId="77777777" w:rsidR="0082654D" w:rsidRPr="0082654D" w:rsidRDefault="0082654D" w:rsidP="009A54B4">
      <w:pPr>
        <w:shd w:val="clear" w:color="auto" w:fill="FFFFFF" w:themeFill="background1"/>
        <w:jc w:val="both"/>
        <w:rPr>
          <w:sz w:val="22"/>
          <w:szCs w:val="22"/>
          <w:lang w:val="hr-HR"/>
        </w:rPr>
      </w:pPr>
    </w:p>
    <w:p w14:paraId="42B090B8" w14:textId="5B93CEFC" w:rsidR="0082654D" w:rsidRDefault="0082654D" w:rsidP="009A54B4">
      <w:pPr>
        <w:shd w:val="clear" w:color="auto" w:fill="FFFFFF" w:themeFill="background1"/>
        <w:jc w:val="both"/>
        <w:rPr>
          <w:sz w:val="22"/>
          <w:szCs w:val="22"/>
          <w:lang w:val="hr-HR"/>
        </w:rPr>
      </w:pPr>
      <w:r w:rsidRPr="0082654D">
        <w:rPr>
          <w:sz w:val="22"/>
          <w:szCs w:val="22"/>
          <w:lang w:val="hr-HR"/>
        </w:rPr>
        <w:t xml:space="preserve">Sve pacijente je potrebno upoznati sa </w:t>
      </w:r>
      <w:r w:rsidR="00065093">
        <w:rPr>
          <w:sz w:val="22"/>
          <w:szCs w:val="22"/>
          <w:lang w:val="hr-HR"/>
        </w:rPr>
        <w:t>promjen</w:t>
      </w:r>
      <w:r w:rsidRPr="0082654D">
        <w:rPr>
          <w:sz w:val="22"/>
          <w:szCs w:val="22"/>
          <w:lang w:val="hr-HR"/>
        </w:rPr>
        <w:t>ama načina života koje mogu da smanje hiperglikemiju (npr. ograničenja u ishrani</w:t>
      </w:r>
      <w:r w:rsidR="002A5E87" w:rsidRPr="002A5E87">
        <w:t xml:space="preserve"> </w:t>
      </w:r>
      <w:r w:rsidR="002A5E87" w:rsidRPr="002A5E87">
        <w:rPr>
          <w:sz w:val="22"/>
          <w:szCs w:val="22"/>
          <w:lang w:val="hr-HR"/>
        </w:rPr>
        <w:t>i fizička aktivnost</w:t>
      </w:r>
      <w:r w:rsidRPr="0082654D">
        <w:rPr>
          <w:sz w:val="22"/>
          <w:szCs w:val="22"/>
          <w:lang w:val="hr-HR"/>
        </w:rPr>
        <w:t>).</w:t>
      </w:r>
    </w:p>
    <w:p w14:paraId="507875A2" w14:textId="77777777" w:rsidR="00CA7D42" w:rsidRPr="0082654D" w:rsidRDefault="00CA7D42" w:rsidP="009A54B4">
      <w:pPr>
        <w:shd w:val="clear" w:color="auto" w:fill="FFFFFF" w:themeFill="background1"/>
        <w:jc w:val="both"/>
        <w:rPr>
          <w:sz w:val="22"/>
          <w:szCs w:val="22"/>
          <w:lang w:val="hr-HR"/>
        </w:rPr>
      </w:pPr>
    </w:p>
    <w:p w14:paraId="1E510873" w14:textId="77777777" w:rsidR="0082654D" w:rsidRPr="0082654D" w:rsidRDefault="0082654D" w:rsidP="007D3283">
      <w:pPr>
        <w:keepNext/>
        <w:shd w:val="clear" w:color="auto" w:fill="FFFFFF" w:themeFill="background1"/>
        <w:rPr>
          <w:sz w:val="22"/>
          <w:szCs w:val="22"/>
          <w:lang w:val="hr-HR"/>
        </w:rPr>
      </w:pPr>
      <w:r w:rsidRPr="0082654D">
        <w:rPr>
          <w:b/>
          <w:sz w:val="22"/>
          <w:szCs w:val="22"/>
          <w:lang w:val="hr-HR"/>
        </w:rPr>
        <w:lastRenderedPageBreak/>
        <w:t>Tabela 6</w:t>
      </w:r>
      <w:r w:rsidRPr="0082654D">
        <w:rPr>
          <w:b/>
          <w:sz w:val="22"/>
          <w:szCs w:val="22"/>
          <w:lang w:val="hr-HR"/>
        </w:rPr>
        <w:tab/>
        <w:t>Raspored praćenja glukoze natašte</w:t>
      </w:r>
    </w:p>
    <w:p w14:paraId="25BDE1D2" w14:textId="77777777" w:rsidR="0082654D" w:rsidRPr="0082654D" w:rsidRDefault="0082654D" w:rsidP="0082654D">
      <w:pPr>
        <w:keepNext/>
        <w:shd w:val="clear" w:color="auto" w:fill="FFFFFF" w:themeFill="background1"/>
        <w:rPr>
          <w:sz w:val="22"/>
          <w:szCs w:val="22"/>
          <w:lang w:val="hr-HR"/>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3547"/>
        <w:gridCol w:w="3383"/>
      </w:tblGrid>
      <w:tr w:rsidR="0082654D" w:rsidRPr="0082654D" w14:paraId="1922DC42" w14:textId="77777777" w:rsidTr="00295316">
        <w:trPr>
          <w:cantSplit/>
          <w:trHeight w:val="945"/>
        </w:trPr>
        <w:tc>
          <w:tcPr>
            <w:tcW w:w="2115" w:type="dxa"/>
            <w:tcBorders>
              <w:top w:val="single" w:sz="6" w:space="0" w:color="auto"/>
              <w:left w:val="single" w:sz="6" w:space="0" w:color="auto"/>
              <w:bottom w:val="nil"/>
              <w:right w:val="nil"/>
            </w:tcBorders>
            <w:shd w:val="clear" w:color="auto" w:fill="auto"/>
            <w:hideMark/>
          </w:tcPr>
          <w:p w14:paraId="008CF80E" w14:textId="77777777" w:rsidR="0082654D" w:rsidRPr="0082654D" w:rsidRDefault="0082654D" w:rsidP="00C10B32">
            <w:pPr>
              <w:keepNext/>
              <w:shd w:val="clear" w:color="auto" w:fill="FFFFFF" w:themeFill="background1"/>
              <w:ind w:right="-41"/>
              <w:textAlignment w:val="baseline"/>
              <w:rPr>
                <w:sz w:val="22"/>
                <w:szCs w:val="22"/>
                <w:lang w:val="hr-HR" w:eastAsia="en-GB"/>
              </w:rPr>
            </w:pPr>
          </w:p>
        </w:tc>
        <w:tc>
          <w:tcPr>
            <w:tcW w:w="3547" w:type="dxa"/>
            <w:tcBorders>
              <w:top w:val="outset" w:sz="6" w:space="0" w:color="auto"/>
              <w:left w:val="outset" w:sz="6" w:space="0" w:color="auto"/>
              <w:bottom w:val="outset" w:sz="6" w:space="0" w:color="auto"/>
              <w:right w:val="outset" w:sz="6" w:space="0" w:color="auto"/>
            </w:tcBorders>
            <w:shd w:val="clear" w:color="auto" w:fill="auto"/>
            <w:hideMark/>
          </w:tcPr>
          <w:p w14:paraId="3B14DE7E"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b/>
                <w:bCs/>
                <w:sz w:val="22"/>
                <w:szCs w:val="22"/>
                <w:lang w:val="hr-HR" w:eastAsia="en-GB"/>
              </w:rPr>
              <w:t xml:space="preserve">Preporučeni raspored za praćenje </w:t>
            </w:r>
            <w:r w:rsidR="002A51AB">
              <w:rPr>
                <w:b/>
                <w:bCs/>
                <w:sz w:val="22"/>
                <w:szCs w:val="22"/>
                <w:lang w:val="hr-HR" w:eastAsia="en-GB"/>
              </w:rPr>
              <w:t>vrijednost</w:t>
            </w:r>
            <w:r w:rsidRPr="0082654D">
              <w:rPr>
                <w:b/>
                <w:bCs/>
                <w:sz w:val="22"/>
                <w:szCs w:val="22"/>
                <w:lang w:val="hr-HR" w:eastAsia="en-GB"/>
              </w:rPr>
              <w:t>i glukoze natašte i HbA</w:t>
            </w:r>
            <w:r w:rsidRPr="0082654D">
              <w:rPr>
                <w:b/>
                <w:bCs/>
                <w:sz w:val="22"/>
                <w:szCs w:val="22"/>
                <w:vertAlign w:val="subscript"/>
                <w:lang w:val="hr-HR" w:eastAsia="en-GB"/>
              </w:rPr>
              <w:t>1c</w:t>
            </w:r>
            <w:r w:rsidRPr="0082654D">
              <w:rPr>
                <w:b/>
                <w:bCs/>
                <w:sz w:val="22"/>
                <w:szCs w:val="22"/>
                <w:lang w:val="hr-HR" w:eastAsia="en-GB"/>
              </w:rPr>
              <w:t xml:space="preserve"> kod svih pacijenata l</w:t>
            </w:r>
            <w:r w:rsidR="00295316">
              <w:rPr>
                <w:b/>
                <w:bCs/>
                <w:sz w:val="22"/>
                <w:szCs w:val="22"/>
                <w:lang w:val="hr-HR" w:eastAsia="en-GB"/>
              </w:rPr>
              <w:t>ij</w:t>
            </w:r>
            <w:r w:rsidRPr="0082654D">
              <w:rPr>
                <w:b/>
                <w:bCs/>
                <w:sz w:val="22"/>
                <w:szCs w:val="22"/>
                <w:lang w:val="hr-HR" w:eastAsia="en-GB"/>
              </w:rPr>
              <w:t xml:space="preserve">ečenih </w:t>
            </w:r>
            <w:r w:rsidR="00C10B32">
              <w:rPr>
                <w:b/>
                <w:bCs/>
                <w:sz w:val="22"/>
                <w:szCs w:val="22"/>
                <w:lang w:val="hr-HR" w:eastAsia="en-GB"/>
              </w:rPr>
              <w:t>lijek</w:t>
            </w:r>
            <w:r w:rsidRPr="0082654D">
              <w:rPr>
                <w:b/>
                <w:bCs/>
                <w:sz w:val="22"/>
                <w:szCs w:val="22"/>
                <w:lang w:val="hr-HR" w:eastAsia="en-GB"/>
              </w:rPr>
              <w:t>om Piqray</w:t>
            </w:r>
          </w:p>
        </w:tc>
        <w:tc>
          <w:tcPr>
            <w:tcW w:w="3383" w:type="dxa"/>
            <w:tcBorders>
              <w:top w:val="single" w:sz="6" w:space="0" w:color="auto"/>
              <w:left w:val="nil"/>
              <w:bottom w:val="single" w:sz="6" w:space="0" w:color="auto"/>
              <w:right w:val="single" w:sz="6" w:space="0" w:color="auto"/>
            </w:tcBorders>
            <w:shd w:val="clear" w:color="auto" w:fill="auto"/>
            <w:hideMark/>
          </w:tcPr>
          <w:p w14:paraId="2AA86476" w14:textId="77777777" w:rsidR="0082654D" w:rsidRPr="0082654D" w:rsidRDefault="0082654D" w:rsidP="00A0017D">
            <w:pPr>
              <w:keepNext/>
              <w:shd w:val="clear" w:color="auto" w:fill="FFFFFF" w:themeFill="background1"/>
              <w:textAlignment w:val="baseline"/>
              <w:rPr>
                <w:sz w:val="22"/>
                <w:szCs w:val="22"/>
                <w:lang w:val="hr-HR" w:eastAsia="en-GB"/>
              </w:rPr>
            </w:pPr>
            <w:r w:rsidRPr="0082654D">
              <w:rPr>
                <w:b/>
                <w:bCs/>
                <w:sz w:val="22"/>
                <w:szCs w:val="22"/>
                <w:lang w:val="hr-HR" w:eastAsia="en-GB"/>
              </w:rPr>
              <w:t xml:space="preserve">Preporučeni raspored praćenja </w:t>
            </w:r>
            <w:r w:rsidR="002A51AB">
              <w:rPr>
                <w:b/>
                <w:bCs/>
                <w:sz w:val="22"/>
                <w:szCs w:val="22"/>
                <w:lang w:val="hr-HR" w:eastAsia="en-GB"/>
              </w:rPr>
              <w:t>vrijednost</w:t>
            </w:r>
            <w:r w:rsidRPr="0082654D">
              <w:rPr>
                <w:b/>
                <w:bCs/>
                <w:sz w:val="22"/>
                <w:szCs w:val="22"/>
                <w:lang w:val="hr-HR" w:eastAsia="en-GB"/>
              </w:rPr>
              <w:t>i glukoze natašte i HbA</w:t>
            </w:r>
            <w:r w:rsidRPr="0082654D">
              <w:rPr>
                <w:b/>
                <w:bCs/>
                <w:sz w:val="22"/>
                <w:szCs w:val="22"/>
                <w:vertAlign w:val="subscript"/>
                <w:lang w:val="hr-HR" w:eastAsia="en-GB"/>
              </w:rPr>
              <w:t>1c</w:t>
            </w:r>
            <w:r w:rsidRPr="0082654D">
              <w:rPr>
                <w:b/>
                <w:bCs/>
                <w:sz w:val="22"/>
                <w:szCs w:val="22"/>
                <w:lang w:val="hr-HR" w:eastAsia="en-GB"/>
              </w:rPr>
              <w:t xml:space="preserve"> kod pacijenata sa dijabetesom, preddijabetesom, BMI≥30 ili uzrasta ≥75 godina </w:t>
            </w:r>
            <w:r w:rsidR="00295316">
              <w:rPr>
                <w:b/>
                <w:bCs/>
                <w:sz w:val="22"/>
                <w:szCs w:val="22"/>
                <w:lang w:val="hr-HR" w:eastAsia="en-GB"/>
              </w:rPr>
              <w:t>liječeni</w:t>
            </w:r>
            <w:r w:rsidRPr="0082654D">
              <w:rPr>
                <w:b/>
                <w:bCs/>
                <w:sz w:val="22"/>
                <w:szCs w:val="22"/>
                <w:lang w:val="hr-HR" w:eastAsia="en-GB"/>
              </w:rPr>
              <w:t xml:space="preserve">h </w:t>
            </w:r>
            <w:r w:rsidR="00C10B32">
              <w:rPr>
                <w:b/>
                <w:bCs/>
                <w:sz w:val="22"/>
                <w:szCs w:val="22"/>
                <w:lang w:val="hr-HR" w:eastAsia="en-GB"/>
              </w:rPr>
              <w:t>lijek</w:t>
            </w:r>
            <w:r w:rsidRPr="0082654D">
              <w:rPr>
                <w:b/>
                <w:bCs/>
                <w:sz w:val="22"/>
                <w:szCs w:val="22"/>
                <w:lang w:val="hr-HR" w:eastAsia="en-GB"/>
              </w:rPr>
              <w:t>om Piqray</w:t>
            </w:r>
          </w:p>
        </w:tc>
      </w:tr>
      <w:tr w:rsidR="0082654D" w:rsidRPr="0082654D" w14:paraId="61AE11EB" w14:textId="77777777" w:rsidTr="00C10B32">
        <w:trPr>
          <w:cantSplit/>
          <w:trHeight w:val="703"/>
        </w:trPr>
        <w:tc>
          <w:tcPr>
            <w:tcW w:w="2115" w:type="dxa"/>
            <w:tcBorders>
              <w:top w:val="outset" w:sz="6" w:space="0" w:color="auto"/>
              <w:left w:val="outset" w:sz="6" w:space="0" w:color="auto"/>
              <w:bottom w:val="outset" w:sz="6" w:space="0" w:color="auto"/>
              <w:right w:val="outset" w:sz="6" w:space="0" w:color="auto"/>
            </w:tcBorders>
            <w:shd w:val="clear" w:color="auto" w:fill="auto"/>
            <w:hideMark/>
          </w:tcPr>
          <w:p w14:paraId="69689E33"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b/>
                <w:bCs/>
                <w:sz w:val="22"/>
                <w:szCs w:val="22"/>
                <w:lang w:val="hr-HR" w:eastAsia="en-GB"/>
              </w:rPr>
              <w:t>Na skriningu, pr</w:t>
            </w:r>
            <w:r w:rsidR="00295316">
              <w:rPr>
                <w:b/>
                <w:bCs/>
                <w:sz w:val="22"/>
                <w:szCs w:val="22"/>
                <w:lang w:val="hr-HR" w:eastAsia="en-GB"/>
              </w:rPr>
              <w:t>ij</w:t>
            </w:r>
            <w:r w:rsidRPr="0082654D">
              <w:rPr>
                <w:b/>
                <w:bCs/>
                <w:sz w:val="22"/>
                <w:szCs w:val="22"/>
                <w:lang w:val="hr-HR" w:eastAsia="en-GB"/>
              </w:rPr>
              <w:t xml:space="preserve">e početka </w:t>
            </w:r>
            <w:r w:rsidR="00B66BE0">
              <w:rPr>
                <w:b/>
                <w:bCs/>
                <w:sz w:val="22"/>
                <w:szCs w:val="22"/>
                <w:lang w:val="hr-HR" w:eastAsia="en-GB"/>
              </w:rPr>
              <w:t>liječenj</w:t>
            </w:r>
            <w:r w:rsidRPr="0082654D">
              <w:rPr>
                <w:b/>
                <w:bCs/>
                <w:sz w:val="22"/>
                <w:szCs w:val="22"/>
                <w:lang w:val="hr-HR" w:eastAsia="en-GB"/>
              </w:rPr>
              <w:t xml:space="preserve">a </w:t>
            </w:r>
            <w:r w:rsidR="00C10B32">
              <w:rPr>
                <w:b/>
                <w:bCs/>
                <w:sz w:val="22"/>
                <w:szCs w:val="22"/>
                <w:lang w:val="hr-HR" w:eastAsia="en-GB"/>
              </w:rPr>
              <w:t>lijek</w:t>
            </w:r>
            <w:r w:rsidRPr="0082654D">
              <w:rPr>
                <w:b/>
                <w:bCs/>
                <w:sz w:val="22"/>
                <w:szCs w:val="22"/>
                <w:lang w:val="hr-HR" w:eastAsia="en-GB"/>
              </w:rPr>
              <w:t>om Piqray</w:t>
            </w:r>
          </w:p>
        </w:tc>
        <w:tc>
          <w:tcPr>
            <w:tcW w:w="6930" w:type="dxa"/>
            <w:gridSpan w:val="2"/>
            <w:tcBorders>
              <w:top w:val="nil"/>
              <w:left w:val="nil"/>
              <w:bottom w:val="single" w:sz="6" w:space="0" w:color="auto"/>
              <w:right w:val="single" w:sz="6" w:space="0" w:color="auto"/>
            </w:tcBorders>
            <w:shd w:val="clear" w:color="auto" w:fill="auto"/>
            <w:hideMark/>
          </w:tcPr>
          <w:p w14:paraId="6D89FCA4"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sz w:val="22"/>
                <w:szCs w:val="22"/>
                <w:lang w:val="hr-HR" w:eastAsia="en-GB"/>
              </w:rPr>
              <w:t xml:space="preserve">Izvršiti ispitivanje glukoze u plazmi natašte </w:t>
            </w:r>
            <w:r w:rsidRPr="0082654D">
              <w:rPr>
                <w:sz w:val="22"/>
                <w:szCs w:val="22"/>
                <w:lang w:val="hr-HR"/>
              </w:rPr>
              <w:t xml:space="preserve">(engl. </w:t>
            </w:r>
            <w:r w:rsidRPr="0082654D">
              <w:rPr>
                <w:i/>
                <w:sz w:val="22"/>
                <w:szCs w:val="22"/>
                <w:lang w:val="hr-HR"/>
              </w:rPr>
              <w:t>fasting plasma glucose</w:t>
            </w:r>
            <w:r w:rsidRPr="0082654D">
              <w:rPr>
                <w:sz w:val="22"/>
                <w:szCs w:val="22"/>
                <w:lang w:val="hr-HR" w:eastAsia="en-GB"/>
              </w:rPr>
              <w:t>), HbA1c i optimizovati nivo glukoze u krvi kod pacijen</w:t>
            </w:r>
            <w:r w:rsidR="00A0017D">
              <w:rPr>
                <w:sz w:val="22"/>
                <w:szCs w:val="22"/>
                <w:lang w:val="hr-HR" w:eastAsia="en-GB"/>
              </w:rPr>
              <w:t>a</w:t>
            </w:r>
            <w:r w:rsidRPr="0082654D">
              <w:rPr>
                <w:sz w:val="22"/>
                <w:szCs w:val="22"/>
                <w:lang w:val="hr-HR" w:eastAsia="en-GB"/>
              </w:rPr>
              <w:t>ta (</w:t>
            </w:r>
            <w:r w:rsidR="00C21CF1">
              <w:rPr>
                <w:sz w:val="22"/>
                <w:szCs w:val="22"/>
                <w:lang w:val="hr-HR" w:eastAsia="en-GB"/>
              </w:rPr>
              <w:t>vidjet</w:t>
            </w:r>
            <w:r w:rsidRPr="0082654D">
              <w:rPr>
                <w:sz w:val="22"/>
                <w:szCs w:val="22"/>
                <w:lang w:val="hr-HR" w:eastAsia="en-GB"/>
              </w:rPr>
              <w:t>i Tabelu 2).</w:t>
            </w:r>
          </w:p>
        </w:tc>
      </w:tr>
      <w:tr w:rsidR="0082654D" w:rsidRPr="0082654D" w14:paraId="53A6F8ED" w14:textId="77777777" w:rsidTr="00295316">
        <w:trPr>
          <w:cantSplit/>
          <w:trHeight w:val="642"/>
        </w:trPr>
        <w:tc>
          <w:tcPr>
            <w:tcW w:w="2115" w:type="dxa"/>
            <w:vMerge w:val="restart"/>
            <w:tcBorders>
              <w:top w:val="nil"/>
              <w:left w:val="single" w:sz="6" w:space="0" w:color="auto"/>
              <w:right w:val="single" w:sz="6" w:space="0" w:color="auto"/>
            </w:tcBorders>
            <w:shd w:val="clear" w:color="auto" w:fill="auto"/>
          </w:tcPr>
          <w:p w14:paraId="6DF24567" w14:textId="77777777" w:rsidR="0082654D" w:rsidRPr="0082654D" w:rsidRDefault="0082654D" w:rsidP="00C10B32">
            <w:pPr>
              <w:keepNext/>
              <w:shd w:val="clear" w:color="auto" w:fill="FFFFFF" w:themeFill="background1"/>
              <w:ind w:right="-41"/>
              <w:textAlignment w:val="baseline"/>
              <w:rPr>
                <w:b/>
                <w:bCs/>
                <w:sz w:val="22"/>
                <w:szCs w:val="22"/>
                <w:lang w:val="hr-HR" w:eastAsia="en-GB"/>
              </w:rPr>
            </w:pPr>
            <w:r w:rsidRPr="0082654D">
              <w:rPr>
                <w:b/>
                <w:bCs/>
                <w:sz w:val="22"/>
                <w:szCs w:val="22"/>
                <w:lang w:val="hr-HR" w:eastAsia="en-GB"/>
              </w:rPr>
              <w:t xml:space="preserve">Nakon početka </w:t>
            </w:r>
            <w:r w:rsidR="00B66BE0">
              <w:rPr>
                <w:b/>
                <w:bCs/>
                <w:sz w:val="22"/>
                <w:szCs w:val="22"/>
                <w:lang w:val="hr-HR" w:eastAsia="en-GB"/>
              </w:rPr>
              <w:t>liječenj</w:t>
            </w:r>
            <w:r w:rsidRPr="0082654D">
              <w:rPr>
                <w:b/>
                <w:bCs/>
                <w:sz w:val="22"/>
                <w:szCs w:val="22"/>
                <w:lang w:val="hr-HR" w:eastAsia="en-GB"/>
              </w:rPr>
              <w:t xml:space="preserve">a </w:t>
            </w:r>
            <w:r w:rsidR="00C10B32">
              <w:rPr>
                <w:b/>
                <w:bCs/>
                <w:sz w:val="22"/>
                <w:szCs w:val="22"/>
                <w:lang w:val="hr-HR" w:eastAsia="en-GB"/>
              </w:rPr>
              <w:t>lijek</w:t>
            </w:r>
            <w:r w:rsidRPr="0082654D">
              <w:rPr>
                <w:b/>
                <w:bCs/>
                <w:sz w:val="22"/>
                <w:szCs w:val="22"/>
                <w:lang w:val="hr-HR" w:eastAsia="en-GB"/>
              </w:rPr>
              <w:t>om Piqray</w:t>
            </w:r>
          </w:p>
        </w:tc>
        <w:tc>
          <w:tcPr>
            <w:tcW w:w="6930" w:type="dxa"/>
            <w:gridSpan w:val="2"/>
            <w:tcBorders>
              <w:top w:val="nil"/>
              <w:left w:val="nil"/>
              <w:bottom w:val="single" w:sz="6" w:space="0" w:color="auto"/>
              <w:right w:val="single" w:sz="6" w:space="0" w:color="auto"/>
            </w:tcBorders>
            <w:shd w:val="clear" w:color="auto" w:fill="auto"/>
          </w:tcPr>
          <w:p w14:paraId="025D62E1" w14:textId="77777777" w:rsidR="0082654D" w:rsidRPr="0082654D" w:rsidRDefault="0082654D" w:rsidP="00C10B32">
            <w:pPr>
              <w:keepNext/>
              <w:shd w:val="clear" w:color="auto" w:fill="FFFFFF" w:themeFill="background1"/>
              <w:textAlignment w:val="baseline"/>
              <w:rPr>
                <w:sz w:val="22"/>
                <w:szCs w:val="22"/>
                <w:lang w:val="hr-HR" w:eastAsia="en-GB"/>
              </w:rPr>
            </w:pPr>
            <w:r w:rsidRPr="0082654D">
              <w:rPr>
                <w:sz w:val="22"/>
                <w:szCs w:val="22"/>
                <w:lang w:val="hr-HR" w:eastAsia="en-GB"/>
              </w:rPr>
              <w:t xml:space="preserve">Pratiti </w:t>
            </w:r>
            <w:r w:rsidR="002A51AB">
              <w:rPr>
                <w:sz w:val="22"/>
                <w:szCs w:val="22"/>
                <w:lang w:val="hr-HR" w:eastAsia="en-GB"/>
              </w:rPr>
              <w:t>vrijednost</w:t>
            </w:r>
            <w:r w:rsidRPr="0082654D">
              <w:rPr>
                <w:sz w:val="22"/>
                <w:szCs w:val="22"/>
                <w:lang w:val="hr-HR" w:eastAsia="en-GB"/>
              </w:rPr>
              <w:t xml:space="preserve"> glukoze u plazmi natašte u 1, 2, 4, 6. i 8. </w:t>
            </w:r>
            <w:r w:rsidR="009A54B4">
              <w:rPr>
                <w:sz w:val="22"/>
                <w:szCs w:val="22"/>
                <w:lang w:val="hr-HR" w:eastAsia="en-GB"/>
              </w:rPr>
              <w:t>nedjel</w:t>
            </w:r>
            <w:r w:rsidRPr="0082654D">
              <w:rPr>
                <w:sz w:val="22"/>
                <w:szCs w:val="22"/>
                <w:lang w:val="hr-HR" w:eastAsia="en-GB"/>
              </w:rPr>
              <w:t xml:space="preserve">ji nakon početka </w:t>
            </w:r>
            <w:r w:rsidR="00B66BE0">
              <w:rPr>
                <w:sz w:val="22"/>
                <w:szCs w:val="22"/>
                <w:lang w:val="hr-HR" w:eastAsia="en-GB"/>
              </w:rPr>
              <w:t>liječenj</w:t>
            </w:r>
            <w:r w:rsidRPr="0082654D">
              <w:rPr>
                <w:sz w:val="22"/>
                <w:szCs w:val="22"/>
                <w:lang w:val="hr-HR" w:eastAsia="en-GB"/>
              </w:rPr>
              <w:t xml:space="preserve">a i zatim svaki </w:t>
            </w:r>
            <w:r w:rsidR="00051A8C">
              <w:rPr>
                <w:sz w:val="22"/>
                <w:szCs w:val="22"/>
                <w:lang w:val="hr-HR" w:eastAsia="en-GB"/>
              </w:rPr>
              <w:t>mjesec</w:t>
            </w:r>
            <w:r w:rsidRPr="0082654D">
              <w:rPr>
                <w:sz w:val="22"/>
                <w:szCs w:val="22"/>
                <w:lang w:val="hr-HR" w:eastAsia="en-GB"/>
              </w:rPr>
              <w:t xml:space="preserve"> nakon toga.</w:t>
            </w:r>
          </w:p>
        </w:tc>
      </w:tr>
      <w:tr w:rsidR="0082654D" w:rsidRPr="0082654D" w14:paraId="088FB586" w14:textId="77777777" w:rsidTr="00295316">
        <w:trPr>
          <w:cantSplit/>
          <w:trHeight w:val="1260"/>
        </w:trPr>
        <w:tc>
          <w:tcPr>
            <w:tcW w:w="2115" w:type="dxa"/>
            <w:vMerge/>
            <w:tcBorders>
              <w:left w:val="single" w:sz="6" w:space="0" w:color="auto"/>
              <w:right w:val="single" w:sz="6" w:space="0" w:color="auto"/>
            </w:tcBorders>
            <w:shd w:val="clear" w:color="auto" w:fill="auto"/>
            <w:hideMark/>
          </w:tcPr>
          <w:p w14:paraId="47A875DD" w14:textId="77777777" w:rsidR="0082654D" w:rsidRPr="0082654D" w:rsidRDefault="0082654D" w:rsidP="00C10B32">
            <w:pPr>
              <w:keepNext/>
              <w:shd w:val="clear" w:color="auto" w:fill="FFFFFF" w:themeFill="background1"/>
              <w:ind w:right="-41"/>
              <w:textAlignment w:val="baseline"/>
              <w:rPr>
                <w:sz w:val="22"/>
                <w:szCs w:val="22"/>
                <w:lang w:val="hr-HR" w:eastAsia="en-GB"/>
              </w:rPr>
            </w:pPr>
          </w:p>
        </w:tc>
        <w:tc>
          <w:tcPr>
            <w:tcW w:w="3547" w:type="dxa"/>
            <w:tcBorders>
              <w:top w:val="nil"/>
              <w:left w:val="nil"/>
              <w:bottom w:val="single" w:sz="6" w:space="0" w:color="auto"/>
              <w:right w:val="single" w:sz="6" w:space="0" w:color="auto"/>
            </w:tcBorders>
            <w:shd w:val="clear" w:color="auto" w:fill="auto"/>
            <w:hideMark/>
          </w:tcPr>
          <w:p w14:paraId="24BE80FE" w14:textId="77777777" w:rsidR="0082654D" w:rsidRPr="0082654D" w:rsidRDefault="0082654D" w:rsidP="00C10B32">
            <w:pPr>
              <w:keepNext/>
              <w:shd w:val="clear" w:color="auto" w:fill="FFFFFF" w:themeFill="background1"/>
              <w:ind w:right="21"/>
              <w:textAlignment w:val="baseline"/>
              <w:rPr>
                <w:sz w:val="22"/>
                <w:szCs w:val="22"/>
                <w:lang w:val="hr-HR" w:eastAsia="en-GB"/>
              </w:rPr>
            </w:pPr>
            <w:r w:rsidRPr="0082654D">
              <w:rPr>
                <w:sz w:val="22"/>
                <w:szCs w:val="22"/>
                <w:lang w:val="hr-HR" w:eastAsia="en-GB"/>
              </w:rPr>
              <w:t xml:space="preserve">Redovno pratiti </w:t>
            </w:r>
            <w:r w:rsidR="002A51AB">
              <w:rPr>
                <w:sz w:val="22"/>
                <w:szCs w:val="22"/>
                <w:lang w:val="hr-HR" w:eastAsia="en-GB"/>
              </w:rPr>
              <w:t>vrijednost</w:t>
            </w:r>
            <w:r w:rsidRPr="0082654D">
              <w:rPr>
                <w:sz w:val="22"/>
                <w:szCs w:val="22"/>
                <w:lang w:val="hr-HR" w:eastAsia="en-GB"/>
              </w:rPr>
              <w:t xml:space="preserve"> glukoze natašte (u laboratoriji ili samostalno kod kuće), učestalije tokom prve 4 </w:t>
            </w:r>
            <w:r w:rsidR="009A54B4">
              <w:rPr>
                <w:sz w:val="22"/>
                <w:szCs w:val="22"/>
                <w:lang w:val="hr-HR" w:eastAsia="en-GB"/>
              </w:rPr>
              <w:t>nedjel</w:t>
            </w:r>
            <w:r w:rsidRPr="0082654D">
              <w:rPr>
                <w:sz w:val="22"/>
                <w:szCs w:val="22"/>
                <w:lang w:val="hr-HR" w:eastAsia="en-GB"/>
              </w:rPr>
              <w:t>je, a naročito tokom prve 2 </w:t>
            </w:r>
            <w:r w:rsidR="009A54B4">
              <w:rPr>
                <w:sz w:val="22"/>
                <w:szCs w:val="22"/>
                <w:lang w:val="hr-HR" w:eastAsia="en-GB"/>
              </w:rPr>
              <w:t>nedjel</w:t>
            </w:r>
            <w:r w:rsidRPr="0082654D">
              <w:rPr>
                <w:sz w:val="22"/>
                <w:szCs w:val="22"/>
                <w:lang w:val="hr-HR" w:eastAsia="en-GB"/>
              </w:rPr>
              <w:t xml:space="preserve">je </w:t>
            </w:r>
            <w:r w:rsidR="00B66BE0">
              <w:rPr>
                <w:sz w:val="22"/>
                <w:szCs w:val="22"/>
                <w:lang w:val="hr-HR" w:eastAsia="en-GB"/>
              </w:rPr>
              <w:t>liječenj</w:t>
            </w:r>
            <w:r w:rsidRPr="0082654D">
              <w:rPr>
                <w:sz w:val="22"/>
                <w:szCs w:val="22"/>
                <w:lang w:val="hr-HR" w:eastAsia="en-GB"/>
              </w:rPr>
              <w:t>a, prema uputstvima zdravstvenog radnika*.</w:t>
            </w:r>
          </w:p>
        </w:tc>
        <w:tc>
          <w:tcPr>
            <w:tcW w:w="3383" w:type="dxa"/>
            <w:tcBorders>
              <w:top w:val="nil"/>
              <w:left w:val="nil"/>
              <w:bottom w:val="single" w:sz="6" w:space="0" w:color="auto"/>
              <w:right w:val="single" w:sz="6" w:space="0" w:color="auto"/>
            </w:tcBorders>
            <w:shd w:val="clear" w:color="auto" w:fill="auto"/>
            <w:hideMark/>
          </w:tcPr>
          <w:p w14:paraId="3B6764B8" w14:textId="77777777" w:rsidR="0082654D" w:rsidRPr="0082654D" w:rsidRDefault="0082654D" w:rsidP="00C10B32">
            <w:pPr>
              <w:keepNext/>
              <w:shd w:val="clear" w:color="auto" w:fill="FFFFFF" w:themeFill="background1"/>
              <w:textAlignment w:val="baseline"/>
              <w:rPr>
                <w:sz w:val="22"/>
                <w:szCs w:val="22"/>
                <w:lang w:val="hr-HR" w:eastAsia="en-GB"/>
              </w:rPr>
            </w:pPr>
            <w:r w:rsidRPr="0082654D">
              <w:rPr>
                <w:sz w:val="22"/>
                <w:szCs w:val="22"/>
                <w:lang w:val="hr-HR" w:eastAsia="en-GB"/>
              </w:rPr>
              <w:t>Pratiti glukozu natašte (u laboratoriji ili samostalno kod kuće) svakodnevno tokom prve 2 </w:t>
            </w:r>
            <w:r w:rsidR="009A54B4">
              <w:rPr>
                <w:sz w:val="22"/>
                <w:szCs w:val="22"/>
                <w:lang w:val="hr-HR" w:eastAsia="en-GB"/>
              </w:rPr>
              <w:t>nedjel</w:t>
            </w:r>
            <w:r w:rsidRPr="0082654D">
              <w:rPr>
                <w:sz w:val="22"/>
                <w:szCs w:val="22"/>
                <w:lang w:val="hr-HR" w:eastAsia="en-GB"/>
              </w:rPr>
              <w:t xml:space="preserve">je </w:t>
            </w:r>
            <w:r w:rsidR="00B66BE0">
              <w:rPr>
                <w:sz w:val="22"/>
                <w:szCs w:val="22"/>
                <w:lang w:val="hr-HR" w:eastAsia="en-GB"/>
              </w:rPr>
              <w:t>liječenj</w:t>
            </w:r>
            <w:r w:rsidRPr="0082654D">
              <w:rPr>
                <w:sz w:val="22"/>
                <w:szCs w:val="22"/>
                <w:lang w:val="hr-HR" w:eastAsia="en-GB"/>
              </w:rPr>
              <w:t>a. Zatim nastaviti praćenje glukoze natašte onoliko često koliko je potrebno za kontrolisanje hiperglikemije, prema uputstvima zdravstvenog radnika*.</w:t>
            </w:r>
          </w:p>
        </w:tc>
      </w:tr>
      <w:tr w:rsidR="0082654D" w:rsidRPr="0082654D" w14:paraId="685708CE" w14:textId="77777777" w:rsidTr="00C10B32">
        <w:trPr>
          <w:cantSplit/>
          <w:trHeight w:val="285"/>
        </w:trPr>
        <w:tc>
          <w:tcPr>
            <w:tcW w:w="0" w:type="auto"/>
            <w:vMerge/>
            <w:tcBorders>
              <w:left w:val="single" w:sz="6" w:space="0" w:color="auto"/>
              <w:bottom w:val="single" w:sz="6" w:space="0" w:color="auto"/>
              <w:right w:val="single" w:sz="6" w:space="0" w:color="auto"/>
            </w:tcBorders>
            <w:vAlign w:val="center"/>
            <w:hideMark/>
          </w:tcPr>
          <w:p w14:paraId="0C337E85" w14:textId="77777777" w:rsidR="0082654D" w:rsidRPr="0082654D" w:rsidRDefault="0082654D" w:rsidP="00C10B32">
            <w:pPr>
              <w:keepNext/>
              <w:shd w:val="clear" w:color="auto" w:fill="FFFFFF" w:themeFill="background1"/>
              <w:ind w:right="-41"/>
              <w:rPr>
                <w:sz w:val="22"/>
                <w:szCs w:val="22"/>
                <w:lang w:val="hr-HR" w:eastAsia="en-GB"/>
              </w:rPr>
            </w:pPr>
          </w:p>
        </w:tc>
        <w:tc>
          <w:tcPr>
            <w:tcW w:w="6930" w:type="dxa"/>
            <w:gridSpan w:val="2"/>
            <w:tcBorders>
              <w:top w:val="nil"/>
              <w:left w:val="nil"/>
              <w:bottom w:val="single" w:sz="6" w:space="0" w:color="auto"/>
              <w:right w:val="single" w:sz="6" w:space="0" w:color="auto"/>
            </w:tcBorders>
            <w:shd w:val="clear" w:color="auto" w:fill="auto"/>
            <w:hideMark/>
          </w:tcPr>
          <w:p w14:paraId="2E896792"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sz w:val="22"/>
                <w:szCs w:val="22"/>
                <w:lang w:val="hr-HR" w:eastAsia="en-GB"/>
              </w:rPr>
              <w:t>HbA1c je potrebno pratiti nakon 4. </w:t>
            </w:r>
            <w:r w:rsidR="009A54B4">
              <w:rPr>
                <w:sz w:val="22"/>
                <w:szCs w:val="22"/>
                <w:lang w:val="hr-HR" w:eastAsia="en-GB"/>
              </w:rPr>
              <w:t>nedjel</w:t>
            </w:r>
            <w:r w:rsidRPr="0082654D">
              <w:rPr>
                <w:sz w:val="22"/>
                <w:szCs w:val="22"/>
                <w:lang w:val="hr-HR" w:eastAsia="en-GB"/>
              </w:rPr>
              <w:t xml:space="preserve">je </w:t>
            </w:r>
            <w:r w:rsidR="00B66BE0">
              <w:rPr>
                <w:sz w:val="22"/>
                <w:szCs w:val="22"/>
                <w:lang w:val="hr-HR" w:eastAsia="en-GB"/>
              </w:rPr>
              <w:t>liječenj</w:t>
            </w:r>
            <w:r w:rsidRPr="0082654D">
              <w:rPr>
                <w:sz w:val="22"/>
                <w:szCs w:val="22"/>
                <w:lang w:val="hr-HR" w:eastAsia="en-GB"/>
              </w:rPr>
              <w:t>a i zatim svaka 3 m</w:t>
            </w:r>
            <w:r w:rsidR="00D30E7D">
              <w:rPr>
                <w:sz w:val="22"/>
                <w:szCs w:val="22"/>
                <w:lang w:val="hr-HR" w:eastAsia="en-GB"/>
              </w:rPr>
              <w:t>j</w:t>
            </w:r>
            <w:r w:rsidRPr="0082654D">
              <w:rPr>
                <w:sz w:val="22"/>
                <w:szCs w:val="22"/>
                <w:lang w:val="hr-HR" w:eastAsia="en-GB"/>
              </w:rPr>
              <w:t>eseca nakon toga.</w:t>
            </w:r>
          </w:p>
        </w:tc>
      </w:tr>
      <w:tr w:rsidR="0082654D" w:rsidRPr="0082654D" w14:paraId="3A423266" w14:textId="77777777" w:rsidTr="00C10B32">
        <w:trPr>
          <w:cantSplit/>
          <w:trHeight w:val="780"/>
        </w:trPr>
        <w:tc>
          <w:tcPr>
            <w:tcW w:w="2115" w:type="dxa"/>
            <w:vMerge w:val="restart"/>
            <w:tcBorders>
              <w:top w:val="nil"/>
              <w:left w:val="single" w:sz="6" w:space="0" w:color="auto"/>
              <w:bottom w:val="single" w:sz="6" w:space="0" w:color="auto"/>
              <w:right w:val="single" w:sz="6" w:space="0" w:color="auto"/>
            </w:tcBorders>
            <w:shd w:val="clear" w:color="auto" w:fill="auto"/>
            <w:hideMark/>
          </w:tcPr>
          <w:p w14:paraId="6DF9AC96"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b/>
                <w:bCs/>
                <w:sz w:val="22"/>
                <w:szCs w:val="22"/>
                <w:lang w:val="hr-HR" w:eastAsia="en-GB"/>
              </w:rPr>
              <w:t xml:space="preserve">Ako se razvije hiperglikemija nakon početka </w:t>
            </w:r>
            <w:r w:rsidR="00B66BE0">
              <w:rPr>
                <w:b/>
                <w:bCs/>
                <w:sz w:val="22"/>
                <w:szCs w:val="22"/>
                <w:lang w:val="hr-HR" w:eastAsia="en-GB"/>
              </w:rPr>
              <w:t>liječenj</w:t>
            </w:r>
            <w:r w:rsidRPr="0082654D">
              <w:rPr>
                <w:b/>
                <w:bCs/>
                <w:sz w:val="22"/>
                <w:szCs w:val="22"/>
                <w:lang w:val="hr-HR" w:eastAsia="en-GB"/>
              </w:rPr>
              <w:t xml:space="preserve">a </w:t>
            </w:r>
            <w:r w:rsidR="00C10B32">
              <w:rPr>
                <w:b/>
                <w:bCs/>
                <w:sz w:val="22"/>
                <w:szCs w:val="22"/>
                <w:lang w:val="hr-HR" w:eastAsia="en-GB"/>
              </w:rPr>
              <w:t>lijek</w:t>
            </w:r>
            <w:r w:rsidRPr="0082654D">
              <w:rPr>
                <w:b/>
                <w:bCs/>
                <w:sz w:val="22"/>
                <w:szCs w:val="22"/>
                <w:lang w:val="hr-HR" w:eastAsia="en-GB"/>
              </w:rPr>
              <w:t>om Piqray</w:t>
            </w:r>
          </w:p>
        </w:tc>
        <w:tc>
          <w:tcPr>
            <w:tcW w:w="6930" w:type="dxa"/>
            <w:gridSpan w:val="2"/>
            <w:tcBorders>
              <w:top w:val="nil"/>
              <w:left w:val="nil"/>
              <w:bottom w:val="single" w:sz="6" w:space="0" w:color="auto"/>
              <w:right w:val="single" w:sz="6" w:space="0" w:color="auto"/>
            </w:tcBorders>
            <w:shd w:val="clear" w:color="auto" w:fill="auto"/>
            <w:hideMark/>
          </w:tcPr>
          <w:p w14:paraId="1E5EE9F6"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sz w:val="22"/>
                <w:szCs w:val="22"/>
                <w:lang w:val="hr-HR" w:eastAsia="en-GB"/>
              </w:rPr>
              <w:t xml:space="preserve">Redovno pratiti glukozu natašte, prema lokalnom standardu </w:t>
            </w:r>
            <w:r w:rsidR="00B66BE0">
              <w:rPr>
                <w:sz w:val="22"/>
                <w:szCs w:val="22"/>
                <w:lang w:val="hr-HR" w:eastAsia="en-GB"/>
              </w:rPr>
              <w:t>liječenj</w:t>
            </w:r>
            <w:r w:rsidRPr="0082654D">
              <w:rPr>
                <w:sz w:val="22"/>
                <w:szCs w:val="22"/>
                <w:lang w:val="hr-HR" w:eastAsia="en-GB"/>
              </w:rPr>
              <w:t>a, a najmanje dok se glukoza natašte ne smanji na normalne nivoe.</w:t>
            </w:r>
          </w:p>
        </w:tc>
      </w:tr>
      <w:tr w:rsidR="0082654D" w:rsidRPr="0082654D" w14:paraId="1CDA9F7E" w14:textId="77777777" w:rsidTr="00C10B32">
        <w:trPr>
          <w:cantSplit/>
          <w:trHeight w:val="600"/>
        </w:trPr>
        <w:tc>
          <w:tcPr>
            <w:tcW w:w="0" w:type="auto"/>
            <w:vMerge/>
            <w:tcBorders>
              <w:top w:val="nil"/>
              <w:left w:val="single" w:sz="6" w:space="0" w:color="auto"/>
              <w:bottom w:val="single" w:sz="6" w:space="0" w:color="auto"/>
              <w:right w:val="single" w:sz="6" w:space="0" w:color="auto"/>
            </w:tcBorders>
            <w:vAlign w:val="center"/>
            <w:hideMark/>
          </w:tcPr>
          <w:p w14:paraId="18943718" w14:textId="77777777" w:rsidR="0082654D" w:rsidRPr="0082654D" w:rsidRDefault="0082654D" w:rsidP="00C10B32">
            <w:pPr>
              <w:keepNext/>
              <w:shd w:val="clear" w:color="auto" w:fill="FFFFFF" w:themeFill="background1"/>
              <w:ind w:right="-41"/>
              <w:rPr>
                <w:sz w:val="22"/>
                <w:szCs w:val="22"/>
                <w:lang w:val="hr-HR" w:eastAsia="en-GB"/>
              </w:rPr>
            </w:pPr>
          </w:p>
        </w:tc>
        <w:tc>
          <w:tcPr>
            <w:tcW w:w="6930" w:type="dxa"/>
            <w:gridSpan w:val="2"/>
            <w:tcBorders>
              <w:top w:val="nil"/>
              <w:left w:val="nil"/>
              <w:bottom w:val="single" w:sz="6" w:space="0" w:color="auto"/>
              <w:right w:val="single" w:sz="6" w:space="0" w:color="auto"/>
            </w:tcBorders>
            <w:shd w:val="clear" w:color="auto" w:fill="auto"/>
            <w:hideMark/>
          </w:tcPr>
          <w:p w14:paraId="09124480" w14:textId="77777777" w:rsidR="0082654D" w:rsidRPr="0082654D" w:rsidRDefault="0082654D" w:rsidP="00C10B32">
            <w:pPr>
              <w:keepNext/>
              <w:shd w:val="clear" w:color="auto" w:fill="FFFFFF" w:themeFill="background1"/>
              <w:ind w:right="-41"/>
              <w:textAlignment w:val="baseline"/>
              <w:rPr>
                <w:sz w:val="22"/>
                <w:szCs w:val="22"/>
                <w:lang w:val="hr-HR" w:eastAsia="en-GB"/>
              </w:rPr>
            </w:pPr>
            <w:r w:rsidRPr="0082654D">
              <w:rPr>
                <w:sz w:val="22"/>
                <w:szCs w:val="22"/>
                <w:lang w:val="hr-HR" w:eastAsia="en-GB"/>
              </w:rPr>
              <w:t xml:space="preserve">Tokom </w:t>
            </w:r>
            <w:r w:rsidR="00B66BE0">
              <w:rPr>
                <w:sz w:val="22"/>
                <w:szCs w:val="22"/>
                <w:lang w:val="hr-HR" w:eastAsia="en-GB"/>
              </w:rPr>
              <w:t>liječenj</w:t>
            </w:r>
            <w:r w:rsidRPr="0082654D">
              <w:rPr>
                <w:sz w:val="22"/>
                <w:szCs w:val="22"/>
                <w:lang w:val="hr-HR" w:eastAsia="en-GB"/>
              </w:rPr>
              <w:t xml:space="preserve">a antidijabeticima potrebno je nastaviti praćenje glukoze natašte najmanje jednom </w:t>
            </w:r>
            <w:r w:rsidR="009A54B4">
              <w:rPr>
                <w:sz w:val="22"/>
                <w:szCs w:val="22"/>
                <w:lang w:val="hr-HR" w:eastAsia="en-GB"/>
              </w:rPr>
              <w:t>nedjel</w:t>
            </w:r>
            <w:r w:rsidRPr="0082654D">
              <w:rPr>
                <w:sz w:val="22"/>
                <w:szCs w:val="22"/>
                <w:lang w:val="hr-HR" w:eastAsia="en-GB"/>
              </w:rPr>
              <w:t>jno tokom 8 </w:t>
            </w:r>
            <w:r w:rsidR="009A54B4">
              <w:rPr>
                <w:sz w:val="22"/>
                <w:szCs w:val="22"/>
                <w:lang w:val="hr-HR" w:eastAsia="en-GB"/>
              </w:rPr>
              <w:t>nedjel</w:t>
            </w:r>
            <w:r w:rsidRPr="0082654D">
              <w:rPr>
                <w:sz w:val="22"/>
                <w:szCs w:val="22"/>
                <w:lang w:val="hr-HR" w:eastAsia="en-GB"/>
              </w:rPr>
              <w:t>ja, a nakon toga svake 2. </w:t>
            </w:r>
            <w:r w:rsidR="009A54B4">
              <w:rPr>
                <w:sz w:val="22"/>
                <w:szCs w:val="22"/>
                <w:lang w:val="hr-HR" w:eastAsia="en-GB"/>
              </w:rPr>
              <w:t>nedjel</w:t>
            </w:r>
            <w:r w:rsidRPr="0082654D">
              <w:rPr>
                <w:sz w:val="22"/>
                <w:szCs w:val="22"/>
                <w:lang w:val="hr-HR" w:eastAsia="en-GB"/>
              </w:rPr>
              <w:t xml:space="preserve">je, i pratiti glukozu natašte prema uputstvima zdravstvenog radnika koji ima iskustva u </w:t>
            </w:r>
            <w:r w:rsidR="00B66BE0">
              <w:rPr>
                <w:sz w:val="22"/>
                <w:szCs w:val="22"/>
                <w:lang w:val="hr-HR" w:eastAsia="en-GB"/>
              </w:rPr>
              <w:t>liječenj</w:t>
            </w:r>
            <w:r w:rsidRPr="0082654D">
              <w:rPr>
                <w:sz w:val="22"/>
                <w:szCs w:val="22"/>
                <w:lang w:val="hr-HR" w:eastAsia="en-GB"/>
              </w:rPr>
              <w:t>u hiperglikemije</w:t>
            </w:r>
            <w:r w:rsidRPr="0082654D">
              <w:rPr>
                <w:rStyle w:val="normaltextrun1"/>
                <w:rFonts w:eastAsia="MS Mincho"/>
                <w:sz w:val="22"/>
                <w:szCs w:val="22"/>
                <w:lang w:val="hr-HR"/>
              </w:rPr>
              <w:t>.</w:t>
            </w:r>
          </w:p>
        </w:tc>
      </w:tr>
      <w:tr w:rsidR="0082654D" w:rsidRPr="0082654D" w14:paraId="5AA26847" w14:textId="77777777" w:rsidTr="00C10B32">
        <w:trPr>
          <w:cantSplit/>
          <w:trHeight w:val="276"/>
        </w:trPr>
        <w:tc>
          <w:tcPr>
            <w:tcW w:w="9045" w:type="dxa"/>
            <w:gridSpan w:val="3"/>
            <w:tcBorders>
              <w:top w:val="single" w:sz="4" w:space="0" w:color="auto"/>
              <w:left w:val="single" w:sz="6" w:space="0" w:color="auto"/>
              <w:bottom w:val="single" w:sz="6" w:space="0" w:color="auto"/>
              <w:right w:val="single" w:sz="6" w:space="0" w:color="auto"/>
            </w:tcBorders>
            <w:vAlign w:val="center"/>
          </w:tcPr>
          <w:p w14:paraId="0A257912" w14:textId="77777777" w:rsidR="0082654D" w:rsidRPr="0082654D" w:rsidRDefault="0082654D" w:rsidP="00C10B32">
            <w:pPr>
              <w:keepNext/>
              <w:ind w:right="-41"/>
              <w:textAlignment w:val="baseline"/>
              <w:rPr>
                <w:sz w:val="20"/>
                <w:szCs w:val="22"/>
                <w:lang w:val="hr-HR" w:eastAsia="en-GB"/>
              </w:rPr>
            </w:pPr>
            <w:r w:rsidRPr="0082654D">
              <w:rPr>
                <w:sz w:val="20"/>
                <w:szCs w:val="22"/>
                <w:lang w:val="hr-HR" w:eastAsia="en-GB"/>
              </w:rPr>
              <w:t xml:space="preserve">* Sva praćenja glukoze moraju se sprovoditi u skladu sa preporukom </w:t>
            </w:r>
            <w:r w:rsidR="00C10B32">
              <w:rPr>
                <w:sz w:val="20"/>
                <w:szCs w:val="22"/>
                <w:lang w:val="hr-HR" w:eastAsia="en-GB"/>
              </w:rPr>
              <w:t>ljekar</w:t>
            </w:r>
            <w:r w:rsidRPr="0082654D">
              <w:rPr>
                <w:sz w:val="20"/>
                <w:szCs w:val="22"/>
                <w:lang w:val="hr-HR" w:eastAsia="en-GB"/>
              </w:rPr>
              <w:t>a prema kliničkim indikacijama.</w:t>
            </w:r>
          </w:p>
        </w:tc>
      </w:tr>
    </w:tbl>
    <w:p w14:paraId="2387433D" w14:textId="77777777" w:rsidR="0082654D" w:rsidRPr="0082654D" w:rsidRDefault="0082654D" w:rsidP="0082654D">
      <w:pPr>
        <w:shd w:val="clear" w:color="auto" w:fill="FFFFFF" w:themeFill="background1"/>
        <w:rPr>
          <w:sz w:val="22"/>
          <w:szCs w:val="22"/>
          <w:lang w:val="hr-HR"/>
        </w:rPr>
      </w:pPr>
    </w:p>
    <w:p w14:paraId="172B2DAA" w14:textId="77777777" w:rsidR="0082654D" w:rsidRPr="0082654D" w:rsidRDefault="0082654D" w:rsidP="00295316">
      <w:pPr>
        <w:shd w:val="clear" w:color="auto" w:fill="FFFFFF" w:themeFill="background1"/>
        <w:jc w:val="both"/>
        <w:rPr>
          <w:sz w:val="22"/>
          <w:szCs w:val="22"/>
          <w:lang w:val="hr-HR"/>
        </w:rPr>
      </w:pPr>
      <w:r w:rsidRPr="0082654D">
        <w:rPr>
          <w:sz w:val="22"/>
          <w:szCs w:val="22"/>
          <w:lang w:val="hr-HR"/>
        </w:rPr>
        <w:t xml:space="preserve">Pacijente je potrebno upoznati </w:t>
      </w:r>
      <w:r w:rsidR="00295316">
        <w:rPr>
          <w:sz w:val="22"/>
          <w:szCs w:val="22"/>
          <w:lang w:val="hr-HR"/>
        </w:rPr>
        <w:t>s</w:t>
      </w:r>
      <w:r w:rsidRPr="0082654D">
        <w:rPr>
          <w:sz w:val="22"/>
          <w:szCs w:val="22"/>
          <w:lang w:val="hr-HR"/>
        </w:rPr>
        <w:t>a znakovima i simptomima hiperglikemije (npr. pret</w:t>
      </w:r>
      <w:r w:rsidR="00D30E7D">
        <w:rPr>
          <w:sz w:val="22"/>
          <w:szCs w:val="22"/>
          <w:lang w:val="hr-HR"/>
        </w:rPr>
        <w:t>j</w:t>
      </w:r>
      <w:r w:rsidRPr="0082654D">
        <w:rPr>
          <w:sz w:val="22"/>
          <w:szCs w:val="22"/>
          <w:lang w:val="hr-HR"/>
        </w:rPr>
        <w:t>erana žeđ, učestalije mokrenje od uobičajenog ili veće količine mokraće nego inače, pojačani apetit uz gubitak težine).</w:t>
      </w:r>
    </w:p>
    <w:p w14:paraId="6E839691" w14:textId="77777777" w:rsidR="0082654D" w:rsidRPr="0082654D" w:rsidRDefault="0082654D" w:rsidP="00295316">
      <w:pPr>
        <w:shd w:val="clear" w:color="auto" w:fill="FFFFFF" w:themeFill="background1"/>
        <w:jc w:val="both"/>
        <w:rPr>
          <w:sz w:val="22"/>
          <w:szCs w:val="22"/>
          <w:lang w:val="hr-HR"/>
        </w:rPr>
      </w:pPr>
    </w:p>
    <w:p w14:paraId="49342147" w14:textId="2E6C9B85" w:rsidR="0082654D" w:rsidRPr="0082654D" w:rsidRDefault="0082654D" w:rsidP="00295316">
      <w:pPr>
        <w:shd w:val="clear" w:color="auto" w:fill="FFFFFF" w:themeFill="background1"/>
        <w:jc w:val="both"/>
        <w:rPr>
          <w:sz w:val="22"/>
          <w:szCs w:val="22"/>
          <w:lang w:val="hr-HR"/>
        </w:rPr>
      </w:pPr>
      <w:r w:rsidRPr="0082654D">
        <w:rPr>
          <w:sz w:val="22"/>
          <w:szCs w:val="22"/>
          <w:lang w:val="hr-HR"/>
        </w:rPr>
        <w:t xml:space="preserve">Kod </w:t>
      </w:r>
      <w:r w:rsidR="005C1969" w:rsidRPr="0082654D">
        <w:rPr>
          <w:sz w:val="22"/>
          <w:szCs w:val="22"/>
          <w:lang w:val="hr-HR"/>
        </w:rPr>
        <w:t>19</w:t>
      </w:r>
      <w:r w:rsidR="005C1969">
        <w:rPr>
          <w:sz w:val="22"/>
          <w:szCs w:val="22"/>
          <w:lang w:val="hr-HR"/>
        </w:rPr>
        <w:t>1</w:t>
      </w:r>
      <w:r w:rsidR="005C1969" w:rsidRPr="0082654D">
        <w:rPr>
          <w:sz w:val="22"/>
          <w:szCs w:val="22"/>
          <w:lang w:val="hr-HR"/>
        </w:rPr>
        <w:t> </w:t>
      </w:r>
      <w:r w:rsidRPr="0082654D">
        <w:rPr>
          <w:sz w:val="22"/>
          <w:szCs w:val="22"/>
          <w:lang w:val="hr-HR"/>
        </w:rPr>
        <w:t xml:space="preserve">pacijenata sa hiperglikemijom, </w:t>
      </w:r>
      <w:r w:rsidR="005C1969" w:rsidRPr="0082654D">
        <w:rPr>
          <w:sz w:val="22"/>
          <w:szCs w:val="22"/>
          <w:lang w:val="hr-HR"/>
        </w:rPr>
        <w:t>8</w:t>
      </w:r>
      <w:r w:rsidR="005C1969">
        <w:rPr>
          <w:sz w:val="22"/>
          <w:szCs w:val="22"/>
          <w:lang w:val="hr-HR"/>
        </w:rPr>
        <w:t>6</w:t>
      </w:r>
      <w:r w:rsidRPr="0082654D">
        <w:rPr>
          <w:sz w:val="22"/>
          <w:szCs w:val="22"/>
          <w:lang w:val="hr-HR"/>
        </w:rPr>
        <w:t>,</w:t>
      </w:r>
      <w:r w:rsidR="005C1969">
        <w:rPr>
          <w:sz w:val="22"/>
          <w:szCs w:val="22"/>
          <w:lang w:val="hr-HR"/>
        </w:rPr>
        <w:t>9</w:t>
      </w:r>
      <w:r w:rsidRPr="0082654D">
        <w:rPr>
          <w:sz w:val="22"/>
          <w:szCs w:val="22"/>
          <w:lang w:val="hr-HR"/>
        </w:rPr>
        <w:t>% (166/</w:t>
      </w:r>
      <w:r w:rsidR="005C1969" w:rsidRPr="0082654D">
        <w:rPr>
          <w:sz w:val="22"/>
          <w:szCs w:val="22"/>
          <w:lang w:val="hr-HR"/>
        </w:rPr>
        <w:t>19</w:t>
      </w:r>
      <w:r w:rsidR="005C1969">
        <w:rPr>
          <w:sz w:val="22"/>
          <w:szCs w:val="22"/>
          <w:lang w:val="hr-HR"/>
        </w:rPr>
        <w:t>1</w:t>
      </w:r>
      <w:r w:rsidRPr="0082654D">
        <w:rPr>
          <w:sz w:val="22"/>
          <w:szCs w:val="22"/>
          <w:lang w:val="hr-HR"/>
        </w:rPr>
        <w:t>) je bilo zbrinuto antidijabetikom, a 75,</w:t>
      </w:r>
      <w:r w:rsidR="005C1969">
        <w:rPr>
          <w:sz w:val="22"/>
          <w:szCs w:val="22"/>
          <w:lang w:val="hr-HR"/>
        </w:rPr>
        <w:t>9</w:t>
      </w:r>
      <w:r w:rsidRPr="0082654D">
        <w:rPr>
          <w:sz w:val="22"/>
          <w:szCs w:val="22"/>
          <w:lang w:val="hr-HR"/>
        </w:rPr>
        <w:t>% (</w:t>
      </w:r>
      <w:r w:rsidR="005C1969" w:rsidRPr="0082654D">
        <w:rPr>
          <w:sz w:val="22"/>
          <w:szCs w:val="22"/>
          <w:lang w:val="hr-HR"/>
        </w:rPr>
        <w:t>14</w:t>
      </w:r>
      <w:r w:rsidR="005C1969">
        <w:rPr>
          <w:sz w:val="22"/>
          <w:szCs w:val="22"/>
          <w:lang w:val="hr-HR"/>
        </w:rPr>
        <w:t>5</w:t>
      </w:r>
      <w:r w:rsidRPr="0082654D">
        <w:rPr>
          <w:sz w:val="22"/>
          <w:szCs w:val="22"/>
          <w:lang w:val="hr-HR"/>
        </w:rPr>
        <w:t>/</w:t>
      </w:r>
      <w:r w:rsidR="005C1969" w:rsidRPr="0082654D">
        <w:rPr>
          <w:sz w:val="22"/>
          <w:szCs w:val="22"/>
          <w:lang w:val="hr-HR"/>
        </w:rPr>
        <w:t>19</w:t>
      </w:r>
      <w:r w:rsidR="005C1969">
        <w:rPr>
          <w:sz w:val="22"/>
          <w:szCs w:val="22"/>
          <w:lang w:val="hr-HR"/>
        </w:rPr>
        <w:t>1</w:t>
      </w:r>
      <w:r w:rsidRPr="0082654D">
        <w:rPr>
          <w:sz w:val="22"/>
          <w:szCs w:val="22"/>
          <w:lang w:val="hr-HR"/>
        </w:rPr>
        <w:t xml:space="preserve">) prijavilo je upotrebu metformina kao jedinog </w:t>
      </w:r>
      <w:r w:rsidR="00C10B32">
        <w:rPr>
          <w:sz w:val="22"/>
          <w:szCs w:val="22"/>
          <w:lang w:val="hr-HR"/>
        </w:rPr>
        <w:t>lijek</w:t>
      </w:r>
      <w:r w:rsidRPr="0082654D">
        <w:rPr>
          <w:sz w:val="22"/>
          <w:szCs w:val="22"/>
          <w:lang w:val="hr-HR"/>
        </w:rPr>
        <w:t>a ili u kombinaciji sa drugim antidijabetikom (npr. insulin, inhibitori dipeptidil peptidaze-4 (DPP-4), SGLT2-inhibitori i sulfonilureja).</w:t>
      </w:r>
    </w:p>
    <w:p w14:paraId="6FED6A25" w14:textId="77777777" w:rsidR="0082654D" w:rsidRPr="0082654D" w:rsidRDefault="0082654D" w:rsidP="00295316">
      <w:pPr>
        <w:shd w:val="clear" w:color="auto" w:fill="FFFFFF" w:themeFill="background1"/>
        <w:jc w:val="both"/>
        <w:rPr>
          <w:sz w:val="22"/>
          <w:szCs w:val="22"/>
          <w:lang w:val="hr-HR"/>
        </w:rPr>
      </w:pPr>
    </w:p>
    <w:p w14:paraId="020E06FB" w14:textId="1797186F" w:rsidR="0082654D" w:rsidRPr="0082654D" w:rsidRDefault="0082654D" w:rsidP="00295316">
      <w:pPr>
        <w:shd w:val="clear" w:color="auto" w:fill="FFFFFF" w:themeFill="background1"/>
        <w:jc w:val="both"/>
        <w:rPr>
          <w:sz w:val="22"/>
          <w:szCs w:val="22"/>
          <w:lang w:val="hr-HR"/>
        </w:rPr>
      </w:pPr>
      <w:r w:rsidRPr="0082654D">
        <w:rPr>
          <w:sz w:val="22"/>
          <w:szCs w:val="22"/>
          <w:lang w:val="hr-HR"/>
        </w:rPr>
        <w:t xml:space="preserve">Peroralni antidijabetici su </w:t>
      </w:r>
      <w:r w:rsidR="00C21CF1">
        <w:rPr>
          <w:sz w:val="22"/>
          <w:szCs w:val="22"/>
          <w:lang w:val="hr-HR"/>
        </w:rPr>
        <w:t>primjen</w:t>
      </w:r>
      <w:r w:rsidRPr="0082654D">
        <w:rPr>
          <w:sz w:val="22"/>
          <w:szCs w:val="22"/>
          <w:lang w:val="hr-HR"/>
        </w:rPr>
        <w:t xml:space="preserve">jivani kod 154 pacijenta. Od tih 154 pacijenata, 17 (11,0%) ih je prekinulo </w:t>
      </w:r>
      <w:r w:rsidR="00B66BE0">
        <w:rPr>
          <w:sz w:val="22"/>
          <w:szCs w:val="22"/>
          <w:lang w:val="hr-HR"/>
        </w:rPr>
        <w:t>liječenj</w:t>
      </w:r>
      <w:r w:rsidRPr="0082654D">
        <w:rPr>
          <w:sz w:val="22"/>
          <w:szCs w:val="22"/>
          <w:lang w:val="hr-HR"/>
        </w:rPr>
        <w:t xml:space="preserve">e ispitivanim </w:t>
      </w:r>
      <w:r w:rsidR="00C10B32">
        <w:rPr>
          <w:sz w:val="22"/>
          <w:szCs w:val="22"/>
          <w:lang w:val="hr-HR"/>
        </w:rPr>
        <w:t>lijek</w:t>
      </w:r>
      <w:r w:rsidRPr="0082654D">
        <w:rPr>
          <w:sz w:val="22"/>
          <w:szCs w:val="22"/>
          <w:lang w:val="hr-HR"/>
        </w:rPr>
        <w:t>om zbog hiperglikemije. Isto</w:t>
      </w:r>
      <w:r w:rsidR="00295316">
        <w:rPr>
          <w:sz w:val="22"/>
          <w:szCs w:val="22"/>
          <w:lang w:val="hr-HR"/>
        </w:rPr>
        <w:t>vr</w:t>
      </w:r>
      <w:r w:rsidR="00A26CAB">
        <w:rPr>
          <w:sz w:val="22"/>
          <w:szCs w:val="22"/>
          <w:lang w:val="hr-HR"/>
        </w:rPr>
        <w:t>em</w:t>
      </w:r>
      <w:r w:rsidRPr="0082654D">
        <w:rPr>
          <w:sz w:val="22"/>
          <w:szCs w:val="22"/>
          <w:lang w:val="hr-HR"/>
        </w:rPr>
        <w:t xml:space="preserve">ena terapija insulinom je </w:t>
      </w:r>
      <w:r w:rsidR="00C21CF1">
        <w:rPr>
          <w:sz w:val="22"/>
          <w:szCs w:val="22"/>
          <w:lang w:val="hr-HR"/>
        </w:rPr>
        <w:t>prim</w:t>
      </w:r>
      <w:r w:rsidR="00D30E7D">
        <w:rPr>
          <w:sz w:val="22"/>
          <w:szCs w:val="22"/>
          <w:lang w:val="hr-HR"/>
        </w:rPr>
        <w:t>i</w:t>
      </w:r>
      <w:r w:rsidR="00C21CF1">
        <w:rPr>
          <w:sz w:val="22"/>
          <w:szCs w:val="22"/>
          <w:lang w:val="hr-HR"/>
        </w:rPr>
        <w:t>jen</w:t>
      </w:r>
      <w:r w:rsidRPr="0082654D">
        <w:rPr>
          <w:sz w:val="22"/>
          <w:szCs w:val="22"/>
          <w:lang w:val="hr-HR"/>
        </w:rPr>
        <w:t xml:space="preserve">jena kod </w:t>
      </w:r>
      <w:r w:rsidR="005C1969">
        <w:rPr>
          <w:sz w:val="22"/>
          <w:szCs w:val="22"/>
          <w:lang w:val="hr-HR"/>
        </w:rPr>
        <w:t>56</w:t>
      </w:r>
      <w:r w:rsidR="005C1969" w:rsidRPr="0082654D">
        <w:rPr>
          <w:sz w:val="22"/>
          <w:szCs w:val="22"/>
          <w:lang w:val="hr-HR"/>
        </w:rPr>
        <w:t> </w:t>
      </w:r>
      <w:r w:rsidRPr="0082654D">
        <w:rPr>
          <w:sz w:val="22"/>
          <w:szCs w:val="22"/>
          <w:lang w:val="hr-HR"/>
        </w:rPr>
        <w:t xml:space="preserve">pacijenata, od kojih je 13 (24,1%) prekinulo </w:t>
      </w:r>
      <w:r w:rsidR="00B66BE0">
        <w:rPr>
          <w:sz w:val="22"/>
          <w:szCs w:val="22"/>
          <w:lang w:val="hr-HR"/>
        </w:rPr>
        <w:t>liječenj</w:t>
      </w:r>
      <w:r w:rsidRPr="0082654D">
        <w:rPr>
          <w:sz w:val="22"/>
          <w:szCs w:val="22"/>
          <w:lang w:val="hr-HR"/>
        </w:rPr>
        <w:t xml:space="preserve">e ispitivanim </w:t>
      </w:r>
      <w:r w:rsidR="00C10B32">
        <w:rPr>
          <w:sz w:val="22"/>
          <w:szCs w:val="22"/>
          <w:lang w:val="hr-HR"/>
        </w:rPr>
        <w:t>lijek</w:t>
      </w:r>
      <w:r w:rsidRPr="0082654D">
        <w:rPr>
          <w:sz w:val="22"/>
          <w:szCs w:val="22"/>
          <w:lang w:val="hr-HR"/>
        </w:rPr>
        <w:t>om zbog hiperglikemije.</w:t>
      </w:r>
    </w:p>
    <w:p w14:paraId="6F2E7045" w14:textId="77777777" w:rsidR="0082654D" w:rsidRPr="0082654D" w:rsidRDefault="0082654D" w:rsidP="00295316">
      <w:pPr>
        <w:shd w:val="clear" w:color="auto" w:fill="FFFFFF" w:themeFill="background1"/>
        <w:jc w:val="both"/>
        <w:rPr>
          <w:sz w:val="22"/>
          <w:szCs w:val="22"/>
          <w:lang w:val="hr-HR"/>
        </w:rPr>
      </w:pPr>
    </w:p>
    <w:p w14:paraId="639603E6" w14:textId="49134B6C" w:rsidR="0082654D" w:rsidRPr="0082654D" w:rsidRDefault="0082654D" w:rsidP="00295316">
      <w:pPr>
        <w:shd w:val="clear" w:color="auto" w:fill="FFFFFF" w:themeFill="background1"/>
        <w:jc w:val="both"/>
        <w:rPr>
          <w:sz w:val="22"/>
          <w:szCs w:val="22"/>
          <w:lang w:val="hr-HR"/>
        </w:rPr>
      </w:pPr>
      <w:r w:rsidRPr="0082654D">
        <w:rPr>
          <w:sz w:val="22"/>
          <w:szCs w:val="22"/>
          <w:lang w:val="hr-HR"/>
        </w:rPr>
        <w:t xml:space="preserve">Od </w:t>
      </w:r>
      <w:r w:rsidR="005C1969" w:rsidRPr="0082654D">
        <w:rPr>
          <w:sz w:val="22"/>
          <w:szCs w:val="22"/>
          <w:lang w:val="hr-HR"/>
        </w:rPr>
        <w:t>16</w:t>
      </w:r>
      <w:r w:rsidR="005C1969">
        <w:rPr>
          <w:sz w:val="22"/>
          <w:szCs w:val="22"/>
          <w:lang w:val="hr-HR"/>
        </w:rPr>
        <w:t>4</w:t>
      </w:r>
      <w:r w:rsidR="005C1969" w:rsidRPr="0082654D">
        <w:rPr>
          <w:sz w:val="22"/>
          <w:szCs w:val="22"/>
          <w:lang w:val="hr-HR"/>
        </w:rPr>
        <w:t> </w:t>
      </w:r>
      <w:r w:rsidRPr="0082654D">
        <w:rPr>
          <w:sz w:val="22"/>
          <w:szCs w:val="22"/>
          <w:lang w:val="hr-HR"/>
        </w:rPr>
        <w:t xml:space="preserve">pacijenta sa hiperglikemijom ≥2. stepena, njih </w:t>
      </w:r>
      <w:r w:rsidR="005C1969" w:rsidRPr="0082654D">
        <w:rPr>
          <w:sz w:val="22"/>
          <w:szCs w:val="22"/>
          <w:lang w:val="hr-HR"/>
        </w:rPr>
        <w:t>15</w:t>
      </w:r>
      <w:r w:rsidR="005C1969">
        <w:rPr>
          <w:sz w:val="22"/>
          <w:szCs w:val="22"/>
          <w:lang w:val="hr-HR"/>
        </w:rPr>
        <w:t>7</w:t>
      </w:r>
      <w:r w:rsidR="005C1969" w:rsidRPr="0082654D">
        <w:rPr>
          <w:sz w:val="22"/>
          <w:szCs w:val="22"/>
          <w:lang w:val="hr-HR"/>
        </w:rPr>
        <w:t xml:space="preserve"> </w:t>
      </w:r>
      <w:r w:rsidRPr="0082654D">
        <w:rPr>
          <w:sz w:val="22"/>
          <w:szCs w:val="22"/>
          <w:lang w:val="hr-HR"/>
        </w:rPr>
        <w:t xml:space="preserve">je imalo poboljšanje od najmanje 1 stepena, a medijana </w:t>
      </w:r>
      <w:r w:rsidR="00C233FD">
        <w:rPr>
          <w:sz w:val="22"/>
          <w:szCs w:val="22"/>
          <w:lang w:val="hr-HR"/>
        </w:rPr>
        <w:t>vremena</w:t>
      </w:r>
      <w:r w:rsidRPr="0082654D">
        <w:rPr>
          <w:sz w:val="22"/>
          <w:szCs w:val="22"/>
          <w:lang w:val="hr-HR"/>
        </w:rPr>
        <w:t xml:space="preserve"> do poboljšanja od prvog događaja bila je 8 dana (</w:t>
      </w:r>
      <w:r w:rsidRPr="0082654D">
        <w:rPr>
          <w:noProof/>
          <w:sz w:val="22"/>
          <w:szCs w:val="22"/>
          <w:lang w:val="hr-HR"/>
        </w:rPr>
        <w:t>95% CI: 8 do 10</w:t>
      </w:r>
      <w:r w:rsidRPr="0082654D">
        <w:rPr>
          <w:sz w:val="22"/>
          <w:szCs w:val="22"/>
          <w:lang w:val="hr-HR"/>
        </w:rPr>
        <w:t> dana).</w:t>
      </w:r>
    </w:p>
    <w:p w14:paraId="0D2070A4" w14:textId="77777777" w:rsidR="0082654D" w:rsidRPr="0082654D" w:rsidRDefault="0082654D" w:rsidP="00295316">
      <w:pPr>
        <w:shd w:val="clear" w:color="auto" w:fill="FFFFFF" w:themeFill="background1"/>
        <w:jc w:val="both"/>
        <w:rPr>
          <w:sz w:val="22"/>
          <w:szCs w:val="22"/>
          <w:lang w:val="hr-HR"/>
        </w:rPr>
      </w:pPr>
    </w:p>
    <w:p w14:paraId="308DEE23" w14:textId="5D383672" w:rsidR="0082654D" w:rsidRPr="0082654D" w:rsidRDefault="0082654D" w:rsidP="00295316">
      <w:pPr>
        <w:shd w:val="clear" w:color="auto" w:fill="FFFFFF" w:themeFill="background1"/>
        <w:jc w:val="both"/>
        <w:rPr>
          <w:sz w:val="22"/>
          <w:szCs w:val="22"/>
          <w:lang w:val="hr-HR"/>
        </w:rPr>
      </w:pPr>
      <w:r w:rsidRPr="0082654D">
        <w:rPr>
          <w:sz w:val="22"/>
          <w:szCs w:val="22"/>
          <w:lang w:val="hr-HR"/>
        </w:rPr>
        <w:t>Od pacijenata sa povišenom vr</w:t>
      </w:r>
      <w:r w:rsidR="00D30E7D">
        <w:rPr>
          <w:sz w:val="22"/>
          <w:szCs w:val="22"/>
          <w:lang w:val="hr-HR"/>
        </w:rPr>
        <w:t>ij</w:t>
      </w:r>
      <w:r w:rsidRPr="0082654D">
        <w:rPr>
          <w:sz w:val="22"/>
          <w:szCs w:val="22"/>
          <w:lang w:val="hr-HR"/>
        </w:rPr>
        <w:t xml:space="preserve">ednošću glukoze u plazmi natašte koji su nastavili </w:t>
      </w:r>
      <w:r w:rsidR="00B66BE0">
        <w:rPr>
          <w:sz w:val="22"/>
          <w:szCs w:val="22"/>
          <w:lang w:val="hr-HR"/>
        </w:rPr>
        <w:t>liječenj</w:t>
      </w:r>
      <w:r w:rsidRPr="0082654D">
        <w:rPr>
          <w:sz w:val="22"/>
          <w:szCs w:val="22"/>
          <w:lang w:val="hr-HR"/>
        </w:rPr>
        <w:t xml:space="preserve">e fulvestrantom nakon obustave </w:t>
      </w:r>
      <w:r w:rsidR="00C21CF1">
        <w:rPr>
          <w:sz w:val="22"/>
          <w:szCs w:val="22"/>
          <w:lang w:val="hr-HR"/>
        </w:rPr>
        <w:t>primjen</w:t>
      </w:r>
      <w:r w:rsidRPr="0082654D">
        <w:rPr>
          <w:sz w:val="22"/>
          <w:szCs w:val="22"/>
          <w:lang w:val="hr-HR"/>
        </w:rPr>
        <w:t xml:space="preserve">e </w:t>
      </w:r>
      <w:r w:rsidR="00C10B32">
        <w:rPr>
          <w:sz w:val="22"/>
          <w:szCs w:val="22"/>
          <w:lang w:val="hr-HR"/>
        </w:rPr>
        <w:t>lijek</w:t>
      </w:r>
      <w:r w:rsidRPr="0082654D">
        <w:rPr>
          <w:sz w:val="22"/>
          <w:szCs w:val="22"/>
          <w:lang w:val="hr-HR"/>
        </w:rPr>
        <w:t>a Piqray (n=</w:t>
      </w:r>
      <w:r w:rsidR="005C1969">
        <w:rPr>
          <w:sz w:val="22"/>
          <w:szCs w:val="22"/>
          <w:lang w:val="hr-HR"/>
        </w:rPr>
        <w:t>61</w:t>
      </w:r>
      <w:r w:rsidRPr="0082654D">
        <w:rPr>
          <w:sz w:val="22"/>
          <w:szCs w:val="22"/>
          <w:lang w:val="hr-HR"/>
        </w:rPr>
        <w:t xml:space="preserve">), kod </w:t>
      </w:r>
      <w:r w:rsidR="005C1969" w:rsidRPr="0082654D">
        <w:rPr>
          <w:sz w:val="22"/>
          <w:szCs w:val="22"/>
          <w:lang w:val="hr-HR"/>
        </w:rPr>
        <w:t>9</w:t>
      </w:r>
      <w:r w:rsidR="005C1969">
        <w:rPr>
          <w:sz w:val="22"/>
          <w:szCs w:val="22"/>
          <w:lang w:val="hr-HR"/>
        </w:rPr>
        <w:t>3</w:t>
      </w:r>
      <w:r w:rsidRPr="0082654D">
        <w:rPr>
          <w:sz w:val="22"/>
          <w:szCs w:val="22"/>
          <w:lang w:val="hr-HR"/>
        </w:rPr>
        <w:t>,</w:t>
      </w:r>
      <w:r w:rsidR="005C1969">
        <w:rPr>
          <w:sz w:val="22"/>
          <w:szCs w:val="22"/>
          <w:lang w:val="hr-HR"/>
        </w:rPr>
        <w:t>4</w:t>
      </w:r>
      <w:r w:rsidRPr="0082654D">
        <w:rPr>
          <w:sz w:val="22"/>
          <w:szCs w:val="22"/>
          <w:lang w:val="hr-HR"/>
        </w:rPr>
        <w:t xml:space="preserve">% (n=57) su se </w:t>
      </w:r>
      <w:r w:rsidR="002A51AB">
        <w:rPr>
          <w:sz w:val="22"/>
          <w:szCs w:val="22"/>
          <w:lang w:val="hr-HR"/>
        </w:rPr>
        <w:t>vrijednost</w:t>
      </w:r>
      <w:r w:rsidRPr="0082654D">
        <w:rPr>
          <w:sz w:val="22"/>
          <w:szCs w:val="22"/>
          <w:lang w:val="hr-HR"/>
        </w:rPr>
        <w:t xml:space="preserve">i glukoze u plazmi natašte vratile na početne </w:t>
      </w:r>
      <w:r w:rsidR="002A51AB">
        <w:rPr>
          <w:sz w:val="22"/>
          <w:szCs w:val="22"/>
          <w:lang w:val="hr-HR"/>
        </w:rPr>
        <w:t>vrijednost</w:t>
      </w:r>
      <w:r w:rsidRPr="0082654D">
        <w:rPr>
          <w:sz w:val="22"/>
          <w:szCs w:val="22"/>
          <w:lang w:val="hr-HR"/>
        </w:rPr>
        <w:t>i.</w:t>
      </w:r>
    </w:p>
    <w:p w14:paraId="4FF59526" w14:textId="77777777" w:rsidR="0082654D" w:rsidRPr="0082654D" w:rsidRDefault="0082654D" w:rsidP="00295316">
      <w:pPr>
        <w:shd w:val="clear" w:color="auto" w:fill="FFFFFF" w:themeFill="background1"/>
        <w:jc w:val="both"/>
        <w:rPr>
          <w:sz w:val="22"/>
          <w:szCs w:val="22"/>
          <w:lang w:val="hr-HR"/>
        </w:rPr>
      </w:pPr>
    </w:p>
    <w:p w14:paraId="1B67A3E1" w14:textId="77777777" w:rsidR="0082654D" w:rsidRPr="0082654D" w:rsidRDefault="0082654D" w:rsidP="0058265B">
      <w:pPr>
        <w:shd w:val="clear" w:color="auto" w:fill="FFFFFF" w:themeFill="background1"/>
        <w:jc w:val="both"/>
        <w:rPr>
          <w:sz w:val="22"/>
          <w:szCs w:val="22"/>
          <w:lang w:val="hr-HR"/>
        </w:rPr>
      </w:pPr>
      <w:r w:rsidRPr="0082654D">
        <w:rPr>
          <w:sz w:val="22"/>
          <w:szCs w:val="22"/>
          <w:lang w:val="hr-HR"/>
        </w:rPr>
        <w:t>Bezb</w:t>
      </w:r>
      <w:r w:rsidR="007F4F69">
        <w:rPr>
          <w:sz w:val="22"/>
          <w:szCs w:val="22"/>
          <w:lang w:val="hr-HR"/>
        </w:rPr>
        <w:t>j</w:t>
      </w:r>
      <w:r w:rsidRPr="0082654D">
        <w:rPr>
          <w:sz w:val="22"/>
          <w:szCs w:val="22"/>
          <w:lang w:val="hr-HR"/>
        </w:rPr>
        <w:t xml:space="preserve">ednost </w:t>
      </w:r>
      <w:r w:rsidR="00C10B32">
        <w:rPr>
          <w:sz w:val="22"/>
          <w:szCs w:val="22"/>
          <w:lang w:val="hr-HR"/>
        </w:rPr>
        <w:t>lijek</w:t>
      </w:r>
      <w:r w:rsidRPr="0082654D">
        <w:rPr>
          <w:sz w:val="22"/>
          <w:szCs w:val="22"/>
          <w:lang w:val="hr-HR"/>
        </w:rPr>
        <w:t xml:space="preserve">a Piqray kod pacijenata sa dijabetesom tipa 1 i nekontrolisanim dijabetesom tipa 2 nije ustanovljena, budući da su ti pacijenti bili isključeni iz kliničkog ispitivanja faze III. Pacijenti sa </w:t>
      </w:r>
      <w:r w:rsidRPr="0082654D">
        <w:rPr>
          <w:sz w:val="22"/>
          <w:szCs w:val="22"/>
          <w:lang w:val="hr-HR"/>
        </w:rPr>
        <w:lastRenderedPageBreak/>
        <w:t>dijabetesom tipa 2 u anamnezi bili su uključeni. Pacijentima sa dijabetesom u anamnezi mogla bi da bude potrebna intenzivirana dijabetesna terapija i potrebno ih je pažljivo pratiti.</w:t>
      </w:r>
    </w:p>
    <w:p w14:paraId="7206B6BE" w14:textId="77777777" w:rsidR="0082654D" w:rsidRPr="0082654D" w:rsidRDefault="0082654D" w:rsidP="0058265B">
      <w:pPr>
        <w:shd w:val="clear" w:color="auto" w:fill="FFFFFF" w:themeFill="background1"/>
        <w:jc w:val="both"/>
        <w:rPr>
          <w:sz w:val="22"/>
          <w:szCs w:val="22"/>
          <w:lang w:val="hr-HR"/>
        </w:rPr>
      </w:pPr>
    </w:p>
    <w:p w14:paraId="069D8639" w14:textId="146F1513" w:rsidR="0082654D" w:rsidRPr="0082654D" w:rsidRDefault="0082654D" w:rsidP="0058265B">
      <w:pPr>
        <w:shd w:val="clear" w:color="auto" w:fill="FFFFFF" w:themeFill="background1"/>
        <w:jc w:val="both"/>
        <w:rPr>
          <w:sz w:val="22"/>
          <w:szCs w:val="22"/>
          <w:lang w:val="hr-HR"/>
        </w:rPr>
      </w:pPr>
      <w:r w:rsidRPr="0082654D">
        <w:rPr>
          <w:sz w:val="22"/>
          <w:szCs w:val="22"/>
          <w:lang w:val="hr-HR"/>
        </w:rPr>
        <w:t xml:space="preserve">Zavisno od težine hiperglikemije može biti potrebno prekinuti doziranje </w:t>
      </w:r>
      <w:r w:rsidR="00C10B32">
        <w:rPr>
          <w:sz w:val="22"/>
          <w:szCs w:val="22"/>
          <w:lang w:val="hr-HR"/>
        </w:rPr>
        <w:t>lijek</w:t>
      </w:r>
      <w:r w:rsidRPr="0082654D">
        <w:rPr>
          <w:sz w:val="22"/>
          <w:szCs w:val="22"/>
          <w:lang w:val="hr-HR"/>
        </w:rPr>
        <w:t xml:space="preserve">a Piqray, smanjiti dozu ili </w:t>
      </w:r>
      <w:r w:rsidR="00C10B32">
        <w:rPr>
          <w:sz w:val="22"/>
          <w:szCs w:val="22"/>
          <w:lang w:val="hr-HR"/>
        </w:rPr>
        <w:t>lijek</w:t>
      </w:r>
      <w:r w:rsidRPr="0082654D">
        <w:rPr>
          <w:sz w:val="22"/>
          <w:szCs w:val="22"/>
          <w:lang w:val="hr-HR"/>
        </w:rPr>
        <w:t xml:space="preserve"> obustaviti kako je opisano u Tabeli 2 (</w:t>
      </w:r>
      <w:r w:rsidR="00EF7C8E">
        <w:rPr>
          <w:sz w:val="22"/>
          <w:szCs w:val="22"/>
          <w:lang w:val="hr-HR"/>
        </w:rPr>
        <w:t>pogledati dio</w:t>
      </w:r>
      <w:r w:rsidRPr="0082654D">
        <w:rPr>
          <w:sz w:val="22"/>
          <w:szCs w:val="22"/>
          <w:lang w:val="hr-HR"/>
        </w:rPr>
        <w:t xml:space="preserve"> 4.2).</w:t>
      </w:r>
    </w:p>
    <w:p w14:paraId="6432DB19" w14:textId="77777777" w:rsidR="0082654D" w:rsidRPr="0082654D" w:rsidRDefault="0082654D" w:rsidP="0058265B">
      <w:pPr>
        <w:shd w:val="clear" w:color="auto" w:fill="FFFFFF" w:themeFill="background1"/>
        <w:jc w:val="both"/>
        <w:rPr>
          <w:sz w:val="22"/>
          <w:szCs w:val="22"/>
          <w:lang w:val="hr-HR"/>
        </w:rPr>
      </w:pPr>
    </w:p>
    <w:p w14:paraId="0E0C363C" w14:textId="77777777" w:rsidR="0082654D" w:rsidRPr="0082654D" w:rsidRDefault="0082654D" w:rsidP="0058265B">
      <w:pPr>
        <w:keepNext/>
        <w:shd w:val="clear" w:color="auto" w:fill="FFFFFF" w:themeFill="background1"/>
        <w:jc w:val="both"/>
        <w:rPr>
          <w:bCs/>
          <w:sz w:val="22"/>
          <w:szCs w:val="22"/>
          <w:u w:val="single"/>
          <w:lang w:val="hr-HR"/>
        </w:rPr>
      </w:pPr>
      <w:r w:rsidRPr="0082654D">
        <w:rPr>
          <w:bCs/>
          <w:sz w:val="22"/>
          <w:szCs w:val="22"/>
          <w:u w:val="single"/>
          <w:lang w:val="hr-HR"/>
        </w:rPr>
        <w:t>Pneumonitis</w:t>
      </w:r>
    </w:p>
    <w:p w14:paraId="058961B5" w14:textId="77777777" w:rsidR="0082654D" w:rsidRPr="0082654D" w:rsidRDefault="0082654D" w:rsidP="0058265B">
      <w:pPr>
        <w:keepNext/>
        <w:shd w:val="clear" w:color="auto" w:fill="FFFFFF" w:themeFill="background1"/>
        <w:jc w:val="both"/>
        <w:outlineLvl w:val="0"/>
        <w:rPr>
          <w:sz w:val="22"/>
          <w:szCs w:val="22"/>
          <w:lang w:val="hr-HR"/>
        </w:rPr>
      </w:pPr>
    </w:p>
    <w:p w14:paraId="0276224B" w14:textId="77777777"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 xml:space="preserve">Pneumonitis, uključujući ozbiljne slučajeve pneumonitisa/akutne intersticijalne bolesti pluća, bio je prijavljen kod pacijenata </w:t>
      </w:r>
      <w:r w:rsidR="00295316">
        <w:rPr>
          <w:sz w:val="22"/>
          <w:szCs w:val="22"/>
          <w:lang w:val="hr-HR"/>
        </w:rPr>
        <w:t>liječeni</w:t>
      </w:r>
      <w:r w:rsidRPr="0082654D">
        <w:rPr>
          <w:sz w:val="22"/>
          <w:szCs w:val="22"/>
          <w:lang w:val="hr-HR"/>
        </w:rPr>
        <w:t xml:space="preserve">h </w:t>
      </w:r>
      <w:r w:rsidR="00C10B32">
        <w:rPr>
          <w:sz w:val="22"/>
          <w:szCs w:val="22"/>
          <w:lang w:val="hr-HR"/>
        </w:rPr>
        <w:t>lijek</w:t>
      </w:r>
      <w:r w:rsidRPr="0082654D">
        <w:rPr>
          <w:sz w:val="22"/>
          <w:szCs w:val="22"/>
          <w:lang w:val="hr-HR"/>
        </w:rPr>
        <w:t>om Piqray u kliničkim ispitivanjima. Pacijente je potrebno sav</w:t>
      </w:r>
      <w:r w:rsidR="0058265B">
        <w:rPr>
          <w:sz w:val="22"/>
          <w:szCs w:val="22"/>
          <w:lang w:val="hr-HR"/>
        </w:rPr>
        <w:t>j</w:t>
      </w:r>
      <w:r w:rsidRPr="0082654D">
        <w:rPr>
          <w:sz w:val="22"/>
          <w:szCs w:val="22"/>
          <w:lang w:val="hr-HR"/>
        </w:rPr>
        <w:t xml:space="preserve">etovati da odmah prijave sve nove respiratorne simptome ili one koji su se pogoršali. Kod pacijenata koji imaju nove respiratorne simptome ili one koji su se pogoršali ili ako postoji sumnja na pneumonitis, </w:t>
      </w:r>
      <w:r w:rsidR="00B66BE0">
        <w:rPr>
          <w:sz w:val="22"/>
          <w:szCs w:val="22"/>
          <w:lang w:val="hr-HR"/>
        </w:rPr>
        <w:t>liječenj</w:t>
      </w:r>
      <w:r w:rsidRPr="0082654D">
        <w:rPr>
          <w:sz w:val="22"/>
          <w:szCs w:val="22"/>
          <w:lang w:val="hr-HR"/>
        </w:rPr>
        <w:t xml:space="preserve">e </w:t>
      </w:r>
      <w:r w:rsidR="00C10B32">
        <w:rPr>
          <w:sz w:val="22"/>
          <w:szCs w:val="22"/>
          <w:lang w:val="hr-HR"/>
        </w:rPr>
        <w:t>lijek</w:t>
      </w:r>
      <w:r w:rsidRPr="0082654D">
        <w:rPr>
          <w:sz w:val="22"/>
          <w:szCs w:val="22"/>
          <w:lang w:val="hr-HR"/>
        </w:rPr>
        <w:t>om Piqray mora se odmah pri</w:t>
      </w:r>
      <w:r w:rsidR="00A26CAB">
        <w:rPr>
          <w:sz w:val="22"/>
          <w:szCs w:val="22"/>
          <w:lang w:val="hr-HR"/>
        </w:rPr>
        <w:t>vrem</w:t>
      </w:r>
      <w:r w:rsidRPr="0082654D">
        <w:rPr>
          <w:sz w:val="22"/>
          <w:szCs w:val="22"/>
          <w:lang w:val="hr-HR"/>
        </w:rPr>
        <w:t>eno prekinuti, a pacijente je potrebno pregledati zbog mogućnosti pojave pneumonitisa. Potrebno je razmotriti dijagnozu neinfektivnog pneumonitisa kod pacijenata sa nespecifičnim respiratornim znakovima i simptomima</w:t>
      </w:r>
      <w:r w:rsidR="00D30E7D">
        <w:rPr>
          <w:sz w:val="22"/>
          <w:szCs w:val="22"/>
          <w:lang w:val="hr-HR"/>
        </w:rPr>
        <w:t>,</w:t>
      </w:r>
      <w:r w:rsidRPr="0082654D">
        <w:rPr>
          <w:sz w:val="22"/>
          <w:szCs w:val="22"/>
          <w:lang w:val="hr-HR"/>
        </w:rPr>
        <w:t xml:space="preserve"> kao što su hipoksija, kašalj, dispneja ili intersticijalni infiltrati na radiološkom pregledu i kod kojih su isključeni infektivni, neoplastični i ostali uzroci pomoću odgovarajućih ispitivanja. </w:t>
      </w:r>
      <w:r w:rsidR="00C21CF1">
        <w:rPr>
          <w:sz w:val="22"/>
          <w:szCs w:val="22"/>
          <w:lang w:val="hr-HR"/>
        </w:rPr>
        <w:t>Primjen</w:t>
      </w:r>
      <w:r w:rsidRPr="0082654D">
        <w:rPr>
          <w:sz w:val="22"/>
          <w:szCs w:val="22"/>
          <w:lang w:val="hr-HR"/>
        </w:rPr>
        <w:t xml:space="preserve">a </w:t>
      </w:r>
      <w:r w:rsidR="00C10B32">
        <w:rPr>
          <w:sz w:val="22"/>
          <w:szCs w:val="22"/>
          <w:lang w:val="hr-HR"/>
        </w:rPr>
        <w:t>lijek</w:t>
      </w:r>
      <w:r w:rsidRPr="0082654D">
        <w:rPr>
          <w:sz w:val="22"/>
          <w:szCs w:val="22"/>
          <w:lang w:val="hr-HR"/>
        </w:rPr>
        <w:t>a Piqray mora se trajno obustaviti kod svih pacijenata sa potvrđenim pneumonitisom.</w:t>
      </w:r>
    </w:p>
    <w:p w14:paraId="090E39F1" w14:textId="77777777" w:rsidR="0082654D" w:rsidRPr="0082654D" w:rsidRDefault="0082654D" w:rsidP="0058265B">
      <w:pPr>
        <w:shd w:val="clear" w:color="auto" w:fill="FFFFFF" w:themeFill="background1"/>
        <w:jc w:val="both"/>
        <w:outlineLvl w:val="0"/>
        <w:rPr>
          <w:sz w:val="22"/>
          <w:szCs w:val="22"/>
          <w:lang w:val="hr-HR"/>
        </w:rPr>
      </w:pPr>
    </w:p>
    <w:p w14:paraId="01D189DB" w14:textId="28F3AE68" w:rsidR="0082654D" w:rsidRPr="0082654D" w:rsidRDefault="0082654D" w:rsidP="0058265B">
      <w:pPr>
        <w:keepNext/>
        <w:shd w:val="clear" w:color="auto" w:fill="FFFFFF" w:themeFill="background1"/>
        <w:jc w:val="both"/>
        <w:outlineLvl w:val="0"/>
        <w:rPr>
          <w:sz w:val="22"/>
          <w:szCs w:val="22"/>
          <w:u w:val="single"/>
          <w:lang w:val="hr-HR"/>
        </w:rPr>
      </w:pPr>
      <w:r w:rsidRPr="0082654D">
        <w:rPr>
          <w:sz w:val="22"/>
          <w:szCs w:val="22"/>
          <w:u w:val="single"/>
          <w:lang w:val="hr-HR"/>
        </w:rPr>
        <w:t>Dijareja</w:t>
      </w:r>
      <w:r w:rsidR="00264ADA">
        <w:rPr>
          <w:sz w:val="22"/>
          <w:szCs w:val="22"/>
          <w:u w:val="single"/>
          <w:lang w:val="hr-HR"/>
        </w:rPr>
        <w:t xml:space="preserve"> ili kolitis</w:t>
      </w:r>
    </w:p>
    <w:p w14:paraId="5EA23C9C" w14:textId="77777777" w:rsidR="0082654D" w:rsidRPr="0082654D" w:rsidRDefault="0082654D" w:rsidP="0058265B">
      <w:pPr>
        <w:keepNext/>
        <w:shd w:val="clear" w:color="auto" w:fill="FFFFFF" w:themeFill="background1"/>
        <w:jc w:val="both"/>
        <w:outlineLvl w:val="0"/>
        <w:rPr>
          <w:sz w:val="22"/>
          <w:szCs w:val="22"/>
          <w:lang w:val="hr-HR"/>
        </w:rPr>
      </w:pPr>
    </w:p>
    <w:p w14:paraId="78431CAA" w14:textId="177C39A8" w:rsidR="00264ADA" w:rsidRDefault="00264ADA" w:rsidP="0058265B">
      <w:pPr>
        <w:shd w:val="clear" w:color="auto" w:fill="FFFFFF" w:themeFill="background1"/>
        <w:jc w:val="both"/>
        <w:outlineLvl w:val="0"/>
        <w:rPr>
          <w:sz w:val="22"/>
          <w:szCs w:val="22"/>
          <w:lang w:val="hr-HR"/>
        </w:rPr>
      </w:pPr>
      <w:r w:rsidRPr="00264ADA">
        <w:rPr>
          <w:sz w:val="22"/>
          <w:szCs w:val="22"/>
          <w:lang w:val="hr-HR"/>
        </w:rPr>
        <w:t>Pacijente je potrebno pratiti na dijareju ili druge simptome kolitisa</w:t>
      </w:r>
      <w:r w:rsidR="00456576">
        <w:rPr>
          <w:sz w:val="22"/>
          <w:szCs w:val="22"/>
          <w:lang w:val="hr-HR"/>
        </w:rPr>
        <w:t>,</w:t>
      </w:r>
      <w:r w:rsidRPr="00264ADA">
        <w:rPr>
          <w:sz w:val="22"/>
          <w:szCs w:val="22"/>
          <w:lang w:val="hr-HR"/>
        </w:rPr>
        <w:t xml:space="preserve"> kao što je abdominalni bol i mukus ili krv u stolici. </w:t>
      </w:r>
    </w:p>
    <w:p w14:paraId="0188C317" w14:textId="77777777" w:rsidR="00264ADA" w:rsidRDefault="00264ADA" w:rsidP="0058265B">
      <w:pPr>
        <w:shd w:val="clear" w:color="auto" w:fill="FFFFFF" w:themeFill="background1"/>
        <w:jc w:val="both"/>
        <w:outlineLvl w:val="0"/>
        <w:rPr>
          <w:sz w:val="22"/>
          <w:szCs w:val="22"/>
          <w:lang w:val="hr-HR"/>
        </w:rPr>
      </w:pPr>
    </w:p>
    <w:p w14:paraId="10FC281D" w14:textId="621D4A86"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Teška dijareja i kliničke posl</w:t>
      </w:r>
      <w:r w:rsidR="002F55A6">
        <w:rPr>
          <w:sz w:val="22"/>
          <w:szCs w:val="22"/>
          <w:lang w:val="hr-HR"/>
        </w:rPr>
        <w:t>j</w:t>
      </w:r>
      <w:r w:rsidRPr="0082654D">
        <w:rPr>
          <w:sz w:val="22"/>
          <w:szCs w:val="22"/>
          <w:lang w:val="hr-HR"/>
        </w:rPr>
        <w:t xml:space="preserve">edice poput dehidratacije i akutnog oštećenja bubrega prijavljivane su tokom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 xml:space="preserve">om Piqray, a povlačile su se uz odgovarajuću intervenciju. Tokom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 dijareju je imalo 59,</w:t>
      </w:r>
      <w:r w:rsidR="005C1969">
        <w:rPr>
          <w:sz w:val="22"/>
          <w:szCs w:val="22"/>
          <w:lang w:val="hr-HR"/>
        </w:rPr>
        <w:t>9</w:t>
      </w:r>
      <w:r w:rsidRPr="0082654D">
        <w:rPr>
          <w:sz w:val="22"/>
          <w:szCs w:val="22"/>
          <w:lang w:val="hr-HR"/>
        </w:rPr>
        <w:t>% pacijenata (n=</w:t>
      </w:r>
      <w:r w:rsidR="005C1969" w:rsidRPr="0082654D">
        <w:rPr>
          <w:sz w:val="22"/>
          <w:szCs w:val="22"/>
          <w:lang w:val="hr-HR"/>
        </w:rPr>
        <w:t>1</w:t>
      </w:r>
      <w:r w:rsidR="005C1969">
        <w:rPr>
          <w:sz w:val="22"/>
          <w:szCs w:val="22"/>
          <w:lang w:val="hr-HR"/>
        </w:rPr>
        <w:t>70</w:t>
      </w:r>
      <w:r w:rsidRPr="0082654D">
        <w:rPr>
          <w:sz w:val="22"/>
          <w:szCs w:val="22"/>
          <w:lang w:val="hr-HR"/>
        </w:rPr>
        <w:t>). Dijareja 3. stepena javila se kod 7</w:t>
      </w:r>
      <w:r w:rsidR="005C1969">
        <w:rPr>
          <w:sz w:val="22"/>
          <w:szCs w:val="22"/>
          <w:lang w:val="hr-HR"/>
        </w:rPr>
        <w:t>,4</w:t>
      </w:r>
      <w:r w:rsidRPr="0082654D">
        <w:rPr>
          <w:sz w:val="22"/>
          <w:szCs w:val="22"/>
          <w:lang w:val="hr-HR"/>
        </w:rPr>
        <w:t>% (n=</w:t>
      </w:r>
      <w:r w:rsidR="005C1969">
        <w:rPr>
          <w:sz w:val="22"/>
          <w:szCs w:val="22"/>
          <w:lang w:val="hr-HR"/>
        </w:rPr>
        <w:t>21</w:t>
      </w:r>
      <w:r w:rsidRPr="0082654D">
        <w:rPr>
          <w:sz w:val="22"/>
          <w:szCs w:val="22"/>
          <w:lang w:val="hr-HR"/>
        </w:rPr>
        <w:t>) pacijenata</w:t>
      </w:r>
      <w:r w:rsidR="002F55A6">
        <w:rPr>
          <w:sz w:val="22"/>
          <w:szCs w:val="22"/>
          <w:lang w:val="hr-HR"/>
        </w:rPr>
        <w:t>,</w:t>
      </w:r>
      <w:r w:rsidRPr="0082654D">
        <w:rPr>
          <w:sz w:val="22"/>
          <w:szCs w:val="22"/>
          <w:lang w:val="hr-HR"/>
        </w:rPr>
        <w:t xml:space="preserve"> bez prijavljenih slučajeva 4. stepena. Među pacijentima sa dijarejom 2. ili 3. stepena (n=</w:t>
      </w:r>
      <w:r w:rsidR="005C1969" w:rsidRPr="0082654D">
        <w:rPr>
          <w:sz w:val="22"/>
          <w:szCs w:val="22"/>
          <w:lang w:val="hr-HR"/>
        </w:rPr>
        <w:t>7</w:t>
      </w:r>
      <w:r w:rsidR="005C1969">
        <w:rPr>
          <w:sz w:val="22"/>
          <w:szCs w:val="22"/>
          <w:lang w:val="hr-HR"/>
        </w:rPr>
        <w:t>9</w:t>
      </w:r>
      <w:r w:rsidRPr="0082654D">
        <w:rPr>
          <w:sz w:val="22"/>
          <w:szCs w:val="22"/>
          <w:lang w:val="hr-HR"/>
        </w:rPr>
        <w:t xml:space="preserve">), medijana </w:t>
      </w:r>
      <w:r w:rsidR="00C233FD">
        <w:rPr>
          <w:sz w:val="22"/>
          <w:szCs w:val="22"/>
          <w:lang w:val="hr-HR"/>
        </w:rPr>
        <w:t>vremena</w:t>
      </w:r>
      <w:r w:rsidRPr="0082654D">
        <w:rPr>
          <w:sz w:val="22"/>
          <w:szCs w:val="22"/>
          <w:lang w:val="hr-HR"/>
        </w:rPr>
        <w:t xml:space="preserve"> do prve pojave bila je </w:t>
      </w:r>
      <w:r w:rsidR="005C1969" w:rsidRPr="0082654D">
        <w:rPr>
          <w:sz w:val="22"/>
          <w:szCs w:val="22"/>
          <w:lang w:val="hr-HR"/>
        </w:rPr>
        <w:t>5</w:t>
      </w:r>
      <w:r w:rsidR="005C1969">
        <w:rPr>
          <w:sz w:val="22"/>
          <w:szCs w:val="22"/>
          <w:lang w:val="hr-HR"/>
        </w:rPr>
        <w:t>4</w:t>
      </w:r>
      <w:r w:rsidR="005C1969" w:rsidRPr="0082654D">
        <w:rPr>
          <w:sz w:val="22"/>
          <w:szCs w:val="22"/>
          <w:lang w:val="hr-HR"/>
        </w:rPr>
        <w:t> </w:t>
      </w:r>
      <w:r w:rsidRPr="0082654D">
        <w:rPr>
          <w:sz w:val="22"/>
          <w:szCs w:val="22"/>
          <w:lang w:val="hr-HR"/>
        </w:rPr>
        <w:t xml:space="preserve">dana (raspon: 1 do </w:t>
      </w:r>
      <w:r w:rsidR="005C1969">
        <w:rPr>
          <w:sz w:val="22"/>
          <w:szCs w:val="22"/>
          <w:lang w:val="hr-HR"/>
        </w:rPr>
        <w:t>1731</w:t>
      </w:r>
      <w:r w:rsidR="005C1969" w:rsidRPr="0082654D">
        <w:rPr>
          <w:sz w:val="22"/>
          <w:szCs w:val="22"/>
          <w:lang w:val="hr-HR"/>
        </w:rPr>
        <w:t> </w:t>
      </w:r>
      <w:r w:rsidRPr="0082654D">
        <w:rPr>
          <w:sz w:val="22"/>
          <w:szCs w:val="22"/>
          <w:lang w:val="hr-HR"/>
        </w:rPr>
        <w:t>dana).</w:t>
      </w:r>
    </w:p>
    <w:p w14:paraId="349B924A" w14:textId="77777777" w:rsidR="0082654D" w:rsidRPr="0082654D" w:rsidRDefault="0082654D" w:rsidP="0058265B">
      <w:pPr>
        <w:shd w:val="clear" w:color="auto" w:fill="FFFFFF" w:themeFill="background1"/>
        <w:jc w:val="both"/>
        <w:outlineLvl w:val="0"/>
        <w:rPr>
          <w:sz w:val="22"/>
          <w:szCs w:val="22"/>
          <w:lang w:val="hr-HR"/>
        </w:rPr>
      </w:pPr>
    </w:p>
    <w:p w14:paraId="4F47EBBC" w14:textId="65FA5EC8"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 xml:space="preserve">Smanjenja doze </w:t>
      </w:r>
      <w:r w:rsidR="00C10B32">
        <w:rPr>
          <w:sz w:val="22"/>
          <w:szCs w:val="22"/>
          <w:lang w:val="hr-HR"/>
        </w:rPr>
        <w:t>lijek</w:t>
      </w:r>
      <w:r w:rsidRPr="0082654D">
        <w:rPr>
          <w:sz w:val="22"/>
          <w:szCs w:val="22"/>
          <w:lang w:val="hr-HR"/>
        </w:rPr>
        <w:t xml:space="preserve">a Piqray bila su potrebna kod </w:t>
      </w:r>
      <w:r w:rsidR="005C1969">
        <w:rPr>
          <w:sz w:val="22"/>
          <w:szCs w:val="22"/>
          <w:lang w:val="hr-HR"/>
        </w:rPr>
        <w:t>6</w:t>
      </w:r>
      <w:r w:rsidRPr="0082654D">
        <w:rPr>
          <w:sz w:val="22"/>
          <w:szCs w:val="22"/>
          <w:lang w:val="hr-HR"/>
        </w:rPr>
        <w:t>,</w:t>
      </w:r>
      <w:r w:rsidR="005C1969">
        <w:rPr>
          <w:sz w:val="22"/>
          <w:szCs w:val="22"/>
          <w:lang w:val="hr-HR"/>
        </w:rPr>
        <w:t>3</w:t>
      </w:r>
      <w:r w:rsidRPr="0082654D">
        <w:rPr>
          <w:sz w:val="22"/>
          <w:szCs w:val="22"/>
          <w:lang w:val="hr-HR"/>
        </w:rPr>
        <w:t xml:space="preserve">% pacijenata, a kod 2,8% pacijenata obustavljena je </w:t>
      </w:r>
      <w:r w:rsidR="00C21CF1">
        <w:rPr>
          <w:sz w:val="22"/>
          <w:szCs w:val="22"/>
          <w:lang w:val="hr-HR"/>
        </w:rPr>
        <w:t>primjen</w:t>
      </w:r>
      <w:r w:rsidRPr="0082654D">
        <w:rPr>
          <w:sz w:val="22"/>
          <w:szCs w:val="22"/>
          <w:lang w:val="hr-HR"/>
        </w:rPr>
        <w:t xml:space="preserve">a </w:t>
      </w:r>
      <w:r w:rsidR="00C10B32">
        <w:rPr>
          <w:sz w:val="22"/>
          <w:szCs w:val="22"/>
          <w:lang w:val="hr-HR"/>
        </w:rPr>
        <w:t>lijek</w:t>
      </w:r>
      <w:r w:rsidRPr="0082654D">
        <w:rPr>
          <w:sz w:val="22"/>
          <w:szCs w:val="22"/>
          <w:lang w:val="hr-HR"/>
        </w:rPr>
        <w:t xml:space="preserve">a Piqray zbog dijareje. Kod </w:t>
      </w:r>
      <w:r w:rsidR="005C1969" w:rsidRPr="0082654D">
        <w:rPr>
          <w:sz w:val="22"/>
          <w:szCs w:val="22"/>
          <w:lang w:val="hr-HR"/>
        </w:rPr>
        <w:t>1</w:t>
      </w:r>
      <w:r w:rsidR="005C1969">
        <w:rPr>
          <w:sz w:val="22"/>
          <w:szCs w:val="22"/>
          <w:lang w:val="hr-HR"/>
        </w:rPr>
        <w:t>70</w:t>
      </w:r>
      <w:r w:rsidR="005C1969" w:rsidRPr="0082654D">
        <w:rPr>
          <w:sz w:val="22"/>
          <w:szCs w:val="22"/>
          <w:lang w:val="hr-HR"/>
        </w:rPr>
        <w:t> </w:t>
      </w:r>
      <w:r w:rsidRPr="0082654D">
        <w:rPr>
          <w:sz w:val="22"/>
          <w:szCs w:val="22"/>
          <w:lang w:val="hr-HR"/>
        </w:rPr>
        <w:t xml:space="preserve">pacijenata koji su imali dijareju, kod </w:t>
      </w:r>
      <w:r w:rsidR="005C1969" w:rsidRPr="0082654D">
        <w:rPr>
          <w:sz w:val="22"/>
          <w:szCs w:val="22"/>
          <w:lang w:val="hr-HR"/>
        </w:rPr>
        <w:t>6</w:t>
      </w:r>
      <w:r w:rsidR="005C1969">
        <w:rPr>
          <w:sz w:val="22"/>
          <w:szCs w:val="22"/>
          <w:lang w:val="hr-HR"/>
        </w:rPr>
        <w:t>5</w:t>
      </w:r>
      <w:r w:rsidRPr="0082654D">
        <w:rPr>
          <w:sz w:val="22"/>
          <w:szCs w:val="22"/>
          <w:lang w:val="hr-HR"/>
        </w:rPr>
        <w:t>,</w:t>
      </w:r>
      <w:r w:rsidR="005C1969">
        <w:rPr>
          <w:sz w:val="22"/>
          <w:szCs w:val="22"/>
          <w:lang w:val="hr-HR"/>
        </w:rPr>
        <w:t>3</w:t>
      </w:r>
      <w:r w:rsidRPr="0082654D">
        <w:rPr>
          <w:sz w:val="22"/>
          <w:szCs w:val="22"/>
          <w:lang w:val="hr-HR"/>
        </w:rPr>
        <w:t>% (</w:t>
      </w:r>
      <w:r w:rsidR="005C1969" w:rsidRPr="0082654D">
        <w:rPr>
          <w:sz w:val="22"/>
          <w:szCs w:val="22"/>
          <w:lang w:val="hr-HR"/>
        </w:rPr>
        <w:t>1</w:t>
      </w:r>
      <w:r w:rsidR="005C1969">
        <w:rPr>
          <w:sz w:val="22"/>
          <w:szCs w:val="22"/>
          <w:lang w:val="hr-HR"/>
        </w:rPr>
        <w:t>11</w:t>
      </w:r>
      <w:r w:rsidRPr="0082654D">
        <w:rPr>
          <w:sz w:val="22"/>
          <w:szCs w:val="22"/>
          <w:lang w:val="hr-HR"/>
        </w:rPr>
        <w:t>/</w:t>
      </w:r>
      <w:r w:rsidR="005C1969" w:rsidRPr="0082654D">
        <w:rPr>
          <w:sz w:val="22"/>
          <w:szCs w:val="22"/>
          <w:lang w:val="hr-HR"/>
        </w:rPr>
        <w:t>1</w:t>
      </w:r>
      <w:r w:rsidR="005C1969">
        <w:rPr>
          <w:sz w:val="22"/>
          <w:szCs w:val="22"/>
          <w:lang w:val="hr-HR"/>
        </w:rPr>
        <w:t>70</w:t>
      </w:r>
      <w:r w:rsidRPr="0082654D">
        <w:rPr>
          <w:sz w:val="22"/>
          <w:szCs w:val="22"/>
          <w:lang w:val="hr-HR"/>
        </w:rPr>
        <w:t>) bili su neophodni antidijaroici (npr. loperamid) zbog zbrinjavanja simptoma.</w:t>
      </w:r>
    </w:p>
    <w:p w14:paraId="152B76BF" w14:textId="77777777" w:rsidR="0082654D" w:rsidRPr="0082654D" w:rsidRDefault="0082654D" w:rsidP="0058265B">
      <w:pPr>
        <w:shd w:val="clear" w:color="auto" w:fill="FFFFFF" w:themeFill="background1"/>
        <w:jc w:val="both"/>
        <w:outlineLvl w:val="0"/>
        <w:rPr>
          <w:sz w:val="22"/>
          <w:szCs w:val="22"/>
          <w:lang w:val="hr-HR"/>
        </w:rPr>
      </w:pPr>
    </w:p>
    <w:p w14:paraId="3F7742FF" w14:textId="75862378"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Na osnovu težine dijareje</w:t>
      </w:r>
      <w:r w:rsidR="00264ADA">
        <w:rPr>
          <w:sz w:val="22"/>
          <w:szCs w:val="22"/>
          <w:lang w:val="hr-HR"/>
        </w:rPr>
        <w:t xml:space="preserve"> ili kolitisa</w:t>
      </w:r>
      <w:r w:rsidRPr="0082654D">
        <w:rPr>
          <w:sz w:val="22"/>
          <w:szCs w:val="22"/>
          <w:lang w:val="hr-HR"/>
        </w:rPr>
        <w:t>, može da bude potreban pri</w:t>
      </w:r>
      <w:r w:rsidR="0058265B">
        <w:rPr>
          <w:sz w:val="22"/>
          <w:szCs w:val="22"/>
          <w:lang w:val="hr-HR"/>
        </w:rPr>
        <w:t>vr</w:t>
      </w:r>
      <w:r w:rsidR="00A26CAB">
        <w:rPr>
          <w:sz w:val="22"/>
          <w:szCs w:val="22"/>
          <w:lang w:val="hr-HR"/>
        </w:rPr>
        <w:t>em</w:t>
      </w:r>
      <w:r w:rsidRPr="0082654D">
        <w:rPr>
          <w:sz w:val="22"/>
          <w:szCs w:val="22"/>
          <w:lang w:val="hr-HR"/>
        </w:rPr>
        <w:t>en</w:t>
      </w:r>
      <w:r w:rsidR="0058265B">
        <w:rPr>
          <w:sz w:val="22"/>
          <w:szCs w:val="22"/>
          <w:lang w:val="hr-HR"/>
        </w:rPr>
        <w:t>i prekid, smanjenje ili obustava</w:t>
      </w:r>
      <w:r w:rsidRPr="0082654D">
        <w:rPr>
          <w:sz w:val="22"/>
          <w:szCs w:val="22"/>
          <w:lang w:val="hr-HR"/>
        </w:rPr>
        <w:t xml:space="preserve"> doze </w:t>
      </w:r>
      <w:r w:rsidR="00C10B32">
        <w:rPr>
          <w:sz w:val="22"/>
          <w:szCs w:val="22"/>
          <w:lang w:val="hr-HR"/>
        </w:rPr>
        <w:t>lijek</w:t>
      </w:r>
      <w:r w:rsidRPr="0082654D">
        <w:rPr>
          <w:sz w:val="22"/>
          <w:szCs w:val="22"/>
          <w:lang w:val="hr-HR"/>
        </w:rPr>
        <w:t>a Piqray kako je opisano u Tabeli 4 (</w:t>
      </w:r>
      <w:r w:rsidR="00EF7C8E">
        <w:rPr>
          <w:sz w:val="22"/>
          <w:szCs w:val="22"/>
          <w:lang w:val="hr-HR"/>
        </w:rPr>
        <w:t>pogledati dio</w:t>
      </w:r>
      <w:r w:rsidRPr="0082654D">
        <w:rPr>
          <w:sz w:val="22"/>
          <w:szCs w:val="22"/>
          <w:lang w:val="hr-HR"/>
        </w:rPr>
        <w:t xml:space="preserve"> 4.2).</w:t>
      </w:r>
    </w:p>
    <w:p w14:paraId="5D5200A9" w14:textId="77777777" w:rsidR="0082654D" w:rsidRPr="0082654D" w:rsidRDefault="0082654D" w:rsidP="0082654D">
      <w:pPr>
        <w:shd w:val="clear" w:color="auto" w:fill="FFFFFF" w:themeFill="background1"/>
        <w:outlineLvl w:val="0"/>
        <w:rPr>
          <w:sz w:val="22"/>
          <w:szCs w:val="22"/>
          <w:lang w:val="hr-HR"/>
        </w:rPr>
      </w:pPr>
    </w:p>
    <w:p w14:paraId="2DF02CEF" w14:textId="19647C74"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Pacijente treba sav</w:t>
      </w:r>
      <w:r w:rsidR="0058265B">
        <w:rPr>
          <w:sz w:val="22"/>
          <w:szCs w:val="22"/>
          <w:lang w:val="hr-HR"/>
        </w:rPr>
        <w:t>j</w:t>
      </w:r>
      <w:r w:rsidRPr="0082654D">
        <w:rPr>
          <w:sz w:val="22"/>
          <w:szCs w:val="22"/>
          <w:lang w:val="hr-HR"/>
        </w:rPr>
        <w:t xml:space="preserve">etovati da započnu </w:t>
      </w:r>
      <w:r w:rsidR="00B66BE0">
        <w:rPr>
          <w:sz w:val="22"/>
          <w:szCs w:val="22"/>
          <w:lang w:val="hr-HR"/>
        </w:rPr>
        <w:t>liječenj</w:t>
      </w:r>
      <w:r w:rsidRPr="0082654D">
        <w:rPr>
          <w:sz w:val="22"/>
          <w:szCs w:val="22"/>
          <w:lang w:val="hr-HR"/>
        </w:rPr>
        <w:t>e protiv dijereje</w:t>
      </w:r>
      <w:r w:rsidR="00264ADA">
        <w:rPr>
          <w:sz w:val="22"/>
          <w:szCs w:val="22"/>
          <w:lang w:val="hr-HR"/>
        </w:rPr>
        <w:t xml:space="preserve"> ili drugih simptoma kolitisa</w:t>
      </w:r>
      <w:r w:rsidRPr="0082654D">
        <w:rPr>
          <w:sz w:val="22"/>
          <w:szCs w:val="22"/>
          <w:lang w:val="hr-HR"/>
        </w:rPr>
        <w:t>, da povećaju peroralni unos tečnosti i obav</w:t>
      </w:r>
      <w:r w:rsidR="0058265B">
        <w:rPr>
          <w:sz w:val="22"/>
          <w:szCs w:val="22"/>
          <w:lang w:val="hr-HR"/>
        </w:rPr>
        <w:t>ij</w:t>
      </w:r>
      <w:r w:rsidRPr="0082654D">
        <w:rPr>
          <w:sz w:val="22"/>
          <w:szCs w:val="22"/>
          <w:lang w:val="hr-HR"/>
        </w:rPr>
        <w:t xml:space="preserve">este svog </w:t>
      </w:r>
      <w:r w:rsidR="00C10B32">
        <w:rPr>
          <w:sz w:val="22"/>
          <w:szCs w:val="22"/>
          <w:lang w:val="hr-HR"/>
        </w:rPr>
        <w:t>ljekar</w:t>
      </w:r>
      <w:r w:rsidRPr="0082654D">
        <w:rPr>
          <w:sz w:val="22"/>
          <w:szCs w:val="22"/>
          <w:lang w:val="hr-HR"/>
        </w:rPr>
        <w:t xml:space="preserve">a ako se dijareja javi dok uzimaju </w:t>
      </w:r>
      <w:r w:rsidR="00C10B32">
        <w:rPr>
          <w:sz w:val="22"/>
          <w:szCs w:val="22"/>
          <w:lang w:val="hr-HR"/>
        </w:rPr>
        <w:t>lijek</w:t>
      </w:r>
      <w:r w:rsidRPr="0082654D">
        <w:rPr>
          <w:sz w:val="22"/>
          <w:szCs w:val="22"/>
          <w:lang w:val="hr-HR"/>
        </w:rPr>
        <w:t xml:space="preserve"> Piqray.</w:t>
      </w:r>
      <w:r w:rsidR="00264ADA" w:rsidRPr="00264ADA">
        <w:t xml:space="preserve"> </w:t>
      </w:r>
      <w:r w:rsidR="00264ADA" w:rsidRPr="00264ADA">
        <w:rPr>
          <w:sz w:val="22"/>
          <w:szCs w:val="22"/>
          <w:lang w:val="hr-HR"/>
        </w:rPr>
        <w:t>U slučaju kolitisa, može se razmotriti dodatna terapija, kao što su steroidi, prema kliničkoj indikaciji.</w:t>
      </w:r>
    </w:p>
    <w:p w14:paraId="71F8A8FC" w14:textId="77777777" w:rsidR="0082654D" w:rsidRPr="0082654D" w:rsidRDefault="0082654D" w:rsidP="0058265B">
      <w:pPr>
        <w:shd w:val="clear" w:color="auto" w:fill="FFFFFF" w:themeFill="background1"/>
        <w:jc w:val="both"/>
        <w:outlineLvl w:val="0"/>
        <w:rPr>
          <w:sz w:val="22"/>
          <w:szCs w:val="22"/>
          <w:lang w:val="hr-HR"/>
        </w:rPr>
      </w:pPr>
    </w:p>
    <w:p w14:paraId="6B77B56B" w14:textId="77777777" w:rsidR="0082654D" w:rsidRPr="0082654D" w:rsidRDefault="0082654D" w:rsidP="0058265B">
      <w:pPr>
        <w:keepNext/>
        <w:keepLines/>
        <w:shd w:val="clear" w:color="auto" w:fill="FFFFFF" w:themeFill="background1"/>
        <w:jc w:val="both"/>
        <w:outlineLvl w:val="0"/>
        <w:rPr>
          <w:sz w:val="22"/>
          <w:szCs w:val="22"/>
          <w:u w:val="single"/>
          <w:lang w:val="hr-HR"/>
        </w:rPr>
      </w:pPr>
      <w:r w:rsidRPr="0082654D">
        <w:rPr>
          <w:sz w:val="22"/>
          <w:szCs w:val="22"/>
          <w:u w:val="single"/>
          <w:lang w:val="hr-HR"/>
        </w:rPr>
        <w:t>Osteonekroza vilice</w:t>
      </w:r>
    </w:p>
    <w:p w14:paraId="6A77BD09" w14:textId="77777777" w:rsidR="0082654D" w:rsidRPr="0082654D" w:rsidRDefault="0082654D" w:rsidP="0058265B">
      <w:pPr>
        <w:keepNext/>
        <w:keepLines/>
        <w:shd w:val="clear" w:color="auto" w:fill="FFFFFF" w:themeFill="background1"/>
        <w:jc w:val="both"/>
        <w:outlineLvl w:val="0"/>
        <w:rPr>
          <w:sz w:val="22"/>
          <w:szCs w:val="22"/>
          <w:lang w:val="hr-HR"/>
        </w:rPr>
      </w:pPr>
    </w:p>
    <w:p w14:paraId="0E9BE328" w14:textId="77777777"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 xml:space="preserve">Potreban je oprez kada se </w:t>
      </w:r>
      <w:r w:rsidR="00C10B32">
        <w:rPr>
          <w:sz w:val="22"/>
          <w:szCs w:val="22"/>
          <w:lang w:val="hr-HR"/>
        </w:rPr>
        <w:t>lijek</w:t>
      </w:r>
      <w:r w:rsidRPr="0082654D">
        <w:rPr>
          <w:sz w:val="22"/>
          <w:szCs w:val="22"/>
          <w:lang w:val="hr-HR"/>
        </w:rPr>
        <w:t xml:space="preserve"> Piqray i bisfosfonati ili </w:t>
      </w:r>
      <w:r w:rsidR="002A5E87">
        <w:rPr>
          <w:sz w:val="22"/>
          <w:szCs w:val="22"/>
          <w:lang w:val="hr-HR"/>
        </w:rPr>
        <w:t xml:space="preserve">inhibitori RANK-liganda (npr. </w:t>
      </w:r>
      <w:r w:rsidRPr="0082654D">
        <w:rPr>
          <w:sz w:val="22"/>
          <w:szCs w:val="22"/>
          <w:lang w:val="hr-HR"/>
        </w:rPr>
        <w:t>denosumab</w:t>
      </w:r>
      <w:r w:rsidR="002A5E87">
        <w:rPr>
          <w:sz w:val="22"/>
          <w:szCs w:val="22"/>
          <w:lang w:val="hr-HR"/>
        </w:rPr>
        <w:t>)</w:t>
      </w:r>
      <w:r w:rsidRPr="0082654D">
        <w:rPr>
          <w:sz w:val="22"/>
          <w:szCs w:val="22"/>
          <w:lang w:val="hr-HR"/>
        </w:rPr>
        <w:t xml:space="preserve"> koriste isto</w:t>
      </w:r>
      <w:r w:rsidR="0058265B">
        <w:rPr>
          <w:sz w:val="22"/>
          <w:szCs w:val="22"/>
          <w:lang w:val="hr-HR"/>
        </w:rPr>
        <w:t>vr</w:t>
      </w:r>
      <w:r w:rsidR="00A26CAB">
        <w:rPr>
          <w:sz w:val="22"/>
          <w:szCs w:val="22"/>
          <w:lang w:val="hr-HR"/>
        </w:rPr>
        <w:t>em</w:t>
      </w:r>
      <w:r w:rsidRPr="0082654D">
        <w:rPr>
          <w:sz w:val="22"/>
          <w:szCs w:val="22"/>
          <w:lang w:val="hr-HR"/>
        </w:rPr>
        <w:t xml:space="preserve">eno ili jedan nakon drugog. </w:t>
      </w:r>
      <w:r w:rsidR="00B66BE0">
        <w:rPr>
          <w:sz w:val="22"/>
          <w:szCs w:val="22"/>
          <w:lang w:val="hr-HR"/>
        </w:rPr>
        <w:t>Liječenj</w:t>
      </w:r>
      <w:r w:rsidRPr="0082654D">
        <w:rPr>
          <w:sz w:val="22"/>
          <w:szCs w:val="22"/>
          <w:lang w:val="hr-HR"/>
        </w:rPr>
        <w:t xml:space="preserve">e </w:t>
      </w:r>
      <w:r w:rsidR="00C10B32">
        <w:rPr>
          <w:sz w:val="22"/>
          <w:szCs w:val="22"/>
          <w:lang w:val="hr-HR"/>
        </w:rPr>
        <w:t>lijek</w:t>
      </w:r>
      <w:r w:rsidRPr="0082654D">
        <w:rPr>
          <w:sz w:val="22"/>
          <w:szCs w:val="22"/>
          <w:lang w:val="hr-HR"/>
        </w:rPr>
        <w:t>om Piqray ne sm</w:t>
      </w:r>
      <w:r w:rsidR="00C233FD">
        <w:rPr>
          <w:sz w:val="22"/>
          <w:szCs w:val="22"/>
          <w:lang w:val="hr-HR"/>
        </w:rPr>
        <w:t>ij</w:t>
      </w:r>
      <w:r w:rsidRPr="0082654D">
        <w:rPr>
          <w:sz w:val="22"/>
          <w:szCs w:val="22"/>
          <w:lang w:val="hr-HR"/>
        </w:rPr>
        <w:t>e da se započne kod pacijenata sa trenutnom osteonekrozom vilice zbog prethodne ili isto</w:t>
      </w:r>
      <w:r w:rsidR="0058265B">
        <w:rPr>
          <w:sz w:val="22"/>
          <w:szCs w:val="22"/>
          <w:lang w:val="hr-HR"/>
        </w:rPr>
        <w:t>vr</w:t>
      </w:r>
      <w:r w:rsidR="00A26CAB">
        <w:rPr>
          <w:sz w:val="22"/>
          <w:szCs w:val="22"/>
          <w:lang w:val="hr-HR"/>
        </w:rPr>
        <w:t>em</w:t>
      </w:r>
      <w:r w:rsidRPr="0082654D">
        <w:rPr>
          <w:sz w:val="22"/>
          <w:szCs w:val="22"/>
          <w:lang w:val="hr-HR"/>
        </w:rPr>
        <w:t>ene terapije bisfosfonatima/denosumabom. Pacijente je potrebno sav</w:t>
      </w:r>
      <w:r w:rsidR="0058265B">
        <w:rPr>
          <w:sz w:val="22"/>
          <w:szCs w:val="22"/>
          <w:lang w:val="hr-HR"/>
        </w:rPr>
        <w:t>j</w:t>
      </w:r>
      <w:r w:rsidRPr="0082654D">
        <w:rPr>
          <w:sz w:val="22"/>
          <w:szCs w:val="22"/>
          <w:lang w:val="hr-HR"/>
        </w:rPr>
        <w:t>etovati da odmah prijave sve nove ili pogoršane oralne simptome (kao što su mobilnost zuba, bol ili oticanje, nezarastanje afti ili isc</w:t>
      </w:r>
      <w:r w:rsidR="002F55A6">
        <w:rPr>
          <w:sz w:val="22"/>
          <w:szCs w:val="22"/>
          <w:lang w:val="hr-HR"/>
        </w:rPr>
        <w:t>j</w:t>
      </w:r>
      <w:r w:rsidRPr="0082654D">
        <w:rPr>
          <w:sz w:val="22"/>
          <w:szCs w:val="22"/>
          <w:lang w:val="hr-HR"/>
        </w:rPr>
        <w:t xml:space="preserve">edak) za </w:t>
      </w:r>
      <w:r w:rsidR="00A26CAB">
        <w:rPr>
          <w:sz w:val="22"/>
          <w:szCs w:val="22"/>
          <w:lang w:val="hr-HR"/>
        </w:rPr>
        <w:t>vrijem</w:t>
      </w:r>
      <w:r w:rsidRPr="0082654D">
        <w:rPr>
          <w:sz w:val="22"/>
          <w:szCs w:val="22"/>
          <w:lang w:val="hr-HR"/>
        </w:rPr>
        <w:t xml:space="preserve">e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w:t>
      </w:r>
    </w:p>
    <w:p w14:paraId="0D6623B1" w14:textId="77777777" w:rsidR="0082654D" w:rsidRPr="0082654D" w:rsidRDefault="0082654D" w:rsidP="0058265B">
      <w:pPr>
        <w:shd w:val="clear" w:color="auto" w:fill="FFFFFF" w:themeFill="background1"/>
        <w:jc w:val="both"/>
        <w:outlineLvl w:val="0"/>
        <w:rPr>
          <w:sz w:val="22"/>
          <w:szCs w:val="22"/>
          <w:lang w:val="hr-HR"/>
        </w:rPr>
      </w:pPr>
    </w:p>
    <w:p w14:paraId="2273EC95" w14:textId="77777777"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Kod pacijenata kod kojih se razvije osteonekroza vilice, potrebno je započeti standardno medicinsko zbrinjavanje.</w:t>
      </w:r>
    </w:p>
    <w:p w14:paraId="5447DB35" w14:textId="77777777" w:rsidR="0082654D" w:rsidRPr="0082654D" w:rsidRDefault="0082654D" w:rsidP="0058265B">
      <w:pPr>
        <w:shd w:val="clear" w:color="auto" w:fill="FFFFFF" w:themeFill="background1"/>
        <w:jc w:val="both"/>
        <w:outlineLvl w:val="0"/>
        <w:rPr>
          <w:sz w:val="22"/>
          <w:szCs w:val="22"/>
          <w:lang w:val="hr-HR"/>
        </w:rPr>
      </w:pPr>
    </w:p>
    <w:p w14:paraId="63B15A3E" w14:textId="77777777" w:rsidR="0082654D" w:rsidRPr="0082654D" w:rsidRDefault="0082654D" w:rsidP="0058265B">
      <w:pPr>
        <w:keepNext/>
        <w:shd w:val="clear" w:color="auto" w:fill="FFFFFF" w:themeFill="background1"/>
        <w:jc w:val="both"/>
        <w:outlineLvl w:val="0"/>
        <w:rPr>
          <w:sz w:val="22"/>
          <w:szCs w:val="22"/>
          <w:u w:val="single"/>
          <w:lang w:val="hr-HR"/>
        </w:rPr>
      </w:pPr>
      <w:r w:rsidRPr="0082654D">
        <w:rPr>
          <w:sz w:val="22"/>
          <w:szCs w:val="22"/>
          <w:u w:val="single"/>
          <w:lang w:val="hr-HR"/>
        </w:rPr>
        <w:t>Simptomatska visceralna bolest</w:t>
      </w:r>
    </w:p>
    <w:p w14:paraId="25DFDC22" w14:textId="77777777" w:rsidR="0082654D" w:rsidRPr="0082654D" w:rsidRDefault="0082654D" w:rsidP="0058265B">
      <w:pPr>
        <w:keepNext/>
        <w:shd w:val="clear" w:color="auto" w:fill="FFFFFF" w:themeFill="background1"/>
        <w:jc w:val="both"/>
        <w:outlineLvl w:val="0"/>
        <w:rPr>
          <w:sz w:val="22"/>
          <w:szCs w:val="22"/>
          <w:lang w:val="hr-HR"/>
        </w:rPr>
      </w:pPr>
    </w:p>
    <w:p w14:paraId="180CD580" w14:textId="77777777" w:rsidR="0082654D" w:rsidRPr="0082654D" w:rsidRDefault="0082654D" w:rsidP="0058265B">
      <w:pPr>
        <w:shd w:val="clear" w:color="auto" w:fill="FFFFFF" w:themeFill="background1"/>
        <w:jc w:val="both"/>
        <w:outlineLvl w:val="0"/>
        <w:rPr>
          <w:sz w:val="22"/>
          <w:szCs w:val="22"/>
          <w:lang w:val="hr-HR"/>
        </w:rPr>
      </w:pPr>
      <w:r w:rsidRPr="0082654D">
        <w:rPr>
          <w:sz w:val="22"/>
          <w:szCs w:val="22"/>
          <w:lang w:val="hr-HR"/>
        </w:rPr>
        <w:t>Efikasnost i bezb</w:t>
      </w:r>
      <w:r w:rsidR="00C233FD">
        <w:rPr>
          <w:sz w:val="22"/>
          <w:szCs w:val="22"/>
          <w:lang w:val="hr-HR"/>
        </w:rPr>
        <w:t>j</w:t>
      </w:r>
      <w:r w:rsidRPr="0082654D">
        <w:rPr>
          <w:sz w:val="22"/>
          <w:szCs w:val="22"/>
          <w:lang w:val="hr-HR"/>
        </w:rPr>
        <w:t xml:space="preserve">ednost ovog </w:t>
      </w:r>
      <w:r w:rsidR="00C10B32">
        <w:rPr>
          <w:sz w:val="22"/>
          <w:szCs w:val="22"/>
          <w:lang w:val="hr-HR"/>
        </w:rPr>
        <w:t>lijek</w:t>
      </w:r>
      <w:r w:rsidRPr="0082654D">
        <w:rPr>
          <w:sz w:val="22"/>
          <w:szCs w:val="22"/>
          <w:lang w:val="hr-HR"/>
        </w:rPr>
        <w:t xml:space="preserve">a </w:t>
      </w:r>
      <w:r w:rsidR="00D944EF">
        <w:rPr>
          <w:sz w:val="22"/>
          <w:szCs w:val="22"/>
          <w:lang w:val="hr-HR"/>
        </w:rPr>
        <w:t>nijesu</w:t>
      </w:r>
      <w:r w:rsidRPr="0082654D">
        <w:rPr>
          <w:sz w:val="22"/>
          <w:szCs w:val="22"/>
          <w:lang w:val="hr-HR"/>
        </w:rPr>
        <w:t xml:space="preserve"> ispitivani kod pacijenata sa simptomatskom visceralnom bolešću.</w:t>
      </w:r>
    </w:p>
    <w:p w14:paraId="3F675E7A" w14:textId="77777777" w:rsidR="0082654D" w:rsidRPr="0082654D" w:rsidRDefault="0082654D" w:rsidP="0082654D">
      <w:pPr>
        <w:shd w:val="clear" w:color="auto" w:fill="FFFFFF" w:themeFill="background1"/>
        <w:outlineLvl w:val="0"/>
        <w:rPr>
          <w:sz w:val="22"/>
          <w:szCs w:val="22"/>
          <w:lang w:val="hr-HR"/>
        </w:rPr>
      </w:pPr>
    </w:p>
    <w:p w14:paraId="7BA03307" w14:textId="77777777" w:rsidR="0082654D" w:rsidRPr="0082654D" w:rsidRDefault="0082654D" w:rsidP="0082654D">
      <w:pPr>
        <w:keepNext/>
        <w:rPr>
          <w:sz w:val="22"/>
          <w:szCs w:val="22"/>
          <w:lang w:val="hr-HR"/>
        </w:rPr>
      </w:pPr>
      <w:r w:rsidRPr="0082654D">
        <w:rPr>
          <w:sz w:val="22"/>
          <w:szCs w:val="22"/>
          <w:u w:val="single"/>
          <w:lang w:val="hr-HR"/>
        </w:rPr>
        <w:t>Natrijum</w:t>
      </w:r>
    </w:p>
    <w:p w14:paraId="4BD28309" w14:textId="77777777" w:rsidR="0082654D" w:rsidRPr="0082654D" w:rsidRDefault="0082654D" w:rsidP="0082654D">
      <w:pPr>
        <w:keepNext/>
        <w:rPr>
          <w:iCs/>
          <w:sz w:val="22"/>
          <w:szCs w:val="22"/>
          <w:lang w:val="hr-HR"/>
        </w:rPr>
      </w:pPr>
    </w:p>
    <w:p w14:paraId="65F9D4E5" w14:textId="77777777" w:rsidR="0082654D" w:rsidRPr="0082654D" w:rsidRDefault="0082654D" w:rsidP="0082654D">
      <w:pPr>
        <w:tabs>
          <w:tab w:val="left" w:pos="3480"/>
        </w:tabs>
        <w:outlineLvl w:val="0"/>
        <w:rPr>
          <w:noProof/>
          <w:sz w:val="22"/>
          <w:szCs w:val="22"/>
          <w:lang w:val="hr-HR"/>
        </w:rPr>
      </w:pPr>
      <w:r w:rsidRPr="0082654D">
        <w:rPr>
          <w:iCs/>
          <w:sz w:val="22"/>
          <w:szCs w:val="22"/>
          <w:lang w:val="hr-HR"/>
        </w:rPr>
        <w:t xml:space="preserve">Ovaj </w:t>
      </w:r>
      <w:r w:rsidR="00C10B32">
        <w:rPr>
          <w:iCs/>
          <w:sz w:val="22"/>
          <w:szCs w:val="22"/>
          <w:lang w:val="hr-HR"/>
        </w:rPr>
        <w:t>lijek</w:t>
      </w:r>
      <w:r w:rsidRPr="0082654D">
        <w:rPr>
          <w:iCs/>
          <w:sz w:val="22"/>
          <w:szCs w:val="22"/>
          <w:lang w:val="hr-HR"/>
        </w:rPr>
        <w:t xml:space="preserve"> sadrži manje od 1 mmol (23 mg) natrijuma po jednoj film tableti, tj. može se reći da je praktično „bez natrijuma“.</w:t>
      </w:r>
    </w:p>
    <w:p w14:paraId="3C695339" w14:textId="77777777" w:rsidR="00057E35" w:rsidRPr="0082654D" w:rsidRDefault="00057E35" w:rsidP="00480FB1">
      <w:pPr>
        <w:tabs>
          <w:tab w:val="left" w:pos="540"/>
          <w:tab w:val="left" w:pos="569"/>
        </w:tabs>
        <w:rPr>
          <w:bCs/>
          <w:sz w:val="22"/>
          <w:szCs w:val="22"/>
        </w:rPr>
      </w:pPr>
    </w:p>
    <w:p w14:paraId="2FAA791D" w14:textId="77777777" w:rsidR="00411B4B" w:rsidRPr="0082654D" w:rsidRDefault="00411B4B" w:rsidP="00480FB1">
      <w:pPr>
        <w:tabs>
          <w:tab w:val="left" w:pos="540"/>
          <w:tab w:val="left" w:pos="569"/>
        </w:tabs>
        <w:rPr>
          <w:b/>
          <w:bCs/>
          <w:sz w:val="22"/>
          <w:szCs w:val="22"/>
        </w:rPr>
      </w:pPr>
      <w:r w:rsidRPr="00A67800">
        <w:rPr>
          <w:b/>
          <w:bCs/>
          <w:sz w:val="22"/>
          <w:szCs w:val="22"/>
        </w:rPr>
        <w:t>4.5.</w:t>
      </w:r>
      <w:r w:rsidR="000D60CC" w:rsidRPr="00A67800">
        <w:rPr>
          <w:b/>
          <w:bCs/>
          <w:sz w:val="22"/>
          <w:szCs w:val="22"/>
        </w:rPr>
        <w:tab/>
      </w:r>
      <w:r w:rsidRPr="00A67800">
        <w:rPr>
          <w:b/>
          <w:bCs/>
          <w:sz w:val="22"/>
          <w:szCs w:val="22"/>
        </w:rPr>
        <w:t>Interakcije sa drugim ljekovima i druge vrste interakcija</w:t>
      </w:r>
    </w:p>
    <w:p w14:paraId="39F52B59" w14:textId="77777777" w:rsidR="0058265B" w:rsidRDefault="0058265B" w:rsidP="0082654D">
      <w:pPr>
        <w:keepNext/>
        <w:shd w:val="clear" w:color="auto" w:fill="FFFFFF" w:themeFill="background1"/>
        <w:rPr>
          <w:sz w:val="22"/>
          <w:szCs w:val="22"/>
          <w:u w:val="single"/>
          <w:lang w:val="hr-HR"/>
        </w:rPr>
      </w:pPr>
    </w:p>
    <w:p w14:paraId="0D8CB8B2" w14:textId="77777777" w:rsidR="0082654D" w:rsidRPr="0082654D" w:rsidRDefault="00C10B32" w:rsidP="0058265B">
      <w:pPr>
        <w:keepNext/>
        <w:shd w:val="clear" w:color="auto" w:fill="FFFFFF" w:themeFill="background1"/>
        <w:jc w:val="both"/>
        <w:rPr>
          <w:sz w:val="22"/>
          <w:szCs w:val="22"/>
          <w:lang w:val="hr-HR"/>
        </w:rPr>
      </w:pPr>
      <w:r>
        <w:rPr>
          <w:sz w:val="22"/>
          <w:szCs w:val="22"/>
          <w:u w:val="single"/>
          <w:lang w:val="hr-HR"/>
        </w:rPr>
        <w:t>Ljekov</w:t>
      </w:r>
      <w:r w:rsidR="0082654D" w:rsidRPr="0082654D">
        <w:rPr>
          <w:sz w:val="22"/>
          <w:szCs w:val="22"/>
          <w:u w:val="single"/>
          <w:lang w:val="hr-HR"/>
        </w:rPr>
        <w:t>i koji mogu da povećaju koncentracije alpelisiba u plazmi</w:t>
      </w:r>
    </w:p>
    <w:p w14:paraId="6A964374" w14:textId="77777777" w:rsidR="0082654D" w:rsidRPr="0082654D" w:rsidRDefault="0082654D" w:rsidP="0058265B">
      <w:pPr>
        <w:keepNext/>
        <w:shd w:val="clear" w:color="auto" w:fill="FFFFFF" w:themeFill="background1"/>
        <w:jc w:val="both"/>
        <w:rPr>
          <w:sz w:val="22"/>
          <w:szCs w:val="22"/>
          <w:lang w:val="hr-HR"/>
        </w:rPr>
      </w:pPr>
    </w:p>
    <w:p w14:paraId="21A69B39" w14:textId="16C45B61" w:rsidR="0082654D" w:rsidRPr="0082654D" w:rsidRDefault="008F3BDC" w:rsidP="0058265B">
      <w:pPr>
        <w:keepNext/>
        <w:shd w:val="clear" w:color="auto" w:fill="FFFFFF" w:themeFill="background1"/>
        <w:jc w:val="both"/>
        <w:rPr>
          <w:sz w:val="22"/>
          <w:szCs w:val="22"/>
          <w:lang w:val="hr-HR"/>
        </w:rPr>
      </w:pPr>
      <w:r w:rsidRPr="008F3BDC">
        <w:rPr>
          <w:i/>
          <w:sz w:val="22"/>
          <w:szCs w:val="22"/>
          <w:u w:val="single"/>
          <w:lang w:val="hr-HR"/>
        </w:rPr>
        <w:t xml:space="preserve">Inhibitori proteina rezistencije raka dojke (engl. breast cancer resistant protein, </w:t>
      </w:r>
      <w:r w:rsidR="0082654D" w:rsidRPr="0082654D">
        <w:rPr>
          <w:i/>
          <w:sz w:val="22"/>
          <w:szCs w:val="22"/>
          <w:u w:val="single"/>
          <w:lang w:val="hr-HR"/>
        </w:rPr>
        <w:t>BCRP</w:t>
      </w:r>
      <w:r>
        <w:rPr>
          <w:i/>
          <w:sz w:val="22"/>
          <w:szCs w:val="22"/>
          <w:u w:val="single"/>
          <w:lang w:val="hr-HR"/>
        </w:rPr>
        <w:t>)</w:t>
      </w:r>
    </w:p>
    <w:p w14:paraId="0F9DAAA2" w14:textId="77777777" w:rsidR="0082654D" w:rsidRPr="0082654D" w:rsidRDefault="0082654D" w:rsidP="0058265B">
      <w:pPr>
        <w:shd w:val="clear" w:color="auto" w:fill="FFFFFF" w:themeFill="background1"/>
        <w:jc w:val="both"/>
        <w:rPr>
          <w:sz w:val="22"/>
          <w:szCs w:val="22"/>
          <w:lang w:val="hr-HR"/>
        </w:rPr>
      </w:pPr>
      <w:r w:rsidRPr="0082654D">
        <w:rPr>
          <w:sz w:val="22"/>
          <w:szCs w:val="22"/>
          <w:lang w:val="hr-HR"/>
        </w:rPr>
        <w:t xml:space="preserve">Alpelisib je </w:t>
      </w:r>
      <w:r w:rsidRPr="0082654D">
        <w:rPr>
          <w:i/>
          <w:iCs/>
          <w:sz w:val="22"/>
          <w:szCs w:val="22"/>
          <w:lang w:val="hr-HR"/>
        </w:rPr>
        <w:t>in vitro</w:t>
      </w:r>
      <w:r w:rsidRPr="0082654D">
        <w:rPr>
          <w:sz w:val="22"/>
          <w:szCs w:val="22"/>
          <w:lang w:val="hr-HR"/>
        </w:rPr>
        <w:t xml:space="preserve"> supstrat za BCRP. BCRP je uključen u hepatobilijarno izlučivanje alpelisiba i izlučivanje putem cr</w:t>
      </w:r>
      <w:r w:rsidR="0058265B">
        <w:rPr>
          <w:sz w:val="22"/>
          <w:szCs w:val="22"/>
          <w:lang w:val="hr-HR"/>
        </w:rPr>
        <w:t>ij</w:t>
      </w:r>
      <w:r w:rsidRPr="0082654D">
        <w:rPr>
          <w:sz w:val="22"/>
          <w:szCs w:val="22"/>
          <w:lang w:val="hr-HR"/>
        </w:rPr>
        <w:t>eva, stoga inhibicija BCRP</w:t>
      </w:r>
      <w:r w:rsidRPr="0082654D">
        <w:rPr>
          <w:sz w:val="22"/>
          <w:szCs w:val="22"/>
          <w:lang w:val="hr-HR"/>
        </w:rPr>
        <w:noBreakHyphen/>
        <w:t>a u jetri i cr</w:t>
      </w:r>
      <w:r w:rsidR="0058265B">
        <w:rPr>
          <w:sz w:val="22"/>
          <w:szCs w:val="22"/>
          <w:lang w:val="hr-HR"/>
        </w:rPr>
        <w:t>ij</w:t>
      </w:r>
      <w:r w:rsidRPr="0082654D">
        <w:rPr>
          <w:sz w:val="22"/>
          <w:szCs w:val="22"/>
          <w:lang w:val="hr-HR"/>
        </w:rPr>
        <w:t>evima tokom eliminacije može da dovede do povećanja sistemske izloženosti alpelisibu. Zato se sav</w:t>
      </w:r>
      <w:r w:rsidR="0058265B">
        <w:rPr>
          <w:sz w:val="22"/>
          <w:szCs w:val="22"/>
          <w:lang w:val="hr-HR"/>
        </w:rPr>
        <w:t>j</w:t>
      </w:r>
      <w:r w:rsidRPr="0082654D">
        <w:rPr>
          <w:sz w:val="22"/>
          <w:szCs w:val="22"/>
          <w:lang w:val="hr-HR"/>
        </w:rPr>
        <w:t xml:space="preserve">etuje oprez i praćenje zbog moguće toksičnosti za </w:t>
      </w:r>
      <w:r w:rsidR="00A26CAB">
        <w:rPr>
          <w:sz w:val="22"/>
          <w:szCs w:val="22"/>
          <w:lang w:val="hr-HR"/>
        </w:rPr>
        <w:t>vrijem</w:t>
      </w:r>
      <w:r w:rsidRPr="0082654D">
        <w:rPr>
          <w:sz w:val="22"/>
          <w:szCs w:val="22"/>
          <w:lang w:val="hr-HR"/>
        </w:rPr>
        <w:t>e isto</w:t>
      </w:r>
      <w:r w:rsidR="00A26CAB">
        <w:rPr>
          <w:sz w:val="22"/>
          <w:szCs w:val="22"/>
          <w:lang w:val="hr-HR"/>
        </w:rPr>
        <w:t>v</w:t>
      </w:r>
      <w:r w:rsidR="0058265B">
        <w:rPr>
          <w:sz w:val="22"/>
          <w:szCs w:val="22"/>
          <w:lang w:val="hr-HR"/>
        </w:rPr>
        <w:t>r</w:t>
      </w:r>
      <w:r w:rsidR="00A26CAB">
        <w:rPr>
          <w:sz w:val="22"/>
          <w:szCs w:val="22"/>
          <w:lang w:val="hr-HR"/>
        </w:rPr>
        <w:t>em</w:t>
      </w:r>
      <w:r w:rsidRPr="0082654D">
        <w:rPr>
          <w:sz w:val="22"/>
          <w:szCs w:val="22"/>
          <w:lang w:val="hr-HR"/>
        </w:rPr>
        <w:t xml:space="preserve">enog </w:t>
      </w:r>
      <w:r w:rsidR="00B66BE0">
        <w:rPr>
          <w:sz w:val="22"/>
          <w:szCs w:val="22"/>
          <w:lang w:val="hr-HR"/>
        </w:rPr>
        <w:t>liječenj</w:t>
      </w:r>
      <w:r w:rsidRPr="0082654D">
        <w:rPr>
          <w:sz w:val="22"/>
          <w:szCs w:val="22"/>
          <w:lang w:val="hr-HR"/>
        </w:rPr>
        <w:t>a inhibitorima BCRP</w:t>
      </w:r>
      <w:r w:rsidRPr="0082654D">
        <w:rPr>
          <w:sz w:val="22"/>
          <w:szCs w:val="22"/>
          <w:lang w:val="hr-HR"/>
        </w:rPr>
        <w:noBreakHyphen/>
        <w:t>a (npr. eltrombopagom, lapatinibom, pantoprazolom).</w:t>
      </w:r>
    </w:p>
    <w:p w14:paraId="2EA7C2EC" w14:textId="77777777" w:rsidR="0082654D" w:rsidRPr="0082654D" w:rsidRDefault="0082654D" w:rsidP="0058265B">
      <w:pPr>
        <w:shd w:val="clear" w:color="auto" w:fill="FFFFFF" w:themeFill="background1"/>
        <w:jc w:val="both"/>
        <w:rPr>
          <w:sz w:val="22"/>
          <w:szCs w:val="22"/>
          <w:lang w:val="hr-HR"/>
        </w:rPr>
      </w:pPr>
    </w:p>
    <w:p w14:paraId="74EDA8CE" w14:textId="77777777" w:rsidR="0082654D" w:rsidRPr="0082654D" w:rsidRDefault="00C10B32" w:rsidP="0058265B">
      <w:pPr>
        <w:keepNext/>
        <w:shd w:val="clear" w:color="auto" w:fill="FFFFFF" w:themeFill="background1"/>
        <w:jc w:val="both"/>
        <w:rPr>
          <w:sz w:val="22"/>
          <w:szCs w:val="22"/>
          <w:u w:val="single"/>
          <w:lang w:val="hr-HR"/>
        </w:rPr>
      </w:pPr>
      <w:r>
        <w:rPr>
          <w:sz w:val="22"/>
          <w:szCs w:val="22"/>
          <w:u w:val="single"/>
          <w:lang w:val="hr-HR"/>
        </w:rPr>
        <w:t>Ljekov</w:t>
      </w:r>
      <w:r w:rsidR="0082654D" w:rsidRPr="0082654D">
        <w:rPr>
          <w:sz w:val="22"/>
          <w:szCs w:val="22"/>
          <w:u w:val="single"/>
          <w:lang w:val="hr-HR"/>
        </w:rPr>
        <w:t>i koji mogu da smanje koncentracije alpelisiba u plazmi</w:t>
      </w:r>
    </w:p>
    <w:p w14:paraId="5C71D534" w14:textId="77777777" w:rsidR="0082654D" w:rsidRPr="0082654D" w:rsidRDefault="0082654D" w:rsidP="0058265B">
      <w:pPr>
        <w:keepNext/>
        <w:shd w:val="clear" w:color="auto" w:fill="FFFFFF" w:themeFill="background1"/>
        <w:jc w:val="both"/>
        <w:rPr>
          <w:sz w:val="22"/>
          <w:szCs w:val="22"/>
          <w:lang w:val="hr-HR"/>
        </w:rPr>
      </w:pPr>
    </w:p>
    <w:p w14:paraId="160D1B29" w14:textId="77777777" w:rsidR="0082654D" w:rsidRPr="0082654D" w:rsidRDefault="0082654D" w:rsidP="0058265B">
      <w:pPr>
        <w:keepNext/>
        <w:shd w:val="clear" w:color="auto" w:fill="FFFFFF" w:themeFill="background1"/>
        <w:jc w:val="both"/>
        <w:rPr>
          <w:bCs/>
          <w:i/>
          <w:sz w:val="22"/>
          <w:szCs w:val="22"/>
          <w:lang w:val="hr-HR"/>
        </w:rPr>
      </w:pPr>
      <w:r w:rsidRPr="0082654D">
        <w:rPr>
          <w:bCs/>
          <w:i/>
          <w:sz w:val="22"/>
          <w:szCs w:val="22"/>
          <w:u w:val="single"/>
          <w:lang w:val="hr-HR"/>
        </w:rPr>
        <w:t>Supstance koje snižavaju kiselost</w:t>
      </w:r>
    </w:p>
    <w:p w14:paraId="0FD7C39F" w14:textId="565F71F1" w:rsidR="0082654D" w:rsidRPr="0082654D" w:rsidRDefault="0082654D" w:rsidP="0058265B">
      <w:pPr>
        <w:shd w:val="clear" w:color="auto" w:fill="FFFFFF" w:themeFill="background1"/>
        <w:jc w:val="both"/>
        <w:rPr>
          <w:bCs/>
          <w:sz w:val="22"/>
          <w:szCs w:val="22"/>
          <w:lang w:val="hr-HR"/>
        </w:rPr>
      </w:pPr>
      <w:r w:rsidRPr="0082654D">
        <w:rPr>
          <w:bCs/>
          <w:sz w:val="22"/>
          <w:szCs w:val="22"/>
          <w:lang w:val="hr-HR"/>
        </w:rPr>
        <w:t>Isto</w:t>
      </w:r>
      <w:r w:rsidR="00A26CAB">
        <w:rPr>
          <w:bCs/>
          <w:sz w:val="22"/>
          <w:szCs w:val="22"/>
          <w:lang w:val="hr-HR"/>
        </w:rPr>
        <w:t>vrem</w:t>
      </w:r>
      <w:r w:rsidRPr="0082654D">
        <w:rPr>
          <w:bCs/>
          <w:sz w:val="22"/>
          <w:szCs w:val="22"/>
          <w:lang w:val="hr-HR"/>
        </w:rPr>
        <w:t xml:space="preserve">ena </w:t>
      </w:r>
      <w:r w:rsidR="00C21CF1">
        <w:rPr>
          <w:bCs/>
          <w:sz w:val="22"/>
          <w:szCs w:val="22"/>
          <w:lang w:val="hr-HR"/>
        </w:rPr>
        <w:t>primjen</w:t>
      </w:r>
      <w:r w:rsidRPr="0082654D">
        <w:rPr>
          <w:bCs/>
          <w:sz w:val="22"/>
          <w:szCs w:val="22"/>
          <w:lang w:val="hr-HR"/>
        </w:rPr>
        <w:t>a ranitidina, antagoniste H</w:t>
      </w:r>
      <w:r w:rsidRPr="0082654D">
        <w:rPr>
          <w:bCs/>
          <w:sz w:val="22"/>
          <w:szCs w:val="22"/>
          <w:vertAlign w:val="subscript"/>
          <w:lang w:val="hr-HR"/>
        </w:rPr>
        <w:t>2</w:t>
      </w:r>
      <w:r w:rsidRPr="0082654D">
        <w:rPr>
          <w:bCs/>
          <w:sz w:val="22"/>
          <w:szCs w:val="22"/>
          <w:lang w:val="hr-HR"/>
        </w:rPr>
        <w:t>-receptora, u kombinaciji sa jednokratnom peroralnom dozom alpelisiba od 300 mg neznatno je smanjila bioraspoloživost alpelisiba, i smanjila sveukupnu izloženost alpelisibu. Uz obrok niskog ud</w:t>
      </w:r>
      <w:r w:rsidR="00C233FD">
        <w:rPr>
          <w:bCs/>
          <w:sz w:val="22"/>
          <w:szCs w:val="22"/>
          <w:lang w:val="hr-HR"/>
        </w:rPr>
        <w:t>j</w:t>
      </w:r>
      <w:r w:rsidRPr="0082654D">
        <w:rPr>
          <w:bCs/>
          <w:sz w:val="22"/>
          <w:szCs w:val="22"/>
          <w:lang w:val="hr-HR"/>
        </w:rPr>
        <w:t xml:space="preserve">ela masti i niske kalorijske </w:t>
      </w:r>
      <w:r w:rsidR="002A51AB">
        <w:rPr>
          <w:bCs/>
          <w:sz w:val="22"/>
          <w:szCs w:val="22"/>
          <w:lang w:val="hr-HR"/>
        </w:rPr>
        <w:t>vrijednost</w:t>
      </w:r>
      <w:r w:rsidRPr="0082654D">
        <w:rPr>
          <w:bCs/>
          <w:sz w:val="22"/>
          <w:szCs w:val="22"/>
          <w:lang w:val="hr-HR"/>
        </w:rPr>
        <w:t>i</w:t>
      </w:r>
      <w:r w:rsidRPr="0082654D">
        <w:rPr>
          <w:sz w:val="22"/>
          <w:szCs w:val="22"/>
          <w:lang w:val="hr-HR"/>
        </w:rPr>
        <w:t xml:space="preserve"> (engl. </w:t>
      </w:r>
      <w:r w:rsidRPr="0082654D">
        <w:rPr>
          <w:i/>
          <w:sz w:val="22"/>
          <w:szCs w:val="22"/>
          <w:lang w:val="hr-HR"/>
        </w:rPr>
        <w:t>low-fat low-calorie</w:t>
      </w:r>
      <w:r w:rsidRPr="0082654D">
        <w:rPr>
          <w:sz w:val="22"/>
          <w:szCs w:val="22"/>
          <w:lang w:val="hr-HR"/>
        </w:rPr>
        <w:t xml:space="preserve">, </w:t>
      </w:r>
      <w:r w:rsidRPr="0082654D">
        <w:rPr>
          <w:bCs/>
          <w:sz w:val="22"/>
          <w:szCs w:val="22"/>
          <w:lang w:val="hr-HR"/>
        </w:rPr>
        <w:t>LFLC) PIK</w:t>
      </w:r>
      <w:r w:rsidRPr="0082654D">
        <w:rPr>
          <w:bCs/>
          <w:sz w:val="22"/>
          <w:szCs w:val="22"/>
          <w:vertAlign w:val="subscript"/>
          <w:lang w:val="hr-HR"/>
        </w:rPr>
        <w:t>inf</w:t>
      </w:r>
      <w:r w:rsidRPr="0082654D">
        <w:rPr>
          <w:bCs/>
          <w:sz w:val="22"/>
          <w:szCs w:val="22"/>
          <w:lang w:val="hr-HR"/>
        </w:rPr>
        <w:t xml:space="preserve"> se smanjio u pros</w:t>
      </w:r>
      <w:r w:rsidR="002F55A6">
        <w:rPr>
          <w:bCs/>
          <w:sz w:val="22"/>
          <w:szCs w:val="22"/>
          <w:lang w:val="hr-HR"/>
        </w:rPr>
        <w:t>j</w:t>
      </w:r>
      <w:r w:rsidRPr="0082654D">
        <w:rPr>
          <w:bCs/>
          <w:sz w:val="22"/>
          <w:szCs w:val="22"/>
          <w:lang w:val="hr-HR"/>
        </w:rPr>
        <w:t>eku za 21%, a C</w:t>
      </w:r>
      <w:r w:rsidRPr="0082654D">
        <w:rPr>
          <w:bCs/>
          <w:sz w:val="22"/>
          <w:szCs w:val="22"/>
          <w:vertAlign w:val="subscript"/>
          <w:lang w:val="hr-HR"/>
        </w:rPr>
        <w:t>max</w:t>
      </w:r>
      <w:r w:rsidRPr="0082654D">
        <w:rPr>
          <w:bCs/>
          <w:sz w:val="22"/>
          <w:szCs w:val="22"/>
          <w:lang w:val="hr-HR"/>
        </w:rPr>
        <w:t xml:space="preserve"> za 36% uz ranitidin. Bez obroka, učinak je bio još izraženiji uz smanjenje PIK</w:t>
      </w:r>
      <w:r w:rsidRPr="0082654D">
        <w:rPr>
          <w:bCs/>
          <w:sz w:val="22"/>
          <w:szCs w:val="22"/>
          <w:vertAlign w:val="subscript"/>
          <w:lang w:val="hr-HR"/>
        </w:rPr>
        <w:t>inf</w:t>
      </w:r>
      <w:r w:rsidRPr="0082654D">
        <w:rPr>
          <w:bCs/>
          <w:sz w:val="22"/>
          <w:szCs w:val="22"/>
          <w:lang w:val="hr-HR"/>
        </w:rPr>
        <w:t xml:space="preserve"> za 30% i smanjenje C</w:t>
      </w:r>
      <w:r w:rsidRPr="0082654D">
        <w:rPr>
          <w:bCs/>
          <w:sz w:val="22"/>
          <w:szCs w:val="22"/>
          <w:vertAlign w:val="subscript"/>
          <w:lang w:val="hr-HR"/>
        </w:rPr>
        <w:t>max</w:t>
      </w:r>
      <w:r w:rsidRPr="0082654D">
        <w:rPr>
          <w:bCs/>
          <w:sz w:val="22"/>
          <w:szCs w:val="22"/>
          <w:lang w:val="hr-HR"/>
        </w:rPr>
        <w:t xml:space="preserve"> za 51% uz ranitidin u pore</w:t>
      </w:r>
      <w:r w:rsidRPr="0082654D">
        <w:rPr>
          <w:bCs/>
          <w:sz w:val="22"/>
          <w:szCs w:val="22"/>
          <w:lang w:val="sr-Latn-RS"/>
        </w:rPr>
        <w:t xml:space="preserve">đenju </w:t>
      </w:r>
      <w:r w:rsidRPr="0082654D">
        <w:rPr>
          <w:bCs/>
          <w:sz w:val="22"/>
          <w:szCs w:val="22"/>
          <w:lang w:val="hr-HR"/>
        </w:rPr>
        <w:t>sa uzimanjem natašte bez isto</w:t>
      </w:r>
      <w:r w:rsidR="00A26CAB">
        <w:rPr>
          <w:bCs/>
          <w:sz w:val="22"/>
          <w:szCs w:val="22"/>
          <w:lang w:val="hr-HR"/>
        </w:rPr>
        <w:t>vrem</w:t>
      </w:r>
      <w:r w:rsidRPr="0082654D">
        <w:rPr>
          <w:bCs/>
          <w:sz w:val="22"/>
          <w:szCs w:val="22"/>
          <w:lang w:val="hr-HR"/>
        </w:rPr>
        <w:t xml:space="preserve">ene </w:t>
      </w:r>
      <w:r w:rsidR="00C21CF1">
        <w:rPr>
          <w:bCs/>
          <w:sz w:val="22"/>
          <w:szCs w:val="22"/>
          <w:lang w:val="hr-HR"/>
        </w:rPr>
        <w:t>primjen</w:t>
      </w:r>
      <w:r w:rsidRPr="0082654D">
        <w:rPr>
          <w:bCs/>
          <w:sz w:val="22"/>
          <w:szCs w:val="22"/>
          <w:lang w:val="hr-HR"/>
        </w:rPr>
        <w:t>e ranitidina. Populaciona farmakokinetička analiza nije pokazala značajan efekat isto</w:t>
      </w:r>
      <w:r w:rsidR="00A26CAB">
        <w:rPr>
          <w:bCs/>
          <w:sz w:val="22"/>
          <w:szCs w:val="22"/>
          <w:lang w:val="hr-HR"/>
        </w:rPr>
        <w:t>vrem</w:t>
      </w:r>
      <w:r w:rsidRPr="0082654D">
        <w:rPr>
          <w:bCs/>
          <w:sz w:val="22"/>
          <w:szCs w:val="22"/>
          <w:lang w:val="hr-HR"/>
        </w:rPr>
        <w:t xml:space="preserve">ene </w:t>
      </w:r>
      <w:r w:rsidR="00C21CF1">
        <w:rPr>
          <w:bCs/>
          <w:sz w:val="22"/>
          <w:szCs w:val="22"/>
          <w:lang w:val="hr-HR"/>
        </w:rPr>
        <w:t>primjen</w:t>
      </w:r>
      <w:r w:rsidRPr="0082654D">
        <w:rPr>
          <w:bCs/>
          <w:sz w:val="22"/>
          <w:szCs w:val="22"/>
          <w:lang w:val="hr-HR"/>
        </w:rPr>
        <w:t>e supstanci koje snižavaju kiselost, uključujući inhibitore protonske pumpe, antagoniste H</w:t>
      </w:r>
      <w:r w:rsidRPr="0082654D">
        <w:rPr>
          <w:bCs/>
          <w:sz w:val="22"/>
          <w:szCs w:val="22"/>
          <w:vertAlign w:val="subscript"/>
          <w:lang w:val="hr-HR"/>
        </w:rPr>
        <w:t>2</w:t>
      </w:r>
      <w:r w:rsidRPr="0082654D">
        <w:rPr>
          <w:bCs/>
          <w:sz w:val="22"/>
          <w:szCs w:val="22"/>
          <w:lang w:val="hr-HR"/>
        </w:rPr>
        <w:t xml:space="preserve">-receptora i antacide, na farmakokinetiku alpelisiba. Zbog toga </w:t>
      </w:r>
      <w:r w:rsidR="00A0017D">
        <w:rPr>
          <w:bCs/>
          <w:sz w:val="22"/>
          <w:szCs w:val="22"/>
          <w:lang w:val="hr-HR"/>
        </w:rPr>
        <w:t xml:space="preserve">se </w:t>
      </w:r>
      <w:r w:rsidRPr="0082654D">
        <w:rPr>
          <w:bCs/>
          <w:sz w:val="22"/>
          <w:szCs w:val="22"/>
          <w:lang w:val="hr-HR"/>
        </w:rPr>
        <w:t>alpelisib može isto</w:t>
      </w:r>
      <w:r w:rsidR="00A26CAB">
        <w:rPr>
          <w:bCs/>
          <w:sz w:val="22"/>
          <w:szCs w:val="22"/>
          <w:lang w:val="hr-HR"/>
        </w:rPr>
        <w:t>vrem</w:t>
      </w:r>
      <w:r w:rsidRPr="0082654D">
        <w:rPr>
          <w:bCs/>
          <w:sz w:val="22"/>
          <w:szCs w:val="22"/>
          <w:lang w:val="hr-HR"/>
        </w:rPr>
        <w:t xml:space="preserve">eno </w:t>
      </w:r>
      <w:r w:rsidR="00C21CF1">
        <w:rPr>
          <w:bCs/>
          <w:sz w:val="22"/>
          <w:szCs w:val="22"/>
          <w:lang w:val="hr-HR"/>
        </w:rPr>
        <w:t>primjen</w:t>
      </w:r>
      <w:r w:rsidRPr="0082654D">
        <w:rPr>
          <w:bCs/>
          <w:sz w:val="22"/>
          <w:szCs w:val="22"/>
          <w:lang w:val="hr-HR"/>
        </w:rPr>
        <w:t>jivati sa supstancama koje snižavaju kiselost, pod uslovom da se alpelisib uzme odmah nakon hrane (</w:t>
      </w:r>
      <w:r w:rsidR="00EF7C8E">
        <w:rPr>
          <w:bCs/>
          <w:sz w:val="22"/>
          <w:szCs w:val="22"/>
          <w:lang w:val="hr-HR"/>
        </w:rPr>
        <w:t>pogledati dio</w:t>
      </w:r>
      <w:r w:rsidRPr="0082654D">
        <w:rPr>
          <w:bCs/>
          <w:sz w:val="22"/>
          <w:szCs w:val="22"/>
          <w:lang w:val="hr-HR"/>
        </w:rPr>
        <w:t xml:space="preserve"> 4.2).</w:t>
      </w:r>
    </w:p>
    <w:p w14:paraId="6E695C43" w14:textId="77777777" w:rsidR="00264ADA" w:rsidRDefault="00264ADA" w:rsidP="00264ADA">
      <w:pPr>
        <w:keepNext/>
        <w:rPr>
          <w:i/>
          <w:sz w:val="22"/>
          <w:szCs w:val="22"/>
          <w:u w:val="single"/>
          <w:lang w:val="hr-HR"/>
        </w:rPr>
      </w:pPr>
    </w:p>
    <w:p w14:paraId="0D77B870" w14:textId="29DBC034" w:rsidR="00264ADA" w:rsidRPr="00791C05" w:rsidRDefault="00264ADA" w:rsidP="00264ADA">
      <w:pPr>
        <w:keepNext/>
        <w:rPr>
          <w:i/>
          <w:sz w:val="22"/>
          <w:szCs w:val="22"/>
          <w:u w:val="single"/>
          <w:lang w:val="hr-HR"/>
        </w:rPr>
      </w:pPr>
      <w:r w:rsidRPr="00791C05">
        <w:rPr>
          <w:i/>
          <w:sz w:val="22"/>
          <w:szCs w:val="22"/>
          <w:u w:val="single"/>
          <w:lang w:val="hr-HR"/>
        </w:rPr>
        <w:t>Induktori CYP3A4</w:t>
      </w:r>
    </w:p>
    <w:p w14:paraId="44EB69D1" w14:textId="3DD71B36" w:rsidR="00264ADA" w:rsidRPr="00791C05" w:rsidRDefault="00264ADA" w:rsidP="00264ADA">
      <w:pPr>
        <w:keepNext/>
        <w:shd w:val="clear" w:color="auto" w:fill="FFFFFF" w:themeFill="background1"/>
        <w:rPr>
          <w:bCs/>
          <w:noProof/>
          <w:sz w:val="22"/>
          <w:szCs w:val="22"/>
        </w:rPr>
      </w:pPr>
      <w:r w:rsidRPr="00791C05">
        <w:rPr>
          <w:sz w:val="22"/>
          <w:szCs w:val="22"/>
          <w:lang w:val="hr-HR"/>
        </w:rPr>
        <w:t>Prim</w:t>
      </w:r>
      <w:r w:rsidR="00212EDF">
        <w:rPr>
          <w:sz w:val="22"/>
          <w:szCs w:val="22"/>
          <w:lang w:val="hr-HR"/>
        </w:rPr>
        <w:t>j</w:t>
      </w:r>
      <w:r w:rsidRPr="00791C05">
        <w:rPr>
          <w:sz w:val="22"/>
          <w:szCs w:val="22"/>
          <w:lang w:val="hr-HR"/>
        </w:rPr>
        <w:t>ena 600 mg rifampina jednom dnevno (jakog induktora CYP3A4) tokom 7 dana, praćena istovremenom prim</w:t>
      </w:r>
      <w:r w:rsidR="00212EDF">
        <w:rPr>
          <w:sz w:val="22"/>
          <w:szCs w:val="22"/>
          <w:lang w:val="hr-HR"/>
        </w:rPr>
        <w:t>j</w:t>
      </w:r>
      <w:r w:rsidRPr="00791C05">
        <w:rPr>
          <w:sz w:val="22"/>
          <w:szCs w:val="22"/>
          <w:lang w:val="hr-HR"/>
        </w:rPr>
        <w:t>enom pojedinačne oralne doze od 300 mg alpelisiba od 8.-og dana, smanjuju C</w:t>
      </w:r>
      <w:r w:rsidRPr="00791C05">
        <w:rPr>
          <w:sz w:val="22"/>
          <w:szCs w:val="22"/>
          <w:vertAlign w:val="subscript"/>
          <w:lang w:val="hr-HR"/>
        </w:rPr>
        <w:t>max</w:t>
      </w:r>
      <w:r w:rsidRPr="00791C05">
        <w:rPr>
          <w:sz w:val="22"/>
          <w:szCs w:val="22"/>
          <w:lang w:val="hr-HR"/>
        </w:rPr>
        <w:t xml:space="preserve"> alpelisiba za 38% i PIK za 57% kod zdravih odraslih osoba </w:t>
      </w:r>
      <w:r w:rsidRPr="00791C05">
        <w:rPr>
          <w:bCs/>
          <w:noProof/>
          <w:sz w:val="22"/>
          <w:szCs w:val="22"/>
        </w:rPr>
        <w:t>(N=25). Istovremena prim</w:t>
      </w:r>
      <w:r w:rsidR="00212EDF">
        <w:rPr>
          <w:bCs/>
          <w:noProof/>
          <w:sz w:val="22"/>
          <w:szCs w:val="22"/>
        </w:rPr>
        <w:t>j</w:t>
      </w:r>
      <w:r w:rsidRPr="00791C05">
        <w:rPr>
          <w:bCs/>
          <w:noProof/>
          <w:sz w:val="22"/>
          <w:szCs w:val="22"/>
        </w:rPr>
        <w:t>ena 600 mg rifampina jednom dnevno tokom 15 dana sa 300 mg alpelisiba jednom dnevno počev od 8.-og do 15-og dana smanjuju C</w:t>
      </w:r>
      <w:r w:rsidRPr="00791C05">
        <w:rPr>
          <w:bCs/>
          <w:noProof/>
          <w:sz w:val="22"/>
          <w:szCs w:val="22"/>
          <w:vertAlign w:val="subscript"/>
        </w:rPr>
        <w:t>max</w:t>
      </w:r>
      <w:r w:rsidRPr="00791C05">
        <w:rPr>
          <w:bCs/>
          <w:noProof/>
          <w:sz w:val="22"/>
          <w:szCs w:val="22"/>
        </w:rPr>
        <w:t xml:space="preserve"> alpelisiba u stanju ravnoteže za 59% i PIK za 74%.</w:t>
      </w:r>
    </w:p>
    <w:p w14:paraId="16475B8F" w14:textId="77777777" w:rsidR="00264ADA" w:rsidRPr="00791C05" w:rsidRDefault="00264ADA" w:rsidP="00264ADA">
      <w:pPr>
        <w:tabs>
          <w:tab w:val="left" w:pos="708"/>
        </w:tabs>
        <w:rPr>
          <w:bCs/>
          <w:noProof/>
          <w:sz w:val="22"/>
          <w:szCs w:val="22"/>
        </w:rPr>
      </w:pPr>
    </w:p>
    <w:p w14:paraId="4A902E40" w14:textId="620D687D" w:rsidR="00264ADA" w:rsidRPr="00791C05" w:rsidRDefault="00264ADA" w:rsidP="00264ADA">
      <w:pPr>
        <w:keepNext/>
        <w:rPr>
          <w:bCs/>
          <w:noProof/>
          <w:sz w:val="22"/>
          <w:szCs w:val="22"/>
        </w:rPr>
      </w:pPr>
      <w:r w:rsidRPr="00791C05">
        <w:rPr>
          <w:sz w:val="22"/>
          <w:szCs w:val="22"/>
          <w:lang w:val="hr-HR"/>
        </w:rPr>
        <w:t>Istovremena prim</w:t>
      </w:r>
      <w:r w:rsidR="00212EDF">
        <w:rPr>
          <w:sz w:val="22"/>
          <w:szCs w:val="22"/>
          <w:lang w:val="hr-HR"/>
        </w:rPr>
        <w:t>j</w:t>
      </w:r>
      <w:r w:rsidRPr="00791C05">
        <w:rPr>
          <w:sz w:val="22"/>
          <w:szCs w:val="22"/>
          <w:lang w:val="hr-HR"/>
        </w:rPr>
        <w:t>ena sa jakim induktorom CYP3A4 smanjuje PIK</w:t>
      </w:r>
      <w:r w:rsidRPr="00791C05">
        <w:rPr>
          <w:bCs/>
          <w:noProof/>
          <w:sz w:val="22"/>
          <w:szCs w:val="22"/>
        </w:rPr>
        <w:t xml:space="preserve"> alpelisiba, što može smanjiti efikasnost alpelisiba. I</w:t>
      </w:r>
      <w:r w:rsidRPr="00791C05">
        <w:rPr>
          <w:sz w:val="22"/>
          <w:szCs w:val="22"/>
          <w:lang w:val="hr-HR"/>
        </w:rPr>
        <w:t>stovremenu prim</w:t>
      </w:r>
      <w:r w:rsidR="00212EDF">
        <w:rPr>
          <w:sz w:val="22"/>
          <w:szCs w:val="22"/>
          <w:lang w:val="hr-HR"/>
        </w:rPr>
        <w:t>j</w:t>
      </w:r>
      <w:r w:rsidRPr="00791C05">
        <w:rPr>
          <w:sz w:val="22"/>
          <w:szCs w:val="22"/>
          <w:lang w:val="hr-HR"/>
        </w:rPr>
        <w:t>enu alpelisiba i jakog induktora CYP3A4</w:t>
      </w:r>
      <w:r w:rsidRPr="00791C05">
        <w:rPr>
          <w:bCs/>
          <w:noProof/>
          <w:sz w:val="22"/>
          <w:szCs w:val="22"/>
        </w:rPr>
        <w:t xml:space="preserve"> (npr. apalutamid, karbamazepin, enzalutamid, mitotan, fenitoin, rifampin, kantarion) treba izb</w:t>
      </w:r>
      <w:r w:rsidR="00212EDF">
        <w:rPr>
          <w:bCs/>
          <w:noProof/>
          <w:sz w:val="22"/>
          <w:szCs w:val="22"/>
        </w:rPr>
        <w:t>j</w:t>
      </w:r>
      <w:r w:rsidRPr="00791C05">
        <w:rPr>
          <w:bCs/>
          <w:noProof/>
          <w:sz w:val="22"/>
          <w:szCs w:val="22"/>
        </w:rPr>
        <w:t>egavati i za istovremenu prim</w:t>
      </w:r>
      <w:r w:rsidR="00212EDF">
        <w:rPr>
          <w:bCs/>
          <w:noProof/>
          <w:sz w:val="22"/>
          <w:szCs w:val="22"/>
        </w:rPr>
        <w:t>j</w:t>
      </w:r>
      <w:r w:rsidRPr="00791C05">
        <w:rPr>
          <w:bCs/>
          <w:noProof/>
          <w:sz w:val="22"/>
          <w:szCs w:val="22"/>
        </w:rPr>
        <w:t>enu razmotriti izbor drugog l</w:t>
      </w:r>
      <w:r w:rsidR="00212EDF">
        <w:rPr>
          <w:bCs/>
          <w:noProof/>
          <w:sz w:val="22"/>
          <w:szCs w:val="22"/>
        </w:rPr>
        <w:t>ij</w:t>
      </w:r>
      <w:r w:rsidRPr="00791C05">
        <w:rPr>
          <w:bCs/>
          <w:noProof/>
          <w:sz w:val="22"/>
          <w:szCs w:val="22"/>
        </w:rPr>
        <w:t>eka koji nema ili ima minimalni potencijal da indukuje CYP3A4.</w:t>
      </w:r>
    </w:p>
    <w:p w14:paraId="6378686D" w14:textId="77777777" w:rsidR="0082654D" w:rsidRPr="00264ADA" w:rsidRDefault="0082654D" w:rsidP="0082654D">
      <w:pPr>
        <w:shd w:val="clear" w:color="auto" w:fill="FFFFFF" w:themeFill="background1"/>
        <w:rPr>
          <w:sz w:val="22"/>
          <w:szCs w:val="22"/>
          <w:lang w:val="hr-HR"/>
        </w:rPr>
      </w:pPr>
    </w:p>
    <w:p w14:paraId="62D4D4E6" w14:textId="27126551" w:rsidR="0082654D" w:rsidRPr="0082654D" w:rsidRDefault="00C10B32" w:rsidP="0058265B">
      <w:pPr>
        <w:keepNext/>
        <w:shd w:val="clear" w:color="auto" w:fill="FFFFFF" w:themeFill="background1"/>
        <w:jc w:val="both"/>
        <w:rPr>
          <w:sz w:val="22"/>
          <w:szCs w:val="22"/>
          <w:lang w:val="hr-HR"/>
        </w:rPr>
      </w:pPr>
      <w:r>
        <w:rPr>
          <w:sz w:val="22"/>
          <w:szCs w:val="22"/>
          <w:u w:val="single"/>
          <w:lang w:val="hr-HR"/>
        </w:rPr>
        <w:t>Ljekov</w:t>
      </w:r>
      <w:r w:rsidR="0082654D" w:rsidRPr="0082654D">
        <w:rPr>
          <w:sz w:val="22"/>
          <w:szCs w:val="22"/>
          <w:u w:val="single"/>
          <w:lang w:val="hr-HR"/>
        </w:rPr>
        <w:t xml:space="preserve">i kojima alpelisib može da </w:t>
      </w:r>
      <w:r w:rsidR="00065093">
        <w:rPr>
          <w:sz w:val="22"/>
          <w:szCs w:val="22"/>
          <w:u w:val="single"/>
          <w:lang w:val="hr-HR"/>
        </w:rPr>
        <w:t>prom</w:t>
      </w:r>
      <w:r w:rsidR="002F55A6">
        <w:rPr>
          <w:sz w:val="22"/>
          <w:szCs w:val="22"/>
          <w:u w:val="single"/>
          <w:lang w:val="hr-HR"/>
        </w:rPr>
        <w:t>i</w:t>
      </w:r>
      <w:r w:rsidR="00065093">
        <w:rPr>
          <w:sz w:val="22"/>
          <w:szCs w:val="22"/>
          <w:u w:val="single"/>
          <w:lang w:val="hr-HR"/>
        </w:rPr>
        <w:t>jen</w:t>
      </w:r>
      <w:r w:rsidR="0082654D" w:rsidRPr="0082654D">
        <w:rPr>
          <w:sz w:val="22"/>
          <w:szCs w:val="22"/>
          <w:u w:val="single"/>
          <w:lang w:val="hr-HR"/>
        </w:rPr>
        <w:t>i koncentracije u plazmi</w:t>
      </w:r>
    </w:p>
    <w:p w14:paraId="671633AE" w14:textId="77777777" w:rsidR="0082654D" w:rsidRPr="0082654D" w:rsidRDefault="0082654D" w:rsidP="0058265B">
      <w:pPr>
        <w:shd w:val="clear" w:color="auto" w:fill="FFFFFF" w:themeFill="background1"/>
        <w:jc w:val="both"/>
        <w:rPr>
          <w:sz w:val="22"/>
          <w:szCs w:val="22"/>
          <w:lang w:val="hr-HR"/>
        </w:rPr>
      </w:pPr>
    </w:p>
    <w:p w14:paraId="59C98AC1" w14:textId="3E0EA31A" w:rsidR="0082654D" w:rsidRPr="0082654D" w:rsidRDefault="0082654D" w:rsidP="005E3209">
      <w:pPr>
        <w:keepNext/>
        <w:shd w:val="clear" w:color="auto" w:fill="FFFFFF" w:themeFill="background1"/>
        <w:jc w:val="both"/>
        <w:rPr>
          <w:i/>
          <w:sz w:val="22"/>
          <w:szCs w:val="22"/>
          <w:u w:val="single"/>
          <w:lang w:val="hr-HR"/>
        </w:rPr>
      </w:pPr>
      <w:r w:rsidRPr="0082654D">
        <w:rPr>
          <w:i/>
          <w:sz w:val="22"/>
          <w:szCs w:val="22"/>
          <w:u w:val="single"/>
          <w:lang w:val="hr-HR"/>
        </w:rPr>
        <w:t>Supstrati CYP3A4</w:t>
      </w:r>
      <w:r w:rsidR="008F3BDC" w:rsidRPr="008F3BDC">
        <w:rPr>
          <w:i/>
          <w:sz w:val="22"/>
          <w:szCs w:val="22"/>
          <w:u w:val="single"/>
          <w:lang w:val="hr-HR"/>
        </w:rPr>
        <w:t>, CYP2C8, CYP2C9, CYP2C19 i CYP2B6</w:t>
      </w:r>
    </w:p>
    <w:p w14:paraId="11AF54DA" w14:textId="06FEAA34" w:rsidR="008F3BDC" w:rsidRPr="008F3BDC" w:rsidRDefault="0082654D" w:rsidP="007D3283">
      <w:pPr>
        <w:shd w:val="clear" w:color="auto" w:fill="FFFFFF"/>
        <w:jc w:val="both"/>
        <w:rPr>
          <w:sz w:val="22"/>
          <w:szCs w:val="22"/>
          <w:lang w:val="hr-HR"/>
        </w:rPr>
      </w:pPr>
      <w:r w:rsidRPr="0082654D">
        <w:rPr>
          <w:sz w:val="22"/>
          <w:szCs w:val="22"/>
          <w:lang w:val="hr-HR"/>
        </w:rPr>
        <w:t>Nije potrebno pril</w:t>
      </w:r>
      <w:r w:rsidR="00A0017D">
        <w:rPr>
          <w:sz w:val="22"/>
          <w:szCs w:val="22"/>
          <w:lang w:val="hr-HR"/>
        </w:rPr>
        <w:t>a</w:t>
      </w:r>
      <w:r w:rsidRPr="0082654D">
        <w:rPr>
          <w:sz w:val="22"/>
          <w:szCs w:val="22"/>
          <w:lang w:val="hr-HR"/>
        </w:rPr>
        <w:t xml:space="preserve">gođavanje doze kada se </w:t>
      </w:r>
      <w:r w:rsidR="002032DE">
        <w:rPr>
          <w:sz w:val="22"/>
          <w:szCs w:val="22"/>
          <w:lang w:val="hr-HR"/>
        </w:rPr>
        <w:t>alpelisib</w:t>
      </w:r>
      <w:r w:rsidRPr="0082654D">
        <w:rPr>
          <w:sz w:val="22"/>
          <w:szCs w:val="22"/>
          <w:lang w:val="hr-HR"/>
        </w:rPr>
        <w:t xml:space="preserve"> </w:t>
      </w:r>
      <w:r w:rsidR="00C21CF1">
        <w:rPr>
          <w:sz w:val="22"/>
          <w:szCs w:val="22"/>
          <w:lang w:val="hr-HR"/>
        </w:rPr>
        <w:t>primjen</w:t>
      </w:r>
      <w:r w:rsidRPr="0082654D">
        <w:rPr>
          <w:sz w:val="22"/>
          <w:szCs w:val="22"/>
          <w:lang w:val="hr-HR"/>
        </w:rPr>
        <w:t>juje isto</w:t>
      </w:r>
      <w:r w:rsidR="00A26CAB">
        <w:rPr>
          <w:sz w:val="22"/>
          <w:szCs w:val="22"/>
          <w:lang w:val="hr-HR"/>
        </w:rPr>
        <w:t>vrem</w:t>
      </w:r>
      <w:r w:rsidRPr="0082654D">
        <w:rPr>
          <w:sz w:val="22"/>
          <w:szCs w:val="22"/>
          <w:lang w:val="hr-HR"/>
        </w:rPr>
        <w:t>eno sa supstratima CYP3A4 (npr. everolimus, midazolam)</w:t>
      </w:r>
      <w:r w:rsidR="008F3BDC" w:rsidRPr="008F3BDC">
        <w:rPr>
          <w:sz w:val="22"/>
          <w:szCs w:val="22"/>
          <w:lang w:val="hr-HR"/>
        </w:rPr>
        <w:t xml:space="preserve">, </w:t>
      </w:r>
      <w:r w:rsidR="008F3BDC" w:rsidRPr="008F3BDC">
        <w:rPr>
          <w:sz w:val="22"/>
          <w:szCs w:val="22"/>
        </w:rPr>
        <w:t>supstratima CYP2C8 (npr. repaglinid), supstratima CYP2C9 (npr. varfarin), supstratima CYP2C19 (npr. omeprazol). Za supstrat CYP2B6, nisu uočene relevantne prom</w:t>
      </w:r>
      <w:r w:rsidR="004E1947">
        <w:rPr>
          <w:sz w:val="22"/>
          <w:szCs w:val="22"/>
        </w:rPr>
        <w:t>j</w:t>
      </w:r>
      <w:r w:rsidR="008F3BDC" w:rsidRPr="008F3BDC">
        <w:rPr>
          <w:sz w:val="22"/>
          <w:szCs w:val="22"/>
        </w:rPr>
        <w:t>ene u izloženosti prilikom istovremene prim</w:t>
      </w:r>
      <w:r w:rsidR="004E1947">
        <w:rPr>
          <w:sz w:val="22"/>
          <w:szCs w:val="22"/>
        </w:rPr>
        <w:t>j</w:t>
      </w:r>
      <w:r w:rsidR="008F3BDC" w:rsidRPr="008F3BDC">
        <w:rPr>
          <w:sz w:val="22"/>
          <w:szCs w:val="22"/>
        </w:rPr>
        <w:t xml:space="preserve">ene sa </w:t>
      </w:r>
      <w:r w:rsidR="002032DE">
        <w:rPr>
          <w:sz w:val="22"/>
          <w:szCs w:val="22"/>
        </w:rPr>
        <w:t>alpelisibom</w:t>
      </w:r>
      <w:r w:rsidR="008F3BDC" w:rsidRPr="008F3BDC">
        <w:rPr>
          <w:sz w:val="22"/>
          <w:szCs w:val="22"/>
        </w:rPr>
        <w:t>, međutim rezultate treba razmatrati sa oprezom zbog ograničenih podataka (</w:t>
      </w:r>
      <w:r w:rsidR="00EF7C8E">
        <w:rPr>
          <w:sz w:val="22"/>
          <w:szCs w:val="22"/>
        </w:rPr>
        <w:t>pogledati dio</w:t>
      </w:r>
      <w:r w:rsidR="008F3BDC" w:rsidRPr="008F3BDC">
        <w:rPr>
          <w:sz w:val="22"/>
          <w:szCs w:val="22"/>
        </w:rPr>
        <w:t> 5.2).</w:t>
      </w:r>
    </w:p>
    <w:p w14:paraId="6BB898F3" w14:textId="77777777" w:rsidR="0082654D" w:rsidRPr="0082654D" w:rsidRDefault="0082654D" w:rsidP="0058265B">
      <w:pPr>
        <w:shd w:val="clear" w:color="auto" w:fill="FFFFFF" w:themeFill="background1"/>
        <w:jc w:val="both"/>
        <w:rPr>
          <w:sz w:val="22"/>
          <w:szCs w:val="22"/>
          <w:lang w:val="hr-HR"/>
        </w:rPr>
      </w:pPr>
    </w:p>
    <w:p w14:paraId="23D0954B" w14:textId="70C04BFB" w:rsidR="0082654D" w:rsidRPr="0082654D" w:rsidRDefault="0082654D" w:rsidP="0058265B">
      <w:pPr>
        <w:shd w:val="clear" w:color="auto" w:fill="FFFFFF" w:themeFill="background1"/>
        <w:jc w:val="both"/>
        <w:rPr>
          <w:sz w:val="22"/>
          <w:szCs w:val="22"/>
          <w:lang w:val="hr-HR"/>
        </w:rPr>
      </w:pPr>
      <w:r w:rsidRPr="0082654D">
        <w:rPr>
          <w:sz w:val="22"/>
          <w:szCs w:val="22"/>
          <w:lang w:val="hr-HR"/>
        </w:rPr>
        <w:t xml:space="preserve">U studiji interakcije </w:t>
      </w:r>
      <w:r w:rsidR="008F3BDC">
        <w:rPr>
          <w:sz w:val="22"/>
          <w:szCs w:val="22"/>
          <w:lang w:val="hr-HR"/>
        </w:rPr>
        <w:t>između</w:t>
      </w:r>
      <w:r w:rsidRPr="0082654D">
        <w:rPr>
          <w:sz w:val="22"/>
          <w:szCs w:val="22"/>
          <w:lang w:val="hr-HR"/>
        </w:rPr>
        <w:t xml:space="preserve"> </w:t>
      </w:r>
      <w:r w:rsidR="00C10B32">
        <w:rPr>
          <w:sz w:val="22"/>
          <w:szCs w:val="22"/>
          <w:lang w:val="hr-HR"/>
        </w:rPr>
        <w:t>ljekov</w:t>
      </w:r>
      <w:r w:rsidR="008F3BDC">
        <w:rPr>
          <w:sz w:val="22"/>
          <w:szCs w:val="22"/>
          <w:lang w:val="hr-HR"/>
        </w:rPr>
        <w:t>a</w:t>
      </w:r>
      <w:r w:rsidRPr="0082654D">
        <w:rPr>
          <w:sz w:val="22"/>
          <w:szCs w:val="22"/>
          <w:lang w:val="hr-HR"/>
        </w:rPr>
        <w:t xml:space="preserve">, </w:t>
      </w:r>
      <w:r w:rsidR="002F55A6" w:rsidRPr="0082654D">
        <w:rPr>
          <w:sz w:val="22"/>
          <w:szCs w:val="22"/>
          <w:lang w:val="hr-HR"/>
        </w:rPr>
        <w:t>isto</w:t>
      </w:r>
      <w:r w:rsidR="002F55A6">
        <w:rPr>
          <w:sz w:val="22"/>
          <w:szCs w:val="22"/>
          <w:lang w:val="hr-HR"/>
        </w:rPr>
        <w:t>vrem</w:t>
      </w:r>
      <w:r w:rsidR="002F55A6" w:rsidRPr="0082654D">
        <w:rPr>
          <w:sz w:val="22"/>
          <w:szCs w:val="22"/>
          <w:lang w:val="hr-HR"/>
        </w:rPr>
        <w:t>en</w:t>
      </w:r>
      <w:r w:rsidR="002F55A6">
        <w:rPr>
          <w:sz w:val="22"/>
          <w:szCs w:val="22"/>
          <w:lang w:val="hr-HR"/>
        </w:rPr>
        <w:t>a</w:t>
      </w:r>
      <w:r w:rsidR="002F55A6" w:rsidRPr="0082654D">
        <w:rPr>
          <w:sz w:val="22"/>
          <w:szCs w:val="22"/>
          <w:lang w:val="hr-HR"/>
        </w:rPr>
        <w:t xml:space="preserve"> </w:t>
      </w:r>
      <w:r w:rsidR="00C21CF1">
        <w:rPr>
          <w:sz w:val="22"/>
          <w:szCs w:val="22"/>
          <w:lang w:val="hr-HR"/>
        </w:rPr>
        <w:t>primjen</w:t>
      </w:r>
      <w:r w:rsidRPr="0082654D">
        <w:rPr>
          <w:sz w:val="22"/>
          <w:szCs w:val="22"/>
          <w:lang w:val="hr-HR"/>
        </w:rPr>
        <w:t>a alpelisiba sa everolimusom, os</w:t>
      </w:r>
      <w:r w:rsidR="0058265B">
        <w:rPr>
          <w:sz w:val="22"/>
          <w:szCs w:val="22"/>
          <w:lang w:val="hr-HR"/>
        </w:rPr>
        <w:t>j</w:t>
      </w:r>
      <w:r w:rsidRPr="0082654D">
        <w:rPr>
          <w:sz w:val="22"/>
          <w:szCs w:val="22"/>
          <w:lang w:val="hr-HR"/>
        </w:rPr>
        <w:t xml:space="preserve">etljivim supstratom CYP3A4, </w:t>
      </w:r>
      <w:r w:rsidR="002F55A6" w:rsidRPr="0082654D">
        <w:rPr>
          <w:sz w:val="22"/>
          <w:szCs w:val="22"/>
          <w:lang w:val="hr-HR"/>
        </w:rPr>
        <w:t>potvr</w:t>
      </w:r>
      <w:r w:rsidR="002F55A6">
        <w:rPr>
          <w:sz w:val="22"/>
          <w:szCs w:val="22"/>
          <w:lang w:val="hr-HR"/>
        </w:rPr>
        <w:t>dila</w:t>
      </w:r>
      <w:r w:rsidR="002F55A6" w:rsidRPr="0082654D">
        <w:rPr>
          <w:sz w:val="22"/>
          <w:szCs w:val="22"/>
          <w:lang w:val="hr-HR"/>
        </w:rPr>
        <w:t xml:space="preserve"> </w:t>
      </w:r>
      <w:r w:rsidRPr="0082654D">
        <w:rPr>
          <w:sz w:val="22"/>
          <w:szCs w:val="22"/>
          <w:lang w:val="hr-HR"/>
        </w:rPr>
        <w:t>je da nema klinički značajnih farmakokinetičkih interakcija (povećanje PIK</w:t>
      </w:r>
      <w:r w:rsidRPr="0082654D">
        <w:rPr>
          <w:sz w:val="22"/>
          <w:szCs w:val="22"/>
          <w:lang w:val="hr-HR"/>
        </w:rPr>
        <w:noBreakHyphen/>
        <w:t xml:space="preserve">a za 11,2%) između alpelisiba i supstrata CYP3A4. Nije uočena </w:t>
      </w:r>
      <w:r w:rsidR="00065093">
        <w:rPr>
          <w:sz w:val="22"/>
          <w:szCs w:val="22"/>
          <w:lang w:val="hr-HR"/>
        </w:rPr>
        <w:t>promjen</w:t>
      </w:r>
      <w:r w:rsidRPr="0082654D">
        <w:rPr>
          <w:sz w:val="22"/>
          <w:szCs w:val="22"/>
          <w:lang w:val="hr-HR"/>
        </w:rPr>
        <w:t xml:space="preserve">a u izloženosti everolimusu pri dozama alpelisiba u rasponu od 250 do 300 mg. </w:t>
      </w:r>
    </w:p>
    <w:p w14:paraId="13FC3132" w14:textId="77777777" w:rsidR="0082654D" w:rsidRDefault="0082654D" w:rsidP="0058265B">
      <w:pPr>
        <w:shd w:val="clear" w:color="auto" w:fill="FFFFFF" w:themeFill="background1"/>
        <w:jc w:val="both"/>
        <w:rPr>
          <w:sz w:val="22"/>
          <w:szCs w:val="22"/>
          <w:lang w:val="hr-HR"/>
        </w:rPr>
      </w:pPr>
    </w:p>
    <w:p w14:paraId="296D968F" w14:textId="07C5ABCC" w:rsidR="008F3BDC" w:rsidRPr="0082654D" w:rsidRDefault="008F3BDC" w:rsidP="007D3283">
      <w:pPr>
        <w:shd w:val="clear" w:color="auto" w:fill="FFFFFF"/>
        <w:tabs>
          <w:tab w:val="left" w:pos="284"/>
        </w:tabs>
        <w:jc w:val="both"/>
        <w:rPr>
          <w:sz w:val="22"/>
          <w:szCs w:val="22"/>
          <w:lang w:val="hr-HR"/>
        </w:rPr>
      </w:pPr>
      <w:r w:rsidRPr="008F3BDC">
        <w:rPr>
          <w:sz w:val="22"/>
          <w:szCs w:val="22"/>
          <w:lang w:val="hr-HR"/>
        </w:rPr>
        <w:lastRenderedPageBreak/>
        <w:t>Kod zdravih ispitanika, istovremena prim</w:t>
      </w:r>
      <w:r w:rsidR="004E1947">
        <w:rPr>
          <w:sz w:val="22"/>
          <w:szCs w:val="22"/>
          <w:lang w:val="hr-HR"/>
        </w:rPr>
        <w:t>j</w:t>
      </w:r>
      <w:r w:rsidRPr="008F3BDC">
        <w:rPr>
          <w:sz w:val="22"/>
          <w:szCs w:val="22"/>
          <w:lang w:val="hr-HR"/>
        </w:rPr>
        <w:t>ena supstrata CYP2C9 (S</w:t>
      </w:r>
      <w:r w:rsidRPr="008F3BDC">
        <w:rPr>
          <w:sz w:val="22"/>
          <w:szCs w:val="22"/>
          <w:lang w:val="hr-HR"/>
        </w:rPr>
        <w:noBreakHyphen/>
        <w:t>varfarin) sa alpelisibom povećala je izloženost S</w:t>
      </w:r>
      <w:r w:rsidRPr="008F3BDC">
        <w:rPr>
          <w:sz w:val="22"/>
          <w:szCs w:val="22"/>
          <w:lang w:val="hr-HR"/>
        </w:rPr>
        <w:noBreakHyphen/>
        <w:t xml:space="preserve">varfarinu u proseku za 34% za </w:t>
      </w:r>
      <w:r w:rsidR="004E1947">
        <w:rPr>
          <w:sz w:val="22"/>
          <w:szCs w:val="22"/>
          <w:lang w:val="hr-HR"/>
        </w:rPr>
        <w:t>PIK</w:t>
      </w:r>
      <w:r w:rsidRPr="008F3BDC">
        <w:rPr>
          <w:sz w:val="22"/>
          <w:szCs w:val="22"/>
          <w:vertAlign w:val="subscript"/>
          <w:lang w:val="hr-HR"/>
        </w:rPr>
        <w:t>inf</w:t>
      </w:r>
      <w:r w:rsidRPr="008F3BDC">
        <w:rPr>
          <w:sz w:val="22"/>
          <w:szCs w:val="22"/>
          <w:lang w:val="hr-HR"/>
        </w:rPr>
        <w:t xml:space="preserve"> i 19% za C</w:t>
      </w:r>
      <w:r w:rsidRPr="008F3BDC">
        <w:rPr>
          <w:sz w:val="22"/>
          <w:szCs w:val="22"/>
          <w:vertAlign w:val="subscript"/>
          <w:lang w:val="hr-HR"/>
        </w:rPr>
        <w:t>max</w:t>
      </w:r>
      <w:r w:rsidRPr="008F3BDC">
        <w:rPr>
          <w:sz w:val="22"/>
          <w:szCs w:val="22"/>
          <w:lang w:val="hr-HR"/>
        </w:rPr>
        <w:t>, u poređenju sa samostalnom primenom S</w:t>
      </w:r>
      <w:r w:rsidRPr="008F3BDC">
        <w:rPr>
          <w:sz w:val="22"/>
          <w:szCs w:val="22"/>
          <w:lang w:val="hr-HR"/>
        </w:rPr>
        <w:noBreakHyphen/>
        <w:t>varfarina, što ukazuje da je alpelisib slab inhibitor CYP2C9.</w:t>
      </w:r>
    </w:p>
    <w:p w14:paraId="374004DC" w14:textId="77777777" w:rsidR="0082654D" w:rsidRPr="0082654D" w:rsidRDefault="0082654D" w:rsidP="0058265B">
      <w:pPr>
        <w:shd w:val="clear" w:color="auto" w:fill="FFFFFF" w:themeFill="background1"/>
        <w:jc w:val="both"/>
        <w:rPr>
          <w:bCs/>
          <w:sz w:val="22"/>
          <w:szCs w:val="22"/>
          <w:lang w:val="hr-HR"/>
        </w:rPr>
      </w:pPr>
    </w:p>
    <w:p w14:paraId="2E074BAF" w14:textId="77777777" w:rsidR="0082654D" w:rsidRPr="0082654D" w:rsidRDefault="0082654D" w:rsidP="0058265B">
      <w:pPr>
        <w:keepNext/>
        <w:keepLines/>
        <w:jc w:val="both"/>
        <w:rPr>
          <w:i/>
          <w:sz w:val="22"/>
          <w:szCs w:val="22"/>
          <w:u w:val="single"/>
          <w:lang w:val="hr-HR"/>
        </w:rPr>
      </w:pPr>
      <w:r w:rsidRPr="0082654D">
        <w:rPr>
          <w:i/>
          <w:sz w:val="22"/>
          <w:szCs w:val="22"/>
          <w:u w:val="single"/>
          <w:lang w:val="hr-HR"/>
        </w:rPr>
        <w:t>Supstance koje su supstrati transportera</w:t>
      </w:r>
    </w:p>
    <w:p w14:paraId="68EF314B" w14:textId="60D0C5FD" w:rsidR="0082654D" w:rsidRPr="0082654D" w:rsidRDefault="0082654D" w:rsidP="0058265B">
      <w:pPr>
        <w:jc w:val="both"/>
        <w:rPr>
          <w:sz w:val="22"/>
          <w:szCs w:val="22"/>
          <w:lang w:val="hr-HR"/>
        </w:rPr>
      </w:pPr>
      <w:r w:rsidRPr="0082654D">
        <w:rPr>
          <w:i/>
          <w:sz w:val="22"/>
          <w:szCs w:val="22"/>
          <w:lang w:val="hr-HR"/>
        </w:rPr>
        <w:t>In vitro</w:t>
      </w:r>
      <w:r w:rsidRPr="0082654D">
        <w:rPr>
          <w:sz w:val="22"/>
          <w:szCs w:val="22"/>
          <w:lang w:val="hr-HR"/>
        </w:rPr>
        <w:t xml:space="preserve"> proc</w:t>
      </w:r>
      <w:r w:rsidR="006703B2">
        <w:rPr>
          <w:sz w:val="22"/>
          <w:szCs w:val="22"/>
          <w:lang w:val="hr-HR"/>
        </w:rPr>
        <w:t>j</w:t>
      </w:r>
      <w:r w:rsidRPr="0082654D">
        <w:rPr>
          <w:sz w:val="22"/>
          <w:szCs w:val="22"/>
          <w:lang w:val="hr-HR"/>
        </w:rPr>
        <w:t xml:space="preserve">ene ukazale su na to da alpelisib (i/ili njegov metabolit BZG791) ima potencijal da inhibira aktivnosti </w:t>
      </w:r>
      <w:r w:rsidR="00E12644" w:rsidRPr="003B65D8">
        <w:rPr>
          <w:lang w:val="hr-HR"/>
        </w:rPr>
        <w:t>OAT3</w:t>
      </w:r>
      <w:r w:rsidR="00E12644">
        <w:rPr>
          <w:lang w:val="hr-HR"/>
        </w:rPr>
        <w:t xml:space="preserve"> </w:t>
      </w:r>
      <w:r w:rsidRPr="0082654D">
        <w:rPr>
          <w:sz w:val="22"/>
          <w:szCs w:val="22"/>
          <w:lang w:val="hr-HR"/>
        </w:rPr>
        <w:t xml:space="preserve">transportera </w:t>
      </w:r>
      <w:r w:rsidR="00C10B32">
        <w:rPr>
          <w:sz w:val="22"/>
          <w:szCs w:val="22"/>
          <w:lang w:val="hr-HR"/>
        </w:rPr>
        <w:t>lijek</w:t>
      </w:r>
      <w:r w:rsidRPr="0082654D">
        <w:rPr>
          <w:sz w:val="22"/>
          <w:szCs w:val="22"/>
          <w:lang w:val="hr-HR"/>
        </w:rPr>
        <w:t>a, i cr</w:t>
      </w:r>
      <w:r w:rsidR="00873880">
        <w:rPr>
          <w:sz w:val="22"/>
          <w:szCs w:val="22"/>
          <w:lang w:val="hr-HR"/>
        </w:rPr>
        <w:t>ij</w:t>
      </w:r>
      <w:r w:rsidRPr="0082654D">
        <w:rPr>
          <w:sz w:val="22"/>
          <w:szCs w:val="22"/>
          <w:lang w:val="hr-HR"/>
        </w:rPr>
        <w:t>ev</w:t>
      </w:r>
      <w:r w:rsidR="00E12644">
        <w:rPr>
          <w:sz w:val="22"/>
          <w:szCs w:val="22"/>
          <w:lang w:val="hr-HR"/>
        </w:rPr>
        <w:t>nog</w:t>
      </w:r>
      <w:r w:rsidRPr="0082654D">
        <w:rPr>
          <w:sz w:val="22"/>
          <w:szCs w:val="22"/>
          <w:lang w:val="hr-HR"/>
        </w:rPr>
        <w:t xml:space="preserve"> BCRP-a i P</w:t>
      </w:r>
      <w:r w:rsidRPr="0082654D">
        <w:rPr>
          <w:sz w:val="22"/>
          <w:szCs w:val="22"/>
          <w:lang w:val="hr-HR"/>
        </w:rPr>
        <w:noBreakHyphen/>
        <w:t xml:space="preserve">gp-a. </w:t>
      </w:r>
      <w:r w:rsidR="002032DE">
        <w:rPr>
          <w:sz w:val="22"/>
          <w:szCs w:val="22"/>
          <w:lang w:val="hr-HR"/>
        </w:rPr>
        <w:t>Alpelisib</w:t>
      </w:r>
      <w:r w:rsidRPr="0082654D">
        <w:rPr>
          <w:sz w:val="22"/>
          <w:szCs w:val="22"/>
          <w:lang w:val="hr-HR"/>
        </w:rPr>
        <w:t xml:space="preserve"> mora da se oprezno </w:t>
      </w:r>
      <w:r w:rsidR="00C21CF1">
        <w:rPr>
          <w:sz w:val="22"/>
          <w:szCs w:val="22"/>
          <w:lang w:val="hr-HR"/>
        </w:rPr>
        <w:t>primjen</w:t>
      </w:r>
      <w:r w:rsidRPr="0082654D">
        <w:rPr>
          <w:sz w:val="22"/>
          <w:szCs w:val="22"/>
          <w:lang w:val="hr-HR"/>
        </w:rPr>
        <w:t>juje u kombinaciji sa os</w:t>
      </w:r>
      <w:r w:rsidR="0067538B">
        <w:rPr>
          <w:sz w:val="22"/>
          <w:szCs w:val="22"/>
          <w:lang w:val="hr-HR"/>
        </w:rPr>
        <w:t>j</w:t>
      </w:r>
      <w:r w:rsidRPr="0082654D">
        <w:rPr>
          <w:sz w:val="22"/>
          <w:szCs w:val="22"/>
          <w:lang w:val="hr-HR"/>
        </w:rPr>
        <w:t>etljivim supstratima tih transportera koji imaju uski terapijski indeks</w:t>
      </w:r>
      <w:r w:rsidR="00873880">
        <w:rPr>
          <w:sz w:val="22"/>
          <w:szCs w:val="22"/>
          <w:lang w:val="hr-HR"/>
        </w:rPr>
        <w:t>,</w:t>
      </w:r>
      <w:r w:rsidRPr="0082654D">
        <w:rPr>
          <w:sz w:val="22"/>
          <w:szCs w:val="22"/>
          <w:lang w:val="hr-HR"/>
        </w:rPr>
        <w:t xml:space="preserve"> zato što bi </w:t>
      </w:r>
      <w:r w:rsidR="002032DE">
        <w:rPr>
          <w:sz w:val="22"/>
          <w:szCs w:val="22"/>
          <w:lang w:val="hr-HR"/>
        </w:rPr>
        <w:t>alpelisib</w:t>
      </w:r>
      <w:r w:rsidRPr="0082654D">
        <w:rPr>
          <w:sz w:val="22"/>
          <w:szCs w:val="22"/>
          <w:lang w:val="hr-HR"/>
        </w:rPr>
        <w:t xml:space="preserve"> mogao da poveća sistemsku izloženost tim supstratima.</w:t>
      </w:r>
    </w:p>
    <w:p w14:paraId="3B42F758" w14:textId="77777777" w:rsidR="0082654D" w:rsidRPr="0082654D" w:rsidRDefault="0082654D" w:rsidP="0058265B">
      <w:pPr>
        <w:shd w:val="clear" w:color="auto" w:fill="FFFFFF" w:themeFill="background1"/>
        <w:jc w:val="both"/>
        <w:rPr>
          <w:sz w:val="22"/>
          <w:szCs w:val="22"/>
          <w:lang w:val="hr-HR"/>
        </w:rPr>
      </w:pPr>
    </w:p>
    <w:p w14:paraId="0ED82E0D" w14:textId="455C5CA5" w:rsidR="0082654D" w:rsidRPr="0082654D" w:rsidRDefault="0082654D" w:rsidP="0058265B">
      <w:pPr>
        <w:keepNext/>
        <w:shd w:val="clear" w:color="auto" w:fill="FFFFFF" w:themeFill="background1"/>
        <w:jc w:val="both"/>
        <w:rPr>
          <w:sz w:val="22"/>
          <w:szCs w:val="22"/>
          <w:lang w:val="hr-HR"/>
        </w:rPr>
      </w:pPr>
      <w:r w:rsidRPr="0082654D">
        <w:rPr>
          <w:sz w:val="22"/>
          <w:szCs w:val="22"/>
          <w:u w:val="single"/>
          <w:lang w:val="hr-HR"/>
        </w:rPr>
        <w:t>Hormonski kontraceptivi</w:t>
      </w:r>
    </w:p>
    <w:p w14:paraId="166B6425" w14:textId="77777777" w:rsidR="0082654D" w:rsidRPr="0082654D" w:rsidRDefault="00D944EF" w:rsidP="0058265B">
      <w:pPr>
        <w:shd w:val="clear" w:color="auto" w:fill="FFFFFF" w:themeFill="background1"/>
        <w:jc w:val="both"/>
        <w:rPr>
          <w:sz w:val="22"/>
          <w:szCs w:val="22"/>
          <w:lang w:val="hr-HR"/>
        </w:rPr>
      </w:pPr>
      <w:r>
        <w:rPr>
          <w:sz w:val="22"/>
          <w:szCs w:val="22"/>
          <w:lang w:val="hr-HR"/>
        </w:rPr>
        <w:t>Nijesu</w:t>
      </w:r>
      <w:r w:rsidR="0082654D" w:rsidRPr="0082654D">
        <w:rPr>
          <w:sz w:val="22"/>
          <w:szCs w:val="22"/>
          <w:lang w:val="hr-HR"/>
        </w:rPr>
        <w:t xml:space="preserve"> sprovedena klinička ispitivanja za proc</w:t>
      </w:r>
      <w:r w:rsidR="0067538B">
        <w:rPr>
          <w:sz w:val="22"/>
          <w:szCs w:val="22"/>
          <w:lang w:val="hr-HR"/>
        </w:rPr>
        <w:t>j</w:t>
      </w:r>
      <w:r w:rsidR="0082654D" w:rsidRPr="0082654D">
        <w:rPr>
          <w:sz w:val="22"/>
          <w:szCs w:val="22"/>
          <w:lang w:val="hr-HR"/>
        </w:rPr>
        <w:t>enu potencijala interakcije između alpelisiba i hormonskih kontraceptiva.</w:t>
      </w:r>
    </w:p>
    <w:p w14:paraId="30ED947E" w14:textId="77777777" w:rsidR="0072020E" w:rsidRPr="0082654D" w:rsidRDefault="0072020E" w:rsidP="00480FB1">
      <w:pPr>
        <w:tabs>
          <w:tab w:val="left" w:pos="540"/>
          <w:tab w:val="left" w:pos="569"/>
        </w:tabs>
        <w:rPr>
          <w:bCs/>
          <w:sz w:val="22"/>
          <w:szCs w:val="22"/>
        </w:rPr>
      </w:pPr>
    </w:p>
    <w:p w14:paraId="25667054" w14:textId="77777777" w:rsidR="0072020E" w:rsidRPr="0082654D" w:rsidRDefault="0072020E" w:rsidP="00480FB1">
      <w:pPr>
        <w:tabs>
          <w:tab w:val="left" w:pos="540"/>
          <w:tab w:val="left" w:pos="569"/>
        </w:tabs>
        <w:rPr>
          <w:b/>
          <w:sz w:val="22"/>
          <w:szCs w:val="22"/>
          <w:lang w:val="sr-Latn-CS"/>
        </w:rPr>
      </w:pPr>
      <w:r w:rsidRPr="0082654D">
        <w:rPr>
          <w:b/>
          <w:bCs/>
          <w:sz w:val="22"/>
          <w:szCs w:val="22"/>
        </w:rPr>
        <w:t xml:space="preserve">4.6. </w:t>
      </w:r>
      <w:r w:rsidR="00480FB1" w:rsidRPr="0082654D">
        <w:rPr>
          <w:b/>
          <w:bCs/>
          <w:sz w:val="22"/>
          <w:szCs w:val="22"/>
        </w:rPr>
        <w:tab/>
      </w:r>
      <w:r w:rsidR="006D20A5" w:rsidRPr="0082654D">
        <w:rPr>
          <w:b/>
          <w:sz w:val="22"/>
          <w:szCs w:val="22"/>
          <w:lang w:val="sr-Latn-CS"/>
        </w:rPr>
        <w:t>Plodnost, trudnoća i dojenje</w:t>
      </w:r>
    </w:p>
    <w:p w14:paraId="65F01616" w14:textId="77777777" w:rsidR="0082654D" w:rsidRPr="0082654D" w:rsidRDefault="0082654D" w:rsidP="0082654D">
      <w:pPr>
        <w:rPr>
          <w:sz w:val="22"/>
          <w:szCs w:val="22"/>
        </w:rPr>
      </w:pPr>
    </w:p>
    <w:p w14:paraId="468C4673" w14:textId="1E4251A9" w:rsidR="0082654D" w:rsidRPr="0082654D" w:rsidRDefault="00C10B32" w:rsidP="0067538B">
      <w:pPr>
        <w:shd w:val="clear" w:color="auto" w:fill="FFFFFF" w:themeFill="background1"/>
        <w:jc w:val="both"/>
        <w:rPr>
          <w:bCs/>
          <w:sz w:val="22"/>
          <w:szCs w:val="22"/>
          <w:lang w:val="hr-HR"/>
        </w:rPr>
      </w:pPr>
      <w:r>
        <w:rPr>
          <w:sz w:val="22"/>
          <w:szCs w:val="22"/>
          <w:lang w:val="hr-HR"/>
        </w:rPr>
        <w:t>Lijek</w:t>
      </w:r>
      <w:r w:rsidR="0082654D" w:rsidRPr="0082654D">
        <w:rPr>
          <w:sz w:val="22"/>
          <w:szCs w:val="22"/>
          <w:lang w:val="hr-HR"/>
        </w:rPr>
        <w:t xml:space="preserve"> Piqray je indikovan kod muškaraca i žena u postmenopauzi. Ne sm</w:t>
      </w:r>
      <w:r w:rsidR="0067538B">
        <w:rPr>
          <w:sz w:val="22"/>
          <w:szCs w:val="22"/>
          <w:lang w:val="hr-HR"/>
        </w:rPr>
        <w:t>ij</w:t>
      </w:r>
      <w:r w:rsidR="0082654D" w:rsidRPr="0082654D">
        <w:rPr>
          <w:sz w:val="22"/>
          <w:szCs w:val="22"/>
          <w:lang w:val="hr-HR"/>
        </w:rPr>
        <w:t>e da se koristi kod žena koje su trudne, mogle bi biti trudne ili koje doje (</w:t>
      </w:r>
      <w:r w:rsidR="00EF7C8E">
        <w:rPr>
          <w:sz w:val="22"/>
          <w:szCs w:val="22"/>
          <w:lang w:val="hr-HR"/>
        </w:rPr>
        <w:t>pogledati dio</w:t>
      </w:r>
      <w:r w:rsidR="0082654D" w:rsidRPr="0082654D">
        <w:rPr>
          <w:sz w:val="22"/>
          <w:szCs w:val="22"/>
          <w:lang w:val="hr-HR"/>
        </w:rPr>
        <w:t xml:space="preserve"> 4.1)</w:t>
      </w:r>
      <w:r w:rsidR="0082654D" w:rsidRPr="0082654D">
        <w:rPr>
          <w:bCs/>
          <w:sz w:val="22"/>
          <w:szCs w:val="22"/>
          <w:lang w:val="hr-HR"/>
        </w:rPr>
        <w:t>.</w:t>
      </w:r>
    </w:p>
    <w:p w14:paraId="0E77784E" w14:textId="77777777" w:rsidR="0082654D" w:rsidRPr="0082654D" w:rsidRDefault="0082654D" w:rsidP="0067538B">
      <w:pPr>
        <w:shd w:val="clear" w:color="auto" w:fill="FFFFFF" w:themeFill="background1"/>
        <w:jc w:val="both"/>
        <w:rPr>
          <w:bCs/>
          <w:sz w:val="22"/>
          <w:szCs w:val="22"/>
          <w:lang w:val="hr-HR"/>
        </w:rPr>
      </w:pPr>
    </w:p>
    <w:p w14:paraId="184F099A" w14:textId="77777777" w:rsidR="0082654D" w:rsidRPr="0082654D" w:rsidRDefault="0082654D" w:rsidP="0067538B">
      <w:pPr>
        <w:keepNext/>
        <w:shd w:val="clear" w:color="auto" w:fill="FFFFFF" w:themeFill="background1"/>
        <w:tabs>
          <w:tab w:val="left" w:pos="720"/>
        </w:tabs>
        <w:jc w:val="both"/>
        <w:rPr>
          <w:sz w:val="22"/>
          <w:szCs w:val="22"/>
          <w:u w:val="single"/>
          <w:lang w:val="hr-HR"/>
        </w:rPr>
      </w:pPr>
      <w:r w:rsidRPr="0082654D">
        <w:rPr>
          <w:sz w:val="22"/>
          <w:szCs w:val="22"/>
          <w:u w:val="single"/>
          <w:lang w:val="hr-HR"/>
        </w:rPr>
        <w:t>Žene u reproduktivnom periodu/Kontracepcija kod muškaraca i žena</w:t>
      </w:r>
    </w:p>
    <w:p w14:paraId="2B301471" w14:textId="77777777" w:rsidR="0082654D" w:rsidRPr="0082654D" w:rsidRDefault="0082654D" w:rsidP="0067538B">
      <w:pPr>
        <w:keepNext/>
        <w:shd w:val="clear" w:color="auto" w:fill="FFFFFF" w:themeFill="background1"/>
        <w:tabs>
          <w:tab w:val="left" w:pos="720"/>
        </w:tabs>
        <w:jc w:val="both"/>
        <w:rPr>
          <w:sz w:val="22"/>
          <w:szCs w:val="22"/>
          <w:u w:val="single"/>
          <w:lang w:val="hr-HR"/>
        </w:rPr>
      </w:pPr>
    </w:p>
    <w:p w14:paraId="6E8CEF11" w14:textId="609E0E2D" w:rsidR="0082654D" w:rsidRPr="0082654D" w:rsidRDefault="0082654D" w:rsidP="0067538B">
      <w:pPr>
        <w:shd w:val="clear" w:color="auto" w:fill="FFFFFF" w:themeFill="background1"/>
        <w:tabs>
          <w:tab w:val="left" w:pos="720"/>
        </w:tabs>
        <w:jc w:val="both"/>
        <w:rPr>
          <w:sz w:val="22"/>
          <w:szCs w:val="22"/>
          <w:lang w:val="hr-HR"/>
        </w:rPr>
      </w:pPr>
      <w:r w:rsidRPr="0082654D">
        <w:rPr>
          <w:sz w:val="22"/>
          <w:szCs w:val="22"/>
          <w:lang w:val="hr-HR"/>
        </w:rPr>
        <w:t>Žene koje su u reproduktivnom periodu treba da se obav</w:t>
      </w:r>
      <w:r w:rsidR="0067538B">
        <w:rPr>
          <w:sz w:val="22"/>
          <w:szCs w:val="22"/>
          <w:lang w:val="hr-HR"/>
        </w:rPr>
        <w:t>ij</w:t>
      </w:r>
      <w:r w:rsidRPr="0082654D">
        <w:rPr>
          <w:sz w:val="22"/>
          <w:szCs w:val="22"/>
          <w:lang w:val="hr-HR"/>
        </w:rPr>
        <w:t>este da su ispitivanja na životinjama i mehanizam d</w:t>
      </w:r>
      <w:r w:rsidR="0067538B">
        <w:rPr>
          <w:sz w:val="22"/>
          <w:szCs w:val="22"/>
          <w:lang w:val="hr-HR"/>
        </w:rPr>
        <w:t>j</w:t>
      </w:r>
      <w:r w:rsidRPr="0082654D">
        <w:rPr>
          <w:sz w:val="22"/>
          <w:szCs w:val="22"/>
          <w:lang w:val="hr-HR"/>
        </w:rPr>
        <w:t xml:space="preserve">elovanja pokazali da alpelisib može da naškodi fetusu u razvoju. Ispitivanja embriofetalnog razvoja kod pacova i kunića pokazala su da peroralna </w:t>
      </w:r>
      <w:r w:rsidR="00C21CF1">
        <w:rPr>
          <w:sz w:val="22"/>
          <w:szCs w:val="22"/>
          <w:lang w:val="hr-HR"/>
        </w:rPr>
        <w:t>primjen</w:t>
      </w:r>
      <w:r w:rsidRPr="0082654D">
        <w:rPr>
          <w:sz w:val="22"/>
          <w:szCs w:val="22"/>
          <w:lang w:val="hr-HR"/>
        </w:rPr>
        <w:t>a alpelisiba tokom organogeneze izaziva embriotoksičnost, fetotoksičnost i teratogenost (</w:t>
      </w:r>
      <w:r w:rsidR="00EF7C8E">
        <w:rPr>
          <w:sz w:val="22"/>
          <w:szCs w:val="22"/>
          <w:lang w:val="hr-HR"/>
        </w:rPr>
        <w:t>pogledati dio</w:t>
      </w:r>
      <w:r w:rsidRPr="0082654D">
        <w:rPr>
          <w:sz w:val="22"/>
          <w:szCs w:val="22"/>
          <w:lang w:val="hr-HR"/>
        </w:rPr>
        <w:t xml:space="preserve"> 5.3).</w:t>
      </w:r>
    </w:p>
    <w:p w14:paraId="2FBC4BF9" w14:textId="77777777" w:rsidR="0082654D" w:rsidRPr="0082654D" w:rsidRDefault="0082654D" w:rsidP="0067538B">
      <w:pPr>
        <w:shd w:val="clear" w:color="auto" w:fill="FFFFFF" w:themeFill="background1"/>
        <w:tabs>
          <w:tab w:val="left" w:pos="720"/>
        </w:tabs>
        <w:jc w:val="both"/>
        <w:rPr>
          <w:sz w:val="22"/>
          <w:szCs w:val="22"/>
          <w:lang w:val="hr-HR"/>
        </w:rPr>
      </w:pPr>
    </w:p>
    <w:p w14:paraId="65BB5F67" w14:textId="035AEDE0" w:rsidR="0082654D" w:rsidRPr="0082654D" w:rsidRDefault="0082654D" w:rsidP="0067538B">
      <w:pPr>
        <w:shd w:val="clear" w:color="auto" w:fill="FFFFFF" w:themeFill="background1"/>
        <w:jc w:val="both"/>
        <w:rPr>
          <w:sz w:val="22"/>
          <w:szCs w:val="22"/>
          <w:lang w:val="hr-HR"/>
        </w:rPr>
      </w:pPr>
      <w:r w:rsidRPr="0082654D">
        <w:rPr>
          <w:sz w:val="22"/>
          <w:szCs w:val="22"/>
          <w:lang w:val="hr-HR"/>
        </w:rPr>
        <w:t xml:space="preserve">Ukoliko žene u reproduktivnom periodu uzimaju </w:t>
      </w:r>
      <w:r w:rsidR="00C10B32">
        <w:rPr>
          <w:sz w:val="22"/>
          <w:szCs w:val="22"/>
          <w:lang w:val="hr-HR"/>
        </w:rPr>
        <w:t>lijek</w:t>
      </w:r>
      <w:r w:rsidRPr="0082654D">
        <w:rPr>
          <w:sz w:val="22"/>
          <w:szCs w:val="22"/>
          <w:lang w:val="hr-HR"/>
        </w:rPr>
        <w:t xml:space="preserve"> Piqray, moraju da koriste efektivnu kontracepciju (npr. metode dvostruke zaštite)</w:t>
      </w:r>
      <w:r w:rsidR="002032DE">
        <w:rPr>
          <w:sz w:val="22"/>
          <w:szCs w:val="22"/>
          <w:lang w:val="hr-HR"/>
        </w:rPr>
        <w:t xml:space="preserve"> tokom l</w:t>
      </w:r>
      <w:r w:rsidR="003D45CD">
        <w:rPr>
          <w:sz w:val="22"/>
          <w:szCs w:val="22"/>
          <w:lang w:val="hr-HR"/>
        </w:rPr>
        <w:t>ij</w:t>
      </w:r>
      <w:r w:rsidR="002032DE">
        <w:rPr>
          <w:sz w:val="22"/>
          <w:szCs w:val="22"/>
          <w:lang w:val="hr-HR"/>
        </w:rPr>
        <w:t>ečenja</w:t>
      </w:r>
      <w:r w:rsidRPr="0082654D">
        <w:rPr>
          <w:sz w:val="22"/>
          <w:szCs w:val="22"/>
          <w:lang w:val="hr-HR"/>
        </w:rPr>
        <w:t xml:space="preserve"> i još najmanje 1 </w:t>
      </w:r>
      <w:r w:rsidR="009A54B4">
        <w:rPr>
          <w:sz w:val="22"/>
          <w:szCs w:val="22"/>
          <w:lang w:val="hr-HR"/>
        </w:rPr>
        <w:t>nedjel</w:t>
      </w:r>
      <w:r w:rsidRPr="0082654D">
        <w:rPr>
          <w:sz w:val="22"/>
          <w:szCs w:val="22"/>
          <w:lang w:val="hr-HR"/>
        </w:rPr>
        <w:t xml:space="preserve">ju nakon prestanka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w:t>
      </w:r>
    </w:p>
    <w:p w14:paraId="6047EB5A" w14:textId="77777777" w:rsidR="0082654D" w:rsidRPr="0082654D" w:rsidRDefault="0082654D" w:rsidP="0067538B">
      <w:pPr>
        <w:shd w:val="clear" w:color="auto" w:fill="FFFFFF" w:themeFill="background1"/>
        <w:tabs>
          <w:tab w:val="left" w:pos="720"/>
        </w:tabs>
        <w:jc w:val="both"/>
        <w:rPr>
          <w:sz w:val="22"/>
          <w:szCs w:val="22"/>
          <w:lang w:val="hr-HR"/>
        </w:rPr>
      </w:pPr>
    </w:p>
    <w:p w14:paraId="421CBBFA" w14:textId="6DDC2490" w:rsidR="0082654D" w:rsidRPr="0082654D" w:rsidRDefault="0082654D" w:rsidP="0067538B">
      <w:pPr>
        <w:shd w:val="clear" w:color="auto" w:fill="FFFFFF" w:themeFill="background1"/>
        <w:tabs>
          <w:tab w:val="left" w:pos="720"/>
        </w:tabs>
        <w:jc w:val="both"/>
        <w:rPr>
          <w:sz w:val="22"/>
          <w:szCs w:val="22"/>
          <w:lang w:val="hr-HR"/>
        </w:rPr>
      </w:pPr>
      <w:r w:rsidRPr="0082654D">
        <w:rPr>
          <w:sz w:val="22"/>
          <w:szCs w:val="22"/>
          <w:lang w:val="hr-HR"/>
        </w:rPr>
        <w:t xml:space="preserve">Pacijenti muškog pola čije su partnerke trudne, mogle bi da budu trudne ili bi mogle da zatrudne moraju da koriste kondome tokom polnih odnosa dok uzimaju </w:t>
      </w:r>
      <w:r w:rsidR="00C10B32">
        <w:rPr>
          <w:sz w:val="22"/>
          <w:szCs w:val="22"/>
          <w:lang w:val="hr-HR"/>
        </w:rPr>
        <w:t>lijek</w:t>
      </w:r>
      <w:r w:rsidRPr="0082654D">
        <w:rPr>
          <w:sz w:val="22"/>
          <w:szCs w:val="22"/>
          <w:lang w:val="hr-HR"/>
        </w:rPr>
        <w:t xml:space="preserve"> Piqray i još najmanje 1 </w:t>
      </w:r>
      <w:r w:rsidR="009A54B4">
        <w:rPr>
          <w:sz w:val="22"/>
          <w:szCs w:val="22"/>
          <w:lang w:val="hr-HR"/>
        </w:rPr>
        <w:t>nedjel</w:t>
      </w:r>
      <w:r w:rsidRPr="0082654D">
        <w:rPr>
          <w:sz w:val="22"/>
          <w:szCs w:val="22"/>
          <w:lang w:val="hr-HR"/>
        </w:rPr>
        <w:t xml:space="preserve">ju nakon prestanka </w:t>
      </w:r>
      <w:r w:rsidR="00B66BE0">
        <w:rPr>
          <w:sz w:val="22"/>
          <w:szCs w:val="22"/>
          <w:lang w:val="hr-HR"/>
        </w:rPr>
        <w:t>liječenj</w:t>
      </w:r>
      <w:r w:rsidRPr="0082654D">
        <w:rPr>
          <w:sz w:val="22"/>
          <w:szCs w:val="22"/>
          <w:lang w:val="hr-HR"/>
        </w:rPr>
        <w:t>a.</w:t>
      </w:r>
    </w:p>
    <w:p w14:paraId="63644F51" w14:textId="77777777" w:rsidR="0082654D" w:rsidRPr="0082654D" w:rsidRDefault="0082654D" w:rsidP="0082654D">
      <w:pPr>
        <w:shd w:val="clear" w:color="auto" w:fill="FFFFFF" w:themeFill="background1"/>
        <w:tabs>
          <w:tab w:val="left" w:pos="720"/>
        </w:tabs>
        <w:rPr>
          <w:sz w:val="22"/>
          <w:szCs w:val="22"/>
          <w:lang w:val="hr-HR"/>
        </w:rPr>
      </w:pPr>
    </w:p>
    <w:p w14:paraId="1A43CD0A" w14:textId="5772077D" w:rsidR="0082654D" w:rsidRPr="0082654D" w:rsidRDefault="00EF7C8E" w:rsidP="0082654D">
      <w:pPr>
        <w:shd w:val="clear" w:color="auto" w:fill="FFFFFF" w:themeFill="background1"/>
        <w:rPr>
          <w:sz w:val="22"/>
          <w:szCs w:val="22"/>
          <w:lang w:val="hr-HR"/>
        </w:rPr>
      </w:pPr>
      <w:r>
        <w:rPr>
          <w:sz w:val="22"/>
          <w:szCs w:val="22"/>
          <w:lang w:val="hr-HR"/>
        </w:rPr>
        <w:t>Pogledati dio</w:t>
      </w:r>
      <w:r w:rsidR="0082654D" w:rsidRPr="0082654D">
        <w:rPr>
          <w:sz w:val="22"/>
          <w:szCs w:val="22"/>
          <w:lang w:val="hr-HR"/>
        </w:rPr>
        <w:t xml:space="preserve"> 4.6 Sažetka karakteristika </w:t>
      </w:r>
      <w:r w:rsidR="00C10B32">
        <w:rPr>
          <w:sz w:val="22"/>
          <w:szCs w:val="22"/>
          <w:lang w:val="hr-HR"/>
        </w:rPr>
        <w:t>lijek</w:t>
      </w:r>
      <w:r w:rsidR="0082654D" w:rsidRPr="0082654D">
        <w:rPr>
          <w:sz w:val="22"/>
          <w:szCs w:val="22"/>
          <w:lang w:val="hr-HR"/>
        </w:rPr>
        <w:t xml:space="preserve">a </w:t>
      </w:r>
      <w:r w:rsidR="0082654D" w:rsidRPr="0082654D">
        <w:rPr>
          <w:sz w:val="22"/>
          <w:szCs w:val="22"/>
          <w:lang w:val="sr-Latn-RS"/>
        </w:rPr>
        <w:t>za</w:t>
      </w:r>
      <w:r w:rsidR="0082654D" w:rsidRPr="0082654D">
        <w:rPr>
          <w:sz w:val="22"/>
          <w:szCs w:val="22"/>
          <w:lang w:val="hr-HR"/>
        </w:rPr>
        <w:t xml:space="preserve"> fulvestrant.</w:t>
      </w:r>
    </w:p>
    <w:p w14:paraId="361DC0B7" w14:textId="77777777" w:rsidR="002031B3" w:rsidRPr="0082654D" w:rsidRDefault="002031B3" w:rsidP="0067538B">
      <w:pPr>
        <w:tabs>
          <w:tab w:val="left" w:pos="540"/>
          <w:tab w:val="left" w:pos="569"/>
        </w:tabs>
        <w:jc w:val="both"/>
        <w:rPr>
          <w:sz w:val="22"/>
          <w:szCs w:val="22"/>
          <w:u w:val="single"/>
        </w:rPr>
      </w:pPr>
    </w:p>
    <w:p w14:paraId="2E76FC48" w14:textId="77777777" w:rsidR="0082654D" w:rsidRPr="0082654D" w:rsidRDefault="0082654D" w:rsidP="0067538B">
      <w:pPr>
        <w:keepNext/>
        <w:shd w:val="clear" w:color="auto" w:fill="FFFFFF" w:themeFill="background1"/>
        <w:jc w:val="both"/>
        <w:rPr>
          <w:sz w:val="22"/>
          <w:szCs w:val="22"/>
          <w:u w:val="single"/>
          <w:lang w:val="hr-HR"/>
        </w:rPr>
      </w:pPr>
      <w:r w:rsidRPr="0082654D">
        <w:rPr>
          <w:sz w:val="22"/>
          <w:szCs w:val="22"/>
          <w:u w:val="single"/>
          <w:lang w:val="hr-HR"/>
        </w:rPr>
        <w:t>Trudnoća</w:t>
      </w:r>
    </w:p>
    <w:p w14:paraId="25B91ACB" w14:textId="77777777" w:rsidR="0082654D" w:rsidRPr="0082654D" w:rsidRDefault="0082654D" w:rsidP="0067538B">
      <w:pPr>
        <w:keepNext/>
        <w:shd w:val="clear" w:color="auto" w:fill="FFFFFF" w:themeFill="background1"/>
        <w:jc w:val="both"/>
        <w:rPr>
          <w:sz w:val="22"/>
          <w:szCs w:val="22"/>
          <w:lang w:val="hr-HR"/>
        </w:rPr>
      </w:pPr>
    </w:p>
    <w:p w14:paraId="49459FE8" w14:textId="3FFB9CB4" w:rsidR="0082654D" w:rsidRPr="0082654D" w:rsidRDefault="00C10B32" w:rsidP="0067538B">
      <w:pPr>
        <w:shd w:val="clear" w:color="auto" w:fill="FFFFFF" w:themeFill="background1"/>
        <w:jc w:val="both"/>
        <w:rPr>
          <w:sz w:val="22"/>
          <w:szCs w:val="22"/>
          <w:lang w:val="hr-HR"/>
        </w:rPr>
      </w:pPr>
      <w:r>
        <w:rPr>
          <w:sz w:val="22"/>
          <w:szCs w:val="22"/>
          <w:lang w:val="hr-HR"/>
        </w:rPr>
        <w:t>Lijek</w:t>
      </w:r>
      <w:r w:rsidR="0082654D" w:rsidRPr="0082654D">
        <w:rPr>
          <w:sz w:val="22"/>
          <w:szCs w:val="22"/>
          <w:lang w:val="hr-HR"/>
        </w:rPr>
        <w:t xml:space="preserve"> Piqray nije indikovan i ne sm</w:t>
      </w:r>
      <w:r w:rsidR="0067538B">
        <w:rPr>
          <w:sz w:val="22"/>
          <w:szCs w:val="22"/>
          <w:lang w:val="hr-HR"/>
        </w:rPr>
        <w:t>ij</w:t>
      </w:r>
      <w:r w:rsidR="0082654D" w:rsidRPr="0082654D">
        <w:rPr>
          <w:sz w:val="22"/>
          <w:szCs w:val="22"/>
          <w:lang w:val="hr-HR"/>
        </w:rPr>
        <w:t>e da se koristi kod žena koje su trudne ili bi mogle da budu trudne (</w:t>
      </w:r>
      <w:r w:rsidR="00EF7C8E">
        <w:rPr>
          <w:sz w:val="22"/>
          <w:szCs w:val="22"/>
          <w:lang w:val="hr-HR"/>
        </w:rPr>
        <w:t>pogledati dio</w:t>
      </w:r>
      <w:r w:rsidR="0082654D" w:rsidRPr="0082654D">
        <w:rPr>
          <w:sz w:val="22"/>
          <w:szCs w:val="22"/>
          <w:lang w:val="hr-HR"/>
        </w:rPr>
        <w:t xml:space="preserve"> 4.1)</w:t>
      </w:r>
      <w:r w:rsidR="0082654D" w:rsidRPr="0082654D">
        <w:rPr>
          <w:bCs/>
          <w:sz w:val="22"/>
          <w:szCs w:val="22"/>
          <w:lang w:val="hr-HR"/>
        </w:rPr>
        <w:t>.</w:t>
      </w:r>
    </w:p>
    <w:p w14:paraId="0F147009" w14:textId="77777777" w:rsidR="0082654D" w:rsidRPr="0082654D" w:rsidRDefault="0082654D" w:rsidP="0067538B">
      <w:pPr>
        <w:shd w:val="clear" w:color="auto" w:fill="FFFFFF" w:themeFill="background1"/>
        <w:jc w:val="both"/>
        <w:rPr>
          <w:sz w:val="22"/>
          <w:szCs w:val="22"/>
          <w:lang w:val="hr-HR"/>
        </w:rPr>
      </w:pPr>
    </w:p>
    <w:p w14:paraId="1E1ABA33" w14:textId="6A8437F4" w:rsidR="0082654D" w:rsidRPr="0082654D" w:rsidRDefault="0082654D" w:rsidP="0067538B">
      <w:pPr>
        <w:shd w:val="clear" w:color="auto" w:fill="FFFFFF" w:themeFill="background1"/>
        <w:jc w:val="both"/>
        <w:rPr>
          <w:sz w:val="22"/>
          <w:szCs w:val="22"/>
          <w:lang w:val="hr-HR"/>
        </w:rPr>
      </w:pPr>
      <w:r w:rsidRPr="0082654D">
        <w:rPr>
          <w:sz w:val="22"/>
          <w:szCs w:val="22"/>
          <w:lang w:val="hr-HR"/>
        </w:rPr>
        <w:t xml:space="preserve">Nema podataka o </w:t>
      </w:r>
      <w:r w:rsidR="00C21CF1">
        <w:rPr>
          <w:sz w:val="22"/>
          <w:szCs w:val="22"/>
          <w:lang w:val="hr-HR"/>
        </w:rPr>
        <w:t>primjen</w:t>
      </w:r>
      <w:r w:rsidRPr="0082654D">
        <w:rPr>
          <w:sz w:val="22"/>
          <w:szCs w:val="22"/>
          <w:lang w:val="hr-HR"/>
        </w:rPr>
        <w:t>i alpelisiba kod trudnica. Ispitivanja na životinjama pokazala su reproduktivnu toksičnost (</w:t>
      </w:r>
      <w:r w:rsidR="00EF7C8E">
        <w:rPr>
          <w:sz w:val="22"/>
          <w:szCs w:val="22"/>
          <w:lang w:val="hr-HR"/>
        </w:rPr>
        <w:t>pogledati dio</w:t>
      </w:r>
      <w:r w:rsidRPr="0082654D">
        <w:rPr>
          <w:sz w:val="22"/>
          <w:szCs w:val="22"/>
          <w:lang w:val="hr-HR"/>
        </w:rPr>
        <w:t xml:space="preserve"> 5.3). Ne preporučuje se da se koristi </w:t>
      </w:r>
      <w:r w:rsidR="00C10B32">
        <w:rPr>
          <w:sz w:val="22"/>
          <w:szCs w:val="22"/>
          <w:lang w:val="hr-HR"/>
        </w:rPr>
        <w:t>lijek</w:t>
      </w:r>
      <w:r w:rsidRPr="0082654D">
        <w:rPr>
          <w:sz w:val="22"/>
          <w:szCs w:val="22"/>
          <w:lang w:val="hr-HR"/>
        </w:rPr>
        <w:t xml:space="preserve"> Piqray tokom trudnoće niti kod žena u reproduktivnom </w:t>
      </w:r>
      <w:r w:rsidR="00496B19">
        <w:rPr>
          <w:sz w:val="22"/>
          <w:szCs w:val="22"/>
          <w:lang w:val="hr-HR"/>
        </w:rPr>
        <w:t>period</w:t>
      </w:r>
      <w:r w:rsidR="00496B19" w:rsidRPr="0082654D">
        <w:rPr>
          <w:sz w:val="22"/>
          <w:szCs w:val="22"/>
          <w:lang w:val="hr-HR"/>
        </w:rPr>
        <w:t xml:space="preserve">u </w:t>
      </w:r>
      <w:r w:rsidRPr="0082654D">
        <w:rPr>
          <w:sz w:val="22"/>
          <w:szCs w:val="22"/>
          <w:lang w:val="hr-HR"/>
        </w:rPr>
        <w:t>koje ne koriste kontracepciju.</w:t>
      </w:r>
    </w:p>
    <w:p w14:paraId="02660176" w14:textId="77777777" w:rsidR="0082654D" w:rsidRPr="0082654D" w:rsidRDefault="0082654D" w:rsidP="0067538B">
      <w:pPr>
        <w:shd w:val="clear" w:color="auto" w:fill="FFFFFF" w:themeFill="background1"/>
        <w:jc w:val="both"/>
        <w:rPr>
          <w:sz w:val="22"/>
          <w:szCs w:val="22"/>
          <w:lang w:val="hr-HR"/>
        </w:rPr>
      </w:pPr>
    </w:p>
    <w:p w14:paraId="1E52B18F" w14:textId="77777777" w:rsidR="0082654D" w:rsidRPr="0082654D" w:rsidRDefault="0082654D" w:rsidP="0067538B">
      <w:pPr>
        <w:shd w:val="clear" w:color="auto" w:fill="FFFFFF" w:themeFill="background1"/>
        <w:jc w:val="both"/>
        <w:rPr>
          <w:sz w:val="22"/>
          <w:szCs w:val="22"/>
          <w:lang w:val="hr-HR"/>
        </w:rPr>
      </w:pPr>
      <w:r w:rsidRPr="0082654D">
        <w:rPr>
          <w:sz w:val="22"/>
          <w:szCs w:val="22"/>
          <w:lang w:val="hr-HR"/>
        </w:rPr>
        <w:t>Pr</w:t>
      </w:r>
      <w:r w:rsidR="00C233FD">
        <w:rPr>
          <w:sz w:val="22"/>
          <w:szCs w:val="22"/>
          <w:lang w:val="hr-HR"/>
        </w:rPr>
        <w:t>ij</w:t>
      </w:r>
      <w:r w:rsidRPr="0082654D">
        <w:rPr>
          <w:sz w:val="22"/>
          <w:szCs w:val="22"/>
          <w:lang w:val="hr-HR"/>
        </w:rPr>
        <w:t xml:space="preserve">e početka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 xml:space="preserve">om Piqray potrebno je da se </w:t>
      </w:r>
      <w:r w:rsidR="002A51AB">
        <w:rPr>
          <w:sz w:val="22"/>
          <w:szCs w:val="22"/>
          <w:lang w:val="hr-HR"/>
        </w:rPr>
        <w:t>provje</w:t>
      </w:r>
      <w:r w:rsidRPr="0082654D">
        <w:rPr>
          <w:sz w:val="22"/>
          <w:szCs w:val="22"/>
          <w:lang w:val="hr-HR"/>
        </w:rPr>
        <w:t>ri status trudnoće kod žena u reproduktivnom periodu.</w:t>
      </w:r>
    </w:p>
    <w:p w14:paraId="65727C70" w14:textId="77777777" w:rsidR="0082654D" w:rsidRPr="0082654D" w:rsidRDefault="0082654D" w:rsidP="0067538B">
      <w:pPr>
        <w:shd w:val="clear" w:color="auto" w:fill="FFFFFF" w:themeFill="background1"/>
        <w:jc w:val="both"/>
        <w:rPr>
          <w:sz w:val="22"/>
          <w:szCs w:val="22"/>
          <w:lang w:val="hr-HR"/>
        </w:rPr>
      </w:pPr>
    </w:p>
    <w:p w14:paraId="741CBC16" w14:textId="77777777" w:rsidR="0082654D" w:rsidRPr="0082654D" w:rsidRDefault="0082654D" w:rsidP="0067538B">
      <w:pPr>
        <w:keepNext/>
        <w:shd w:val="clear" w:color="auto" w:fill="FFFFFF" w:themeFill="background1"/>
        <w:jc w:val="both"/>
        <w:rPr>
          <w:sz w:val="22"/>
          <w:szCs w:val="22"/>
          <w:lang w:val="hr-HR"/>
        </w:rPr>
      </w:pPr>
      <w:r w:rsidRPr="0082654D">
        <w:rPr>
          <w:sz w:val="22"/>
          <w:szCs w:val="22"/>
          <w:u w:val="single"/>
          <w:lang w:val="hr-HR"/>
        </w:rPr>
        <w:t>Dojenje</w:t>
      </w:r>
    </w:p>
    <w:p w14:paraId="0D688B4F" w14:textId="77777777" w:rsidR="0082654D" w:rsidRPr="0082654D" w:rsidRDefault="0082654D" w:rsidP="0067538B">
      <w:pPr>
        <w:keepNext/>
        <w:shd w:val="clear" w:color="auto" w:fill="FFFFFF" w:themeFill="background1"/>
        <w:jc w:val="both"/>
        <w:rPr>
          <w:sz w:val="22"/>
          <w:szCs w:val="22"/>
          <w:lang w:val="hr-HR"/>
        </w:rPr>
      </w:pPr>
    </w:p>
    <w:p w14:paraId="7EB51E27" w14:textId="77777777" w:rsidR="0082654D" w:rsidRPr="0082654D" w:rsidRDefault="0082654D" w:rsidP="0067538B">
      <w:pPr>
        <w:shd w:val="clear" w:color="auto" w:fill="FFFFFF" w:themeFill="background1"/>
        <w:jc w:val="both"/>
        <w:rPr>
          <w:sz w:val="22"/>
          <w:szCs w:val="22"/>
          <w:lang w:val="hr-HR"/>
        </w:rPr>
      </w:pPr>
      <w:r w:rsidRPr="0082654D">
        <w:rPr>
          <w:sz w:val="22"/>
          <w:szCs w:val="22"/>
          <w:lang w:val="hr-HR"/>
        </w:rPr>
        <w:t xml:space="preserve">Nije poznato da li se </w:t>
      </w:r>
      <w:r w:rsidR="00496B19" w:rsidRPr="0082654D">
        <w:rPr>
          <w:sz w:val="22"/>
          <w:szCs w:val="22"/>
          <w:lang w:val="hr-HR"/>
        </w:rPr>
        <w:t xml:space="preserve">alpelisib </w:t>
      </w:r>
      <w:r w:rsidRPr="0082654D">
        <w:rPr>
          <w:sz w:val="22"/>
          <w:szCs w:val="22"/>
          <w:lang w:val="hr-HR"/>
        </w:rPr>
        <w:t>izlučuje u majčino ili životinjsko m</w:t>
      </w:r>
      <w:r w:rsidR="00C10B32">
        <w:rPr>
          <w:sz w:val="22"/>
          <w:szCs w:val="22"/>
          <w:lang w:val="hr-HR"/>
        </w:rPr>
        <w:t>lijek</w:t>
      </w:r>
      <w:r w:rsidRPr="0082654D">
        <w:rPr>
          <w:sz w:val="22"/>
          <w:szCs w:val="22"/>
          <w:lang w:val="hr-HR"/>
        </w:rPr>
        <w:t>o.</w:t>
      </w:r>
    </w:p>
    <w:p w14:paraId="0552B0D0" w14:textId="77777777" w:rsidR="0082654D" w:rsidRPr="0082654D" w:rsidRDefault="0082654D" w:rsidP="0067538B">
      <w:pPr>
        <w:shd w:val="clear" w:color="auto" w:fill="FFFFFF" w:themeFill="background1"/>
        <w:jc w:val="both"/>
        <w:rPr>
          <w:sz w:val="22"/>
          <w:szCs w:val="22"/>
          <w:lang w:val="hr-HR"/>
        </w:rPr>
      </w:pPr>
    </w:p>
    <w:p w14:paraId="5055CBBE" w14:textId="77777777" w:rsidR="0082654D" w:rsidRPr="0082654D" w:rsidRDefault="0082654D" w:rsidP="0067538B">
      <w:pPr>
        <w:shd w:val="clear" w:color="auto" w:fill="FFFFFF" w:themeFill="background1"/>
        <w:jc w:val="both"/>
        <w:rPr>
          <w:sz w:val="22"/>
          <w:szCs w:val="22"/>
          <w:lang w:val="hr-HR"/>
        </w:rPr>
      </w:pPr>
      <w:r w:rsidRPr="0082654D">
        <w:rPr>
          <w:sz w:val="22"/>
          <w:szCs w:val="22"/>
          <w:lang w:val="hr-HR"/>
        </w:rPr>
        <w:t xml:space="preserve">Zbog potencijala za ozbiljne neželjene reakcije kod dojenčadi, preporučuje se da žene ne </w:t>
      </w:r>
      <w:r w:rsidR="00265449">
        <w:rPr>
          <w:sz w:val="22"/>
          <w:szCs w:val="22"/>
          <w:lang w:val="hr-HR"/>
        </w:rPr>
        <w:t>smiju</w:t>
      </w:r>
      <w:r w:rsidRPr="0082654D">
        <w:rPr>
          <w:sz w:val="22"/>
          <w:szCs w:val="22"/>
          <w:lang w:val="hr-HR"/>
        </w:rPr>
        <w:t xml:space="preserve"> da doje tokom </w:t>
      </w:r>
      <w:r w:rsidR="00B66BE0">
        <w:rPr>
          <w:sz w:val="22"/>
          <w:szCs w:val="22"/>
          <w:lang w:val="hr-HR"/>
        </w:rPr>
        <w:t>liječenj</w:t>
      </w:r>
      <w:r w:rsidRPr="0082654D">
        <w:rPr>
          <w:sz w:val="22"/>
          <w:szCs w:val="22"/>
          <w:lang w:val="hr-HR"/>
        </w:rPr>
        <w:t>a i najmanje 1 </w:t>
      </w:r>
      <w:r w:rsidR="009A54B4">
        <w:rPr>
          <w:sz w:val="22"/>
          <w:szCs w:val="22"/>
          <w:lang w:val="hr-HR"/>
        </w:rPr>
        <w:t>nedjel</w:t>
      </w:r>
      <w:r w:rsidRPr="0082654D">
        <w:rPr>
          <w:sz w:val="22"/>
          <w:szCs w:val="22"/>
          <w:lang w:val="hr-HR"/>
        </w:rPr>
        <w:t>ju nakon posl</w:t>
      </w:r>
      <w:r w:rsidR="00496B19">
        <w:rPr>
          <w:sz w:val="22"/>
          <w:szCs w:val="22"/>
          <w:lang w:val="hr-HR"/>
        </w:rPr>
        <w:t>j</w:t>
      </w:r>
      <w:r w:rsidRPr="0082654D">
        <w:rPr>
          <w:sz w:val="22"/>
          <w:szCs w:val="22"/>
          <w:lang w:val="hr-HR"/>
        </w:rPr>
        <w:t xml:space="preserve">ednje doze </w:t>
      </w:r>
      <w:r w:rsidR="00C10B32">
        <w:rPr>
          <w:sz w:val="22"/>
          <w:szCs w:val="22"/>
          <w:lang w:val="hr-HR"/>
        </w:rPr>
        <w:t>lijek</w:t>
      </w:r>
      <w:r w:rsidRPr="0082654D">
        <w:rPr>
          <w:sz w:val="22"/>
          <w:szCs w:val="22"/>
          <w:lang w:val="hr-HR"/>
        </w:rPr>
        <w:t>a Piqray.</w:t>
      </w:r>
    </w:p>
    <w:p w14:paraId="06760A00" w14:textId="77777777" w:rsidR="0082654D" w:rsidRPr="0082654D" w:rsidRDefault="0082654D" w:rsidP="0067538B">
      <w:pPr>
        <w:shd w:val="clear" w:color="auto" w:fill="FFFFFF" w:themeFill="background1"/>
        <w:jc w:val="both"/>
        <w:rPr>
          <w:sz w:val="22"/>
          <w:szCs w:val="22"/>
          <w:lang w:val="hr-HR"/>
        </w:rPr>
      </w:pPr>
    </w:p>
    <w:p w14:paraId="796A4A88" w14:textId="77777777" w:rsidR="0082654D" w:rsidRPr="0082654D" w:rsidRDefault="0082654D" w:rsidP="0067538B">
      <w:pPr>
        <w:keepNext/>
        <w:shd w:val="clear" w:color="auto" w:fill="FFFFFF" w:themeFill="background1"/>
        <w:jc w:val="both"/>
        <w:rPr>
          <w:sz w:val="22"/>
          <w:szCs w:val="22"/>
          <w:lang w:val="hr-HR"/>
        </w:rPr>
      </w:pPr>
      <w:r w:rsidRPr="0082654D">
        <w:rPr>
          <w:sz w:val="22"/>
          <w:szCs w:val="22"/>
          <w:u w:val="single"/>
          <w:lang w:val="hr-HR"/>
        </w:rPr>
        <w:lastRenderedPageBreak/>
        <w:t>Plodnost</w:t>
      </w:r>
    </w:p>
    <w:p w14:paraId="7DBA4DDF" w14:textId="77777777" w:rsidR="0082654D" w:rsidRPr="0082654D" w:rsidRDefault="0082654D" w:rsidP="0067538B">
      <w:pPr>
        <w:keepNext/>
        <w:shd w:val="clear" w:color="auto" w:fill="FFFFFF" w:themeFill="background1"/>
        <w:jc w:val="both"/>
        <w:rPr>
          <w:sz w:val="22"/>
          <w:szCs w:val="22"/>
          <w:lang w:val="hr-HR"/>
        </w:rPr>
      </w:pPr>
    </w:p>
    <w:p w14:paraId="6F4A57A0" w14:textId="26B7563C" w:rsidR="0082654D" w:rsidRPr="0082654D" w:rsidRDefault="0082654D" w:rsidP="0067538B">
      <w:pPr>
        <w:shd w:val="clear" w:color="auto" w:fill="FFFFFF" w:themeFill="background1"/>
        <w:jc w:val="both"/>
        <w:rPr>
          <w:sz w:val="22"/>
          <w:szCs w:val="22"/>
          <w:lang w:val="hr-HR"/>
        </w:rPr>
      </w:pPr>
      <w:r w:rsidRPr="0082654D">
        <w:rPr>
          <w:sz w:val="22"/>
          <w:szCs w:val="22"/>
          <w:lang w:val="hr-HR"/>
        </w:rPr>
        <w:t xml:space="preserve">Nema </w:t>
      </w:r>
      <w:r w:rsidR="00791C05">
        <w:rPr>
          <w:sz w:val="22"/>
          <w:szCs w:val="22"/>
          <w:lang w:val="hr-HR"/>
        </w:rPr>
        <w:t xml:space="preserve">dostupnih kliničkih </w:t>
      </w:r>
      <w:r w:rsidRPr="0082654D">
        <w:rPr>
          <w:sz w:val="22"/>
          <w:szCs w:val="22"/>
          <w:lang w:val="hr-HR"/>
        </w:rPr>
        <w:t xml:space="preserve">podataka o efektima alpelisiba na plodnost. Na osnovu ispitivanja toksičnosti </w:t>
      </w:r>
      <w:r w:rsidR="00791C05">
        <w:rPr>
          <w:sz w:val="22"/>
          <w:szCs w:val="22"/>
          <w:lang w:val="hr-HR"/>
        </w:rPr>
        <w:t xml:space="preserve">i plodnosti </w:t>
      </w:r>
      <w:r w:rsidRPr="0082654D">
        <w:rPr>
          <w:sz w:val="22"/>
          <w:szCs w:val="22"/>
          <w:lang w:val="hr-HR"/>
        </w:rPr>
        <w:t>ponovljenih doza kod životinja, alpelisib može da smanji plodnost kod muškaraca i žena u reproduktivnom periodu (</w:t>
      </w:r>
      <w:r w:rsidR="00EF7C8E">
        <w:rPr>
          <w:sz w:val="22"/>
          <w:szCs w:val="22"/>
          <w:lang w:val="hr-HR"/>
        </w:rPr>
        <w:t>pogledati dio</w:t>
      </w:r>
      <w:r w:rsidRPr="0082654D">
        <w:rPr>
          <w:sz w:val="22"/>
          <w:szCs w:val="22"/>
          <w:lang w:val="hr-HR"/>
        </w:rPr>
        <w:t xml:space="preserve"> 5.3).</w:t>
      </w:r>
    </w:p>
    <w:p w14:paraId="12107975" w14:textId="77777777" w:rsidR="0082654D" w:rsidRPr="0082654D" w:rsidRDefault="0082654D" w:rsidP="0082654D">
      <w:pPr>
        <w:shd w:val="clear" w:color="auto" w:fill="FFFFFF" w:themeFill="background1"/>
        <w:rPr>
          <w:sz w:val="22"/>
          <w:szCs w:val="22"/>
          <w:lang w:val="hr-HR"/>
        </w:rPr>
      </w:pPr>
    </w:p>
    <w:p w14:paraId="1D103960" w14:textId="77777777" w:rsidR="0072020E" w:rsidRPr="0082654D" w:rsidRDefault="0072020E" w:rsidP="00396DFD">
      <w:pPr>
        <w:tabs>
          <w:tab w:val="left" w:pos="540"/>
          <w:tab w:val="left" w:pos="569"/>
        </w:tabs>
        <w:ind w:left="540" w:hanging="540"/>
        <w:rPr>
          <w:b/>
          <w:bCs/>
          <w:sz w:val="22"/>
          <w:szCs w:val="22"/>
        </w:rPr>
      </w:pPr>
      <w:r w:rsidRPr="0082654D">
        <w:rPr>
          <w:b/>
          <w:bCs/>
          <w:sz w:val="22"/>
          <w:szCs w:val="22"/>
        </w:rPr>
        <w:t xml:space="preserve">4.7. </w:t>
      </w:r>
      <w:r w:rsidR="00480FB1" w:rsidRPr="0082654D">
        <w:rPr>
          <w:b/>
          <w:bCs/>
          <w:sz w:val="22"/>
          <w:szCs w:val="22"/>
        </w:rPr>
        <w:tab/>
      </w:r>
      <w:r w:rsidRPr="0082654D">
        <w:rPr>
          <w:b/>
          <w:bCs/>
          <w:sz w:val="22"/>
          <w:szCs w:val="22"/>
        </w:rPr>
        <w:t xml:space="preserve">Uticaj na </w:t>
      </w:r>
      <w:r w:rsidR="002031B3" w:rsidRPr="0082654D">
        <w:rPr>
          <w:b/>
          <w:bCs/>
          <w:sz w:val="22"/>
          <w:szCs w:val="22"/>
        </w:rPr>
        <w:t xml:space="preserve">sposobnost </w:t>
      </w:r>
      <w:r w:rsidR="00F34554" w:rsidRPr="0082654D">
        <w:rPr>
          <w:b/>
          <w:bCs/>
          <w:sz w:val="22"/>
          <w:szCs w:val="22"/>
        </w:rPr>
        <w:t>upravljanja vozili</w:t>
      </w:r>
      <w:r w:rsidRPr="0082654D">
        <w:rPr>
          <w:b/>
          <w:bCs/>
          <w:sz w:val="22"/>
          <w:szCs w:val="22"/>
        </w:rPr>
        <w:t>m</w:t>
      </w:r>
      <w:r w:rsidR="00F34554" w:rsidRPr="0082654D">
        <w:rPr>
          <w:b/>
          <w:bCs/>
          <w:sz w:val="22"/>
          <w:szCs w:val="22"/>
        </w:rPr>
        <w:t>a</w:t>
      </w:r>
      <w:r w:rsidRPr="0082654D">
        <w:rPr>
          <w:b/>
          <w:bCs/>
          <w:sz w:val="22"/>
          <w:szCs w:val="22"/>
        </w:rPr>
        <w:t xml:space="preserve"> i </w:t>
      </w:r>
      <w:r w:rsidR="000D3449" w:rsidRPr="0082654D">
        <w:rPr>
          <w:b/>
          <w:bCs/>
          <w:sz w:val="22"/>
          <w:szCs w:val="22"/>
        </w:rPr>
        <w:t xml:space="preserve">rukovanje </w:t>
      </w:r>
      <w:r w:rsidRPr="0082654D">
        <w:rPr>
          <w:b/>
          <w:bCs/>
          <w:sz w:val="22"/>
          <w:szCs w:val="22"/>
        </w:rPr>
        <w:t>mašinama</w:t>
      </w:r>
    </w:p>
    <w:p w14:paraId="1275D060" w14:textId="77777777" w:rsidR="007F6B1A" w:rsidRDefault="007F6B1A" w:rsidP="0082654D">
      <w:pPr>
        <w:shd w:val="clear" w:color="auto" w:fill="FFFFFF" w:themeFill="background1"/>
        <w:rPr>
          <w:sz w:val="22"/>
          <w:szCs w:val="22"/>
          <w:lang w:val="hr-HR"/>
        </w:rPr>
      </w:pPr>
    </w:p>
    <w:p w14:paraId="4CC7A4B4" w14:textId="7FDE7BB2" w:rsidR="0082654D" w:rsidRPr="0082654D" w:rsidRDefault="00C10B32" w:rsidP="007F6B1A">
      <w:pPr>
        <w:shd w:val="clear" w:color="auto" w:fill="FFFFFF" w:themeFill="background1"/>
        <w:jc w:val="both"/>
        <w:rPr>
          <w:sz w:val="22"/>
          <w:szCs w:val="22"/>
          <w:lang w:val="hr-HR"/>
        </w:rPr>
      </w:pPr>
      <w:r>
        <w:rPr>
          <w:sz w:val="22"/>
          <w:szCs w:val="22"/>
          <w:lang w:val="hr-HR"/>
        </w:rPr>
        <w:t>Lijek</w:t>
      </w:r>
      <w:r w:rsidR="0082654D" w:rsidRPr="0082654D">
        <w:rPr>
          <w:sz w:val="22"/>
          <w:szCs w:val="22"/>
          <w:lang w:val="hr-HR"/>
        </w:rPr>
        <w:t xml:space="preserve"> Piqray ima mali uticaj na sposobnost upravljanja vozilima i rukovanja mašinama. Pacijente treba sav</w:t>
      </w:r>
      <w:r w:rsidR="007F6B1A">
        <w:rPr>
          <w:sz w:val="22"/>
          <w:szCs w:val="22"/>
          <w:lang w:val="hr-HR"/>
        </w:rPr>
        <w:t>j</w:t>
      </w:r>
      <w:r w:rsidR="0082654D" w:rsidRPr="0082654D">
        <w:rPr>
          <w:sz w:val="22"/>
          <w:szCs w:val="22"/>
          <w:lang w:val="hr-HR"/>
        </w:rPr>
        <w:t>etovati da budu oprezni kad upravljaju vozilima ili rukuju mašinama ukoliko os</w:t>
      </w:r>
      <w:r w:rsidR="00496B19">
        <w:rPr>
          <w:sz w:val="22"/>
          <w:szCs w:val="22"/>
          <w:lang w:val="hr-HR"/>
        </w:rPr>
        <w:t>j</w:t>
      </w:r>
      <w:r w:rsidR="0082654D" w:rsidRPr="0082654D">
        <w:rPr>
          <w:sz w:val="22"/>
          <w:szCs w:val="22"/>
          <w:lang w:val="hr-HR"/>
        </w:rPr>
        <w:t xml:space="preserve">ećaju umor ili imaju zamagljeni vid tokom </w:t>
      </w:r>
      <w:r w:rsidR="00B66BE0">
        <w:rPr>
          <w:sz w:val="22"/>
          <w:szCs w:val="22"/>
          <w:lang w:val="hr-HR"/>
        </w:rPr>
        <w:t>liječenj</w:t>
      </w:r>
      <w:r w:rsidR="0082654D" w:rsidRPr="0082654D">
        <w:rPr>
          <w:sz w:val="22"/>
          <w:szCs w:val="22"/>
          <w:lang w:val="hr-HR"/>
        </w:rPr>
        <w:t>a (</w:t>
      </w:r>
      <w:r w:rsidR="00EF7C8E">
        <w:rPr>
          <w:sz w:val="22"/>
          <w:szCs w:val="22"/>
          <w:lang w:val="hr-HR"/>
        </w:rPr>
        <w:t>pogledati dio</w:t>
      </w:r>
      <w:r w:rsidR="0082654D" w:rsidRPr="0082654D">
        <w:rPr>
          <w:sz w:val="22"/>
          <w:szCs w:val="22"/>
          <w:lang w:val="hr-HR"/>
        </w:rPr>
        <w:t xml:space="preserve"> 4.8).</w:t>
      </w:r>
    </w:p>
    <w:p w14:paraId="22065F37" w14:textId="77777777" w:rsidR="0072020E" w:rsidRPr="0082654D" w:rsidRDefault="0072020E" w:rsidP="00480FB1">
      <w:pPr>
        <w:tabs>
          <w:tab w:val="left" w:pos="540"/>
          <w:tab w:val="left" w:pos="569"/>
        </w:tabs>
        <w:rPr>
          <w:b/>
          <w:bCs/>
          <w:sz w:val="22"/>
          <w:szCs w:val="22"/>
        </w:rPr>
      </w:pPr>
    </w:p>
    <w:p w14:paraId="697F81F1" w14:textId="77777777" w:rsidR="0072020E" w:rsidRDefault="0072020E" w:rsidP="00480FB1">
      <w:pPr>
        <w:tabs>
          <w:tab w:val="left" w:pos="540"/>
          <w:tab w:val="left" w:pos="569"/>
        </w:tabs>
        <w:rPr>
          <w:b/>
          <w:bCs/>
          <w:sz w:val="22"/>
          <w:szCs w:val="22"/>
        </w:rPr>
      </w:pPr>
      <w:r w:rsidRPr="0082654D">
        <w:rPr>
          <w:b/>
          <w:bCs/>
          <w:sz w:val="22"/>
          <w:szCs w:val="22"/>
        </w:rPr>
        <w:t xml:space="preserve">4.8. </w:t>
      </w:r>
      <w:r w:rsidR="00480FB1" w:rsidRPr="0082654D">
        <w:rPr>
          <w:b/>
          <w:bCs/>
          <w:sz w:val="22"/>
          <w:szCs w:val="22"/>
        </w:rPr>
        <w:tab/>
      </w:r>
      <w:r w:rsidRPr="0082654D">
        <w:rPr>
          <w:b/>
          <w:bCs/>
          <w:sz w:val="22"/>
          <w:szCs w:val="22"/>
        </w:rPr>
        <w:t>Neželjena dejstva</w:t>
      </w:r>
    </w:p>
    <w:p w14:paraId="5BA8E6E5" w14:textId="77777777" w:rsidR="0082654D" w:rsidRDefault="0082654D" w:rsidP="0082654D">
      <w:pPr>
        <w:keepNext/>
        <w:shd w:val="clear" w:color="auto" w:fill="FFFFFF" w:themeFill="background1"/>
        <w:autoSpaceDE w:val="0"/>
        <w:autoSpaceDN w:val="0"/>
        <w:adjustRightInd w:val="0"/>
        <w:rPr>
          <w:sz w:val="22"/>
          <w:szCs w:val="22"/>
          <w:u w:val="single"/>
          <w:lang w:val="hr-HR"/>
        </w:rPr>
      </w:pPr>
    </w:p>
    <w:p w14:paraId="79AED20E" w14:textId="77777777" w:rsidR="0082654D" w:rsidRPr="0082654D" w:rsidRDefault="0082654D" w:rsidP="007F6B1A">
      <w:pPr>
        <w:keepNext/>
        <w:shd w:val="clear" w:color="auto" w:fill="FFFFFF" w:themeFill="background1"/>
        <w:autoSpaceDE w:val="0"/>
        <w:autoSpaceDN w:val="0"/>
        <w:adjustRightInd w:val="0"/>
        <w:jc w:val="both"/>
        <w:rPr>
          <w:sz w:val="22"/>
          <w:szCs w:val="22"/>
          <w:u w:val="single"/>
          <w:lang w:val="hr-HR"/>
        </w:rPr>
      </w:pPr>
      <w:r w:rsidRPr="0082654D">
        <w:rPr>
          <w:sz w:val="22"/>
          <w:szCs w:val="22"/>
          <w:u w:val="single"/>
          <w:lang w:val="hr-HR"/>
        </w:rPr>
        <w:t>Sažetak bezb</w:t>
      </w:r>
      <w:r w:rsidR="00C233FD">
        <w:rPr>
          <w:sz w:val="22"/>
          <w:szCs w:val="22"/>
          <w:u w:val="single"/>
          <w:lang w:val="hr-HR"/>
        </w:rPr>
        <w:t>j</w:t>
      </w:r>
      <w:r w:rsidRPr="0082654D">
        <w:rPr>
          <w:sz w:val="22"/>
          <w:szCs w:val="22"/>
          <w:u w:val="single"/>
          <w:lang w:val="hr-HR"/>
        </w:rPr>
        <w:t>ednosnog profila</w:t>
      </w:r>
    </w:p>
    <w:p w14:paraId="42BD4E62" w14:textId="77777777" w:rsidR="0082654D" w:rsidRPr="0082654D" w:rsidRDefault="0082654D" w:rsidP="007F6B1A">
      <w:pPr>
        <w:keepNext/>
        <w:shd w:val="clear" w:color="auto" w:fill="FFFFFF" w:themeFill="background1"/>
        <w:autoSpaceDE w:val="0"/>
        <w:autoSpaceDN w:val="0"/>
        <w:adjustRightInd w:val="0"/>
        <w:jc w:val="both"/>
        <w:rPr>
          <w:sz w:val="22"/>
          <w:szCs w:val="22"/>
          <w:lang w:val="hr-HR"/>
        </w:rPr>
      </w:pPr>
    </w:p>
    <w:p w14:paraId="7374E3A2" w14:textId="66952D3E" w:rsidR="0082654D" w:rsidRPr="0082654D" w:rsidRDefault="0082654D" w:rsidP="007F6B1A">
      <w:pPr>
        <w:keepNext/>
        <w:shd w:val="clear" w:color="auto" w:fill="FFFFFF" w:themeFill="background1"/>
        <w:autoSpaceDE w:val="0"/>
        <w:autoSpaceDN w:val="0"/>
        <w:adjustRightInd w:val="0"/>
        <w:jc w:val="both"/>
        <w:rPr>
          <w:sz w:val="22"/>
          <w:szCs w:val="22"/>
          <w:lang w:val="hr-HR"/>
        </w:rPr>
      </w:pPr>
      <w:r w:rsidRPr="0082654D">
        <w:rPr>
          <w:sz w:val="22"/>
          <w:szCs w:val="22"/>
          <w:lang w:val="hr-HR"/>
        </w:rPr>
        <w:t>Bezb</w:t>
      </w:r>
      <w:r w:rsidR="00C233FD">
        <w:rPr>
          <w:sz w:val="22"/>
          <w:szCs w:val="22"/>
          <w:lang w:val="hr-HR"/>
        </w:rPr>
        <w:t>j</w:t>
      </w:r>
      <w:r w:rsidRPr="0082654D">
        <w:rPr>
          <w:sz w:val="22"/>
          <w:szCs w:val="22"/>
          <w:lang w:val="hr-HR"/>
        </w:rPr>
        <w:t xml:space="preserve">ednosni profil je zasnovan na podacima 284 pacijenta u grupi koja je primala </w:t>
      </w:r>
      <w:r w:rsidR="00C10B32">
        <w:rPr>
          <w:sz w:val="22"/>
          <w:szCs w:val="22"/>
          <w:lang w:val="hr-HR"/>
        </w:rPr>
        <w:t>lijek</w:t>
      </w:r>
      <w:r w:rsidRPr="0082654D">
        <w:rPr>
          <w:sz w:val="22"/>
          <w:szCs w:val="22"/>
          <w:lang w:val="hr-HR"/>
        </w:rPr>
        <w:t xml:space="preserve"> Piqray uz fulvestrant u dvostruko sl</w:t>
      </w:r>
      <w:r w:rsidR="00456576">
        <w:rPr>
          <w:sz w:val="22"/>
          <w:szCs w:val="22"/>
          <w:lang w:val="hr-HR"/>
        </w:rPr>
        <w:t>ij</w:t>
      </w:r>
      <w:r w:rsidRPr="0082654D">
        <w:rPr>
          <w:sz w:val="22"/>
          <w:szCs w:val="22"/>
          <w:lang w:val="hr-HR"/>
        </w:rPr>
        <w:t>epom, placebom kontrolisanom ispitivanju faze III.</w:t>
      </w:r>
    </w:p>
    <w:p w14:paraId="664DBC7A" w14:textId="77777777" w:rsidR="0082654D" w:rsidRPr="0082654D" w:rsidRDefault="0082654D" w:rsidP="007F6B1A">
      <w:pPr>
        <w:keepNext/>
        <w:shd w:val="clear" w:color="auto" w:fill="FFFFFF" w:themeFill="background1"/>
        <w:autoSpaceDE w:val="0"/>
        <w:autoSpaceDN w:val="0"/>
        <w:adjustRightInd w:val="0"/>
        <w:jc w:val="both"/>
        <w:rPr>
          <w:sz w:val="22"/>
          <w:szCs w:val="22"/>
          <w:lang w:val="hr-HR"/>
        </w:rPr>
      </w:pPr>
    </w:p>
    <w:p w14:paraId="4F44939F" w14:textId="153C6B74" w:rsidR="0082654D" w:rsidRPr="0082654D" w:rsidRDefault="0082654D" w:rsidP="007F6B1A">
      <w:pPr>
        <w:shd w:val="clear" w:color="auto" w:fill="FFFFFF" w:themeFill="background1"/>
        <w:autoSpaceDE w:val="0"/>
        <w:autoSpaceDN w:val="0"/>
        <w:adjustRightInd w:val="0"/>
        <w:jc w:val="both"/>
        <w:rPr>
          <w:sz w:val="22"/>
          <w:szCs w:val="22"/>
          <w:lang w:val="hr-HR"/>
        </w:rPr>
      </w:pPr>
      <w:r w:rsidRPr="0082654D">
        <w:rPr>
          <w:sz w:val="22"/>
          <w:szCs w:val="22"/>
          <w:lang w:val="hr-HR"/>
        </w:rPr>
        <w:t xml:space="preserve">Najčešće neželjene reakcije na </w:t>
      </w:r>
      <w:r w:rsidR="00C10B32">
        <w:rPr>
          <w:sz w:val="22"/>
          <w:szCs w:val="22"/>
          <w:lang w:val="hr-HR"/>
        </w:rPr>
        <w:t>lijek</w:t>
      </w:r>
      <w:r w:rsidRPr="0082654D">
        <w:rPr>
          <w:sz w:val="22"/>
          <w:szCs w:val="22"/>
          <w:lang w:val="hr-HR"/>
        </w:rPr>
        <w:t xml:space="preserve"> (prijavljene sa učestalošću &gt;20% u kombinovanoj ispitivanoj populaciji sa mutacijom i bez mutacije) bile su povišenje glukoze u plazmi (79,2%), povišenje kreatinina (</w:t>
      </w:r>
      <w:r w:rsidR="00926A9D">
        <w:rPr>
          <w:sz w:val="22"/>
          <w:szCs w:val="22"/>
          <w:lang w:val="hr-HR"/>
        </w:rPr>
        <w:t>68</w:t>
      </w:r>
      <w:r w:rsidR="00D11644">
        <w:rPr>
          <w:sz w:val="22"/>
          <w:szCs w:val="22"/>
          <w:lang w:val="hr-HR"/>
        </w:rPr>
        <w:t>,0</w:t>
      </w:r>
      <w:r w:rsidRPr="0082654D">
        <w:rPr>
          <w:sz w:val="22"/>
          <w:szCs w:val="22"/>
          <w:lang w:val="hr-HR"/>
        </w:rPr>
        <w:t>%), dijareja (59,</w:t>
      </w:r>
      <w:r w:rsidR="005C1969">
        <w:rPr>
          <w:sz w:val="22"/>
          <w:szCs w:val="22"/>
          <w:lang w:val="hr-HR"/>
        </w:rPr>
        <w:t>9</w:t>
      </w:r>
      <w:r w:rsidRPr="0082654D">
        <w:rPr>
          <w:sz w:val="22"/>
          <w:szCs w:val="22"/>
          <w:lang w:val="hr-HR"/>
        </w:rPr>
        <w:t xml:space="preserve">%), </w:t>
      </w:r>
      <w:r w:rsidR="005C1969" w:rsidRPr="005C1969">
        <w:rPr>
          <w:sz w:val="22"/>
          <w:szCs w:val="22"/>
          <w:lang w:val="hr-HR"/>
        </w:rPr>
        <w:t>smanjenje broja limfocita (55.6%),</w:t>
      </w:r>
      <w:r w:rsidR="005C1969">
        <w:rPr>
          <w:sz w:val="22"/>
          <w:szCs w:val="22"/>
          <w:lang w:val="hr-HR"/>
        </w:rPr>
        <w:t xml:space="preserve"> </w:t>
      </w:r>
      <w:r w:rsidRPr="0082654D">
        <w:rPr>
          <w:sz w:val="22"/>
          <w:szCs w:val="22"/>
          <w:lang w:val="hr-HR"/>
        </w:rPr>
        <w:t xml:space="preserve">povišenje </w:t>
      </w:r>
      <w:r w:rsidRPr="0082654D">
        <w:rPr>
          <w:color w:val="000000"/>
          <w:sz w:val="22"/>
          <w:szCs w:val="22"/>
          <w:lang w:val="hr-HR"/>
        </w:rPr>
        <w:t>gama</w:t>
      </w:r>
      <w:r w:rsidRPr="0082654D">
        <w:rPr>
          <w:color w:val="000000"/>
          <w:sz w:val="22"/>
          <w:szCs w:val="22"/>
          <w:lang w:val="hr-HR"/>
        </w:rPr>
        <w:noBreakHyphen/>
        <w:t>glutamil transferaze (</w:t>
      </w:r>
      <w:r w:rsidR="005C1969" w:rsidRPr="0082654D">
        <w:rPr>
          <w:color w:val="000000"/>
          <w:sz w:val="22"/>
          <w:szCs w:val="22"/>
          <w:lang w:val="hr-HR"/>
        </w:rPr>
        <w:t>5</w:t>
      </w:r>
      <w:r w:rsidR="005C1969">
        <w:rPr>
          <w:color w:val="000000"/>
          <w:sz w:val="22"/>
          <w:szCs w:val="22"/>
          <w:lang w:val="hr-HR"/>
        </w:rPr>
        <w:t>4</w:t>
      </w:r>
      <w:r w:rsidRPr="0082654D">
        <w:rPr>
          <w:color w:val="000000"/>
          <w:sz w:val="22"/>
          <w:szCs w:val="22"/>
          <w:lang w:val="hr-HR"/>
        </w:rPr>
        <w:t xml:space="preserve">,2%), </w:t>
      </w:r>
      <w:r w:rsidRPr="0082654D">
        <w:rPr>
          <w:sz w:val="22"/>
          <w:szCs w:val="22"/>
          <w:lang w:val="hr-HR"/>
        </w:rPr>
        <w:t>osip (</w:t>
      </w:r>
      <w:r w:rsidR="005C1969" w:rsidRPr="0082654D">
        <w:rPr>
          <w:sz w:val="22"/>
          <w:szCs w:val="22"/>
          <w:lang w:val="hr-HR"/>
        </w:rPr>
        <w:t>5</w:t>
      </w:r>
      <w:r w:rsidR="005C1969">
        <w:rPr>
          <w:sz w:val="22"/>
          <w:szCs w:val="22"/>
          <w:lang w:val="hr-HR"/>
        </w:rPr>
        <w:t>2</w:t>
      </w:r>
      <w:r w:rsidRPr="0082654D">
        <w:rPr>
          <w:sz w:val="22"/>
          <w:szCs w:val="22"/>
          <w:lang w:val="hr-HR"/>
        </w:rPr>
        <w:t>,</w:t>
      </w:r>
      <w:r w:rsidR="005C1969">
        <w:rPr>
          <w:sz w:val="22"/>
          <w:szCs w:val="22"/>
          <w:lang w:val="hr-HR"/>
        </w:rPr>
        <w:t>1</w:t>
      </w:r>
      <w:r w:rsidRPr="0082654D">
        <w:rPr>
          <w:sz w:val="22"/>
          <w:szCs w:val="22"/>
          <w:lang w:val="hr-HR"/>
        </w:rPr>
        <w:t xml:space="preserve">%), mučnina (46,8%), </w:t>
      </w:r>
      <w:r w:rsidR="005C1969" w:rsidRPr="005C1969">
        <w:rPr>
          <w:sz w:val="22"/>
          <w:szCs w:val="22"/>
          <w:lang w:val="hr-HR"/>
        </w:rPr>
        <w:t>anemija (45,4%),</w:t>
      </w:r>
      <w:r w:rsidR="005C1969">
        <w:rPr>
          <w:sz w:val="22"/>
          <w:szCs w:val="22"/>
          <w:lang w:val="hr-HR"/>
        </w:rPr>
        <w:t xml:space="preserve"> </w:t>
      </w:r>
      <w:r w:rsidRPr="0082654D">
        <w:rPr>
          <w:sz w:val="22"/>
          <w:szCs w:val="22"/>
          <w:lang w:val="hr-HR"/>
        </w:rPr>
        <w:t>povišenje a</w:t>
      </w:r>
      <w:r w:rsidRPr="0082654D">
        <w:rPr>
          <w:color w:val="000000"/>
          <w:sz w:val="22"/>
          <w:szCs w:val="22"/>
          <w:lang w:val="hr-HR"/>
        </w:rPr>
        <w:t>lanin aminotransferaze (</w:t>
      </w:r>
      <w:r w:rsidR="005C1969" w:rsidRPr="0082654D">
        <w:rPr>
          <w:color w:val="000000"/>
          <w:sz w:val="22"/>
          <w:szCs w:val="22"/>
          <w:lang w:val="hr-HR"/>
        </w:rPr>
        <w:t>4</w:t>
      </w:r>
      <w:r w:rsidR="005C1969">
        <w:rPr>
          <w:color w:val="000000"/>
          <w:sz w:val="22"/>
          <w:szCs w:val="22"/>
          <w:lang w:val="hr-HR"/>
        </w:rPr>
        <w:t>5</w:t>
      </w:r>
      <w:r w:rsidRPr="0082654D">
        <w:rPr>
          <w:color w:val="000000"/>
          <w:sz w:val="22"/>
          <w:szCs w:val="22"/>
          <w:lang w:val="hr-HR"/>
        </w:rPr>
        <w:t>,</w:t>
      </w:r>
      <w:r w:rsidR="005C1969">
        <w:rPr>
          <w:color w:val="000000"/>
          <w:sz w:val="22"/>
          <w:szCs w:val="22"/>
          <w:lang w:val="hr-HR"/>
        </w:rPr>
        <w:t>1</w:t>
      </w:r>
      <w:r w:rsidRPr="0082654D">
        <w:rPr>
          <w:color w:val="000000"/>
          <w:sz w:val="22"/>
          <w:szCs w:val="22"/>
          <w:lang w:val="hr-HR"/>
        </w:rPr>
        <w:t>%), umor</w:t>
      </w:r>
      <w:r w:rsidRPr="0082654D">
        <w:rPr>
          <w:sz w:val="22"/>
          <w:szCs w:val="22"/>
          <w:lang w:val="hr-HR"/>
        </w:rPr>
        <w:t xml:space="preserve"> (</w:t>
      </w:r>
      <w:r w:rsidR="005C1969" w:rsidRPr="0082654D">
        <w:rPr>
          <w:sz w:val="22"/>
          <w:szCs w:val="22"/>
          <w:lang w:val="hr-HR"/>
        </w:rPr>
        <w:t>4</w:t>
      </w:r>
      <w:r w:rsidR="005C1969">
        <w:rPr>
          <w:sz w:val="22"/>
          <w:szCs w:val="22"/>
          <w:lang w:val="hr-HR"/>
        </w:rPr>
        <w:t>4</w:t>
      </w:r>
      <w:r w:rsidRPr="0082654D">
        <w:rPr>
          <w:sz w:val="22"/>
          <w:szCs w:val="22"/>
          <w:lang w:val="hr-HR"/>
        </w:rPr>
        <w:t>,</w:t>
      </w:r>
      <w:r w:rsidR="005C1969">
        <w:rPr>
          <w:sz w:val="22"/>
          <w:szCs w:val="22"/>
          <w:lang w:val="hr-HR"/>
        </w:rPr>
        <w:t>0</w:t>
      </w:r>
      <w:r w:rsidRPr="0082654D">
        <w:rPr>
          <w:sz w:val="22"/>
          <w:szCs w:val="22"/>
          <w:lang w:val="hr-HR"/>
        </w:rPr>
        <w:t xml:space="preserve">%), povišenje </w:t>
      </w:r>
      <w:r w:rsidRPr="0082654D">
        <w:rPr>
          <w:color w:val="000000"/>
          <w:sz w:val="22"/>
          <w:szCs w:val="22"/>
          <w:lang w:val="hr-HR"/>
        </w:rPr>
        <w:t>lipaze</w:t>
      </w:r>
      <w:r w:rsidRPr="0082654D">
        <w:rPr>
          <w:sz w:val="22"/>
          <w:szCs w:val="22"/>
          <w:lang w:val="hr-HR"/>
        </w:rPr>
        <w:t xml:space="preserve"> (</w:t>
      </w:r>
      <w:r w:rsidR="005C1969" w:rsidRPr="0082654D">
        <w:rPr>
          <w:sz w:val="22"/>
          <w:szCs w:val="22"/>
          <w:lang w:val="hr-HR"/>
        </w:rPr>
        <w:t>4</w:t>
      </w:r>
      <w:r w:rsidR="005C1969">
        <w:rPr>
          <w:sz w:val="22"/>
          <w:szCs w:val="22"/>
          <w:lang w:val="hr-HR"/>
        </w:rPr>
        <w:t>3</w:t>
      </w:r>
      <w:r w:rsidRPr="0082654D">
        <w:rPr>
          <w:sz w:val="22"/>
          <w:szCs w:val="22"/>
          <w:lang w:val="hr-HR"/>
        </w:rPr>
        <w:t>,</w:t>
      </w:r>
      <w:r w:rsidR="005C1969">
        <w:rPr>
          <w:sz w:val="22"/>
          <w:szCs w:val="22"/>
          <w:lang w:val="hr-HR"/>
        </w:rPr>
        <w:t>3</w:t>
      </w:r>
      <w:r w:rsidRPr="0082654D">
        <w:rPr>
          <w:sz w:val="22"/>
          <w:szCs w:val="22"/>
          <w:lang w:val="hr-HR"/>
        </w:rPr>
        <w:t>%), smanjeni apetit (</w:t>
      </w:r>
      <w:r w:rsidR="005C1969" w:rsidRPr="0082654D">
        <w:rPr>
          <w:sz w:val="22"/>
          <w:szCs w:val="22"/>
          <w:lang w:val="hr-HR"/>
        </w:rPr>
        <w:t>3</w:t>
      </w:r>
      <w:r w:rsidR="005C1969">
        <w:rPr>
          <w:sz w:val="22"/>
          <w:szCs w:val="22"/>
          <w:lang w:val="hr-HR"/>
        </w:rPr>
        <w:t>7</w:t>
      </w:r>
      <w:r w:rsidRPr="0082654D">
        <w:rPr>
          <w:sz w:val="22"/>
          <w:szCs w:val="22"/>
          <w:lang w:val="hr-HR"/>
        </w:rPr>
        <w:t>,</w:t>
      </w:r>
      <w:r w:rsidR="005C1969">
        <w:rPr>
          <w:sz w:val="22"/>
          <w:szCs w:val="22"/>
          <w:lang w:val="hr-HR"/>
        </w:rPr>
        <w:t>0</w:t>
      </w:r>
      <w:r w:rsidRPr="0082654D">
        <w:rPr>
          <w:sz w:val="22"/>
          <w:szCs w:val="22"/>
          <w:lang w:val="hr-HR"/>
        </w:rPr>
        <w:t>%), stomatitis (30,</w:t>
      </w:r>
      <w:r w:rsidR="005C1969">
        <w:rPr>
          <w:sz w:val="22"/>
          <w:szCs w:val="22"/>
          <w:lang w:val="hr-HR"/>
        </w:rPr>
        <w:t>6</w:t>
      </w:r>
      <w:r w:rsidRPr="0082654D">
        <w:rPr>
          <w:sz w:val="22"/>
          <w:szCs w:val="22"/>
          <w:lang w:val="hr-HR"/>
        </w:rPr>
        <w:t>%), povraćanje (</w:t>
      </w:r>
      <w:r w:rsidR="005C1969" w:rsidRPr="0082654D">
        <w:rPr>
          <w:sz w:val="22"/>
          <w:szCs w:val="22"/>
          <w:lang w:val="hr-HR"/>
        </w:rPr>
        <w:t>2</w:t>
      </w:r>
      <w:r w:rsidR="005C1969">
        <w:rPr>
          <w:sz w:val="22"/>
          <w:szCs w:val="22"/>
          <w:lang w:val="hr-HR"/>
        </w:rPr>
        <w:t>9</w:t>
      </w:r>
      <w:r w:rsidRPr="0082654D">
        <w:rPr>
          <w:sz w:val="22"/>
          <w:szCs w:val="22"/>
          <w:lang w:val="hr-HR"/>
        </w:rPr>
        <w:t>,</w:t>
      </w:r>
      <w:r w:rsidR="005C1969">
        <w:rPr>
          <w:sz w:val="22"/>
          <w:szCs w:val="22"/>
          <w:lang w:val="hr-HR"/>
        </w:rPr>
        <w:t>6</w:t>
      </w:r>
      <w:r w:rsidRPr="0082654D">
        <w:rPr>
          <w:sz w:val="22"/>
          <w:szCs w:val="22"/>
          <w:lang w:val="hr-HR"/>
        </w:rPr>
        <w:t xml:space="preserve">%), smanjenje </w:t>
      </w:r>
      <w:r w:rsidR="0010032C">
        <w:rPr>
          <w:sz w:val="22"/>
          <w:szCs w:val="22"/>
          <w:lang w:val="hr-HR"/>
        </w:rPr>
        <w:t>tjelesn</w:t>
      </w:r>
      <w:r w:rsidRPr="0082654D">
        <w:rPr>
          <w:sz w:val="22"/>
          <w:szCs w:val="22"/>
          <w:lang w:val="hr-HR"/>
        </w:rPr>
        <w:t>e težine (</w:t>
      </w:r>
      <w:r w:rsidR="005C1969" w:rsidRPr="0082654D">
        <w:rPr>
          <w:sz w:val="22"/>
          <w:szCs w:val="22"/>
          <w:lang w:val="hr-HR"/>
        </w:rPr>
        <w:t>2</w:t>
      </w:r>
      <w:r w:rsidR="005C1969">
        <w:rPr>
          <w:sz w:val="22"/>
          <w:szCs w:val="22"/>
          <w:lang w:val="hr-HR"/>
        </w:rPr>
        <w:t>8</w:t>
      </w:r>
      <w:r w:rsidRPr="0082654D">
        <w:rPr>
          <w:sz w:val="22"/>
          <w:szCs w:val="22"/>
          <w:lang w:val="hr-HR"/>
        </w:rPr>
        <w:t>,</w:t>
      </w:r>
      <w:r w:rsidR="005C1969">
        <w:rPr>
          <w:sz w:val="22"/>
          <w:szCs w:val="22"/>
          <w:lang w:val="hr-HR"/>
        </w:rPr>
        <w:t>2</w:t>
      </w:r>
      <w:r w:rsidRPr="0082654D">
        <w:rPr>
          <w:sz w:val="22"/>
          <w:szCs w:val="22"/>
          <w:lang w:val="hr-HR"/>
        </w:rPr>
        <w:t>%), hipokalcemija (27,8%), smanjenje glukoze u plazmi (</w:t>
      </w:r>
      <w:r w:rsidR="005C1969" w:rsidRPr="0082654D">
        <w:rPr>
          <w:sz w:val="22"/>
          <w:szCs w:val="22"/>
          <w:lang w:val="hr-HR"/>
        </w:rPr>
        <w:t>2</w:t>
      </w:r>
      <w:r w:rsidR="005C1969">
        <w:rPr>
          <w:sz w:val="22"/>
          <w:szCs w:val="22"/>
          <w:lang w:val="hr-HR"/>
        </w:rPr>
        <w:t>7</w:t>
      </w:r>
      <w:r w:rsidRPr="0082654D">
        <w:rPr>
          <w:sz w:val="22"/>
          <w:szCs w:val="22"/>
          <w:lang w:val="hr-HR"/>
        </w:rPr>
        <w:t>,</w:t>
      </w:r>
      <w:r w:rsidR="005C1969">
        <w:rPr>
          <w:sz w:val="22"/>
          <w:szCs w:val="22"/>
          <w:lang w:val="hr-HR"/>
        </w:rPr>
        <w:t>5</w:t>
      </w:r>
      <w:r w:rsidRPr="0082654D">
        <w:rPr>
          <w:sz w:val="22"/>
          <w:szCs w:val="22"/>
          <w:lang w:val="hr-HR"/>
        </w:rPr>
        <w:t xml:space="preserve">%), produženo aktivirano parcijalno tromboplastinsko </w:t>
      </w:r>
      <w:r w:rsidR="00A26CAB">
        <w:rPr>
          <w:sz w:val="22"/>
          <w:szCs w:val="22"/>
          <w:lang w:val="hr-HR"/>
        </w:rPr>
        <w:t>vrijem</w:t>
      </w:r>
      <w:r w:rsidRPr="0082654D">
        <w:rPr>
          <w:sz w:val="22"/>
          <w:szCs w:val="22"/>
          <w:lang w:val="hr-HR"/>
        </w:rPr>
        <w:t>e (aPTT) (</w:t>
      </w:r>
      <w:r w:rsidR="005C1969" w:rsidRPr="0082654D">
        <w:rPr>
          <w:sz w:val="22"/>
          <w:szCs w:val="22"/>
          <w:lang w:val="hr-HR"/>
        </w:rPr>
        <w:t>2</w:t>
      </w:r>
      <w:r w:rsidR="005C1969">
        <w:rPr>
          <w:sz w:val="22"/>
          <w:szCs w:val="22"/>
          <w:lang w:val="hr-HR"/>
        </w:rPr>
        <w:t>3</w:t>
      </w:r>
      <w:r w:rsidRPr="0082654D">
        <w:rPr>
          <w:sz w:val="22"/>
          <w:szCs w:val="22"/>
          <w:lang w:val="hr-HR"/>
        </w:rPr>
        <w:t>,</w:t>
      </w:r>
      <w:r w:rsidR="005C1969">
        <w:rPr>
          <w:sz w:val="22"/>
          <w:szCs w:val="22"/>
          <w:lang w:val="hr-HR"/>
        </w:rPr>
        <w:t>9</w:t>
      </w:r>
      <w:r w:rsidRPr="0082654D">
        <w:rPr>
          <w:sz w:val="22"/>
          <w:szCs w:val="22"/>
          <w:lang w:val="hr-HR"/>
        </w:rPr>
        <w:t>%) i alopecija (20,4%).</w:t>
      </w:r>
    </w:p>
    <w:p w14:paraId="14E02BE8" w14:textId="77777777" w:rsidR="0082654D" w:rsidRPr="0082654D" w:rsidRDefault="0082654D" w:rsidP="007F6B1A">
      <w:pPr>
        <w:shd w:val="clear" w:color="auto" w:fill="FFFFFF" w:themeFill="background1"/>
        <w:autoSpaceDE w:val="0"/>
        <w:autoSpaceDN w:val="0"/>
        <w:adjustRightInd w:val="0"/>
        <w:jc w:val="both"/>
        <w:rPr>
          <w:sz w:val="22"/>
          <w:szCs w:val="22"/>
          <w:lang w:val="hr-HR"/>
        </w:rPr>
      </w:pPr>
    </w:p>
    <w:p w14:paraId="77012165" w14:textId="16A3D9BF" w:rsidR="0082654D" w:rsidRPr="0082654D" w:rsidRDefault="0082654D" w:rsidP="007F6B1A">
      <w:pPr>
        <w:shd w:val="clear" w:color="auto" w:fill="FFFFFF" w:themeFill="background1"/>
        <w:autoSpaceDE w:val="0"/>
        <w:autoSpaceDN w:val="0"/>
        <w:adjustRightInd w:val="0"/>
        <w:jc w:val="both"/>
        <w:rPr>
          <w:sz w:val="22"/>
          <w:szCs w:val="22"/>
          <w:lang w:val="hr-HR"/>
        </w:rPr>
      </w:pPr>
      <w:r w:rsidRPr="0082654D">
        <w:rPr>
          <w:sz w:val="22"/>
          <w:szCs w:val="22"/>
          <w:lang w:val="hr-HR"/>
        </w:rPr>
        <w:t>Najčešće neželjene reakcije 3. ili 4. stepena (prijavljene sa učestalošću ≥2%) bile su povišenje glukoze u plazmi (39,</w:t>
      </w:r>
      <w:r w:rsidR="005C1969">
        <w:rPr>
          <w:sz w:val="22"/>
          <w:szCs w:val="22"/>
          <w:lang w:val="hr-HR"/>
        </w:rPr>
        <w:t>4</w:t>
      </w:r>
      <w:r w:rsidRPr="0082654D">
        <w:rPr>
          <w:sz w:val="22"/>
          <w:szCs w:val="22"/>
          <w:lang w:val="hr-HR"/>
        </w:rPr>
        <w:t>%), osip (19,4%), povišenje gama</w:t>
      </w:r>
      <w:r w:rsidRPr="0082654D">
        <w:rPr>
          <w:sz w:val="22"/>
          <w:szCs w:val="22"/>
          <w:lang w:val="hr-HR"/>
        </w:rPr>
        <w:noBreakHyphen/>
        <w:t>glutamil transferaze (12,</w:t>
      </w:r>
      <w:r w:rsidR="005C1969">
        <w:rPr>
          <w:sz w:val="22"/>
          <w:szCs w:val="22"/>
          <w:lang w:val="hr-HR"/>
        </w:rPr>
        <w:t>3</w:t>
      </w:r>
      <w:r w:rsidRPr="0082654D">
        <w:rPr>
          <w:sz w:val="22"/>
          <w:szCs w:val="22"/>
          <w:lang w:val="hr-HR"/>
        </w:rPr>
        <w:t>%), smanjenje broja limfocita (9,</w:t>
      </w:r>
      <w:r w:rsidR="005C1969">
        <w:rPr>
          <w:sz w:val="22"/>
          <w:szCs w:val="22"/>
          <w:lang w:val="hr-HR"/>
        </w:rPr>
        <w:t>9</w:t>
      </w:r>
      <w:r w:rsidRPr="0082654D">
        <w:rPr>
          <w:sz w:val="22"/>
          <w:szCs w:val="22"/>
          <w:lang w:val="hr-HR"/>
        </w:rPr>
        <w:t>%), dijareja (7,</w:t>
      </w:r>
      <w:r w:rsidR="005C1969">
        <w:rPr>
          <w:sz w:val="22"/>
          <w:szCs w:val="22"/>
          <w:lang w:val="hr-HR"/>
        </w:rPr>
        <w:t>4</w:t>
      </w:r>
      <w:r w:rsidRPr="0082654D">
        <w:rPr>
          <w:sz w:val="22"/>
          <w:szCs w:val="22"/>
          <w:lang w:val="hr-HR"/>
        </w:rPr>
        <w:t>%), povišenje lipaze (7,0%), hipokalemija (6,</w:t>
      </w:r>
      <w:r w:rsidR="005C1969">
        <w:rPr>
          <w:sz w:val="22"/>
          <w:szCs w:val="22"/>
          <w:lang w:val="hr-HR"/>
        </w:rPr>
        <w:t>7</w:t>
      </w:r>
      <w:r w:rsidRPr="0082654D">
        <w:rPr>
          <w:sz w:val="22"/>
          <w:szCs w:val="22"/>
          <w:lang w:val="hr-HR"/>
        </w:rPr>
        <w:t xml:space="preserve">%), smanjenje </w:t>
      </w:r>
      <w:r w:rsidR="0010032C">
        <w:rPr>
          <w:sz w:val="22"/>
          <w:szCs w:val="22"/>
          <w:lang w:val="hr-HR"/>
        </w:rPr>
        <w:t>tjelesn</w:t>
      </w:r>
      <w:r w:rsidRPr="0082654D">
        <w:rPr>
          <w:sz w:val="22"/>
          <w:szCs w:val="22"/>
          <w:lang w:val="hr-HR"/>
        </w:rPr>
        <w:t>e težine (</w:t>
      </w:r>
      <w:r w:rsidR="005C1969">
        <w:rPr>
          <w:sz w:val="22"/>
          <w:szCs w:val="22"/>
          <w:lang w:val="hr-HR"/>
        </w:rPr>
        <w:t>6</w:t>
      </w:r>
      <w:r w:rsidRPr="0082654D">
        <w:rPr>
          <w:sz w:val="22"/>
          <w:szCs w:val="22"/>
          <w:lang w:val="hr-HR"/>
        </w:rPr>
        <w:t>,</w:t>
      </w:r>
      <w:r w:rsidR="005C1969">
        <w:rPr>
          <w:sz w:val="22"/>
          <w:szCs w:val="22"/>
          <w:lang w:val="hr-HR"/>
        </w:rPr>
        <w:t>0</w:t>
      </w:r>
      <w:r w:rsidRPr="0082654D">
        <w:rPr>
          <w:sz w:val="22"/>
          <w:szCs w:val="22"/>
          <w:lang w:val="hr-HR"/>
        </w:rPr>
        <w:t>%),</w:t>
      </w:r>
      <w:r w:rsidR="005C1969">
        <w:rPr>
          <w:sz w:val="22"/>
          <w:szCs w:val="22"/>
          <w:lang w:val="hr-HR"/>
        </w:rPr>
        <w:t xml:space="preserve"> umor (5,6%),</w:t>
      </w:r>
      <w:r w:rsidRPr="0082654D">
        <w:rPr>
          <w:sz w:val="22"/>
          <w:szCs w:val="22"/>
          <w:lang w:val="hr-HR"/>
        </w:rPr>
        <w:t xml:space="preserve"> anemija (</w:t>
      </w:r>
      <w:r w:rsidR="005C1969">
        <w:rPr>
          <w:sz w:val="22"/>
          <w:szCs w:val="22"/>
          <w:lang w:val="hr-HR"/>
        </w:rPr>
        <w:t>5</w:t>
      </w:r>
      <w:r w:rsidRPr="0082654D">
        <w:rPr>
          <w:sz w:val="22"/>
          <w:szCs w:val="22"/>
          <w:lang w:val="hr-HR"/>
        </w:rPr>
        <w:t>,</w:t>
      </w:r>
      <w:r w:rsidR="005C1969">
        <w:rPr>
          <w:sz w:val="22"/>
          <w:szCs w:val="22"/>
          <w:lang w:val="hr-HR"/>
        </w:rPr>
        <w:t>3</w:t>
      </w:r>
      <w:r w:rsidRPr="0082654D">
        <w:rPr>
          <w:sz w:val="22"/>
          <w:szCs w:val="22"/>
          <w:lang w:val="hr-HR"/>
        </w:rPr>
        <w:t>%), hipertenzija (</w:t>
      </w:r>
      <w:r w:rsidR="005C1969">
        <w:rPr>
          <w:sz w:val="22"/>
          <w:szCs w:val="22"/>
          <w:lang w:val="hr-HR"/>
        </w:rPr>
        <w:t>5</w:t>
      </w:r>
      <w:r w:rsidRPr="0082654D">
        <w:rPr>
          <w:sz w:val="22"/>
          <w:szCs w:val="22"/>
          <w:lang w:val="hr-HR"/>
        </w:rPr>
        <w:t>,</w:t>
      </w:r>
      <w:r w:rsidR="005C1969">
        <w:rPr>
          <w:sz w:val="22"/>
          <w:szCs w:val="22"/>
          <w:lang w:val="hr-HR"/>
        </w:rPr>
        <w:t>3</w:t>
      </w:r>
      <w:r w:rsidRPr="0082654D">
        <w:rPr>
          <w:sz w:val="22"/>
          <w:szCs w:val="22"/>
          <w:lang w:val="hr-HR"/>
        </w:rPr>
        <w:t>%), povišenje alanin aminotransferaze (4,</w:t>
      </w:r>
      <w:r w:rsidR="005C1969">
        <w:rPr>
          <w:sz w:val="22"/>
          <w:szCs w:val="22"/>
          <w:lang w:val="hr-HR"/>
        </w:rPr>
        <w:t>6</w:t>
      </w:r>
      <w:r w:rsidRPr="0082654D">
        <w:rPr>
          <w:sz w:val="22"/>
          <w:szCs w:val="22"/>
          <w:lang w:val="hr-HR"/>
        </w:rPr>
        <w:t>%), povišenje kreatinina (</w:t>
      </w:r>
      <w:r w:rsidR="005C1969">
        <w:rPr>
          <w:sz w:val="22"/>
          <w:szCs w:val="22"/>
          <w:lang w:val="hr-HR"/>
        </w:rPr>
        <w:t>3</w:t>
      </w:r>
      <w:r w:rsidRPr="0082654D">
        <w:rPr>
          <w:sz w:val="22"/>
          <w:szCs w:val="22"/>
          <w:lang w:val="hr-HR"/>
        </w:rPr>
        <w:t>,</w:t>
      </w:r>
      <w:r w:rsidR="005C1969">
        <w:rPr>
          <w:sz w:val="22"/>
          <w:szCs w:val="22"/>
          <w:lang w:val="hr-HR"/>
        </w:rPr>
        <w:t>2</w:t>
      </w:r>
      <w:r w:rsidRPr="0082654D">
        <w:rPr>
          <w:sz w:val="22"/>
          <w:szCs w:val="22"/>
          <w:lang w:val="hr-HR"/>
        </w:rPr>
        <w:t xml:space="preserve">%), </w:t>
      </w:r>
      <w:r w:rsidR="005C1969" w:rsidRPr="005C1969">
        <w:rPr>
          <w:sz w:val="22"/>
          <w:szCs w:val="22"/>
          <w:lang w:val="hr-HR"/>
        </w:rPr>
        <w:t>mučnina (2,8%), osteonekroza vilice (2,8%),</w:t>
      </w:r>
      <w:r w:rsidR="005C1969">
        <w:rPr>
          <w:sz w:val="22"/>
          <w:szCs w:val="22"/>
          <w:lang w:val="hr-HR"/>
        </w:rPr>
        <w:t xml:space="preserve"> </w:t>
      </w:r>
      <w:r w:rsidRPr="0082654D">
        <w:rPr>
          <w:sz w:val="22"/>
          <w:szCs w:val="22"/>
          <w:lang w:val="hr-HR"/>
        </w:rPr>
        <w:t>stomatitis (2,5%), hipokalcemija (2,1%)</w:t>
      </w:r>
      <w:r w:rsidR="005C1969" w:rsidRPr="005C1969">
        <w:rPr>
          <w:sz w:val="22"/>
          <w:szCs w:val="22"/>
          <w:lang w:val="hr-HR"/>
        </w:rPr>
        <w:t>, akutno oštećenje funkcije bubrega (2,1%)</w:t>
      </w:r>
      <w:r w:rsidRPr="0082654D">
        <w:rPr>
          <w:sz w:val="22"/>
          <w:szCs w:val="22"/>
          <w:lang w:val="hr-HR"/>
        </w:rPr>
        <w:t xml:space="preserve"> i upala sluznice (2,1%).</w:t>
      </w:r>
    </w:p>
    <w:p w14:paraId="016B0FCA" w14:textId="77777777" w:rsidR="0082654D" w:rsidRPr="0082654D" w:rsidRDefault="0082654D" w:rsidP="007F6B1A">
      <w:pPr>
        <w:shd w:val="clear" w:color="auto" w:fill="FFFFFF" w:themeFill="background1"/>
        <w:autoSpaceDE w:val="0"/>
        <w:autoSpaceDN w:val="0"/>
        <w:adjustRightInd w:val="0"/>
        <w:jc w:val="both"/>
        <w:rPr>
          <w:sz w:val="22"/>
          <w:szCs w:val="22"/>
          <w:lang w:val="hr-HR"/>
        </w:rPr>
      </w:pPr>
    </w:p>
    <w:p w14:paraId="034961AC" w14:textId="77777777" w:rsidR="0082654D" w:rsidRPr="0082654D" w:rsidRDefault="0082654D" w:rsidP="007F6B1A">
      <w:pPr>
        <w:shd w:val="clear" w:color="auto" w:fill="FFFFFF" w:themeFill="background1"/>
        <w:autoSpaceDE w:val="0"/>
        <w:autoSpaceDN w:val="0"/>
        <w:adjustRightInd w:val="0"/>
        <w:jc w:val="both"/>
        <w:rPr>
          <w:sz w:val="22"/>
          <w:szCs w:val="22"/>
          <w:lang w:val="hr-HR"/>
        </w:rPr>
      </w:pPr>
      <w:r w:rsidRPr="0082654D">
        <w:rPr>
          <w:sz w:val="22"/>
          <w:szCs w:val="22"/>
          <w:lang w:val="hr-HR"/>
        </w:rPr>
        <w:t xml:space="preserve">Najčešće neželjene reakcije na </w:t>
      </w:r>
      <w:r w:rsidR="00C10B32">
        <w:rPr>
          <w:sz w:val="22"/>
          <w:szCs w:val="22"/>
          <w:lang w:val="hr-HR"/>
        </w:rPr>
        <w:t>lijek</w:t>
      </w:r>
      <w:r w:rsidRPr="0082654D">
        <w:rPr>
          <w:sz w:val="22"/>
          <w:szCs w:val="22"/>
          <w:lang w:val="hr-HR"/>
        </w:rPr>
        <w:t xml:space="preserve"> koje su dovele do prekida </w:t>
      </w:r>
      <w:r w:rsidR="00B66BE0">
        <w:rPr>
          <w:sz w:val="22"/>
          <w:szCs w:val="22"/>
          <w:lang w:val="hr-HR"/>
        </w:rPr>
        <w:t>liječenj</w:t>
      </w:r>
      <w:r w:rsidRPr="0082654D">
        <w:rPr>
          <w:sz w:val="22"/>
          <w:szCs w:val="22"/>
          <w:lang w:val="hr-HR"/>
        </w:rPr>
        <w:t xml:space="preserve">a bile su </w:t>
      </w:r>
      <w:r w:rsidRPr="0082654D">
        <w:rPr>
          <w:bCs/>
          <w:sz w:val="22"/>
          <w:szCs w:val="22"/>
          <w:lang w:val="hr-HR"/>
        </w:rPr>
        <w:t>hiperglikemija (6,3%), osip (4,2%), dijareja (2,8%) i umor (2,5%)</w:t>
      </w:r>
      <w:r w:rsidRPr="0082654D">
        <w:rPr>
          <w:i/>
          <w:iCs/>
          <w:sz w:val="22"/>
          <w:szCs w:val="22"/>
          <w:lang w:val="hr-HR"/>
        </w:rPr>
        <w:t>.</w:t>
      </w:r>
    </w:p>
    <w:p w14:paraId="3134BA2F" w14:textId="77777777" w:rsidR="0082654D" w:rsidRPr="0082654D" w:rsidRDefault="0082654D" w:rsidP="0082654D">
      <w:pPr>
        <w:shd w:val="clear" w:color="auto" w:fill="FFFFFF" w:themeFill="background1"/>
        <w:autoSpaceDE w:val="0"/>
        <w:autoSpaceDN w:val="0"/>
        <w:adjustRightInd w:val="0"/>
        <w:rPr>
          <w:sz w:val="22"/>
          <w:szCs w:val="22"/>
          <w:lang w:val="hr-HR"/>
        </w:rPr>
      </w:pPr>
    </w:p>
    <w:p w14:paraId="4ED772FA" w14:textId="77777777" w:rsidR="0082654D" w:rsidRPr="0082654D" w:rsidRDefault="0082654D" w:rsidP="007F6B1A">
      <w:pPr>
        <w:keepNext/>
        <w:shd w:val="clear" w:color="auto" w:fill="FFFFFF" w:themeFill="background1"/>
        <w:autoSpaceDE w:val="0"/>
        <w:autoSpaceDN w:val="0"/>
        <w:adjustRightInd w:val="0"/>
        <w:jc w:val="both"/>
        <w:rPr>
          <w:sz w:val="22"/>
          <w:szCs w:val="22"/>
          <w:u w:val="single"/>
          <w:lang w:val="hr-HR"/>
        </w:rPr>
      </w:pPr>
      <w:r w:rsidRPr="0082654D">
        <w:rPr>
          <w:sz w:val="22"/>
          <w:szCs w:val="22"/>
          <w:u w:val="single"/>
          <w:lang w:val="hr-HR"/>
        </w:rPr>
        <w:t>Tabelarni prikaz neželjenih reakcija</w:t>
      </w:r>
    </w:p>
    <w:p w14:paraId="3A62C078" w14:textId="77777777" w:rsidR="0082654D" w:rsidRPr="0082654D" w:rsidRDefault="0082654D" w:rsidP="007F6B1A">
      <w:pPr>
        <w:keepNext/>
        <w:shd w:val="clear" w:color="auto" w:fill="FFFFFF" w:themeFill="background1"/>
        <w:autoSpaceDE w:val="0"/>
        <w:autoSpaceDN w:val="0"/>
        <w:adjustRightInd w:val="0"/>
        <w:jc w:val="both"/>
        <w:rPr>
          <w:sz w:val="22"/>
          <w:szCs w:val="22"/>
          <w:lang w:val="hr-HR"/>
        </w:rPr>
      </w:pPr>
    </w:p>
    <w:p w14:paraId="797E7D14" w14:textId="77777777" w:rsidR="0082654D" w:rsidRPr="0082654D" w:rsidRDefault="0082654D" w:rsidP="007F6B1A">
      <w:pPr>
        <w:shd w:val="clear" w:color="auto" w:fill="FFFFFF" w:themeFill="background1"/>
        <w:autoSpaceDE w:val="0"/>
        <w:autoSpaceDN w:val="0"/>
        <w:adjustRightInd w:val="0"/>
        <w:jc w:val="both"/>
        <w:rPr>
          <w:sz w:val="22"/>
          <w:szCs w:val="22"/>
          <w:lang w:val="hr-HR"/>
        </w:rPr>
      </w:pPr>
      <w:r w:rsidRPr="0082654D">
        <w:rPr>
          <w:sz w:val="22"/>
          <w:szCs w:val="22"/>
          <w:lang w:val="hr-HR"/>
        </w:rPr>
        <w:t xml:space="preserve">Neželjene reakcije na </w:t>
      </w:r>
      <w:r w:rsidR="00C10B32">
        <w:rPr>
          <w:sz w:val="22"/>
          <w:szCs w:val="22"/>
          <w:lang w:val="hr-HR"/>
        </w:rPr>
        <w:t>lijek</w:t>
      </w:r>
      <w:r w:rsidRPr="0082654D">
        <w:rPr>
          <w:sz w:val="22"/>
          <w:szCs w:val="22"/>
          <w:lang w:val="hr-HR"/>
        </w:rPr>
        <w:t xml:space="preserve"> iz kliničkog ispitivanja faze III i nakon stavljanja lijeka u promet (Tabela 7) navedene su prema MedDRA klasifikaciji sistema organa. Unutar svakog sistema organa neželjene reakcije su poređane po učestalosti, počevši od najučestalijih. Unutar svake grupe učestalosti neželjene reakcije su prikazane u opadajućem nizu prema ozbiljnosti. Uz to, odgovarajuća kategorija učestalosti za svaku neželjenu reakciju na </w:t>
      </w:r>
      <w:r w:rsidR="00C10B32">
        <w:rPr>
          <w:sz w:val="22"/>
          <w:szCs w:val="22"/>
          <w:lang w:val="hr-HR"/>
        </w:rPr>
        <w:t>lijek</w:t>
      </w:r>
      <w:r w:rsidRPr="0082654D">
        <w:rPr>
          <w:sz w:val="22"/>
          <w:szCs w:val="22"/>
          <w:lang w:val="hr-HR"/>
        </w:rPr>
        <w:t xml:space="preserve"> zasniva se na </w:t>
      </w:r>
      <w:r w:rsidR="00A26CAB">
        <w:rPr>
          <w:sz w:val="22"/>
          <w:szCs w:val="22"/>
          <w:lang w:val="hr-HR"/>
        </w:rPr>
        <w:t>sljedeć</w:t>
      </w:r>
      <w:r w:rsidRPr="0082654D">
        <w:rPr>
          <w:sz w:val="22"/>
          <w:szCs w:val="22"/>
          <w:lang w:val="hr-HR"/>
        </w:rPr>
        <w:t xml:space="preserve">oj konvenciji: veoma često (≥1/10); često (≥1/100 i &lt;1/10); </w:t>
      </w:r>
      <w:r w:rsidR="00051A8C">
        <w:rPr>
          <w:sz w:val="22"/>
          <w:szCs w:val="22"/>
          <w:lang w:val="hr-HR"/>
        </w:rPr>
        <w:t>povrem</w:t>
      </w:r>
      <w:r w:rsidRPr="0082654D">
        <w:rPr>
          <w:sz w:val="22"/>
          <w:szCs w:val="22"/>
          <w:lang w:val="hr-HR"/>
        </w:rPr>
        <w:t>eno (≥1/1000 i &lt;1/100); r</w:t>
      </w:r>
      <w:r w:rsidR="007F6B1A">
        <w:rPr>
          <w:sz w:val="22"/>
          <w:szCs w:val="22"/>
          <w:lang w:val="hr-HR"/>
        </w:rPr>
        <w:t>ij</w:t>
      </w:r>
      <w:r w:rsidRPr="0082654D">
        <w:rPr>
          <w:sz w:val="22"/>
          <w:szCs w:val="22"/>
          <w:lang w:val="hr-HR"/>
        </w:rPr>
        <w:t>etko (≥1/10 000 i &lt;1/1000); veoma r</w:t>
      </w:r>
      <w:r w:rsidR="007F6B1A">
        <w:rPr>
          <w:sz w:val="22"/>
          <w:szCs w:val="22"/>
          <w:lang w:val="hr-HR"/>
        </w:rPr>
        <w:t>ij</w:t>
      </w:r>
      <w:r w:rsidRPr="0082654D">
        <w:rPr>
          <w:sz w:val="22"/>
          <w:szCs w:val="22"/>
          <w:lang w:val="hr-HR"/>
        </w:rPr>
        <w:t>etko (&lt;1/10 000), nepoznato (ne može se proc</w:t>
      </w:r>
      <w:r w:rsidR="007F6B1A">
        <w:rPr>
          <w:sz w:val="22"/>
          <w:szCs w:val="22"/>
          <w:lang w:val="hr-HR"/>
        </w:rPr>
        <w:t>ij</w:t>
      </w:r>
      <w:r w:rsidRPr="0082654D">
        <w:rPr>
          <w:sz w:val="22"/>
          <w:szCs w:val="22"/>
          <w:lang w:val="hr-HR"/>
        </w:rPr>
        <w:t>eniti na osnovu dostupnih podataka).</w:t>
      </w:r>
    </w:p>
    <w:p w14:paraId="04915F08" w14:textId="77777777" w:rsidR="0082654D" w:rsidRPr="0082654D" w:rsidRDefault="0082654D" w:rsidP="0082654D">
      <w:pPr>
        <w:shd w:val="clear" w:color="auto" w:fill="FFFFFF" w:themeFill="background1"/>
        <w:autoSpaceDE w:val="0"/>
        <w:autoSpaceDN w:val="0"/>
        <w:adjustRightInd w:val="0"/>
        <w:rPr>
          <w:sz w:val="22"/>
          <w:szCs w:val="22"/>
          <w:lang w:val="hr-HR"/>
        </w:rPr>
      </w:pPr>
    </w:p>
    <w:p w14:paraId="57F765A2" w14:textId="77777777" w:rsidR="0082654D" w:rsidRPr="0082654D" w:rsidRDefault="0082654D" w:rsidP="0082654D">
      <w:pPr>
        <w:keepNext/>
        <w:keepLines/>
        <w:shd w:val="clear" w:color="auto" w:fill="FFFFFF" w:themeFill="background1"/>
        <w:ind w:left="1440" w:hanging="1440"/>
        <w:rPr>
          <w:sz w:val="22"/>
          <w:szCs w:val="22"/>
          <w:lang w:val="hr-HR"/>
        </w:rPr>
      </w:pPr>
      <w:r w:rsidRPr="0082654D">
        <w:rPr>
          <w:b/>
          <w:sz w:val="22"/>
          <w:szCs w:val="22"/>
          <w:lang w:val="hr-HR"/>
        </w:rPr>
        <w:lastRenderedPageBreak/>
        <w:t>Tabela 7</w:t>
      </w:r>
      <w:r w:rsidRPr="0082654D">
        <w:rPr>
          <w:b/>
          <w:sz w:val="22"/>
          <w:szCs w:val="22"/>
          <w:lang w:val="hr-HR"/>
        </w:rPr>
        <w:tab/>
        <w:t xml:space="preserve">Neželjene reakcije na </w:t>
      </w:r>
      <w:r w:rsidR="00C10B32">
        <w:rPr>
          <w:b/>
          <w:sz w:val="22"/>
          <w:szCs w:val="22"/>
          <w:lang w:val="hr-HR"/>
        </w:rPr>
        <w:t>lijek</w:t>
      </w:r>
      <w:r w:rsidR="007F6B1A">
        <w:rPr>
          <w:b/>
          <w:sz w:val="22"/>
          <w:szCs w:val="22"/>
          <w:lang w:val="hr-HR"/>
        </w:rPr>
        <w:t xml:space="preserve"> zabi</w:t>
      </w:r>
      <w:r w:rsidRPr="0082654D">
        <w:rPr>
          <w:b/>
          <w:sz w:val="22"/>
          <w:szCs w:val="22"/>
          <w:lang w:val="hr-HR"/>
        </w:rPr>
        <w:t>l</w:t>
      </w:r>
      <w:r w:rsidR="007F6B1A">
        <w:rPr>
          <w:b/>
          <w:sz w:val="22"/>
          <w:szCs w:val="22"/>
          <w:lang w:val="hr-HR"/>
        </w:rPr>
        <w:t>j</w:t>
      </w:r>
      <w:r w:rsidRPr="0082654D">
        <w:rPr>
          <w:b/>
          <w:sz w:val="22"/>
          <w:szCs w:val="22"/>
          <w:lang w:val="hr-HR"/>
        </w:rPr>
        <w:t xml:space="preserve">ežene u kliničkom ispitivanju faze III i nakon stavljanja </w:t>
      </w:r>
      <w:r w:rsidR="00C10B32">
        <w:rPr>
          <w:b/>
          <w:sz w:val="22"/>
          <w:szCs w:val="22"/>
          <w:lang w:val="hr-HR"/>
        </w:rPr>
        <w:t>lijek</w:t>
      </w:r>
      <w:r w:rsidRPr="0082654D">
        <w:rPr>
          <w:b/>
          <w:sz w:val="22"/>
          <w:szCs w:val="22"/>
          <w:lang w:val="hr-HR"/>
        </w:rPr>
        <w:t>a u promet</w:t>
      </w:r>
    </w:p>
    <w:p w14:paraId="4902ECBD" w14:textId="77777777" w:rsidR="0082654D" w:rsidRPr="0082654D" w:rsidRDefault="0082654D" w:rsidP="0082654D">
      <w:pPr>
        <w:keepNext/>
        <w:keepLines/>
        <w:shd w:val="clear" w:color="auto" w:fill="FFFFFF" w:themeFill="background1"/>
        <w:ind w:left="1166" w:hanging="1166"/>
        <w:rPr>
          <w:sz w:val="22"/>
          <w:szCs w:val="22"/>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1987"/>
        <w:gridCol w:w="1989"/>
        <w:gridCol w:w="2118"/>
      </w:tblGrid>
      <w:tr w:rsidR="0082654D" w:rsidRPr="0082654D" w14:paraId="5D6F6B68" w14:textId="77777777" w:rsidTr="00C10B32">
        <w:trPr>
          <w:cantSplit/>
          <w:jc w:val="center"/>
        </w:trPr>
        <w:tc>
          <w:tcPr>
            <w:tcW w:w="1642" w:type="pct"/>
            <w:shd w:val="clear" w:color="auto" w:fill="auto"/>
          </w:tcPr>
          <w:p w14:paraId="1040F64A"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bCs/>
                <w:sz w:val="22"/>
                <w:szCs w:val="22"/>
                <w:lang w:val="hr-HR"/>
              </w:rPr>
              <w:t>Neželjena reakcija</w:t>
            </w:r>
          </w:p>
        </w:tc>
        <w:tc>
          <w:tcPr>
            <w:tcW w:w="2191" w:type="pct"/>
            <w:gridSpan w:val="2"/>
            <w:shd w:val="clear" w:color="auto" w:fill="auto"/>
          </w:tcPr>
          <w:p w14:paraId="27353061" w14:textId="77777777" w:rsidR="0082654D" w:rsidRPr="0082654D" w:rsidRDefault="0082654D" w:rsidP="00C10B32">
            <w:pPr>
              <w:keepNext/>
              <w:shd w:val="clear" w:color="auto" w:fill="FFFFFF" w:themeFill="background1"/>
              <w:autoSpaceDE w:val="0"/>
              <w:autoSpaceDN w:val="0"/>
              <w:adjustRightInd w:val="0"/>
              <w:jc w:val="center"/>
              <w:rPr>
                <w:b/>
                <w:sz w:val="22"/>
                <w:szCs w:val="22"/>
                <w:lang w:val="hr-HR"/>
              </w:rPr>
            </w:pPr>
            <w:r w:rsidRPr="0082654D">
              <w:rPr>
                <w:b/>
                <w:sz w:val="22"/>
                <w:szCs w:val="22"/>
                <w:lang w:val="hr-HR"/>
              </w:rPr>
              <w:t>Svi stepeni (%)</w:t>
            </w:r>
          </w:p>
        </w:tc>
        <w:tc>
          <w:tcPr>
            <w:tcW w:w="1167" w:type="pct"/>
            <w:shd w:val="clear" w:color="auto" w:fill="auto"/>
          </w:tcPr>
          <w:p w14:paraId="3E8DB542" w14:textId="77777777" w:rsidR="0082654D" w:rsidRPr="0082654D" w:rsidRDefault="0082654D" w:rsidP="00C10B32">
            <w:pPr>
              <w:keepNext/>
              <w:shd w:val="clear" w:color="auto" w:fill="FFFFFF" w:themeFill="background1"/>
              <w:autoSpaceDE w:val="0"/>
              <w:autoSpaceDN w:val="0"/>
              <w:adjustRightInd w:val="0"/>
              <w:jc w:val="center"/>
              <w:rPr>
                <w:b/>
                <w:sz w:val="22"/>
                <w:szCs w:val="22"/>
                <w:lang w:val="hr-HR"/>
              </w:rPr>
            </w:pPr>
            <w:r w:rsidRPr="0082654D">
              <w:rPr>
                <w:b/>
                <w:sz w:val="22"/>
                <w:szCs w:val="22"/>
                <w:lang w:val="hr-HR"/>
              </w:rPr>
              <w:t>3. ili 4. stepen (%)</w:t>
            </w:r>
          </w:p>
        </w:tc>
      </w:tr>
      <w:tr w:rsidR="0082654D" w:rsidRPr="0082654D" w14:paraId="24B14A4B" w14:textId="77777777" w:rsidTr="00C10B32">
        <w:trPr>
          <w:cantSplit/>
          <w:trHeight w:val="142"/>
          <w:jc w:val="center"/>
        </w:trPr>
        <w:tc>
          <w:tcPr>
            <w:tcW w:w="5000" w:type="pct"/>
            <w:gridSpan w:val="4"/>
            <w:vAlign w:val="center"/>
          </w:tcPr>
          <w:p w14:paraId="16786B19" w14:textId="77777777" w:rsidR="0082654D" w:rsidRPr="0082654D" w:rsidRDefault="0082654D" w:rsidP="00C10B32">
            <w:pPr>
              <w:keepNext/>
              <w:shd w:val="clear" w:color="auto" w:fill="FFFFFF" w:themeFill="background1"/>
              <w:autoSpaceDE w:val="0"/>
              <w:autoSpaceDN w:val="0"/>
              <w:adjustRightInd w:val="0"/>
              <w:rPr>
                <w:b/>
                <w:bCs/>
                <w:sz w:val="22"/>
                <w:szCs w:val="22"/>
                <w:lang w:val="hr-HR"/>
              </w:rPr>
            </w:pPr>
            <w:r w:rsidRPr="0082654D">
              <w:rPr>
                <w:b/>
                <w:bCs/>
                <w:sz w:val="22"/>
                <w:szCs w:val="22"/>
                <w:lang w:val="hr-HR"/>
              </w:rPr>
              <w:t>Infekcije i infestacije</w:t>
            </w:r>
          </w:p>
        </w:tc>
      </w:tr>
      <w:tr w:rsidR="0082654D" w:rsidRPr="0082654D" w14:paraId="5CDC2077" w14:textId="77777777" w:rsidTr="00C10B32">
        <w:trPr>
          <w:cantSplit/>
          <w:jc w:val="center"/>
        </w:trPr>
        <w:tc>
          <w:tcPr>
            <w:tcW w:w="1642" w:type="pct"/>
            <w:shd w:val="clear" w:color="auto" w:fill="auto"/>
            <w:vAlign w:val="center"/>
          </w:tcPr>
          <w:p w14:paraId="407BD92A" w14:textId="77777777" w:rsidR="0082654D" w:rsidRPr="0082654D" w:rsidRDefault="0082654D" w:rsidP="00C10B32">
            <w:pPr>
              <w:keepNext/>
              <w:shd w:val="clear" w:color="auto" w:fill="FFFFFF" w:themeFill="background1"/>
              <w:autoSpaceDE w:val="0"/>
              <w:autoSpaceDN w:val="0"/>
              <w:adjustRightInd w:val="0"/>
              <w:rPr>
                <w:sz w:val="22"/>
                <w:szCs w:val="22"/>
                <w:vertAlign w:val="superscript"/>
                <w:lang w:val="hr-HR"/>
              </w:rPr>
            </w:pPr>
            <w:r w:rsidRPr="0082654D">
              <w:rPr>
                <w:sz w:val="22"/>
                <w:szCs w:val="22"/>
                <w:lang w:val="hr-HR"/>
              </w:rPr>
              <w:t>Infekcija mokraćnog sistema</w:t>
            </w:r>
            <w:r w:rsidRPr="0082654D">
              <w:rPr>
                <w:sz w:val="22"/>
                <w:szCs w:val="22"/>
                <w:vertAlign w:val="superscript"/>
                <w:lang w:val="hr-HR"/>
              </w:rPr>
              <w:t>1</w:t>
            </w:r>
          </w:p>
        </w:tc>
        <w:tc>
          <w:tcPr>
            <w:tcW w:w="1095" w:type="pct"/>
            <w:shd w:val="clear" w:color="auto" w:fill="auto"/>
          </w:tcPr>
          <w:p w14:paraId="6A4709C1"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424E27BA"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rPr>
              <w:t>29 (10,2)</w:t>
            </w:r>
          </w:p>
        </w:tc>
        <w:tc>
          <w:tcPr>
            <w:tcW w:w="1167" w:type="pct"/>
            <w:shd w:val="clear" w:color="auto" w:fill="auto"/>
          </w:tcPr>
          <w:p w14:paraId="4B56D2A7"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rPr>
              <w:t>2 (0,7)*</w:t>
            </w:r>
          </w:p>
        </w:tc>
      </w:tr>
      <w:tr w:rsidR="0082654D" w:rsidRPr="0082654D" w14:paraId="52367998" w14:textId="77777777" w:rsidTr="00C10B32">
        <w:trPr>
          <w:cantSplit/>
          <w:trHeight w:val="178"/>
          <w:jc w:val="center"/>
        </w:trPr>
        <w:tc>
          <w:tcPr>
            <w:tcW w:w="5000" w:type="pct"/>
            <w:gridSpan w:val="4"/>
            <w:vAlign w:val="center"/>
          </w:tcPr>
          <w:p w14:paraId="03D6603B" w14:textId="77777777" w:rsidR="0082654D" w:rsidRPr="0082654D" w:rsidRDefault="0082654D" w:rsidP="00C10B32">
            <w:pPr>
              <w:keepNext/>
              <w:shd w:val="clear" w:color="auto" w:fill="FFFFFF" w:themeFill="background1"/>
              <w:autoSpaceDE w:val="0"/>
              <w:autoSpaceDN w:val="0"/>
              <w:adjustRightInd w:val="0"/>
              <w:rPr>
                <w:b/>
                <w:bCs/>
                <w:sz w:val="22"/>
                <w:szCs w:val="22"/>
                <w:lang w:val="hr-HR"/>
              </w:rPr>
            </w:pPr>
            <w:r w:rsidRPr="0082654D">
              <w:rPr>
                <w:b/>
                <w:bCs/>
                <w:sz w:val="22"/>
                <w:szCs w:val="22"/>
                <w:lang w:val="hr-HR"/>
              </w:rPr>
              <w:t>Poremećaji krvi i limfnog sistema</w:t>
            </w:r>
          </w:p>
        </w:tc>
      </w:tr>
      <w:tr w:rsidR="0082654D" w:rsidRPr="0082654D" w14:paraId="31E94460" w14:textId="77777777" w:rsidTr="00C10B32">
        <w:trPr>
          <w:cantSplit/>
          <w:jc w:val="center"/>
        </w:trPr>
        <w:tc>
          <w:tcPr>
            <w:tcW w:w="1642" w:type="pct"/>
            <w:shd w:val="clear" w:color="auto" w:fill="auto"/>
            <w:vAlign w:val="center"/>
          </w:tcPr>
          <w:p w14:paraId="0EE3A4F9"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Anemija</w:t>
            </w:r>
          </w:p>
        </w:tc>
        <w:tc>
          <w:tcPr>
            <w:tcW w:w="1095" w:type="pct"/>
            <w:shd w:val="clear" w:color="auto" w:fill="auto"/>
          </w:tcPr>
          <w:p w14:paraId="4E3C9562"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053BC1E6" w14:textId="53C85177" w:rsidR="0082654D" w:rsidRPr="0082654D" w:rsidRDefault="006D3735" w:rsidP="00C10B32">
            <w:pPr>
              <w:keepNext/>
              <w:shd w:val="clear" w:color="auto" w:fill="FFFFFF" w:themeFill="background1"/>
              <w:autoSpaceDE w:val="0"/>
              <w:autoSpaceDN w:val="0"/>
              <w:adjustRightInd w:val="0"/>
              <w:jc w:val="center"/>
              <w:rPr>
                <w:sz w:val="22"/>
                <w:szCs w:val="22"/>
                <w:lang w:val="hr-HR"/>
              </w:rPr>
            </w:pPr>
            <w:r w:rsidRPr="0082654D">
              <w:rPr>
                <w:sz w:val="22"/>
                <w:szCs w:val="22"/>
              </w:rPr>
              <w:t>12</w:t>
            </w:r>
            <w:r>
              <w:rPr>
                <w:sz w:val="22"/>
                <w:szCs w:val="22"/>
              </w:rPr>
              <w:t>9</w:t>
            </w:r>
            <w:r w:rsidRPr="0082654D">
              <w:rPr>
                <w:sz w:val="22"/>
                <w:szCs w:val="22"/>
              </w:rPr>
              <w:t xml:space="preserve"> </w:t>
            </w:r>
            <w:r w:rsidR="0082654D" w:rsidRPr="0082654D">
              <w:rPr>
                <w:sz w:val="22"/>
                <w:szCs w:val="22"/>
              </w:rPr>
              <w:t>(</w:t>
            </w:r>
            <w:r w:rsidRPr="0082654D">
              <w:rPr>
                <w:sz w:val="22"/>
                <w:szCs w:val="22"/>
              </w:rPr>
              <w:t>4</w:t>
            </w:r>
            <w:r>
              <w:rPr>
                <w:sz w:val="22"/>
                <w:szCs w:val="22"/>
              </w:rPr>
              <w:t>5</w:t>
            </w:r>
            <w:r w:rsidR="0082654D" w:rsidRPr="0082654D">
              <w:rPr>
                <w:sz w:val="22"/>
                <w:szCs w:val="22"/>
              </w:rPr>
              <w:t>,</w:t>
            </w:r>
            <w:r>
              <w:rPr>
                <w:sz w:val="22"/>
                <w:szCs w:val="22"/>
              </w:rPr>
              <w:t>4</w:t>
            </w:r>
            <w:r w:rsidR="0082654D" w:rsidRPr="0082654D">
              <w:rPr>
                <w:sz w:val="22"/>
                <w:szCs w:val="22"/>
              </w:rPr>
              <w:t>)</w:t>
            </w:r>
          </w:p>
        </w:tc>
        <w:tc>
          <w:tcPr>
            <w:tcW w:w="1167" w:type="pct"/>
            <w:shd w:val="clear" w:color="auto" w:fill="auto"/>
          </w:tcPr>
          <w:p w14:paraId="608A3A3E" w14:textId="5911BF45" w:rsidR="0082654D" w:rsidRPr="0082654D" w:rsidRDefault="006D3735" w:rsidP="00C10B32">
            <w:pPr>
              <w:keepNext/>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5</w:t>
            </w:r>
            <w:r w:rsidRPr="0082654D">
              <w:rPr>
                <w:sz w:val="22"/>
                <w:szCs w:val="22"/>
              </w:rPr>
              <w:t xml:space="preserve"> </w:t>
            </w:r>
            <w:r w:rsidR="0082654D" w:rsidRPr="0082654D">
              <w:rPr>
                <w:sz w:val="22"/>
                <w:szCs w:val="22"/>
              </w:rPr>
              <w:t>(</w:t>
            </w:r>
            <w:r>
              <w:rPr>
                <w:sz w:val="22"/>
                <w:szCs w:val="22"/>
              </w:rPr>
              <w:t>5</w:t>
            </w:r>
            <w:r w:rsidR="0082654D" w:rsidRPr="0082654D">
              <w:rPr>
                <w:sz w:val="22"/>
                <w:szCs w:val="22"/>
              </w:rPr>
              <w:t>,</w:t>
            </w:r>
            <w:r>
              <w:rPr>
                <w:sz w:val="22"/>
                <w:szCs w:val="22"/>
              </w:rPr>
              <w:t>3</w:t>
            </w:r>
            <w:r w:rsidR="0082654D" w:rsidRPr="0082654D">
              <w:rPr>
                <w:sz w:val="22"/>
                <w:szCs w:val="22"/>
              </w:rPr>
              <w:t>)*</w:t>
            </w:r>
          </w:p>
        </w:tc>
      </w:tr>
      <w:tr w:rsidR="0082654D" w:rsidRPr="0082654D" w14:paraId="4918749B" w14:textId="77777777" w:rsidTr="00C10B32">
        <w:trPr>
          <w:cantSplit/>
          <w:jc w:val="center"/>
        </w:trPr>
        <w:tc>
          <w:tcPr>
            <w:tcW w:w="1642" w:type="pct"/>
            <w:shd w:val="clear" w:color="auto" w:fill="auto"/>
            <w:vAlign w:val="center"/>
          </w:tcPr>
          <w:p w14:paraId="5CF0E746"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Smanjenje broja limfocita</w:t>
            </w:r>
          </w:p>
        </w:tc>
        <w:tc>
          <w:tcPr>
            <w:tcW w:w="1095" w:type="pct"/>
            <w:shd w:val="clear" w:color="auto" w:fill="auto"/>
          </w:tcPr>
          <w:p w14:paraId="20E53E73"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15998956" w14:textId="6F7FA800" w:rsidR="0082654D" w:rsidRPr="0082654D" w:rsidRDefault="006D3735" w:rsidP="00C10B32">
            <w:pPr>
              <w:keepNext/>
              <w:shd w:val="clear" w:color="auto" w:fill="FFFFFF" w:themeFill="background1"/>
              <w:autoSpaceDE w:val="0"/>
              <w:autoSpaceDN w:val="0"/>
              <w:adjustRightInd w:val="0"/>
              <w:jc w:val="center"/>
              <w:rPr>
                <w:sz w:val="22"/>
                <w:szCs w:val="22"/>
                <w:lang w:val="hr-HR"/>
              </w:rPr>
            </w:pPr>
            <w:r w:rsidRPr="0082654D">
              <w:rPr>
                <w:sz w:val="22"/>
                <w:szCs w:val="22"/>
              </w:rPr>
              <w:t>15</w:t>
            </w:r>
            <w:r>
              <w:rPr>
                <w:sz w:val="22"/>
                <w:szCs w:val="22"/>
              </w:rPr>
              <w:t>8</w:t>
            </w:r>
            <w:r w:rsidRPr="0082654D">
              <w:rPr>
                <w:sz w:val="22"/>
                <w:szCs w:val="22"/>
              </w:rPr>
              <w:t xml:space="preserve"> </w:t>
            </w:r>
            <w:r w:rsidR="0082654D" w:rsidRPr="0082654D">
              <w:rPr>
                <w:sz w:val="22"/>
                <w:szCs w:val="22"/>
              </w:rPr>
              <w:t>(55,</w:t>
            </w:r>
            <w:r>
              <w:rPr>
                <w:sz w:val="22"/>
                <w:szCs w:val="22"/>
              </w:rPr>
              <w:t>6</w:t>
            </w:r>
            <w:r w:rsidR="0082654D" w:rsidRPr="0082654D">
              <w:rPr>
                <w:sz w:val="22"/>
                <w:szCs w:val="22"/>
              </w:rPr>
              <w:t>)</w:t>
            </w:r>
          </w:p>
        </w:tc>
        <w:tc>
          <w:tcPr>
            <w:tcW w:w="1167" w:type="pct"/>
            <w:shd w:val="clear" w:color="auto" w:fill="auto"/>
          </w:tcPr>
          <w:p w14:paraId="3E366DA0" w14:textId="7CAF200D" w:rsidR="0082654D" w:rsidRPr="0082654D" w:rsidRDefault="006D3735" w:rsidP="00C10B32">
            <w:pPr>
              <w:keepNext/>
              <w:shd w:val="clear" w:color="auto" w:fill="FFFFFF" w:themeFill="background1"/>
              <w:autoSpaceDE w:val="0"/>
              <w:autoSpaceDN w:val="0"/>
              <w:adjustRightInd w:val="0"/>
              <w:jc w:val="center"/>
              <w:rPr>
                <w:sz w:val="22"/>
                <w:szCs w:val="22"/>
                <w:lang w:val="hr-HR"/>
              </w:rPr>
            </w:pPr>
            <w:r w:rsidRPr="0082654D">
              <w:rPr>
                <w:sz w:val="22"/>
                <w:szCs w:val="22"/>
              </w:rPr>
              <w:t>2</w:t>
            </w:r>
            <w:r>
              <w:rPr>
                <w:sz w:val="22"/>
                <w:szCs w:val="22"/>
              </w:rPr>
              <w:t>8</w:t>
            </w:r>
            <w:r w:rsidRPr="0082654D">
              <w:rPr>
                <w:sz w:val="22"/>
                <w:szCs w:val="22"/>
              </w:rPr>
              <w:t xml:space="preserve"> </w:t>
            </w:r>
            <w:r w:rsidR="0082654D" w:rsidRPr="0082654D">
              <w:rPr>
                <w:sz w:val="22"/>
                <w:szCs w:val="22"/>
              </w:rPr>
              <w:t>(9,</w:t>
            </w:r>
            <w:r>
              <w:rPr>
                <w:sz w:val="22"/>
                <w:szCs w:val="22"/>
              </w:rPr>
              <w:t>9</w:t>
            </w:r>
            <w:r w:rsidR="0082654D" w:rsidRPr="0082654D">
              <w:rPr>
                <w:sz w:val="22"/>
                <w:szCs w:val="22"/>
              </w:rPr>
              <w:t>)</w:t>
            </w:r>
          </w:p>
        </w:tc>
      </w:tr>
      <w:tr w:rsidR="0082654D" w:rsidRPr="0082654D" w14:paraId="189EE222" w14:textId="77777777" w:rsidTr="00C10B32">
        <w:trPr>
          <w:cantSplit/>
          <w:jc w:val="center"/>
        </w:trPr>
        <w:tc>
          <w:tcPr>
            <w:tcW w:w="1642" w:type="pct"/>
            <w:shd w:val="clear" w:color="auto" w:fill="auto"/>
            <w:vAlign w:val="center"/>
          </w:tcPr>
          <w:p w14:paraId="4A3E4436"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Smanjenje broja trombocita</w:t>
            </w:r>
          </w:p>
        </w:tc>
        <w:tc>
          <w:tcPr>
            <w:tcW w:w="1095" w:type="pct"/>
            <w:shd w:val="clear" w:color="auto" w:fill="auto"/>
          </w:tcPr>
          <w:p w14:paraId="51CBA6A8"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0CC5491C" w14:textId="2034A2DF" w:rsidR="0082654D" w:rsidRPr="0082654D" w:rsidRDefault="006D3735" w:rsidP="00C10B32">
            <w:pPr>
              <w:keepNext/>
              <w:shd w:val="clear" w:color="auto" w:fill="FFFFFF" w:themeFill="background1"/>
              <w:autoSpaceDE w:val="0"/>
              <w:autoSpaceDN w:val="0"/>
              <w:adjustRightInd w:val="0"/>
              <w:jc w:val="center"/>
              <w:rPr>
                <w:sz w:val="22"/>
                <w:szCs w:val="22"/>
                <w:lang w:val="hr-HR"/>
              </w:rPr>
            </w:pPr>
            <w:r w:rsidRPr="0082654D">
              <w:rPr>
                <w:sz w:val="22"/>
                <w:szCs w:val="22"/>
              </w:rPr>
              <w:t>4</w:t>
            </w:r>
            <w:r>
              <w:rPr>
                <w:sz w:val="22"/>
                <w:szCs w:val="22"/>
              </w:rPr>
              <w:t>2</w:t>
            </w:r>
            <w:r w:rsidRPr="0082654D">
              <w:rPr>
                <w:sz w:val="22"/>
                <w:szCs w:val="22"/>
              </w:rPr>
              <w:t xml:space="preserve"> </w:t>
            </w:r>
            <w:r w:rsidR="0082654D" w:rsidRPr="0082654D">
              <w:rPr>
                <w:sz w:val="22"/>
                <w:szCs w:val="22"/>
              </w:rPr>
              <w:t>(</w:t>
            </w:r>
            <w:r w:rsidRPr="0082654D">
              <w:rPr>
                <w:sz w:val="22"/>
                <w:szCs w:val="22"/>
              </w:rPr>
              <w:t>1</w:t>
            </w:r>
            <w:r>
              <w:rPr>
                <w:sz w:val="22"/>
                <w:szCs w:val="22"/>
              </w:rPr>
              <w:t>4</w:t>
            </w:r>
            <w:r w:rsidR="0082654D" w:rsidRPr="0082654D">
              <w:rPr>
                <w:sz w:val="22"/>
                <w:szCs w:val="22"/>
              </w:rPr>
              <w:t>,</w:t>
            </w:r>
            <w:r>
              <w:rPr>
                <w:sz w:val="22"/>
                <w:szCs w:val="22"/>
              </w:rPr>
              <w:t>8</w:t>
            </w:r>
            <w:r w:rsidR="0082654D" w:rsidRPr="0082654D">
              <w:rPr>
                <w:sz w:val="22"/>
                <w:szCs w:val="22"/>
              </w:rPr>
              <w:t>)</w:t>
            </w:r>
          </w:p>
        </w:tc>
        <w:tc>
          <w:tcPr>
            <w:tcW w:w="1167" w:type="pct"/>
            <w:shd w:val="clear" w:color="auto" w:fill="auto"/>
          </w:tcPr>
          <w:p w14:paraId="079274FE" w14:textId="5766D7E4" w:rsidR="0082654D" w:rsidRPr="0082654D" w:rsidRDefault="006D3735" w:rsidP="00C10B32">
            <w:pPr>
              <w:keepNext/>
              <w:shd w:val="clear" w:color="auto" w:fill="FFFFFF" w:themeFill="background1"/>
              <w:autoSpaceDE w:val="0"/>
              <w:autoSpaceDN w:val="0"/>
              <w:adjustRightInd w:val="0"/>
              <w:jc w:val="center"/>
              <w:rPr>
                <w:sz w:val="22"/>
                <w:szCs w:val="22"/>
                <w:lang w:val="hr-HR"/>
              </w:rPr>
            </w:pPr>
            <w:r>
              <w:rPr>
                <w:sz w:val="22"/>
                <w:szCs w:val="22"/>
              </w:rPr>
              <w:t>3</w:t>
            </w:r>
            <w:r w:rsidRPr="0082654D">
              <w:rPr>
                <w:sz w:val="22"/>
                <w:szCs w:val="22"/>
              </w:rPr>
              <w:t xml:space="preserve"> </w:t>
            </w:r>
            <w:r w:rsidR="0082654D" w:rsidRPr="0082654D">
              <w:rPr>
                <w:sz w:val="22"/>
                <w:szCs w:val="22"/>
              </w:rPr>
              <w:t>(1,</w:t>
            </w:r>
            <w:r>
              <w:rPr>
                <w:sz w:val="22"/>
                <w:szCs w:val="22"/>
              </w:rPr>
              <w:t>1</w:t>
            </w:r>
            <w:r w:rsidR="0082654D" w:rsidRPr="0082654D">
              <w:rPr>
                <w:sz w:val="22"/>
                <w:szCs w:val="22"/>
              </w:rPr>
              <w:t>)*</w:t>
            </w:r>
          </w:p>
        </w:tc>
      </w:tr>
      <w:tr w:rsidR="0082654D" w:rsidRPr="0082654D" w14:paraId="55503CD3" w14:textId="77777777" w:rsidTr="00C10B32">
        <w:trPr>
          <w:cantSplit/>
          <w:trHeight w:val="122"/>
          <w:jc w:val="center"/>
        </w:trPr>
        <w:tc>
          <w:tcPr>
            <w:tcW w:w="5000" w:type="pct"/>
            <w:gridSpan w:val="4"/>
            <w:vAlign w:val="center"/>
          </w:tcPr>
          <w:p w14:paraId="2255EC20"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Poremećaji imunog sistema</w:t>
            </w:r>
          </w:p>
        </w:tc>
      </w:tr>
      <w:tr w:rsidR="0082654D" w:rsidRPr="0082654D" w14:paraId="0E583F39" w14:textId="77777777" w:rsidTr="00C10B32">
        <w:trPr>
          <w:cantSplit/>
          <w:jc w:val="center"/>
        </w:trPr>
        <w:tc>
          <w:tcPr>
            <w:tcW w:w="1642" w:type="pct"/>
            <w:shd w:val="clear" w:color="auto" w:fill="auto"/>
            <w:vAlign w:val="center"/>
          </w:tcPr>
          <w:p w14:paraId="023A4326"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Preos</w:t>
            </w:r>
            <w:r w:rsidR="007F6B1A">
              <w:rPr>
                <w:sz w:val="22"/>
                <w:szCs w:val="22"/>
                <w:lang w:val="hr-HR"/>
              </w:rPr>
              <w:t>j</w:t>
            </w:r>
            <w:r w:rsidRPr="0082654D">
              <w:rPr>
                <w:sz w:val="22"/>
                <w:szCs w:val="22"/>
                <w:lang w:val="hr-HR"/>
              </w:rPr>
              <w:t>etljivost</w:t>
            </w:r>
            <w:r w:rsidRPr="0082654D">
              <w:rPr>
                <w:sz w:val="22"/>
                <w:szCs w:val="22"/>
                <w:vertAlign w:val="superscript"/>
                <w:lang w:val="hr-HR"/>
              </w:rPr>
              <w:t>2</w:t>
            </w:r>
          </w:p>
        </w:tc>
        <w:tc>
          <w:tcPr>
            <w:tcW w:w="1095" w:type="pct"/>
            <w:shd w:val="clear" w:color="auto" w:fill="auto"/>
          </w:tcPr>
          <w:p w14:paraId="102EA9C7"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6933E7C6" w14:textId="5D274762"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2</w:t>
            </w:r>
            <w:r w:rsidRPr="0082654D">
              <w:rPr>
                <w:sz w:val="22"/>
                <w:szCs w:val="22"/>
              </w:rPr>
              <w:t xml:space="preserve"> </w:t>
            </w:r>
            <w:r w:rsidR="0082654D" w:rsidRPr="0082654D">
              <w:rPr>
                <w:sz w:val="22"/>
                <w:szCs w:val="22"/>
              </w:rPr>
              <w:t>(</w:t>
            </w:r>
            <w:r>
              <w:rPr>
                <w:sz w:val="22"/>
                <w:szCs w:val="22"/>
              </w:rPr>
              <w:t>4</w:t>
            </w:r>
            <w:r w:rsidR="0082654D" w:rsidRPr="0082654D">
              <w:rPr>
                <w:sz w:val="22"/>
                <w:szCs w:val="22"/>
              </w:rPr>
              <w:t>,</w:t>
            </w:r>
            <w:r>
              <w:rPr>
                <w:sz w:val="22"/>
                <w:szCs w:val="22"/>
              </w:rPr>
              <w:t>2</w:t>
            </w:r>
            <w:r w:rsidR="0082654D" w:rsidRPr="0082654D">
              <w:rPr>
                <w:sz w:val="22"/>
                <w:szCs w:val="22"/>
              </w:rPr>
              <w:t>)</w:t>
            </w:r>
          </w:p>
        </w:tc>
        <w:tc>
          <w:tcPr>
            <w:tcW w:w="1167" w:type="pct"/>
            <w:shd w:val="clear" w:color="auto" w:fill="auto"/>
          </w:tcPr>
          <w:p w14:paraId="074F756B"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82654D" w:rsidRPr="0082654D" w14:paraId="05AEC406" w14:textId="77777777" w:rsidTr="00C10B32">
        <w:trPr>
          <w:cantSplit/>
          <w:trHeight w:val="158"/>
          <w:jc w:val="center"/>
        </w:trPr>
        <w:tc>
          <w:tcPr>
            <w:tcW w:w="5000" w:type="pct"/>
            <w:gridSpan w:val="4"/>
            <w:vAlign w:val="center"/>
          </w:tcPr>
          <w:p w14:paraId="6A7E2DC5"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Poremećaji metabolizma i ishrane</w:t>
            </w:r>
          </w:p>
        </w:tc>
      </w:tr>
      <w:tr w:rsidR="0082654D" w:rsidRPr="0082654D" w14:paraId="04238FCA" w14:textId="77777777" w:rsidTr="00C10B32">
        <w:trPr>
          <w:cantSplit/>
          <w:jc w:val="center"/>
        </w:trPr>
        <w:tc>
          <w:tcPr>
            <w:tcW w:w="1642" w:type="pct"/>
            <w:shd w:val="clear" w:color="auto" w:fill="auto"/>
            <w:vAlign w:val="center"/>
          </w:tcPr>
          <w:p w14:paraId="1CA2CB69"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Povišenje glukoze u plazmi</w:t>
            </w:r>
          </w:p>
        </w:tc>
        <w:tc>
          <w:tcPr>
            <w:tcW w:w="1095" w:type="pct"/>
            <w:shd w:val="clear" w:color="auto" w:fill="auto"/>
          </w:tcPr>
          <w:p w14:paraId="2C623B96"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4F94A50F"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225 (79,2)</w:t>
            </w:r>
          </w:p>
        </w:tc>
        <w:tc>
          <w:tcPr>
            <w:tcW w:w="1167" w:type="pct"/>
            <w:shd w:val="clear" w:color="auto" w:fill="auto"/>
          </w:tcPr>
          <w:p w14:paraId="148D19CD" w14:textId="2BA14C14"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11</w:t>
            </w:r>
            <w:r>
              <w:rPr>
                <w:sz w:val="22"/>
                <w:szCs w:val="22"/>
              </w:rPr>
              <w:t>2</w:t>
            </w:r>
            <w:r w:rsidRPr="0082654D">
              <w:rPr>
                <w:sz w:val="22"/>
                <w:szCs w:val="22"/>
              </w:rPr>
              <w:t xml:space="preserve"> </w:t>
            </w:r>
            <w:r w:rsidR="0082654D" w:rsidRPr="0082654D">
              <w:rPr>
                <w:sz w:val="22"/>
                <w:szCs w:val="22"/>
              </w:rPr>
              <w:t>(39,</w:t>
            </w:r>
            <w:r>
              <w:rPr>
                <w:sz w:val="22"/>
                <w:szCs w:val="22"/>
              </w:rPr>
              <w:t>4</w:t>
            </w:r>
            <w:r w:rsidR="0082654D" w:rsidRPr="0082654D">
              <w:rPr>
                <w:sz w:val="22"/>
                <w:szCs w:val="22"/>
              </w:rPr>
              <w:t>)</w:t>
            </w:r>
            <w:r w:rsidR="0082654D" w:rsidRPr="0082654D" w:rsidDel="006F28F4">
              <w:rPr>
                <w:sz w:val="22"/>
                <w:szCs w:val="22"/>
              </w:rPr>
              <w:t xml:space="preserve"> </w:t>
            </w:r>
          </w:p>
        </w:tc>
      </w:tr>
      <w:tr w:rsidR="0082654D" w:rsidRPr="0082654D" w14:paraId="1C2E8972" w14:textId="77777777" w:rsidTr="00C10B32">
        <w:trPr>
          <w:cantSplit/>
          <w:jc w:val="center"/>
        </w:trPr>
        <w:tc>
          <w:tcPr>
            <w:tcW w:w="1642" w:type="pct"/>
            <w:shd w:val="clear" w:color="auto" w:fill="auto"/>
            <w:vAlign w:val="center"/>
          </w:tcPr>
          <w:p w14:paraId="634FE257" w14:textId="77777777" w:rsidR="0082654D" w:rsidRPr="0082654D" w:rsidDel="00E97197"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Smanjenje glukoze u plazmi</w:t>
            </w:r>
          </w:p>
        </w:tc>
        <w:tc>
          <w:tcPr>
            <w:tcW w:w="1095" w:type="pct"/>
            <w:shd w:val="clear" w:color="auto" w:fill="auto"/>
          </w:tcPr>
          <w:p w14:paraId="0AAB1906"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60EBA07E" w14:textId="036D3193"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7</w:t>
            </w:r>
            <w:r>
              <w:rPr>
                <w:sz w:val="22"/>
                <w:szCs w:val="22"/>
              </w:rPr>
              <w:t>8</w:t>
            </w:r>
            <w:r w:rsidRPr="0082654D">
              <w:rPr>
                <w:sz w:val="22"/>
                <w:szCs w:val="22"/>
              </w:rPr>
              <w:t xml:space="preserve"> </w:t>
            </w:r>
            <w:r w:rsidR="0082654D" w:rsidRPr="0082654D">
              <w:rPr>
                <w:sz w:val="22"/>
                <w:szCs w:val="22"/>
              </w:rPr>
              <w:t>(</w:t>
            </w:r>
            <w:r w:rsidRPr="0082654D">
              <w:rPr>
                <w:sz w:val="22"/>
                <w:szCs w:val="22"/>
              </w:rPr>
              <w:t>2</w:t>
            </w:r>
            <w:r>
              <w:rPr>
                <w:sz w:val="22"/>
                <w:szCs w:val="22"/>
              </w:rPr>
              <w:t>7</w:t>
            </w:r>
            <w:r w:rsidR="0082654D" w:rsidRPr="0082654D">
              <w:rPr>
                <w:sz w:val="22"/>
                <w:szCs w:val="22"/>
              </w:rPr>
              <w:t>,</w:t>
            </w:r>
            <w:r>
              <w:rPr>
                <w:sz w:val="22"/>
                <w:szCs w:val="22"/>
              </w:rPr>
              <w:t>5</w:t>
            </w:r>
            <w:r w:rsidR="0082654D" w:rsidRPr="0082654D">
              <w:rPr>
                <w:sz w:val="22"/>
                <w:szCs w:val="22"/>
              </w:rPr>
              <w:t>)</w:t>
            </w:r>
          </w:p>
        </w:tc>
        <w:tc>
          <w:tcPr>
            <w:tcW w:w="1167" w:type="pct"/>
            <w:shd w:val="clear" w:color="auto" w:fill="auto"/>
          </w:tcPr>
          <w:p w14:paraId="4A78ED25" w14:textId="77777777" w:rsidR="0082654D" w:rsidRPr="0082654D" w:rsidDel="00025599"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5998AEB8" w14:textId="77777777" w:rsidTr="00C10B32">
        <w:trPr>
          <w:cantSplit/>
          <w:jc w:val="center"/>
        </w:trPr>
        <w:tc>
          <w:tcPr>
            <w:tcW w:w="1642" w:type="pct"/>
            <w:shd w:val="clear" w:color="auto" w:fill="auto"/>
            <w:vAlign w:val="center"/>
          </w:tcPr>
          <w:p w14:paraId="405BAE8F"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Smanjeni apetit</w:t>
            </w:r>
          </w:p>
        </w:tc>
        <w:tc>
          <w:tcPr>
            <w:tcW w:w="1095" w:type="pct"/>
            <w:shd w:val="clear" w:color="auto" w:fill="auto"/>
          </w:tcPr>
          <w:p w14:paraId="18447D1E"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1680A139" w14:textId="3989D5FF"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10</w:t>
            </w:r>
            <w:r>
              <w:rPr>
                <w:sz w:val="22"/>
                <w:szCs w:val="22"/>
              </w:rPr>
              <w:t>5</w:t>
            </w:r>
            <w:r w:rsidRPr="0082654D">
              <w:rPr>
                <w:sz w:val="22"/>
                <w:szCs w:val="22"/>
              </w:rPr>
              <w:t xml:space="preserve"> </w:t>
            </w:r>
            <w:r w:rsidR="0082654D" w:rsidRPr="0082654D">
              <w:rPr>
                <w:sz w:val="22"/>
                <w:szCs w:val="22"/>
              </w:rPr>
              <w:t>(</w:t>
            </w:r>
            <w:r w:rsidRPr="0082654D">
              <w:rPr>
                <w:sz w:val="22"/>
                <w:szCs w:val="22"/>
              </w:rPr>
              <w:t>3</w:t>
            </w:r>
            <w:r>
              <w:rPr>
                <w:sz w:val="22"/>
                <w:szCs w:val="22"/>
              </w:rPr>
              <w:t>7</w:t>
            </w:r>
            <w:r w:rsidR="0082654D" w:rsidRPr="0082654D">
              <w:rPr>
                <w:sz w:val="22"/>
                <w:szCs w:val="22"/>
              </w:rPr>
              <w:t>,</w:t>
            </w:r>
            <w:r>
              <w:rPr>
                <w:sz w:val="22"/>
                <w:szCs w:val="22"/>
              </w:rPr>
              <w:t>0</w:t>
            </w:r>
            <w:r w:rsidR="0082654D" w:rsidRPr="0082654D">
              <w:rPr>
                <w:sz w:val="22"/>
                <w:szCs w:val="22"/>
              </w:rPr>
              <w:t>)</w:t>
            </w:r>
          </w:p>
        </w:tc>
        <w:tc>
          <w:tcPr>
            <w:tcW w:w="1167" w:type="pct"/>
            <w:shd w:val="clear" w:color="auto" w:fill="auto"/>
          </w:tcPr>
          <w:p w14:paraId="5FB5B975" w14:textId="39664CCE" w:rsidR="0082654D" w:rsidRPr="0082654D" w:rsidRDefault="006D3735" w:rsidP="00C10B32">
            <w:pPr>
              <w:shd w:val="clear" w:color="auto" w:fill="FFFFFF" w:themeFill="background1"/>
              <w:autoSpaceDE w:val="0"/>
              <w:autoSpaceDN w:val="0"/>
              <w:adjustRightInd w:val="0"/>
              <w:jc w:val="center"/>
              <w:rPr>
                <w:sz w:val="22"/>
                <w:szCs w:val="22"/>
                <w:lang w:val="hr-HR"/>
              </w:rPr>
            </w:pPr>
            <w:r>
              <w:rPr>
                <w:sz w:val="22"/>
                <w:szCs w:val="22"/>
              </w:rPr>
              <w:t>3</w:t>
            </w:r>
            <w:r w:rsidRPr="0082654D">
              <w:rPr>
                <w:sz w:val="22"/>
                <w:szCs w:val="22"/>
              </w:rPr>
              <w:t xml:space="preserve"> </w:t>
            </w:r>
            <w:r w:rsidR="0082654D" w:rsidRPr="0082654D">
              <w:rPr>
                <w:sz w:val="22"/>
                <w:szCs w:val="22"/>
              </w:rPr>
              <w:t>(</w:t>
            </w:r>
            <w:r>
              <w:rPr>
                <w:sz w:val="22"/>
                <w:szCs w:val="22"/>
              </w:rPr>
              <w:t>1</w:t>
            </w:r>
            <w:r w:rsidR="0082654D" w:rsidRPr="0082654D">
              <w:rPr>
                <w:sz w:val="22"/>
                <w:szCs w:val="22"/>
              </w:rPr>
              <w:t>,</w:t>
            </w:r>
            <w:r>
              <w:rPr>
                <w:sz w:val="22"/>
                <w:szCs w:val="22"/>
              </w:rPr>
              <w:t>1</w:t>
            </w:r>
            <w:r w:rsidR="0082654D" w:rsidRPr="0082654D">
              <w:rPr>
                <w:sz w:val="22"/>
                <w:szCs w:val="22"/>
              </w:rPr>
              <w:t>)*</w:t>
            </w:r>
          </w:p>
        </w:tc>
      </w:tr>
      <w:tr w:rsidR="0082654D" w:rsidRPr="0082654D" w14:paraId="51363C48" w14:textId="77777777" w:rsidTr="00C10B32">
        <w:trPr>
          <w:cantSplit/>
          <w:jc w:val="center"/>
        </w:trPr>
        <w:tc>
          <w:tcPr>
            <w:tcW w:w="1642" w:type="pct"/>
            <w:shd w:val="clear" w:color="auto" w:fill="auto"/>
            <w:vAlign w:val="center"/>
          </w:tcPr>
          <w:p w14:paraId="5173B44A"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Hipokalemija</w:t>
            </w:r>
          </w:p>
        </w:tc>
        <w:tc>
          <w:tcPr>
            <w:tcW w:w="1095" w:type="pct"/>
            <w:shd w:val="clear" w:color="auto" w:fill="auto"/>
          </w:tcPr>
          <w:p w14:paraId="5ED866DA"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2EEEAF95" w14:textId="37140D52"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4</w:t>
            </w:r>
            <w:r>
              <w:rPr>
                <w:sz w:val="22"/>
                <w:szCs w:val="22"/>
              </w:rPr>
              <w:t>3</w:t>
            </w:r>
            <w:r w:rsidRPr="0082654D">
              <w:rPr>
                <w:sz w:val="22"/>
                <w:szCs w:val="22"/>
              </w:rPr>
              <w:t xml:space="preserve"> </w:t>
            </w:r>
            <w:r w:rsidR="0082654D" w:rsidRPr="0082654D">
              <w:rPr>
                <w:sz w:val="22"/>
                <w:szCs w:val="22"/>
              </w:rPr>
              <w:t>(</w:t>
            </w:r>
            <w:r w:rsidRPr="0082654D">
              <w:rPr>
                <w:sz w:val="22"/>
                <w:szCs w:val="22"/>
              </w:rPr>
              <w:t>1</w:t>
            </w:r>
            <w:r>
              <w:rPr>
                <w:sz w:val="22"/>
                <w:szCs w:val="22"/>
              </w:rPr>
              <w:t>5</w:t>
            </w:r>
            <w:r w:rsidR="0082654D" w:rsidRPr="0082654D">
              <w:rPr>
                <w:sz w:val="22"/>
                <w:szCs w:val="22"/>
              </w:rPr>
              <w:t>,</w:t>
            </w:r>
            <w:r>
              <w:rPr>
                <w:sz w:val="22"/>
                <w:szCs w:val="22"/>
              </w:rPr>
              <w:t>1</w:t>
            </w:r>
            <w:r w:rsidR="0082654D" w:rsidRPr="0082654D">
              <w:rPr>
                <w:sz w:val="22"/>
                <w:szCs w:val="22"/>
              </w:rPr>
              <w:t>)</w:t>
            </w:r>
          </w:p>
        </w:tc>
        <w:tc>
          <w:tcPr>
            <w:tcW w:w="1167" w:type="pct"/>
            <w:shd w:val="clear" w:color="auto" w:fill="auto"/>
          </w:tcPr>
          <w:p w14:paraId="15D2C0AC" w14:textId="6BA7F6FD"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9</w:t>
            </w:r>
            <w:r w:rsidRPr="0082654D">
              <w:rPr>
                <w:sz w:val="22"/>
                <w:szCs w:val="22"/>
              </w:rPr>
              <w:t xml:space="preserve"> </w:t>
            </w:r>
            <w:r w:rsidR="0082654D" w:rsidRPr="0082654D">
              <w:rPr>
                <w:sz w:val="22"/>
                <w:szCs w:val="22"/>
              </w:rPr>
              <w:t>(6,</w:t>
            </w:r>
            <w:r>
              <w:rPr>
                <w:sz w:val="22"/>
                <w:szCs w:val="22"/>
              </w:rPr>
              <w:t>7</w:t>
            </w:r>
            <w:r w:rsidR="0082654D" w:rsidRPr="0082654D">
              <w:rPr>
                <w:sz w:val="22"/>
                <w:szCs w:val="22"/>
              </w:rPr>
              <w:t>)</w:t>
            </w:r>
          </w:p>
        </w:tc>
      </w:tr>
      <w:tr w:rsidR="0082654D" w:rsidRPr="0082654D" w14:paraId="7EB65FFE" w14:textId="77777777" w:rsidTr="00C10B32">
        <w:trPr>
          <w:cantSplit/>
          <w:jc w:val="center"/>
        </w:trPr>
        <w:tc>
          <w:tcPr>
            <w:tcW w:w="1642" w:type="pct"/>
            <w:shd w:val="clear" w:color="auto" w:fill="auto"/>
            <w:vAlign w:val="center"/>
          </w:tcPr>
          <w:p w14:paraId="28B38008"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Hipokalcemija</w:t>
            </w:r>
          </w:p>
        </w:tc>
        <w:tc>
          <w:tcPr>
            <w:tcW w:w="1095" w:type="pct"/>
            <w:shd w:val="clear" w:color="auto" w:fill="auto"/>
          </w:tcPr>
          <w:p w14:paraId="09437FA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7D8443B0"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79 (27,8)</w:t>
            </w:r>
          </w:p>
        </w:tc>
        <w:tc>
          <w:tcPr>
            <w:tcW w:w="1167" w:type="pct"/>
            <w:shd w:val="clear" w:color="auto" w:fill="auto"/>
          </w:tcPr>
          <w:p w14:paraId="5625AEF9"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6 (2,1)</w:t>
            </w:r>
          </w:p>
        </w:tc>
      </w:tr>
      <w:tr w:rsidR="0082654D" w:rsidRPr="0082654D" w14:paraId="3F928025" w14:textId="77777777" w:rsidTr="00C10B32">
        <w:trPr>
          <w:cantSplit/>
          <w:jc w:val="center"/>
        </w:trPr>
        <w:tc>
          <w:tcPr>
            <w:tcW w:w="1642" w:type="pct"/>
            <w:shd w:val="clear" w:color="auto" w:fill="auto"/>
            <w:vAlign w:val="center"/>
          </w:tcPr>
          <w:p w14:paraId="358D95CD"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Smanjenje magnezijuma</w:t>
            </w:r>
          </w:p>
        </w:tc>
        <w:tc>
          <w:tcPr>
            <w:tcW w:w="1095" w:type="pct"/>
            <w:shd w:val="clear" w:color="auto" w:fill="auto"/>
          </w:tcPr>
          <w:p w14:paraId="13B89D2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2C70FC04" w14:textId="1A912BE4" w:rsidR="0082654D" w:rsidRPr="0082654D" w:rsidRDefault="006D3735" w:rsidP="00C10B32">
            <w:pPr>
              <w:shd w:val="clear" w:color="auto" w:fill="FFFFFF" w:themeFill="background1"/>
              <w:autoSpaceDE w:val="0"/>
              <w:autoSpaceDN w:val="0"/>
              <w:adjustRightInd w:val="0"/>
              <w:jc w:val="center"/>
              <w:rPr>
                <w:sz w:val="22"/>
                <w:szCs w:val="22"/>
                <w:lang w:val="hr-HR"/>
              </w:rPr>
            </w:pPr>
            <w:r w:rsidRPr="0082654D">
              <w:rPr>
                <w:sz w:val="22"/>
                <w:szCs w:val="22"/>
              </w:rPr>
              <w:t>3</w:t>
            </w:r>
            <w:r>
              <w:rPr>
                <w:sz w:val="22"/>
                <w:szCs w:val="22"/>
              </w:rPr>
              <w:t>6</w:t>
            </w:r>
            <w:r w:rsidRPr="0082654D">
              <w:rPr>
                <w:sz w:val="22"/>
                <w:szCs w:val="22"/>
              </w:rPr>
              <w:t xml:space="preserve"> </w:t>
            </w:r>
            <w:r w:rsidR="0082654D" w:rsidRPr="0082654D">
              <w:rPr>
                <w:sz w:val="22"/>
                <w:szCs w:val="22"/>
              </w:rPr>
              <w:t>(12,</w:t>
            </w:r>
            <w:r>
              <w:rPr>
                <w:sz w:val="22"/>
                <w:szCs w:val="22"/>
              </w:rPr>
              <w:t>7</w:t>
            </w:r>
            <w:r w:rsidR="0082654D" w:rsidRPr="0082654D">
              <w:rPr>
                <w:sz w:val="22"/>
                <w:szCs w:val="22"/>
              </w:rPr>
              <w:t>)</w:t>
            </w:r>
          </w:p>
        </w:tc>
        <w:tc>
          <w:tcPr>
            <w:tcW w:w="1167" w:type="pct"/>
            <w:shd w:val="clear" w:color="auto" w:fill="auto"/>
          </w:tcPr>
          <w:p w14:paraId="0580F70E"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6472295C" w14:textId="77777777" w:rsidTr="00C10B32">
        <w:trPr>
          <w:cantSplit/>
          <w:jc w:val="center"/>
        </w:trPr>
        <w:tc>
          <w:tcPr>
            <w:tcW w:w="1642" w:type="pct"/>
            <w:shd w:val="clear" w:color="auto" w:fill="auto"/>
            <w:vAlign w:val="center"/>
          </w:tcPr>
          <w:p w14:paraId="724ADDC9"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Dehidra</w:t>
            </w:r>
            <w:r w:rsidR="00E12644">
              <w:rPr>
                <w:sz w:val="22"/>
                <w:szCs w:val="22"/>
                <w:lang w:val="hr-HR"/>
              </w:rPr>
              <w:t>ta</w:t>
            </w:r>
            <w:r w:rsidRPr="0082654D">
              <w:rPr>
                <w:sz w:val="22"/>
                <w:szCs w:val="22"/>
                <w:lang w:val="hr-HR"/>
              </w:rPr>
              <w:t>cija</w:t>
            </w:r>
          </w:p>
        </w:tc>
        <w:tc>
          <w:tcPr>
            <w:tcW w:w="1095" w:type="pct"/>
            <w:shd w:val="clear" w:color="auto" w:fill="auto"/>
          </w:tcPr>
          <w:p w14:paraId="3D2B59C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431F5D7D"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10 (3,5)</w:t>
            </w:r>
          </w:p>
        </w:tc>
        <w:tc>
          <w:tcPr>
            <w:tcW w:w="1167" w:type="pct"/>
            <w:shd w:val="clear" w:color="auto" w:fill="auto"/>
          </w:tcPr>
          <w:p w14:paraId="25526179" w14:textId="4E4D8E2A"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612E8323" w14:textId="77777777" w:rsidTr="00C10B32">
        <w:trPr>
          <w:cantSplit/>
          <w:jc w:val="center"/>
        </w:trPr>
        <w:tc>
          <w:tcPr>
            <w:tcW w:w="1642" w:type="pct"/>
            <w:shd w:val="clear" w:color="auto" w:fill="auto"/>
            <w:vAlign w:val="center"/>
          </w:tcPr>
          <w:p w14:paraId="0AA9966D"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Ketoacidoza</w:t>
            </w:r>
            <w:r w:rsidRPr="0082654D">
              <w:rPr>
                <w:sz w:val="22"/>
                <w:szCs w:val="22"/>
                <w:vertAlign w:val="superscript"/>
                <w:lang w:val="hr-HR"/>
              </w:rPr>
              <w:t>3</w:t>
            </w:r>
          </w:p>
        </w:tc>
        <w:tc>
          <w:tcPr>
            <w:tcW w:w="1095" w:type="pct"/>
            <w:shd w:val="clear" w:color="auto" w:fill="auto"/>
          </w:tcPr>
          <w:p w14:paraId="26FC8B92" w14:textId="3CF21BBF" w:rsidR="0082654D" w:rsidRPr="0082654D" w:rsidRDefault="006D3735" w:rsidP="00C10B32">
            <w:pPr>
              <w:shd w:val="clear" w:color="auto" w:fill="FFFFFF" w:themeFill="background1"/>
              <w:autoSpaceDE w:val="0"/>
              <w:autoSpaceDN w:val="0"/>
              <w:adjustRightInd w:val="0"/>
              <w:jc w:val="center"/>
              <w:rPr>
                <w:sz w:val="22"/>
                <w:szCs w:val="22"/>
                <w:lang w:val="hr-HR"/>
              </w:rPr>
            </w:pPr>
            <w:r>
              <w:rPr>
                <w:sz w:val="22"/>
                <w:szCs w:val="22"/>
                <w:lang w:val="hr-HR"/>
              </w:rPr>
              <w:t>Često</w:t>
            </w:r>
          </w:p>
        </w:tc>
        <w:tc>
          <w:tcPr>
            <w:tcW w:w="1096" w:type="pct"/>
            <w:shd w:val="clear" w:color="auto" w:fill="auto"/>
          </w:tcPr>
          <w:p w14:paraId="41832DD1" w14:textId="243CF182" w:rsidR="0082654D" w:rsidRPr="0082654D" w:rsidRDefault="006D3735" w:rsidP="00C10B32">
            <w:pPr>
              <w:shd w:val="clear" w:color="auto" w:fill="FFFFFF" w:themeFill="background1"/>
              <w:autoSpaceDE w:val="0"/>
              <w:autoSpaceDN w:val="0"/>
              <w:adjustRightInd w:val="0"/>
              <w:jc w:val="center"/>
              <w:rPr>
                <w:sz w:val="22"/>
                <w:szCs w:val="22"/>
                <w:lang w:val="hr-HR"/>
              </w:rPr>
            </w:pPr>
            <w:r>
              <w:rPr>
                <w:sz w:val="22"/>
                <w:szCs w:val="22"/>
              </w:rPr>
              <w:t>3</w:t>
            </w:r>
            <w:r w:rsidRPr="0082654D">
              <w:rPr>
                <w:sz w:val="22"/>
                <w:szCs w:val="22"/>
              </w:rPr>
              <w:t xml:space="preserve"> </w:t>
            </w:r>
            <w:r w:rsidR="0082654D" w:rsidRPr="0082654D">
              <w:rPr>
                <w:sz w:val="22"/>
                <w:szCs w:val="22"/>
              </w:rPr>
              <w:t>(</w:t>
            </w:r>
            <w:r>
              <w:rPr>
                <w:sz w:val="22"/>
                <w:szCs w:val="22"/>
              </w:rPr>
              <w:t>1</w:t>
            </w:r>
            <w:r w:rsidR="0082654D" w:rsidRPr="0082654D">
              <w:rPr>
                <w:sz w:val="22"/>
                <w:szCs w:val="22"/>
              </w:rPr>
              <w:t>,</w:t>
            </w:r>
            <w:r>
              <w:rPr>
                <w:sz w:val="22"/>
                <w:szCs w:val="22"/>
              </w:rPr>
              <w:t>1</w:t>
            </w:r>
            <w:r w:rsidR="0082654D" w:rsidRPr="0082654D">
              <w:rPr>
                <w:sz w:val="22"/>
                <w:szCs w:val="22"/>
              </w:rPr>
              <w:t>)</w:t>
            </w:r>
          </w:p>
        </w:tc>
        <w:tc>
          <w:tcPr>
            <w:tcW w:w="1167" w:type="pct"/>
            <w:shd w:val="clear" w:color="auto" w:fill="auto"/>
          </w:tcPr>
          <w:p w14:paraId="6081733B" w14:textId="73C9CDA2" w:rsidR="0082654D" w:rsidRPr="0082654D" w:rsidRDefault="006D3735" w:rsidP="00C10B32">
            <w:pPr>
              <w:shd w:val="clear" w:color="auto" w:fill="FFFFFF" w:themeFill="background1"/>
              <w:jc w:val="center"/>
              <w:rPr>
                <w:sz w:val="22"/>
                <w:szCs w:val="22"/>
                <w:lang w:val="hr-HR"/>
              </w:rPr>
            </w:pPr>
            <w:r>
              <w:rPr>
                <w:sz w:val="22"/>
                <w:szCs w:val="22"/>
              </w:rPr>
              <w:t>3</w:t>
            </w:r>
            <w:r w:rsidRPr="0082654D">
              <w:rPr>
                <w:sz w:val="22"/>
                <w:szCs w:val="22"/>
              </w:rPr>
              <w:t xml:space="preserve"> </w:t>
            </w:r>
            <w:r w:rsidR="0082654D" w:rsidRPr="0082654D">
              <w:rPr>
                <w:sz w:val="22"/>
                <w:szCs w:val="22"/>
              </w:rPr>
              <w:t>(</w:t>
            </w:r>
            <w:r>
              <w:rPr>
                <w:sz w:val="22"/>
                <w:szCs w:val="22"/>
              </w:rPr>
              <w:t>1</w:t>
            </w:r>
            <w:r w:rsidR="0082654D" w:rsidRPr="0082654D">
              <w:rPr>
                <w:sz w:val="22"/>
                <w:szCs w:val="22"/>
              </w:rPr>
              <w:t>,</w:t>
            </w:r>
            <w:r>
              <w:rPr>
                <w:sz w:val="22"/>
                <w:szCs w:val="22"/>
              </w:rPr>
              <w:t>1</w:t>
            </w:r>
            <w:r w:rsidR="0082654D" w:rsidRPr="0082654D">
              <w:rPr>
                <w:sz w:val="22"/>
                <w:szCs w:val="22"/>
              </w:rPr>
              <w:t>)</w:t>
            </w:r>
          </w:p>
        </w:tc>
      </w:tr>
      <w:tr w:rsidR="002A5E87" w:rsidRPr="0082654D" w14:paraId="7D34B23E" w14:textId="77777777" w:rsidTr="00C10B32">
        <w:trPr>
          <w:cantSplit/>
          <w:jc w:val="center"/>
        </w:trPr>
        <w:tc>
          <w:tcPr>
            <w:tcW w:w="1642" w:type="pct"/>
            <w:shd w:val="clear" w:color="auto" w:fill="auto"/>
            <w:vAlign w:val="center"/>
          </w:tcPr>
          <w:p w14:paraId="5069B459" w14:textId="77777777" w:rsidR="002A5E87" w:rsidRPr="0082654D" w:rsidRDefault="002A5E87" w:rsidP="002A5E87">
            <w:pPr>
              <w:shd w:val="clear" w:color="auto" w:fill="FFFFFF" w:themeFill="background1"/>
              <w:autoSpaceDE w:val="0"/>
              <w:autoSpaceDN w:val="0"/>
              <w:adjustRightInd w:val="0"/>
              <w:rPr>
                <w:sz w:val="22"/>
                <w:szCs w:val="22"/>
                <w:lang w:val="hr-HR"/>
              </w:rPr>
            </w:pPr>
            <w:r w:rsidRPr="002A5E87">
              <w:rPr>
                <w:sz w:val="22"/>
                <w:szCs w:val="22"/>
                <w:lang w:val="hr-HR"/>
              </w:rPr>
              <w:t>Neketotični hiperosmolarni hiperglikemijski sindrom (NKHHS)</w:t>
            </w:r>
            <w:r w:rsidRPr="00275401">
              <w:rPr>
                <w:sz w:val="22"/>
                <w:szCs w:val="22"/>
                <w:vertAlign w:val="superscript"/>
                <w:lang w:val="hr-HR"/>
              </w:rPr>
              <w:t>#</w:t>
            </w:r>
          </w:p>
        </w:tc>
        <w:tc>
          <w:tcPr>
            <w:tcW w:w="1095" w:type="pct"/>
            <w:shd w:val="clear" w:color="auto" w:fill="auto"/>
          </w:tcPr>
          <w:p w14:paraId="0238A3FC" w14:textId="77777777" w:rsidR="002A5E87" w:rsidRPr="0082654D" w:rsidRDefault="002A5E87" w:rsidP="002A5E87">
            <w:pPr>
              <w:shd w:val="clear" w:color="auto" w:fill="FFFFFF" w:themeFill="background1"/>
              <w:autoSpaceDE w:val="0"/>
              <w:autoSpaceDN w:val="0"/>
              <w:adjustRightInd w:val="0"/>
              <w:jc w:val="center"/>
              <w:rPr>
                <w:sz w:val="22"/>
                <w:szCs w:val="22"/>
                <w:lang w:val="hr-HR"/>
              </w:rPr>
            </w:pPr>
            <w:r w:rsidRPr="005F03F9">
              <w:rPr>
                <w:sz w:val="22"/>
                <w:szCs w:val="22"/>
                <w:lang w:val="hr-HR"/>
              </w:rPr>
              <w:t xml:space="preserve">Nepoznato </w:t>
            </w:r>
          </w:p>
        </w:tc>
        <w:tc>
          <w:tcPr>
            <w:tcW w:w="1096" w:type="pct"/>
            <w:shd w:val="clear" w:color="auto" w:fill="auto"/>
          </w:tcPr>
          <w:p w14:paraId="51F7B25E" w14:textId="77777777" w:rsidR="002A5E87" w:rsidRPr="0082654D" w:rsidRDefault="002A5E87" w:rsidP="002A5E87">
            <w:pPr>
              <w:shd w:val="clear" w:color="auto" w:fill="FFFFFF" w:themeFill="background1"/>
              <w:autoSpaceDE w:val="0"/>
              <w:autoSpaceDN w:val="0"/>
              <w:adjustRightInd w:val="0"/>
              <w:jc w:val="center"/>
              <w:rPr>
                <w:sz w:val="22"/>
                <w:szCs w:val="22"/>
              </w:rPr>
            </w:pPr>
            <w:r w:rsidRPr="005F03F9">
              <w:rPr>
                <w:sz w:val="22"/>
                <w:szCs w:val="22"/>
                <w:lang w:val="hr-HR"/>
              </w:rPr>
              <w:t xml:space="preserve">Nepoznato </w:t>
            </w:r>
          </w:p>
        </w:tc>
        <w:tc>
          <w:tcPr>
            <w:tcW w:w="1167" w:type="pct"/>
            <w:shd w:val="clear" w:color="auto" w:fill="auto"/>
          </w:tcPr>
          <w:p w14:paraId="2682A65B" w14:textId="77777777" w:rsidR="002A5E87" w:rsidRPr="0082654D" w:rsidRDefault="002A5E87" w:rsidP="002A5E87">
            <w:pPr>
              <w:shd w:val="clear" w:color="auto" w:fill="FFFFFF" w:themeFill="background1"/>
              <w:jc w:val="center"/>
              <w:rPr>
                <w:sz w:val="22"/>
                <w:szCs w:val="22"/>
              </w:rPr>
            </w:pPr>
            <w:r w:rsidRPr="005F03F9">
              <w:rPr>
                <w:sz w:val="22"/>
                <w:szCs w:val="22"/>
                <w:lang w:val="hr-HR"/>
              </w:rPr>
              <w:t xml:space="preserve">Nepoznato </w:t>
            </w:r>
          </w:p>
        </w:tc>
      </w:tr>
      <w:tr w:rsidR="0082654D" w:rsidRPr="0082654D" w14:paraId="452F9382" w14:textId="77777777" w:rsidTr="00C10B32">
        <w:trPr>
          <w:cantSplit/>
          <w:trHeight w:val="54"/>
          <w:jc w:val="center"/>
        </w:trPr>
        <w:tc>
          <w:tcPr>
            <w:tcW w:w="5000" w:type="pct"/>
            <w:gridSpan w:val="4"/>
            <w:vAlign w:val="center"/>
          </w:tcPr>
          <w:p w14:paraId="69A6F5C6"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Psihijatrijski poremećaji</w:t>
            </w:r>
          </w:p>
        </w:tc>
      </w:tr>
      <w:tr w:rsidR="0082654D" w:rsidRPr="0082654D" w14:paraId="0422D37C" w14:textId="77777777" w:rsidTr="00C10B32">
        <w:trPr>
          <w:cantSplit/>
          <w:jc w:val="center"/>
        </w:trPr>
        <w:tc>
          <w:tcPr>
            <w:tcW w:w="1642" w:type="pct"/>
            <w:shd w:val="clear" w:color="auto" w:fill="auto"/>
            <w:vAlign w:val="center"/>
          </w:tcPr>
          <w:p w14:paraId="4D3AAF41"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Nesanica</w:t>
            </w:r>
          </w:p>
        </w:tc>
        <w:tc>
          <w:tcPr>
            <w:tcW w:w="1095" w:type="pct"/>
            <w:shd w:val="clear" w:color="auto" w:fill="auto"/>
          </w:tcPr>
          <w:p w14:paraId="5F621FF6" w14:textId="77777777" w:rsidR="0082654D" w:rsidRPr="0082654D" w:rsidRDefault="00826C6D" w:rsidP="00C10B32">
            <w:pPr>
              <w:shd w:val="clear" w:color="auto" w:fill="FFFFFF" w:themeFill="background1"/>
              <w:autoSpaceDE w:val="0"/>
              <w:autoSpaceDN w:val="0"/>
              <w:adjustRightInd w:val="0"/>
              <w:jc w:val="center"/>
              <w:rPr>
                <w:sz w:val="22"/>
                <w:szCs w:val="22"/>
                <w:lang w:val="hr-HR"/>
              </w:rPr>
            </w:pPr>
            <w:r>
              <w:rPr>
                <w:sz w:val="22"/>
                <w:szCs w:val="22"/>
                <w:lang w:val="hr-HR"/>
              </w:rPr>
              <w:t>Često</w:t>
            </w:r>
          </w:p>
        </w:tc>
        <w:tc>
          <w:tcPr>
            <w:tcW w:w="1096" w:type="pct"/>
            <w:shd w:val="clear" w:color="auto" w:fill="auto"/>
          </w:tcPr>
          <w:p w14:paraId="527107EB"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22 (7,7)</w:t>
            </w:r>
          </w:p>
        </w:tc>
        <w:tc>
          <w:tcPr>
            <w:tcW w:w="1167" w:type="pct"/>
            <w:shd w:val="clear" w:color="auto" w:fill="auto"/>
          </w:tcPr>
          <w:p w14:paraId="55499D42"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p>
        </w:tc>
      </w:tr>
      <w:tr w:rsidR="0082654D" w:rsidRPr="0082654D" w14:paraId="7955DB7E" w14:textId="77777777" w:rsidTr="00C10B32">
        <w:trPr>
          <w:cantSplit/>
          <w:trHeight w:val="192"/>
          <w:jc w:val="center"/>
        </w:trPr>
        <w:tc>
          <w:tcPr>
            <w:tcW w:w="5000" w:type="pct"/>
            <w:gridSpan w:val="4"/>
            <w:vAlign w:val="center"/>
          </w:tcPr>
          <w:p w14:paraId="4717DBBE"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Poremećaji nervnog sistema</w:t>
            </w:r>
          </w:p>
        </w:tc>
      </w:tr>
      <w:tr w:rsidR="0082654D" w:rsidRPr="0082654D" w14:paraId="4C90DDA6" w14:textId="77777777" w:rsidTr="00C10B32">
        <w:trPr>
          <w:cantSplit/>
          <w:jc w:val="center"/>
        </w:trPr>
        <w:tc>
          <w:tcPr>
            <w:tcW w:w="1642" w:type="pct"/>
            <w:shd w:val="clear" w:color="auto" w:fill="auto"/>
            <w:vAlign w:val="center"/>
          </w:tcPr>
          <w:p w14:paraId="6DD257F2"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Glavobolja</w:t>
            </w:r>
          </w:p>
        </w:tc>
        <w:tc>
          <w:tcPr>
            <w:tcW w:w="1095" w:type="pct"/>
            <w:shd w:val="clear" w:color="auto" w:fill="auto"/>
          </w:tcPr>
          <w:p w14:paraId="3984E3C3"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A228BA1"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rPr>
              <w:t>55 (19,4)</w:t>
            </w:r>
          </w:p>
        </w:tc>
        <w:tc>
          <w:tcPr>
            <w:tcW w:w="1167" w:type="pct"/>
            <w:shd w:val="clear" w:color="auto" w:fill="auto"/>
          </w:tcPr>
          <w:p w14:paraId="5A536685"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rPr>
              <w:t>2 (0,7)*</w:t>
            </w:r>
          </w:p>
        </w:tc>
      </w:tr>
      <w:tr w:rsidR="0082654D" w:rsidRPr="0082654D" w14:paraId="0A202493" w14:textId="77777777" w:rsidTr="00C10B32">
        <w:trPr>
          <w:cantSplit/>
          <w:jc w:val="center"/>
        </w:trPr>
        <w:tc>
          <w:tcPr>
            <w:tcW w:w="1642" w:type="pct"/>
            <w:shd w:val="clear" w:color="auto" w:fill="auto"/>
            <w:vAlign w:val="center"/>
          </w:tcPr>
          <w:p w14:paraId="6C940145"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Disgeuzija</w:t>
            </w:r>
            <w:r w:rsidRPr="0082654D">
              <w:rPr>
                <w:sz w:val="22"/>
                <w:szCs w:val="22"/>
                <w:vertAlign w:val="superscript"/>
                <w:lang w:val="hr-HR"/>
              </w:rPr>
              <w:t>4</w:t>
            </w:r>
          </w:p>
        </w:tc>
        <w:tc>
          <w:tcPr>
            <w:tcW w:w="1095" w:type="pct"/>
            <w:shd w:val="clear" w:color="auto" w:fill="auto"/>
          </w:tcPr>
          <w:p w14:paraId="0501975A"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2917FEBC"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44 (15,5)</w:t>
            </w:r>
          </w:p>
        </w:tc>
        <w:tc>
          <w:tcPr>
            <w:tcW w:w="1167" w:type="pct"/>
            <w:shd w:val="clear" w:color="auto" w:fill="auto"/>
          </w:tcPr>
          <w:p w14:paraId="18943E21"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28A87A5E" w14:textId="77777777" w:rsidTr="00C10B32">
        <w:trPr>
          <w:cantSplit/>
          <w:trHeight w:val="118"/>
          <w:jc w:val="center"/>
        </w:trPr>
        <w:tc>
          <w:tcPr>
            <w:tcW w:w="5000" w:type="pct"/>
            <w:gridSpan w:val="4"/>
            <w:vAlign w:val="center"/>
          </w:tcPr>
          <w:p w14:paraId="0E27D1CE"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Poremećaji oka</w:t>
            </w:r>
          </w:p>
        </w:tc>
      </w:tr>
      <w:tr w:rsidR="0082654D" w:rsidRPr="0082654D" w14:paraId="6CDB523D" w14:textId="77777777" w:rsidTr="00C10B32">
        <w:trPr>
          <w:cantSplit/>
          <w:jc w:val="center"/>
        </w:trPr>
        <w:tc>
          <w:tcPr>
            <w:tcW w:w="1642" w:type="pct"/>
            <w:shd w:val="clear" w:color="auto" w:fill="auto"/>
            <w:vAlign w:val="center"/>
          </w:tcPr>
          <w:p w14:paraId="626B3A45"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Zamućen vid</w:t>
            </w:r>
          </w:p>
        </w:tc>
        <w:tc>
          <w:tcPr>
            <w:tcW w:w="1095" w:type="pct"/>
            <w:shd w:val="clear" w:color="auto" w:fill="auto"/>
          </w:tcPr>
          <w:p w14:paraId="46A745E7"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1A318AC8"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rPr>
              <w:t>15 (5,3)</w:t>
            </w:r>
          </w:p>
        </w:tc>
        <w:tc>
          <w:tcPr>
            <w:tcW w:w="1167" w:type="pct"/>
            <w:shd w:val="clear" w:color="auto" w:fill="auto"/>
          </w:tcPr>
          <w:p w14:paraId="79A5E8A7" w14:textId="77777777" w:rsidR="0082654D" w:rsidRPr="0082654D" w:rsidRDefault="0082654D" w:rsidP="00C10B32">
            <w:pPr>
              <w:keepNext/>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2A27D073" w14:textId="77777777" w:rsidTr="00C10B32">
        <w:trPr>
          <w:cantSplit/>
          <w:jc w:val="center"/>
        </w:trPr>
        <w:tc>
          <w:tcPr>
            <w:tcW w:w="1642" w:type="pct"/>
            <w:shd w:val="clear" w:color="auto" w:fill="auto"/>
            <w:vAlign w:val="center"/>
          </w:tcPr>
          <w:p w14:paraId="34EEECDD"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Suvoća oka</w:t>
            </w:r>
          </w:p>
        </w:tc>
        <w:tc>
          <w:tcPr>
            <w:tcW w:w="1095" w:type="pct"/>
            <w:shd w:val="clear" w:color="auto" w:fill="auto"/>
          </w:tcPr>
          <w:p w14:paraId="4D01BA1E"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564DF6F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10 (3,5)</w:t>
            </w:r>
          </w:p>
        </w:tc>
        <w:tc>
          <w:tcPr>
            <w:tcW w:w="1167" w:type="pct"/>
            <w:shd w:val="clear" w:color="auto" w:fill="auto"/>
          </w:tcPr>
          <w:p w14:paraId="0807B141"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p>
        </w:tc>
      </w:tr>
      <w:tr w:rsidR="00AA7909" w:rsidRPr="0082654D" w14:paraId="6EDC3A46" w14:textId="77777777" w:rsidTr="00C10B32">
        <w:trPr>
          <w:cantSplit/>
          <w:jc w:val="center"/>
        </w:trPr>
        <w:tc>
          <w:tcPr>
            <w:tcW w:w="1642" w:type="pct"/>
            <w:shd w:val="clear" w:color="auto" w:fill="auto"/>
            <w:vAlign w:val="center"/>
          </w:tcPr>
          <w:p w14:paraId="4B6010AF" w14:textId="50C14CE5" w:rsidR="00AA7909" w:rsidRPr="0082654D" w:rsidRDefault="00AA7909" w:rsidP="00C10B32">
            <w:pPr>
              <w:shd w:val="clear" w:color="auto" w:fill="FFFFFF" w:themeFill="background1"/>
              <w:autoSpaceDE w:val="0"/>
              <w:autoSpaceDN w:val="0"/>
              <w:adjustRightInd w:val="0"/>
              <w:rPr>
                <w:sz w:val="22"/>
                <w:szCs w:val="22"/>
                <w:lang w:val="hr-HR"/>
              </w:rPr>
            </w:pPr>
            <w:r>
              <w:rPr>
                <w:sz w:val="22"/>
                <w:szCs w:val="22"/>
                <w:lang w:val="hr-HR"/>
              </w:rPr>
              <w:t>Uveitis</w:t>
            </w:r>
          </w:p>
        </w:tc>
        <w:tc>
          <w:tcPr>
            <w:tcW w:w="1095" w:type="pct"/>
            <w:shd w:val="clear" w:color="auto" w:fill="auto"/>
          </w:tcPr>
          <w:p w14:paraId="3F6CEE5A" w14:textId="14A75925" w:rsidR="00AA7909" w:rsidRPr="0082654D" w:rsidRDefault="00AA7909" w:rsidP="00C10B32">
            <w:pPr>
              <w:shd w:val="clear" w:color="auto" w:fill="FFFFFF" w:themeFill="background1"/>
              <w:autoSpaceDE w:val="0"/>
              <w:autoSpaceDN w:val="0"/>
              <w:adjustRightInd w:val="0"/>
              <w:jc w:val="center"/>
              <w:rPr>
                <w:sz w:val="22"/>
                <w:szCs w:val="22"/>
                <w:lang w:val="hr-HR"/>
              </w:rPr>
            </w:pPr>
            <w:r>
              <w:rPr>
                <w:sz w:val="22"/>
                <w:szCs w:val="22"/>
                <w:lang w:val="hr-HR"/>
              </w:rPr>
              <w:t>Nepoznato</w:t>
            </w:r>
          </w:p>
        </w:tc>
        <w:tc>
          <w:tcPr>
            <w:tcW w:w="1096" w:type="pct"/>
            <w:shd w:val="clear" w:color="auto" w:fill="auto"/>
          </w:tcPr>
          <w:p w14:paraId="5100D84C" w14:textId="1FFA0441" w:rsidR="00AA7909" w:rsidRPr="0082654D" w:rsidRDefault="00AA7909" w:rsidP="00C10B32">
            <w:pPr>
              <w:shd w:val="clear" w:color="auto" w:fill="FFFFFF" w:themeFill="background1"/>
              <w:autoSpaceDE w:val="0"/>
              <w:autoSpaceDN w:val="0"/>
              <w:adjustRightInd w:val="0"/>
              <w:jc w:val="center"/>
              <w:rPr>
                <w:sz w:val="22"/>
                <w:szCs w:val="22"/>
              </w:rPr>
            </w:pPr>
            <w:r>
              <w:rPr>
                <w:sz w:val="22"/>
                <w:szCs w:val="22"/>
              </w:rPr>
              <w:t>Nepoznato</w:t>
            </w:r>
          </w:p>
        </w:tc>
        <w:tc>
          <w:tcPr>
            <w:tcW w:w="1167" w:type="pct"/>
            <w:shd w:val="clear" w:color="auto" w:fill="auto"/>
          </w:tcPr>
          <w:p w14:paraId="2876C124" w14:textId="23ED1C1A" w:rsidR="00AA7909" w:rsidRPr="0082654D" w:rsidRDefault="00AA7909" w:rsidP="00C10B32">
            <w:pPr>
              <w:shd w:val="clear" w:color="auto" w:fill="FFFFFF" w:themeFill="background1"/>
              <w:autoSpaceDE w:val="0"/>
              <w:autoSpaceDN w:val="0"/>
              <w:adjustRightInd w:val="0"/>
              <w:jc w:val="center"/>
              <w:rPr>
                <w:sz w:val="22"/>
                <w:szCs w:val="22"/>
                <w:lang w:val="hr-HR"/>
              </w:rPr>
            </w:pPr>
            <w:r>
              <w:rPr>
                <w:sz w:val="22"/>
                <w:szCs w:val="22"/>
                <w:lang w:val="hr-HR"/>
              </w:rPr>
              <w:t>Nepoznato</w:t>
            </w:r>
          </w:p>
        </w:tc>
      </w:tr>
      <w:tr w:rsidR="0082654D" w:rsidRPr="0082654D" w14:paraId="15EC1F26" w14:textId="77777777" w:rsidTr="00C10B32">
        <w:trPr>
          <w:cantSplit/>
          <w:trHeight w:val="186"/>
          <w:jc w:val="center"/>
        </w:trPr>
        <w:tc>
          <w:tcPr>
            <w:tcW w:w="5000" w:type="pct"/>
            <w:gridSpan w:val="4"/>
            <w:vAlign w:val="center"/>
          </w:tcPr>
          <w:p w14:paraId="54748A57" w14:textId="77777777" w:rsidR="0082654D" w:rsidRPr="0082654D" w:rsidRDefault="000F1F42" w:rsidP="00C10B32">
            <w:pPr>
              <w:keepNext/>
              <w:shd w:val="clear" w:color="auto" w:fill="FFFFFF" w:themeFill="background1"/>
              <w:autoSpaceDE w:val="0"/>
              <w:autoSpaceDN w:val="0"/>
              <w:adjustRightInd w:val="0"/>
              <w:rPr>
                <w:b/>
                <w:sz w:val="22"/>
                <w:szCs w:val="22"/>
                <w:lang w:val="hr-HR"/>
              </w:rPr>
            </w:pPr>
            <w:r>
              <w:rPr>
                <w:b/>
                <w:sz w:val="22"/>
                <w:szCs w:val="22"/>
                <w:lang w:val="hr-HR"/>
              </w:rPr>
              <w:t>Vaskularni</w:t>
            </w:r>
            <w:r w:rsidRPr="0082654D">
              <w:rPr>
                <w:b/>
                <w:sz w:val="22"/>
                <w:szCs w:val="22"/>
                <w:lang w:val="hr-HR"/>
              </w:rPr>
              <w:t xml:space="preserve"> </w:t>
            </w:r>
            <w:r w:rsidR="0082654D" w:rsidRPr="0082654D">
              <w:rPr>
                <w:b/>
                <w:sz w:val="22"/>
                <w:szCs w:val="22"/>
                <w:lang w:val="hr-HR"/>
              </w:rPr>
              <w:t>poremećaji</w:t>
            </w:r>
          </w:p>
        </w:tc>
      </w:tr>
      <w:tr w:rsidR="0082654D" w:rsidRPr="0082654D" w14:paraId="235C5C74" w14:textId="77777777" w:rsidTr="00C10B32">
        <w:trPr>
          <w:cantSplit/>
          <w:jc w:val="center"/>
        </w:trPr>
        <w:tc>
          <w:tcPr>
            <w:tcW w:w="1642" w:type="pct"/>
            <w:shd w:val="clear" w:color="auto" w:fill="auto"/>
            <w:vAlign w:val="center"/>
          </w:tcPr>
          <w:p w14:paraId="1E73ABBB"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Hipertenzija</w:t>
            </w:r>
          </w:p>
        </w:tc>
        <w:tc>
          <w:tcPr>
            <w:tcW w:w="1095" w:type="pct"/>
            <w:shd w:val="clear" w:color="auto" w:fill="auto"/>
          </w:tcPr>
          <w:p w14:paraId="568FDDE1" w14:textId="1FE2B45E" w:rsidR="0082654D" w:rsidRPr="0082654D" w:rsidRDefault="00491E0A" w:rsidP="00C10B32">
            <w:pPr>
              <w:keepNext/>
              <w:shd w:val="clear" w:color="auto" w:fill="FFFFFF" w:themeFill="background1"/>
              <w:autoSpaceDE w:val="0"/>
              <w:autoSpaceDN w:val="0"/>
              <w:adjustRightInd w:val="0"/>
              <w:jc w:val="center"/>
              <w:rPr>
                <w:sz w:val="22"/>
                <w:szCs w:val="22"/>
                <w:lang w:val="hr-HR"/>
              </w:rPr>
            </w:pPr>
            <w:r>
              <w:rPr>
                <w:sz w:val="22"/>
                <w:szCs w:val="22"/>
                <w:lang w:val="hr-HR"/>
              </w:rPr>
              <w:t>Veoma č</w:t>
            </w:r>
            <w:r w:rsidR="0082654D" w:rsidRPr="0082654D">
              <w:rPr>
                <w:sz w:val="22"/>
                <w:szCs w:val="22"/>
                <w:lang w:val="hr-HR"/>
              </w:rPr>
              <w:t>esto</w:t>
            </w:r>
          </w:p>
        </w:tc>
        <w:tc>
          <w:tcPr>
            <w:tcW w:w="1096" w:type="pct"/>
            <w:shd w:val="clear" w:color="auto" w:fill="auto"/>
          </w:tcPr>
          <w:p w14:paraId="683FDC60" w14:textId="5151294B" w:rsidR="0082654D" w:rsidRPr="0082654D" w:rsidRDefault="00491E0A" w:rsidP="00C10B32">
            <w:pPr>
              <w:keepNext/>
              <w:shd w:val="clear" w:color="auto" w:fill="FFFFFF" w:themeFill="background1"/>
              <w:autoSpaceDE w:val="0"/>
              <w:autoSpaceDN w:val="0"/>
              <w:adjustRightInd w:val="0"/>
              <w:jc w:val="center"/>
              <w:rPr>
                <w:sz w:val="22"/>
                <w:szCs w:val="22"/>
                <w:lang w:val="hr-HR"/>
              </w:rPr>
            </w:pPr>
            <w:r>
              <w:rPr>
                <w:sz w:val="22"/>
                <w:szCs w:val="22"/>
              </w:rPr>
              <w:t>30</w:t>
            </w:r>
            <w:r w:rsidRPr="0082654D">
              <w:rPr>
                <w:sz w:val="22"/>
                <w:szCs w:val="22"/>
              </w:rPr>
              <w:t xml:space="preserve"> </w:t>
            </w:r>
            <w:r w:rsidR="0082654D" w:rsidRPr="0082654D">
              <w:rPr>
                <w:sz w:val="22"/>
                <w:szCs w:val="22"/>
              </w:rPr>
              <w:t>(</w:t>
            </w:r>
            <w:r>
              <w:rPr>
                <w:sz w:val="22"/>
                <w:szCs w:val="22"/>
              </w:rPr>
              <w:t>10</w:t>
            </w:r>
            <w:r w:rsidR="0082654D" w:rsidRPr="0082654D">
              <w:rPr>
                <w:sz w:val="22"/>
                <w:szCs w:val="22"/>
              </w:rPr>
              <w:t>,</w:t>
            </w:r>
            <w:r>
              <w:rPr>
                <w:sz w:val="22"/>
                <w:szCs w:val="22"/>
              </w:rPr>
              <w:t>6</w:t>
            </w:r>
            <w:r w:rsidR="0082654D" w:rsidRPr="0082654D">
              <w:rPr>
                <w:sz w:val="22"/>
                <w:szCs w:val="22"/>
              </w:rPr>
              <w:t>)</w:t>
            </w:r>
          </w:p>
        </w:tc>
        <w:tc>
          <w:tcPr>
            <w:tcW w:w="1167" w:type="pct"/>
            <w:shd w:val="clear" w:color="auto" w:fill="auto"/>
          </w:tcPr>
          <w:p w14:paraId="74F62E55" w14:textId="498E9404" w:rsidR="0082654D" w:rsidRPr="0082654D" w:rsidRDefault="00491E0A" w:rsidP="00C10B32">
            <w:pPr>
              <w:keepNext/>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5</w:t>
            </w:r>
            <w:r w:rsidRPr="0082654D">
              <w:rPr>
                <w:sz w:val="22"/>
                <w:szCs w:val="22"/>
              </w:rPr>
              <w:t xml:space="preserve"> </w:t>
            </w:r>
            <w:r w:rsidR="0082654D" w:rsidRPr="0082654D">
              <w:rPr>
                <w:sz w:val="22"/>
                <w:szCs w:val="22"/>
              </w:rPr>
              <w:t>(</w:t>
            </w:r>
            <w:r>
              <w:rPr>
                <w:sz w:val="22"/>
                <w:szCs w:val="22"/>
              </w:rPr>
              <w:t>5</w:t>
            </w:r>
            <w:r w:rsidR="0082654D" w:rsidRPr="0082654D">
              <w:rPr>
                <w:sz w:val="22"/>
                <w:szCs w:val="22"/>
              </w:rPr>
              <w:t>,</w:t>
            </w:r>
            <w:r>
              <w:rPr>
                <w:sz w:val="22"/>
                <w:szCs w:val="22"/>
              </w:rPr>
              <w:t>3</w:t>
            </w:r>
            <w:r w:rsidR="0082654D" w:rsidRPr="0082654D">
              <w:rPr>
                <w:sz w:val="22"/>
                <w:szCs w:val="22"/>
              </w:rPr>
              <w:t>)</w:t>
            </w:r>
          </w:p>
        </w:tc>
      </w:tr>
      <w:tr w:rsidR="0082654D" w:rsidRPr="0082654D" w14:paraId="29B9D512" w14:textId="77777777" w:rsidTr="00C10B32">
        <w:trPr>
          <w:cantSplit/>
          <w:jc w:val="center"/>
        </w:trPr>
        <w:tc>
          <w:tcPr>
            <w:tcW w:w="1642" w:type="pct"/>
            <w:shd w:val="clear" w:color="auto" w:fill="auto"/>
            <w:vAlign w:val="center"/>
          </w:tcPr>
          <w:p w14:paraId="2953A56F"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Limfedem</w:t>
            </w:r>
          </w:p>
        </w:tc>
        <w:tc>
          <w:tcPr>
            <w:tcW w:w="1095" w:type="pct"/>
            <w:shd w:val="clear" w:color="auto" w:fill="auto"/>
          </w:tcPr>
          <w:p w14:paraId="08FE5E42"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2172AFAB" w14:textId="3146F42A" w:rsidR="0082654D" w:rsidRPr="0082654D" w:rsidRDefault="00491E0A" w:rsidP="00C10B32">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7</w:t>
            </w:r>
            <w:r w:rsidRPr="0082654D">
              <w:rPr>
                <w:sz w:val="22"/>
                <w:szCs w:val="22"/>
              </w:rPr>
              <w:t xml:space="preserve"> </w:t>
            </w:r>
            <w:r w:rsidR="0082654D" w:rsidRPr="0082654D">
              <w:rPr>
                <w:sz w:val="22"/>
                <w:szCs w:val="22"/>
              </w:rPr>
              <w:t>(</w:t>
            </w:r>
            <w:r>
              <w:rPr>
                <w:sz w:val="22"/>
                <w:szCs w:val="22"/>
              </w:rPr>
              <w:t>6</w:t>
            </w:r>
            <w:r w:rsidR="0082654D" w:rsidRPr="0082654D">
              <w:rPr>
                <w:sz w:val="22"/>
                <w:szCs w:val="22"/>
              </w:rPr>
              <w:t>,</w:t>
            </w:r>
            <w:r>
              <w:rPr>
                <w:sz w:val="22"/>
                <w:szCs w:val="22"/>
              </w:rPr>
              <w:t>0</w:t>
            </w:r>
            <w:r w:rsidR="0082654D" w:rsidRPr="0082654D">
              <w:rPr>
                <w:sz w:val="22"/>
                <w:szCs w:val="22"/>
              </w:rPr>
              <w:t>)</w:t>
            </w:r>
          </w:p>
        </w:tc>
        <w:tc>
          <w:tcPr>
            <w:tcW w:w="1167" w:type="pct"/>
            <w:shd w:val="clear" w:color="auto" w:fill="auto"/>
          </w:tcPr>
          <w:p w14:paraId="47C9F49C"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p>
        </w:tc>
      </w:tr>
      <w:tr w:rsidR="0082654D" w:rsidRPr="0082654D" w14:paraId="1E1FDA82" w14:textId="77777777" w:rsidTr="00C10B32">
        <w:trPr>
          <w:cantSplit/>
          <w:trHeight w:val="240"/>
          <w:jc w:val="center"/>
        </w:trPr>
        <w:tc>
          <w:tcPr>
            <w:tcW w:w="5000" w:type="pct"/>
            <w:gridSpan w:val="4"/>
            <w:vAlign w:val="center"/>
          </w:tcPr>
          <w:p w14:paraId="592FE98E"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Respiratorni, torakalni i medijastinalni poremećaji</w:t>
            </w:r>
          </w:p>
        </w:tc>
      </w:tr>
      <w:tr w:rsidR="0082654D" w:rsidRPr="0082654D" w14:paraId="6CA2BED7" w14:textId="77777777" w:rsidTr="00C10B32">
        <w:trPr>
          <w:cantSplit/>
          <w:jc w:val="center"/>
        </w:trPr>
        <w:tc>
          <w:tcPr>
            <w:tcW w:w="1642" w:type="pct"/>
            <w:shd w:val="clear" w:color="auto" w:fill="auto"/>
            <w:vAlign w:val="center"/>
          </w:tcPr>
          <w:p w14:paraId="470E729C"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Pneumonitis</w:t>
            </w:r>
            <w:r w:rsidRPr="0082654D">
              <w:rPr>
                <w:sz w:val="22"/>
                <w:szCs w:val="22"/>
                <w:vertAlign w:val="superscript"/>
                <w:lang w:val="hr-HR"/>
              </w:rPr>
              <w:t>5</w:t>
            </w:r>
          </w:p>
        </w:tc>
        <w:tc>
          <w:tcPr>
            <w:tcW w:w="1095" w:type="pct"/>
            <w:shd w:val="clear" w:color="auto" w:fill="auto"/>
          </w:tcPr>
          <w:p w14:paraId="104FAC28"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5B8C3A12"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color w:val="000000"/>
                <w:sz w:val="22"/>
                <w:szCs w:val="22"/>
              </w:rPr>
              <w:t>5 (1,8)</w:t>
            </w:r>
          </w:p>
        </w:tc>
        <w:tc>
          <w:tcPr>
            <w:tcW w:w="1167" w:type="pct"/>
            <w:shd w:val="clear" w:color="auto" w:fill="auto"/>
          </w:tcPr>
          <w:p w14:paraId="2D9C9F94"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color w:val="000000"/>
                <w:sz w:val="22"/>
                <w:szCs w:val="22"/>
              </w:rPr>
              <w:t>1 (0,4)</w:t>
            </w:r>
            <w:r w:rsidRPr="0082654D">
              <w:rPr>
                <w:sz w:val="22"/>
                <w:szCs w:val="22"/>
              </w:rPr>
              <w:t>*</w:t>
            </w:r>
          </w:p>
        </w:tc>
      </w:tr>
      <w:tr w:rsidR="0082654D" w:rsidRPr="0082654D" w14:paraId="60B01ED0" w14:textId="77777777" w:rsidTr="00C10B32">
        <w:trPr>
          <w:cantSplit/>
          <w:trHeight w:val="148"/>
          <w:jc w:val="center"/>
        </w:trPr>
        <w:tc>
          <w:tcPr>
            <w:tcW w:w="5000" w:type="pct"/>
            <w:gridSpan w:val="4"/>
            <w:vAlign w:val="center"/>
          </w:tcPr>
          <w:p w14:paraId="3A802249" w14:textId="77777777" w:rsidR="0082654D" w:rsidRPr="0082654D" w:rsidRDefault="0082654D" w:rsidP="00C10B32">
            <w:pPr>
              <w:keepNext/>
              <w:shd w:val="clear" w:color="auto" w:fill="FFFFFF" w:themeFill="background1"/>
              <w:autoSpaceDE w:val="0"/>
              <w:autoSpaceDN w:val="0"/>
              <w:adjustRightInd w:val="0"/>
              <w:rPr>
                <w:b/>
                <w:sz w:val="22"/>
                <w:szCs w:val="22"/>
                <w:lang w:val="hr-HR"/>
              </w:rPr>
            </w:pPr>
            <w:r w:rsidRPr="0082654D">
              <w:rPr>
                <w:b/>
                <w:sz w:val="22"/>
                <w:szCs w:val="22"/>
                <w:lang w:val="hr-HR"/>
              </w:rPr>
              <w:t>Gastrointestinalni poremećaji</w:t>
            </w:r>
          </w:p>
        </w:tc>
      </w:tr>
      <w:tr w:rsidR="0082654D" w:rsidRPr="0082654D" w14:paraId="6019D719" w14:textId="77777777" w:rsidTr="00C10B32">
        <w:trPr>
          <w:cantSplit/>
          <w:jc w:val="center"/>
        </w:trPr>
        <w:tc>
          <w:tcPr>
            <w:tcW w:w="1642" w:type="pct"/>
            <w:shd w:val="clear" w:color="auto" w:fill="auto"/>
            <w:vAlign w:val="center"/>
          </w:tcPr>
          <w:p w14:paraId="5F9AF8AA"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Dijareja</w:t>
            </w:r>
          </w:p>
        </w:tc>
        <w:tc>
          <w:tcPr>
            <w:tcW w:w="1095" w:type="pct"/>
            <w:shd w:val="clear" w:color="auto" w:fill="auto"/>
          </w:tcPr>
          <w:p w14:paraId="5742693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29CAA265" w14:textId="62DBE99D" w:rsidR="0082654D" w:rsidRPr="0082654D" w:rsidRDefault="00491E0A" w:rsidP="00C10B32">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70</w:t>
            </w:r>
            <w:r w:rsidRPr="0082654D">
              <w:rPr>
                <w:sz w:val="22"/>
                <w:szCs w:val="22"/>
              </w:rPr>
              <w:t xml:space="preserve"> </w:t>
            </w:r>
            <w:r w:rsidR="0082654D" w:rsidRPr="0082654D">
              <w:rPr>
                <w:sz w:val="22"/>
                <w:szCs w:val="22"/>
              </w:rPr>
              <w:t>(59,</w:t>
            </w:r>
            <w:r>
              <w:rPr>
                <w:sz w:val="22"/>
                <w:szCs w:val="22"/>
              </w:rPr>
              <w:t>9</w:t>
            </w:r>
            <w:r w:rsidR="0082654D" w:rsidRPr="0082654D">
              <w:rPr>
                <w:sz w:val="22"/>
                <w:szCs w:val="22"/>
              </w:rPr>
              <w:t>)</w:t>
            </w:r>
          </w:p>
        </w:tc>
        <w:tc>
          <w:tcPr>
            <w:tcW w:w="1167" w:type="pct"/>
            <w:shd w:val="clear" w:color="auto" w:fill="auto"/>
          </w:tcPr>
          <w:p w14:paraId="5DC4C080" w14:textId="2EB30FC8" w:rsidR="0082654D" w:rsidRPr="0082654D" w:rsidRDefault="00491E0A" w:rsidP="00C10B32">
            <w:pPr>
              <w:shd w:val="clear" w:color="auto" w:fill="FFFFFF" w:themeFill="background1"/>
              <w:autoSpaceDE w:val="0"/>
              <w:autoSpaceDN w:val="0"/>
              <w:adjustRightInd w:val="0"/>
              <w:jc w:val="center"/>
              <w:rPr>
                <w:sz w:val="22"/>
                <w:szCs w:val="22"/>
                <w:lang w:val="hr-HR"/>
              </w:rPr>
            </w:pPr>
            <w:r w:rsidRPr="0082654D">
              <w:rPr>
                <w:sz w:val="22"/>
                <w:szCs w:val="22"/>
              </w:rPr>
              <w:t>2</w:t>
            </w:r>
            <w:r>
              <w:rPr>
                <w:sz w:val="22"/>
                <w:szCs w:val="22"/>
              </w:rPr>
              <w:t>1</w:t>
            </w:r>
            <w:r w:rsidRPr="0082654D">
              <w:rPr>
                <w:sz w:val="22"/>
                <w:szCs w:val="22"/>
              </w:rPr>
              <w:t xml:space="preserve"> </w:t>
            </w:r>
            <w:r w:rsidR="0082654D" w:rsidRPr="0082654D">
              <w:rPr>
                <w:sz w:val="22"/>
                <w:szCs w:val="22"/>
              </w:rPr>
              <w:t>(7,</w:t>
            </w:r>
            <w:r>
              <w:rPr>
                <w:sz w:val="22"/>
                <w:szCs w:val="22"/>
              </w:rPr>
              <w:t>4</w:t>
            </w:r>
            <w:r w:rsidR="0082654D" w:rsidRPr="0082654D">
              <w:rPr>
                <w:sz w:val="22"/>
                <w:szCs w:val="22"/>
              </w:rPr>
              <w:t>)*</w:t>
            </w:r>
          </w:p>
        </w:tc>
      </w:tr>
      <w:tr w:rsidR="0082654D" w:rsidRPr="0082654D" w14:paraId="3D2DCE1E" w14:textId="77777777" w:rsidTr="00C10B32">
        <w:trPr>
          <w:cantSplit/>
          <w:jc w:val="center"/>
        </w:trPr>
        <w:tc>
          <w:tcPr>
            <w:tcW w:w="1642" w:type="pct"/>
            <w:shd w:val="clear" w:color="auto" w:fill="auto"/>
            <w:vAlign w:val="center"/>
          </w:tcPr>
          <w:p w14:paraId="5A5DC9CD"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Mučnina</w:t>
            </w:r>
          </w:p>
        </w:tc>
        <w:tc>
          <w:tcPr>
            <w:tcW w:w="1095" w:type="pct"/>
            <w:shd w:val="clear" w:color="auto" w:fill="auto"/>
          </w:tcPr>
          <w:p w14:paraId="5B1390A4"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18A0D53F"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133 (46,8)</w:t>
            </w:r>
          </w:p>
        </w:tc>
        <w:tc>
          <w:tcPr>
            <w:tcW w:w="1167" w:type="pct"/>
            <w:shd w:val="clear" w:color="auto" w:fill="auto"/>
          </w:tcPr>
          <w:p w14:paraId="6D219A6A"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8 (2,8)*</w:t>
            </w:r>
          </w:p>
        </w:tc>
      </w:tr>
      <w:tr w:rsidR="0082654D" w:rsidRPr="0082654D" w14:paraId="162D611A" w14:textId="77777777" w:rsidTr="00C10B32">
        <w:trPr>
          <w:cantSplit/>
          <w:jc w:val="center"/>
        </w:trPr>
        <w:tc>
          <w:tcPr>
            <w:tcW w:w="1642" w:type="pct"/>
            <w:shd w:val="clear" w:color="auto" w:fill="auto"/>
            <w:vAlign w:val="center"/>
          </w:tcPr>
          <w:p w14:paraId="2149273F"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Stomatitis</w:t>
            </w:r>
            <w:r w:rsidRPr="0082654D">
              <w:rPr>
                <w:sz w:val="22"/>
                <w:szCs w:val="22"/>
                <w:vertAlign w:val="superscript"/>
                <w:lang w:val="hr-HR"/>
              </w:rPr>
              <w:t>6</w:t>
            </w:r>
          </w:p>
        </w:tc>
        <w:tc>
          <w:tcPr>
            <w:tcW w:w="1095" w:type="pct"/>
            <w:shd w:val="clear" w:color="auto" w:fill="auto"/>
          </w:tcPr>
          <w:p w14:paraId="0E736745"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7C4D6B33" w14:textId="5F50AFAA" w:rsidR="0082654D" w:rsidRPr="0082654D" w:rsidRDefault="00491E0A" w:rsidP="00C10B32">
            <w:pPr>
              <w:shd w:val="clear" w:color="auto" w:fill="FFFFFF" w:themeFill="background1"/>
              <w:autoSpaceDE w:val="0"/>
              <w:autoSpaceDN w:val="0"/>
              <w:adjustRightInd w:val="0"/>
              <w:jc w:val="center"/>
              <w:rPr>
                <w:sz w:val="22"/>
                <w:szCs w:val="22"/>
                <w:lang w:val="hr-HR"/>
              </w:rPr>
            </w:pPr>
            <w:r w:rsidRPr="0082654D">
              <w:rPr>
                <w:sz w:val="22"/>
                <w:szCs w:val="22"/>
              </w:rPr>
              <w:t>8</w:t>
            </w:r>
            <w:r>
              <w:rPr>
                <w:sz w:val="22"/>
                <w:szCs w:val="22"/>
              </w:rPr>
              <w:t>7</w:t>
            </w:r>
            <w:r w:rsidRPr="0082654D">
              <w:rPr>
                <w:sz w:val="22"/>
                <w:szCs w:val="22"/>
              </w:rPr>
              <w:t xml:space="preserve"> </w:t>
            </w:r>
            <w:r w:rsidR="0082654D" w:rsidRPr="0082654D">
              <w:rPr>
                <w:sz w:val="22"/>
                <w:szCs w:val="22"/>
              </w:rPr>
              <w:t>(30,</w:t>
            </w:r>
            <w:r>
              <w:rPr>
                <w:sz w:val="22"/>
                <w:szCs w:val="22"/>
              </w:rPr>
              <w:t>6</w:t>
            </w:r>
            <w:r w:rsidR="0082654D" w:rsidRPr="0082654D">
              <w:rPr>
                <w:sz w:val="22"/>
                <w:szCs w:val="22"/>
              </w:rPr>
              <w:t>)</w:t>
            </w:r>
          </w:p>
        </w:tc>
        <w:tc>
          <w:tcPr>
            <w:tcW w:w="1167" w:type="pct"/>
            <w:shd w:val="clear" w:color="auto" w:fill="auto"/>
          </w:tcPr>
          <w:p w14:paraId="41167904"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7 (2,5)*</w:t>
            </w:r>
          </w:p>
        </w:tc>
      </w:tr>
      <w:tr w:rsidR="0082654D" w:rsidRPr="0082654D" w14:paraId="059D7F80" w14:textId="77777777" w:rsidTr="00C10B32">
        <w:trPr>
          <w:cantSplit/>
          <w:jc w:val="center"/>
        </w:trPr>
        <w:tc>
          <w:tcPr>
            <w:tcW w:w="1642" w:type="pct"/>
            <w:shd w:val="clear" w:color="auto" w:fill="auto"/>
            <w:vAlign w:val="center"/>
          </w:tcPr>
          <w:p w14:paraId="65F2E355"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Povraćanje</w:t>
            </w:r>
          </w:p>
        </w:tc>
        <w:tc>
          <w:tcPr>
            <w:tcW w:w="1095" w:type="pct"/>
            <w:shd w:val="clear" w:color="auto" w:fill="auto"/>
          </w:tcPr>
          <w:p w14:paraId="32081942"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7BBDC999" w14:textId="0C146039" w:rsidR="0082654D" w:rsidRPr="0082654D" w:rsidRDefault="00491E0A" w:rsidP="00C10B32">
            <w:pPr>
              <w:shd w:val="clear" w:color="auto" w:fill="FFFFFF" w:themeFill="background1"/>
              <w:autoSpaceDE w:val="0"/>
              <w:autoSpaceDN w:val="0"/>
              <w:adjustRightInd w:val="0"/>
              <w:jc w:val="center"/>
              <w:rPr>
                <w:sz w:val="22"/>
                <w:szCs w:val="22"/>
                <w:lang w:val="hr-HR"/>
              </w:rPr>
            </w:pPr>
            <w:r w:rsidRPr="0082654D">
              <w:rPr>
                <w:sz w:val="22"/>
                <w:szCs w:val="22"/>
              </w:rPr>
              <w:t>8</w:t>
            </w:r>
            <w:r>
              <w:rPr>
                <w:sz w:val="22"/>
                <w:szCs w:val="22"/>
              </w:rPr>
              <w:t>4</w:t>
            </w:r>
            <w:r w:rsidRPr="0082654D">
              <w:rPr>
                <w:sz w:val="22"/>
                <w:szCs w:val="22"/>
              </w:rPr>
              <w:t xml:space="preserve"> </w:t>
            </w:r>
            <w:r w:rsidR="0082654D" w:rsidRPr="0082654D">
              <w:rPr>
                <w:sz w:val="22"/>
                <w:szCs w:val="22"/>
              </w:rPr>
              <w:t>(</w:t>
            </w:r>
            <w:r w:rsidRPr="0082654D">
              <w:rPr>
                <w:sz w:val="22"/>
                <w:szCs w:val="22"/>
              </w:rPr>
              <w:t>2</w:t>
            </w:r>
            <w:r>
              <w:rPr>
                <w:sz w:val="22"/>
                <w:szCs w:val="22"/>
              </w:rPr>
              <w:t>9</w:t>
            </w:r>
            <w:r w:rsidR="0082654D" w:rsidRPr="0082654D">
              <w:rPr>
                <w:sz w:val="22"/>
                <w:szCs w:val="22"/>
              </w:rPr>
              <w:t>,</w:t>
            </w:r>
            <w:r>
              <w:rPr>
                <w:sz w:val="22"/>
                <w:szCs w:val="22"/>
              </w:rPr>
              <w:t>6</w:t>
            </w:r>
            <w:r w:rsidR="0082654D" w:rsidRPr="0082654D">
              <w:rPr>
                <w:sz w:val="22"/>
                <w:szCs w:val="22"/>
              </w:rPr>
              <w:t>)</w:t>
            </w:r>
          </w:p>
        </w:tc>
        <w:tc>
          <w:tcPr>
            <w:tcW w:w="1167" w:type="pct"/>
            <w:shd w:val="clear" w:color="auto" w:fill="auto"/>
          </w:tcPr>
          <w:p w14:paraId="3AEBDD81"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82654D" w:rsidRPr="0082654D" w14:paraId="2DEF24EB" w14:textId="77777777" w:rsidTr="00C10B32">
        <w:trPr>
          <w:cantSplit/>
          <w:jc w:val="center"/>
        </w:trPr>
        <w:tc>
          <w:tcPr>
            <w:tcW w:w="1642" w:type="pct"/>
            <w:shd w:val="clear" w:color="auto" w:fill="auto"/>
            <w:vAlign w:val="center"/>
          </w:tcPr>
          <w:p w14:paraId="0630F89E"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Bol u abdomenu</w:t>
            </w:r>
          </w:p>
        </w:tc>
        <w:tc>
          <w:tcPr>
            <w:tcW w:w="1095" w:type="pct"/>
            <w:shd w:val="clear" w:color="auto" w:fill="auto"/>
          </w:tcPr>
          <w:p w14:paraId="1FBE71D5"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6821C734" w14:textId="7BB98EBC" w:rsidR="0082654D" w:rsidRPr="0082654D" w:rsidRDefault="00491E0A" w:rsidP="00C10B32">
            <w:pPr>
              <w:shd w:val="clear" w:color="auto" w:fill="FFFFFF" w:themeFill="background1"/>
              <w:autoSpaceDE w:val="0"/>
              <w:autoSpaceDN w:val="0"/>
              <w:adjustRightInd w:val="0"/>
              <w:jc w:val="center"/>
              <w:rPr>
                <w:sz w:val="22"/>
                <w:szCs w:val="22"/>
                <w:lang w:val="hr-HR"/>
              </w:rPr>
            </w:pPr>
            <w:r w:rsidRPr="0082654D">
              <w:rPr>
                <w:sz w:val="22"/>
                <w:szCs w:val="22"/>
              </w:rPr>
              <w:t>5</w:t>
            </w:r>
            <w:r>
              <w:rPr>
                <w:sz w:val="22"/>
                <w:szCs w:val="22"/>
              </w:rPr>
              <w:t>3</w:t>
            </w:r>
            <w:r w:rsidRPr="0082654D">
              <w:rPr>
                <w:sz w:val="22"/>
                <w:szCs w:val="22"/>
              </w:rPr>
              <w:t xml:space="preserve"> </w:t>
            </w:r>
            <w:r w:rsidR="0082654D" w:rsidRPr="0082654D">
              <w:rPr>
                <w:sz w:val="22"/>
                <w:szCs w:val="22"/>
              </w:rPr>
              <w:t>(</w:t>
            </w:r>
            <w:r w:rsidRPr="0082654D">
              <w:rPr>
                <w:sz w:val="22"/>
                <w:szCs w:val="22"/>
              </w:rPr>
              <w:t>1</w:t>
            </w:r>
            <w:r>
              <w:rPr>
                <w:sz w:val="22"/>
                <w:szCs w:val="22"/>
              </w:rPr>
              <w:t>8</w:t>
            </w:r>
            <w:r w:rsidR="0082654D" w:rsidRPr="0082654D">
              <w:rPr>
                <w:sz w:val="22"/>
                <w:szCs w:val="22"/>
              </w:rPr>
              <w:t>,</w:t>
            </w:r>
            <w:r>
              <w:rPr>
                <w:sz w:val="22"/>
                <w:szCs w:val="22"/>
              </w:rPr>
              <w:t>7</w:t>
            </w:r>
            <w:r w:rsidR="0082654D" w:rsidRPr="0082654D">
              <w:rPr>
                <w:sz w:val="22"/>
                <w:szCs w:val="22"/>
              </w:rPr>
              <w:t>)</w:t>
            </w:r>
          </w:p>
        </w:tc>
        <w:tc>
          <w:tcPr>
            <w:tcW w:w="1167" w:type="pct"/>
            <w:shd w:val="clear" w:color="auto" w:fill="auto"/>
          </w:tcPr>
          <w:p w14:paraId="72E3F306"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4 (1,4)*</w:t>
            </w:r>
          </w:p>
        </w:tc>
      </w:tr>
      <w:tr w:rsidR="0082654D" w:rsidRPr="0082654D" w14:paraId="5BD7170A" w14:textId="77777777" w:rsidTr="00C10B32">
        <w:trPr>
          <w:cantSplit/>
          <w:trHeight w:val="291"/>
          <w:jc w:val="center"/>
        </w:trPr>
        <w:tc>
          <w:tcPr>
            <w:tcW w:w="1642" w:type="pct"/>
            <w:shd w:val="clear" w:color="auto" w:fill="auto"/>
            <w:vAlign w:val="center"/>
          </w:tcPr>
          <w:p w14:paraId="4A680909"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Dispepsija</w:t>
            </w:r>
          </w:p>
        </w:tc>
        <w:tc>
          <w:tcPr>
            <w:tcW w:w="1095" w:type="pct"/>
            <w:shd w:val="clear" w:color="auto" w:fill="auto"/>
          </w:tcPr>
          <w:p w14:paraId="142F8AEB"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7EF11B61"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33 (11,6)</w:t>
            </w:r>
          </w:p>
        </w:tc>
        <w:tc>
          <w:tcPr>
            <w:tcW w:w="1167" w:type="pct"/>
            <w:shd w:val="clear" w:color="auto" w:fill="auto"/>
          </w:tcPr>
          <w:p w14:paraId="02B4596B"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p>
        </w:tc>
      </w:tr>
      <w:tr w:rsidR="0082654D" w:rsidRPr="0082654D" w14:paraId="2A926B8A" w14:textId="77777777" w:rsidTr="00C10B32">
        <w:trPr>
          <w:cantSplit/>
          <w:jc w:val="center"/>
        </w:trPr>
        <w:tc>
          <w:tcPr>
            <w:tcW w:w="1642" w:type="pct"/>
            <w:shd w:val="clear" w:color="auto" w:fill="auto"/>
            <w:vAlign w:val="center"/>
          </w:tcPr>
          <w:p w14:paraId="659BCB2D"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Zubobolja</w:t>
            </w:r>
          </w:p>
        </w:tc>
        <w:tc>
          <w:tcPr>
            <w:tcW w:w="1095" w:type="pct"/>
            <w:shd w:val="clear" w:color="auto" w:fill="auto"/>
          </w:tcPr>
          <w:p w14:paraId="24CE677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1D63620C"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13 (4,6)</w:t>
            </w:r>
          </w:p>
        </w:tc>
        <w:tc>
          <w:tcPr>
            <w:tcW w:w="1167" w:type="pct"/>
            <w:shd w:val="clear" w:color="auto" w:fill="auto"/>
          </w:tcPr>
          <w:p w14:paraId="08B533D7"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73CEE3BD" w14:textId="77777777" w:rsidTr="00C10B32">
        <w:trPr>
          <w:cantSplit/>
          <w:jc w:val="center"/>
        </w:trPr>
        <w:tc>
          <w:tcPr>
            <w:tcW w:w="1642" w:type="pct"/>
            <w:shd w:val="clear" w:color="auto" w:fill="auto"/>
            <w:vAlign w:val="center"/>
          </w:tcPr>
          <w:p w14:paraId="4E345BF5"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Gingivitis</w:t>
            </w:r>
          </w:p>
        </w:tc>
        <w:tc>
          <w:tcPr>
            <w:tcW w:w="1095" w:type="pct"/>
            <w:shd w:val="clear" w:color="auto" w:fill="auto"/>
          </w:tcPr>
          <w:p w14:paraId="49B8A324"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4B576D73"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11 (3,9)</w:t>
            </w:r>
          </w:p>
        </w:tc>
        <w:tc>
          <w:tcPr>
            <w:tcW w:w="1167" w:type="pct"/>
            <w:shd w:val="clear" w:color="auto" w:fill="auto"/>
          </w:tcPr>
          <w:p w14:paraId="740EB8A7"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82654D" w:rsidRPr="0082654D" w14:paraId="7F615A92" w14:textId="77777777" w:rsidTr="00C10B32">
        <w:trPr>
          <w:cantSplit/>
          <w:jc w:val="center"/>
        </w:trPr>
        <w:tc>
          <w:tcPr>
            <w:tcW w:w="1642" w:type="pct"/>
            <w:shd w:val="clear" w:color="auto" w:fill="auto"/>
            <w:vAlign w:val="center"/>
          </w:tcPr>
          <w:p w14:paraId="6303BA47"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Bol u zubnom mesu</w:t>
            </w:r>
          </w:p>
        </w:tc>
        <w:tc>
          <w:tcPr>
            <w:tcW w:w="1095" w:type="pct"/>
            <w:shd w:val="clear" w:color="auto" w:fill="auto"/>
          </w:tcPr>
          <w:p w14:paraId="210E0FEF"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33860B02" w14:textId="2BB30859" w:rsidR="0082654D" w:rsidRPr="0082654D" w:rsidRDefault="00491E0A" w:rsidP="00C10B32">
            <w:pPr>
              <w:shd w:val="clear" w:color="auto" w:fill="FFFFFF" w:themeFill="background1"/>
              <w:autoSpaceDE w:val="0"/>
              <w:autoSpaceDN w:val="0"/>
              <w:adjustRightInd w:val="0"/>
              <w:jc w:val="center"/>
              <w:rPr>
                <w:sz w:val="22"/>
                <w:szCs w:val="22"/>
                <w:lang w:val="hr-HR"/>
              </w:rPr>
            </w:pPr>
            <w:r>
              <w:rPr>
                <w:sz w:val="22"/>
                <w:szCs w:val="22"/>
              </w:rPr>
              <w:t>11</w:t>
            </w:r>
            <w:r w:rsidRPr="0082654D">
              <w:rPr>
                <w:sz w:val="22"/>
                <w:szCs w:val="22"/>
              </w:rPr>
              <w:t xml:space="preserve"> </w:t>
            </w:r>
            <w:r w:rsidR="0082654D" w:rsidRPr="0082654D">
              <w:rPr>
                <w:sz w:val="22"/>
                <w:szCs w:val="22"/>
              </w:rPr>
              <w:t>(3,</w:t>
            </w:r>
            <w:r>
              <w:rPr>
                <w:sz w:val="22"/>
                <w:szCs w:val="22"/>
              </w:rPr>
              <w:t>9</w:t>
            </w:r>
            <w:r w:rsidR="0082654D" w:rsidRPr="0082654D">
              <w:rPr>
                <w:sz w:val="22"/>
                <w:szCs w:val="22"/>
              </w:rPr>
              <w:t>)</w:t>
            </w:r>
          </w:p>
        </w:tc>
        <w:tc>
          <w:tcPr>
            <w:tcW w:w="1167" w:type="pct"/>
            <w:shd w:val="clear" w:color="auto" w:fill="auto"/>
          </w:tcPr>
          <w:p w14:paraId="386114A2" w14:textId="77777777" w:rsidR="0082654D" w:rsidRPr="0082654D" w:rsidDel="00BA411C" w:rsidRDefault="0082654D" w:rsidP="00C10B32">
            <w:pPr>
              <w:shd w:val="clear" w:color="auto" w:fill="FFFFFF" w:themeFill="background1"/>
              <w:autoSpaceDE w:val="0"/>
              <w:autoSpaceDN w:val="0"/>
              <w:adjustRightInd w:val="0"/>
              <w:jc w:val="center"/>
              <w:rPr>
                <w:sz w:val="22"/>
                <w:szCs w:val="22"/>
                <w:lang w:val="hr-HR"/>
              </w:rPr>
            </w:pPr>
          </w:p>
        </w:tc>
      </w:tr>
      <w:tr w:rsidR="0082654D" w:rsidRPr="0082654D" w14:paraId="072530C8" w14:textId="77777777" w:rsidTr="00C10B32">
        <w:trPr>
          <w:cantSplit/>
          <w:jc w:val="center"/>
        </w:trPr>
        <w:tc>
          <w:tcPr>
            <w:tcW w:w="1642" w:type="pct"/>
            <w:shd w:val="clear" w:color="auto" w:fill="auto"/>
            <w:vAlign w:val="center"/>
          </w:tcPr>
          <w:p w14:paraId="54DC9D6E" w14:textId="77777777" w:rsidR="0082654D" w:rsidRPr="0082654D" w:rsidRDefault="0082654D" w:rsidP="00C10B32">
            <w:pPr>
              <w:keepNext/>
              <w:shd w:val="clear" w:color="auto" w:fill="FFFFFF" w:themeFill="background1"/>
              <w:autoSpaceDE w:val="0"/>
              <w:autoSpaceDN w:val="0"/>
              <w:adjustRightInd w:val="0"/>
              <w:rPr>
                <w:sz w:val="22"/>
                <w:szCs w:val="22"/>
                <w:lang w:val="hr-HR"/>
              </w:rPr>
            </w:pPr>
            <w:r w:rsidRPr="0082654D">
              <w:rPr>
                <w:sz w:val="22"/>
                <w:szCs w:val="22"/>
                <w:lang w:val="hr-HR"/>
              </w:rPr>
              <w:t>Heilitis</w:t>
            </w:r>
          </w:p>
        </w:tc>
        <w:tc>
          <w:tcPr>
            <w:tcW w:w="1095" w:type="pct"/>
            <w:shd w:val="clear" w:color="auto" w:fill="auto"/>
          </w:tcPr>
          <w:p w14:paraId="2E9071AF"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76660F8D"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8 (2,8)</w:t>
            </w:r>
          </w:p>
        </w:tc>
        <w:tc>
          <w:tcPr>
            <w:tcW w:w="1167" w:type="pct"/>
            <w:shd w:val="clear" w:color="auto" w:fill="auto"/>
          </w:tcPr>
          <w:p w14:paraId="446F9147"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p>
        </w:tc>
      </w:tr>
      <w:tr w:rsidR="0082654D" w:rsidRPr="0082654D" w14:paraId="12F0D350" w14:textId="77777777" w:rsidTr="00C10B32">
        <w:trPr>
          <w:cantSplit/>
          <w:jc w:val="center"/>
        </w:trPr>
        <w:tc>
          <w:tcPr>
            <w:tcW w:w="1642" w:type="pct"/>
            <w:shd w:val="clear" w:color="auto" w:fill="auto"/>
            <w:vAlign w:val="center"/>
          </w:tcPr>
          <w:p w14:paraId="38CD0FEB" w14:textId="77777777" w:rsidR="0082654D" w:rsidRPr="0082654D" w:rsidRDefault="0082654D" w:rsidP="00C10B32">
            <w:pPr>
              <w:shd w:val="clear" w:color="auto" w:fill="FFFFFF" w:themeFill="background1"/>
              <w:autoSpaceDE w:val="0"/>
              <w:autoSpaceDN w:val="0"/>
              <w:adjustRightInd w:val="0"/>
              <w:rPr>
                <w:sz w:val="22"/>
                <w:szCs w:val="22"/>
                <w:lang w:val="hr-HR"/>
              </w:rPr>
            </w:pPr>
            <w:r w:rsidRPr="0082654D">
              <w:rPr>
                <w:sz w:val="22"/>
                <w:szCs w:val="22"/>
                <w:lang w:val="hr-HR"/>
              </w:rPr>
              <w:t>Pankreatitis</w:t>
            </w:r>
          </w:p>
        </w:tc>
        <w:tc>
          <w:tcPr>
            <w:tcW w:w="1095" w:type="pct"/>
            <w:shd w:val="clear" w:color="auto" w:fill="auto"/>
          </w:tcPr>
          <w:p w14:paraId="2DE88B1B"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lang w:val="hr-HR"/>
              </w:rPr>
              <w:t>Po</w:t>
            </w:r>
            <w:r w:rsidR="00A26CAB">
              <w:rPr>
                <w:sz w:val="22"/>
                <w:szCs w:val="22"/>
                <w:lang w:val="hr-HR"/>
              </w:rPr>
              <w:t>vrem</w:t>
            </w:r>
            <w:r w:rsidRPr="0082654D">
              <w:rPr>
                <w:sz w:val="22"/>
                <w:szCs w:val="22"/>
                <w:lang w:val="hr-HR"/>
              </w:rPr>
              <w:t>eno</w:t>
            </w:r>
          </w:p>
        </w:tc>
        <w:tc>
          <w:tcPr>
            <w:tcW w:w="1096" w:type="pct"/>
            <w:shd w:val="clear" w:color="auto" w:fill="auto"/>
          </w:tcPr>
          <w:p w14:paraId="4D2D5164"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c>
          <w:tcPr>
            <w:tcW w:w="1167" w:type="pct"/>
            <w:shd w:val="clear" w:color="auto" w:fill="auto"/>
          </w:tcPr>
          <w:p w14:paraId="5E984736" w14:textId="77777777" w:rsidR="0082654D" w:rsidRPr="0082654D" w:rsidRDefault="0082654D" w:rsidP="00C10B32">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264ADA" w:rsidRPr="0082654D" w14:paraId="5C6E6B72" w14:textId="77777777" w:rsidTr="00C10B32">
        <w:trPr>
          <w:cantSplit/>
          <w:jc w:val="center"/>
        </w:trPr>
        <w:tc>
          <w:tcPr>
            <w:tcW w:w="1642" w:type="pct"/>
            <w:shd w:val="clear" w:color="auto" w:fill="auto"/>
            <w:vAlign w:val="center"/>
          </w:tcPr>
          <w:p w14:paraId="7E655616" w14:textId="433B2B9B" w:rsidR="00264ADA" w:rsidRPr="00264ADA" w:rsidRDefault="00264ADA" w:rsidP="00264ADA">
            <w:pPr>
              <w:shd w:val="clear" w:color="auto" w:fill="FFFFFF" w:themeFill="background1"/>
              <w:autoSpaceDE w:val="0"/>
              <w:autoSpaceDN w:val="0"/>
              <w:adjustRightInd w:val="0"/>
              <w:rPr>
                <w:sz w:val="22"/>
                <w:szCs w:val="22"/>
                <w:lang w:val="hr-HR"/>
              </w:rPr>
            </w:pPr>
            <w:r w:rsidRPr="00264ADA">
              <w:rPr>
                <w:sz w:val="22"/>
                <w:szCs w:val="22"/>
                <w:lang w:val="hr-HR"/>
              </w:rPr>
              <w:t>Kolitis</w:t>
            </w:r>
            <w:r w:rsidRPr="00264ADA">
              <w:rPr>
                <w:sz w:val="22"/>
                <w:szCs w:val="22"/>
                <w:vertAlign w:val="superscript"/>
              </w:rPr>
              <w:t>#</w:t>
            </w:r>
          </w:p>
        </w:tc>
        <w:tc>
          <w:tcPr>
            <w:tcW w:w="1095" w:type="pct"/>
            <w:shd w:val="clear" w:color="auto" w:fill="auto"/>
          </w:tcPr>
          <w:p w14:paraId="10A481BB" w14:textId="5004AA9B" w:rsidR="00264ADA" w:rsidRPr="00264ADA" w:rsidRDefault="00264ADA" w:rsidP="00264ADA">
            <w:pPr>
              <w:shd w:val="clear" w:color="auto" w:fill="FFFFFF" w:themeFill="background1"/>
              <w:autoSpaceDE w:val="0"/>
              <w:autoSpaceDN w:val="0"/>
              <w:adjustRightInd w:val="0"/>
              <w:jc w:val="center"/>
              <w:rPr>
                <w:sz w:val="22"/>
                <w:szCs w:val="22"/>
                <w:lang w:val="hr-HR"/>
              </w:rPr>
            </w:pPr>
            <w:r w:rsidRPr="00264ADA">
              <w:rPr>
                <w:sz w:val="22"/>
                <w:szCs w:val="22"/>
                <w:lang w:val="hr-HR"/>
              </w:rPr>
              <w:t>Nepoznato</w:t>
            </w:r>
          </w:p>
        </w:tc>
        <w:tc>
          <w:tcPr>
            <w:tcW w:w="1096" w:type="pct"/>
            <w:shd w:val="clear" w:color="auto" w:fill="auto"/>
          </w:tcPr>
          <w:p w14:paraId="1211A09A" w14:textId="5E11D938" w:rsidR="00264ADA" w:rsidRPr="00264ADA" w:rsidRDefault="00264ADA" w:rsidP="00264ADA">
            <w:pPr>
              <w:shd w:val="clear" w:color="auto" w:fill="FFFFFF" w:themeFill="background1"/>
              <w:autoSpaceDE w:val="0"/>
              <w:autoSpaceDN w:val="0"/>
              <w:adjustRightInd w:val="0"/>
              <w:jc w:val="center"/>
              <w:rPr>
                <w:sz w:val="22"/>
                <w:szCs w:val="22"/>
              </w:rPr>
            </w:pPr>
            <w:r w:rsidRPr="00264ADA">
              <w:rPr>
                <w:sz w:val="22"/>
                <w:szCs w:val="22"/>
                <w:lang w:val="hr-HR"/>
              </w:rPr>
              <w:t>Nepoznato</w:t>
            </w:r>
          </w:p>
        </w:tc>
        <w:tc>
          <w:tcPr>
            <w:tcW w:w="1167" w:type="pct"/>
            <w:shd w:val="clear" w:color="auto" w:fill="auto"/>
          </w:tcPr>
          <w:p w14:paraId="494AFA3A" w14:textId="0A90B43B" w:rsidR="00264ADA" w:rsidRPr="00264ADA" w:rsidRDefault="00264ADA" w:rsidP="00264ADA">
            <w:pPr>
              <w:shd w:val="clear" w:color="auto" w:fill="FFFFFF" w:themeFill="background1"/>
              <w:autoSpaceDE w:val="0"/>
              <w:autoSpaceDN w:val="0"/>
              <w:adjustRightInd w:val="0"/>
              <w:jc w:val="center"/>
              <w:rPr>
                <w:sz w:val="22"/>
                <w:szCs w:val="22"/>
              </w:rPr>
            </w:pPr>
            <w:r w:rsidRPr="00264ADA">
              <w:rPr>
                <w:sz w:val="22"/>
                <w:szCs w:val="22"/>
                <w:lang w:val="hr-HR"/>
              </w:rPr>
              <w:t>Nepoznato</w:t>
            </w:r>
          </w:p>
        </w:tc>
      </w:tr>
      <w:tr w:rsidR="00264ADA" w:rsidRPr="0082654D" w14:paraId="362A0E64" w14:textId="77777777" w:rsidTr="00C10B32">
        <w:trPr>
          <w:cantSplit/>
          <w:trHeight w:val="172"/>
          <w:jc w:val="center"/>
        </w:trPr>
        <w:tc>
          <w:tcPr>
            <w:tcW w:w="5000" w:type="pct"/>
            <w:gridSpan w:val="4"/>
            <w:vAlign w:val="center"/>
          </w:tcPr>
          <w:p w14:paraId="3BE75EBB" w14:textId="77777777" w:rsidR="00264ADA" w:rsidRPr="0082654D" w:rsidRDefault="00264ADA" w:rsidP="00264ADA">
            <w:pPr>
              <w:keepNext/>
              <w:shd w:val="clear" w:color="auto" w:fill="FFFFFF" w:themeFill="background1"/>
              <w:autoSpaceDE w:val="0"/>
              <w:autoSpaceDN w:val="0"/>
              <w:adjustRightInd w:val="0"/>
              <w:rPr>
                <w:b/>
                <w:sz w:val="22"/>
                <w:szCs w:val="22"/>
                <w:lang w:val="hr-HR"/>
              </w:rPr>
            </w:pPr>
            <w:r w:rsidRPr="0082654D">
              <w:rPr>
                <w:b/>
                <w:sz w:val="22"/>
                <w:szCs w:val="22"/>
                <w:lang w:val="hr-HR"/>
              </w:rPr>
              <w:lastRenderedPageBreak/>
              <w:t>Poremećaji kože i potkožnog tkiva</w:t>
            </w:r>
          </w:p>
        </w:tc>
      </w:tr>
      <w:tr w:rsidR="00264ADA" w:rsidRPr="0082654D" w14:paraId="1704C38E" w14:textId="77777777" w:rsidTr="00C10B32">
        <w:trPr>
          <w:cantSplit/>
          <w:jc w:val="center"/>
        </w:trPr>
        <w:tc>
          <w:tcPr>
            <w:tcW w:w="1642" w:type="pct"/>
            <w:shd w:val="clear" w:color="auto" w:fill="auto"/>
            <w:vAlign w:val="center"/>
          </w:tcPr>
          <w:p w14:paraId="0676DFBC"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Osip</w:t>
            </w:r>
            <w:r w:rsidRPr="0082654D">
              <w:rPr>
                <w:sz w:val="22"/>
                <w:szCs w:val="22"/>
                <w:vertAlign w:val="superscript"/>
                <w:lang w:val="hr-HR"/>
              </w:rPr>
              <w:t>7</w:t>
            </w:r>
          </w:p>
        </w:tc>
        <w:tc>
          <w:tcPr>
            <w:tcW w:w="1095" w:type="pct"/>
            <w:shd w:val="clear" w:color="auto" w:fill="auto"/>
          </w:tcPr>
          <w:p w14:paraId="1971D4C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EFC0FC9" w14:textId="20D729E5"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14</w:t>
            </w:r>
            <w:r>
              <w:rPr>
                <w:sz w:val="22"/>
                <w:szCs w:val="22"/>
              </w:rPr>
              <w:t>8</w:t>
            </w:r>
            <w:r w:rsidRPr="0082654D">
              <w:rPr>
                <w:sz w:val="22"/>
                <w:szCs w:val="22"/>
              </w:rPr>
              <w:t xml:space="preserve"> </w:t>
            </w:r>
            <w:r w:rsidR="00264ADA" w:rsidRPr="0082654D">
              <w:rPr>
                <w:sz w:val="22"/>
                <w:szCs w:val="22"/>
              </w:rPr>
              <w:t>(</w:t>
            </w:r>
            <w:r w:rsidRPr="0082654D">
              <w:rPr>
                <w:sz w:val="22"/>
                <w:szCs w:val="22"/>
              </w:rPr>
              <w:t>5</w:t>
            </w:r>
            <w:r>
              <w:rPr>
                <w:sz w:val="22"/>
                <w:szCs w:val="22"/>
              </w:rPr>
              <w:t>2</w:t>
            </w:r>
            <w:r w:rsidR="00264ADA" w:rsidRPr="0082654D">
              <w:rPr>
                <w:sz w:val="22"/>
                <w:szCs w:val="22"/>
              </w:rPr>
              <w:t>,</w:t>
            </w:r>
            <w:r>
              <w:rPr>
                <w:sz w:val="22"/>
                <w:szCs w:val="22"/>
              </w:rPr>
              <w:t>1</w:t>
            </w:r>
            <w:r w:rsidR="00264ADA" w:rsidRPr="0082654D">
              <w:rPr>
                <w:sz w:val="22"/>
                <w:szCs w:val="22"/>
              </w:rPr>
              <w:t>)</w:t>
            </w:r>
          </w:p>
        </w:tc>
        <w:tc>
          <w:tcPr>
            <w:tcW w:w="1167" w:type="pct"/>
            <w:shd w:val="clear" w:color="auto" w:fill="auto"/>
          </w:tcPr>
          <w:p w14:paraId="66F66EC7"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55 (19,4)*</w:t>
            </w:r>
          </w:p>
        </w:tc>
      </w:tr>
      <w:tr w:rsidR="00264ADA" w:rsidRPr="0082654D" w14:paraId="0AFB96C2" w14:textId="77777777" w:rsidTr="00C10B32">
        <w:trPr>
          <w:cantSplit/>
          <w:jc w:val="center"/>
        </w:trPr>
        <w:tc>
          <w:tcPr>
            <w:tcW w:w="1642" w:type="pct"/>
            <w:shd w:val="clear" w:color="auto" w:fill="auto"/>
            <w:vAlign w:val="center"/>
          </w:tcPr>
          <w:p w14:paraId="2CCECA58"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Alopecija</w:t>
            </w:r>
          </w:p>
        </w:tc>
        <w:tc>
          <w:tcPr>
            <w:tcW w:w="1095" w:type="pct"/>
            <w:shd w:val="clear" w:color="auto" w:fill="auto"/>
          </w:tcPr>
          <w:p w14:paraId="14356ECF"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60E8B0B2"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58 (20,4)</w:t>
            </w:r>
          </w:p>
        </w:tc>
        <w:tc>
          <w:tcPr>
            <w:tcW w:w="1167" w:type="pct"/>
            <w:shd w:val="clear" w:color="auto" w:fill="auto"/>
          </w:tcPr>
          <w:p w14:paraId="59CF9107"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p>
        </w:tc>
      </w:tr>
      <w:tr w:rsidR="00264ADA" w:rsidRPr="0082654D" w14:paraId="6DA4D52C" w14:textId="77777777" w:rsidTr="00C10B32">
        <w:trPr>
          <w:cantSplit/>
          <w:jc w:val="center"/>
        </w:trPr>
        <w:tc>
          <w:tcPr>
            <w:tcW w:w="1642" w:type="pct"/>
            <w:shd w:val="clear" w:color="auto" w:fill="auto"/>
            <w:vAlign w:val="center"/>
          </w:tcPr>
          <w:p w14:paraId="70D34273"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Pruritus</w:t>
            </w:r>
          </w:p>
        </w:tc>
        <w:tc>
          <w:tcPr>
            <w:tcW w:w="1095" w:type="pct"/>
            <w:shd w:val="clear" w:color="auto" w:fill="auto"/>
          </w:tcPr>
          <w:p w14:paraId="73A93BE5"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E6BC5CA" w14:textId="7E3B06AC"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5</w:t>
            </w:r>
            <w:r>
              <w:rPr>
                <w:sz w:val="22"/>
                <w:szCs w:val="22"/>
              </w:rPr>
              <w:t>4</w:t>
            </w:r>
            <w:r w:rsidRPr="0082654D">
              <w:rPr>
                <w:sz w:val="22"/>
                <w:szCs w:val="22"/>
              </w:rPr>
              <w:t xml:space="preserve"> </w:t>
            </w:r>
            <w:r w:rsidR="00264ADA" w:rsidRPr="0082654D">
              <w:rPr>
                <w:sz w:val="22"/>
                <w:szCs w:val="22"/>
              </w:rPr>
              <w:t>(</w:t>
            </w:r>
            <w:r w:rsidRPr="0082654D">
              <w:rPr>
                <w:sz w:val="22"/>
                <w:szCs w:val="22"/>
              </w:rPr>
              <w:t>1</w:t>
            </w:r>
            <w:r>
              <w:rPr>
                <w:sz w:val="22"/>
                <w:szCs w:val="22"/>
              </w:rPr>
              <w:t>9</w:t>
            </w:r>
            <w:r w:rsidR="00264ADA" w:rsidRPr="0082654D">
              <w:rPr>
                <w:sz w:val="22"/>
                <w:szCs w:val="22"/>
              </w:rPr>
              <w:t>,</w:t>
            </w:r>
            <w:r>
              <w:rPr>
                <w:sz w:val="22"/>
                <w:szCs w:val="22"/>
              </w:rPr>
              <w:t>0</w:t>
            </w:r>
            <w:r w:rsidR="00264ADA" w:rsidRPr="0082654D">
              <w:rPr>
                <w:sz w:val="22"/>
                <w:szCs w:val="22"/>
              </w:rPr>
              <w:t>)</w:t>
            </w:r>
          </w:p>
        </w:tc>
        <w:tc>
          <w:tcPr>
            <w:tcW w:w="1167" w:type="pct"/>
            <w:shd w:val="clear" w:color="auto" w:fill="auto"/>
          </w:tcPr>
          <w:p w14:paraId="478FAB20"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264ADA" w:rsidRPr="0082654D" w14:paraId="336FD383" w14:textId="77777777" w:rsidTr="00C10B32">
        <w:trPr>
          <w:cantSplit/>
          <w:jc w:val="center"/>
        </w:trPr>
        <w:tc>
          <w:tcPr>
            <w:tcW w:w="1642" w:type="pct"/>
            <w:shd w:val="clear" w:color="auto" w:fill="auto"/>
            <w:vAlign w:val="center"/>
          </w:tcPr>
          <w:p w14:paraId="6792DE10"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Suva koža</w:t>
            </w:r>
            <w:r w:rsidRPr="0082654D">
              <w:rPr>
                <w:sz w:val="22"/>
                <w:szCs w:val="22"/>
                <w:vertAlign w:val="superscript"/>
                <w:lang w:val="hr-HR"/>
              </w:rPr>
              <w:t>8</w:t>
            </w:r>
          </w:p>
        </w:tc>
        <w:tc>
          <w:tcPr>
            <w:tcW w:w="1095" w:type="pct"/>
            <w:shd w:val="clear" w:color="auto" w:fill="auto"/>
          </w:tcPr>
          <w:p w14:paraId="085DE701"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1573C70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53 (18,7)</w:t>
            </w:r>
          </w:p>
        </w:tc>
        <w:tc>
          <w:tcPr>
            <w:tcW w:w="1167" w:type="pct"/>
            <w:shd w:val="clear" w:color="auto" w:fill="auto"/>
          </w:tcPr>
          <w:p w14:paraId="15A69A08"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264ADA" w:rsidRPr="0082654D" w14:paraId="317442D0" w14:textId="77777777" w:rsidTr="00C10B32">
        <w:trPr>
          <w:cantSplit/>
          <w:jc w:val="center"/>
        </w:trPr>
        <w:tc>
          <w:tcPr>
            <w:tcW w:w="1642" w:type="pct"/>
            <w:shd w:val="clear" w:color="auto" w:fill="auto"/>
            <w:vAlign w:val="center"/>
          </w:tcPr>
          <w:p w14:paraId="641221AD"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Eritem</w:t>
            </w:r>
            <w:r w:rsidRPr="0082654D">
              <w:rPr>
                <w:sz w:val="22"/>
                <w:szCs w:val="22"/>
                <w:vertAlign w:val="superscript"/>
                <w:lang w:val="hr-HR"/>
              </w:rPr>
              <w:t>9</w:t>
            </w:r>
          </w:p>
        </w:tc>
        <w:tc>
          <w:tcPr>
            <w:tcW w:w="1095" w:type="pct"/>
            <w:shd w:val="clear" w:color="auto" w:fill="auto"/>
          </w:tcPr>
          <w:p w14:paraId="26A2E8EE"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52CEA855" w14:textId="63A8F2C8"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9</w:t>
            </w:r>
            <w:r w:rsidRPr="0082654D">
              <w:rPr>
                <w:sz w:val="22"/>
                <w:szCs w:val="22"/>
              </w:rPr>
              <w:t xml:space="preserve"> </w:t>
            </w:r>
            <w:r w:rsidR="00264ADA" w:rsidRPr="0082654D">
              <w:rPr>
                <w:sz w:val="22"/>
                <w:szCs w:val="22"/>
              </w:rPr>
              <w:t>(6,</w:t>
            </w:r>
            <w:r>
              <w:rPr>
                <w:sz w:val="22"/>
                <w:szCs w:val="22"/>
              </w:rPr>
              <w:t>7</w:t>
            </w:r>
            <w:r w:rsidR="00264ADA" w:rsidRPr="0082654D">
              <w:rPr>
                <w:sz w:val="22"/>
                <w:szCs w:val="22"/>
              </w:rPr>
              <w:t>)</w:t>
            </w:r>
          </w:p>
        </w:tc>
        <w:tc>
          <w:tcPr>
            <w:tcW w:w="1167" w:type="pct"/>
            <w:shd w:val="clear" w:color="auto" w:fill="auto"/>
          </w:tcPr>
          <w:p w14:paraId="5D1CB5B8"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264ADA" w:rsidRPr="0082654D" w14:paraId="340E77A2" w14:textId="77777777" w:rsidTr="00C10B32">
        <w:trPr>
          <w:cantSplit/>
          <w:jc w:val="center"/>
        </w:trPr>
        <w:tc>
          <w:tcPr>
            <w:tcW w:w="1642" w:type="pct"/>
            <w:shd w:val="clear" w:color="auto" w:fill="auto"/>
            <w:vAlign w:val="center"/>
          </w:tcPr>
          <w:p w14:paraId="5433FFC6"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Dermatitis</w:t>
            </w:r>
            <w:r w:rsidRPr="0082654D">
              <w:rPr>
                <w:sz w:val="22"/>
                <w:szCs w:val="22"/>
                <w:vertAlign w:val="superscript"/>
                <w:lang w:val="hr-HR"/>
              </w:rPr>
              <w:t>10</w:t>
            </w:r>
          </w:p>
        </w:tc>
        <w:tc>
          <w:tcPr>
            <w:tcW w:w="1095" w:type="pct"/>
            <w:shd w:val="clear" w:color="auto" w:fill="auto"/>
          </w:tcPr>
          <w:p w14:paraId="69E84371"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0E70313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10 (3,5)</w:t>
            </w:r>
          </w:p>
        </w:tc>
        <w:tc>
          <w:tcPr>
            <w:tcW w:w="1167" w:type="pct"/>
            <w:shd w:val="clear" w:color="auto" w:fill="auto"/>
          </w:tcPr>
          <w:p w14:paraId="011C41A1"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264ADA" w:rsidRPr="0082654D" w14:paraId="0E62B78F" w14:textId="77777777" w:rsidTr="00C10B32">
        <w:trPr>
          <w:cantSplit/>
          <w:jc w:val="center"/>
        </w:trPr>
        <w:tc>
          <w:tcPr>
            <w:tcW w:w="1642" w:type="pct"/>
            <w:shd w:val="clear" w:color="auto" w:fill="auto"/>
            <w:vAlign w:val="center"/>
          </w:tcPr>
          <w:p w14:paraId="2A1059E5"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Sindrom palmarno</w:t>
            </w:r>
            <w:r w:rsidRPr="0082654D">
              <w:rPr>
                <w:sz w:val="22"/>
                <w:szCs w:val="22"/>
                <w:lang w:val="hr-HR"/>
              </w:rPr>
              <w:noBreakHyphen/>
              <w:t>plantarne eritrodizestezije</w:t>
            </w:r>
          </w:p>
        </w:tc>
        <w:tc>
          <w:tcPr>
            <w:tcW w:w="1095" w:type="pct"/>
            <w:shd w:val="clear" w:color="auto" w:fill="auto"/>
          </w:tcPr>
          <w:p w14:paraId="5055759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798C869E"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5 (1,8)</w:t>
            </w:r>
          </w:p>
        </w:tc>
        <w:tc>
          <w:tcPr>
            <w:tcW w:w="1167" w:type="pct"/>
            <w:shd w:val="clear" w:color="auto" w:fill="auto"/>
          </w:tcPr>
          <w:p w14:paraId="1F154773"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p>
        </w:tc>
      </w:tr>
      <w:tr w:rsidR="00264ADA" w:rsidRPr="0082654D" w14:paraId="089D2071" w14:textId="77777777" w:rsidTr="00C10B32">
        <w:trPr>
          <w:cantSplit/>
          <w:jc w:val="center"/>
        </w:trPr>
        <w:tc>
          <w:tcPr>
            <w:tcW w:w="1642" w:type="pct"/>
            <w:shd w:val="clear" w:color="auto" w:fill="auto"/>
            <w:vAlign w:val="center"/>
          </w:tcPr>
          <w:p w14:paraId="7C28A5F0"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Multiformni eritem</w:t>
            </w:r>
          </w:p>
        </w:tc>
        <w:tc>
          <w:tcPr>
            <w:tcW w:w="1095" w:type="pct"/>
            <w:shd w:val="clear" w:color="auto" w:fill="auto"/>
          </w:tcPr>
          <w:p w14:paraId="3E72E2D8"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58755FA5"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3 (1,1)</w:t>
            </w:r>
          </w:p>
        </w:tc>
        <w:tc>
          <w:tcPr>
            <w:tcW w:w="1167" w:type="pct"/>
            <w:shd w:val="clear" w:color="auto" w:fill="auto"/>
          </w:tcPr>
          <w:p w14:paraId="29E31B5A"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264ADA" w:rsidRPr="0082654D" w14:paraId="4F5C96AA" w14:textId="77777777" w:rsidTr="00C10B32">
        <w:trPr>
          <w:cantSplit/>
          <w:jc w:val="center"/>
        </w:trPr>
        <w:tc>
          <w:tcPr>
            <w:tcW w:w="1642" w:type="pct"/>
            <w:shd w:val="clear" w:color="auto" w:fill="auto"/>
            <w:vAlign w:val="center"/>
          </w:tcPr>
          <w:p w14:paraId="0EF2533D" w14:textId="77777777" w:rsidR="00264ADA" w:rsidRPr="0082654D" w:rsidRDefault="00264ADA" w:rsidP="00264ADA">
            <w:pPr>
              <w:shd w:val="clear" w:color="auto" w:fill="FFFFFF" w:themeFill="background1"/>
              <w:autoSpaceDE w:val="0"/>
              <w:autoSpaceDN w:val="0"/>
              <w:adjustRightInd w:val="0"/>
              <w:rPr>
                <w:sz w:val="22"/>
                <w:szCs w:val="22"/>
                <w:lang w:val="hr-HR"/>
              </w:rPr>
            </w:pPr>
            <w:r w:rsidRPr="0082654D">
              <w:rPr>
                <w:sz w:val="22"/>
                <w:szCs w:val="22"/>
                <w:lang w:val="hr-HR"/>
              </w:rPr>
              <w:t>Stevens</w:t>
            </w:r>
            <w:r w:rsidRPr="0082654D">
              <w:rPr>
                <w:sz w:val="22"/>
                <w:szCs w:val="22"/>
                <w:lang w:val="hr-HR"/>
              </w:rPr>
              <w:noBreakHyphen/>
              <w:t>Johnsonov sindrom</w:t>
            </w:r>
          </w:p>
        </w:tc>
        <w:tc>
          <w:tcPr>
            <w:tcW w:w="1095" w:type="pct"/>
            <w:shd w:val="clear" w:color="auto" w:fill="auto"/>
          </w:tcPr>
          <w:p w14:paraId="017009E1"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Po</w:t>
            </w:r>
            <w:r>
              <w:rPr>
                <w:sz w:val="22"/>
                <w:szCs w:val="22"/>
                <w:lang w:val="hr-HR"/>
              </w:rPr>
              <w:t>vrem</w:t>
            </w:r>
            <w:r w:rsidRPr="0082654D">
              <w:rPr>
                <w:sz w:val="22"/>
                <w:szCs w:val="22"/>
                <w:lang w:val="hr-HR"/>
              </w:rPr>
              <w:t>eno</w:t>
            </w:r>
          </w:p>
        </w:tc>
        <w:tc>
          <w:tcPr>
            <w:tcW w:w="1096" w:type="pct"/>
            <w:shd w:val="clear" w:color="auto" w:fill="auto"/>
          </w:tcPr>
          <w:p w14:paraId="4237B17D"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 (0,4)</w:t>
            </w:r>
          </w:p>
        </w:tc>
        <w:tc>
          <w:tcPr>
            <w:tcW w:w="1167" w:type="pct"/>
            <w:shd w:val="clear" w:color="auto" w:fill="auto"/>
          </w:tcPr>
          <w:p w14:paraId="6DA0DD7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264ADA" w:rsidRPr="0082654D" w14:paraId="2A2BEAAB" w14:textId="77777777" w:rsidTr="00C10B32">
        <w:trPr>
          <w:cantSplit/>
          <w:jc w:val="center"/>
        </w:trPr>
        <w:tc>
          <w:tcPr>
            <w:tcW w:w="1642" w:type="pct"/>
            <w:shd w:val="clear" w:color="auto" w:fill="auto"/>
            <w:vAlign w:val="center"/>
          </w:tcPr>
          <w:p w14:paraId="2E0CC469" w14:textId="77777777" w:rsidR="00264ADA" w:rsidRPr="0082654D" w:rsidRDefault="00264ADA" w:rsidP="00264ADA">
            <w:pPr>
              <w:shd w:val="clear" w:color="auto" w:fill="FFFFFF" w:themeFill="background1"/>
              <w:autoSpaceDE w:val="0"/>
              <w:autoSpaceDN w:val="0"/>
              <w:adjustRightInd w:val="0"/>
              <w:rPr>
                <w:sz w:val="22"/>
                <w:szCs w:val="22"/>
                <w:lang w:val="hr-HR"/>
              </w:rPr>
            </w:pPr>
            <w:r w:rsidRPr="0082654D">
              <w:rPr>
                <w:sz w:val="22"/>
                <w:szCs w:val="22"/>
                <w:lang w:val="hr-HR"/>
              </w:rPr>
              <w:t xml:space="preserve">Reakcija na </w:t>
            </w:r>
            <w:r>
              <w:rPr>
                <w:sz w:val="22"/>
                <w:szCs w:val="22"/>
                <w:lang w:val="hr-HR"/>
              </w:rPr>
              <w:t>lijek</w:t>
            </w:r>
            <w:r w:rsidRPr="0082654D">
              <w:rPr>
                <w:sz w:val="22"/>
                <w:szCs w:val="22"/>
                <w:lang w:val="hr-HR"/>
              </w:rPr>
              <w:t xml:space="preserve"> sa eozinofilijom i sistemskim simptomima (DRESS)</w:t>
            </w:r>
            <w:r w:rsidRPr="0082654D">
              <w:rPr>
                <w:sz w:val="22"/>
                <w:szCs w:val="22"/>
                <w:vertAlign w:val="superscript"/>
                <w:lang w:val="hr-HR"/>
              </w:rPr>
              <w:t>#</w:t>
            </w:r>
          </w:p>
        </w:tc>
        <w:tc>
          <w:tcPr>
            <w:tcW w:w="1095" w:type="pct"/>
            <w:shd w:val="clear" w:color="auto" w:fill="auto"/>
          </w:tcPr>
          <w:p w14:paraId="3AD7C30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 xml:space="preserve">Nepoznato </w:t>
            </w:r>
          </w:p>
        </w:tc>
        <w:tc>
          <w:tcPr>
            <w:tcW w:w="1096" w:type="pct"/>
            <w:shd w:val="clear" w:color="auto" w:fill="auto"/>
          </w:tcPr>
          <w:p w14:paraId="02614640"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Nepoznato</w:t>
            </w:r>
          </w:p>
        </w:tc>
        <w:tc>
          <w:tcPr>
            <w:tcW w:w="1167" w:type="pct"/>
            <w:shd w:val="clear" w:color="auto" w:fill="auto"/>
          </w:tcPr>
          <w:p w14:paraId="68D0B7E6"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Nepoznato</w:t>
            </w:r>
          </w:p>
        </w:tc>
      </w:tr>
      <w:tr w:rsidR="00264ADA" w:rsidRPr="0082654D" w14:paraId="744D1EE4" w14:textId="77777777" w:rsidTr="00C10B32">
        <w:trPr>
          <w:cantSplit/>
          <w:jc w:val="center"/>
        </w:trPr>
        <w:tc>
          <w:tcPr>
            <w:tcW w:w="1642" w:type="pct"/>
            <w:shd w:val="clear" w:color="auto" w:fill="auto"/>
            <w:vAlign w:val="center"/>
          </w:tcPr>
          <w:p w14:paraId="2ED4D746" w14:textId="0EF90C65" w:rsidR="00264ADA" w:rsidRPr="0082654D" w:rsidRDefault="00264ADA" w:rsidP="00264ADA">
            <w:pPr>
              <w:shd w:val="clear" w:color="auto" w:fill="FFFFFF" w:themeFill="background1"/>
              <w:autoSpaceDE w:val="0"/>
              <w:autoSpaceDN w:val="0"/>
              <w:adjustRightInd w:val="0"/>
              <w:rPr>
                <w:sz w:val="22"/>
                <w:szCs w:val="22"/>
                <w:lang w:val="hr-HR"/>
              </w:rPr>
            </w:pPr>
            <w:r>
              <w:rPr>
                <w:sz w:val="22"/>
                <w:szCs w:val="22"/>
                <w:lang w:val="hr-HR"/>
              </w:rPr>
              <w:t>Angioedem</w:t>
            </w:r>
            <w:r w:rsidRPr="0082654D">
              <w:rPr>
                <w:sz w:val="22"/>
                <w:szCs w:val="22"/>
                <w:vertAlign w:val="superscript"/>
                <w:lang w:val="hr-HR"/>
              </w:rPr>
              <w:t>#</w:t>
            </w:r>
          </w:p>
        </w:tc>
        <w:tc>
          <w:tcPr>
            <w:tcW w:w="1095" w:type="pct"/>
            <w:shd w:val="clear" w:color="auto" w:fill="auto"/>
          </w:tcPr>
          <w:p w14:paraId="36536083" w14:textId="0F9ADB8A" w:rsidR="00264ADA" w:rsidRPr="0082654D" w:rsidRDefault="00264ADA" w:rsidP="00264ADA">
            <w:pPr>
              <w:shd w:val="clear" w:color="auto" w:fill="FFFFFF" w:themeFill="background1"/>
              <w:autoSpaceDE w:val="0"/>
              <w:autoSpaceDN w:val="0"/>
              <w:adjustRightInd w:val="0"/>
              <w:jc w:val="center"/>
              <w:rPr>
                <w:sz w:val="22"/>
                <w:szCs w:val="22"/>
                <w:lang w:val="hr-HR"/>
              </w:rPr>
            </w:pPr>
            <w:r w:rsidRPr="00264ADA">
              <w:rPr>
                <w:sz w:val="22"/>
                <w:szCs w:val="22"/>
                <w:lang w:val="hr-HR"/>
              </w:rPr>
              <w:t>Nepoznato</w:t>
            </w:r>
          </w:p>
        </w:tc>
        <w:tc>
          <w:tcPr>
            <w:tcW w:w="1096" w:type="pct"/>
            <w:shd w:val="clear" w:color="auto" w:fill="auto"/>
          </w:tcPr>
          <w:p w14:paraId="37AA5164" w14:textId="42E4EDE9" w:rsidR="00264ADA" w:rsidRPr="0082654D" w:rsidRDefault="00264ADA" w:rsidP="00264ADA">
            <w:pPr>
              <w:shd w:val="clear" w:color="auto" w:fill="FFFFFF" w:themeFill="background1"/>
              <w:autoSpaceDE w:val="0"/>
              <w:autoSpaceDN w:val="0"/>
              <w:adjustRightInd w:val="0"/>
              <w:jc w:val="center"/>
              <w:rPr>
                <w:sz w:val="22"/>
                <w:szCs w:val="22"/>
                <w:lang w:val="hr-HR"/>
              </w:rPr>
            </w:pPr>
            <w:r w:rsidRPr="00264ADA">
              <w:rPr>
                <w:sz w:val="22"/>
                <w:szCs w:val="22"/>
                <w:lang w:val="hr-HR"/>
              </w:rPr>
              <w:t>Nepoznato</w:t>
            </w:r>
          </w:p>
        </w:tc>
        <w:tc>
          <w:tcPr>
            <w:tcW w:w="1167" w:type="pct"/>
            <w:shd w:val="clear" w:color="auto" w:fill="auto"/>
          </w:tcPr>
          <w:p w14:paraId="1C012DF7" w14:textId="6387E6FF" w:rsidR="00264ADA" w:rsidRPr="0082654D" w:rsidRDefault="00264ADA" w:rsidP="00264ADA">
            <w:pPr>
              <w:shd w:val="clear" w:color="auto" w:fill="FFFFFF" w:themeFill="background1"/>
              <w:autoSpaceDE w:val="0"/>
              <w:autoSpaceDN w:val="0"/>
              <w:adjustRightInd w:val="0"/>
              <w:jc w:val="center"/>
              <w:rPr>
                <w:sz w:val="22"/>
                <w:szCs w:val="22"/>
                <w:lang w:val="hr-HR"/>
              </w:rPr>
            </w:pPr>
            <w:r w:rsidRPr="00264ADA">
              <w:rPr>
                <w:sz w:val="22"/>
                <w:szCs w:val="22"/>
                <w:lang w:val="hr-HR"/>
              </w:rPr>
              <w:t>Nepoznato</w:t>
            </w:r>
          </w:p>
        </w:tc>
      </w:tr>
      <w:tr w:rsidR="00264ADA" w:rsidRPr="0082654D" w14:paraId="4B0B2D4D" w14:textId="77777777" w:rsidTr="00C10B32">
        <w:trPr>
          <w:cantSplit/>
          <w:trHeight w:val="270"/>
          <w:jc w:val="center"/>
        </w:trPr>
        <w:tc>
          <w:tcPr>
            <w:tcW w:w="5000" w:type="pct"/>
            <w:gridSpan w:val="4"/>
            <w:vAlign w:val="center"/>
          </w:tcPr>
          <w:p w14:paraId="71D6731E" w14:textId="77777777" w:rsidR="00264ADA" w:rsidRPr="0082654D" w:rsidRDefault="00264ADA" w:rsidP="00264ADA">
            <w:pPr>
              <w:keepNext/>
              <w:shd w:val="clear" w:color="auto" w:fill="FFFFFF" w:themeFill="background1"/>
              <w:autoSpaceDE w:val="0"/>
              <w:autoSpaceDN w:val="0"/>
              <w:adjustRightInd w:val="0"/>
              <w:rPr>
                <w:b/>
                <w:sz w:val="22"/>
                <w:szCs w:val="22"/>
                <w:lang w:val="hr-HR"/>
              </w:rPr>
            </w:pPr>
            <w:r w:rsidRPr="0082654D">
              <w:rPr>
                <w:b/>
                <w:sz w:val="22"/>
                <w:szCs w:val="22"/>
                <w:lang w:val="hr-HR"/>
              </w:rPr>
              <w:t>Poremećaji mišićno-koštanog sistema i vezivnog tkiva</w:t>
            </w:r>
          </w:p>
        </w:tc>
      </w:tr>
      <w:tr w:rsidR="00264ADA" w:rsidRPr="0082654D" w14:paraId="41BA710B" w14:textId="77777777" w:rsidTr="00C10B32">
        <w:trPr>
          <w:cantSplit/>
          <w:jc w:val="center"/>
        </w:trPr>
        <w:tc>
          <w:tcPr>
            <w:tcW w:w="1642" w:type="pct"/>
            <w:shd w:val="clear" w:color="auto" w:fill="auto"/>
            <w:vAlign w:val="center"/>
          </w:tcPr>
          <w:p w14:paraId="06D5AFEE"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Mišićni grčevi</w:t>
            </w:r>
          </w:p>
        </w:tc>
        <w:tc>
          <w:tcPr>
            <w:tcW w:w="1095" w:type="pct"/>
            <w:shd w:val="clear" w:color="auto" w:fill="auto"/>
          </w:tcPr>
          <w:p w14:paraId="4ECADF7A" w14:textId="77777777" w:rsidR="00264ADA" w:rsidRPr="0082654D" w:rsidRDefault="00264ADA" w:rsidP="00264ADA">
            <w:pPr>
              <w:keepNext/>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57EC36FE" w14:textId="7B05DC46" w:rsidR="00264ADA" w:rsidRPr="0082654D" w:rsidRDefault="00491E0A" w:rsidP="00264ADA">
            <w:pPr>
              <w:keepNext/>
              <w:shd w:val="clear" w:color="auto" w:fill="FFFFFF" w:themeFill="background1"/>
              <w:autoSpaceDE w:val="0"/>
              <w:autoSpaceDN w:val="0"/>
              <w:adjustRightInd w:val="0"/>
              <w:jc w:val="center"/>
              <w:rPr>
                <w:sz w:val="22"/>
                <w:szCs w:val="22"/>
                <w:lang w:val="hr-HR"/>
              </w:rPr>
            </w:pPr>
            <w:r w:rsidRPr="0082654D">
              <w:rPr>
                <w:sz w:val="22"/>
                <w:szCs w:val="22"/>
              </w:rPr>
              <w:t>2</w:t>
            </w:r>
            <w:r>
              <w:rPr>
                <w:sz w:val="22"/>
                <w:szCs w:val="22"/>
              </w:rPr>
              <w:t>3</w:t>
            </w:r>
            <w:r w:rsidRPr="0082654D">
              <w:rPr>
                <w:sz w:val="22"/>
                <w:szCs w:val="22"/>
              </w:rPr>
              <w:t xml:space="preserve"> </w:t>
            </w:r>
            <w:r w:rsidR="00264ADA" w:rsidRPr="0082654D">
              <w:rPr>
                <w:sz w:val="22"/>
                <w:szCs w:val="22"/>
              </w:rPr>
              <w:t>(</w:t>
            </w:r>
            <w:r>
              <w:rPr>
                <w:sz w:val="22"/>
                <w:szCs w:val="22"/>
              </w:rPr>
              <w:t>8</w:t>
            </w:r>
            <w:r w:rsidR="00264ADA" w:rsidRPr="0082654D">
              <w:rPr>
                <w:sz w:val="22"/>
                <w:szCs w:val="22"/>
              </w:rPr>
              <w:t>,</w:t>
            </w:r>
            <w:r>
              <w:rPr>
                <w:sz w:val="22"/>
                <w:szCs w:val="22"/>
              </w:rPr>
              <w:t>1</w:t>
            </w:r>
            <w:r w:rsidR="00264ADA" w:rsidRPr="0082654D">
              <w:rPr>
                <w:sz w:val="22"/>
                <w:szCs w:val="22"/>
              </w:rPr>
              <w:t>)</w:t>
            </w:r>
          </w:p>
        </w:tc>
        <w:tc>
          <w:tcPr>
            <w:tcW w:w="1167" w:type="pct"/>
            <w:shd w:val="clear" w:color="auto" w:fill="auto"/>
          </w:tcPr>
          <w:p w14:paraId="1C0688CA" w14:textId="77777777" w:rsidR="00264ADA" w:rsidRPr="0082654D" w:rsidRDefault="00264ADA" w:rsidP="00264ADA">
            <w:pPr>
              <w:keepNext/>
              <w:shd w:val="clear" w:color="auto" w:fill="FFFFFF" w:themeFill="background1"/>
              <w:autoSpaceDE w:val="0"/>
              <w:autoSpaceDN w:val="0"/>
              <w:adjustRightInd w:val="0"/>
              <w:jc w:val="center"/>
              <w:rPr>
                <w:sz w:val="22"/>
                <w:szCs w:val="22"/>
                <w:lang w:val="hr-HR"/>
              </w:rPr>
            </w:pPr>
          </w:p>
        </w:tc>
      </w:tr>
      <w:tr w:rsidR="00264ADA" w:rsidRPr="0082654D" w14:paraId="5DD9A477" w14:textId="77777777" w:rsidTr="00C10B32">
        <w:trPr>
          <w:cantSplit/>
          <w:jc w:val="center"/>
        </w:trPr>
        <w:tc>
          <w:tcPr>
            <w:tcW w:w="1642" w:type="pct"/>
            <w:shd w:val="clear" w:color="auto" w:fill="auto"/>
            <w:vAlign w:val="center"/>
          </w:tcPr>
          <w:p w14:paraId="288F8DA9"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Mijalgija</w:t>
            </w:r>
          </w:p>
        </w:tc>
        <w:tc>
          <w:tcPr>
            <w:tcW w:w="1095" w:type="pct"/>
            <w:shd w:val="clear" w:color="auto" w:fill="auto"/>
          </w:tcPr>
          <w:p w14:paraId="263A5DFE" w14:textId="77777777" w:rsidR="00264ADA" w:rsidRPr="0082654D" w:rsidRDefault="00264ADA" w:rsidP="00264ADA">
            <w:pPr>
              <w:keepNext/>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2834ABB2" w14:textId="0E327942" w:rsidR="00264ADA" w:rsidRPr="0082654D" w:rsidRDefault="00491E0A" w:rsidP="00264ADA">
            <w:pPr>
              <w:keepNext/>
              <w:shd w:val="clear" w:color="auto" w:fill="FFFFFF" w:themeFill="background1"/>
              <w:autoSpaceDE w:val="0"/>
              <w:autoSpaceDN w:val="0"/>
              <w:adjustRightInd w:val="0"/>
              <w:jc w:val="center"/>
              <w:rPr>
                <w:sz w:val="22"/>
                <w:szCs w:val="22"/>
                <w:lang w:val="hr-HR"/>
              </w:rPr>
            </w:pPr>
            <w:r>
              <w:rPr>
                <w:sz w:val="22"/>
                <w:szCs w:val="22"/>
              </w:rPr>
              <w:t>20</w:t>
            </w:r>
            <w:r w:rsidRPr="0082654D">
              <w:rPr>
                <w:sz w:val="22"/>
                <w:szCs w:val="22"/>
              </w:rPr>
              <w:t xml:space="preserve"> </w:t>
            </w:r>
            <w:r w:rsidR="00264ADA" w:rsidRPr="0082654D">
              <w:rPr>
                <w:sz w:val="22"/>
                <w:szCs w:val="22"/>
              </w:rPr>
              <w:t>(</w:t>
            </w:r>
            <w:r>
              <w:rPr>
                <w:sz w:val="22"/>
                <w:szCs w:val="22"/>
              </w:rPr>
              <w:t>7</w:t>
            </w:r>
            <w:r w:rsidR="00264ADA" w:rsidRPr="0082654D">
              <w:rPr>
                <w:sz w:val="22"/>
                <w:szCs w:val="22"/>
              </w:rPr>
              <w:t>,</w:t>
            </w:r>
            <w:r>
              <w:rPr>
                <w:sz w:val="22"/>
                <w:szCs w:val="22"/>
              </w:rPr>
              <w:t>0</w:t>
            </w:r>
            <w:r w:rsidR="00264ADA" w:rsidRPr="0082654D">
              <w:rPr>
                <w:sz w:val="22"/>
                <w:szCs w:val="22"/>
              </w:rPr>
              <w:t>)</w:t>
            </w:r>
          </w:p>
        </w:tc>
        <w:tc>
          <w:tcPr>
            <w:tcW w:w="1167" w:type="pct"/>
            <w:shd w:val="clear" w:color="auto" w:fill="auto"/>
          </w:tcPr>
          <w:p w14:paraId="07AB9E04" w14:textId="77777777" w:rsidR="00264ADA" w:rsidRPr="0082654D" w:rsidRDefault="00264ADA" w:rsidP="00264ADA">
            <w:pPr>
              <w:keepNext/>
              <w:shd w:val="clear" w:color="auto" w:fill="FFFFFF" w:themeFill="background1"/>
              <w:autoSpaceDE w:val="0"/>
              <w:autoSpaceDN w:val="0"/>
              <w:adjustRightInd w:val="0"/>
              <w:jc w:val="center"/>
              <w:rPr>
                <w:sz w:val="22"/>
                <w:szCs w:val="22"/>
                <w:lang w:val="hr-HR"/>
              </w:rPr>
            </w:pPr>
            <w:r w:rsidRPr="0082654D">
              <w:rPr>
                <w:sz w:val="22"/>
                <w:szCs w:val="22"/>
              </w:rPr>
              <w:t>1 (0,4)*</w:t>
            </w:r>
          </w:p>
        </w:tc>
      </w:tr>
      <w:tr w:rsidR="00264ADA" w:rsidRPr="0082654D" w14:paraId="17B0BE9D" w14:textId="77777777" w:rsidTr="00C10B32">
        <w:trPr>
          <w:cantSplit/>
          <w:jc w:val="center"/>
        </w:trPr>
        <w:tc>
          <w:tcPr>
            <w:tcW w:w="1642" w:type="pct"/>
            <w:shd w:val="clear" w:color="auto" w:fill="auto"/>
            <w:vAlign w:val="center"/>
          </w:tcPr>
          <w:p w14:paraId="01875F19" w14:textId="77777777" w:rsidR="00264ADA" w:rsidRPr="0082654D" w:rsidRDefault="00264ADA" w:rsidP="00264ADA">
            <w:pPr>
              <w:shd w:val="clear" w:color="auto" w:fill="FFFFFF" w:themeFill="background1"/>
              <w:autoSpaceDE w:val="0"/>
              <w:autoSpaceDN w:val="0"/>
              <w:adjustRightInd w:val="0"/>
              <w:rPr>
                <w:sz w:val="22"/>
                <w:szCs w:val="22"/>
                <w:lang w:val="hr-HR"/>
              </w:rPr>
            </w:pPr>
            <w:r w:rsidRPr="0082654D">
              <w:rPr>
                <w:sz w:val="22"/>
                <w:szCs w:val="22"/>
                <w:lang w:val="hr-HR"/>
              </w:rPr>
              <w:t>Osteonekroza vilice</w:t>
            </w:r>
          </w:p>
        </w:tc>
        <w:tc>
          <w:tcPr>
            <w:tcW w:w="1095" w:type="pct"/>
            <w:shd w:val="clear" w:color="auto" w:fill="auto"/>
          </w:tcPr>
          <w:p w14:paraId="4157EAD8"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64D9331D"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16 (5,6)</w:t>
            </w:r>
          </w:p>
        </w:tc>
        <w:tc>
          <w:tcPr>
            <w:tcW w:w="1167" w:type="pct"/>
            <w:shd w:val="clear" w:color="auto" w:fill="auto"/>
          </w:tcPr>
          <w:p w14:paraId="7B8AD23F" w14:textId="7D488916" w:rsidR="00264ADA" w:rsidRPr="0082654D" w:rsidRDefault="00491E0A" w:rsidP="00264ADA">
            <w:pPr>
              <w:shd w:val="clear" w:color="auto" w:fill="FFFFFF" w:themeFill="background1"/>
              <w:autoSpaceDE w:val="0"/>
              <w:autoSpaceDN w:val="0"/>
              <w:adjustRightInd w:val="0"/>
              <w:jc w:val="center"/>
              <w:rPr>
                <w:sz w:val="22"/>
                <w:szCs w:val="22"/>
                <w:lang w:val="hr-HR"/>
              </w:rPr>
            </w:pPr>
            <w:r>
              <w:rPr>
                <w:sz w:val="22"/>
                <w:szCs w:val="22"/>
              </w:rPr>
              <w:t>8</w:t>
            </w:r>
            <w:r w:rsidRPr="0082654D">
              <w:rPr>
                <w:sz w:val="22"/>
                <w:szCs w:val="22"/>
              </w:rPr>
              <w:t xml:space="preserve"> </w:t>
            </w:r>
            <w:r w:rsidR="00264ADA" w:rsidRPr="0082654D">
              <w:rPr>
                <w:sz w:val="22"/>
                <w:szCs w:val="22"/>
              </w:rPr>
              <w:t>(</w:t>
            </w:r>
            <w:r>
              <w:rPr>
                <w:sz w:val="22"/>
                <w:szCs w:val="22"/>
              </w:rPr>
              <w:t>2</w:t>
            </w:r>
            <w:r w:rsidR="00264ADA" w:rsidRPr="0082654D">
              <w:rPr>
                <w:sz w:val="22"/>
                <w:szCs w:val="22"/>
              </w:rPr>
              <w:t>,8)*</w:t>
            </w:r>
          </w:p>
        </w:tc>
      </w:tr>
      <w:tr w:rsidR="00264ADA" w:rsidRPr="0082654D" w14:paraId="31D39D89" w14:textId="77777777" w:rsidTr="00C10B32">
        <w:trPr>
          <w:cantSplit/>
          <w:trHeight w:val="200"/>
          <w:jc w:val="center"/>
        </w:trPr>
        <w:tc>
          <w:tcPr>
            <w:tcW w:w="5000" w:type="pct"/>
            <w:gridSpan w:val="4"/>
            <w:vAlign w:val="center"/>
          </w:tcPr>
          <w:p w14:paraId="728D4D19" w14:textId="77777777" w:rsidR="00264ADA" w:rsidRPr="0082654D" w:rsidRDefault="00264ADA" w:rsidP="00264ADA">
            <w:pPr>
              <w:keepNext/>
              <w:shd w:val="clear" w:color="auto" w:fill="FFFFFF" w:themeFill="background1"/>
              <w:autoSpaceDE w:val="0"/>
              <w:autoSpaceDN w:val="0"/>
              <w:adjustRightInd w:val="0"/>
              <w:rPr>
                <w:b/>
                <w:sz w:val="22"/>
                <w:szCs w:val="22"/>
                <w:lang w:val="hr-HR"/>
              </w:rPr>
            </w:pPr>
            <w:r w:rsidRPr="0082654D">
              <w:rPr>
                <w:b/>
                <w:sz w:val="22"/>
                <w:szCs w:val="22"/>
                <w:lang w:val="hr-HR"/>
              </w:rPr>
              <w:t>Poremećaji bubrega i urinarnog sistema</w:t>
            </w:r>
          </w:p>
        </w:tc>
      </w:tr>
      <w:tr w:rsidR="00264ADA" w:rsidRPr="0082654D" w14:paraId="5AF78DB9" w14:textId="77777777" w:rsidTr="00C10B32">
        <w:trPr>
          <w:cantSplit/>
          <w:jc w:val="center"/>
        </w:trPr>
        <w:tc>
          <w:tcPr>
            <w:tcW w:w="1642" w:type="pct"/>
            <w:shd w:val="clear" w:color="auto" w:fill="auto"/>
            <w:vAlign w:val="center"/>
          </w:tcPr>
          <w:p w14:paraId="1E4F6883" w14:textId="77777777" w:rsidR="00264ADA" w:rsidRPr="0082654D" w:rsidRDefault="00264ADA" w:rsidP="00264ADA">
            <w:pPr>
              <w:shd w:val="clear" w:color="auto" w:fill="FFFFFF" w:themeFill="background1"/>
              <w:autoSpaceDE w:val="0"/>
              <w:autoSpaceDN w:val="0"/>
              <w:adjustRightInd w:val="0"/>
              <w:rPr>
                <w:sz w:val="22"/>
                <w:szCs w:val="22"/>
                <w:lang w:val="hr-HR"/>
              </w:rPr>
            </w:pPr>
            <w:r w:rsidRPr="0082654D">
              <w:rPr>
                <w:sz w:val="22"/>
                <w:szCs w:val="22"/>
                <w:lang w:val="hr-HR"/>
              </w:rPr>
              <w:t>Akutna povreda bubrega</w:t>
            </w:r>
          </w:p>
        </w:tc>
        <w:tc>
          <w:tcPr>
            <w:tcW w:w="1095" w:type="pct"/>
            <w:shd w:val="clear" w:color="auto" w:fill="auto"/>
          </w:tcPr>
          <w:p w14:paraId="676937F6"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4A94D86B" w14:textId="297A4476"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color w:val="000000"/>
                <w:sz w:val="22"/>
                <w:szCs w:val="22"/>
              </w:rPr>
              <w:t>1</w:t>
            </w:r>
            <w:r>
              <w:rPr>
                <w:color w:val="000000"/>
                <w:sz w:val="22"/>
                <w:szCs w:val="22"/>
              </w:rPr>
              <w:t>7</w:t>
            </w:r>
            <w:r w:rsidRPr="0082654D">
              <w:rPr>
                <w:color w:val="000000"/>
                <w:sz w:val="22"/>
                <w:szCs w:val="22"/>
              </w:rPr>
              <w:t xml:space="preserve"> </w:t>
            </w:r>
            <w:r w:rsidR="00264ADA" w:rsidRPr="0082654D">
              <w:rPr>
                <w:color w:val="000000"/>
                <w:sz w:val="22"/>
                <w:szCs w:val="22"/>
              </w:rPr>
              <w:t>(</w:t>
            </w:r>
            <w:r>
              <w:rPr>
                <w:color w:val="000000"/>
                <w:sz w:val="22"/>
                <w:szCs w:val="22"/>
              </w:rPr>
              <w:t>6</w:t>
            </w:r>
            <w:r w:rsidR="00264ADA" w:rsidRPr="0082654D">
              <w:rPr>
                <w:color w:val="000000"/>
                <w:sz w:val="22"/>
                <w:szCs w:val="22"/>
              </w:rPr>
              <w:t>,</w:t>
            </w:r>
            <w:r>
              <w:rPr>
                <w:color w:val="000000"/>
                <w:sz w:val="22"/>
                <w:szCs w:val="22"/>
              </w:rPr>
              <w:t>0</w:t>
            </w:r>
            <w:r w:rsidR="00264ADA" w:rsidRPr="0082654D">
              <w:rPr>
                <w:color w:val="000000"/>
                <w:sz w:val="22"/>
                <w:szCs w:val="22"/>
              </w:rPr>
              <w:t>)</w:t>
            </w:r>
          </w:p>
        </w:tc>
        <w:tc>
          <w:tcPr>
            <w:tcW w:w="1167" w:type="pct"/>
            <w:shd w:val="clear" w:color="auto" w:fill="auto"/>
          </w:tcPr>
          <w:p w14:paraId="4B3F6AF8" w14:textId="342D764B" w:rsidR="00264ADA" w:rsidRPr="0082654D" w:rsidRDefault="00491E0A" w:rsidP="00264ADA">
            <w:pPr>
              <w:shd w:val="clear" w:color="auto" w:fill="FFFFFF" w:themeFill="background1"/>
              <w:autoSpaceDE w:val="0"/>
              <w:autoSpaceDN w:val="0"/>
              <w:adjustRightInd w:val="0"/>
              <w:jc w:val="center"/>
              <w:rPr>
                <w:sz w:val="22"/>
                <w:szCs w:val="22"/>
                <w:lang w:val="hr-HR"/>
              </w:rPr>
            </w:pPr>
            <w:r>
              <w:rPr>
                <w:color w:val="000000"/>
                <w:sz w:val="22"/>
                <w:szCs w:val="22"/>
              </w:rPr>
              <w:t>6</w:t>
            </w:r>
            <w:r w:rsidRPr="0082654D">
              <w:rPr>
                <w:color w:val="000000"/>
                <w:sz w:val="22"/>
                <w:szCs w:val="22"/>
              </w:rPr>
              <w:t xml:space="preserve"> </w:t>
            </w:r>
            <w:r w:rsidR="00264ADA" w:rsidRPr="0082654D">
              <w:rPr>
                <w:color w:val="000000"/>
                <w:sz w:val="22"/>
                <w:szCs w:val="22"/>
              </w:rPr>
              <w:t>(</w:t>
            </w:r>
            <w:r>
              <w:rPr>
                <w:color w:val="000000"/>
                <w:sz w:val="22"/>
                <w:szCs w:val="22"/>
              </w:rPr>
              <w:t>2</w:t>
            </w:r>
            <w:r w:rsidR="00264ADA" w:rsidRPr="0082654D">
              <w:rPr>
                <w:color w:val="000000"/>
                <w:sz w:val="22"/>
                <w:szCs w:val="22"/>
              </w:rPr>
              <w:t>,</w:t>
            </w:r>
            <w:r>
              <w:rPr>
                <w:color w:val="000000"/>
                <w:sz w:val="22"/>
                <w:szCs w:val="22"/>
              </w:rPr>
              <w:t>1</w:t>
            </w:r>
            <w:r w:rsidR="00264ADA" w:rsidRPr="0082654D">
              <w:rPr>
                <w:color w:val="000000"/>
                <w:sz w:val="22"/>
                <w:szCs w:val="22"/>
              </w:rPr>
              <w:t>)</w:t>
            </w:r>
          </w:p>
        </w:tc>
      </w:tr>
      <w:tr w:rsidR="00264ADA" w:rsidRPr="0082654D" w14:paraId="64FA2D27" w14:textId="77777777" w:rsidTr="00C10B32">
        <w:trPr>
          <w:cantSplit/>
          <w:trHeight w:val="94"/>
          <w:jc w:val="center"/>
        </w:trPr>
        <w:tc>
          <w:tcPr>
            <w:tcW w:w="5000" w:type="pct"/>
            <w:gridSpan w:val="4"/>
            <w:vAlign w:val="center"/>
          </w:tcPr>
          <w:p w14:paraId="6604E60B" w14:textId="77777777" w:rsidR="00264ADA" w:rsidRPr="0082654D" w:rsidRDefault="00264ADA" w:rsidP="00264ADA">
            <w:pPr>
              <w:keepNext/>
              <w:shd w:val="clear" w:color="auto" w:fill="FFFFFF" w:themeFill="background1"/>
              <w:autoSpaceDE w:val="0"/>
              <w:autoSpaceDN w:val="0"/>
              <w:adjustRightInd w:val="0"/>
              <w:rPr>
                <w:b/>
                <w:sz w:val="22"/>
                <w:szCs w:val="22"/>
                <w:lang w:val="hr-HR"/>
              </w:rPr>
            </w:pPr>
            <w:r w:rsidRPr="0082654D">
              <w:rPr>
                <w:b/>
                <w:sz w:val="22"/>
                <w:szCs w:val="22"/>
                <w:lang w:val="hr-HR"/>
              </w:rPr>
              <w:t xml:space="preserve">Opšti poremećaji i reakcije na mestu </w:t>
            </w:r>
            <w:r>
              <w:rPr>
                <w:b/>
                <w:sz w:val="22"/>
                <w:szCs w:val="22"/>
                <w:lang w:val="hr-HR"/>
              </w:rPr>
              <w:t>primjen</w:t>
            </w:r>
            <w:r w:rsidRPr="0082654D">
              <w:rPr>
                <w:b/>
                <w:sz w:val="22"/>
                <w:szCs w:val="22"/>
                <w:lang w:val="hr-HR"/>
              </w:rPr>
              <w:t>e</w:t>
            </w:r>
          </w:p>
        </w:tc>
      </w:tr>
      <w:tr w:rsidR="00264ADA" w:rsidRPr="0082654D" w14:paraId="5DB7950E" w14:textId="77777777" w:rsidTr="00C10B32">
        <w:trPr>
          <w:cantSplit/>
          <w:jc w:val="center"/>
        </w:trPr>
        <w:tc>
          <w:tcPr>
            <w:tcW w:w="1642" w:type="pct"/>
            <w:shd w:val="clear" w:color="auto" w:fill="auto"/>
          </w:tcPr>
          <w:p w14:paraId="6CA3265A"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Umor</w:t>
            </w:r>
            <w:r w:rsidRPr="0082654D">
              <w:rPr>
                <w:sz w:val="22"/>
                <w:szCs w:val="22"/>
                <w:vertAlign w:val="superscript"/>
                <w:lang w:val="hr-HR"/>
              </w:rPr>
              <w:t>11</w:t>
            </w:r>
          </w:p>
        </w:tc>
        <w:tc>
          <w:tcPr>
            <w:tcW w:w="1095" w:type="pct"/>
            <w:shd w:val="clear" w:color="auto" w:fill="auto"/>
          </w:tcPr>
          <w:p w14:paraId="4A034E32"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7BDBA59C" w14:textId="4BBEC3A8"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12</w:t>
            </w:r>
            <w:r>
              <w:rPr>
                <w:sz w:val="22"/>
                <w:szCs w:val="22"/>
              </w:rPr>
              <w:t>5</w:t>
            </w:r>
            <w:r w:rsidRPr="0082654D">
              <w:rPr>
                <w:sz w:val="22"/>
                <w:szCs w:val="22"/>
              </w:rPr>
              <w:t xml:space="preserve"> </w:t>
            </w:r>
            <w:r w:rsidR="00264ADA" w:rsidRPr="0082654D">
              <w:rPr>
                <w:sz w:val="22"/>
                <w:szCs w:val="22"/>
              </w:rPr>
              <w:t>(</w:t>
            </w:r>
            <w:r w:rsidRPr="0082654D">
              <w:rPr>
                <w:sz w:val="22"/>
                <w:szCs w:val="22"/>
              </w:rPr>
              <w:t>4</w:t>
            </w:r>
            <w:r>
              <w:rPr>
                <w:sz w:val="22"/>
                <w:szCs w:val="22"/>
              </w:rPr>
              <w:t>4</w:t>
            </w:r>
            <w:r w:rsidR="00264ADA" w:rsidRPr="0082654D">
              <w:rPr>
                <w:sz w:val="22"/>
                <w:szCs w:val="22"/>
              </w:rPr>
              <w:t>,</w:t>
            </w:r>
            <w:r>
              <w:rPr>
                <w:sz w:val="22"/>
                <w:szCs w:val="22"/>
              </w:rPr>
              <w:t>0</w:t>
            </w:r>
            <w:r w:rsidR="00264ADA" w:rsidRPr="0082654D">
              <w:rPr>
                <w:sz w:val="22"/>
                <w:szCs w:val="22"/>
              </w:rPr>
              <w:t>)</w:t>
            </w:r>
          </w:p>
        </w:tc>
        <w:tc>
          <w:tcPr>
            <w:tcW w:w="1167" w:type="pct"/>
            <w:shd w:val="clear" w:color="auto" w:fill="auto"/>
          </w:tcPr>
          <w:p w14:paraId="346D3C85"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16 (5,6)*</w:t>
            </w:r>
          </w:p>
        </w:tc>
      </w:tr>
      <w:tr w:rsidR="00264ADA" w:rsidRPr="0082654D" w14:paraId="3118A0EA" w14:textId="77777777" w:rsidTr="00C10B32">
        <w:trPr>
          <w:cantSplit/>
          <w:jc w:val="center"/>
        </w:trPr>
        <w:tc>
          <w:tcPr>
            <w:tcW w:w="1642" w:type="pct"/>
            <w:shd w:val="clear" w:color="auto" w:fill="auto"/>
          </w:tcPr>
          <w:p w14:paraId="66DE12A6"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Upala sluznice</w:t>
            </w:r>
          </w:p>
        </w:tc>
        <w:tc>
          <w:tcPr>
            <w:tcW w:w="1095" w:type="pct"/>
            <w:shd w:val="clear" w:color="auto" w:fill="auto"/>
          </w:tcPr>
          <w:p w14:paraId="707E5EF7"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B0E22D1"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56 (19,7)</w:t>
            </w:r>
          </w:p>
        </w:tc>
        <w:tc>
          <w:tcPr>
            <w:tcW w:w="1167" w:type="pct"/>
            <w:shd w:val="clear" w:color="auto" w:fill="auto"/>
          </w:tcPr>
          <w:p w14:paraId="285A73C9"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6 (2,1)*</w:t>
            </w:r>
          </w:p>
        </w:tc>
      </w:tr>
      <w:tr w:rsidR="00264ADA" w:rsidRPr="0082654D" w14:paraId="74B93350" w14:textId="77777777" w:rsidTr="00C10B32">
        <w:trPr>
          <w:cantSplit/>
          <w:jc w:val="center"/>
        </w:trPr>
        <w:tc>
          <w:tcPr>
            <w:tcW w:w="1642" w:type="pct"/>
            <w:shd w:val="clear" w:color="auto" w:fill="auto"/>
          </w:tcPr>
          <w:p w14:paraId="18E20202"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Periferni edem</w:t>
            </w:r>
          </w:p>
        </w:tc>
        <w:tc>
          <w:tcPr>
            <w:tcW w:w="1095" w:type="pct"/>
            <w:shd w:val="clear" w:color="auto" w:fill="auto"/>
          </w:tcPr>
          <w:p w14:paraId="3173C7C4"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41C37728" w14:textId="69E836F0"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4</w:t>
            </w:r>
            <w:r>
              <w:rPr>
                <w:sz w:val="22"/>
                <w:szCs w:val="22"/>
              </w:rPr>
              <w:t>8</w:t>
            </w:r>
            <w:r w:rsidRPr="0082654D">
              <w:rPr>
                <w:sz w:val="22"/>
                <w:szCs w:val="22"/>
              </w:rPr>
              <w:t xml:space="preserve"> </w:t>
            </w:r>
            <w:r w:rsidR="00264ADA" w:rsidRPr="0082654D">
              <w:rPr>
                <w:sz w:val="22"/>
                <w:szCs w:val="22"/>
              </w:rPr>
              <w:t>(16,</w:t>
            </w:r>
            <w:r>
              <w:rPr>
                <w:sz w:val="22"/>
                <w:szCs w:val="22"/>
              </w:rPr>
              <w:t>9</w:t>
            </w:r>
            <w:r w:rsidR="00264ADA" w:rsidRPr="0082654D">
              <w:rPr>
                <w:sz w:val="22"/>
                <w:szCs w:val="22"/>
              </w:rPr>
              <w:t>)</w:t>
            </w:r>
          </w:p>
        </w:tc>
        <w:tc>
          <w:tcPr>
            <w:tcW w:w="1167" w:type="pct"/>
            <w:shd w:val="clear" w:color="auto" w:fill="auto"/>
          </w:tcPr>
          <w:p w14:paraId="02BF01EB"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p>
        </w:tc>
      </w:tr>
      <w:tr w:rsidR="00264ADA" w:rsidRPr="0082654D" w14:paraId="54C820E0" w14:textId="77777777" w:rsidTr="00C10B32">
        <w:trPr>
          <w:cantSplit/>
          <w:jc w:val="center"/>
        </w:trPr>
        <w:tc>
          <w:tcPr>
            <w:tcW w:w="1642" w:type="pct"/>
            <w:shd w:val="clear" w:color="auto" w:fill="auto"/>
          </w:tcPr>
          <w:p w14:paraId="7FF284F0"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Pireksija</w:t>
            </w:r>
          </w:p>
        </w:tc>
        <w:tc>
          <w:tcPr>
            <w:tcW w:w="1095" w:type="pct"/>
            <w:shd w:val="clear" w:color="auto" w:fill="auto"/>
          </w:tcPr>
          <w:p w14:paraId="15E2EC4B"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D8FAB86" w14:textId="7EF212D2"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4</w:t>
            </w:r>
            <w:r>
              <w:rPr>
                <w:sz w:val="22"/>
                <w:szCs w:val="22"/>
              </w:rPr>
              <w:t>8</w:t>
            </w:r>
            <w:r w:rsidRPr="0082654D">
              <w:rPr>
                <w:sz w:val="22"/>
                <w:szCs w:val="22"/>
              </w:rPr>
              <w:t xml:space="preserve"> </w:t>
            </w:r>
            <w:r w:rsidR="00264ADA" w:rsidRPr="0082654D">
              <w:rPr>
                <w:sz w:val="22"/>
                <w:szCs w:val="22"/>
              </w:rPr>
              <w:t>(</w:t>
            </w:r>
            <w:r w:rsidRPr="0082654D">
              <w:rPr>
                <w:sz w:val="22"/>
                <w:szCs w:val="22"/>
              </w:rPr>
              <w:t>1</w:t>
            </w:r>
            <w:r>
              <w:rPr>
                <w:sz w:val="22"/>
                <w:szCs w:val="22"/>
              </w:rPr>
              <w:t>6</w:t>
            </w:r>
            <w:r w:rsidR="00264ADA" w:rsidRPr="0082654D">
              <w:rPr>
                <w:sz w:val="22"/>
                <w:szCs w:val="22"/>
              </w:rPr>
              <w:t>,</w:t>
            </w:r>
            <w:r>
              <w:rPr>
                <w:sz w:val="22"/>
                <w:szCs w:val="22"/>
              </w:rPr>
              <w:t>9</w:t>
            </w:r>
            <w:r w:rsidR="00264ADA" w:rsidRPr="0082654D">
              <w:rPr>
                <w:sz w:val="22"/>
                <w:szCs w:val="22"/>
              </w:rPr>
              <w:t>)</w:t>
            </w:r>
          </w:p>
        </w:tc>
        <w:tc>
          <w:tcPr>
            <w:tcW w:w="1167" w:type="pct"/>
            <w:shd w:val="clear" w:color="auto" w:fill="auto"/>
          </w:tcPr>
          <w:p w14:paraId="4BB408F3"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2 (0,7)</w:t>
            </w:r>
          </w:p>
        </w:tc>
      </w:tr>
      <w:tr w:rsidR="00264ADA" w:rsidRPr="0082654D" w14:paraId="098BA0D1" w14:textId="77777777" w:rsidTr="00C10B32">
        <w:trPr>
          <w:cantSplit/>
          <w:jc w:val="center"/>
        </w:trPr>
        <w:tc>
          <w:tcPr>
            <w:tcW w:w="1642" w:type="pct"/>
            <w:shd w:val="clear" w:color="auto" w:fill="auto"/>
          </w:tcPr>
          <w:p w14:paraId="1CA21FF9"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Suvoća sluznice</w:t>
            </w:r>
            <w:r w:rsidRPr="0082654D">
              <w:rPr>
                <w:sz w:val="22"/>
                <w:szCs w:val="22"/>
                <w:vertAlign w:val="superscript"/>
                <w:lang w:val="hr-HR"/>
              </w:rPr>
              <w:t>12</w:t>
            </w:r>
          </w:p>
        </w:tc>
        <w:tc>
          <w:tcPr>
            <w:tcW w:w="1095" w:type="pct"/>
            <w:shd w:val="clear" w:color="auto" w:fill="auto"/>
          </w:tcPr>
          <w:p w14:paraId="12B14AD5"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69089C6" w14:textId="462932EF"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3</w:t>
            </w:r>
            <w:r>
              <w:rPr>
                <w:sz w:val="22"/>
                <w:szCs w:val="22"/>
              </w:rPr>
              <w:t>7</w:t>
            </w:r>
            <w:r w:rsidRPr="0082654D">
              <w:rPr>
                <w:sz w:val="22"/>
                <w:szCs w:val="22"/>
              </w:rPr>
              <w:t xml:space="preserve"> </w:t>
            </w:r>
            <w:r w:rsidR="00264ADA" w:rsidRPr="0082654D">
              <w:rPr>
                <w:sz w:val="22"/>
                <w:szCs w:val="22"/>
              </w:rPr>
              <w:t>(</w:t>
            </w:r>
            <w:r w:rsidRPr="0082654D">
              <w:rPr>
                <w:sz w:val="22"/>
                <w:szCs w:val="22"/>
              </w:rPr>
              <w:t>1</w:t>
            </w:r>
            <w:r>
              <w:rPr>
                <w:sz w:val="22"/>
                <w:szCs w:val="22"/>
              </w:rPr>
              <w:t>3</w:t>
            </w:r>
            <w:r w:rsidR="00264ADA" w:rsidRPr="0082654D">
              <w:rPr>
                <w:sz w:val="22"/>
                <w:szCs w:val="22"/>
              </w:rPr>
              <w:t>,</w:t>
            </w:r>
            <w:r>
              <w:rPr>
                <w:sz w:val="22"/>
                <w:szCs w:val="22"/>
              </w:rPr>
              <w:t>0</w:t>
            </w:r>
            <w:r w:rsidR="00264ADA" w:rsidRPr="0082654D">
              <w:rPr>
                <w:sz w:val="22"/>
                <w:szCs w:val="22"/>
              </w:rPr>
              <w:t>)</w:t>
            </w:r>
          </w:p>
        </w:tc>
        <w:tc>
          <w:tcPr>
            <w:tcW w:w="1167" w:type="pct"/>
            <w:shd w:val="clear" w:color="auto" w:fill="auto"/>
          </w:tcPr>
          <w:p w14:paraId="620233D7"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 (0,4)</w:t>
            </w:r>
          </w:p>
        </w:tc>
      </w:tr>
      <w:tr w:rsidR="00264ADA" w:rsidRPr="0082654D" w14:paraId="505A9617" w14:textId="77777777" w:rsidTr="00C10B32">
        <w:trPr>
          <w:cantSplit/>
          <w:jc w:val="center"/>
        </w:trPr>
        <w:tc>
          <w:tcPr>
            <w:tcW w:w="1642" w:type="pct"/>
            <w:shd w:val="clear" w:color="auto" w:fill="auto"/>
            <w:vAlign w:val="center"/>
          </w:tcPr>
          <w:p w14:paraId="4CA52002" w14:textId="77777777" w:rsidR="00264ADA" w:rsidRPr="0082654D" w:rsidRDefault="00264ADA" w:rsidP="00264ADA">
            <w:pPr>
              <w:shd w:val="clear" w:color="auto" w:fill="FFFFFF" w:themeFill="background1"/>
              <w:autoSpaceDE w:val="0"/>
              <w:autoSpaceDN w:val="0"/>
              <w:adjustRightInd w:val="0"/>
              <w:rPr>
                <w:sz w:val="22"/>
                <w:szCs w:val="22"/>
                <w:lang w:val="hr-HR"/>
              </w:rPr>
            </w:pPr>
            <w:r w:rsidRPr="0082654D">
              <w:rPr>
                <w:sz w:val="22"/>
                <w:szCs w:val="22"/>
                <w:lang w:val="hr-HR"/>
              </w:rPr>
              <w:t>Edem</w:t>
            </w:r>
            <w:r w:rsidRPr="0082654D">
              <w:rPr>
                <w:sz w:val="22"/>
                <w:szCs w:val="22"/>
                <w:vertAlign w:val="superscript"/>
                <w:lang w:val="hr-HR"/>
              </w:rPr>
              <w:t>13</w:t>
            </w:r>
          </w:p>
        </w:tc>
        <w:tc>
          <w:tcPr>
            <w:tcW w:w="1095" w:type="pct"/>
            <w:shd w:val="clear" w:color="auto" w:fill="auto"/>
          </w:tcPr>
          <w:p w14:paraId="75C9BB66"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tcPr>
          <w:p w14:paraId="57272D9E" w14:textId="4EE29B00" w:rsidR="00264ADA" w:rsidRPr="0082654D" w:rsidRDefault="00491E0A" w:rsidP="00264ADA">
            <w:pPr>
              <w:shd w:val="clear" w:color="auto" w:fill="FFFFFF" w:themeFill="background1"/>
              <w:autoSpaceDE w:val="0"/>
              <w:autoSpaceDN w:val="0"/>
              <w:adjustRightInd w:val="0"/>
              <w:jc w:val="center"/>
              <w:rPr>
                <w:sz w:val="22"/>
                <w:szCs w:val="22"/>
                <w:lang w:val="hr-HR"/>
              </w:rPr>
            </w:pPr>
            <w:r>
              <w:rPr>
                <w:sz w:val="22"/>
                <w:szCs w:val="22"/>
              </w:rPr>
              <w:t>20</w:t>
            </w:r>
            <w:r w:rsidRPr="0082654D">
              <w:rPr>
                <w:sz w:val="22"/>
                <w:szCs w:val="22"/>
              </w:rPr>
              <w:t xml:space="preserve"> </w:t>
            </w:r>
            <w:r w:rsidR="00264ADA" w:rsidRPr="0082654D">
              <w:rPr>
                <w:sz w:val="22"/>
                <w:szCs w:val="22"/>
              </w:rPr>
              <w:t>(</w:t>
            </w:r>
            <w:r>
              <w:rPr>
                <w:sz w:val="22"/>
                <w:szCs w:val="22"/>
              </w:rPr>
              <w:t>7</w:t>
            </w:r>
            <w:r w:rsidR="00264ADA" w:rsidRPr="0082654D">
              <w:rPr>
                <w:sz w:val="22"/>
                <w:szCs w:val="22"/>
              </w:rPr>
              <w:t>,</w:t>
            </w:r>
            <w:r>
              <w:rPr>
                <w:sz w:val="22"/>
                <w:szCs w:val="22"/>
              </w:rPr>
              <w:t>0</w:t>
            </w:r>
            <w:r w:rsidR="00264ADA" w:rsidRPr="0082654D">
              <w:rPr>
                <w:sz w:val="22"/>
                <w:szCs w:val="22"/>
              </w:rPr>
              <w:t>)</w:t>
            </w:r>
          </w:p>
        </w:tc>
        <w:tc>
          <w:tcPr>
            <w:tcW w:w="1167" w:type="pct"/>
            <w:shd w:val="clear" w:color="auto" w:fill="auto"/>
          </w:tcPr>
          <w:p w14:paraId="150DE017"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p>
        </w:tc>
      </w:tr>
      <w:tr w:rsidR="00264ADA" w:rsidRPr="0082654D" w14:paraId="3E50A463" w14:textId="77777777" w:rsidTr="00C10B32">
        <w:trPr>
          <w:cantSplit/>
          <w:trHeight w:val="248"/>
          <w:jc w:val="center"/>
        </w:trPr>
        <w:tc>
          <w:tcPr>
            <w:tcW w:w="5000" w:type="pct"/>
            <w:gridSpan w:val="4"/>
            <w:vAlign w:val="center"/>
          </w:tcPr>
          <w:p w14:paraId="3E3CD1FD" w14:textId="77777777" w:rsidR="00264ADA" w:rsidRPr="0082654D" w:rsidRDefault="00264ADA" w:rsidP="00264ADA">
            <w:pPr>
              <w:keepNext/>
              <w:shd w:val="clear" w:color="auto" w:fill="FFFFFF" w:themeFill="background1"/>
              <w:autoSpaceDE w:val="0"/>
              <w:autoSpaceDN w:val="0"/>
              <w:adjustRightInd w:val="0"/>
              <w:rPr>
                <w:b/>
                <w:sz w:val="22"/>
                <w:szCs w:val="22"/>
                <w:lang w:val="hr-HR"/>
              </w:rPr>
            </w:pPr>
            <w:r w:rsidRPr="0082654D">
              <w:rPr>
                <w:b/>
                <w:sz w:val="22"/>
                <w:szCs w:val="22"/>
                <w:lang w:val="hr-HR"/>
              </w:rPr>
              <w:lastRenderedPageBreak/>
              <w:t>Ispitivanja</w:t>
            </w:r>
          </w:p>
        </w:tc>
      </w:tr>
      <w:tr w:rsidR="00264ADA" w:rsidRPr="0082654D" w14:paraId="08737732" w14:textId="77777777" w:rsidTr="00C10B32">
        <w:trPr>
          <w:cantSplit/>
          <w:jc w:val="center"/>
        </w:trPr>
        <w:tc>
          <w:tcPr>
            <w:tcW w:w="1642" w:type="pct"/>
            <w:shd w:val="clear" w:color="auto" w:fill="auto"/>
          </w:tcPr>
          <w:p w14:paraId="36BF3CC3"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 xml:space="preserve">Smanjenje </w:t>
            </w:r>
            <w:r>
              <w:rPr>
                <w:sz w:val="22"/>
                <w:szCs w:val="22"/>
                <w:lang w:val="hr-HR"/>
              </w:rPr>
              <w:t>tjelesn</w:t>
            </w:r>
            <w:r w:rsidRPr="0082654D">
              <w:rPr>
                <w:sz w:val="22"/>
                <w:szCs w:val="22"/>
                <w:lang w:val="hr-HR"/>
              </w:rPr>
              <w:t>e težine</w:t>
            </w:r>
          </w:p>
        </w:tc>
        <w:tc>
          <w:tcPr>
            <w:tcW w:w="1095" w:type="pct"/>
            <w:shd w:val="clear" w:color="auto" w:fill="auto"/>
          </w:tcPr>
          <w:p w14:paraId="618AD3AA"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25E6FDE5" w14:textId="5ADC2138" w:rsidR="00264ADA" w:rsidRPr="0082654D" w:rsidRDefault="00491E0A" w:rsidP="00264ADA">
            <w:pPr>
              <w:shd w:val="clear" w:color="auto" w:fill="FFFFFF" w:themeFill="background1"/>
              <w:autoSpaceDE w:val="0"/>
              <w:autoSpaceDN w:val="0"/>
              <w:adjustRightInd w:val="0"/>
              <w:jc w:val="center"/>
              <w:rPr>
                <w:sz w:val="22"/>
                <w:szCs w:val="22"/>
                <w:lang w:val="hr-HR"/>
              </w:rPr>
            </w:pPr>
            <w:r>
              <w:rPr>
                <w:sz w:val="22"/>
                <w:szCs w:val="22"/>
              </w:rPr>
              <w:t>80</w:t>
            </w:r>
            <w:r w:rsidRPr="0082654D">
              <w:rPr>
                <w:sz w:val="22"/>
                <w:szCs w:val="22"/>
              </w:rPr>
              <w:t xml:space="preserve"> </w:t>
            </w:r>
            <w:r w:rsidR="00264ADA" w:rsidRPr="0082654D">
              <w:rPr>
                <w:sz w:val="22"/>
                <w:szCs w:val="22"/>
              </w:rPr>
              <w:t>(</w:t>
            </w:r>
            <w:r w:rsidRPr="0082654D">
              <w:rPr>
                <w:sz w:val="22"/>
                <w:szCs w:val="22"/>
              </w:rPr>
              <w:t>2</w:t>
            </w:r>
            <w:r>
              <w:rPr>
                <w:sz w:val="22"/>
                <w:szCs w:val="22"/>
              </w:rPr>
              <w:t>8</w:t>
            </w:r>
            <w:r w:rsidR="00264ADA" w:rsidRPr="0082654D">
              <w:rPr>
                <w:sz w:val="22"/>
                <w:szCs w:val="22"/>
              </w:rPr>
              <w:t>,</w:t>
            </w:r>
            <w:r>
              <w:rPr>
                <w:sz w:val="22"/>
                <w:szCs w:val="22"/>
              </w:rPr>
              <w:t>2</w:t>
            </w:r>
            <w:r w:rsidR="00264ADA" w:rsidRPr="0082654D">
              <w:rPr>
                <w:sz w:val="22"/>
                <w:szCs w:val="22"/>
              </w:rPr>
              <w:t>)</w:t>
            </w:r>
          </w:p>
        </w:tc>
        <w:tc>
          <w:tcPr>
            <w:tcW w:w="1167" w:type="pct"/>
            <w:shd w:val="clear" w:color="auto" w:fill="auto"/>
          </w:tcPr>
          <w:p w14:paraId="29A70B91" w14:textId="12CEF0B7"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7</w:t>
            </w:r>
            <w:r w:rsidRPr="0082654D">
              <w:rPr>
                <w:sz w:val="22"/>
                <w:szCs w:val="22"/>
              </w:rPr>
              <w:t xml:space="preserve"> </w:t>
            </w:r>
            <w:r w:rsidR="00264ADA" w:rsidRPr="0082654D">
              <w:rPr>
                <w:sz w:val="22"/>
                <w:szCs w:val="22"/>
              </w:rPr>
              <w:t>(</w:t>
            </w:r>
            <w:r>
              <w:rPr>
                <w:sz w:val="22"/>
                <w:szCs w:val="22"/>
              </w:rPr>
              <w:t>6</w:t>
            </w:r>
            <w:r w:rsidR="00264ADA" w:rsidRPr="0082654D">
              <w:rPr>
                <w:sz w:val="22"/>
                <w:szCs w:val="22"/>
              </w:rPr>
              <w:t>,</w:t>
            </w:r>
            <w:r>
              <w:rPr>
                <w:sz w:val="22"/>
                <w:szCs w:val="22"/>
              </w:rPr>
              <w:t>0</w:t>
            </w:r>
            <w:r w:rsidR="00264ADA" w:rsidRPr="0082654D">
              <w:rPr>
                <w:sz w:val="22"/>
                <w:szCs w:val="22"/>
              </w:rPr>
              <w:t>)*</w:t>
            </w:r>
          </w:p>
        </w:tc>
      </w:tr>
      <w:tr w:rsidR="00264ADA" w:rsidRPr="0082654D" w14:paraId="7169AB92" w14:textId="77777777" w:rsidTr="00C10B32">
        <w:trPr>
          <w:cantSplit/>
          <w:jc w:val="center"/>
        </w:trPr>
        <w:tc>
          <w:tcPr>
            <w:tcW w:w="1642" w:type="pct"/>
            <w:shd w:val="clear" w:color="auto" w:fill="auto"/>
          </w:tcPr>
          <w:p w14:paraId="50B07182"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sz w:val="22"/>
                <w:szCs w:val="22"/>
                <w:lang w:val="hr-HR"/>
              </w:rPr>
              <w:t>Povišenje kreatinina u krvi</w:t>
            </w:r>
          </w:p>
        </w:tc>
        <w:tc>
          <w:tcPr>
            <w:tcW w:w="1095" w:type="pct"/>
            <w:shd w:val="clear" w:color="auto" w:fill="auto"/>
          </w:tcPr>
          <w:p w14:paraId="1BFF78D9"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32CBD089" w14:textId="7B5CDCCC"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19</w:t>
            </w:r>
            <w:r>
              <w:rPr>
                <w:sz w:val="22"/>
                <w:szCs w:val="22"/>
              </w:rPr>
              <w:t>3</w:t>
            </w:r>
            <w:r w:rsidRPr="0082654D">
              <w:rPr>
                <w:sz w:val="22"/>
                <w:szCs w:val="22"/>
              </w:rPr>
              <w:t xml:space="preserve"> </w:t>
            </w:r>
            <w:r w:rsidR="00264ADA" w:rsidRPr="0082654D">
              <w:rPr>
                <w:sz w:val="22"/>
                <w:szCs w:val="22"/>
              </w:rPr>
              <w:t>(</w:t>
            </w:r>
            <w:r w:rsidRPr="0082654D">
              <w:rPr>
                <w:sz w:val="22"/>
                <w:szCs w:val="22"/>
              </w:rPr>
              <w:t>6</w:t>
            </w:r>
            <w:r>
              <w:rPr>
                <w:sz w:val="22"/>
                <w:szCs w:val="22"/>
              </w:rPr>
              <w:t>8</w:t>
            </w:r>
            <w:r w:rsidR="00264ADA" w:rsidRPr="0082654D">
              <w:rPr>
                <w:sz w:val="22"/>
                <w:szCs w:val="22"/>
              </w:rPr>
              <w:t>,</w:t>
            </w:r>
            <w:r>
              <w:rPr>
                <w:sz w:val="22"/>
                <w:szCs w:val="22"/>
              </w:rPr>
              <w:t>0</w:t>
            </w:r>
            <w:r w:rsidR="00264ADA" w:rsidRPr="0082654D">
              <w:rPr>
                <w:sz w:val="22"/>
                <w:szCs w:val="22"/>
              </w:rPr>
              <w:t>)</w:t>
            </w:r>
          </w:p>
        </w:tc>
        <w:tc>
          <w:tcPr>
            <w:tcW w:w="1167" w:type="pct"/>
            <w:shd w:val="clear" w:color="auto" w:fill="auto"/>
          </w:tcPr>
          <w:p w14:paraId="500BD7FC" w14:textId="314DF273" w:rsidR="00264ADA" w:rsidRPr="0082654D" w:rsidRDefault="00491E0A" w:rsidP="00264ADA">
            <w:pPr>
              <w:shd w:val="clear" w:color="auto" w:fill="FFFFFF" w:themeFill="background1"/>
              <w:autoSpaceDE w:val="0"/>
              <w:autoSpaceDN w:val="0"/>
              <w:adjustRightInd w:val="0"/>
              <w:jc w:val="center"/>
              <w:rPr>
                <w:sz w:val="22"/>
                <w:szCs w:val="22"/>
                <w:lang w:val="hr-HR"/>
              </w:rPr>
            </w:pPr>
            <w:r>
              <w:rPr>
                <w:sz w:val="22"/>
                <w:szCs w:val="22"/>
              </w:rPr>
              <w:t>9</w:t>
            </w:r>
            <w:r w:rsidRPr="0082654D">
              <w:rPr>
                <w:sz w:val="22"/>
                <w:szCs w:val="22"/>
              </w:rPr>
              <w:t xml:space="preserve"> </w:t>
            </w:r>
            <w:r w:rsidR="00264ADA" w:rsidRPr="0082654D">
              <w:rPr>
                <w:sz w:val="22"/>
                <w:szCs w:val="22"/>
              </w:rPr>
              <w:t>(</w:t>
            </w:r>
            <w:r>
              <w:rPr>
                <w:sz w:val="22"/>
                <w:szCs w:val="22"/>
              </w:rPr>
              <w:t>3</w:t>
            </w:r>
            <w:r w:rsidR="00264ADA" w:rsidRPr="0082654D">
              <w:rPr>
                <w:sz w:val="22"/>
                <w:szCs w:val="22"/>
              </w:rPr>
              <w:t>,</w:t>
            </w:r>
            <w:r>
              <w:rPr>
                <w:sz w:val="22"/>
                <w:szCs w:val="22"/>
              </w:rPr>
              <w:t>2</w:t>
            </w:r>
            <w:r w:rsidR="00264ADA" w:rsidRPr="0082654D">
              <w:rPr>
                <w:sz w:val="22"/>
                <w:szCs w:val="22"/>
              </w:rPr>
              <w:t>)*</w:t>
            </w:r>
          </w:p>
        </w:tc>
      </w:tr>
      <w:tr w:rsidR="00264ADA" w:rsidRPr="0082654D" w14:paraId="0B3265C1" w14:textId="77777777" w:rsidTr="00C10B32">
        <w:trPr>
          <w:cantSplit/>
          <w:jc w:val="center"/>
        </w:trPr>
        <w:tc>
          <w:tcPr>
            <w:tcW w:w="1642" w:type="pct"/>
            <w:shd w:val="clear" w:color="auto" w:fill="auto"/>
          </w:tcPr>
          <w:p w14:paraId="7DE7F5BF" w14:textId="77777777" w:rsidR="00264ADA" w:rsidRPr="0082654D" w:rsidRDefault="00264ADA" w:rsidP="00264ADA">
            <w:pPr>
              <w:keepNext/>
              <w:shd w:val="clear" w:color="auto" w:fill="FFFFFF" w:themeFill="background1"/>
              <w:autoSpaceDE w:val="0"/>
              <w:autoSpaceDN w:val="0"/>
              <w:adjustRightInd w:val="0"/>
              <w:rPr>
                <w:color w:val="000000"/>
                <w:sz w:val="22"/>
                <w:szCs w:val="22"/>
                <w:lang w:val="hr-HR"/>
              </w:rPr>
            </w:pPr>
            <w:r w:rsidRPr="0082654D">
              <w:rPr>
                <w:color w:val="000000"/>
                <w:sz w:val="22"/>
                <w:szCs w:val="22"/>
                <w:lang w:val="hr-HR"/>
              </w:rPr>
              <w:t>Povišenje gama</w:t>
            </w:r>
            <w:r w:rsidRPr="0082654D">
              <w:rPr>
                <w:sz w:val="22"/>
                <w:szCs w:val="22"/>
                <w:lang w:val="hr-HR"/>
              </w:rPr>
              <w:noBreakHyphen/>
            </w:r>
            <w:r w:rsidRPr="0082654D">
              <w:rPr>
                <w:color w:val="000000"/>
                <w:sz w:val="22"/>
                <w:szCs w:val="22"/>
                <w:lang w:val="hr-HR"/>
              </w:rPr>
              <w:t>glutamil transferaze</w:t>
            </w:r>
          </w:p>
        </w:tc>
        <w:tc>
          <w:tcPr>
            <w:tcW w:w="1095" w:type="pct"/>
            <w:shd w:val="clear" w:color="auto" w:fill="auto"/>
          </w:tcPr>
          <w:p w14:paraId="46CBAE60"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tcPr>
          <w:p w14:paraId="0EED7ACF" w14:textId="3880CAF0"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15</w:t>
            </w:r>
            <w:r>
              <w:rPr>
                <w:sz w:val="22"/>
                <w:szCs w:val="22"/>
              </w:rPr>
              <w:t>4</w:t>
            </w:r>
            <w:r w:rsidRPr="0082654D">
              <w:rPr>
                <w:sz w:val="22"/>
                <w:szCs w:val="22"/>
              </w:rPr>
              <w:t xml:space="preserve"> </w:t>
            </w:r>
            <w:r w:rsidR="00264ADA" w:rsidRPr="0082654D">
              <w:rPr>
                <w:sz w:val="22"/>
                <w:szCs w:val="22"/>
              </w:rPr>
              <w:t>(</w:t>
            </w:r>
            <w:r w:rsidRPr="0082654D">
              <w:rPr>
                <w:sz w:val="22"/>
                <w:szCs w:val="22"/>
              </w:rPr>
              <w:t>5</w:t>
            </w:r>
            <w:r>
              <w:rPr>
                <w:sz w:val="22"/>
                <w:szCs w:val="22"/>
              </w:rPr>
              <w:t>4</w:t>
            </w:r>
            <w:r w:rsidR="00264ADA" w:rsidRPr="0082654D">
              <w:rPr>
                <w:sz w:val="22"/>
                <w:szCs w:val="22"/>
              </w:rPr>
              <w:t>,2)</w:t>
            </w:r>
          </w:p>
        </w:tc>
        <w:tc>
          <w:tcPr>
            <w:tcW w:w="1167" w:type="pct"/>
            <w:shd w:val="clear" w:color="auto" w:fill="auto"/>
          </w:tcPr>
          <w:p w14:paraId="478D1A2F" w14:textId="62AEA99C"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3</w:t>
            </w:r>
            <w:r>
              <w:rPr>
                <w:sz w:val="22"/>
                <w:szCs w:val="22"/>
              </w:rPr>
              <w:t>5</w:t>
            </w:r>
            <w:r w:rsidRPr="0082654D">
              <w:rPr>
                <w:sz w:val="22"/>
                <w:szCs w:val="22"/>
              </w:rPr>
              <w:t xml:space="preserve"> </w:t>
            </w:r>
            <w:r w:rsidR="00264ADA" w:rsidRPr="0082654D">
              <w:rPr>
                <w:sz w:val="22"/>
                <w:szCs w:val="22"/>
              </w:rPr>
              <w:t>(12,</w:t>
            </w:r>
            <w:r>
              <w:rPr>
                <w:sz w:val="22"/>
                <w:szCs w:val="22"/>
              </w:rPr>
              <w:t>3</w:t>
            </w:r>
            <w:r w:rsidR="00264ADA" w:rsidRPr="0082654D">
              <w:rPr>
                <w:sz w:val="22"/>
                <w:szCs w:val="22"/>
              </w:rPr>
              <w:t>)</w:t>
            </w:r>
          </w:p>
        </w:tc>
      </w:tr>
      <w:tr w:rsidR="00264ADA" w:rsidRPr="0082654D" w14:paraId="2EF3C2DB" w14:textId="77777777" w:rsidTr="00C10B32">
        <w:trPr>
          <w:cantSplit/>
          <w:jc w:val="center"/>
        </w:trPr>
        <w:tc>
          <w:tcPr>
            <w:tcW w:w="1642" w:type="pct"/>
            <w:shd w:val="clear" w:color="auto" w:fill="auto"/>
          </w:tcPr>
          <w:p w14:paraId="27764713" w14:textId="77777777" w:rsidR="00264ADA" w:rsidRPr="0082654D" w:rsidRDefault="00264ADA" w:rsidP="00264ADA">
            <w:pPr>
              <w:keepNext/>
              <w:shd w:val="clear" w:color="auto" w:fill="FFFFFF" w:themeFill="background1"/>
              <w:autoSpaceDE w:val="0"/>
              <w:autoSpaceDN w:val="0"/>
              <w:adjustRightInd w:val="0"/>
              <w:rPr>
                <w:color w:val="000000"/>
                <w:sz w:val="22"/>
                <w:szCs w:val="22"/>
                <w:lang w:val="hr-HR"/>
              </w:rPr>
            </w:pPr>
            <w:r w:rsidRPr="0082654D">
              <w:rPr>
                <w:color w:val="000000"/>
                <w:sz w:val="22"/>
                <w:szCs w:val="22"/>
                <w:lang w:val="hr-HR"/>
              </w:rPr>
              <w:t>Povišenje alanin aminotransferaze</w:t>
            </w:r>
          </w:p>
        </w:tc>
        <w:tc>
          <w:tcPr>
            <w:tcW w:w="1095" w:type="pct"/>
            <w:shd w:val="clear" w:color="auto" w:fill="auto"/>
          </w:tcPr>
          <w:p w14:paraId="7F9172F3"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vAlign w:val="center"/>
          </w:tcPr>
          <w:p w14:paraId="09F3C652" w14:textId="11DF2DDF"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12</w:t>
            </w:r>
            <w:r>
              <w:rPr>
                <w:sz w:val="22"/>
                <w:szCs w:val="22"/>
              </w:rPr>
              <w:t>8</w:t>
            </w:r>
            <w:r w:rsidRPr="0082654D">
              <w:rPr>
                <w:sz w:val="22"/>
                <w:szCs w:val="22"/>
              </w:rPr>
              <w:t xml:space="preserve"> </w:t>
            </w:r>
            <w:r w:rsidR="00264ADA" w:rsidRPr="0082654D">
              <w:rPr>
                <w:sz w:val="22"/>
                <w:szCs w:val="22"/>
              </w:rPr>
              <w:t>(</w:t>
            </w:r>
            <w:r w:rsidRPr="0082654D">
              <w:rPr>
                <w:sz w:val="22"/>
                <w:szCs w:val="22"/>
              </w:rPr>
              <w:t>4</w:t>
            </w:r>
            <w:r>
              <w:rPr>
                <w:sz w:val="22"/>
                <w:szCs w:val="22"/>
              </w:rPr>
              <w:t>5</w:t>
            </w:r>
            <w:r w:rsidR="00264ADA" w:rsidRPr="0082654D">
              <w:rPr>
                <w:sz w:val="22"/>
                <w:szCs w:val="22"/>
              </w:rPr>
              <w:t>,</w:t>
            </w:r>
            <w:r>
              <w:rPr>
                <w:sz w:val="22"/>
                <w:szCs w:val="22"/>
              </w:rPr>
              <w:t>1</w:t>
            </w:r>
            <w:r w:rsidR="00264ADA" w:rsidRPr="0082654D">
              <w:rPr>
                <w:sz w:val="22"/>
                <w:szCs w:val="22"/>
              </w:rPr>
              <w:t>)</w:t>
            </w:r>
          </w:p>
        </w:tc>
        <w:tc>
          <w:tcPr>
            <w:tcW w:w="1167" w:type="pct"/>
            <w:shd w:val="clear" w:color="auto" w:fill="auto"/>
            <w:vAlign w:val="center"/>
          </w:tcPr>
          <w:p w14:paraId="680BFCF2" w14:textId="32352EAE"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w:t>
            </w:r>
            <w:r>
              <w:rPr>
                <w:sz w:val="22"/>
                <w:szCs w:val="22"/>
              </w:rPr>
              <w:t>3</w:t>
            </w:r>
            <w:r w:rsidRPr="0082654D">
              <w:rPr>
                <w:sz w:val="22"/>
                <w:szCs w:val="22"/>
              </w:rPr>
              <w:t xml:space="preserve"> </w:t>
            </w:r>
            <w:r w:rsidR="00264ADA" w:rsidRPr="0082654D">
              <w:rPr>
                <w:sz w:val="22"/>
                <w:szCs w:val="22"/>
              </w:rPr>
              <w:t>(4,</w:t>
            </w:r>
            <w:r>
              <w:rPr>
                <w:sz w:val="22"/>
                <w:szCs w:val="22"/>
              </w:rPr>
              <w:t>6</w:t>
            </w:r>
            <w:r w:rsidR="00264ADA" w:rsidRPr="0082654D">
              <w:rPr>
                <w:sz w:val="22"/>
                <w:szCs w:val="22"/>
              </w:rPr>
              <w:t>)*</w:t>
            </w:r>
          </w:p>
        </w:tc>
      </w:tr>
      <w:tr w:rsidR="00264ADA" w:rsidRPr="0082654D" w14:paraId="65996656" w14:textId="77777777" w:rsidTr="00C10B32">
        <w:trPr>
          <w:cantSplit/>
          <w:jc w:val="center"/>
        </w:trPr>
        <w:tc>
          <w:tcPr>
            <w:tcW w:w="1642" w:type="pct"/>
            <w:shd w:val="clear" w:color="auto" w:fill="auto"/>
          </w:tcPr>
          <w:p w14:paraId="58871776" w14:textId="77777777" w:rsidR="00264ADA" w:rsidRPr="0082654D" w:rsidRDefault="00264ADA" w:rsidP="00264ADA">
            <w:pPr>
              <w:keepNext/>
              <w:shd w:val="clear" w:color="auto" w:fill="FFFFFF" w:themeFill="background1"/>
              <w:autoSpaceDE w:val="0"/>
              <w:autoSpaceDN w:val="0"/>
              <w:adjustRightInd w:val="0"/>
              <w:rPr>
                <w:sz w:val="22"/>
                <w:szCs w:val="22"/>
                <w:lang w:val="hr-HR"/>
              </w:rPr>
            </w:pPr>
            <w:r w:rsidRPr="0082654D">
              <w:rPr>
                <w:color w:val="000000"/>
                <w:sz w:val="22"/>
                <w:szCs w:val="22"/>
                <w:lang w:val="hr-HR"/>
              </w:rPr>
              <w:t>Povišenje lipaze</w:t>
            </w:r>
          </w:p>
        </w:tc>
        <w:tc>
          <w:tcPr>
            <w:tcW w:w="1095" w:type="pct"/>
            <w:shd w:val="clear" w:color="auto" w:fill="auto"/>
          </w:tcPr>
          <w:p w14:paraId="519BE3C8"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vAlign w:val="center"/>
          </w:tcPr>
          <w:p w14:paraId="647E484B" w14:textId="59FD3EEE"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12</w:t>
            </w:r>
            <w:r>
              <w:rPr>
                <w:sz w:val="22"/>
                <w:szCs w:val="22"/>
              </w:rPr>
              <w:t>3</w:t>
            </w:r>
            <w:r w:rsidRPr="0082654D">
              <w:rPr>
                <w:sz w:val="22"/>
                <w:szCs w:val="22"/>
              </w:rPr>
              <w:t xml:space="preserve"> </w:t>
            </w:r>
            <w:r w:rsidR="00264ADA" w:rsidRPr="0082654D">
              <w:rPr>
                <w:sz w:val="22"/>
                <w:szCs w:val="22"/>
              </w:rPr>
              <w:t>(</w:t>
            </w:r>
            <w:r w:rsidRPr="0082654D">
              <w:rPr>
                <w:sz w:val="22"/>
                <w:szCs w:val="22"/>
              </w:rPr>
              <w:t>4</w:t>
            </w:r>
            <w:r>
              <w:rPr>
                <w:sz w:val="22"/>
                <w:szCs w:val="22"/>
              </w:rPr>
              <w:t>3</w:t>
            </w:r>
            <w:r w:rsidR="00264ADA" w:rsidRPr="0082654D">
              <w:rPr>
                <w:sz w:val="22"/>
                <w:szCs w:val="22"/>
              </w:rPr>
              <w:t>,</w:t>
            </w:r>
            <w:r>
              <w:rPr>
                <w:sz w:val="22"/>
                <w:szCs w:val="22"/>
              </w:rPr>
              <w:t>3</w:t>
            </w:r>
            <w:r w:rsidR="00264ADA" w:rsidRPr="0082654D">
              <w:rPr>
                <w:sz w:val="22"/>
                <w:szCs w:val="22"/>
              </w:rPr>
              <w:t>)</w:t>
            </w:r>
          </w:p>
        </w:tc>
        <w:tc>
          <w:tcPr>
            <w:tcW w:w="1167" w:type="pct"/>
            <w:shd w:val="clear" w:color="auto" w:fill="auto"/>
            <w:vAlign w:val="center"/>
          </w:tcPr>
          <w:p w14:paraId="5BA860E0"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color w:val="000000"/>
                <w:sz w:val="22"/>
                <w:szCs w:val="22"/>
              </w:rPr>
              <w:t>20 (7,0)</w:t>
            </w:r>
          </w:p>
        </w:tc>
      </w:tr>
      <w:tr w:rsidR="00264ADA" w:rsidRPr="0082654D" w14:paraId="767F970D" w14:textId="77777777" w:rsidTr="00C10B32">
        <w:trPr>
          <w:cantSplit/>
          <w:jc w:val="center"/>
        </w:trPr>
        <w:tc>
          <w:tcPr>
            <w:tcW w:w="1642" w:type="pct"/>
            <w:shd w:val="clear" w:color="auto" w:fill="auto"/>
          </w:tcPr>
          <w:p w14:paraId="48F7DFD6" w14:textId="77777777" w:rsidR="00264ADA" w:rsidRPr="0082654D" w:rsidRDefault="00264ADA" w:rsidP="00264ADA">
            <w:pPr>
              <w:keepNext/>
              <w:shd w:val="clear" w:color="auto" w:fill="FFFFFF" w:themeFill="background1"/>
              <w:autoSpaceDE w:val="0"/>
              <w:autoSpaceDN w:val="0"/>
              <w:adjustRightInd w:val="0"/>
              <w:rPr>
                <w:color w:val="000000"/>
                <w:sz w:val="22"/>
                <w:szCs w:val="22"/>
                <w:lang w:val="hr-HR"/>
              </w:rPr>
            </w:pPr>
            <w:r w:rsidRPr="0082654D">
              <w:rPr>
                <w:sz w:val="22"/>
                <w:szCs w:val="22"/>
                <w:lang w:val="hr-HR"/>
              </w:rPr>
              <w:t xml:space="preserve">Produženo aktivirano parcijalno tromboplastinsko </w:t>
            </w:r>
            <w:r>
              <w:rPr>
                <w:sz w:val="22"/>
                <w:szCs w:val="22"/>
                <w:lang w:val="hr-HR"/>
              </w:rPr>
              <w:t>vrijem</w:t>
            </w:r>
            <w:r w:rsidRPr="0082654D">
              <w:rPr>
                <w:sz w:val="22"/>
                <w:szCs w:val="22"/>
                <w:lang w:val="hr-HR"/>
              </w:rPr>
              <w:t>e (aPTT)</w:t>
            </w:r>
          </w:p>
        </w:tc>
        <w:tc>
          <w:tcPr>
            <w:tcW w:w="1095" w:type="pct"/>
            <w:shd w:val="clear" w:color="auto" w:fill="auto"/>
          </w:tcPr>
          <w:p w14:paraId="6852F27A"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vAlign w:val="center"/>
          </w:tcPr>
          <w:p w14:paraId="512D1513" w14:textId="4FD51A95"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6</w:t>
            </w:r>
            <w:r>
              <w:rPr>
                <w:sz w:val="22"/>
                <w:szCs w:val="22"/>
              </w:rPr>
              <w:t>8</w:t>
            </w:r>
            <w:r w:rsidRPr="0082654D">
              <w:rPr>
                <w:sz w:val="22"/>
                <w:szCs w:val="22"/>
              </w:rPr>
              <w:t xml:space="preserve"> </w:t>
            </w:r>
            <w:r w:rsidR="00264ADA" w:rsidRPr="0082654D">
              <w:rPr>
                <w:sz w:val="22"/>
                <w:szCs w:val="22"/>
              </w:rPr>
              <w:t>(</w:t>
            </w:r>
            <w:r w:rsidRPr="0082654D">
              <w:rPr>
                <w:sz w:val="22"/>
                <w:szCs w:val="22"/>
              </w:rPr>
              <w:t>2</w:t>
            </w:r>
            <w:r>
              <w:rPr>
                <w:sz w:val="22"/>
                <w:szCs w:val="22"/>
              </w:rPr>
              <w:t>3</w:t>
            </w:r>
            <w:r w:rsidR="00264ADA" w:rsidRPr="0082654D">
              <w:rPr>
                <w:sz w:val="22"/>
                <w:szCs w:val="22"/>
              </w:rPr>
              <w:t>,</w:t>
            </w:r>
            <w:r>
              <w:rPr>
                <w:sz w:val="22"/>
                <w:szCs w:val="22"/>
              </w:rPr>
              <w:t>9</w:t>
            </w:r>
            <w:r w:rsidR="00264ADA" w:rsidRPr="0082654D">
              <w:rPr>
                <w:sz w:val="22"/>
                <w:szCs w:val="22"/>
              </w:rPr>
              <w:t>)</w:t>
            </w:r>
          </w:p>
        </w:tc>
        <w:tc>
          <w:tcPr>
            <w:tcW w:w="1167" w:type="pct"/>
            <w:shd w:val="clear" w:color="auto" w:fill="auto"/>
            <w:vAlign w:val="center"/>
          </w:tcPr>
          <w:p w14:paraId="498E632D" w14:textId="7132300B"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2 (0,7)</w:t>
            </w:r>
            <w:r w:rsidR="00491E0A" w:rsidRPr="00491E0A">
              <w:rPr>
                <w:sz w:val="22"/>
                <w:szCs w:val="22"/>
              </w:rPr>
              <w:t>*</w:t>
            </w:r>
          </w:p>
        </w:tc>
      </w:tr>
      <w:tr w:rsidR="00264ADA" w:rsidRPr="0082654D" w14:paraId="767885E5" w14:textId="77777777" w:rsidTr="00C10B32">
        <w:trPr>
          <w:cantSplit/>
          <w:jc w:val="center"/>
        </w:trPr>
        <w:tc>
          <w:tcPr>
            <w:tcW w:w="1642" w:type="pct"/>
            <w:shd w:val="clear" w:color="auto" w:fill="auto"/>
          </w:tcPr>
          <w:p w14:paraId="17D2C888" w14:textId="77777777" w:rsidR="00264ADA" w:rsidRPr="0082654D" w:rsidRDefault="00264ADA" w:rsidP="00264ADA">
            <w:pPr>
              <w:keepNext/>
              <w:shd w:val="clear" w:color="auto" w:fill="FFFFFF" w:themeFill="background1"/>
              <w:autoSpaceDE w:val="0"/>
              <w:autoSpaceDN w:val="0"/>
              <w:adjustRightInd w:val="0"/>
              <w:rPr>
                <w:color w:val="000000"/>
                <w:sz w:val="22"/>
                <w:szCs w:val="22"/>
                <w:lang w:val="hr-HR"/>
              </w:rPr>
            </w:pPr>
            <w:r w:rsidRPr="0082654D">
              <w:rPr>
                <w:sz w:val="22"/>
                <w:szCs w:val="22"/>
                <w:lang w:val="hr-HR"/>
              </w:rPr>
              <w:t>Smanjenje albumina</w:t>
            </w:r>
          </w:p>
        </w:tc>
        <w:tc>
          <w:tcPr>
            <w:tcW w:w="1095" w:type="pct"/>
            <w:shd w:val="clear" w:color="auto" w:fill="auto"/>
          </w:tcPr>
          <w:p w14:paraId="0C63D829"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Veoma često</w:t>
            </w:r>
          </w:p>
        </w:tc>
        <w:tc>
          <w:tcPr>
            <w:tcW w:w="1096" w:type="pct"/>
            <w:shd w:val="clear" w:color="auto" w:fill="auto"/>
            <w:vAlign w:val="center"/>
          </w:tcPr>
          <w:p w14:paraId="6D684CB2" w14:textId="6C4438CA" w:rsidR="00264ADA" w:rsidRPr="0082654D" w:rsidRDefault="00491E0A" w:rsidP="00264ADA">
            <w:pPr>
              <w:shd w:val="clear" w:color="auto" w:fill="FFFFFF" w:themeFill="background1"/>
              <w:autoSpaceDE w:val="0"/>
              <w:autoSpaceDN w:val="0"/>
              <w:adjustRightInd w:val="0"/>
              <w:jc w:val="center"/>
              <w:rPr>
                <w:sz w:val="22"/>
                <w:szCs w:val="22"/>
                <w:lang w:val="hr-HR"/>
              </w:rPr>
            </w:pPr>
            <w:r w:rsidRPr="0082654D">
              <w:rPr>
                <w:sz w:val="22"/>
                <w:szCs w:val="22"/>
              </w:rPr>
              <w:t>4</w:t>
            </w:r>
            <w:r>
              <w:rPr>
                <w:sz w:val="22"/>
                <w:szCs w:val="22"/>
              </w:rPr>
              <w:t>4</w:t>
            </w:r>
            <w:r w:rsidRPr="0082654D">
              <w:rPr>
                <w:sz w:val="22"/>
                <w:szCs w:val="22"/>
              </w:rPr>
              <w:t xml:space="preserve"> </w:t>
            </w:r>
            <w:r w:rsidR="00264ADA" w:rsidRPr="0082654D">
              <w:rPr>
                <w:sz w:val="22"/>
                <w:szCs w:val="22"/>
              </w:rPr>
              <w:t>(</w:t>
            </w:r>
            <w:r w:rsidRPr="0082654D">
              <w:rPr>
                <w:sz w:val="22"/>
                <w:szCs w:val="22"/>
              </w:rPr>
              <w:t>1</w:t>
            </w:r>
            <w:r>
              <w:rPr>
                <w:sz w:val="22"/>
                <w:szCs w:val="22"/>
              </w:rPr>
              <w:t>5</w:t>
            </w:r>
            <w:r w:rsidR="00264ADA" w:rsidRPr="0082654D">
              <w:rPr>
                <w:sz w:val="22"/>
                <w:szCs w:val="22"/>
              </w:rPr>
              <w:t>,</w:t>
            </w:r>
            <w:r>
              <w:rPr>
                <w:sz w:val="22"/>
                <w:szCs w:val="22"/>
              </w:rPr>
              <w:t>5</w:t>
            </w:r>
            <w:r w:rsidR="00264ADA" w:rsidRPr="0082654D">
              <w:rPr>
                <w:sz w:val="22"/>
                <w:szCs w:val="22"/>
              </w:rPr>
              <w:t>)</w:t>
            </w:r>
          </w:p>
        </w:tc>
        <w:tc>
          <w:tcPr>
            <w:tcW w:w="1167" w:type="pct"/>
            <w:shd w:val="clear" w:color="auto" w:fill="auto"/>
            <w:vAlign w:val="center"/>
          </w:tcPr>
          <w:p w14:paraId="55534485" w14:textId="712B4DC6"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rPr>
              <w:t>1 (0,4)</w:t>
            </w:r>
            <w:r w:rsidR="00491E0A" w:rsidRPr="00491E0A">
              <w:rPr>
                <w:sz w:val="22"/>
                <w:szCs w:val="22"/>
              </w:rPr>
              <w:t>*</w:t>
            </w:r>
          </w:p>
        </w:tc>
      </w:tr>
      <w:tr w:rsidR="00264ADA" w:rsidRPr="0082654D" w14:paraId="55323FDF" w14:textId="77777777" w:rsidTr="00C10B32">
        <w:trPr>
          <w:cantSplit/>
          <w:jc w:val="center"/>
        </w:trPr>
        <w:tc>
          <w:tcPr>
            <w:tcW w:w="1642" w:type="pct"/>
            <w:shd w:val="clear" w:color="auto" w:fill="auto"/>
          </w:tcPr>
          <w:p w14:paraId="08B58B65" w14:textId="77777777" w:rsidR="00264ADA" w:rsidRPr="0082654D" w:rsidRDefault="00264ADA" w:rsidP="00264ADA">
            <w:pPr>
              <w:keepNext/>
              <w:shd w:val="clear" w:color="auto" w:fill="FFFFFF" w:themeFill="background1"/>
              <w:autoSpaceDE w:val="0"/>
              <w:autoSpaceDN w:val="0"/>
              <w:adjustRightInd w:val="0"/>
              <w:rPr>
                <w:color w:val="000000"/>
                <w:sz w:val="22"/>
                <w:szCs w:val="22"/>
                <w:lang w:val="hr-HR"/>
              </w:rPr>
            </w:pPr>
            <w:r w:rsidRPr="0082654D">
              <w:rPr>
                <w:sz w:val="22"/>
                <w:szCs w:val="22"/>
                <w:lang w:val="hr-HR"/>
              </w:rPr>
              <w:t>Povišenje glikoziliranog hemoglobina</w:t>
            </w:r>
          </w:p>
        </w:tc>
        <w:tc>
          <w:tcPr>
            <w:tcW w:w="1095" w:type="pct"/>
            <w:shd w:val="clear" w:color="auto" w:fill="auto"/>
          </w:tcPr>
          <w:p w14:paraId="37B15611" w14:textId="77777777" w:rsidR="00264ADA" w:rsidRPr="0082654D" w:rsidRDefault="00264ADA" w:rsidP="00264ADA">
            <w:pPr>
              <w:shd w:val="clear" w:color="auto" w:fill="FFFFFF" w:themeFill="background1"/>
              <w:autoSpaceDE w:val="0"/>
              <w:autoSpaceDN w:val="0"/>
              <w:adjustRightInd w:val="0"/>
              <w:jc w:val="center"/>
              <w:rPr>
                <w:sz w:val="22"/>
                <w:szCs w:val="22"/>
                <w:lang w:val="hr-HR"/>
              </w:rPr>
            </w:pPr>
            <w:r w:rsidRPr="0082654D">
              <w:rPr>
                <w:sz w:val="22"/>
                <w:szCs w:val="22"/>
                <w:lang w:val="hr-HR"/>
              </w:rPr>
              <w:t>Često</w:t>
            </w:r>
          </w:p>
        </w:tc>
        <w:tc>
          <w:tcPr>
            <w:tcW w:w="1096" w:type="pct"/>
            <w:shd w:val="clear" w:color="auto" w:fill="auto"/>
            <w:vAlign w:val="center"/>
          </w:tcPr>
          <w:p w14:paraId="293FA2BE" w14:textId="463C737C" w:rsidR="00264ADA" w:rsidRPr="0082654D" w:rsidRDefault="00491E0A" w:rsidP="00264ADA">
            <w:pPr>
              <w:shd w:val="clear" w:color="auto" w:fill="FFFFFF" w:themeFill="background1"/>
              <w:autoSpaceDE w:val="0"/>
              <w:autoSpaceDN w:val="0"/>
              <w:adjustRightInd w:val="0"/>
              <w:jc w:val="center"/>
              <w:rPr>
                <w:sz w:val="22"/>
                <w:szCs w:val="22"/>
                <w:lang w:val="hr-HR"/>
              </w:rPr>
            </w:pPr>
            <w:r>
              <w:rPr>
                <w:sz w:val="22"/>
                <w:szCs w:val="22"/>
              </w:rPr>
              <w:t>9</w:t>
            </w:r>
            <w:r w:rsidRPr="0082654D">
              <w:rPr>
                <w:sz w:val="22"/>
                <w:szCs w:val="22"/>
              </w:rPr>
              <w:t xml:space="preserve"> </w:t>
            </w:r>
            <w:r w:rsidR="00264ADA" w:rsidRPr="0082654D">
              <w:rPr>
                <w:sz w:val="22"/>
                <w:szCs w:val="22"/>
              </w:rPr>
              <w:t>(</w:t>
            </w:r>
            <w:r>
              <w:rPr>
                <w:sz w:val="22"/>
                <w:szCs w:val="22"/>
              </w:rPr>
              <w:t>3</w:t>
            </w:r>
            <w:r w:rsidR="00264ADA" w:rsidRPr="0082654D">
              <w:rPr>
                <w:sz w:val="22"/>
                <w:szCs w:val="22"/>
              </w:rPr>
              <w:t>,</w:t>
            </w:r>
            <w:r>
              <w:rPr>
                <w:sz w:val="22"/>
                <w:szCs w:val="22"/>
              </w:rPr>
              <w:t>2</w:t>
            </w:r>
            <w:r w:rsidR="00264ADA" w:rsidRPr="0082654D">
              <w:rPr>
                <w:sz w:val="22"/>
                <w:szCs w:val="22"/>
              </w:rPr>
              <w:t>)</w:t>
            </w:r>
          </w:p>
        </w:tc>
        <w:tc>
          <w:tcPr>
            <w:tcW w:w="1167" w:type="pct"/>
            <w:shd w:val="clear" w:color="auto" w:fill="auto"/>
            <w:vAlign w:val="center"/>
          </w:tcPr>
          <w:p w14:paraId="09532154" w14:textId="182745C6" w:rsidR="00264ADA" w:rsidRPr="0082654D" w:rsidRDefault="00264ADA" w:rsidP="00264ADA">
            <w:pPr>
              <w:shd w:val="clear" w:color="auto" w:fill="FFFFFF" w:themeFill="background1"/>
              <w:autoSpaceDE w:val="0"/>
              <w:autoSpaceDN w:val="0"/>
              <w:adjustRightInd w:val="0"/>
              <w:jc w:val="center"/>
              <w:rPr>
                <w:sz w:val="22"/>
                <w:szCs w:val="22"/>
                <w:lang w:val="hr-HR"/>
              </w:rPr>
            </w:pPr>
          </w:p>
        </w:tc>
      </w:tr>
      <w:tr w:rsidR="00264ADA" w:rsidRPr="0082654D" w14:paraId="42DCC8D9" w14:textId="77777777" w:rsidTr="00C10B32">
        <w:trPr>
          <w:cantSplit/>
          <w:jc w:val="center"/>
        </w:trPr>
        <w:tc>
          <w:tcPr>
            <w:tcW w:w="5000" w:type="pct"/>
            <w:gridSpan w:val="4"/>
            <w:shd w:val="clear" w:color="auto" w:fill="auto"/>
            <w:vAlign w:val="center"/>
          </w:tcPr>
          <w:p w14:paraId="03C93C3C"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szCs w:val="20"/>
                <w:lang w:val="hr-HR"/>
              </w:rPr>
            </w:pPr>
            <w:r w:rsidRPr="0082654D">
              <w:rPr>
                <w:rFonts w:ascii="Times New Roman" w:hAnsi="Times New Roman"/>
                <w:szCs w:val="20"/>
                <w:lang w:val="hr-HR"/>
              </w:rPr>
              <w:t>*</w:t>
            </w:r>
            <w:r w:rsidRPr="0082654D">
              <w:rPr>
                <w:rFonts w:ascii="Times New Roman" w:hAnsi="Times New Roman"/>
                <w:szCs w:val="20"/>
                <w:lang w:val="hr-HR"/>
              </w:rPr>
              <w:tab/>
            </w:r>
            <w:r>
              <w:rPr>
                <w:rFonts w:ascii="Times New Roman" w:hAnsi="Times New Roman" w:cs="Times New Roman"/>
                <w:iCs/>
                <w:szCs w:val="20"/>
                <w:lang w:val="hr-HR"/>
              </w:rPr>
              <w:t>Nijesu</w:t>
            </w:r>
            <w:r w:rsidRPr="0082654D">
              <w:rPr>
                <w:rFonts w:ascii="Times New Roman" w:hAnsi="Times New Roman" w:cs="Times New Roman"/>
                <w:iCs/>
                <w:szCs w:val="20"/>
                <w:lang w:val="hr-HR"/>
              </w:rPr>
              <w:t xml:space="preserve"> zab</w:t>
            </w:r>
            <w:r>
              <w:rPr>
                <w:rFonts w:ascii="Times New Roman" w:hAnsi="Times New Roman" w:cs="Times New Roman"/>
                <w:iCs/>
                <w:szCs w:val="20"/>
                <w:lang w:val="hr-HR"/>
              </w:rPr>
              <w:t>i</w:t>
            </w:r>
            <w:r w:rsidRPr="0082654D">
              <w:rPr>
                <w:rFonts w:ascii="Times New Roman" w:hAnsi="Times New Roman" w:cs="Times New Roman"/>
                <w:iCs/>
                <w:szCs w:val="20"/>
                <w:lang w:val="hr-HR"/>
              </w:rPr>
              <w:t>l</w:t>
            </w:r>
            <w:r>
              <w:rPr>
                <w:rFonts w:ascii="Times New Roman" w:hAnsi="Times New Roman" w:cs="Times New Roman"/>
                <w:iCs/>
                <w:szCs w:val="20"/>
                <w:lang w:val="hr-HR"/>
              </w:rPr>
              <w:t>j</w:t>
            </w:r>
            <w:r w:rsidRPr="0082654D">
              <w:rPr>
                <w:rFonts w:ascii="Times New Roman" w:hAnsi="Times New Roman" w:cs="Times New Roman"/>
                <w:iCs/>
                <w:szCs w:val="20"/>
                <w:lang w:val="hr-HR"/>
              </w:rPr>
              <w:t xml:space="preserve">ežene neželjene reakcije na </w:t>
            </w:r>
            <w:r>
              <w:rPr>
                <w:rFonts w:ascii="Times New Roman" w:hAnsi="Times New Roman" w:cs="Times New Roman"/>
                <w:iCs/>
                <w:szCs w:val="20"/>
                <w:lang w:val="hr-HR"/>
              </w:rPr>
              <w:t>lijek</w:t>
            </w:r>
            <w:r w:rsidRPr="0082654D">
              <w:rPr>
                <w:rFonts w:ascii="Times New Roman" w:hAnsi="Times New Roman" w:cs="Times New Roman"/>
                <w:iCs/>
                <w:szCs w:val="20"/>
                <w:lang w:val="hr-HR"/>
              </w:rPr>
              <w:t xml:space="preserve"> </w:t>
            </w:r>
            <w:r w:rsidRPr="0082654D">
              <w:rPr>
                <w:rFonts w:ascii="Times New Roman" w:hAnsi="Times New Roman"/>
                <w:szCs w:val="20"/>
                <w:lang w:val="hr-HR"/>
              </w:rPr>
              <w:t>4. stepena</w:t>
            </w:r>
          </w:p>
          <w:p w14:paraId="5A1884B0" w14:textId="24403406" w:rsidR="00264ADA" w:rsidRPr="0082654D" w:rsidRDefault="00264ADA" w:rsidP="00264ADA">
            <w:pPr>
              <w:pStyle w:val="Table"/>
              <w:keepLines w:val="0"/>
              <w:tabs>
                <w:tab w:val="clear" w:pos="284"/>
              </w:tabs>
              <w:spacing w:before="0" w:after="0"/>
              <w:ind w:left="567" w:hanging="567"/>
              <w:rPr>
                <w:rFonts w:ascii="Times New Roman" w:hAnsi="Times New Roman"/>
                <w:szCs w:val="20"/>
                <w:lang w:val="hr-HR"/>
              </w:rPr>
            </w:pPr>
            <w:r w:rsidRPr="0082654D">
              <w:rPr>
                <w:rFonts w:ascii="Times New Roman" w:hAnsi="Times New Roman"/>
                <w:szCs w:val="20"/>
                <w:lang w:val="hr-HR"/>
              </w:rPr>
              <w:t>#</w:t>
            </w:r>
            <w:r w:rsidRPr="0082654D">
              <w:rPr>
                <w:rFonts w:ascii="Times New Roman" w:hAnsi="Times New Roman"/>
                <w:szCs w:val="20"/>
                <w:lang w:val="hr-HR"/>
              </w:rPr>
              <w:tab/>
              <w:t xml:space="preserve">Neželjene reakcije prijavljene nakon stavljanja </w:t>
            </w:r>
            <w:r>
              <w:rPr>
                <w:rFonts w:ascii="Times New Roman" w:hAnsi="Times New Roman"/>
                <w:szCs w:val="20"/>
                <w:lang w:val="hr-HR"/>
              </w:rPr>
              <w:t>lijek</w:t>
            </w:r>
            <w:r w:rsidRPr="0082654D">
              <w:rPr>
                <w:rFonts w:ascii="Times New Roman" w:hAnsi="Times New Roman"/>
                <w:szCs w:val="20"/>
                <w:lang w:val="hr-HR"/>
              </w:rPr>
              <w:t>a u promet. Izvedene su iz spontanih izveštaja za koje nije uv</w:t>
            </w:r>
            <w:r>
              <w:rPr>
                <w:rFonts w:ascii="Times New Roman" w:hAnsi="Times New Roman"/>
                <w:szCs w:val="20"/>
                <w:lang w:val="hr-HR"/>
              </w:rPr>
              <w:t>ij</w:t>
            </w:r>
            <w:r w:rsidRPr="0082654D">
              <w:rPr>
                <w:rFonts w:ascii="Times New Roman" w:hAnsi="Times New Roman"/>
                <w:szCs w:val="20"/>
                <w:lang w:val="hr-HR"/>
              </w:rPr>
              <w:t xml:space="preserve">ek moguće pouzdano utvrditi učestalost ili uzročnu vezu sa izloženošću </w:t>
            </w:r>
            <w:r>
              <w:rPr>
                <w:rFonts w:ascii="Times New Roman" w:hAnsi="Times New Roman"/>
                <w:szCs w:val="20"/>
                <w:lang w:val="hr-HR"/>
              </w:rPr>
              <w:t>lijek</w:t>
            </w:r>
            <w:r w:rsidRPr="0082654D">
              <w:rPr>
                <w:rFonts w:ascii="Times New Roman" w:hAnsi="Times New Roman"/>
                <w:szCs w:val="20"/>
                <w:lang w:val="hr-HR"/>
              </w:rPr>
              <w:t>u.</w:t>
            </w:r>
          </w:p>
          <w:p w14:paraId="79A74B4C"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1</w:t>
            </w:r>
            <w:r w:rsidRPr="0082654D">
              <w:rPr>
                <w:rFonts w:ascii="Times New Roman" w:hAnsi="Times New Roman" w:cs="Times New Roman"/>
                <w:iCs/>
                <w:szCs w:val="20"/>
                <w:lang w:val="hr-HR"/>
              </w:rPr>
              <w:tab/>
              <w:t>Infekcija urinarnog sistema: uključuje i jedan slučaj urosepse</w:t>
            </w:r>
          </w:p>
          <w:p w14:paraId="22008A03"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2</w:t>
            </w:r>
            <w:r w:rsidRPr="0082654D">
              <w:rPr>
                <w:rFonts w:ascii="Times New Roman" w:hAnsi="Times New Roman" w:cs="Times New Roman"/>
                <w:iCs/>
                <w:szCs w:val="20"/>
                <w:lang w:val="hr-HR"/>
              </w:rPr>
              <w:tab/>
              <w:t>Preos</w:t>
            </w:r>
            <w:r>
              <w:rPr>
                <w:rFonts w:ascii="Times New Roman" w:hAnsi="Times New Roman" w:cs="Times New Roman"/>
                <w:iCs/>
                <w:szCs w:val="20"/>
                <w:lang w:val="hr-HR"/>
              </w:rPr>
              <w:t>j</w:t>
            </w:r>
            <w:r w:rsidRPr="0082654D">
              <w:rPr>
                <w:rFonts w:ascii="Times New Roman" w:hAnsi="Times New Roman" w:cs="Times New Roman"/>
                <w:iCs/>
                <w:szCs w:val="20"/>
                <w:lang w:val="hr-HR"/>
              </w:rPr>
              <w:t>etljivost: uključuje i alergijski dermatitis</w:t>
            </w:r>
          </w:p>
          <w:p w14:paraId="09BB620B" w14:textId="024F3D71"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3</w:t>
            </w:r>
            <w:r w:rsidRPr="0082654D">
              <w:rPr>
                <w:rFonts w:ascii="Times New Roman" w:hAnsi="Times New Roman" w:cs="Times New Roman"/>
                <w:iCs/>
                <w:szCs w:val="20"/>
                <w:lang w:val="hr-HR"/>
              </w:rPr>
              <w:tab/>
              <w:t>Ketoacidoza: uključuje i dijabetesnu ketoacidozu</w:t>
            </w:r>
            <w:r>
              <w:rPr>
                <w:rFonts w:ascii="Times New Roman" w:hAnsi="Times New Roman" w:cs="Times New Roman"/>
                <w:iCs/>
                <w:szCs w:val="20"/>
                <w:lang w:val="hr-HR"/>
              </w:rPr>
              <w:t xml:space="preserve"> </w:t>
            </w:r>
            <w:r w:rsidRPr="002A5E87">
              <w:rPr>
                <w:rFonts w:ascii="Times New Roman" w:hAnsi="Times New Roman" w:cs="Times New Roman"/>
                <w:iCs/>
                <w:szCs w:val="20"/>
                <w:lang w:val="hr-HR"/>
              </w:rPr>
              <w:t>(</w:t>
            </w:r>
            <w:r w:rsidR="00EF7C8E">
              <w:rPr>
                <w:rFonts w:ascii="Times New Roman" w:hAnsi="Times New Roman" w:cs="Times New Roman"/>
                <w:iCs/>
                <w:szCs w:val="20"/>
                <w:lang w:val="hr-HR"/>
              </w:rPr>
              <w:t>pogledati dio</w:t>
            </w:r>
            <w:r w:rsidRPr="002A5E87">
              <w:rPr>
                <w:rFonts w:ascii="Times New Roman" w:hAnsi="Times New Roman" w:cs="Times New Roman"/>
                <w:iCs/>
                <w:szCs w:val="20"/>
                <w:lang w:val="hr-HR"/>
              </w:rPr>
              <w:t xml:space="preserve"> 4.4)</w:t>
            </w:r>
          </w:p>
          <w:p w14:paraId="74AD0860"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4</w:t>
            </w:r>
            <w:r w:rsidRPr="0082654D">
              <w:rPr>
                <w:rFonts w:ascii="Times New Roman" w:hAnsi="Times New Roman" w:cs="Times New Roman"/>
                <w:iCs/>
                <w:szCs w:val="20"/>
                <w:lang w:val="hr-HR"/>
              </w:rPr>
              <w:tab/>
              <w:t>Disgeuzija: uključuje i ageuziju, hipogeuziju</w:t>
            </w:r>
          </w:p>
          <w:p w14:paraId="2D27368C"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5</w:t>
            </w:r>
            <w:r w:rsidRPr="0082654D">
              <w:rPr>
                <w:rFonts w:ascii="Times New Roman" w:hAnsi="Times New Roman" w:cs="Times New Roman"/>
                <w:iCs/>
                <w:szCs w:val="20"/>
                <w:lang w:val="hr-HR"/>
              </w:rPr>
              <w:tab/>
              <w:t>Pneumonitis: uključuje i intersticijalnu bolest pluća</w:t>
            </w:r>
          </w:p>
          <w:p w14:paraId="54647372"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6</w:t>
            </w:r>
            <w:r w:rsidRPr="0082654D">
              <w:rPr>
                <w:rFonts w:ascii="Times New Roman" w:hAnsi="Times New Roman" w:cs="Times New Roman"/>
                <w:iCs/>
                <w:szCs w:val="20"/>
                <w:lang w:val="hr-HR"/>
              </w:rPr>
              <w:tab/>
              <w:t>Stomatitis: uključuje i aftozni ulkus i ulceraciju usne šupljine</w:t>
            </w:r>
          </w:p>
          <w:p w14:paraId="2CADCD68"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7</w:t>
            </w:r>
            <w:r w:rsidRPr="0082654D">
              <w:rPr>
                <w:rFonts w:ascii="Times New Roman" w:hAnsi="Times New Roman" w:cs="Times New Roman"/>
                <w:iCs/>
                <w:szCs w:val="20"/>
                <w:lang w:val="hr-HR"/>
              </w:rPr>
              <w:tab/>
              <w:t>Osip: uključuje i makulopapularni osip, makularni osip, generalizovani osip, papularni osip, pruritični osip</w:t>
            </w:r>
          </w:p>
          <w:p w14:paraId="22ADE553"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8</w:t>
            </w:r>
            <w:r w:rsidRPr="0082654D">
              <w:rPr>
                <w:rFonts w:ascii="Times New Roman" w:hAnsi="Times New Roman" w:cs="Times New Roman"/>
                <w:iCs/>
                <w:szCs w:val="20"/>
                <w:lang w:val="hr-HR"/>
              </w:rPr>
              <w:tab/>
              <w:t>Suva koža: uključuje i fisure kože, kserozu, kserodermu</w:t>
            </w:r>
          </w:p>
          <w:p w14:paraId="04437321"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9</w:t>
            </w:r>
            <w:r w:rsidRPr="0082654D">
              <w:rPr>
                <w:rFonts w:ascii="Times New Roman" w:hAnsi="Times New Roman" w:cs="Times New Roman"/>
                <w:iCs/>
                <w:szCs w:val="20"/>
                <w:lang w:val="hr-HR"/>
              </w:rPr>
              <w:tab/>
              <w:t>Eritem: uključuje i generalizovani eritem</w:t>
            </w:r>
          </w:p>
          <w:p w14:paraId="2AA46187"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10</w:t>
            </w:r>
            <w:r w:rsidRPr="0082654D">
              <w:rPr>
                <w:rFonts w:ascii="Times New Roman" w:hAnsi="Times New Roman" w:cs="Times New Roman"/>
                <w:iCs/>
                <w:szCs w:val="20"/>
                <w:lang w:val="hr-HR"/>
              </w:rPr>
              <w:tab/>
              <w:t>Dermatitis: uključuje i akneiformni dermatitis</w:t>
            </w:r>
          </w:p>
          <w:p w14:paraId="7F3E35C8"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11</w:t>
            </w:r>
            <w:r w:rsidRPr="0082654D">
              <w:rPr>
                <w:rFonts w:ascii="Times New Roman" w:hAnsi="Times New Roman" w:cs="Times New Roman"/>
                <w:iCs/>
                <w:szCs w:val="20"/>
                <w:lang w:val="hr-HR"/>
              </w:rPr>
              <w:tab/>
              <w:t>Umor: uključuje i asteniju</w:t>
            </w:r>
          </w:p>
          <w:p w14:paraId="10A22D46" w14:textId="77777777" w:rsidR="00264ADA" w:rsidRPr="0082654D" w:rsidRDefault="00264ADA" w:rsidP="00264ADA">
            <w:pPr>
              <w:pStyle w:val="Table"/>
              <w:keepLines w:val="0"/>
              <w:shd w:val="clear" w:color="auto" w:fill="FFFFFF" w:themeFill="background1"/>
              <w:tabs>
                <w:tab w:val="clear" w:pos="284"/>
              </w:tabs>
              <w:spacing w:before="0" w:after="0"/>
              <w:ind w:left="567" w:hanging="567"/>
              <w:rPr>
                <w:rFonts w:ascii="Times New Roman" w:hAnsi="Times New Roman" w:cs="Times New Roman"/>
                <w:iCs/>
                <w:szCs w:val="20"/>
                <w:lang w:val="hr-HR"/>
              </w:rPr>
            </w:pPr>
            <w:r w:rsidRPr="0082654D">
              <w:rPr>
                <w:rFonts w:ascii="Times New Roman" w:hAnsi="Times New Roman" w:cs="Times New Roman"/>
                <w:iCs/>
                <w:szCs w:val="20"/>
                <w:vertAlign w:val="superscript"/>
                <w:lang w:val="hr-HR"/>
              </w:rPr>
              <w:t>12</w:t>
            </w:r>
            <w:r w:rsidRPr="0082654D">
              <w:rPr>
                <w:rFonts w:ascii="Times New Roman" w:hAnsi="Times New Roman" w:cs="Times New Roman"/>
                <w:iCs/>
                <w:szCs w:val="20"/>
                <w:lang w:val="hr-HR"/>
              </w:rPr>
              <w:tab/>
              <w:t>Suvoća sluznice: uključuje i suva usta, vulvovaginalnu suvoću</w:t>
            </w:r>
          </w:p>
          <w:p w14:paraId="38AF9465" w14:textId="77777777" w:rsidR="00264ADA" w:rsidRPr="0082654D" w:rsidRDefault="00264ADA" w:rsidP="00264ADA">
            <w:pPr>
              <w:shd w:val="clear" w:color="auto" w:fill="FFFFFF" w:themeFill="background1"/>
              <w:autoSpaceDE w:val="0"/>
              <w:autoSpaceDN w:val="0"/>
              <w:adjustRightInd w:val="0"/>
              <w:ind w:left="567" w:hanging="567"/>
              <w:rPr>
                <w:iCs/>
                <w:sz w:val="22"/>
                <w:szCs w:val="22"/>
                <w:vertAlign w:val="superscript"/>
                <w:lang w:val="hr-HR"/>
              </w:rPr>
            </w:pPr>
            <w:r w:rsidRPr="0082654D">
              <w:rPr>
                <w:rFonts w:eastAsia="MS Mincho"/>
                <w:iCs/>
                <w:sz w:val="20"/>
                <w:szCs w:val="20"/>
                <w:vertAlign w:val="superscript"/>
                <w:lang w:val="hr-HR" w:eastAsia="zh-CN"/>
              </w:rPr>
              <w:t xml:space="preserve">13             </w:t>
            </w:r>
            <w:r w:rsidRPr="0082654D">
              <w:rPr>
                <w:rFonts w:eastAsia="MS Mincho"/>
                <w:iCs/>
                <w:sz w:val="20"/>
                <w:szCs w:val="20"/>
                <w:lang w:val="hr-HR" w:eastAsia="zh-CN"/>
              </w:rPr>
              <w:t>Edem: uključuje i oticanje lica, edem lica, edem kapka</w:t>
            </w:r>
          </w:p>
        </w:tc>
      </w:tr>
    </w:tbl>
    <w:p w14:paraId="2B1204B9" w14:textId="77777777" w:rsidR="0082654D" w:rsidRPr="0082654D" w:rsidRDefault="0082654D" w:rsidP="0082654D">
      <w:pPr>
        <w:shd w:val="clear" w:color="auto" w:fill="FFFFFF" w:themeFill="background1"/>
        <w:autoSpaceDE w:val="0"/>
        <w:autoSpaceDN w:val="0"/>
        <w:adjustRightInd w:val="0"/>
        <w:rPr>
          <w:sz w:val="22"/>
          <w:szCs w:val="22"/>
          <w:lang w:val="hr-HR"/>
        </w:rPr>
      </w:pPr>
    </w:p>
    <w:p w14:paraId="6D4C0984" w14:textId="77777777" w:rsidR="0082654D" w:rsidRPr="0082654D" w:rsidRDefault="0082654D" w:rsidP="007F6B1A">
      <w:pPr>
        <w:keepNext/>
        <w:shd w:val="clear" w:color="auto" w:fill="FFFFFF" w:themeFill="background1"/>
        <w:autoSpaceDE w:val="0"/>
        <w:autoSpaceDN w:val="0"/>
        <w:adjustRightInd w:val="0"/>
        <w:jc w:val="both"/>
        <w:rPr>
          <w:sz w:val="22"/>
          <w:szCs w:val="22"/>
          <w:lang w:val="hr-HR"/>
        </w:rPr>
      </w:pPr>
      <w:r w:rsidRPr="0082654D">
        <w:rPr>
          <w:sz w:val="22"/>
          <w:szCs w:val="22"/>
          <w:u w:val="single"/>
          <w:lang w:val="hr-HR"/>
        </w:rPr>
        <w:t>Opis odabranih neželjenih reakcjia</w:t>
      </w:r>
    </w:p>
    <w:p w14:paraId="191604C4" w14:textId="77777777" w:rsidR="0082654D" w:rsidRPr="0082654D" w:rsidRDefault="0082654D" w:rsidP="007F6B1A">
      <w:pPr>
        <w:keepNext/>
        <w:shd w:val="clear" w:color="auto" w:fill="FFFFFF" w:themeFill="background1"/>
        <w:autoSpaceDE w:val="0"/>
        <w:autoSpaceDN w:val="0"/>
        <w:adjustRightInd w:val="0"/>
        <w:jc w:val="both"/>
        <w:rPr>
          <w:sz w:val="22"/>
          <w:szCs w:val="22"/>
          <w:lang w:val="hr-HR"/>
        </w:rPr>
      </w:pPr>
    </w:p>
    <w:p w14:paraId="7CC197C2" w14:textId="77777777" w:rsidR="0082654D" w:rsidRPr="0082654D" w:rsidRDefault="0082654D" w:rsidP="007F6B1A">
      <w:pPr>
        <w:keepNext/>
        <w:shd w:val="clear" w:color="auto" w:fill="FFFFFF" w:themeFill="background1"/>
        <w:autoSpaceDE w:val="0"/>
        <w:autoSpaceDN w:val="0"/>
        <w:adjustRightInd w:val="0"/>
        <w:jc w:val="both"/>
        <w:rPr>
          <w:bCs/>
          <w:i/>
          <w:sz w:val="22"/>
          <w:szCs w:val="22"/>
          <w:u w:val="single"/>
          <w:lang w:val="hr-HR"/>
        </w:rPr>
      </w:pPr>
      <w:r w:rsidRPr="0082654D">
        <w:rPr>
          <w:bCs/>
          <w:i/>
          <w:sz w:val="22"/>
          <w:szCs w:val="22"/>
          <w:u w:val="single"/>
          <w:lang w:val="hr-HR"/>
        </w:rPr>
        <w:t>Hiperglikemija</w:t>
      </w:r>
    </w:p>
    <w:p w14:paraId="29E7F566" w14:textId="1A047D54" w:rsidR="0082654D" w:rsidRPr="0082654D" w:rsidRDefault="0082654D" w:rsidP="007F6B1A">
      <w:pPr>
        <w:shd w:val="clear" w:color="auto" w:fill="FFFFFF" w:themeFill="background1"/>
        <w:jc w:val="both"/>
        <w:rPr>
          <w:sz w:val="22"/>
          <w:szCs w:val="22"/>
          <w:lang w:val="hr-HR"/>
        </w:rPr>
      </w:pPr>
      <w:r w:rsidRPr="0082654D">
        <w:rPr>
          <w:sz w:val="22"/>
          <w:szCs w:val="22"/>
          <w:lang w:val="hr-HR"/>
        </w:rPr>
        <w:t xml:space="preserve">Hiperglikemija je bila prijavljena kod </w:t>
      </w:r>
      <w:r w:rsidR="00491E0A" w:rsidRPr="0082654D">
        <w:rPr>
          <w:sz w:val="22"/>
          <w:szCs w:val="22"/>
          <w:lang w:val="hr-HR"/>
        </w:rPr>
        <w:t>19</w:t>
      </w:r>
      <w:r w:rsidR="00491E0A">
        <w:rPr>
          <w:sz w:val="22"/>
          <w:szCs w:val="22"/>
          <w:lang w:val="hr-HR"/>
        </w:rPr>
        <w:t>1</w:t>
      </w:r>
      <w:r w:rsidR="00491E0A" w:rsidRPr="0082654D">
        <w:rPr>
          <w:sz w:val="22"/>
          <w:szCs w:val="22"/>
          <w:lang w:val="hr-HR"/>
        </w:rPr>
        <w:t xml:space="preserve"> </w:t>
      </w:r>
      <w:r w:rsidRPr="0082654D">
        <w:rPr>
          <w:sz w:val="22"/>
          <w:szCs w:val="22"/>
          <w:lang w:val="hr-HR"/>
        </w:rPr>
        <w:t>(</w:t>
      </w:r>
      <w:r w:rsidR="00491E0A" w:rsidRPr="0082654D">
        <w:rPr>
          <w:sz w:val="22"/>
          <w:szCs w:val="22"/>
          <w:lang w:val="hr-HR"/>
        </w:rPr>
        <w:t>6</w:t>
      </w:r>
      <w:r w:rsidR="00491E0A">
        <w:rPr>
          <w:sz w:val="22"/>
          <w:szCs w:val="22"/>
          <w:lang w:val="hr-HR"/>
        </w:rPr>
        <w:t>7</w:t>
      </w:r>
      <w:r w:rsidRPr="0082654D">
        <w:rPr>
          <w:sz w:val="22"/>
          <w:szCs w:val="22"/>
          <w:lang w:val="hr-HR"/>
        </w:rPr>
        <w:t>,</w:t>
      </w:r>
      <w:r w:rsidR="00491E0A">
        <w:rPr>
          <w:sz w:val="22"/>
          <w:szCs w:val="22"/>
          <w:lang w:val="hr-HR"/>
        </w:rPr>
        <w:t>3</w:t>
      </w:r>
      <w:r w:rsidRPr="0082654D">
        <w:rPr>
          <w:sz w:val="22"/>
          <w:szCs w:val="22"/>
          <w:lang w:val="hr-HR"/>
        </w:rPr>
        <w:t>%) pacijenata; događaji 2. stepena (glukoza u plazmi natašte</w:t>
      </w:r>
      <w:r w:rsidR="00491E0A" w:rsidRPr="00491E0A">
        <w:rPr>
          <w:sz w:val="22"/>
          <w:szCs w:val="22"/>
          <w:lang w:val="hr-HR"/>
        </w:rPr>
        <w:t xml:space="preserve"> &gt;</w:t>
      </w:r>
      <w:r w:rsidRPr="0082654D">
        <w:rPr>
          <w:sz w:val="22"/>
          <w:szCs w:val="22"/>
          <w:lang w:val="hr-HR"/>
        </w:rPr>
        <w:t xml:space="preserve"> 160</w:t>
      </w:r>
      <w:r w:rsidRPr="0082654D">
        <w:rPr>
          <w:sz w:val="22"/>
          <w:szCs w:val="22"/>
          <w:lang w:val="hr-HR"/>
        </w:rPr>
        <w:noBreakHyphen/>
        <w:t xml:space="preserve">250 mg/dL) bili su prijavljeni kod </w:t>
      </w:r>
      <w:r w:rsidR="00491E0A" w:rsidRPr="0082654D">
        <w:rPr>
          <w:sz w:val="22"/>
          <w:szCs w:val="22"/>
          <w:lang w:val="hr-HR"/>
        </w:rPr>
        <w:t>1</w:t>
      </w:r>
      <w:r w:rsidR="00491E0A">
        <w:rPr>
          <w:sz w:val="22"/>
          <w:szCs w:val="22"/>
          <w:lang w:val="hr-HR"/>
        </w:rPr>
        <w:t>5</w:t>
      </w:r>
      <w:r w:rsidRPr="0082654D">
        <w:rPr>
          <w:sz w:val="22"/>
          <w:szCs w:val="22"/>
          <w:lang w:val="hr-HR"/>
        </w:rPr>
        <w:t>,</w:t>
      </w:r>
      <w:r w:rsidR="00491E0A">
        <w:rPr>
          <w:sz w:val="22"/>
          <w:szCs w:val="22"/>
          <w:lang w:val="hr-HR"/>
        </w:rPr>
        <w:t>8</w:t>
      </w:r>
      <w:r w:rsidRPr="0082654D">
        <w:rPr>
          <w:sz w:val="22"/>
          <w:szCs w:val="22"/>
          <w:lang w:val="hr-HR"/>
        </w:rPr>
        <w:t>%, 3. stepena (glukoza u plazmi natašte &gt;250</w:t>
      </w:r>
      <w:r w:rsidRPr="0082654D">
        <w:rPr>
          <w:sz w:val="22"/>
          <w:szCs w:val="22"/>
          <w:lang w:val="hr-HR"/>
        </w:rPr>
        <w:noBreakHyphen/>
        <w:t xml:space="preserve">500 mg/dL) kod </w:t>
      </w:r>
      <w:r w:rsidR="00491E0A" w:rsidRPr="0082654D">
        <w:rPr>
          <w:sz w:val="22"/>
          <w:szCs w:val="22"/>
          <w:lang w:val="hr-HR"/>
        </w:rPr>
        <w:t>3</w:t>
      </w:r>
      <w:r w:rsidR="00491E0A">
        <w:rPr>
          <w:sz w:val="22"/>
          <w:szCs w:val="22"/>
          <w:lang w:val="hr-HR"/>
        </w:rPr>
        <w:t>4</w:t>
      </w:r>
      <w:r w:rsidRPr="0082654D">
        <w:rPr>
          <w:sz w:val="22"/>
          <w:szCs w:val="22"/>
          <w:lang w:val="hr-HR"/>
        </w:rPr>
        <w:t>,</w:t>
      </w:r>
      <w:r w:rsidR="00491E0A">
        <w:rPr>
          <w:sz w:val="22"/>
          <w:szCs w:val="22"/>
          <w:lang w:val="hr-HR"/>
        </w:rPr>
        <w:t>5</w:t>
      </w:r>
      <w:r w:rsidRPr="0082654D">
        <w:rPr>
          <w:sz w:val="22"/>
          <w:szCs w:val="22"/>
          <w:lang w:val="hr-HR"/>
        </w:rPr>
        <w:t>%, a 4. stepena (glukoza u plazmi natašte &gt;500 mg/dL) kod 4,6% pacijenata.</w:t>
      </w:r>
    </w:p>
    <w:p w14:paraId="42BE10B6" w14:textId="77777777" w:rsidR="0082654D" w:rsidRPr="0082654D" w:rsidRDefault="0082654D" w:rsidP="007F6B1A">
      <w:pPr>
        <w:shd w:val="clear" w:color="auto" w:fill="FFFFFF" w:themeFill="background1"/>
        <w:jc w:val="both"/>
        <w:rPr>
          <w:sz w:val="22"/>
          <w:szCs w:val="22"/>
          <w:lang w:val="hr-HR"/>
        </w:rPr>
      </w:pPr>
    </w:p>
    <w:p w14:paraId="1093FAF9" w14:textId="4573518B" w:rsidR="0082654D" w:rsidRPr="0082654D" w:rsidRDefault="0082654D" w:rsidP="007F6B1A">
      <w:pPr>
        <w:jc w:val="both"/>
        <w:rPr>
          <w:sz w:val="22"/>
          <w:szCs w:val="22"/>
          <w:lang w:val="hr-HR"/>
        </w:rPr>
      </w:pPr>
      <w:r w:rsidRPr="0082654D">
        <w:rPr>
          <w:sz w:val="22"/>
          <w:szCs w:val="22"/>
          <w:lang w:val="hr-HR"/>
        </w:rPr>
        <w:t xml:space="preserve">Na osnovu početnih </w:t>
      </w:r>
      <w:r w:rsidR="002A51AB">
        <w:rPr>
          <w:sz w:val="22"/>
          <w:szCs w:val="22"/>
          <w:lang w:val="hr-HR"/>
        </w:rPr>
        <w:t>vrijednost</w:t>
      </w:r>
      <w:r w:rsidRPr="0082654D">
        <w:rPr>
          <w:sz w:val="22"/>
          <w:szCs w:val="22"/>
          <w:lang w:val="hr-HR"/>
        </w:rPr>
        <w:t>i glukoze u plazmi natašte i HbA1c, 56% pacijenata smatralo se preddijabetičarima (glukoza u plazmi natašte &gt;100</w:t>
      </w:r>
      <w:r w:rsidRPr="0082654D">
        <w:rPr>
          <w:sz w:val="22"/>
          <w:szCs w:val="22"/>
          <w:lang w:val="hr-HR"/>
        </w:rPr>
        <w:noBreakHyphen/>
      </w:r>
      <w:r w:rsidR="00491E0A" w:rsidRPr="0082654D">
        <w:rPr>
          <w:sz w:val="22"/>
          <w:szCs w:val="22"/>
          <w:lang w:val="hr-HR"/>
        </w:rPr>
        <w:t>12</w:t>
      </w:r>
      <w:r w:rsidR="00491E0A">
        <w:rPr>
          <w:sz w:val="22"/>
          <w:szCs w:val="22"/>
          <w:lang w:val="hr-HR"/>
        </w:rPr>
        <w:t>5</w:t>
      </w:r>
      <w:r w:rsidR="00491E0A" w:rsidRPr="0082654D">
        <w:rPr>
          <w:sz w:val="22"/>
          <w:szCs w:val="22"/>
          <w:lang w:val="hr-HR"/>
        </w:rPr>
        <w:t> </w:t>
      </w:r>
      <w:r w:rsidRPr="0082654D">
        <w:rPr>
          <w:sz w:val="22"/>
          <w:szCs w:val="22"/>
          <w:lang w:val="hr-HR"/>
        </w:rPr>
        <w:t>mg/dL [5,6 do 6,9 mmol/L] i/ili HbA1c 5,7</w:t>
      </w:r>
      <w:r w:rsidRPr="0082654D">
        <w:rPr>
          <w:sz w:val="22"/>
          <w:szCs w:val="22"/>
          <w:lang w:val="hr-HR"/>
        </w:rPr>
        <w:noBreakHyphen/>
        <w:t xml:space="preserve">6,4%), dok se 4,2% pacijenata smatralo dijabetičarima (glukoza u plazmi natašte ≥126 mg/dL [≥7,0 mmol/L] i/ili HbA1c ≥6,5%). Kod </w:t>
      </w:r>
      <w:r w:rsidR="00491E0A" w:rsidRPr="0082654D">
        <w:rPr>
          <w:sz w:val="22"/>
          <w:szCs w:val="22"/>
          <w:lang w:val="hr-HR"/>
        </w:rPr>
        <w:t>7</w:t>
      </w:r>
      <w:r w:rsidR="00491E0A">
        <w:rPr>
          <w:sz w:val="22"/>
          <w:szCs w:val="22"/>
          <w:lang w:val="hr-HR"/>
        </w:rPr>
        <w:t>5</w:t>
      </w:r>
      <w:r w:rsidRPr="0082654D">
        <w:rPr>
          <w:sz w:val="22"/>
          <w:szCs w:val="22"/>
          <w:lang w:val="hr-HR"/>
        </w:rPr>
        <w:t>,</w:t>
      </w:r>
      <w:r w:rsidR="00491E0A">
        <w:rPr>
          <w:sz w:val="22"/>
          <w:szCs w:val="22"/>
          <w:lang w:val="hr-HR"/>
        </w:rPr>
        <w:t>5</w:t>
      </w:r>
      <w:r w:rsidRPr="0082654D">
        <w:rPr>
          <w:sz w:val="22"/>
          <w:szCs w:val="22"/>
          <w:lang w:val="hr-HR"/>
        </w:rPr>
        <w:t xml:space="preserve">% pacijenata koji su na početku bili preddijabetičari pojavila se hiperglikemija (bilo kojeg stepena) tokom </w:t>
      </w:r>
      <w:r w:rsidR="00B66BE0">
        <w:rPr>
          <w:sz w:val="22"/>
          <w:szCs w:val="22"/>
          <w:lang w:val="hr-HR"/>
        </w:rPr>
        <w:t>liječenj</w:t>
      </w:r>
      <w:r w:rsidRPr="0082654D">
        <w:rPr>
          <w:sz w:val="22"/>
          <w:szCs w:val="22"/>
          <w:lang w:val="hr-HR"/>
        </w:rPr>
        <w:t xml:space="preserve">a alpelisibom. Kod svih pacijenata sa hiperglikemijom ≥ 2. stepena (glukoza u plazmi natašte ≥160 mg/dL), medijana </w:t>
      </w:r>
      <w:r w:rsidR="00C233FD">
        <w:rPr>
          <w:sz w:val="22"/>
          <w:szCs w:val="22"/>
          <w:lang w:val="hr-HR"/>
        </w:rPr>
        <w:t>vremena</w:t>
      </w:r>
      <w:r w:rsidRPr="0082654D">
        <w:rPr>
          <w:sz w:val="22"/>
          <w:szCs w:val="22"/>
          <w:lang w:val="hr-HR"/>
        </w:rPr>
        <w:t xml:space="preserve"> do prve pojave bila je 15 dana (raspon: 5 dana do </w:t>
      </w:r>
      <w:r w:rsidR="00491E0A">
        <w:rPr>
          <w:sz w:val="22"/>
          <w:szCs w:val="22"/>
          <w:lang w:val="hr-HR"/>
        </w:rPr>
        <w:t>1458</w:t>
      </w:r>
      <w:r w:rsidR="00491E0A" w:rsidRPr="0082654D">
        <w:rPr>
          <w:sz w:val="22"/>
          <w:szCs w:val="22"/>
          <w:lang w:val="hr-HR"/>
        </w:rPr>
        <w:t> </w:t>
      </w:r>
      <w:r w:rsidRPr="0082654D">
        <w:rPr>
          <w:sz w:val="22"/>
          <w:szCs w:val="22"/>
          <w:lang w:val="hr-HR"/>
        </w:rPr>
        <w:t xml:space="preserve">dana) (na osnovu laboratorijskih nalaza). Medijana trajanja hiperglikemije ≥ 2. stepena bila je 10 dana (95% CI: 8 do 13 dana). Kod pacijenata sa hiperglikemijom ≥2. stepena, medijana </w:t>
      </w:r>
      <w:r w:rsidR="00C233FD">
        <w:rPr>
          <w:sz w:val="22"/>
          <w:szCs w:val="22"/>
          <w:lang w:val="hr-HR"/>
        </w:rPr>
        <w:t>vremena</w:t>
      </w:r>
      <w:r w:rsidRPr="0082654D">
        <w:rPr>
          <w:sz w:val="22"/>
          <w:szCs w:val="22"/>
          <w:lang w:val="hr-HR"/>
        </w:rPr>
        <w:t xml:space="preserve"> do poboljšanja (za barem jedan stepena od prvog događaja) bila je 8 dana (95% CI: 8 do 10 dana). Kod </w:t>
      </w:r>
      <w:r w:rsidR="00491E0A" w:rsidRPr="00491E0A">
        <w:rPr>
          <w:sz w:val="22"/>
          <w:szCs w:val="22"/>
          <w:lang w:val="hr-HR"/>
        </w:rPr>
        <w:t>93,4%</w:t>
      </w:r>
      <w:r w:rsidRPr="0082654D">
        <w:rPr>
          <w:sz w:val="22"/>
          <w:szCs w:val="22"/>
          <w:lang w:val="hr-HR"/>
        </w:rPr>
        <w:t xml:space="preserve"> pacijenata koji su nastavili sa fulvestrantom nakon što su prestali da uzimaj</w:t>
      </w:r>
      <w:r w:rsidR="007F6B1A">
        <w:rPr>
          <w:sz w:val="22"/>
          <w:szCs w:val="22"/>
          <w:lang w:val="hr-HR"/>
        </w:rPr>
        <w:t>u</w:t>
      </w:r>
      <w:r w:rsidRPr="0082654D">
        <w:rPr>
          <w:sz w:val="22"/>
          <w:szCs w:val="22"/>
          <w:lang w:val="hr-HR"/>
        </w:rPr>
        <w:t xml:space="preserve"> </w:t>
      </w:r>
      <w:r w:rsidR="00C10B32">
        <w:rPr>
          <w:sz w:val="22"/>
          <w:szCs w:val="22"/>
          <w:lang w:val="hr-HR"/>
        </w:rPr>
        <w:t>lijek</w:t>
      </w:r>
      <w:r w:rsidRPr="0082654D">
        <w:rPr>
          <w:sz w:val="22"/>
          <w:szCs w:val="22"/>
          <w:lang w:val="hr-HR"/>
        </w:rPr>
        <w:t xml:space="preserve"> Piqray, nivoi glukoze u plazmi natašte vratili su se na početnu </w:t>
      </w:r>
      <w:r w:rsidR="002A51AB">
        <w:rPr>
          <w:sz w:val="22"/>
          <w:szCs w:val="22"/>
          <w:lang w:val="hr-HR"/>
        </w:rPr>
        <w:t>vrijednost</w:t>
      </w:r>
      <w:r w:rsidRPr="0082654D">
        <w:rPr>
          <w:sz w:val="22"/>
          <w:szCs w:val="22"/>
          <w:lang w:val="hr-HR"/>
        </w:rPr>
        <w:t xml:space="preserve"> (normalnu).</w:t>
      </w:r>
    </w:p>
    <w:p w14:paraId="180FE8AB" w14:textId="77777777" w:rsidR="0082654D" w:rsidRPr="0082654D" w:rsidRDefault="0082654D" w:rsidP="0082654D">
      <w:pPr>
        <w:shd w:val="clear" w:color="auto" w:fill="FFFFFF" w:themeFill="background1"/>
        <w:rPr>
          <w:sz w:val="22"/>
          <w:szCs w:val="22"/>
          <w:lang w:val="hr-HR"/>
        </w:rPr>
      </w:pPr>
    </w:p>
    <w:p w14:paraId="355DA32A" w14:textId="1F3C54EB" w:rsidR="0082654D" w:rsidRPr="0082654D" w:rsidRDefault="0082654D" w:rsidP="0082654D">
      <w:pPr>
        <w:shd w:val="clear" w:color="auto" w:fill="FFFFFF" w:themeFill="background1"/>
        <w:rPr>
          <w:sz w:val="22"/>
          <w:szCs w:val="22"/>
          <w:lang w:val="hr-HR"/>
        </w:rPr>
      </w:pPr>
      <w:r w:rsidRPr="0082654D">
        <w:rPr>
          <w:sz w:val="22"/>
          <w:szCs w:val="22"/>
          <w:lang w:val="hr-HR"/>
        </w:rPr>
        <w:t xml:space="preserve">Hiperglikemija je bila zbrinuta antidijabeticima, </w:t>
      </w:r>
      <w:r w:rsidR="00EF7C8E">
        <w:rPr>
          <w:sz w:val="22"/>
          <w:szCs w:val="22"/>
          <w:lang w:val="hr-HR"/>
        </w:rPr>
        <w:t>pogledati dio</w:t>
      </w:r>
      <w:r w:rsidRPr="0082654D">
        <w:rPr>
          <w:sz w:val="22"/>
          <w:szCs w:val="22"/>
          <w:lang w:val="hr-HR"/>
        </w:rPr>
        <w:t xml:space="preserve"> 4.4.</w:t>
      </w:r>
    </w:p>
    <w:p w14:paraId="64496131" w14:textId="77777777" w:rsidR="0082654D" w:rsidRPr="0082654D" w:rsidRDefault="0082654D" w:rsidP="0082654D">
      <w:pPr>
        <w:shd w:val="clear" w:color="auto" w:fill="FFFFFF" w:themeFill="background1"/>
        <w:rPr>
          <w:sz w:val="22"/>
          <w:szCs w:val="22"/>
          <w:lang w:val="hr-HR"/>
        </w:rPr>
      </w:pPr>
    </w:p>
    <w:p w14:paraId="6E2273F5" w14:textId="77777777" w:rsidR="0082654D" w:rsidRPr="0082654D" w:rsidRDefault="0082654D" w:rsidP="007F6B1A">
      <w:pPr>
        <w:keepNext/>
        <w:shd w:val="clear" w:color="auto" w:fill="FFFFFF" w:themeFill="background1"/>
        <w:autoSpaceDE w:val="0"/>
        <w:autoSpaceDN w:val="0"/>
        <w:adjustRightInd w:val="0"/>
        <w:jc w:val="both"/>
        <w:rPr>
          <w:bCs/>
          <w:i/>
          <w:sz w:val="22"/>
          <w:szCs w:val="22"/>
          <w:u w:val="single"/>
          <w:lang w:val="hr-HR"/>
        </w:rPr>
      </w:pPr>
      <w:r w:rsidRPr="0082654D">
        <w:rPr>
          <w:bCs/>
          <w:i/>
          <w:sz w:val="22"/>
          <w:szCs w:val="22"/>
          <w:u w:val="single"/>
          <w:lang w:val="hr-HR"/>
        </w:rPr>
        <w:t>Osip</w:t>
      </w:r>
    </w:p>
    <w:p w14:paraId="3AC77212" w14:textId="29D5428E" w:rsidR="0082654D" w:rsidRPr="0082654D" w:rsidRDefault="0082654D" w:rsidP="007F6B1A">
      <w:pPr>
        <w:shd w:val="clear" w:color="auto" w:fill="FFFFFF" w:themeFill="background1"/>
        <w:jc w:val="both"/>
        <w:rPr>
          <w:sz w:val="22"/>
          <w:szCs w:val="22"/>
          <w:lang w:val="hr-HR"/>
        </w:rPr>
      </w:pPr>
      <w:r w:rsidRPr="0082654D">
        <w:rPr>
          <w:sz w:val="22"/>
          <w:szCs w:val="22"/>
          <w:lang w:val="hr-HR"/>
        </w:rPr>
        <w:t xml:space="preserve">Slučajevi osipa (uključujući makulopapularni, makularni, generaliziovani, papularni i pruritični osip, dermatitis i akneiformni dermatitis) prijavljeni su kod </w:t>
      </w:r>
      <w:r w:rsidR="00EF0DCC" w:rsidRPr="0082654D">
        <w:rPr>
          <w:sz w:val="22"/>
          <w:szCs w:val="22"/>
          <w:lang w:val="hr-HR"/>
        </w:rPr>
        <w:t>15</w:t>
      </w:r>
      <w:r w:rsidR="00EF0DCC">
        <w:rPr>
          <w:sz w:val="22"/>
          <w:szCs w:val="22"/>
          <w:lang w:val="hr-HR"/>
        </w:rPr>
        <w:t>4</w:t>
      </w:r>
      <w:r w:rsidR="00EF0DCC" w:rsidRPr="0082654D">
        <w:rPr>
          <w:sz w:val="22"/>
          <w:szCs w:val="22"/>
          <w:lang w:val="hr-HR"/>
        </w:rPr>
        <w:t xml:space="preserve"> </w:t>
      </w:r>
      <w:r w:rsidRPr="0082654D">
        <w:rPr>
          <w:sz w:val="22"/>
          <w:szCs w:val="22"/>
          <w:lang w:val="hr-HR"/>
        </w:rPr>
        <w:t>(</w:t>
      </w:r>
      <w:r w:rsidR="00EF0DCC" w:rsidRPr="0082654D">
        <w:rPr>
          <w:sz w:val="22"/>
          <w:szCs w:val="22"/>
          <w:lang w:val="hr-HR"/>
        </w:rPr>
        <w:t>5</w:t>
      </w:r>
      <w:r w:rsidR="00EF0DCC">
        <w:rPr>
          <w:sz w:val="22"/>
          <w:szCs w:val="22"/>
          <w:lang w:val="hr-HR"/>
        </w:rPr>
        <w:t>4</w:t>
      </w:r>
      <w:r w:rsidRPr="0082654D">
        <w:rPr>
          <w:sz w:val="22"/>
          <w:szCs w:val="22"/>
          <w:lang w:val="hr-HR"/>
        </w:rPr>
        <w:t>,</w:t>
      </w:r>
      <w:r w:rsidR="00EF0DCC">
        <w:rPr>
          <w:sz w:val="22"/>
          <w:szCs w:val="22"/>
          <w:lang w:val="hr-HR"/>
        </w:rPr>
        <w:t>2</w:t>
      </w:r>
      <w:r w:rsidRPr="0082654D">
        <w:rPr>
          <w:sz w:val="22"/>
          <w:szCs w:val="22"/>
          <w:lang w:val="hr-HR"/>
        </w:rPr>
        <w:t>%) pacijenata. Osip je pretežno bio blag ili um</w:t>
      </w:r>
      <w:r w:rsidR="007F6B1A">
        <w:rPr>
          <w:sz w:val="22"/>
          <w:szCs w:val="22"/>
          <w:lang w:val="hr-HR"/>
        </w:rPr>
        <w:t>j</w:t>
      </w:r>
      <w:r w:rsidRPr="0082654D">
        <w:rPr>
          <w:sz w:val="22"/>
          <w:szCs w:val="22"/>
          <w:lang w:val="hr-HR"/>
        </w:rPr>
        <w:t>eren (1.</w:t>
      </w:r>
      <w:r w:rsidR="00EF05A7">
        <w:rPr>
          <w:sz w:val="22"/>
          <w:szCs w:val="22"/>
          <w:lang w:val="hr-HR"/>
        </w:rPr>
        <w:t xml:space="preserve"> </w:t>
      </w:r>
      <w:r w:rsidRPr="0082654D">
        <w:rPr>
          <w:sz w:val="22"/>
          <w:szCs w:val="22"/>
          <w:lang w:val="hr-HR"/>
        </w:rPr>
        <w:t xml:space="preserve">ili 2. stepena) i reagovao je na terapiju, a u nekim slučajevima osip je bio praćen </w:t>
      </w:r>
      <w:r w:rsidRPr="0082654D">
        <w:rPr>
          <w:sz w:val="22"/>
          <w:szCs w:val="22"/>
          <w:lang w:val="hr-HR"/>
        </w:rPr>
        <w:lastRenderedPageBreak/>
        <w:t xml:space="preserve">pruritusom i suvom kožom. Slučajevi osipa koji su bili 2. i 3. stepena prijavljeni su kod 13,7%, odnosno 20,1% pacijenata, uz medijanu </w:t>
      </w:r>
      <w:r w:rsidR="00C233FD">
        <w:rPr>
          <w:sz w:val="22"/>
          <w:szCs w:val="22"/>
          <w:lang w:val="hr-HR"/>
        </w:rPr>
        <w:t>vremena</w:t>
      </w:r>
      <w:r w:rsidRPr="0082654D">
        <w:rPr>
          <w:sz w:val="22"/>
          <w:szCs w:val="22"/>
          <w:lang w:val="hr-HR"/>
        </w:rPr>
        <w:t xml:space="preserve"> do prvog nastupa od 12 dana (raspon: 2 dana do 220 dana).</w:t>
      </w:r>
    </w:p>
    <w:p w14:paraId="106FDDF4" w14:textId="77777777" w:rsidR="0082654D" w:rsidRPr="0082654D" w:rsidRDefault="0082654D" w:rsidP="007F6B1A">
      <w:pPr>
        <w:shd w:val="clear" w:color="auto" w:fill="FFFFFF" w:themeFill="background1"/>
        <w:jc w:val="both"/>
        <w:rPr>
          <w:sz w:val="22"/>
          <w:szCs w:val="22"/>
          <w:lang w:val="hr-HR"/>
        </w:rPr>
      </w:pPr>
    </w:p>
    <w:p w14:paraId="2EA2A312" w14:textId="1303F789" w:rsidR="0082654D" w:rsidRPr="0082654D" w:rsidRDefault="0082654D" w:rsidP="007F6B1A">
      <w:pPr>
        <w:shd w:val="clear" w:color="auto" w:fill="FFFFFF" w:themeFill="background1"/>
        <w:tabs>
          <w:tab w:val="left" w:pos="900"/>
        </w:tabs>
        <w:jc w:val="both"/>
        <w:rPr>
          <w:sz w:val="22"/>
          <w:szCs w:val="22"/>
          <w:lang w:val="hr-HR"/>
        </w:rPr>
      </w:pPr>
      <w:r w:rsidRPr="0082654D">
        <w:rPr>
          <w:sz w:val="22"/>
          <w:szCs w:val="22"/>
          <w:lang w:val="hr-HR"/>
        </w:rPr>
        <w:t xml:space="preserve">Među pacijentima koji su primali profilaktičko </w:t>
      </w:r>
      <w:r w:rsidR="00B66BE0">
        <w:rPr>
          <w:sz w:val="22"/>
          <w:szCs w:val="22"/>
          <w:lang w:val="hr-HR"/>
        </w:rPr>
        <w:t>liječenj</w:t>
      </w:r>
      <w:r w:rsidRPr="0082654D">
        <w:rPr>
          <w:sz w:val="22"/>
          <w:szCs w:val="22"/>
          <w:lang w:val="hr-HR"/>
        </w:rPr>
        <w:t xml:space="preserve">e protiv osipa uključujući antihistaminike, osip je bio prijavljen manje učestalo nego u ukupnoj populaciji; </w:t>
      </w:r>
      <w:r w:rsidR="00EF0DCC" w:rsidRPr="0082654D">
        <w:rPr>
          <w:sz w:val="22"/>
          <w:szCs w:val="22"/>
          <w:lang w:val="hr-HR"/>
        </w:rPr>
        <w:t>2</w:t>
      </w:r>
      <w:r w:rsidR="00EF0DCC">
        <w:rPr>
          <w:sz w:val="22"/>
          <w:szCs w:val="22"/>
          <w:lang w:val="hr-HR"/>
        </w:rPr>
        <w:t>5</w:t>
      </w:r>
      <w:r w:rsidRPr="0082654D">
        <w:rPr>
          <w:sz w:val="22"/>
          <w:szCs w:val="22"/>
          <w:lang w:val="hr-HR"/>
        </w:rPr>
        <w:t>,</w:t>
      </w:r>
      <w:r w:rsidR="00EF0DCC">
        <w:rPr>
          <w:sz w:val="22"/>
          <w:szCs w:val="22"/>
          <w:lang w:val="hr-HR"/>
        </w:rPr>
        <w:t>8</w:t>
      </w:r>
      <w:r w:rsidRPr="0082654D">
        <w:rPr>
          <w:sz w:val="22"/>
          <w:szCs w:val="22"/>
          <w:lang w:val="hr-HR"/>
        </w:rPr>
        <w:t xml:space="preserve">% u odnosu na </w:t>
      </w:r>
      <w:r w:rsidR="00EF0DCC" w:rsidRPr="0082654D">
        <w:rPr>
          <w:sz w:val="22"/>
          <w:szCs w:val="22"/>
          <w:lang w:val="hr-HR"/>
        </w:rPr>
        <w:t>5</w:t>
      </w:r>
      <w:r w:rsidR="00EF0DCC">
        <w:rPr>
          <w:sz w:val="22"/>
          <w:szCs w:val="22"/>
          <w:lang w:val="hr-HR"/>
        </w:rPr>
        <w:t>4</w:t>
      </w:r>
      <w:r w:rsidRPr="0082654D">
        <w:rPr>
          <w:sz w:val="22"/>
          <w:szCs w:val="22"/>
          <w:lang w:val="hr-HR"/>
        </w:rPr>
        <w:t>,</w:t>
      </w:r>
      <w:r w:rsidR="00EF0DCC">
        <w:rPr>
          <w:sz w:val="22"/>
          <w:szCs w:val="22"/>
          <w:lang w:val="hr-HR"/>
        </w:rPr>
        <w:t>2</w:t>
      </w:r>
      <w:r w:rsidRPr="0082654D">
        <w:rPr>
          <w:sz w:val="22"/>
          <w:szCs w:val="22"/>
          <w:lang w:val="hr-HR"/>
        </w:rPr>
        <w:t>% za sve stepene, 11,4</w:t>
      </w:r>
      <w:r w:rsidR="00EF0DCC">
        <w:rPr>
          <w:sz w:val="22"/>
          <w:szCs w:val="22"/>
          <w:lang w:val="hr-HR"/>
        </w:rPr>
        <w:t>2</w:t>
      </w:r>
      <w:r w:rsidRPr="0082654D">
        <w:rPr>
          <w:sz w:val="22"/>
          <w:szCs w:val="22"/>
          <w:lang w:val="hr-HR"/>
        </w:rPr>
        <w:t xml:space="preserve">% u odnosu na 20,1% za 3. stepen i 3,4% u odnosu na 4,2% za osip koji je doveo do obustave </w:t>
      </w:r>
      <w:r w:rsidR="00C21CF1">
        <w:rPr>
          <w:sz w:val="22"/>
          <w:szCs w:val="22"/>
          <w:lang w:val="hr-HR"/>
        </w:rPr>
        <w:t>primjen</w:t>
      </w:r>
      <w:r w:rsidRPr="0082654D">
        <w:rPr>
          <w:sz w:val="22"/>
          <w:szCs w:val="22"/>
          <w:lang w:val="hr-HR"/>
        </w:rPr>
        <w:t xml:space="preserve">e </w:t>
      </w:r>
      <w:r w:rsidR="00C10B32">
        <w:rPr>
          <w:sz w:val="22"/>
          <w:szCs w:val="22"/>
          <w:lang w:val="hr-HR"/>
        </w:rPr>
        <w:t>lijek</w:t>
      </w:r>
      <w:r w:rsidRPr="0082654D">
        <w:rPr>
          <w:sz w:val="22"/>
          <w:szCs w:val="22"/>
          <w:lang w:val="hr-HR"/>
        </w:rPr>
        <w:t xml:space="preserve">a Piqray. U skladu sa tim, </w:t>
      </w:r>
      <w:r w:rsidR="00C21CF1">
        <w:rPr>
          <w:sz w:val="22"/>
          <w:szCs w:val="22"/>
          <w:lang w:val="hr-HR"/>
        </w:rPr>
        <w:t>primjen</w:t>
      </w:r>
      <w:r w:rsidRPr="0082654D">
        <w:rPr>
          <w:sz w:val="22"/>
          <w:szCs w:val="22"/>
          <w:lang w:val="hr-HR"/>
        </w:rPr>
        <w:t xml:space="preserve">a antihistaminika može da se započne profilaktički, u </w:t>
      </w:r>
      <w:r w:rsidR="00A26CAB">
        <w:rPr>
          <w:sz w:val="22"/>
          <w:szCs w:val="22"/>
          <w:lang w:val="hr-HR"/>
        </w:rPr>
        <w:t>vrijem</w:t>
      </w:r>
      <w:r w:rsidRPr="0082654D">
        <w:rPr>
          <w:sz w:val="22"/>
          <w:szCs w:val="22"/>
          <w:lang w:val="hr-HR"/>
        </w:rPr>
        <w:t xml:space="preserve">e započinjanja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w:t>
      </w:r>
    </w:p>
    <w:p w14:paraId="3056C3AE" w14:textId="77777777" w:rsidR="0082654D" w:rsidRPr="0082654D" w:rsidRDefault="0082654D" w:rsidP="007F6B1A">
      <w:pPr>
        <w:shd w:val="clear" w:color="auto" w:fill="FFFFFF" w:themeFill="background1"/>
        <w:jc w:val="both"/>
        <w:rPr>
          <w:sz w:val="22"/>
          <w:szCs w:val="22"/>
          <w:lang w:val="hr-HR"/>
        </w:rPr>
      </w:pPr>
    </w:p>
    <w:p w14:paraId="0B9DB165" w14:textId="77777777" w:rsidR="0082654D" w:rsidRPr="0082654D" w:rsidRDefault="0082654D" w:rsidP="007F6B1A">
      <w:pPr>
        <w:keepNext/>
        <w:shd w:val="clear" w:color="auto" w:fill="FFFFFF" w:themeFill="background1"/>
        <w:autoSpaceDE w:val="0"/>
        <w:autoSpaceDN w:val="0"/>
        <w:adjustRightInd w:val="0"/>
        <w:jc w:val="both"/>
        <w:rPr>
          <w:bCs/>
          <w:i/>
          <w:sz w:val="22"/>
          <w:szCs w:val="22"/>
          <w:u w:val="single"/>
          <w:lang w:val="hr-HR"/>
        </w:rPr>
      </w:pPr>
      <w:r w:rsidRPr="0082654D">
        <w:rPr>
          <w:bCs/>
          <w:i/>
          <w:sz w:val="22"/>
          <w:szCs w:val="22"/>
          <w:u w:val="single"/>
          <w:lang w:val="hr-HR"/>
        </w:rPr>
        <w:t>Gastrointestinalna toksičnost (mučnina, dijareja, povraćanje)</w:t>
      </w:r>
    </w:p>
    <w:p w14:paraId="3BAB3899" w14:textId="06685967" w:rsidR="0082654D" w:rsidRPr="0082654D" w:rsidRDefault="0082654D" w:rsidP="007F6B1A">
      <w:pPr>
        <w:shd w:val="clear" w:color="auto" w:fill="FFFFFF" w:themeFill="background1"/>
        <w:jc w:val="both"/>
        <w:rPr>
          <w:sz w:val="22"/>
          <w:szCs w:val="22"/>
          <w:lang w:val="hr-HR"/>
        </w:rPr>
      </w:pPr>
      <w:r w:rsidRPr="0082654D">
        <w:rPr>
          <w:sz w:val="22"/>
          <w:szCs w:val="22"/>
          <w:lang w:val="hr-HR"/>
        </w:rPr>
        <w:t>Dijareja, mučnina i povraćanje bili su prijavljeni kod 59,</w:t>
      </w:r>
      <w:r w:rsidR="00EF0DCC">
        <w:rPr>
          <w:sz w:val="22"/>
          <w:szCs w:val="22"/>
          <w:lang w:val="hr-HR"/>
        </w:rPr>
        <w:t>9</w:t>
      </w:r>
      <w:r w:rsidRPr="0082654D">
        <w:rPr>
          <w:sz w:val="22"/>
          <w:szCs w:val="22"/>
          <w:lang w:val="hr-HR"/>
        </w:rPr>
        <w:t xml:space="preserve">%, 46,8%, odnosno </w:t>
      </w:r>
      <w:r w:rsidR="00EF0DCC" w:rsidRPr="0082654D">
        <w:rPr>
          <w:sz w:val="22"/>
          <w:szCs w:val="22"/>
          <w:lang w:val="hr-HR"/>
        </w:rPr>
        <w:t>2</w:t>
      </w:r>
      <w:r w:rsidR="00EF0DCC">
        <w:rPr>
          <w:sz w:val="22"/>
          <w:szCs w:val="22"/>
          <w:lang w:val="hr-HR"/>
        </w:rPr>
        <w:t>9</w:t>
      </w:r>
      <w:r w:rsidRPr="0082654D">
        <w:rPr>
          <w:sz w:val="22"/>
          <w:szCs w:val="22"/>
          <w:lang w:val="hr-HR"/>
        </w:rPr>
        <w:t>,</w:t>
      </w:r>
      <w:r w:rsidR="00EF0DCC">
        <w:rPr>
          <w:sz w:val="22"/>
          <w:szCs w:val="22"/>
          <w:lang w:val="hr-HR"/>
        </w:rPr>
        <w:t>6</w:t>
      </w:r>
      <w:r w:rsidRPr="0082654D">
        <w:rPr>
          <w:sz w:val="22"/>
          <w:szCs w:val="22"/>
          <w:lang w:val="hr-HR"/>
        </w:rPr>
        <w:t>% pacijenata (</w:t>
      </w:r>
      <w:r w:rsidR="00C21CF1">
        <w:rPr>
          <w:sz w:val="22"/>
          <w:szCs w:val="22"/>
          <w:lang w:val="hr-HR"/>
        </w:rPr>
        <w:t>vidjet</w:t>
      </w:r>
      <w:r w:rsidRPr="0082654D">
        <w:rPr>
          <w:sz w:val="22"/>
          <w:szCs w:val="22"/>
          <w:lang w:val="hr-HR"/>
        </w:rPr>
        <w:t>i Tabelu 7).</w:t>
      </w:r>
    </w:p>
    <w:p w14:paraId="32A7154F" w14:textId="77777777" w:rsidR="0082654D" w:rsidRPr="0082654D" w:rsidRDefault="0082654D" w:rsidP="007F6B1A">
      <w:pPr>
        <w:shd w:val="clear" w:color="auto" w:fill="FFFFFF" w:themeFill="background1"/>
        <w:jc w:val="both"/>
        <w:rPr>
          <w:sz w:val="22"/>
          <w:szCs w:val="22"/>
          <w:lang w:val="hr-HR"/>
        </w:rPr>
      </w:pPr>
    </w:p>
    <w:p w14:paraId="4EE9355D" w14:textId="2CFD168A" w:rsidR="0082654D" w:rsidRPr="0082654D" w:rsidRDefault="0082654D" w:rsidP="007F6B1A">
      <w:pPr>
        <w:shd w:val="clear" w:color="auto" w:fill="FFFFFF" w:themeFill="background1"/>
        <w:jc w:val="both"/>
        <w:rPr>
          <w:sz w:val="22"/>
          <w:szCs w:val="22"/>
          <w:lang w:val="hr-HR"/>
        </w:rPr>
      </w:pPr>
      <w:r w:rsidRPr="0082654D">
        <w:rPr>
          <w:sz w:val="22"/>
          <w:szCs w:val="22"/>
          <w:lang w:val="hr-HR"/>
        </w:rPr>
        <w:t xml:space="preserve">Slučajevi dijareje koji su bili 2. stepena prijavljeni su kod </w:t>
      </w:r>
      <w:r w:rsidR="00EF0DCC">
        <w:rPr>
          <w:sz w:val="22"/>
          <w:szCs w:val="22"/>
          <w:lang w:val="hr-HR"/>
        </w:rPr>
        <w:t>20</w:t>
      </w:r>
      <w:r w:rsidRPr="0082654D">
        <w:rPr>
          <w:sz w:val="22"/>
          <w:szCs w:val="22"/>
          <w:lang w:val="hr-HR"/>
        </w:rPr>
        <w:t>,</w:t>
      </w:r>
      <w:r w:rsidR="00EF0DCC">
        <w:rPr>
          <w:sz w:val="22"/>
          <w:szCs w:val="22"/>
          <w:lang w:val="hr-HR"/>
        </w:rPr>
        <w:t>4</w:t>
      </w:r>
      <w:r w:rsidRPr="0082654D">
        <w:rPr>
          <w:sz w:val="22"/>
          <w:szCs w:val="22"/>
          <w:lang w:val="hr-HR"/>
        </w:rPr>
        <w:t>% pacijenat</w:t>
      </w:r>
      <w:r w:rsidR="00EF05A7">
        <w:rPr>
          <w:sz w:val="22"/>
          <w:szCs w:val="22"/>
          <w:lang w:val="hr-HR"/>
        </w:rPr>
        <w:t>a</w:t>
      </w:r>
      <w:r w:rsidRPr="0082654D">
        <w:rPr>
          <w:sz w:val="22"/>
          <w:szCs w:val="22"/>
          <w:lang w:val="hr-HR"/>
        </w:rPr>
        <w:t xml:space="preserve"> i 3. stepena kod 7,</w:t>
      </w:r>
      <w:r w:rsidR="00EF0DCC">
        <w:rPr>
          <w:sz w:val="22"/>
          <w:szCs w:val="22"/>
          <w:lang w:val="hr-HR"/>
        </w:rPr>
        <w:t>4</w:t>
      </w:r>
      <w:r w:rsidRPr="0082654D">
        <w:rPr>
          <w:sz w:val="22"/>
          <w:szCs w:val="22"/>
          <w:lang w:val="hr-HR"/>
        </w:rPr>
        <w:t xml:space="preserve">% pacijenata, uz medijanu </w:t>
      </w:r>
      <w:r w:rsidR="00C233FD">
        <w:rPr>
          <w:sz w:val="22"/>
          <w:szCs w:val="22"/>
          <w:lang w:val="hr-HR"/>
        </w:rPr>
        <w:t>vremena</w:t>
      </w:r>
      <w:r w:rsidRPr="0082654D">
        <w:rPr>
          <w:sz w:val="22"/>
          <w:szCs w:val="22"/>
          <w:lang w:val="hr-HR"/>
        </w:rPr>
        <w:t xml:space="preserve"> do nastupa dijareje ≥2. stepena od </w:t>
      </w:r>
      <w:r w:rsidR="00EF0DCC" w:rsidRPr="0082654D">
        <w:rPr>
          <w:sz w:val="22"/>
          <w:szCs w:val="22"/>
          <w:lang w:val="hr-HR"/>
        </w:rPr>
        <w:t>5</w:t>
      </w:r>
      <w:r w:rsidR="00EF0DCC">
        <w:rPr>
          <w:sz w:val="22"/>
          <w:szCs w:val="22"/>
          <w:lang w:val="hr-HR"/>
        </w:rPr>
        <w:t>4</w:t>
      </w:r>
      <w:r w:rsidR="00EF0DCC" w:rsidRPr="0082654D">
        <w:rPr>
          <w:sz w:val="22"/>
          <w:szCs w:val="22"/>
          <w:lang w:val="hr-HR"/>
        </w:rPr>
        <w:t> </w:t>
      </w:r>
      <w:r w:rsidRPr="0082654D">
        <w:rPr>
          <w:sz w:val="22"/>
          <w:szCs w:val="22"/>
          <w:lang w:val="hr-HR"/>
        </w:rPr>
        <w:t xml:space="preserve">dana (raspon: 1 dan do </w:t>
      </w:r>
      <w:r w:rsidR="00EF0DCC">
        <w:rPr>
          <w:sz w:val="22"/>
          <w:szCs w:val="22"/>
          <w:lang w:val="hr-HR"/>
        </w:rPr>
        <w:t>1731</w:t>
      </w:r>
      <w:r w:rsidR="00EF0DCC" w:rsidRPr="0082654D">
        <w:rPr>
          <w:sz w:val="22"/>
          <w:szCs w:val="22"/>
          <w:lang w:val="hr-HR"/>
        </w:rPr>
        <w:t> </w:t>
      </w:r>
      <w:r w:rsidRPr="0082654D">
        <w:rPr>
          <w:sz w:val="22"/>
          <w:szCs w:val="22"/>
          <w:lang w:val="hr-HR"/>
        </w:rPr>
        <w:t>dana).</w:t>
      </w:r>
    </w:p>
    <w:p w14:paraId="63B11D6E" w14:textId="77777777" w:rsidR="0082654D" w:rsidRPr="0082654D" w:rsidRDefault="0082654D" w:rsidP="007F6B1A">
      <w:pPr>
        <w:shd w:val="clear" w:color="auto" w:fill="FFFFFF" w:themeFill="background1"/>
        <w:jc w:val="both"/>
        <w:rPr>
          <w:sz w:val="22"/>
          <w:szCs w:val="22"/>
          <w:lang w:val="hr-HR"/>
        </w:rPr>
      </w:pPr>
    </w:p>
    <w:p w14:paraId="1CC2ED57" w14:textId="0AA42D09" w:rsidR="0082654D" w:rsidRPr="0082654D" w:rsidRDefault="0082654D" w:rsidP="007F6B1A">
      <w:pPr>
        <w:shd w:val="clear" w:color="auto" w:fill="FFFFFF" w:themeFill="background1"/>
        <w:jc w:val="both"/>
        <w:rPr>
          <w:sz w:val="22"/>
          <w:szCs w:val="22"/>
          <w:lang w:val="hr-HR"/>
        </w:rPr>
      </w:pPr>
      <w:r w:rsidRPr="0082654D">
        <w:rPr>
          <w:sz w:val="22"/>
          <w:szCs w:val="22"/>
          <w:lang w:val="hr-HR"/>
        </w:rPr>
        <w:t>Teška dijareja i kliničke posl</w:t>
      </w:r>
      <w:r w:rsidR="006F328F">
        <w:rPr>
          <w:sz w:val="22"/>
          <w:szCs w:val="22"/>
          <w:lang w:val="hr-HR"/>
        </w:rPr>
        <w:t>j</w:t>
      </w:r>
      <w:r w:rsidRPr="0082654D">
        <w:rPr>
          <w:sz w:val="22"/>
          <w:szCs w:val="22"/>
          <w:lang w:val="hr-HR"/>
        </w:rPr>
        <w:t xml:space="preserve">edice poput dehidratacije i akutne povrede bubrega prijavljene su tokom </w:t>
      </w:r>
      <w:r w:rsidR="00B66BE0">
        <w:rPr>
          <w:sz w:val="22"/>
          <w:szCs w:val="22"/>
          <w:lang w:val="hr-HR"/>
        </w:rPr>
        <w:t>liječenj</w:t>
      </w:r>
      <w:r w:rsidRPr="0082654D">
        <w:rPr>
          <w:sz w:val="22"/>
          <w:szCs w:val="22"/>
          <w:lang w:val="hr-HR"/>
        </w:rPr>
        <w:t xml:space="preserve">a </w:t>
      </w:r>
      <w:r w:rsidR="00C10B32">
        <w:rPr>
          <w:sz w:val="22"/>
          <w:szCs w:val="22"/>
          <w:lang w:val="hr-HR"/>
        </w:rPr>
        <w:t>lijek</w:t>
      </w:r>
      <w:r w:rsidRPr="0082654D">
        <w:rPr>
          <w:sz w:val="22"/>
          <w:szCs w:val="22"/>
          <w:lang w:val="hr-HR"/>
        </w:rPr>
        <w:t>om Piqray, a povukle su se uz odgovarajuću intervenciju (</w:t>
      </w:r>
      <w:r w:rsidR="00C21CF1">
        <w:rPr>
          <w:sz w:val="22"/>
          <w:szCs w:val="22"/>
          <w:lang w:val="hr-HR"/>
        </w:rPr>
        <w:t>vidjet</w:t>
      </w:r>
      <w:r w:rsidRPr="0082654D">
        <w:rPr>
          <w:sz w:val="22"/>
          <w:szCs w:val="22"/>
          <w:lang w:val="hr-HR"/>
        </w:rPr>
        <w:t xml:space="preserve">i Tabelu 4). Antiemetici (npr. ondansetron) i </w:t>
      </w:r>
      <w:r w:rsidR="00C10B32">
        <w:rPr>
          <w:sz w:val="22"/>
          <w:szCs w:val="22"/>
          <w:lang w:val="hr-HR"/>
        </w:rPr>
        <w:t>ljekov</w:t>
      </w:r>
      <w:r w:rsidRPr="0082654D">
        <w:rPr>
          <w:sz w:val="22"/>
          <w:szCs w:val="22"/>
          <w:lang w:val="hr-HR"/>
        </w:rPr>
        <w:t xml:space="preserve">i protiv dijareje (npr. loperamid) koriščeni su kod </w:t>
      </w:r>
      <w:r w:rsidR="00EF0DCC" w:rsidRPr="0082654D">
        <w:rPr>
          <w:sz w:val="22"/>
          <w:szCs w:val="22"/>
          <w:lang w:val="hr-HR"/>
        </w:rPr>
        <w:t>2</w:t>
      </w:r>
      <w:r w:rsidR="00EF0DCC">
        <w:rPr>
          <w:sz w:val="22"/>
          <w:szCs w:val="22"/>
          <w:lang w:val="hr-HR"/>
        </w:rPr>
        <w:t>9</w:t>
      </w:r>
      <w:r w:rsidRPr="0082654D">
        <w:rPr>
          <w:sz w:val="22"/>
          <w:szCs w:val="22"/>
          <w:lang w:val="hr-HR"/>
        </w:rPr>
        <w:t>/153 (</w:t>
      </w:r>
      <w:r w:rsidR="00EF0DCC" w:rsidRPr="0082654D">
        <w:rPr>
          <w:sz w:val="22"/>
          <w:szCs w:val="22"/>
          <w:lang w:val="hr-HR"/>
        </w:rPr>
        <w:t>1</w:t>
      </w:r>
      <w:r w:rsidR="00EF0DCC">
        <w:rPr>
          <w:sz w:val="22"/>
          <w:szCs w:val="22"/>
          <w:lang w:val="hr-HR"/>
        </w:rPr>
        <w:t>9</w:t>
      </w:r>
      <w:r w:rsidRPr="0082654D">
        <w:rPr>
          <w:sz w:val="22"/>
          <w:szCs w:val="22"/>
          <w:lang w:val="hr-HR"/>
        </w:rPr>
        <w:t>,</w:t>
      </w:r>
      <w:r w:rsidR="00EF0DCC">
        <w:rPr>
          <w:sz w:val="22"/>
          <w:szCs w:val="22"/>
          <w:lang w:val="hr-HR"/>
        </w:rPr>
        <w:t>0</w:t>
      </w:r>
      <w:r w:rsidRPr="0082654D">
        <w:rPr>
          <w:sz w:val="22"/>
          <w:szCs w:val="22"/>
          <w:lang w:val="hr-HR"/>
        </w:rPr>
        <w:t xml:space="preserve">%), odnosno </w:t>
      </w:r>
      <w:r w:rsidR="00EF0DCC" w:rsidRPr="0082654D">
        <w:rPr>
          <w:sz w:val="22"/>
          <w:szCs w:val="22"/>
          <w:lang w:val="hr-HR"/>
        </w:rPr>
        <w:t>1</w:t>
      </w:r>
      <w:r w:rsidR="00EF0DCC">
        <w:rPr>
          <w:sz w:val="22"/>
          <w:szCs w:val="22"/>
          <w:lang w:val="hr-HR"/>
        </w:rPr>
        <w:t>11</w:t>
      </w:r>
      <w:r w:rsidRPr="0082654D">
        <w:rPr>
          <w:sz w:val="22"/>
          <w:szCs w:val="22"/>
          <w:lang w:val="hr-HR"/>
        </w:rPr>
        <w:t>/</w:t>
      </w:r>
      <w:r w:rsidR="00EF0DCC" w:rsidRPr="0082654D">
        <w:rPr>
          <w:sz w:val="22"/>
          <w:szCs w:val="22"/>
          <w:lang w:val="hr-HR"/>
        </w:rPr>
        <w:t>1</w:t>
      </w:r>
      <w:r w:rsidR="00EF0DCC">
        <w:rPr>
          <w:sz w:val="22"/>
          <w:szCs w:val="22"/>
          <w:lang w:val="hr-HR"/>
        </w:rPr>
        <w:t>70</w:t>
      </w:r>
      <w:r w:rsidR="00EF0DCC" w:rsidRPr="0082654D">
        <w:rPr>
          <w:sz w:val="22"/>
          <w:szCs w:val="22"/>
          <w:lang w:val="hr-HR"/>
        </w:rPr>
        <w:t xml:space="preserve"> </w:t>
      </w:r>
      <w:r w:rsidRPr="0082654D">
        <w:rPr>
          <w:sz w:val="22"/>
          <w:szCs w:val="22"/>
          <w:lang w:val="hr-HR"/>
        </w:rPr>
        <w:t>(</w:t>
      </w:r>
      <w:r w:rsidR="00EF0DCC" w:rsidRPr="0082654D">
        <w:rPr>
          <w:sz w:val="22"/>
          <w:szCs w:val="22"/>
          <w:lang w:val="hr-HR"/>
        </w:rPr>
        <w:t>6</w:t>
      </w:r>
      <w:r w:rsidR="00EF0DCC">
        <w:rPr>
          <w:sz w:val="22"/>
          <w:szCs w:val="22"/>
          <w:lang w:val="hr-HR"/>
        </w:rPr>
        <w:t>5</w:t>
      </w:r>
      <w:r w:rsidRPr="0082654D">
        <w:rPr>
          <w:sz w:val="22"/>
          <w:szCs w:val="22"/>
          <w:lang w:val="hr-HR"/>
        </w:rPr>
        <w:t>,</w:t>
      </w:r>
      <w:r w:rsidR="00EF0DCC">
        <w:rPr>
          <w:sz w:val="22"/>
          <w:szCs w:val="22"/>
          <w:lang w:val="hr-HR"/>
        </w:rPr>
        <w:t>3</w:t>
      </w:r>
      <w:r w:rsidRPr="0082654D">
        <w:rPr>
          <w:sz w:val="22"/>
          <w:szCs w:val="22"/>
          <w:lang w:val="hr-HR"/>
        </w:rPr>
        <w:t>%) pacijenata zbog zbrinjavanja simptoma.</w:t>
      </w:r>
    </w:p>
    <w:p w14:paraId="7D17D70D" w14:textId="77777777" w:rsidR="0082654D" w:rsidRPr="0082654D" w:rsidRDefault="0082654D" w:rsidP="007F6B1A">
      <w:pPr>
        <w:shd w:val="clear" w:color="auto" w:fill="FFFFFF" w:themeFill="background1"/>
        <w:jc w:val="both"/>
        <w:rPr>
          <w:sz w:val="22"/>
          <w:szCs w:val="22"/>
          <w:lang w:val="hr-HR"/>
        </w:rPr>
      </w:pPr>
    </w:p>
    <w:p w14:paraId="16A2139F" w14:textId="77777777" w:rsidR="0082654D" w:rsidRPr="0082654D" w:rsidRDefault="0082654D" w:rsidP="007F6B1A">
      <w:pPr>
        <w:keepNext/>
        <w:shd w:val="clear" w:color="auto" w:fill="FFFFFF" w:themeFill="background1"/>
        <w:autoSpaceDE w:val="0"/>
        <w:autoSpaceDN w:val="0"/>
        <w:adjustRightInd w:val="0"/>
        <w:jc w:val="both"/>
        <w:rPr>
          <w:bCs/>
          <w:i/>
          <w:sz w:val="22"/>
          <w:szCs w:val="22"/>
          <w:u w:val="single"/>
          <w:lang w:val="hr-HR"/>
        </w:rPr>
      </w:pPr>
      <w:r w:rsidRPr="0082654D">
        <w:rPr>
          <w:bCs/>
          <w:i/>
          <w:sz w:val="22"/>
          <w:szCs w:val="22"/>
          <w:u w:val="single"/>
          <w:lang w:val="hr-HR"/>
        </w:rPr>
        <w:t>Osteonekroza vilice</w:t>
      </w:r>
    </w:p>
    <w:p w14:paraId="62D78504" w14:textId="2A614DAF" w:rsidR="0082654D" w:rsidRPr="0082654D" w:rsidRDefault="0082654D" w:rsidP="007F6B1A">
      <w:pPr>
        <w:shd w:val="clear" w:color="auto" w:fill="FFFFFF" w:themeFill="background1"/>
        <w:autoSpaceDE w:val="0"/>
        <w:autoSpaceDN w:val="0"/>
        <w:adjustRightInd w:val="0"/>
        <w:jc w:val="both"/>
        <w:rPr>
          <w:sz w:val="22"/>
          <w:szCs w:val="22"/>
          <w:lang w:val="hr-HR"/>
        </w:rPr>
      </w:pPr>
      <w:r w:rsidRPr="0082654D">
        <w:rPr>
          <w:sz w:val="22"/>
          <w:szCs w:val="22"/>
          <w:lang w:val="hr-HR"/>
        </w:rPr>
        <w:t xml:space="preserve">Osteonekroza vilice prijavljena je kod </w:t>
      </w:r>
      <w:r w:rsidR="00EF0DCC">
        <w:rPr>
          <w:sz w:val="22"/>
          <w:szCs w:val="22"/>
          <w:lang w:val="hr-HR"/>
        </w:rPr>
        <w:t>6</w:t>
      </w:r>
      <w:r w:rsidRPr="0082654D">
        <w:rPr>
          <w:sz w:val="22"/>
          <w:szCs w:val="22"/>
          <w:lang w:val="hr-HR"/>
        </w:rPr>
        <w:t>,</w:t>
      </w:r>
      <w:r w:rsidR="00EF0DCC">
        <w:rPr>
          <w:sz w:val="22"/>
          <w:szCs w:val="22"/>
          <w:lang w:val="hr-HR"/>
        </w:rPr>
        <w:t>0</w:t>
      </w:r>
      <w:r w:rsidRPr="0082654D">
        <w:rPr>
          <w:sz w:val="22"/>
          <w:szCs w:val="22"/>
          <w:lang w:val="hr-HR"/>
        </w:rPr>
        <w:t>% pacijenata (</w:t>
      </w:r>
      <w:r w:rsidR="00EF0DCC" w:rsidRPr="0082654D">
        <w:rPr>
          <w:sz w:val="22"/>
          <w:szCs w:val="22"/>
          <w:lang w:val="hr-HR"/>
        </w:rPr>
        <w:t>1</w:t>
      </w:r>
      <w:r w:rsidR="00EF0DCC">
        <w:rPr>
          <w:sz w:val="22"/>
          <w:szCs w:val="22"/>
          <w:lang w:val="hr-HR"/>
        </w:rPr>
        <w:t>7</w:t>
      </w:r>
      <w:r w:rsidRPr="0082654D">
        <w:rPr>
          <w:sz w:val="22"/>
          <w:szCs w:val="22"/>
          <w:lang w:val="hr-HR"/>
        </w:rPr>
        <w:t xml:space="preserve">/284) u grupi koja je primala </w:t>
      </w:r>
      <w:r w:rsidR="00C10B32">
        <w:rPr>
          <w:sz w:val="22"/>
          <w:szCs w:val="22"/>
          <w:lang w:val="hr-HR"/>
        </w:rPr>
        <w:t>lijek</w:t>
      </w:r>
      <w:r w:rsidRPr="0082654D">
        <w:rPr>
          <w:sz w:val="22"/>
          <w:szCs w:val="22"/>
          <w:lang w:val="hr-HR"/>
        </w:rPr>
        <w:t xml:space="preserve"> Piqray zajedno sa fulvestrantom. </w:t>
      </w:r>
      <w:r w:rsidR="00EF0DCC">
        <w:rPr>
          <w:sz w:val="22"/>
          <w:szCs w:val="22"/>
          <w:lang w:val="hr-HR"/>
        </w:rPr>
        <w:t>Svi pacijenti</w:t>
      </w:r>
      <w:r w:rsidRPr="0082654D">
        <w:rPr>
          <w:sz w:val="22"/>
          <w:szCs w:val="22"/>
          <w:lang w:val="hr-HR"/>
        </w:rPr>
        <w:t xml:space="preserve"> kod kojih se pojavila osteonekroza vilice bil</w:t>
      </w:r>
      <w:r w:rsidR="006F328F">
        <w:rPr>
          <w:sz w:val="22"/>
          <w:szCs w:val="22"/>
          <w:lang w:val="hr-HR"/>
        </w:rPr>
        <w:t>i</w:t>
      </w:r>
      <w:r w:rsidRPr="0082654D">
        <w:rPr>
          <w:sz w:val="22"/>
          <w:szCs w:val="22"/>
          <w:lang w:val="hr-HR"/>
        </w:rPr>
        <w:t xml:space="preserve"> </w:t>
      </w:r>
      <w:r w:rsidR="006F328F">
        <w:rPr>
          <w:sz w:val="22"/>
          <w:szCs w:val="22"/>
          <w:lang w:val="hr-HR"/>
        </w:rPr>
        <w:t>su</w:t>
      </w:r>
      <w:r w:rsidRPr="0082654D">
        <w:rPr>
          <w:sz w:val="22"/>
          <w:szCs w:val="22"/>
          <w:lang w:val="hr-HR"/>
        </w:rPr>
        <w:t xml:space="preserve"> izložen</w:t>
      </w:r>
      <w:r w:rsidR="006F328F">
        <w:rPr>
          <w:sz w:val="22"/>
          <w:szCs w:val="22"/>
          <w:lang w:val="hr-HR"/>
        </w:rPr>
        <w:t>i</w:t>
      </w:r>
      <w:r w:rsidR="00EF0DCC">
        <w:rPr>
          <w:sz w:val="22"/>
          <w:szCs w:val="22"/>
          <w:lang w:val="hr-HR"/>
        </w:rPr>
        <w:t xml:space="preserve"> prethodnoj ili</w:t>
      </w:r>
      <w:r w:rsidRPr="0082654D">
        <w:rPr>
          <w:sz w:val="22"/>
          <w:szCs w:val="22"/>
          <w:lang w:val="hr-HR"/>
        </w:rPr>
        <w:t xml:space="preserve"> isto</w:t>
      </w:r>
      <w:r w:rsidR="007F6B1A">
        <w:rPr>
          <w:sz w:val="22"/>
          <w:szCs w:val="22"/>
          <w:lang w:val="hr-HR"/>
        </w:rPr>
        <w:t>vr</w:t>
      </w:r>
      <w:r w:rsidR="00A26CAB">
        <w:rPr>
          <w:sz w:val="22"/>
          <w:szCs w:val="22"/>
          <w:lang w:val="hr-HR"/>
        </w:rPr>
        <w:t>em</w:t>
      </w:r>
      <w:r w:rsidRPr="0082654D">
        <w:rPr>
          <w:sz w:val="22"/>
          <w:szCs w:val="22"/>
          <w:lang w:val="hr-HR"/>
        </w:rPr>
        <w:t xml:space="preserve">enoj </w:t>
      </w:r>
      <w:r w:rsidR="00C21CF1">
        <w:rPr>
          <w:sz w:val="22"/>
          <w:szCs w:val="22"/>
          <w:lang w:val="hr-HR"/>
        </w:rPr>
        <w:t>primjen</w:t>
      </w:r>
      <w:r w:rsidRPr="0082654D">
        <w:rPr>
          <w:sz w:val="22"/>
          <w:szCs w:val="22"/>
          <w:lang w:val="hr-HR"/>
        </w:rPr>
        <w:t>i bisfosfonata (npr. zoledronska kiselina)</w:t>
      </w:r>
      <w:r w:rsidR="002A5E87" w:rsidRPr="002A5E87">
        <w:rPr>
          <w:sz w:val="22"/>
          <w:szCs w:val="22"/>
          <w:lang w:val="hr-HR"/>
        </w:rPr>
        <w:t xml:space="preserve"> ili inhibitora RANK-liganada (npr. denosumab)</w:t>
      </w:r>
      <w:r w:rsidR="002A5E87">
        <w:rPr>
          <w:sz w:val="22"/>
          <w:szCs w:val="22"/>
          <w:lang w:val="hr-HR"/>
        </w:rPr>
        <w:t>.</w:t>
      </w:r>
      <w:r w:rsidRPr="0082654D">
        <w:rPr>
          <w:sz w:val="22"/>
          <w:szCs w:val="22"/>
          <w:lang w:val="hr-HR"/>
        </w:rPr>
        <w:t xml:space="preserve"> Zbog toga se kod pacijenata koji primaju </w:t>
      </w:r>
      <w:r w:rsidR="00C10B32">
        <w:rPr>
          <w:sz w:val="22"/>
          <w:szCs w:val="22"/>
          <w:lang w:val="hr-HR"/>
        </w:rPr>
        <w:t>lijek</w:t>
      </w:r>
      <w:r w:rsidRPr="0082654D">
        <w:rPr>
          <w:sz w:val="22"/>
          <w:szCs w:val="22"/>
          <w:lang w:val="hr-HR"/>
        </w:rPr>
        <w:t xml:space="preserve"> Piqray i bisfosfonate </w:t>
      </w:r>
      <w:r w:rsidR="002A5E87" w:rsidRPr="002A5E87">
        <w:rPr>
          <w:sz w:val="22"/>
          <w:szCs w:val="22"/>
          <w:lang w:val="hr-HR"/>
        </w:rPr>
        <w:t xml:space="preserve">ili inhibitore RANK-liganada </w:t>
      </w:r>
      <w:r w:rsidRPr="0082654D">
        <w:rPr>
          <w:sz w:val="22"/>
          <w:szCs w:val="22"/>
          <w:lang w:val="hr-HR"/>
        </w:rPr>
        <w:t>ne može isključiti povećani rizik od razvoja osteonekroze vilice.</w:t>
      </w:r>
    </w:p>
    <w:p w14:paraId="58AFF07E" w14:textId="77777777" w:rsidR="002032DE" w:rsidRDefault="002032DE" w:rsidP="002032DE">
      <w:pPr>
        <w:shd w:val="clear" w:color="auto" w:fill="FFFFFF" w:themeFill="background1"/>
        <w:autoSpaceDE w:val="0"/>
        <w:autoSpaceDN w:val="0"/>
        <w:adjustRightInd w:val="0"/>
        <w:jc w:val="both"/>
        <w:rPr>
          <w:sz w:val="22"/>
          <w:szCs w:val="22"/>
          <w:lang w:val="hr-HR"/>
        </w:rPr>
      </w:pPr>
    </w:p>
    <w:p w14:paraId="28CB3773" w14:textId="4DFF5D6D" w:rsidR="002032DE" w:rsidRPr="002032DE" w:rsidRDefault="002032DE" w:rsidP="002032DE">
      <w:pPr>
        <w:shd w:val="clear" w:color="auto" w:fill="FFFFFF" w:themeFill="background1"/>
        <w:autoSpaceDE w:val="0"/>
        <w:autoSpaceDN w:val="0"/>
        <w:adjustRightInd w:val="0"/>
        <w:jc w:val="both"/>
        <w:rPr>
          <w:sz w:val="22"/>
          <w:szCs w:val="22"/>
          <w:lang w:val="hr-HR"/>
        </w:rPr>
      </w:pPr>
      <w:r w:rsidRPr="002032DE">
        <w:rPr>
          <w:sz w:val="22"/>
          <w:szCs w:val="22"/>
          <w:lang w:val="hr-HR"/>
        </w:rPr>
        <w:t>Posebne populacije</w:t>
      </w:r>
    </w:p>
    <w:p w14:paraId="0116C485" w14:textId="77777777" w:rsidR="0082654D" w:rsidRPr="0082654D" w:rsidRDefault="0082654D" w:rsidP="007F6B1A">
      <w:pPr>
        <w:shd w:val="clear" w:color="auto" w:fill="FFFFFF" w:themeFill="background1"/>
        <w:autoSpaceDE w:val="0"/>
        <w:autoSpaceDN w:val="0"/>
        <w:adjustRightInd w:val="0"/>
        <w:jc w:val="both"/>
        <w:rPr>
          <w:sz w:val="22"/>
          <w:szCs w:val="22"/>
          <w:lang w:val="hr-HR"/>
        </w:rPr>
      </w:pPr>
    </w:p>
    <w:p w14:paraId="617DE287" w14:textId="77777777" w:rsidR="0082654D" w:rsidRPr="0082654D" w:rsidRDefault="0082654D" w:rsidP="007F6B1A">
      <w:pPr>
        <w:keepNext/>
        <w:shd w:val="clear" w:color="auto" w:fill="FFFFFF" w:themeFill="background1"/>
        <w:autoSpaceDE w:val="0"/>
        <w:autoSpaceDN w:val="0"/>
        <w:adjustRightInd w:val="0"/>
        <w:jc w:val="both"/>
        <w:rPr>
          <w:i/>
          <w:sz w:val="22"/>
          <w:szCs w:val="22"/>
          <w:u w:val="single"/>
          <w:lang w:val="hr-HR"/>
        </w:rPr>
      </w:pPr>
      <w:r w:rsidRPr="0082654D">
        <w:rPr>
          <w:i/>
          <w:sz w:val="22"/>
          <w:szCs w:val="22"/>
          <w:u w:val="single"/>
          <w:lang w:val="hr-HR"/>
        </w:rPr>
        <w:t>Starije osobe</w:t>
      </w:r>
    </w:p>
    <w:p w14:paraId="3568486F" w14:textId="034DC346" w:rsidR="0082654D" w:rsidRPr="0082654D" w:rsidRDefault="0082654D" w:rsidP="007F6B1A">
      <w:pPr>
        <w:shd w:val="clear" w:color="auto" w:fill="FFFFFF" w:themeFill="background1"/>
        <w:autoSpaceDE w:val="0"/>
        <w:autoSpaceDN w:val="0"/>
        <w:adjustRightInd w:val="0"/>
        <w:jc w:val="both"/>
        <w:rPr>
          <w:sz w:val="22"/>
          <w:szCs w:val="22"/>
          <w:lang w:val="hr-HR"/>
        </w:rPr>
      </w:pPr>
      <w:r w:rsidRPr="0082654D">
        <w:rPr>
          <w:sz w:val="22"/>
          <w:szCs w:val="22"/>
          <w:lang w:val="hr-HR"/>
        </w:rPr>
        <w:t xml:space="preserve">Kod pacijenata uzrasta ≥65 godina </w:t>
      </w:r>
      <w:r w:rsidR="00295316">
        <w:rPr>
          <w:sz w:val="22"/>
          <w:szCs w:val="22"/>
          <w:lang w:val="hr-HR"/>
        </w:rPr>
        <w:t>liječeni</w:t>
      </w:r>
      <w:r w:rsidRPr="0082654D">
        <w:rPr>
          <w:sz w:val="22"/>
          <w:szCs w:val="22"/>
          <w:lang w:val="hr-HR"/>
        </w:rPr>
        <w:t>h alpelisibom zajedno sa fulvestrantom incidenca hiperglikemije 3</w:t>
      </w:r>
      <w:r w:rsidRPr="0082654D">
        <w:rPr>
          <w:sz w:val="22"/>
          <w:szCs w:val="22"/>
          <w:lang w:val="hr-HR"/>
        </w:rPr>
        <w:noBreakHyphen/>
        <w:t>4. stepena bila je viša (45,3%) u poređenju sa pacijentima uzrasta &lt;65 godina (</w:t>
      </w:r>
      <w:r w:rsidR="00EF0DCC" w:rsidRPr="0082654D">
        <w:rPr>
          <w:sz w:val="22"/>
          <w:szCs w:val="22"/>
          <w:lang w:val="hr-HR"/>
        </w:rPr>
        <w:t>3</w:t>
      </w:r>
      <w:r w:rsidR="00EF0DCC">
        <w:rPr>
          <w:sz w:val="22"/>
          <w:szCs w:val="22"/>
          <w:lang w:val="hr-HR"/>
        </w:rPr>
        <w:t>4</w:t>
      </w:r>
      <w:r w:rsidRPr="0082654D">
        <w:rPr>
          <w:sz w:val="22"/>
          <w:szCs w:val="22"/>
          <w:lang w:val="hr-HR"/>
        </w:rPr>
        <w:t>,</w:t>
      </w:r>
      <w:r w:rsidR="00EF0DCC">
        <w:rPr>
          <w:sz w:val="22"/>
          <w:szCs w:val="22"/>
          <w:lang w:val="hr-HR"/>
        </w:rPr>
        <w:t>7</w:t>
      </w:r>
      <w:r w:rsidRPr="0082654D">
        <w:rPr>
          <w:sz w:val="22"/>
          <w:szCs w:val="22"/>
          <w:lang w:val="hr-HR"/>
        </w:rPr>
        <w:t>%), dok je kod pacijenata uzrasta &lt;75 godina incidenca hiperglikemije 3-4. stepena bila 36</w:t>
      </w:r>
      <w:r w:rsidR="00EF0DCC">
        <w:rPr>
          <w:sz w:val="22"/>
          <w:szCs w:val="22"/>
          <w:lang w:val="hr-HR"/>
        </w:rPr>
        <w:t>,8</w:t>
      </w:r>
      <w:r w:rsidRPr="0082654D">
        <w:rPr>
          <w:sz w:val="22"/>
          <w:szCs w:val="22"/>
          <w:lang w:val="hr-HR"/>
        </w:rPr>
        <w:t>% u poređenju sa 55,9% kod pacijenata uzrasta ≥75 godina.</w:t>
      </w:r>
    </w:p>
    <w:p w14:paraId="795F0F3F" w14:textId="5979FAF4" w:rsidR="0082654D" w:rsidRPr="0082654D" w:rsidRDefault="0082654D" w:rsidP="007F6B1A">
      <w:pPr>
        <w:tabs>
          <w:tab w:val="left" w:pos="540"/>
          <w:tab w:val="left" w:pos="569"/>
        </w:tabs>
        <w:jc w:val="both"/>
        <w:rPr>
          <w:b/>
          <w:bCs/>
          <w:sz w:val="22"/>
          <w:szCs w:val="22"/>
        </w:rPr>
      </w:pPr>
    </w:p>
    <w:p w14:paraId="4ED8D481" w14:textId="77777777" w:rsidR="00F57B71" w:rsidRPr="00786071" w:rsidRDefault="00F57B71" w:rsidP="00F57B71">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BC0B414" w14:textId="77777777" w:rsidR="006F328F" w:rsidRPr="00786071" w:rsidRDefault="006F328F" w:rsidP="006F328F">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0AC950D0" w14:textId="77777777" w:rsidR="006F328F" w:rsidRPr="00786071" w:rsidRDefault="006F328F" w:rsidP="006F328F">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682E0477" w14:textId="77777777" w:rsidR="006F328F" w:rsidRPr="00786071" w:rsidRDefault="006F328F" w:rsidP="006F328F">
      <w:pPr>
        <w:pStyle w:val="NoSpacing"/>
        <w:jc w:val="both"/>
        <w:rPr>
          <w:rFonts w:eastAsia="Calibri"/>
          <w:sz w:val="22"/>
          <w:szCs w:val="22"/>
          <w:lang w:val="sr-Latn-RS"/>
        </w:rPr>
      </w:pPr>
      <w:r w:rsidRPr="00786071">
        <w:rPr>
          <w:rFonts w:eastAsia="Calibri"/>
          <w:sz w:val="22"/>
          <w:szCs w:val="22"/>
          <w:lang w:val="sr-Latn-RS"/>
        </w:rPr>
        <w:t>Odjeljenje za farmakovigilancu</w:t>
      </w:r>
    </w:p>
    <w:p w14:paraId="486E3F51" w14:textId="77777777" w:rsidR="006F328F" w:rsidRPr="00786071" w:rsidRDefault="006F328F" w:rsidP="006F328F">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487FEA74" w14:textId="77777777" w:rsidR="006F328F" w:rsidRPr="00786071" w:rsidRDefault="006F328F" w:rsidP="006F328F">
      <w:pPr>
        <w:pStyle w:val="NoSpacing"/>
        <w:rPr>
          <w:rFonts w:eastAsia="Calibri"/>
          <w:sz w:val="22"/>
          <w:szCs w:val="22"/>
          <w:lang w:val="sr-Latn-RS"/>
        </w:rPr>
      </w:pPr>
    </w:p>
    <w:p w14:paraId="6E5250C9" w14:textId="77777777" w:rsidR="006F328F" w:rsidRPr="00786071" w:rsidRDefault="006F328F" w:rsidP="006F328F">
      <w:pPr>
        <w:pStyle w:val="NoSpacing"/>
        <w:jc w:val="both"/>
        <w:rPr>
          <w:rFonts w:eastAsia="Calibri"/>
          <w:sz w:val="22"/>
          <w:szCs w:val="22"/>
          <w:lang w:val="sr-Latn-RS"/>
        </w:rPr>
      </w:pPr>
      <w:r w:rsidRPr="00786071">
        <w:rPr>
          <w:rFonts w:eastAsia="Calibri"/>
          <w:sz w:val="22"/>
          <w:szCs w:val="22"/>
          <w:lang w:val="sr-Latn-RS"/>
        </w:rPr>
        <w:t>tel: +382 (0) 20 310 280</w:t>
      </w:r>
    </w:p>
    <w:p w14:paraId="66F21765" w14:textId="77777777" w:rsidR="006F328F" w:rsidRPr="00786071" w:rsidRDefault="006F328F" w:rsidP="006F328F">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70785894" w14:textId="77777777" w:rsidR="006F328F" w:rsidRPr="00786071" w:rsidRDefault="00F72491" w:rsidP="006F328F">
      <w:pPr>
        <w:pStyle w:val="NoSpacing"/>
        <w:jc w:val="both"/>
        <w:rPr>
          <w:rFonts w:eastAsia="Calibri"/>
          <w:sz w:val="22"/>
          <w:szCs w:val="22"/>
          <w:lang w:val="sr-Latn-RS"/>
        </w:rPr>
      </w:pPr>
      <w:hyperlink r:id="rId8" w:history="1">
        <w:r w:rsidR="006F328F" w:rsidRPr="00B664A0">
          <w:rPr>
            <w:rStyle w:val="Hyperlink"/>
            <w:rFonts w:eastAsia="Calibri"/>
            <w:sz w:val="22"/>
            <w:szCs w:val="22"/>
            <w:lang w:val="sr-Latn-RS"/>
          </w:rPr>
          <w:t>www.cinmed.me</w:t>
        </w:r>
      </w:hyperlink>
    </w:p>
    <w:p w14:paraId="53EB0C44" w14:textId="77777777" w:rsidR="006F328F" w:rsidRPr="00786071" w:rsidRDefault="00F72491" w:rsidP="006F328F">
      <w:pPr>
        <w:pStyle w:val="NoSpacing"/>
        <w:jc w:val="both"/>
        <w:rPr>
          <w:rFonts w:eastAsia="Calibri"/>
          <w:color w:val="0000FF"/>
          <w:sz w:val="22"/>
          <w:szCs w:val="22"/>
          <w:u w:val="single"/>
          <w:lang w:val="sr-Latn-RS"/>
        </w:rPr>
      </w:pPr>
      <w:hyperlink r:id="rId9" w:history="1">
        <w:r w:rsidR="006F328F" w:rsidRPr="00B664A0">
          <w:rPr>
            <w:rStyle w:val="Hyperlink"/>
            <w:rFonts w:eastAsia="Calibri"/>
            <w:sz w:val="22"/>
            <w:szCs w:val="22"/>
            <w:lang w:val="sr-Latn-RS"/>
          </w:rPr>
          <w:t>nezeljenadejstva@cinmed.me</w:t>
        </w:r>
      </w:hyperlink>
    </w:p>
    <w:p w14:paraId="7B42791F" w14:textId="77777777" w:rsidR="006F328F" w:rsidRDefault="006F328F" w:rsidP="006F328F">
      <w:pPr>
        <w:pStyle w:val="NoSpacing"/>
        <w:jc w:val="both"/>
        <w:rPr>
          <w:rFonts w:eastAsia="Calibri"/>
          <w:sz w:val="22"/>
          <w:szCs w:val="22"/>
          <w:lang w:val="sr-Latn-RS"/>
        </w:rPr>
      </w:pPr>
      <w:r w:rsidRPr="00786071">
        <w:rPr>
          <w:rFonts w:eastAsia="Calibri"/>
          <w:sz w:val="22"/>
          <w:szCs w:val="22"/>
          <w:lang w:val="sr-Latn-RS"/>
        </w:rPr>
        <w:t>putem IS zdravstvene zaštite</w:t>
      </w:r>
    </w:p>
    <w:p w14:paraId="402D9418" w14:textId="77777777" w:rsidR="006F328F" w:rsidRDefault="006F328F" w:rsidP="006F328F">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F97440C" w14:textId="77777777" w:rsidR="006F328F" w:rsidRDefault="006F328F" w:rsidP="006F328F">
      <w:pPr>
        <w:pStyle w:val="NoSpacing"/>
        <w:rPr>
          <w:rFonts w:eastAsia="Calibri"/>
          <w:sz w:val="22"/>
          <w:szCs w:val="22"/>
          <w:lang w:val="sr-Latn-RS"/>
        </w:rPr>
      </w:pPr>
    </w:p>
    <w:p w14:paraId="591A4657" w14:textId="77777777" w:rsidR="006F328F" w:rsidRDefault="006F328F" w:rsidP="006F328F">
      <w:pPr>
        <w:tabs>
          <w:tab w:val="left" w:pos="540"/>
          <w:tab w:val="left" w:pos="569"/>
        </w:tabs>
        <w:rPr>
          <w:b/>
          <w:bCs/>
          <w:sz w:val="22"/>
          <w:szCs w:val="22"/>
        </w:rPr>
      </w:pPr>
      <w:r w:rsidRPr="007F661E">
        <w:rPr>
          <w:b/>
          <w:bCs/>
          <w:noProof/>
          <w:sz w:val="22"/>
          <w:szCs w:val="22"/>
        </w:rPr>
        <w:lastRenderedPageBreak/>
        <w:drawing>
          <wp:inline distT="0" distB="0" distL="0" distR="0" wp14:anchorId="60096A78" wp14:editId="71992D09">
            <wp:extent cx="980796" cy="972000"/>
            <wp:effectExtent l="0" t="0" r="0" b="0"/>
            <wp:docPr id="2"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3E94A3A" w14:textId="77777777" w:rsidR="008F3BDC" w:rsidRPr="0082654D" w:rsidRDefault="008F3BDC" w:rsidP="00480FB1">
      <w:pPr>
        <w:tabs>
          <w:tab w:val="left" w:pos="540"/>
          <w:tab w:val="left" w:pos="569"/>
        </w:tabs>
        <w:rPr>
          <w:b/>
          <w:bCs/>
          <w:sz w:val="22"/>
          <w:szCs w:val="22"/>
        </w:rPr>
      </w:pPr>
    </w:p>
    <w:p w14:paraId="63E12196" w14:textId="77777777" w:rsidR="00CD6F02" w:rsidRPr="0082654D" w:rsidRDefault="0072020E" w:rsidP="00480FB1">
      <w:pPr>
        <w:tabs>
          <w:tab w:val="left" w:pos="540"/>
          <w:tab w:val="left" w:pos="569"/>
        </w:tabs>
        <w:rPr>
          <w:b/>
          <w:bCs/>
          <w:sz w:val="22"/>
          <w:szCs w:val="22"/>
        </w:rPr>
      </w:pPr>
      <w:r w:rsidRPr="0082654D">
        <w:rPr>
          <w:b/>
          <w:bCs/>
          <w:sz w:val="22"/>
          <w:szCs w:val="22"/>
        </w:rPr>
        <w:t xml:space="preserve">4.9. </w:t>
      </w:r>
      <w:r w:rsidR="00480FB1" w:rsidRPr="0082654D">
        <w:rPr>
          <w:b/>
          <w:bCs/>
          <w:sz w:val="22"/>
          <w:szCs w:val="22"/>
        </w:rPr>
        <w:tab/>
      </w:r>
      <w:r w:rsidRPr="0082654D">
        <w:rPr>
          <w:b/>
          <w:bCs/>
          <w:sz w:val="22"/>
          <w:szCs w:val="22"/>
        </w:rPr>
        <w:t>Predoziranje</w:t>
      </w:r>
      <w:r w:rsidR="002846DB" w:rsidRPr="0082654D">
        <w:rPr>
          <w:b/>
          <w:bCs/>
          <w:sz w:val="22"/>
          <w:szCs w:val="22"/>
        </w:rPr>
        <w:t xml:space="preserve"> </w:t>
      </w:r>
    </w:p>
    <w:p w14:paraId="4ED253E1" w14:textId="77777777" w:rsidR="00CD6F02" w:rsidRPr="0082654D" w:rsidRDefault="00CD6F02" w:rsidP="007F6B1A">
      <w:pPr>
        <w:tabs>
          <w:tab w:val="left" w:pos="540"/>
          <w:tab w:val="left" w:pos="569"/>
        </w:tabs>
        <w:jc w:val="both"/>
        <w:rPr>
          <w:b/>
          <w:bCs/>
          <w:sz w:val="22"/>
          <w:szCs w:val="22"/>
        </w:rPr>
      </w:pPr>
    </w:p>
    <w:p w14:paraId="75E8B727" w14:textId="77777777" w:rsidR="0082654D" w:rsidRPr="0082654D" w:rsidRDefault="0082654D" w:rsidP="007F6B1A">
      <w:pPr>
        <w:keepNext/>
        <w:keepLines/>
        <w:shd w:val="clear" w:color="auto" w:fill="FFFFFF" w:themeFill="background1"/>
        <w:jc w:val="both"/>
        <w:outlineLvl w:val="0"/>
        <w:rPr>
          <w:sz w:val="22"/>
          <w:szCs w:val="22"/>
          <w:u w:val="single"/>
          <w:lang w:val="hr-HR"/>
        </w:rPr>
      </w:pPr>
      <w:r w:rsidRPr="0082654D">
        <w:rPr>
          <w:sz w:val="22"/>
          <w:szCs w:val="22"/>
          <w:u w:val="single"/>
          <w:lang w:val="hr-HR"/>
        </w:rPr>
        <w:t>Simptomi</w:t>
      </w:r>
    </w:p>
    <w:p w14:paraId="7BC739E4" w14:textId="77777777" w:rsidR="0082654D" w:rsidRPr="0082654D" w:rsidRDefault="0082654D" w:rsidP="007F6B1A">
      <w:pPr>
        <w:keepNext/>
        <w:keepLines/>
        <w:shd w:val="clear" w:color="auto" w:fill="FFFFFF" w:themeFill="background1"/>
        <w:jc w:val="both"/>
        <w:outlineLvl w:val="0"/>
        <w:rPr>
          <w:sz w:val="22"/>
          <w:szCs w:val="22"/>
          <w:lang w:val="hr-HR"/>
        </w:rPr>
      </w:pPr>
    </w:p>
    <w:p w14:paraId="2504E13B" w14:textId="77777777" w:rsidR="0082654D" w:rsidRPr="0082654D" w:rsidRDefault="0082654D" w:rsidP="007F6B1A">
      <w:pPr>
        <w:shd w:val="clear" w:color="auto" w:fill="FFFFFF" w:themeFill="background1"/>
        <w:jc w:val="both"/>
        <w:outlineLvl w:val="0"/>
        <w:rPr>
          <w:sz w:val="22"/>
          <w:szCs w:val="22"/>
          <w:lang w:val="hr-HR"/>
        </w:rPr>
      </w:pPr>
      <w:r w:rsidRPr="0082654D">
        <w:rPr>
          <w:sz w:val="22"/>
          <w:szCs w:val="22"/>
          <w:lang w:val="hr-HR"/>
        </w:rPr>
        <w:t>Neželjene reakcije povezane sa predoziranjem u skladu su sa bezb</w:t>
      </w:r>
      <w:r w:rsidR="003764F0">
        <w:rPr>
          <w:sz w:val="22"/>
          <w:szCs w:val="22"/>
          <w:lang w:val="hr-HR"/>
        </w:rPr>
        <w:t>j</w:t>
      </w:r>
      <w:r w:rsidRPr="0082654D">
        <w:rPr>
          <w:sz w:val="22"/>
          <w:szCs w:val="22"/>
          <w:lang w:val="hr-HR"/>
        </w:rPr>
        <w:t xml:space="preserve">ednosnim profilom </w:t>
      </w:r>
      <w:r w:rsidR="00C10B32">
        <w:rPr>
          <w:sz w:val="22"/>
          <w:szCs w:val="22"/>
          <w:lang w:val="hr-HR"/>
        </w:rPr>
        <w:t>lijek</w:t>
      </w:r>
      <w:r w:rsidRPr="0082654D">
        <w:rPr>
          <w:sz w:val="22"/>
          <w:szCs w:val="22"/>
          <w:lang w:val="hr-HR"/>
        </w:rPr>
        <w:t>a Piqray i uključivale su hiperglikemiju, mučninu, asteniju i osip.</w:t>
      </w:r>
    </w:p>
    <w:p w14:paraId="47416295" w14:textId="77777777" w:rsidR="0082654D" w:rsidRPr="0082654D" w:rsidRDefault="0082654D" w:rsidP="007F6B1A">
      <w:pPr>
        <w:shd w:val="clear" w:color="auto" w:fill="FFFFFF" w:themeFill="background1"/>
        <w:jc w:val="both"/>
        <w:outlineLvl w:val="0"/>
        <w:rPr>
          <w:sz w:val="22"/>
          <w:szCs w:val="22"/>
          <w:lang w:val="hr-HR"/>
        </w:rPr>
      </w:pPr>
    </w:p>
    <w:p w14:paraId="326FD947" w14:textId="77777777" w:rsidR="0082654D" w:rsidRPr="0082654D" w:rsidRDefault="0082654D" w:rsidP="007F6B1A">
      <w:pPr>
        <w:keepNext/>
        <w:keepLines/>
        <w:shd w:val="clear" w:color="auto" w:fill="FFFFFF" w:themeFill="background1"/>
        <w:jc w:val="both"/>
        <w:outlineLvl w:val="0"/>
        <w:rPr>
          <w:sz w:val="22"/>
          <w:szCs w:val="22"/>
          <w:u w:val="single"/>
          <w:lang w:val="hr-HR"/>
        </w:rPr>
      </w:pPr>
      <w:r w:rsidRPr="0082654D">
        <w:rPr>
          <w:sz w:val="22"/>
          <w:szCs w:val="22"/>
          <w:u w:val="single"/>
          <w:lang w:val="hr-HR"/>
        </w:rPr>
        <w:t>Zbrinjavanje</w:t>
      </w:r>
    </w:p>
    <w:p w14:paraId="07EF48E5" w14:textId="77777777" w:rsidR="0082654D" w:rsidRPr="0082654D" w:rsidRDefault="0082654D" w:rsidP="007F6B1A">
      <w:pPr>
        <w:keepNext/>
        <w:keepLines/>
        <w:shd w:val="clear" w:color="auto" w:fill="FFFFFF" w:themeFill="background1"/>
        <w:jc w:val="both"/>
        <w:outlineLvl w:val="0"/>
        <w:rPr>
          <w:sz w:val="22"/>
          <w:szCs w:val="22"/>
          <w:lang w:val="hr-HR"/>
        </w:rPr>
      </w:pPr>
    </w:p>
    <w:p w14:paraId="01CC3357" w14:textId="77777777" w:rsidR="0082654D" w:rsidRPr="0082654D" w:rsidRDefault="0082654D" w:rsidP="007F6B1A">
      <w:pPr>
        <w:shd w:val="clear" w:color="auto" w:fill="FFFFFF" w:themeFill="background1"/>
        <w:jc w:val="both"/>
        <w:outlineLvl w:val="0"/>
        <w:rPr>
          <w:sz w:val="22"/>
          <w:szCs w:val="22"/>
          <w:lang w:val="hr-HR"/>
        </w:rPr>
      </w:pPr>
      <w:r w:rsidRPr="0082654D">
        <w:rPr>
          <w:sz w:val="22"/>
          <w:szCs w:val="22"/>
          <w:lang w:val="hr-HR"/>
        </w:rPr>
        <w:t xml:space="preserve">Potrebno je </w:t>
      </w:r>
      <w:r w:rsidR="00C21CF1">
        <w:rPr>
          <w:sz w:val="22"/>
          <w:szCs w:val="22"/>
          <w:lang w:val="hr-HR"/>
        </w:rPr>
        <w:t>prim</w:t>
      </w:r>
      <w:r w:rsidR="00496B19">
        <w:rPr>
          <w:sz w:val="22"/>
          <w:szCs w:val="22"/>
          <w:lang w:val="hr-HR"/>
        </w:rPr>
        <w:t>i</w:t>
      </w:r>
      <w:r w:rsidR="00C21CF1">
        <w:rPr>
          <w:sz w:val="22"/>
          <w:szCs w:val="22"/>
          <w:lang w:val="hr-HR"/>
        </w:rPr>
        <w:t>jen</w:t>
      </w:r>
      <w:r w:rsidRPr="0082654D">
        <w:rPr>
          <w:sz w:val="22"/>
          <w:szCs w:val="22"/>
          <w:lang w:val="hr-HR"/>
        </w:rPr>
        <w:t>iti opšte simptomatske i suportivne m</w:t>
      </w:r>
      <w:r w:rsidR="00496B19">
        <w:rPr>
          <w:sz w:val="22"/>
          <w:szCs w:val="22"/>
          <w:lang w:val="hr-HR"/>
        </w:rPr>
        <w:t>j</w:t>
      </w:r>
      <w:r w:rsidRPr="0082654D">
        <w:rPr>
          <w:sz w:val="22"/>
          <w:szCs w:val="22"/>
          <w:lang w:val="hr-HR"/>
        </w:rPr>
        <w:t>ere u svim slučajevima predoziranja gd</w:t>
      </w:r>
      <w:r w:rsidR="00496B19">
        <w:rPr>
          <w:sz w:val="22"/>
          <w:szCs w:val="22"/>
          <w:lang w:val="hr-HR"/>
        </w:rPr>
        <w:t>j</w:t>
      </w:r>
      <w:r w:rsidRPr="0082654D">
        <w:rPr>
          <w:sz w:val="22"/>
          <w:szCs w:val="22"/>
          <w:lang w:val="hr-HR"/>
        </w:rPr>
        <w:t xml:space="preserve">e je to neophodno. Nema poznatog antidota za </w:t>
      </w:r>
      <w:r w:rsidR="00C10B32">
        <w:rPr>
          <w:sz w:val="22"/>
          <w:szCs w:val="22"/>
          <w:lang w:val="hr-HR"/>
        </w:rPr>
        <w:t>lijek</w:t>
      </w:r>
      <w:r w:rsidRPr="0082654D">
        <w:rPr>
          <w:sz w:val="22"/>
          <w:szCs w:val="22"/>
          <w:lang w:val="hr-HR"/>
        </w:rPr>
        <w:t xml:space="preserve"> Piqray.</w:t>
      </w:r>
    </w:p>
    <w:p w14:paraId="11DA4249" w14:textId="7925A4E1" w:rsidR="00227BDB" w:rsidRDefault="00227BDB" w:rsidP="007F6B1A">
      <w:pPr>
        <w:tabs>
          <w:tab w:val="left" w:pos="540"/>
          <w:tab w:val="left" w:pos="569"/>
        </w:tabs>
        <w:jc w:val="both"/>
        <w:rPr>
          <w:b/>
          <w:bCs/>
          <w:sz w:val="22"/>
          <w:szCs w:val="22"/>
        </w:rPr>
      </w:pPr>
    </w:p>
    <w:p w14:paraId="343351B6" w14:textId="77777777" w:rsidR="00CA7D42" w:rsidRPr="0082654D" w:rsidRDefault="00CA7D42" w:rsidP="007F6B1A">
      <w:pPr>
        <w:tabs>
          <w:tab w:val="left" w:pos="540"/>
          <w:tab w:val="left" w:pos="569"/>
        </w:tabs>
        <w:jc w:val="both"/>
        <w:rPr>
          <w:b/>
          <w:bCs/>
          <w:sz w:val="22"/>
          <w:szCs w:val="22"/>
        </w:rPr>
      </w:pPr>
    </w:p>
    <w:p w14:paraId="7D2DAE67" w14:textId="77777777" w:rsidR="0072020E" w:rsidRPr="0082654D" w:rsidRDefault="0072020E" w:rsidP="00480FB1">
      <w:pPr>
        <w:tabs>
          <w:tab w:val="left" w:pos="540"/>
          <w:tab w:val="left" w:pos="569"/>
        </w:tabs>
        <w:rPr>
          <w:b/>
          <w:bCs/>
          <w:sz w:val="22"/>
          <w:szCs w:val="22"/>
        </w:rPr>
      </w:pPr>
      <w:r w:rsidRPr="0082654D">
        <w:rPr>
          <w:b/>
          <w:bCs/>
          <w:sz w:val="22"/>
          <w:szCs w:val="22"/>
        </w:rPr>
        <w:t xml:space="preserve">5. </w:t>
      </w:r>
      <w:r w:rsidR="00480FB1" w:rsidRPr="0082654D">
        <w:rPr>
          <w:b/>
          <w:bCs/>
          <w:sz w:val="22"/>
          <w:szCs w:val="22"/>
        </w:rPr>
        <w:tab/>
      </w:r>
      <w:r w:rsidRPr="0082654D">
        <w:rPr>
          <w:b/>
          <w:bCs/>
          <w:sz w:val="22"/>
          <w:szCs w:val="22"/>
        </w:rPr>
        <w:t>FARMAKOLOŠK</w:t>
      </w:r>
      <w:r w:rsidR="000D425A" w:rsidRPr="0082654D">
        <w:rPr>
          <w:b/>
          <w:bCs/>
          <w:sz w:val="22"/>
          <w:szCs w:val="22"/>
        </w:rPr>
        <w:t>I</w:t>
      </w:r>
      <w:r w:rsidRPr="0082654D">
        <w:rPr>
          <w:b/>
          <w:bCs/>
          <w:sz w:val="22"/>
          <w:szCs w:val="22"/>
        </w:rPr>
        <w:t xml:space="preserve"> PODACI</w:t>
      </w:r>
    </w:p>
    <w:p w14:paraId="5C88ABFD" w14:textId="77777777" w:rsidR="0072020E" w:rsidRPr="0082654D" w:rsidRDefault="0072020E" w:rsidP="00480FB1">
      <w:pPr>
        <w:tabs>
          <w:tab w:val="left" w:pos="540"/>
          <w:tab w:val="left" w:pos="569"/>
        </w:tabs>
        <w:rPr>
          <w:b/>
          <w:bCs/>
          <w:sz w:val="22"/>
          <w:szCs w:val="22"/>
        </w:rPr>
      </w:pPr>
    </w:p>
    <w:p w14:paraId="023AEB72" w14:textId="77777777" w:rsidR="0072020E" w:rsidRPr="0082654D" w:rsidRDefault="0072020E" w:rsidP="00480FB1">
      <w:pPr>
        <w:tabs>
          <w:tab w:val="left" w:pos="540"/>
          <w:tab w:val="left" w:pos="569"/>
        </w:tabs>
        <w:rPr>
          <w:b/>
          <w:bCs/>
          <w:sz w:val="22"/>
          <w:szCs w:val="22"/>
        </w:rPr>
      </w:pPr>
      <w:r w:rsidRPr="0082654D">
        <w:rPr>
          <w:b/>
          <w:bCs/>
          <w:sz w:val="22"/>
          <w:szCs w:val="22"/>
        </w:rPr>
        <w:t xml:space="preserve">5.1. </w:t>
      </w:r>
      <w:r w:rsidR="00480FB1" w:rsidRPr="0082654D">
        <w:rPr>
          <w:b/>
          <w:bCs/>
          <w:sz w:val="22"/>
          <w:szCs w:val="22"/>
        </w:rPr>
        <w:tab/>
      </w:r>
      <w:r w:rsidRPr="0082654D">
        <w:rPr>
          <w:b/>
          <w:bCs/>
          <w:sz w:val="22"/>
          <w:szCs w:val="22"/>
        </w:rPr>
        <w:t>Farmakodinamski podaci</w:t>
      </w:r>
      <w:r w:rsidR="003A7059" w:rsidRPr="0082654D">
        <w:rPr>
          <w:b/>
          <w:bCs/>
          <w:sz w:val="22"/>
          <w:szCs w:val="22"/>
        </w:rPr>
        <w:t xml:space="preserve"> </w:t>
      </w:r>
    </w:p>
    <w:p w14:paraId="2967226C" w14:textId="77777777" w:rsidR="00F45F77" w:rsidRPr="00C10B32" w:rsidRDefault="00F45F77" w:rsidP="00480FB1">
      <w:pPr>
        <w:tabs>
          <w:tab w:val="left" w:pos="540"/>
          <w:tab w:val="left" w:pos="569"/>
        </w:tabs>
        <w:rPr>
          <w:b/>
          <w:bCs/>
          <w:sz w:val="22"/>
          <w:szCs w:val="22"/>
        </w:rPr>
      </w:pPr>
    </w:p>
    <w:p w14:paraId="1947674B" w14:textId="12B0A9E4" w:rsidR="002032DE" w:rsidRPr="000E30E5" w:rsidRDefault="0072020E" w:rsidP="002032DE">
      <w:pPr>
        <w:rPr>
          <w:sz w:val="22"/>
          <w:szCs w:val="22"/>
          <w:lang w:val="hr-HR"/>
        </w:rPr>
      </w:pPr>
      <w:r w:rsidRPr="00C10B32">
        <w:rPr>
          <w:bCs/>
          <w:sz w:val="22"/>
          <w:szCs w:val="22"/>
        </w:rPr>
        <w:t>Farmakoterapijska grupa:</w:t>
      </w:r>
      <w:r w:rsidR="00C10B32" w:rsidRPr="00C10B32">
        <w:rPr>
          <w:bCs/>
          <w:sz w:val="22"/>
          <w:szCs w:val="22"/>
        </w:rPr>
        <w:t xml:space="preserve"> </w:t>
      </w:r>
      <w:r w:rsidR="00C10B32" w:rsidRPr="00C10B32">
        <w:rPr>
          <w:sz w:val="22"/>
          <w:szCs w:val="22"/>
          <w:lang w:val="hr-HR"/>
        </w:rPr>
        <w:t xml:space="preserve">Antineoplastici, </w:t>
      </w:r>
      <w:r w:rsidR="002032DE" w:rsidRPr="002032DE">
        <w:rPr>
          <w:sz w:val="22"/>
          <w:szCs w:val="22"/>
          <w:lang w:val="hr-HR"/>
        </w:rPr>
        <w:t xml:space="preserve">inhibitori protein kinaze, inhibitori fosfatidilinozitol 3-kinaze (PI3K) </w:t>
      </w:r>
    </w:p>
    <w:p w14:paraId="454E17E0" w14:textId="77777777" w:rsidR="0072020E" w:rsidRPr="00C10B32" w:rsidRDefault="0072020E" w:rsidP="00480FB1">
      <w:pPr>
        <w:tabs>
          <w:tab w:val="left" w:pos="540"/>
          <w:tab w:val="left" w:pos="569"/>
        </w:tabs>
        <w:rPr>
          <w:bCs/>
          <w:sz w:val="22"/>
          <w:szCs w:val="22"/>
        </w:rPr>
      </w:pPr>
    </w:p>
    <w:p w14:paraId="5FF6BC9F" w14:textId="77777777" w:rsidR="0072020E" w:rsidRPr="00734F24" w:rsidRDefault="0072020E" w:rsidP="00734F24">
      <w:pPr>
        <w:rPr>
          <w:b/>
          <w:bCs/>
          <w:sz w:val="22"/>
          <w:szCs w:val="22"/>
        </w:rPr>
      </w:pPr>
      <w:r w:rsidRPr="00C10B32">
        <w:rPr>
          <w:bCs/>
          <w:sz w:val="22"/>
          <w:szCs w:val="22"/>
        </w:rPr>
        <w:t>ATC kod:</w:t>
      </w:r>
      <w:r w:rsidR="00C10B32" w:rsidRPr="00C10B32">
        <w:rPr>
          <w:bCs/>
          <w:sz w:val="22"/>
          <w:szCs w:val="22"/>
        </w:rPr>
        <w:t xml:space="preserve"> </w:t>
      </w:r>
      <w:r w:rsidR="00734F24" w:rsidRPr="00734F24">
        <w:rPr>
          <w:sz w:val="22"/>
          <w:szCs w:val="22"/>
          <w:lang w:val="hr-HR"/>
        </w:rPr>
        <w:t>L01EM03</w:t>
      </w:r>
    </w:p>
    <w:p w14:paraId="17AF0E35" w14:textId="77777777" w:rsidR="002E37A5" w:rsidRPr="00C10B32" w:rsidRDefault="002E37A5" w:rsidP="007F6B1A">
      <w:pPr>
        <w:tabs>
          <w:tab w:val="left" w:pos="540"/>
          <w:tab w:val="left" w:pos="569"/>
        </w:tabs>
        <w:jc w:val="both"/>
        <w:rPr>
          <w:b/>
          <w:bCs/>
          <w:sz w:val="22"/>
          <w:szCs w:val="22"/>
        </w:rPr>
      </w:pPr>
    </w:p>
    <w:p w14:paraId="31C0D70E" w14:textId="77777777" w:rsidR="00C10B32" w:rsidRPr="00C10B32" w:rsidRDefault="00C10B32" w:rsidP="007F6B1A">
      <w:pPr>
        <w:keepNext/>
        <w:shd w:val="clear" w:color="auto" w:fill="FFFFFF" w:themeFill="background1"/>
        <w:autoSpaceDE w:val="0"/>
        <w:autoSpaceDN w:val="0"/>
        <w:adjustRightInd w:val="0"/>
        <w:jc w:val="both"/>
        <w:rPr>
          <w:sz w:val="22"/>
          <w:szCs w:val="22"/>
          <w:u w:val="single"/>
          <w:lang w:val="hr-HR"/>
        </w:rPr>
      </w:pPr>
      <w:r w:rsidRPr="00C10B32">
        <w:rPr>
          <w:sz w:val="22"/>
          <w:szCs w:val="22"/>
          <w:u w:val="single"/>
          <w:lang w:val="hr-HR"/>
        </w:rPr>
        <w:t>Mehanizam dejstva</w:t>
      </w:r>
    </w:p>
    <w:p w14:paraId="4E06F8B8" w14:textId="77777777" w:rsidR="00C10B32" w:rsidRPr="00C10B32" w:rsidRDefault="00C10B32" w:rsidP="007F6B1A">
      <w:pPr>
        <w:keepNext/>
        <w:shd w:val="clear" w:color="auto" w:fill="FFFFFF" w:themeFill="background1"/>
        <w:autoSpaceDE w:val="0"/>
        <w:autoSpaceDN w:val="0"/>
        <w:adjustRightInd w:val="0"/>
        <w:jc w:val="both"/>
        <w:rPr>
          <w:sz w:val="22"/>
          <w:szCs w:val="22"/>
          <w:lang w:val="hr-HR"/>
        </w:rPr>
      </w:pPr>
    </w:p>
    <w:p w14:paraId="7C80935E" w14:textId="77777777" w:rsidR="00C10B32" w:rsidRPr="00C10B32" w:rsidRDefault="00C10B32" w:rsidP="007F6B1A">
      <w:pPr>
        <w:shd w:val="clear" w:color="auto" w:fill="FFFFFF" w:themeFill="background1"/>
        <w:jc w:val="both"/>
        <w:rPr>
          <w:color w:val="000000"/>
          <w:sz w:val="22"/>
          <w:szCs w:val="22"/>
          <w:lang w:val="hr-HR"/>
        </w:rPr>
      </w:pPr>
      <w:r w:rsidRPr="00C10B32">
        <w:rPr>
          <w:sz w:val="22"/>
          <w:szCs w:val="22"/>
          <w:lang w:val="hr-HR"/>
        </w:rPr>
        <w:t>Alpelisib je α</w:t>
      </w:r>
      <w:r w:rsidRPr="00C10B32">
        <w:rPr>
          <w:sz w:val="22"/>
          <w:szCs w:val="22"/>
          <w:lang w:val="hr-HR"/>
        </w:rPr>
        <w:noBreakHyphen/>
        <w:t>specifični inhibitor fosfatidilinozitol 3</w:t>
      </w:r>
      <w:r w:rsidRPr="00C10B32">
        <w:rPr>
          <w:sz w:val="22"/>
          <w:szCs w:val="22"/>
          <w:lang w:val="hr-HR"/>
        </w:rPr>
        <w:noBreakHyphen/>
        <w:t>kinaze (PI3Kα) klase I. M</w:t>
      </w:r>
      <w:r w:rsidRPr="00C10B32">
        <w:rPr>
          <w:bCs/>
          <w:color w:val="000000"/>
          <w:sz w:val="22"/>
          <w:szCs w:val="22"/>
          <w:lang w:val="hr-HR"/>
        </w:rPr>
        <w:t xml:space="preserve">utacije dobijanja funkcije (engl. </w:t>
      </w:r>
      <w:r w:rsidRPr="00C10B32">
        <w:rPr>
          <w:bCs/>
          <w:i/>
          <w:color w:val="000000"/>
          <w:sz w:val="22"/>
          <w:szCs w:val="22"/>
          <w:lang w:val="hr-HR"/>
        </w:rPr>
        <w:t>gain</w:t>
      </w:r>
      <w:r w:rsidRPr="00C10B32">
        <w:rPr>
          <w:bCs/>
          <w:i/>
          <w:color w:val="000000"/>
          <w:sz w:val="22"/>
          <w:szCs w:val="22"/>
          <w:lang w:val="hr-HR"/>
        </w:rPr>
        <w:noBreakHyphen/>
        <w:t>of</w:t>
      </w:r>
      <w:r w:rsidRPr="00C10B32">
        <w:rPr>
          <w:bCs/>
          <w:i/>
          <w:color w:val="000000"/>
          <w:sz w:val="22"/>
          <w:szCs w:val="22"/>
          <w:lang w:val="hr-HR"/>
        </w:rPr>
        <w:noBreakHyphen/>
        <w:t>function mutations</w:t>
      </w:r>
      <w:r w:rsidRPr="00C10B32">
        <w:rPr>
          <w:bCs/>
          <w:color w:val="000000"/>
          <w:sz w:val="22"/>
          <w:szCs w:val="22"/>
          <w:lang w:val="hr-HR"/>
        </w:rPr>
        <w:t>) u genu koji kodira katalitičku α</w:t>
      </w:r>
      <w:r w:rsidRPr="00C10B32">
        <w:rPr>
          <w:bCs/>
          <w:color w:val="000000"/>
          <w:sz w:val="22"/>
          <w:szCs w:val="22"/>
          <w:lang w:val="hr-HR"/>
        </w:rPr>
        <w:noBreakHyphen/>
        <w:t>subjedinicu PI3K (PIK3CA) dovode do aktivacije PI3K</w:t>
      </w:r>
      <w:r w:rsidRPr="00C10B32">
        <w:rPr>
          <w:bCs/>
          <w:sz w:val="22"/>
          <w:szCs w:val="22"/>
          <w:lang w:val="hr-HR"/>
        </w:rPr>
        <w:t>α</w:t>
      </w:r>
      <w:r w:rsidRPr="00C10B32">
        <w:rPr>
          <w:bCs/>
          <w:color w:val="000000"/>
          <w:sz w:val="22"/>
          <w:szCs w:val="22"/>
          <w:lang w:val="hr-HR"/>
        </w:rPr>
        <w:t xml:space="preserve"> i</w:t>
      </w:r>
      <w:r w:rsidRPr="00C10B32">
        <w:rPr>
          <w:sz w:val="22"/>
          <w:szCs w:val="22"/>
          <w:lang w:val="hr-HR"/>
        </w:rPr>
        <w:t xml:space="preserve"> AKT</w:t>
      </w:r>
      <w:r w:rsidRPr="00C10B32">
        <w:rPr>
          <w:sz w:val="22"/>
          <w:szCs w:val="22"/>
          <w:lang w:val="hr-HR"/>
        </w:rPr>
        <w:noBreakHyphen/>
        <w:t>a signalnog puta</w:t>
      </w:r>
      <w:r w:rsidRPr="00C10B32">
        <w:rPr>
          <w:color w:val="000000"/>
          <w:sz w:val="22"/>
          <w:szCs w:val="22"/>
          <w:lang w:val="hr-HR"/>
        </w:rPr>
        <w:t xml:space="preserve">, transformacije ćelija i stvaranja tumora u </w:t>
      </w:r>
      <w:r w:rsidRPr="00C10B32">
        <w:rPr>
          <w:i/>
          <w:sz w:val="22"/>
          <w:szCs w:val="22"/>
          <w:lang w:val="hr-HR"/>
        </w:rPr>
        <w:t>in vitro</w:t>
      </w:r>
      <w:r w:rsidRPr="00C10B32">
        <w:rPr>
          <w:sz w:val="22"/>
          <w:szCs w:val="22"/>
          <w:lang w:val="hr-HR"/>
        </w:rPr>
        <w:t xml:space="preserve"> i </w:t>
      </w:r>
      <w:r w:rsidRPr="00C10B32">
        <w:rPr>
          <w:i/>
          <w:sz w:val="22"/>
          <w:szCs w:val="22"/>
          <w:lang w:val="hr-HR"/>
        </w:rPr>
        <w:t xml:space="preserve">in vivo </w:t>
      </w:r>
      <w:r w:rsidRPr="00C10B32">
        <w:rPr>
          <w:sz w:val="22"/>
          <w:szCs w:val="22"/>
          <w:lang w:val="hr-HR"/>
        </w:rPr>
        <w:t>modelima</w:t>
      </w:r>
      <w:r w:rsidRPr="00C10B32">
        <w:rPr>
          <w:color w:val="000000"/>
          <w:sz w:val="22"/>
          <w:szCs w:val="22"/>
          <w:lang w:val="hr-HR"/>
        </w:rPr>
        <w:t>.</w:t>
      </w:r>
    </w:p>
    <w:p w14:paraId="6BA265E5" w14:textId="77777777" w:rsidR="00C10B32" w:rsidRPr="00C10B32" w:rsidRDefault="00C10B32" w:rsidP="007F6B1A">
      <w:pPr>
        <w:shd w:val="clear" w:color="auto" w:fill="FFFFFF" w:themeFill="background1"/>
        <w:jc w:val="both"/>
        <w:rPr>
          <w:sz w:val="22"/>
          <w:szCs w:val="22"/>
          <w:lang w:val="hr-HR"/>
        </w:rPr>
      </w:pPr>
    </w:p>
    <w:p w14:paraId="502BFFFF" w14:textId="77777777" w:rsidR="00C10B32" w:rsidRPr="00C10B32" w:rsidRDefault="00C10B32" w:rsidP="007F6B1A">
      <w:pPr>
        <w:shd w:val="clear" w:color="auto" w:fill="FFFFFF" w:themeFill="background1"/>
        <w:jc w:val="both"/>
        <w:rPr>
          <w:sz w:val="22"/>
          <w:szCs w:val="22"/>
          <w:lang w:val="hr-HR"/>
        </w:rPr>
      </w:pPr>
      <w:r w:rsidRPr="00C10B32">
        <w:rPr>
          <w:bCs/>
          <w:sz w:val="22"/>
          <w:szCs w:val="22"/>
          <w:lang w:val="hr-HR"/>
        </w:rPr>
        <w:t xml:space="preserve">U ćelijskim linijama </w:t>
      </w:r>
      <w:r w:rsidR="0027382A">
        <w:rPr>
          <w:bCs/>
          <w:sz w:val="22"/>
          <w:szCs w:val="22"/>
          <w:lang w:val="hr-HR"/>
        </w:rPr>
        <w:t>karcinom</w:t>
      </w:r>
      <w:r w:rsidR="0027382A" w:rsidRPr="00C10B32">
        <w:rPr>
          <w:bCs/>
          <w:sz w:val="22"/>
          <w:szCs w:val="22"/>
          <w:lang w:val="hr-HR"/>
        </w:rPr>
        <w:t xml:space="preserve">a </w:t>
      </w:r>
      <w:r w:rsidRPr="00C10B32">
        <w:rPr>
          <w:bCs/>
          <w:sz w:val="22"/>
          <w:szCs w:val="22"/>
          <w:lang w:val="hr-HR"/>
        </w:rPr>
        <w:t>dojke</w:t>
      </w:r>
      <w:r w:rsidRPr="00C10B32">
        <w:rPr>
          <w:sz w:val="22"/>
          <w:szCs w:val="22"/>
          <w:lang w:val="hr-HR"/>
        </w:rPr>
        <w:t>, alpelisib je inhibirao nishodnu fosforilaciju ciljnih tačaka PI3K puta uključujući AKT, i pokazao je aktivnost u ćelijskim linijama koje nose PIK3CA mutaciju.</w:t>
      </w:r>
    </w:p>
    <w:p w14:paraId="4308B294" w14:textId="77777777" w:rsidR="00C10B32" w:rsidRPr="00C10B32" w:rsidRDefault="00C10B32" w:rsidP="007F6B1A">
      <w:pPr>
        <w:shd w:val="clear" w:color="auto" w:fill="FFFFFF" w:themeFill="background1"/>
        <w:jc w:val="both"/>
        <w:rPr>
          <w:sz w:val="22"/>
          <w:szCs w:val="22"/>
          <w:lang w:val="hr-HR"/>
        </w:rPr>
      </w:pPr>
    </w:p>
    <w:p w14:paraId="3FB7A28B" w14:textId="77777777" w:rsidR="00C10B32" w:rsidRPr="00C10B32" w:rsidRDefault="00C10B32" w:rsidP="007F6B1A">
      <w:pPr>
        <w:shd w:val="clear" w:color="auto" w:fill="FFFFFF" w:themeFill="background1"/>
        <w:jc w:val="both"/>
        <w:rPr>
          <w:sz w:val="22"/>
          <w:szCs w:val="22"/>
          <w:lang w:val="hr-HR"/>
        </w:rPr>
      </w:pPr>
      <w:r w:rsidRPr="00C10B32">
        <w:rPr>
          <w:i/>
          <w:iCs/>
          <w:sz w:val="22"/>
          <w:szCs w:val="22"/>
          <w:lang w:val="hr-HR"/>
        </w:rPr>
        <w:t>In vivo</w:t>
      </w:r>
      <w:r w:rsidRPr="00C10B32">
        <w:rPr>
          <w:sz w:val="22"/>
          <w:szCs w:val="22"/>
          <w:lang w:val="hr-HR"/>
        </w:rPr>
        <w:t xml:space="preserve"> je alpelisib inhibirao signalni put PI3K/AKT i smanjio rast tumora u modelima ksenografta, uključujući modele </w:t>
      </w:r>
      <w:r w:rsidR="0027382A">
        <w:rPr>
          <w:sz w:val="22"/>
          <w:szCs w:val="22"/>
          <w:lang w:val="hr-HR"/>
        </w:rPr>
        <w:t>karcinom</w:t>
      </w:r>
      <w:r w:rsidR="0027382A" w:rsidRPr="00C10B32">
        <w:rPr>
          <w:sz w:val="22"/>
          <w:szCs w:val="22"/>
          <w:lang w:val="hr-HR"/>
        </w:rPr>
        <w:t xml:space="preserve">a </w:t>
      </w:r>
      <w:r w:rsidRPr="00C10B32">
        <w:rPr>
          <w:sz w:val="22"/>
          <w:szCs w:val="22"/>
          <w:lang w:val="hr-HR"/>
        </w:rPr>
        <w:t>dojke</w:t>
      </w:r>
      <w:r w:rsidRPr="00C10B32">
        <w:rPr>
          <w:color w:val="0000FF"/>
          <w:sz w:val="22"/>
          <w:szCs w:val="22"/>
          <w:lang w:val="hr-HR"/>
        </w:rPr>
        <w:t>.</w:t>
      </w:r>
    </w:p>
    <w:p w14:paraId="02E392FB" w14:textId="77777777" w:rsidR="00C10B32" w:rsidRPr="00C10B32" w:rsidRDefault="00C10B32" w:rsidP="007F6B1A">
      <w:pPr>
        <w:shd w:val="clear" w:color="auto" w:fill="FFFFFF" w:themeFill="background1"/>
        <w:jc w:val="both"/>
        <w:rPr>
          <w:sz w:val="22"/>
          <w:szCs w:val="22"/>
          <w:lang w:val="hr-HR"/>
        </w:rPr>
      </w:pPr>
    </w:p>
    <w:p w14:paraId="6F8A4A8C"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 xml:space="preserve">Utvrđeno je da inhibicija PI3K puta </w:t>
      </w:r>
      <w:r w:rsidR="00B66BE0">
        <w:rPr>
          <w:sz w:val="22"/>
          <w:szCs w:val="22"/>
          <w:lang w:val="hr-HR"/>
        </w:rPr>
        <w:t>liječenj</w:t>
      </w:r>
      <w:r w:rsidRPr="00C10B32">
        <w:rPr>
          <w:sz w:val="22"/>
          <w:szCs w:val="22"/>
          <w:lang w:val="hr-HR"/>
        </w:rPr>
        <w:t xml:space="preserve">em alpelisibom indukuje povećanje transkripcije estrogenskog receptora (ER) u ćelijama </w:t>
      </w:r>
      <w:r w:rsidR="0027382A">
        <w:rPr>
          <w:sz w:val="22"/>
          <w:szCs w:val="22"/>
          <w:lang w:val="hr-HR"/>
        </w:rPr>
        <w:t>karcinom</w:t>
      </w:r>
      <w:r w:rsidR="0027382A" w:rsidRPr="00C10B32">
        <w:rPr>
          <w:sz w:val="22"/>
          <w:szCs w:val="22"/>
          <w:lang w:val="hr-HR"/>
        </w:rPr>
        <w:t xml:space="preserve">a </w:t>
      </w:r>
      <w:r w:rsidRPr="00C10B32">
        <w:rPr>
          <w:sz w:val="22"/>
          <w:szCs w:val="22"/>
          <w:lang w:val="hr-HR"/>
        </w:rPr>
        <w:t>dojke. Kombinacija alpelisiba i fulvestranta pokazala je povećanu antitumorsku aktivnost u poređenju sa monoterapijom tim l</w:t>
      </w:r>
      <w:r w:rsidR="007F6B1A">
        <w:rPr>
          <w:sz w:val="22"/>
          <w:szCs w:val="22"/>
          <w:lang w:val="hr-HR"/>
        </w:rPr>
        <w:t>j</w:t>
      </w:r>
      <w:r w:rsidRPr="00C10B32">
        <w:rPr>
          <w:sz w:val="22"/>
          <w:szCs w:val="22"/>
          <w:lang w:val="hr-HR"/>
        </w:rPr>
        <w:t>ekovima u modelima ksenografta dobijenim iz ER</w:t>
      </w:r>
      <w:r w:rsidRPr="00C10B32">
        <w:rPr>
          <w:sz w:val="22"/>
          <w:szCs w:val="22"/>
          <w:lang w:val="hr-HR"/>
        </w:rPr>
        <w:noBreakHyphen/>
        <w:t xml:space="preserve">pozitivnih PIK3CA mutiranih </w:t>
      </w:r>
      <w:r w:rsidR="00E12644">
        <w:rPr>
          <w:sz w:val="22"/>
          <w:szCs w:val="22"/>
          <w:lang w:val="hr-HR"/>
        </w:rPr>
        <w:t xml:space="preserve">ćelijskih </w:t>
      </w:r>
      <w:r w:rsidRPr="00C10B32">
        <w:rPr>
          <w:sz w:val="22"/>
          <w:szCs w:val="22"/>
          <w:lang w:val="hr-HR"/>
        </w:rPr>
        <w:t xml:space="preserve">linija </w:t>
      </w:r>
      <w:r w:rsidR="0027382A">
        <w:rPr>
          <w:sz w:val="22"/>
          <w:szCs w:val="22"/>
          <w:lang w:val="hr-HR"/>
        </w:rPr>
        <w:t>karcinom</w:t>
      </w:r>
      <w:r w:rsidR="0027382A" w:rsidRPr="00C10B32">
        <w:rPr>
          <w:sz w:val="22"/>
          <w:szCs w:val="22"/>
          <w:lang w:val="hr-HR"/>
        </w:rPr>
        <w:t xml:space="preserve">a </w:t>
      </w:r>
      <w:r w:rsidRPr="00C10B32">
        <w:rPr>
          <w:sz w:val="22"/>
          <w:szCs w:val="22"/>
          <w:lang w:val="hr-HR"/>
        </w:rPr>
        <w:t>dojke.</w:t>
      </w:r>
    </w:p>
    <w:p w14:paraId="275AD2E0"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6258A913"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Signalni put PI3K/AKT odgovoran je za homeostazu glukoze, a hiperglikemija je očekivana „</w:t>
      </w:r>
      <w:r w:rsidRPr="00C10B32">
        <w:rPr>
          <w:i/>
          <w:sz w:val="22"/>
          <w:szCs w:val="22"/>
          <w:lang w:val="hr-HR"/>
        </w:rPr>
        <w:t>on-target“</w:t>
      </w:r>
      <w:r w:rsidRPr="00C10B32">
        <w:rPr>
          <w:sz w:val="22"/>
          <w:szCs w:val="22"/>
          <w:lang w:val="hr-HR"/>
        </w:rPr>
        <w:t xml:space="preserve"> neželjena reakcija kao posl</w:t>
      </w:r>
      <w:r w:rsidR="0027382A">
        <w:rPr>
          <w:sz w:val="22"/>
          <w:szCs w:val="22"/>
          <w:lang w:val="hr-HR"/>
        </w:rPr>
        <w:t>j</w:t>
      </w:r>
      <w:r w:rsidRPr="00C10B32">
        <w:rPr>
          <w:sz w:val="22"/>
          <w:szCs w:val="22"/>
          <w:lang w:val="hr-HR"/>
        </w:rPr>
        <w:t>edica PI3K inhibicije.</w:t>
      </w:r>
    </w:p>
    <w:p w14:paraId="7E5B259A" w14:textId="77777777" w:rsidR="00C10B32" w:rsidRPr="00C10B32" w:rsidRDefault="00C10B32" w:rsidP="00C10B32">
      <w:pPr>
        <w:shd w:val="clear" w:color="auto" w:fill="FFFFFF" w:themeFill="background1"/>
        <w:rPr>
          <w:sz w:val="22"/>
          <w:szCs w:val="22"/>
          <w:lang w:val="hr-HR"/>
        </w:rPr>
      </w:pPr>
    </w:p>
    <w:p w14:paraId="09BE6DC6" w14:textId="77777777" w:rsidR="00C10B32" w:rsidRPr="00C10B32" w:rsidRDefault="00C10B32" w:rsidP="00C10B32">
      <w:pPr>
        <w:keepNext/>
        <w:shd w:val="clear" w:color="auto" w:fill="FFFFFF" w:themeFill="background1"/>
        <w:autoSpaceDE w:val="0"/>
        <w:autoSpaceDN w:val="0"/>
        <w:adjustRightInd w:val="0"/>
        <w:rPr>
          <w:sz w:val="22"/>
          <w:szCs w:val="22"/>
          <w:lang w:val="hr-HR"/>
        </w:rPr>
      </w:pPr>
      <w:r w:rsidRPr="00C10B32">
        <w:rPr>
          <w:sz w:val="22"/>
          <w:szCs w:val="22"/>
          <w:u w:val="single"/>
          <w:lang w:val="hr-HR"/>
        </w:rPr>
        <w:t xml:space="preserve">Klinička efikasnost i </w:t>
      </w:r>
      <w:r w:rsidR="00C233FD">
        <w:rPr>
          <w:sz w:val="22"/>
          <w:szCs w:val="22"/>
          <w:u w:val="single"/>
          <w:lang w:val="hr-HR"/>
        </w:rPr>
        <w:t>bezbjednost</w:t>
      </w:r>
    </w:p>
    <w:p w14:paraId="6985FCE6" w14:textId="77777777" w:rsidR="00C10B32" w:rsidRPr="00C10B32" w:rsidRDefault="00C10B32" w:rsidP="007F6B1A">
      <w:pPr>
        <w:keepNext/>
        <w:shd w:val="clear" w:color="auto" w:fill="FFFFFF" w:themeFill="background1"/>
        <w:autoSpaceDE w:val="0"/>
        <w:autoSpaceDN w:val="0"/>
        <w:adjustRightInd w:val="0"/>
        <w:jc w:val="both"/>
        <w:rPr>
          <w:sz w:val="22"/>
          <w:szCs w:val="22"/>
          <w:lang w:val="hr-HR"/>
        </w:rPr>
      </w:pPr>
    </w:p>
    <w:p w14:paraId="5443F7B1"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bookmarkStart w:id="1" w:name="_Toc259706951"/>
      <w:bookmarkStart w:id="2" w:name="_Toc259707123"/>
      <w:bookmarkStart w:id="3" w:name="_Toc259707186"/>
      <w:bookmarkStart w:id="4" w:name="_Toc259713132"/>
      <w:bookmarkStart w:id="5" w:name="_Toc260745247"/>
      <w:bookmarkStart w:id="6" w:name="_Toc266784438"/>
      <w:r w:rsidRPr="00C10B32">
        <w:rPr>
          <w:sz w:val="22"/>
          <w:szCs w:val="22"/>
          <w:lang w:val="hr-HR"/>
        </w:rPr>
        <w:t>L</w:t>
      </w:r>
      <w:r w:rsidR="007F6B1A">
        <w:rPr>
          <w:sz w:val="22"/>
          <w:szCs w:val="22"/>
          <w:lang w:val="hr-HR"/>
        </w:rPr>
        <w:t>ij</w:t>
      </w:r>
      <w:r w:rsidRPr="00C10B32">
        <w:rPr>
          <w:sz w:val="22"/>
          <w:szCs w:val="22"/>
          <w:lang w:val="hr-HR"/>
        </w:rPr>
        <w:t>ek Piqray je bio proc</w:t>
      </w:r>
      <w:r w:rsidR="007F6B1A">
        <w:rPr>
          <w:sz w:val="22"/>
          <w:szCs w:val="22"/>
          <w:lang w:val="hr-HR"/>
        </w:rPr>
        <w:t>j</w:t>
      </w:r>
      <w:r w:rsidRPr="00C10B32">
        <w:rPr>
          <w:sz w:val="22"/>
          <w:szCs w:val="22"/>
          <w:lang w:val="hr-HR"/>
        </w:rPr>
        <w:t>enjivan u randomizovanom, dvostruko sl</w:t>
      </w:r>
      <w:r w:rsidR="003764F0">
        <w:rPr>
          <w:sz w:val="22"/>
          <w:szCs w:val="22"/>
          <w:lang w:val="hr-HR"/>
        </w:rPr>
        <w:t>ij</w:t>
      </w:r>
      <w:r w:rsidRPr="00C10B32">
        <w:rPr>
          <w:sz w:val="22"/>
          <w:szCs w:val="22"/>
          <w:lang w:val="hr-HR"/>
        </w:rPr>
        <w:t>epom, placebom kontrolisanom pivotalnom ispitivanju alpelisiba faze III u kombinaciji sa fulvestrantom kod postmenopauzalnih žena i kod muškaraca sa HR+, HER2</w:t>
      </w:r>
      <w:r w:rsidRPr="00C10B32">
        <w:rPr>
          <w:sz w:val="22"/>
          <w:szCs w:val="22"/>
          <w:lang w:val="hr-HR"/>
        </w:rPr>
        <w:noBreakHyphen/>
        <w:t xml:space="preserve">, uznapredovalim (lokoregionalno rekurentnim ili metastatskim) </w:t>
      </w:r>
      <w:r w:rsidR="007002B5">
        <w:rPr>
          <w:sz w:val="22"/>
          <w:szCs w:val="22"/>
          <w:lang w:val="hr-HR"/>
        </w:rPr>
        <w:t>karcinom</w:t>
      </w:r>
      <w:r w:rsidR="007002B5" w:rsidRPr="00C10B32">
        <w:rPr>
          <w:sz w:val="22"/>
          <w:szCs w:val="22"/>
          <w:lang w:val="hr-HR"/>
        </w:rPr>
        <w:t xml:space="preserve">om </w:t>
      </w:r>
      <w:r w:rsidRPr="00C10B32">
        <w:rPr>
          <w:sz w:val="22"/>
          <w:szCs w:val="22"/>
          <w:lang w:val="hr-HR"/>
        </w:rPr>
        <w:t xml:space="preserve">dojke kod kojih je došlo do progresije bolesti ili se bolest ponovno pojavila tokom ili nakon </w:t>
      </w:r>
      <w:r w:rsidR="00B66BE0">
        <w:rPr>
          <w:sz w:val="22"/>
          <w:szCs w:val="22"/>
          <w:lang w:val="hr-HR"/>
        </w:rPr>
        <w:t>liječenj</w:t>
      </w:r>
      <w:r w:rsidRPr="00C10B32">
        <w:rPr>
          <w:sz w:val="22"/>
          <w:szCs w:val="22"/>
          <w:lang w:val="hr-HR"/>
        </w:rPr>
        <w:t>a inhibitorom aromataze (sa ili bez CDK4/6 kombinacije).</w:t>
      </w:r>
    </w:p>
    <w:p w14:paraId="4E822FF8"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737721CB"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Ukupno je 572 pacijenta bilo uključeno u dv</w:t>
      </w:r>
      <w:r w:rsidR="003764F0">
        <w:rPr>
          <w:sz w:val="22"/>
          <w:szCs w:val="22"/>
          <w:lang w:val="hr-HR"/>
        </w:rPr>
        <w:t>ij</w:t>
      </w:r>
      <w:r w:rsidRPr="00C10B32">
        <w:rPr>
          <w:sz w:val="22"/>
          <w:szCs w:val="22"/>
          <w:lang w:val="hr-HR"/>
        </w:rPr>
        <w:t xml:space="preserve">e kohorte, jednu kohortu sa </w:t>
      </w:r>
      <w:r w:rsidR="007002B5">
        <w:rPr>
          <w:sz w:val="22"/>
          <w:szCs w:val="22"/>
          <w:lang w:val="hr-HR"/>
        </w:rPr>
        <w:t>karcinom</w:t>
      </w:r>
      <w:r w:rsidR="007002B5" w:rsidRPr="00C10B32">
        <w:rPr>
          <w:sz w:val="22"/>
          <w:szCs w:val="22"/>
          <w:lang w:val="hr-HR"/>
        </w:rPr>
        <w:t xml:space="preserve">om </w:t>
      </w:r>
      <w:r w:rsidRPr="00C10B32">
        <w:rPr>
          <w:sz w:val="22"/>
          <w:szCs w:val="22"/>
          <w:lang w:val="hr-HR"/>
        </w:rPr>
        <w:t xml:space="preserve">dojke sa PIK3CA mutacijom i drugu sa </w:t>
      </w:r>
      <w:r w:rsidR="007002B5">
        <w:rPr>
          <w:sz w:val="22"/>
          <w:szCs w:val="22"/>
          <w:lang w:val="hr-HR"/>
        </w:rPr>
        <w:t>karcinom</w:t>
      </w:r>
      <w:r w:rsidR="007002B5" w:rsidRPr="00C10B32">
        <w:rPr>
          <w:sz w:val="22"/>
          <w:szCs w:val="22"/>
          <w:lang w:val="hr-HR"/>
        </w:rPr>
        <w:t xml:space="preserve">om </w:t>
      </w:r>
      <w:r w:rsidRPr="00C10B32">
        <w:rPr>
          <w:sz w:val="22"/>
          <w:szCs w:val="22"/>
          <w:lang w:val="hr-HR"/>
        </w:rPr>
        <w:t xml:space="preserve">dojke bez PIK3CA mutacije. Pacijenti su bili </w:t>
      </w:r>
      <w:r w:rsidRPr="00C10B32">
        <w:rPr>
          <w:bCs/>
          <w:sz w:val="22"/>
          <w:szCs w:val="22"/>
          <w:lang w:val="hr-HR"/>
        </w:rPr>
        <w:t xml:space="preserve">randomizovani da primaju </w:t>
      </w:r>
      <w:r w:rsidRPr="00C10B32">
        <w:rPr>
          <w:sz w:val="22"/>
          <w:szCs w:val="22"/>
          <w:lang w:val="hr-HR"/>
        </w:rPr>
        <w:t>alpelisib</w:t>
      </w:r>
      <w:r w:rsidRPr="00C10B32">
        <w:rPr>
          <w:bCs/>
          <w:sz w:val="22"/>
          <w:szCs w:val="22"/>
          <w:lang w:val="hr-HR"/>
        </w:rPr>
        <w:t xml:space="preserve"> 300 mg zajedno sa fulvestrantom ili placebo zajedno sa fulvestrantom u odnosu 1:1. Randomizacija je bila stratifikovana prema prisutnosti metastaza u plućima i/ili jetri i prethodnom </w:t>
      </w:r>
      <w:r w:rsidR="00B66BE0">
        <w:rPr>
          <w:bCs/>
          <w:sz w:val="22"/>
          <w:szCs w:val="22"/>
          <w:lang w:val="hr-HR"/>
        </w:rPr>
        <w:t>liječenj</w:t>
      </w:r>
      <w:r w:rsidRPr="00C10B32">
        <w:rPr>
          <w:bCs/>
          <w:sz w:val="22"/>
          <w:szCs w:val="22"/>
          <w:lang w:val="hr-HR"/>
        </w:rPr>
        <w:t>u CDK4/6 inhibitorom(ima).</w:t>
      </w:r>
    </w:p>
    <w:p w14:paraId="3C586DBF"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2776FBC0"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 xml:space="preserve">U kohorti sa PIK3CA mutacijom, 169 pacijenata sa jednom ili više PIK3CA mutacija (C420R, E542K, E545A, E545D [samo 1635G&gt;T], E545G, E545K, Q546E, Q546R, H1047L, H1047R ili H1047Y) bilo je randomizovano da prima alpelisib u kombinaciji sa fulvestrantom, a 172 pacijenta bila su randomizovana da primaju placebo u kombinaciji sa fulvestrantom. U ovoj kohorti je 170 (49,9%) pacijenata imalo metastaze u jetri/plućima i 20 (5,9%) pacijenata je prethodno </w:t>
      </w:r>
      <w:r w:rsidR="00E12644">
        <w:rPr>
          <w:sz w:val="22"/>
          <w:szCs w:val="22"/>
          <w:lang w:val="hr-HR"/>
        </w:rPr>
        <w:t>bilo</w:t>
      </w:r>
      <w:r w:rsidRPr="00C10B32">
        <w:rPr>
          <w:sz w:val="22"/>
          <w:szCs w:val="22"/>
          <w:lang w:val="hr-HR"/>
        </w:rPr>
        <w:t xml:space="preserve"> </w:t>
      </w:r>
      <w:r w:rsidR="00B66BE0">
        <w:rPr>
          <w:sz w:val="22"/>
          <w:szCs w:val="22"/>
          <w:lang w:val="hr-HR"/>
        </w:rPr>
        <w:t>liječen</w:t>
      </w:r>
      <w:r w:rsidR="00E12644">
        <w:rPr>
          <w:sz w:val="22"/>
          <w:szCs w:val="22"/>
          <w:lang w:val="hr-HR"/>
        </w:rPr>
        <w:t>o</w:t>
      </w:r>
      <w:r w:rsidRPr="00C10B32">
        <w:rPr>
          <w:sz w:val="22"/>
          <w:szCs w:val="22"/>
          <w:lang w:val="hr-HR"/>
        </w:rPr>
        <w:t xml:space="preserve"> CDK4/6 inhibitorom.</w:t>
      </w:r>
    </w:p>
    <w:p w14:paraId="1AA4B38B"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3B889737"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Medijana uzrasta pacijenata bila je 63 godine (raspon: 25 do 92 godine). Ukupno 44,9% pacijenata bilo je u uzrastu od 65 godina ili više od ≤85 godina. Uključeni pacijenti bili su b</w:t>
      </w:r>
      <w:r w:rsidR="007002B5">
        <w:rPr>
          <w:sz w:val="22"/>
          <w:szCs w:val="22"/>
          <w:lang w:val="hr-HR"/>
        </w:rPr>
        <w:t>ij</w:t>
      </w:r>
      <w:r w:rsidRPr="00C10B32">
        <w:rPr>
          <w:sz w:val="22"/>
          <w:szCs w:val="22"/>
          <w:lang w:val="hr-HR"/>
        </w:rPr>
        <w:t>ele rase (66,3%), Azijati (21,7%) i crne rase ili Afroamerikanci (1,2%). Ispitivana populacija uključivala je jednog muškog ispitanika uključenog u kohortu sa PIK3CA mutacijom i l</w:t>
      </w:r>
      <w:r w:rsidR="007002B5">
        <w:rPr>
          <w:sz w:val="22"/>
          <w:szCs w:val="22"/>
          <w:lang w:val="hr-HR"/>
        </w:rPr>
        <w:t>ij</w:t>
      </w:r>
      <w:r w:rsidRPr="00C10B32">
        <w:rPr>
          <w:sz w:val="22"/>
          <w:szCs w:val="22"/>
          <w:lang w:val="hr-HR"/>
        </w:rPr>
        <w:t xml:space="preserve">ečenog alpelisibom i fulvestrantom. Ukupno 66,0% </w:t>
      </w:r>
      <w:r w:rsidR="00E12644">
        <w:rPr>
          <w:sz w:val="22"/>
          <w:szCs w:val="22"/>
          <w:lang w:val="hr-HR"/>
        </w:rPr>
        <w:t>ispitanika</w:t>
      </w:r>
      <w:r w:rsidR="00E12644" w:rsidRPr="00C10B32">
        <w:rPr>
          <w:sz w:val="22"/>
          <w:szCs w:val="22"/>
          <w:lang w:val="hr-HR"/>
        </w:rPr>
        <w:t xml:space="preserve"> </w:t>
      </w:r>
      <w:r w:rsidRPr="00C10B32">
        <w:rPr>
          <w:sz w:val="22"/>
          <w:szCs w:val="22"/>
          <w:lang w:val="hr-HR"/>
        </w:rPr>
        <w:t>imalo je funkcionalni ECOG status 0, a 33,4% ECOG status 1.</w:t>
      </w:r>
    </w:p>
    <w:p w14:paraId="021DE9E8"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50A3235A"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Ukupno 97,7% pacijenata je prethodno primalo endokrinu terapiju. Kod 67,7% ispitanika posl</w:t>
      </w:r>
      <w:r w:rsidR="007F6B1A">
        <w:rPr>
          <w:sz w:val="22"/>
          <w:szCs w:val="22"/>
          <w:lang w:val="hr-HR"/>
        </w:rPr>
        <w:t>j</w:t>
      </w:r>
      <w:r w:rsidRPr="00C10B32">
        <w:rPr>
          <w:sz w:val="22"/>
          <w:szCs w:val="22"/>
          <w:lang w:val="hr-HR"/>
        </w:rPr>
        <w:t>ednja terapija pr</w:t>
      </w:r>
      <w:r w:rsidR="007F6B1A">
        <w:rPr>
          <w:sz w:val="22"/>
          <w:szCs w:val="22"/>
          <w:lang w:val="hr-HR"/>
        </w:rPr>
        <w:t>ij</w:t>
      </w:r>
      <w:r w:rsidRPr="00C10B32">
        <w:rPr>
          <w:sz w:val="22"/>
          <w:szCs w:val="22"/>
          <w:lang w:val="hr-HR"/>
        </w:rPr>
        <w:t>e uključivanja u ispitivanje bila je endokrina terapija. Letrozol i anastrozol bile su najčešće kori</w:t>
      </w:r>
      <w:r w:rsidR="007F6B1A">
        <w:rPr>
          <w:sz w:val="22"/>
          <w:szCs w:val="22"/>
          <w:lang w:val="hr-HR"/>
        </w:rPr>
        <w:t>šćene endokrine terapije. Posljedn</w:t>
      </w:r>
      <w:r w:rsidRPr="00C10B32">
        <w:rPr>
          <w:sz w:val="22"/>
          <w:szCs w:val="22"/>
          <w:lang w:val="hr-HR"/>
        </w:rPr>
        <w:t>ja endokrina terapija pr</w:t>
      </w:r>
      <w:r w:rsidR="007F6B1A">
        <w:rPr>
          <w:sz w:val="22"/>
          <w:szCs w:val="22"/>
          <w:lang w:val="hr-HR"/>
        </w:rPr>
        <w:t>ij</w:t>
      </w:r>
      <w:r w:rsidRPr="00C10B32">
        <w:rPr>
          <w:sz w:val="22"/>
          <w:szCs w:val="22"/>
          <w:lang w:val="hr-HR"/>
        </w:rPr>
        <w:t>e uključivanja u ispitivanje bila je u funkciji osnovne terapije za metastatsku bolest kod 47,8% ispitanika i adjuvantne kod 51,9% ispitanika. Ukupno se za 85,6% pacijenata smatralo da imaju bolest rezistentnu na endokrinu terapiju; primarna rezistencija na endokrinu terapiju (</w:t>
      </w:r>
      <w:r w:rsidRPr="00C10B32">
        <w:rPr>
          <w:i/>
          <w:sz w:val="22"/>
          <w:szCs w:val="22"/>
          <w:lang w:val="hr-HR"/>
        </w:rPr>
        <w:t>de novo</w:t>
      </w:r>
      <w:r w:rsidRPr="00C10B32">
        <w:rPr>
          <w:sz w:val="22"/>
          <w:szCs w:val="22"/>
          <w:lang w:val="hr-HR"/>
        </w:rPr>
        <w:t xml:space="preserve"> rezistencija) uočena je kod 13,2%, a sekundarna rezistencija na endokrinu terapiju (relaps/progresija nakon početnog odgovora) kod 72,4% pacijenata.</w:t>
      </w:r>
    </w:p>
    <w:p w14:paraId="1D9004C6"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3913D894"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Demografske karakteristike i početne karakteristike bolesti, funkcionalni ECOG status,</w:t>
      </w:r>
      <w:r w:rsidRPr="00C10B32">
        <w:rPr>
          <w:color w:val="0000FF"/>
          <w:sz w:val="22"/>
          <w:szCs w:val="22"/>
          <w:lang w:val="hr-HR"/>
        </w:rPr>
        <w:t xml:space="preserve"> </w:t>
      </w:r>
      <w:r w:rsidRPr="00C10B32">
        <w:rPr>
          <w:sz w:val="22"/>
          <w:szCs w:val="22"/>
          <w:lang w:val="hr-HR"/>
        </w:rPr>
        <w:t>tumorsko</w:t>
      </w:r>
      <w:r w:rsidRPr="00C10B32">
        <w:rPr>
          <w:color w:val="0000FF"/>
          <w:sz w:val="22"/>
          <w:szCs w:val="22"/>
          <w:lang w:val="hr-HR"/>
        </w:rPr>
        <w:t xml:space="preserve"> </w:t>
      </w:r>
      <w:r w:rsidRPr="00C10B32">
        <w:rPr>
          <w:sz w:val="22"/>
          <w:szCs w:val="22"/>
          <w:lang w:val="hr-HR"/>
        </w:rPr>
        <w:t>opterećenje i prethodna antineoplastična terapija bili su dobro uravnoteženi između ispitivanih grupa.</w:t>
      </w:r>
    </w:p>
    <w:p w14:paraId="49686588"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450BDBFC"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 xml:space="preserve">Tokom faze randomizovanog </w:t>
      </w:r>
      <w:r w:rsidR="00B66BE0">
        <w:rPr>
          <w:sz w:val="22"/>
          <w:szCs w:val="22"/>
          <w:lang w:val="hr-HR"/>
        </w:rPr>
        <w:t>liječenj</w:t>
      </w:r>
      <w:r w:rsidRPr="00C10B32">
        <w:rPr>
          <w:sz w:val="22"/>
          <w:szCs w:val="22"/>
          <w:lang w:val="hr-HR"/>
        </w:rPr>
        <w:t xml:space="preserve">a, alpelisib 300 mg ili placebo kontinuirano su se </w:t>
      </w:r>
      <w:r w:rsidR="00C21CF1">
        <w:rPr>
          <w:sz w:val="22"/>
          <w:szCs w:val="22"/>
          <w:lang w:val="hr-HR"/>
        </w:rPr>
        <w:t>primjen</w:t>
      </w:r>
      <w:r w:rsidRPr="00C10B32">
        <w:rPr>
          <w:sz w:val="22"/>
          <w:szCs w:val="22"/>
          <w:lang w:val="hr-HR"/>
        </w:rPr>
        <w:t xml:space="preserve">jivali peroralno jedanput na dan. Fulvestrant 500 mg </w:t>
      </w:r>
      <w:r w:rsidR="00C21CF1">
        <w:rPr>
          <w:sz w:val="22"/>
          <w:szCs w:val="22"/>
          <w:lang w:val="hr-HR"/>
        </w:rPr>
        <w:t>primjen</w:t>
      </w:r>
      <w:r w:rsidRPr="00C10B32">
        <w:rPr>
          <w:sz w:val="22"/>
          <w:szCs w:val="22"/>
          <w:lang w:val="hr-HR"/>
        </w:rPr>
        <w:t>jivao se intramuskularno 1. i 15. dana u 1. ciklusu, a zatim 1. dana 28</w:t>
      </w:r>
      <w:r w:rsidRPr="00C10B32">
        <w:rPr>
          <w:sz w:val="22"/>
          <w:szCs w:val="22"/>
          <w:lang w:val="hr-HR"/>
        </w:rPr>
        <w:noBreakHyphen/>
        <w:t xml:space="preserve">dnevnog ciklusa tokom faze </w:t>
      </w:r>
      <w:r w:rsidR="00B66BE0">
        <w:rPr>
          <w:sz w:val="22"/>
          <w:szCs w:val="22"/>
          <w:lang w:val="hr-HR"/>
        </w:rPr>
        <w:t>liječenj</w:t>
      </w:r>
      <w:r w:rsidRPr="00C10B32">
        <w:rPr>
          <w:sz w:val="22"/>
          <w:szCs w:val="22"/>
          <w:lang w:val="hr-HR"/>
        </w:rPr>
        <w:t>a (</w:t>
      </w:r>
      <w:r w:rsidR="00C21CF1">
        <w:rPr>
          <w:sz w:val="22"/>
          <w:szCs w:val="22"/>
          <w:lang w:val="hr-HR"/>
        </w:rPr>
        <w:t>primjen</w:t>
      </w:r>
      <w:r w:rsidRPr="00C10B32">
        <w:rPr>
          <w:sz w:val="22"/>
          <w:szCs w:val="22"/>
          <w:lang w:val="hr-HR"/>
        </w:rPr>
        <w:t>a ±3 dana).</w:t>
      </w:r>
    </w:p>
    <w:p w14:paraId="73033A9F"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5DECCB10"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Pacijentima nije bilo dopušteno da prelaze sa placeba na alpelisib tokom ispitivanja ili nakon progresije bolesti.</w:t>
      </w:r>
    </w:p>
    <w:p w14:paraId="603714D4"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3C26F80F" w14:textId="14CB7E59"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M</w:t>
      </w:r>
      <w:r w:rsidR="003764F0">
        <w:rPr>
          <w:sz w:val="22"/>
          <w:szCs w:val="22"/>
          <w:lang w:val="hr-HR"/>
        </w:rPr>
        <w:t>j</w:t>
      </w:r>
      <w:r w:rsidRPr="00C10B32">
        <w:rPr>
          <w:sz w:val="22"/>
          <w:szCs w:val="22"/>
          <w:lang w:val="hr-HR"/>
        </w:rPr>
        <w:t xml:space="preserve">era primarnog ishoda za ispitivanje bila je preživljavanje bez progresije (engl. </w:t>
      </w:r>
      <w:r w:rsidRPr="00C10B32">
        <w:rPr>
          <w:i/>
          <w:sz w:val="22"/>
          <w:szCs w:val="22"/>
          <w:lang w:val="hr-HR"/>
        </w:rPr>
        <w:t>progression-free survival</w:t>
      </w:r>
      <w:r w:rsidRPr="00C10B32">
        <w:rPr>
          <w:sz w:val="22"/>
          <w:szCs w:val="22"/>
          <w:lang w:val="hr-HR"/>
        </w:rPr>
        <w:t>, PFS) koristeći Kriterijume za oc</w:t>
      </w:r>
      <w:r w:rsidR="007F6B1A">
        <w:rPr>
          <w:sz w:val="22"/>
          <w:szCs w:val="22"/>
          <w:lang w:val="hr-HR"/>
        </w:rPr>
        <w:t>j</w:t>
      </w:r>
      <w:r w:rsidRPr="00C10B32">
        <w:rPr>
          <w:sz w:val="22"/>
          <w:szCs w:val="22"/>
          <w:lang w:val="hr-HR"/>
        </w:rPr>
        <w:t xml:space="preserve">enjivanje odgovora kod solidnih tumora (engl. </w:t>
      </w:r>
      <w:r w:rsidRPr="00C10B32">
        <w:rPr>
          <w:i/>
          <w:sz w:val="22"/>
          <w:szCs w:val="22"/>
          <w:lang w:val="hr-HR"/>
        </w:rPr>
        <w:t>Response Evaluation Criteria in Solid Tumors</w:t>
      </w:r>
      <w:r w:rsidRPr="00C10B32">
        <w:rPr>
          <w:sz w:val="22"/>
          <w:szCs w:val="22"/>
          <w:lang w:val="hr-HR"/>
        </w:rPr>
        <w:t>, RECIST v1.1), na osnovu</w:t>
      </w:r>
      <w:r w:rsidR="00E12644">
        <w:rPr>
          <w:sz w:val="22"/>
          <w:szCs w:val="22"/>
          <w:lang w:val="hr-HR"/>
        </w:rPr>
        <w:t xml:space="preserve"> procjene</w:t>
      </w:r>
      <w:r w:rsidRPr="00C10B32">
        <w:rPr>
          <w:sz w:val="22"/>
          <w:szCs w:val="22"/>
          <w:lang w:val="hr-HR"/>
        </w:rPr>
        <w:t xml:space="preserve"> istraživač</w:t>
      </w:r>
      <w:r w:rsidR="00E12644">
        <w:rPr>
          <w:sz w:val="22"/>
          <w:szCs w:val="22"/>
          <w:lang w:val="hr-HR"/>
        </w:rPr>
        <w:t>a</w:t>
      </w:r>
      <w:r w:rsidRPr="00C10B32">
        <w:rPr>
          <w:sz w:val="22"/>
          <w:szCs w:val="22"/>
          <w:lang w:val="hr-HR"/>
        </w:rPr>
        <w:t xml:space="preserve"> kod pacijenata sa PIK3CA mutacijom. Ključna m</w:t>
      </w:r>
      <w:r w:rsidR="007002B5">
        <w:rPr>
          <w:sz w:val="22"/>
          <w:szCs w:val="22"/>
          <w:lang w:val="hr-HR"/>
        </w:rPr>
        <w:t>j</w:t>
      </w:r>
      <w:r w:rsidRPr="00C10B32">
        <w:rPr>
          <w:sz w:val="22"/>
          <w:szCs w:val="22"/>
          <w:lang w:val="hr-HR"/>
        </w:rPr>
        <w:t xml:space="preserve">era sekundarnog ishoda bilo je ukupno preživljavanje (engl. </w:t>
      </w:r>
      <w:r w:rsidRPr="00C10B32">
        <w:rPr>
          <w:i/>
          <w:sz w:val="22"/>
          <w:szCs w:val="22"/>
          <w:lang w:val="hr-HR"/>
        </w:rPr>
        <w:t>overall survival</w:t>
      </w:r>
      <w:r w:rsidRPr="00C10B32">
        <w:rPr>
          <w:sz w:val="22"/>
          <w:szCs w:val="22"/>
          <w:lang w:val="hr-HR"/>
        </w:rPr>
        <w:t xml:space="preserve">, OS) za pacijente sa PIK3CA </w:t>
      </w:r>
      <w:r w:rsidR="00C54595" w:rsidRPr="00C10B32">
        <w:rPr>
          <w:sz w:val="22"/>
          <w:szCs w:val="22"/>
          <w:lang w:val="hr-HR"/>
        </w:rPr>
        <w:t>mutacij</w:t>
      </w:r>
      <w:r w:rsidR="00C54595">
        <w:rPr>
          <w:sz w:val="22"/>
          <w:szCs w:val="22"/>
          <w:lang w:val="hr-HR"/>
        </w:rPr>
        <w:t>om</w:t>
      </w:r>
      <w:r w:rsidRPr="00C10B32">
        <w:rPr>
          <w:sz w:val="22"/>
          <w:szCs w:val="22"/>
          <w:lang w:val="hr-HR"/>
        </w:rPr>
        <w:t>.</w:t>
      </w:r>
    </w:p>
    <w:p w14:paraId="3E0738A2"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361468E2"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r w:rsidRPr="00C10B32">
        <w:rPr>
          <w:sz w:val="22"/>
          <w:szCs w:val="22"/>
          <w:lang w:val="hr-HR"/>
        </w:rPr>
        <w:t>Ostale m</w:t>
      </w:r>
      <w:r w:rsidR="007002B5">
        <w:rPr>
          <w:sz w:val="22"/>
          <w:szCs w:val="22"/>
          <w:lang w:val="hr-HR"/>
        </w:rPr>
        <w:t>j</w:t>
      </w:r>
      <w:r w:rsidRPr="00C10B32">
        <w:rPr>
          <w:sz w:val="22"/>
          <w:szCs w:val="22"/>
          <w:lang w:val="hr-HR"/>
        </w:rPr>
        <w:t>ere sekundarnih ishoda uključivale su PFS za pacijente bez PIK3CA mutacije, OS za pacijente bez PIK3CA mutacije.</w:t>
      </w:r>
    </w:p>
    <w:p w14:paraId="48086B43"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449F4016" w14:textId="77777777" w:rsidR="001949CB" w:rsidRDefault="00C54595" w:rsidP="007F6B1A">
      <w:pPr>
        <w:shd w:val="clear" w:color="auto" w:fill="FFFFFF" w:themeFill="background1"/>
        <w:autoSpaceDE w:val="0"/>
        <w:autoSpaceDN w:val="0"/>
        <w:adjustRightInd w:val="0"/>
        <w:jc w:val="both"/>
        <w:rPr>
          <w:i/>
          <w:sz w:val="22"/>
          <w:szCs w:val="22"/>
          <w:lang w:val="hr-HR"/>
        </w:rPr>
      </w:pPr>
      <w:r w:rsidRPr="00CE48FF">
        <w:rPr>
          <w:i/>
          <w:sz w:val="22"/>
          <w:szCs w:val="22"/>
          <w:lang w:val="hr-HR"/>
        </w:rPr>
        <w:t>Primarna analiza efikasnosti</w:t>
      </w:r>
    </w:p>
    <w:p w14:paraId="13A88B59" w14:textId="27B0CC6D" w:rsidR="00C10B32" w:rsidRPr="00C10B32" w:rsidRDefault="00C54595" w:rsidP="007F6B1A">
      <w:pPr>
        <w:shd w:val="clear" w:color="auto" w:fill="FFFFFF" w:themeFill="background1"/>
        <w:autoSpaceDE w:val="0"/>
        <w:autoSpaceDN w:val="0"/>
        <w:adjustRightInd w:val="0"/>
        <w:jc w:val="both"/>
        <w:rPr>
          <w:sz w:val="22"/>
          <w:szCs w:val="22"/>
          <w:lang w:val="hr-HR"/>
        </w:rPr>
      </w:pPr>
      <w:r w:rsidRPr="00CE48FF">
        <w:rPr>
          <w:sz w:val="22"/>
          <w:szCs w:val="22"/>
          <w:lang w:val="hr-HR"/>
        </w:rPr>
        <w:t xml:space="preserve">Ispitivanje je postiglo svoj primarni cilj u konačnoj analizi PFS (zaključno sa 12. jun 2018) pokazujući </w:t>
      </w:r>
      <w:r w:rsidR="00C10B32" w:rsidRPr="00115D3B">
        <w:rPr>
          <w:sz w:val="22"/>
          <w:szCs w:val="22"/>
          <w:lang w:val="hr-HR"/>
        </w:rPr>
        <w:t>statistički značajno poboljšanje PFS</w:t>
      </w:r>
      <w:r w:rsidR="00C10B32" w:rsidRPr="00115D3B">
        <w:rPr>
          <w:sz w:val="22"/>
          <w:szCs w:val="22"/>
          <w:lang w:val="hr-HR"/>
        </w:rPr>
        <w:noBreakHyphen/>
        <w:t xml:space="preserve">a </w:t>
      </w:r>
      <w:r w:rsidRPr="00C54595">
        <w:rPr>
          <w:sz w:val="22"/>
          <w:szCs w:val="22"/>
          <w:lang w:val="hr-HR"/>
        </w:rPr>
        <w:t xml:space="preserve">prema proceni istraživača u kohorti PIK3CA sa mutacijom </w:t>
      </w:r>
      <w:r w:rsidR="00C10B32" w:rsidRPr="00C54595">
        <w:rPr>
          <w:sz w:val="22"/>
          <w:szCs w:val="22"/>
          <w:lang w:val="hr-HR"/>
        </w:rPr>
        <w:t>kod pacijenata koji su primali alpelisib zaje</w:t>
      </w:r>
      <w:r w:rsidR="00C10B32" w:rsidRPr="00C10B32">
        <w:rPr>
          <w:sz w:val="22"/>
          <w:szCs w:val="22"/>
          <w:lang w:val="hr-HR"/>
        </w:rPr>
        <w:t>dno sa fulvestrantom, u poređenju sa pacijentima koji su primali placebo zajedno sa fulvestrantom, sa proc</w:t>
      </w:r>
      <w:r w:rsidR="003764F0">
        <w:rPr>
          <w:sz w:val="22"/>
          <w:szCs w:val="22"/>
          <w:lang w:val="hr-HR"/>
        </w:rPr>
        <w:t>i</w:t>
      </w:r>
      <w:r w:rsidR="007F6B1A">
        <w:rPr>
          <w:sz w:val="22"/>
          <w:szCs w:val="22"/>
          <w:lang w:val="hr-HR"/>
        </w:rPr>
        <w:t>j</w:t>
      </w:r>
      <w:r w:rsidR="00C10B32" w:rsidRPr="00C10B32">
        <w:rPr>
          <w:sz w:val="22"/>
          <w:szCs w:val="22"/>
          <w:lang w:val="hr-HR"/>
        </w:rPr>
        <w:t>enjenim smanjenjem rizika od progresije bolesti ili smrti od 35%</w:t>
      </w:r>
      <w:r w:rsidRPr="00C54595">
        <w:rPr>
          <w:sz w:val="22"/>
          <w:szCs w:val="22"/>
          <w:lang w:val="hr-HR"/>
        </w:rPr>
        <w:t xml:space="preserve"> u prilog terapiji alpelisiba sa fulvestrantom (videti Tabelu 8)</w:t>
      </w:r>
      <w:r w:rsidR="00C10B32" w:rsidRPr="00C10B32">
        <w:rPr>
          <w:sz w:val="22"/>
          <w:szCs w:val="22"/>
          <w:lang w:val="hr-HR"/>
        </w:rPr>
        <w:t>.</w:t>
      </w:r>
    </w:p>
    <w:p w14:paraId="43F6879C" w14:textId="77777777" w:rsidR="00C10B32" w:rsidRPr="00C10B32" w:rsidRDefault="00C10B32" w:rsidP="007F6B1A">
      <w:pPr>
        <w:shd w:val="clear" w:color="auto" w:fill="FFFFFF" w:themeFill="background1"/>
        <w:autoSpaceDE w:val="0"/>
        <w:autoSpaceDN w:val="0"/>
        <w:adjustRightInd w:val="0"/>
        <w:jc w:val="both"/>
        <w:rPr>
          <w:sz w:val="22"/>
          <w:szCs w:val="22"/>
          <w:lang w:val="hr-HR"/>
        </w:rPr>
      </w:pPr>
    </w:p>
    <w:p w14:paraId="63BD40F0" w14:textId="372D4082" w:rsidR="00C10B32" w:rsidRPr="00C10B32" w:rsidRDefault="00C10B32" w:rsidP="00C10B32">
      <w:pPr>
        <w:keepNext/>
        <w:keepLines/>
        <w:shd w:val="clear" w:color="auto" w:fill="FFFFFF" w:themeFill="background1"/>
        <w:autoSpaceDE w:val="0"/>
        <w:autoSpaceDN w:val="0"/>
        <w:adjustRightInd w:val="0"/>
        <w:ind w:left="1170" w:hanging="1170"/>
        <w:rPr>
          <w:b/>
          <w:sz w:val="22"/>
          <w:szCs w:val="22"/>
          <w:lang w:val="hr-HR"/>
        </w:rPr>
      </w:pPr>
      <w:r w:rsidRPr="00C10B32">
        <w:rPr>
          <w:b/>
          <w:sz w:val="22"/>
          <w:szCs w:val="22"/>
          <w:lang w:val="hr-HR"/>
        </w:rPr>
        <w:lastRenderedPageBreak/>
        <w:t>Tabela 8</w:t>
      </w:r>
      <w:r w:rsidRPr="00C10B32">
        <w:rPr>
          <w:b/>
          <w:sz w:val="22"/>
          <w:szCs w:val="22"/>
          <w:lang w:val="hr-HR"/>
        </w:rPr>
        <w:tab/>
        <w:t xml:space="preserve">Ispitivanje C2301 </w:t>
      </w:r>
      <w:r w:rsidR="00C54595">
        <w:rPr>
          <w:b/>
          <w:sz w:val="22"/>
          <w:szCs w:val="22"/>
          <w:lang w:val="hr-HR"/>
        </w:rPr>
        <w:t xml:space="preserve">primarna analiza efikasnosti </w:t>
      </w:r>
      <w:r w:rsidRPr="00C10B32">
        <w:rPr>
          <w:b/>
          <w:sz w:val="22"/>
          <w:szCs w:val="22"/>
          <w:lang w:val="hr-HR"/>
        </w:rPr>
        <w:noBreakHyphen/>
        <w:t xml:space="preserve"> Sažetak rezultata efikasnosti </w:t>
      </w:r>
      <w:r w:rsidR="00C54595">
        <w:rPr>
          <w:b/>
          <w:sz w:val="22"/>
          <w:szCs w:val="22"/>
          <w:lang w:val="hr-HR"/>
        </w:rPr>
        <w:t xml:space="preserve">prema RECIST </w:t>
      </w:r>
      <w:r w:rsidRPr="00C10B32">
        <w:rPr>
          <w:b/>
          <w:sz w:val="22"/>
          <w:szCs w:val="22"/>
          <w:lang w:val="hr-HR"/>
        </w:rPr>
        <w:t>(</w:t>
      </w:r>
      <w:r w:rsidR="00C54595">
        <w:rPr>
          <w:b/>
          <w:sz w:val="22"/>
          <w:szCs w:val="22"/>
          <w:lang w:val="hr-HR"/>
        </w:rPr>
        <w:t xml:space="preserve">FAS, </w:t>
      </w:r>
      <w:r w:rsidRPr="00C10B32">
        <w:rPr>
          <w:b/>
          <w:sz w:val="22"/>
          <w:szCs w:val="22"/>
          <w:lang w:val="hr-HR"/>
        </w:rPr>
        <w:t>kohorta sa PIK3CA mutacijom)</w:t>
      </w:r>
      <w:r w:rsidR="00C54595">
        <w:rPr>
          <w:b/>
          <w:sz w:val="22"/>
          <w:szCs w:val="22"/>
          <w:lang w:val="hr-HR"/>
        </w:rPr>
        <w:t xml:space="preserve"> podaci zaključno sa 12. jun 2018.</w:t>
      </w:r>
    </w:p>
    <w:p w14:paraId="6E712C26" w14:textId="77777777" w:rsidR="00C10B32" w:rsidRPr="00C10B32" w:rsidRDefault="00C10B32" w:rsidP="00C10B32">
      <w:pPr>
        <w:keepNext/>
        <w:keepLines/>
        <w:shd w:val="clear" w:color="auto" w:fill="FFFFFF" w:themeFill="background1"/>
        <w:autoSpaceDE w:val="0"/>
        <w:autoSpaceDN w:val="0"/>
        <w:adjustRightInd w:val="0"/>
        <w:ind w:left="1170" w:hanging="1170"/>
        <w:rPr>
          <w:sz w:val="22"/>
          <w:szCs w:val="22"/>
          <w:lang w:val="hr-HR"/>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2594"/>
        <w:gridCol w:w="3137"/>
      </w:tblGrid>
      <w:tr w:rsidR="00C10B32" w:rsidRPr="00C10B32" w14:paraId="4AAE19D8" w14:textId="77777777" w:rsidTr="00C10B32">
        <w:trPr>
          <w:cantSplit/>
        </w:trPr>
        <w:tc>
          <w:tcPr>
            <w:tcW w:w="1834" w:type="pct"/>
          </w:tcPr>
          <w:p w14:paraId="06B79C67" w14:textId="77777777" w:rsidR="00C10B32" w:rsidRPr="00C10B32" w:rsidRDefault="00C10B32" w:rsidP="00C10B32">
            <w:pPr>
              <w:keepNext/>
              <w:keepLines/>
              <w:shd w:val="clear" w:color="auto" w:fill="FFFFFF" w:themeFill="background1"/>
              <w:autoSpaceDE w:val="0"/>
              <w:autoSpaceDN w:val="0"/>
              <w:adjustRightInd w:val="0"/>
              <w:rPr>
                <w:b/>
                <w:sz w:val="22"/>
                <w:szCs w:val="22"/>
                <w:lang w:val="hr-HR"/>
              </w:rPr>
            </w:pPr>
          </w:p>
        </w:tc>
        <w:tc>
          <w:tcPr>
            <w:tcW w:w="1433" w:type="pct"/>
          </w:tcPr>
          <w:p w14:paraId="4CF7D2CA" w14:textId="77777777" w:rsidR="00C10B32" w:rsidRPr="00C10B32" w:rsidRDefault="00C10B32" w:rsidP="00C10B32">
            <w:pPr>
              <w:keepNext/>
              <w:keepLines/>
              <w:shd w:val="clear" w:color="auto" w:fill="FFFFFF" w:themeFill="background1"/>
              <w:autoSpaceDE w:val="0"/>
              <w:autoSpaceDN w:val="0"/>
              <w:adjustRightInd w:val="0"/>
              <w:jc w:val="center"/>
              <w:rPr>
                <w:b/>
                <w:bCs/>
                <w:sz w:val="22"/>
                <w:szCs w:val="22"/>
                <w:lang w:val="hr-HR"/>
              </w:rPr>
            </w:pPr>
            <w:r w:rsidRPr="00C10B32">
              <w:rPr>
                <w:b/>
                <w:bCs/>
                <w:sz w:val="22"/>
                <w:szCs w:val="22"/>
                <w:lang w:val="hr-HR"/>
              </w:rPr>
              <w:t>Piqray + fulvestrant</w:t>
            </w:r>
          </w:p>
          <w:p w14:paraId="5A5E7223" w14:textId="77777777" w:rsidR="00C10B32" w:rsidRPr="00C10B32" w:rsidRDefault="00C10B32" w:rsidP="00C10B32">
            <w:pPr>
              <w:keepNext/>
              <w:keepLines/>
              <w:shd w:val="clear" w:color="auto" w:fill="FFFFFF" w:themeFill="background1"/>
              <w:autoSpaceDE w:val="0"/>
              <w:autoSpaceDN w:val="0"/>
              <w:adjustRightInd w:val="0"/>
              <w:jc w:val="center"/>
              <w:rPr>
                <w:b/>
                <w:sz w:val="22"/>
                <w:szCs w:val="22"/>
                <w:lang w:val="hr-HR"/>
              </w:rPr>
            </w:pPr>
            <w:r w:rsidRPr="00C10B32">
              <w:rPr>
                <w:b/>
                <w:bCs/>
                <w:sz w:val="22"/>
                <w:szCs w:val="22"/>
                <w:lang w:val="hr-HR"/>
              </w:rPr>
              <w:t>(n=169)</w:t>
            </w:r>
          </w:p>
        </w:tc>
        <w:tc>
          <w:tcPr>
            <w:tcW w:w="1733" w:type="pct"/>
          </w:tcPr>
          <w:p w14:paraId="744D91FC" w14:textId="77777777" w:rsidR="00C10B32" w:rsidRPr="00C10B32" w:rsidRDefault="00C10B32" w:rsidP="00C10B32">
            <w:pPr>
              <w:keepNext/>
              <w:keepLines/>
              <w:shd w:val="clear" w:color="auto" w:fill="FFFFFF" w:themeFill="background1"/>
              <w:autoSpaceDE w:val="0"/>
              <w:autoSpaceDN w:val="0"/>
              <w:adjustRightInd w:val="0"/>
              <w:jc w:val="center"/>
              <w:rPr>
                <w:b/>
                <w:bCs/>
                <w:sz w:val="22"/>
                <w:szCs w:val="22"/>
                <w:lang w:val="hr-HR"/>
              </w:rPr>
            </w:pPr>
            <w:r w:rsidRPr="00C10B32">
              <w:rPr>
                <w:b/>
                <w:bCs/>
                <w:sz w:val="22"/>
                <w:szCs w:val="22"/>
                <w:lang w:val="hr-HR"/>
              </w:rPr>
              <w:t>Placebo + fulvestrant</w:t>
            </w:r>
          </w:p>
          <w:p w14:paraId="5EE6789D" w14:textId="77777777" w:rsidR="00C10B32" w:rsidRPr="00C10B32" w:rsidRDefault="00C10B32" w:rsidP="00C10B32">
            <w:pPr>
              <w:keepNext/>
              <w:keepLines/>
              <w:shd w:val="clear" w:color="auto" w:fill="FFFFFF" w:themeFill="background1"/>
              <w:autoSpaceDE w:val="0"/>
              <w:autoSpaceDN w:val="0"/>
              <w:adjustRightInd w:val="0"/>
              <w:jc w:val="center"/>
              <w:rPr>
                <w:b/>
                <w:sz w:val="22"/>
                <w:szCs w:val="22"/>
                <w:lang w:val="hr-HR"/>
              </w:rPr>
            </w:pPr>
            <w:r w:rsidRPr="00C10B32">
              <w:rPr>
                <w:b/>
                <w:bCs/>
                <w:sz w:val="22"/>
                <w:szCs w:val="22"/>
                <w:lang w:val="hr-HR"/>
              </w:rPr>
              <w:t>(n=172)</w:t>
            </w:r>
          </w:p>
        </w:tc>
      </w:tr>
      <w:tr w:rsidR="00C10B32" w:rsidRPr="00C10B32" w14:paraId="07F0C7F0" w14:textId="77777777" w:rsidTr="00C10B32">
        <w:trPr>
          <w:cantSplit/>
        </w:trPr>
        <w:tc>
          <w:tcPr>
            <w:tcW w:w="5000" w:type="pct"/>
            <w:gridSpan w:val="3"/>
            <w:shd w:val="clear" w:color="auto" w:fill="auto"/>
          </w:tcPr>
          <w:p w14:paraId="01CBF132" w14:textId="77777777" w:rsidR="00C10B32" w:rsidRPr="00C10B32" w:rsidRDefault="00C10B32" w:rsidP="00C10B32">
            <w:pPr>
              <w:keepNext/>
              <w:keepLines/>
              <w:shd w:val="clear" w:color="auto" w:fill="FFFFFF" w:themeFill="background1"/>
              <w:autoSpaceDE w:val="0"/>
              <w:autoSpaceDN w:val="0"/>
              <w:adjustRightInd w:val="0"/>
              <w:rPr>
                <w:b/>
                <w:bCs/>
                <w:sz w:val="22"/>
                <w:szCs w:val="22"/>
                <w:lang w:val="hr-HR"/>
              </w:rPr>
            </w:pPr>
            <w:r w:rsidRPr="00C10B32">
              <w:rPr>
                <w:b/>
                <w:bCs/>
                <w:sz w:val="22"/>
                <w:szCs w:val="22"/>
                <w:lang w:val="hr-HR"/>
              </w:rPr>
              <w:t>Medijana preživljavanja bez progresije (PFS) (m</w:t>
            </w:r>
            <w:r w:rsidR="006703B2">
              <w:rPr>
                <w:b/>
                <w:bCs/>
                <w:sz w:val="22"/>
                <w:szCs w:val="22"/>
                <w:lang w:val="hr-HR"/>
              </w:rPr>
              <w:t>j</w:t>
            </w:r>
            <w:r w:rsidRPr="00C10B32">
              <w:rPr>
                <w:b/>
                <w:bCs/>
                <w:sz w:val="22"/>
                <w:szCs w:val="22"/>
                <w:lang w:val="hr-HR"/>
              </w:rPr>
              <w:t>eseci, 95% CI)</w:t>
            </w:r>
          </w:p>
        </w:tc>
      </w:tr>
      <w:tr w:rsidR="00C10B32" w:rsidRPr="00C10B32" w14:paraId="2AC9BF3D" w14:textId="77777777" w:rsidTr="00C10B32">
        <w:trPr>
          <w:cantSplit/>
        </w:trPr>
        <w:tc>
          <w:tcPr>
            <w:tcW w:w="5000" w:type="pct"/>
            <w:gridSpan w:val="3"/>
            <w:shd w:val="clear" w:color="auto" w:fill="auto"/>
          </w:tcPr>
          <w:p w14:paraId="3B32E6B7" w14:textId="77777777" w:rsidR="00C10B32" w:rsidRPr="00C10B32" w:rsidRDefault="00E12644" w:rsidP="00C10B32">
            <w:pPr>
              <w:keepNext/>
              <w:keepLines/>
              <w:shd w:val="clear" w:color="auto" w:fill="FFFFFF" w:themeFill="background1"/>
              <w:autoSpaceDE w:val="0"/>
              <w:autoSpaceDN w:val="0"/>
              <w:adjustRightInd w:val="0"/>
              <w:rPr>
                <w:iCs/>
                <w:sz w:val="22"/>
                <w:szCs w:val="22"/>
                <w:lang w:val="hr-HR"/>
              </w:rPr>
            </w:pPr>
            <w:r>
              <w:rPr>
                <w:iCs/>
                <w:sz w:val="22"/>
                <w:szCs w:val="22"/>
                <w:lang w:val="hr-HR"/>
              </w:rPr>
              <w:t>R</w:t>
            </w:r>
            <w:r w:rsidR="00C10B32" w:rsidRPr="00C10B32">
              <w:rPr>
                <w:iCs/>
                <w:sz w:val="22"/>
                <w:szCs w:val="22"/>
                <w:lang w:val="hr-HR"/>
              </w:rPr>
              <w:t>adiološka proc</w:t>
            </w:r>
            <w:r w:rsidR="006703B2">
              <w:rPr>
                <w:iCs/>
                <w:sz w:val="22"/>
                <w:szCs w:val="22"/>
                <w:lang w:val="hr-HR"/>
              </w:rPr>
              <w:t>j</w:t>
            </w:r>
            <w:r w:rsidR="00C10B32" w:rsidRPr="00C10B32">
              <w:rPr>
                <w:iCs/>
                <w:sz w:val="22"/>
                <w:szCs w:val="22"/>
                <w:lang w:val="hr-HR"/>
              </w:rPr>
              <w:t>ena</w:t>
            </w:r>
            <w:r>
              <w:rPr>
                <w:iCs/>
                <w:sz w:val="22"/>
                <w:szCs w:val="22"/>
                <w:lang w:val="hr-HR"/>
              </w:rPr>
              <w:t xml:space="preserve"> istraživača</w:t>
            </w:r>
            <w:r w:rsidR="00C10B32" w:rsidRPr="00C10B32">
              <w:rPr>
                <w:sz w:val="22"/>
                <w:szCs w:val="22"/>
                <w:vertAlign w:val="superscript"/>
              </w:rPr>
              <w:t>#</w:t>
            </w:r>
          </w:p>
        </w:tc>
      </w:tr>
      <w:tr w:rsidR="00C10B32" w:rsidRPr="00C10B32" w14:paraId="504C5DB1" w14:textId="77777777" w:rsidTr="00C10B32">
        <w:trPr>
          <w:cantSplit/>
        </w:trPr>
        <w:tc>
          <w:tcPr>
            <w:tcW w:w="1834" w:type="pct"/>
          </w:tcPr>
          <w:p w14:paraId="18BA4FD8"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sz w:val="22"/>
                <w:szCs w:val="22"/>
                <w:lang w:val="hr-HR"/>
              </w:rPr>
              <w:t>Kohorta sa PIK3CA mutacijom</w:t>
            </w:r>
          </w:p>
          <w:p w14:paraId="3E95CC4A"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sz w:val="22"/>
                <w:szCs w:val="22"/>
                <w:lang w:val="hr-HR"/>
              </w:rPr>
              <w:t>(N=341)</w:t>
            </w:r>
          </w:p>
        </w:tc>
        <w:tc>
          <w:tcPr>
            <w:tcW w:w="1433" w:type="pct"/>
          </w:tcPr>
          <w:p w14:paraId="13CAFCEA"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11,0</w:t>
            </w:r>
          </w:p>
          <w:p w14:paraId="6D55622A" w14:textId="77777777" w:rsidR="00C10B32" w:rsidRPr="00C10B32" w:rsidRDefault="00C10B32" w:rsidP="002A5E87">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(7,5</w:t>
            </w:r>
            <w:r w:rsidR="002A5E87">
              <w:rPr>
                <w:sz w:val="22"/>
                <w:szCs w:val="22"/>
                <w:lang w:val="hr-HR"/>
              </w:rPr>
              <w:t xml:space="preserve"> do </w:t>
            </w:r>
            <w:r w:rsidRPr="00C10B32">
              <w:rPr>
                <w:sz w:val="22"/>
                <w:szCs w:val="22"/>
                <w:lang w:val="hr-HR"/>
              </w:rPr>
              <w:t>14,5)</w:t>
            </w:r>
          </w:p>
        </w:tc>
        <w:tc>
          <w:tcPr>
            <w:tcW w:w="1733" w:type="pct"/>
          </w:tcPr>
          <w:p w14:paraId="7FA3D832"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5,7</w:t>
            </w:r>
          </w:p>
          <w:p w14:paraId="4BA9E894"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(3,7</w:t>
            </w:r>
            <w:r w:rsidR="002A5E87">
              <w:rPr>
                <w:sz w:val="22"/>
                <w:szCs w:val="22"/>
                <w:lang w:val="hr-HR"/>
              </w:rPr>
              <w:t xml:space="preserve"> do</w:t>
            </w:r>
            <w:r w:rsidR="002A5E87" w:rsidRPr="00C10B32" w:rsidDel="002A5E87">
              <w:rPr>
                <w:sz w:val="22"/>
                <w:szCs w:val="22"/>
                <w:lang w:val="hr-HR"/>
              </w:rPr>
              <w:t xml:space="preserve"> </w:t>
            </w:r>
            <w:r w:rsidRPr="00C10B32">
              <w:rPr>
                <w:sz w:val="22"/>
                <w:szCs w:val="22"/>
                <w:lang w:val="hr-HR"/>
              </w:rPr>
              <w:t>7,4)</w:t>
            </w:r>
          </w:p>
        </w:tc>
      </w:tr>
      <w:tr w:rsidR="00C10B32" w:rsidRPr="00C10B32" w14:paraId="52A7C7BF" w14:textId="77777777" w:rsidTr="00C10B32">
        <w:trPr>
          <w:cantSplit/>
        </w:trPr>
        <w:tc>
          <w:tcPr>
            <w:tcW w:w="1834" w:type="pct"/>
            <w:shd w:val="clear" w:color="auto" w:fill="auto"/>
          </w:tcPr>
          <w:p w14:paraId="1CB326AB"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bCs/>
                <w:sz w:val="22"/>
                <w:szCs w:val="22"/>
                <w:lang w:val="hr-HR"/>
              </w:rPr>
              <w:t>Odnos rizika (95% CI)</w:t>
            </w:r>
          </w:p>
        </w:tc>
        <w:tc>
          <w:tcPr>
            <w:tcW w:w="3166" w:type="pct"/>
            <w:gridSpan w:val="2"/>
            <w:shd w:val="clear" w:color="auto" w:fill="auto"/>
          </w:tcPr>
          <w:p w14:paraId="1FDF4005"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0,65 (0,50</w:t>
            </w:r>
            <w:r w:rsidR="002A5E87">
              <w:rPr>
                <w:sz w:val="22"/>
                <w:szCs w:val="22"/>
                <w:lang w:val="hr-HR"/>
              </w:rPr>
              <w:t xml:space="preserve"> do</w:t>
            </w:r>
            <w:r w:rsidR="002A5E87" w:rsidRPr="00C10B32" w:rsidDel="002A5E87">
              <w:rPr>
                <w:sz w:val="22"/>
                <w:szCs w:val="22"/>
                <w:lang w:val="hr-HR"/>
              </w:rPr>
              <w:t xml:space="preserve"> </w:t>
            </w:r>
            <w:r w:rsidRPr="00C10B32">
              <w:rPr>
                <w:sz w:val="22"/>
                <w:szCs w:val="22"/>
                <w:lang w:val="hr-HR"/>
              </w:rPr>
              <w:t>0,85)</w:t>
            </w:r>
          </w:p>
        </w:tc>
      </w:tr>
      <w:tr w:rsidR="00C10B32" w:rsidRPr="00C10B32" w14:paraId="46B8DB6C" w14:textId="77777777" w:rsidTr="00C10B32">
        <w:trPr>
          <w:cantSplit/>
        </w:trPr>
        <w:tc>
          <w:tcPr>
            <w:tcW w:w="1834" w:type="pct"/>
            <w:shd w:val="clear" w:color="auto" w:fill="auto"/>
          </w:tcPr>
          <w:p w14:paraId="09A6D29E" w14:textId="77777777" w:rsidR="00C10B32" w:rsidRPr="00C10B32" w:rsidRDefault="00C10B32" w:rsidP="00C10B32">
            <w:pPr>
              <w:keepNext/>
              <w:keepLines/>
              <w:shd w:val="clear" w:color="auto" w:fill="FFFFFF" w:themeFill="background1"/>
              <w:autoSpaceDE w:val="0"/>
              <w:autoSpaceDN w:val="0"/>
              <w:adjustRightInd w:val="0"/>
              <w:rPr>
                <w:bCs/>
                <w:sz w:val="22"/>
                <w:szCs w:val="22"/>
                <w:lang w:val="hr-HR"/>
              </w:rPr>
            </w:pPr>
            <w:r w:rsidRPr="00C10B32">
              <w:rPr>
                <w:bCs/>
                <w:sz w:val="22"/>
                <w:szCs w:val="22"/>
                <w:lang w:val="hr-HR"/>
              </w:rPr>
              <w:t>p</w:t>
            </w:r>
            <w:r w:rsidRPr="00C10B32">
              <w:rPr>
                <w:bCs/>
                <w:sz w:val="22"/>
                <w:szCs w:val="22"/>
                <w:lang w:val="hr-HR"/>
              </w:rPr>
              <w:noBreakHyphen/>
            </w:r>
            <w:r w:rsidR="002A51AB">
              <w:rPr>
                <w:bCs/>
                <w:sz w:val="22"/>
                <w:szCs w:val="22"/>
                <w:lang w:val="hr-HR"/>
              </w:rPr>
              <w:t>vrijednost</w:t>
            </w:r>
            <w:r w:rsidRPr="00C10B32">
              <w:rPr>
                <w:bCs/>
                <w:sz w:val="22"/>
                <w:szCs w:val="22"/>
                <w:vertAlign w:val="superscript"/>
                <w:lang w:val="hr-HR"/>
              </w:rPr>
              <w:t>a</w:t>
            </w:r>
          </w:p>
        </w:tc>
        <w:tc>
          <w:tcPr>
            <w:tcW w:w="3166" w:type="pct"/>
            <w:gridSpan w:val="2"/>
            <w:shd w:val="clear" w:color="auto" w:fill="auto"/>
          </w:tcPr>
          <w:p w14:paraId="5FEA9DE9"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0,00065</w:t>
            </w:r>
          </w:p>
        </w:tc>
      </w:tr>
      <w:tr w:rsidR="00C10B32" w:rsidRPr="00C10B32" w14:paraId="274F5EE6" w14:textId="77777777" w:rsidTr="00C10B32">
        <w:trPr>
          <w:cantSplit/>
        </w:trPr>
        <w:tc>
          <w:tcPr>
            <w:tcW w:w="5000" w:type="pct"/>
            <w:gridSpan w:val="3"/>
            <w:shd w:val="clear" w:color="auto" w:fill="auto"/>
          </w:tcPr>
          <w:p w14:paraId="3CC687AA"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sz w:val="22"/>
                <w:szCs w:val="22"/>
                <w:lang w:val="hr-HR"/>
              </w:rPr>
              <w:t>Proc</w:t>
            </w:r>
            <w:r w:rsidR="006703B2">
              <w:rPr>
                <w:sz w:val="22"/>
                <w:szCs w:val="22"/>
                <w:lang w:val="hr-HR"/>
              </w:rPr>
              <w:t>j</w:t>
            </w:r>
            <w:r w:rsidRPr="00C10B32">
              <w:rPr>
                <w:sz w:val="22"/>
                <w:szCs w:val="22"/>
                <w:lang w:val="hr-HR"/>
              </w:rPr>
              <w:t>ena zasl</w:t>
            </w:r>
            <w:r w:rsidR="003764F0">
              <w:rPr>
                <w:sz w:val="22"/>
                <w:szCs w:val="22"/>
                <w:lang w:val="hr-HR"/>
              </w:rPr>
              <w:t>ij</w:t>
            </w:r>
            <w:r w:rsidRPr="00C10B32">
              <w:rPr>
                <w:sz w:val="22"/>
                <w:szCs w:val="22"/>
                <w:lang w:val="hr-HR"/>
              </w:rPr>
              <w:t>epljene nezavisne komisije za proc</w:t>
            </w:r>
            <w:r w:rsidR="006703B2">
              <w:rPr>
                <w:sz w:val="22"/>
                <w:szCs w:val="22"/>
                <w:lang w:val="hr-HR"/>
              </w:rPr>
              <w:t>j</w:t>
            </w:r>
            <w:r w:rsidRPr="00C10B32">
              <w:rPr>
                <w:sz w:val="22"/>
                <w:szCs w:val="22"/>
                <w:lang w:val="hr-HR"/>
              </w:rPr>
              <w:t>enu*</w:t>
            </w:r>
            <w:r w:rsidRPr="00C10B32">
              <w:rPr>
                <w:sz w:val="22"/>
                <w:szCs w:val="22"/>
                <w:vertAlign w:val="superscript"/>
              </w:rPr>
              <w:t>#</w:t>
            </w:r>
          </w:p>
        </w:tc>
      </w:tr>
      <w:tr w:rsidR="00C10B32" w:rsidRPr="00C10B32" w14:paraId="0B62DAA7" w14:textId="77777777" w:rsidTr="00C10B32">
        <w:trPr>
          <w:cantSplit/>
        </w:trPr>
        <w:tc>
          <w:tcPr>
            <w:tcW w:w="1834" w:type="pct"/>
          </w:tcPr>
          <w:p w14:paraId="2AF864BD"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sz w:val="22"/>
                <w:szCs w:val="22"/>
                <w:lang w:val="hr-HR"/>
              </w:rPr>
              <w:t>Kohorta sa PIK3CA mutacijom</w:t>
            </w:r>
          </w:p>
          <w:p w14:paraId="163D6F91"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sz w:val="22"/>
                <w:szCs w:val="22"/>
                <w:lang w:val="hr-HR"/>
              </w:rPr>
              <w:t>(N=173)</w:t>
            </w:r>
          </w:p>
        </w:tc>
        <w:tc>
          <w:tcPr>
            <w:tcW w:w="1433" w:type="pct"/>
          </w:tcPr>
          <w:p w14:paraId="4DEDDD66"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11,1</w:t>
            </w:r>
          </w:p>
          <w:p w14:paraId="39537616"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(7,3</w:t>
            </w:r>
            <w:r w:rsidR="002A5E87">
              <w:rPr>
                <w:sz w:val="22"/>
                <w:szCs w:val="22"/>
                <w:lang w:val="hr-HR"/>
              </w:rPr>
              <w:t xml:space="preserve"> do</w:t>
            </w:r>
            <w:r w:rsidR="002A5E87" w:rsidRPr="00C10B32" w:rsidDel="002A5E87">
              <w:rPr>
                <w:sz w:val="22"/>
                <w:szCs w:val="22"/>
                <w:lang w:val="hr-HR"/>
              </w:rPr>
              <w:t xml:space="preserve"> </w:t>
            </w:r>
            <w:r w:rsidRPr="00C10B32">
              <w:rPr>
                <w:sz w:val="22"/>
                <w:szCs w:val="22"/>
                <w:lang w:val="hr-HR"/>
              </w:rPr>
              <w:t>16,8)</w:t>
            </w:r>
          </w:p>
        </w:tc>
        <w:tc>
          <w:tcPr>
            <w:tcW w:w="1733" w:type="pct"/>
          </w:tcPr>
          <w:p w14:paraId="51E5F046"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3,7</w:t>
            </w:r>
          </w:p>
          <w:p w14:paraId="7D3F95CD"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(2,1</w:t>
            </w:r>
            <w:r w:rsidR="002A5E87">
              <w:rPr>
                <w:sz w:val="22"/>
                <w:szCs w:val="22"/>
                <w:lang w:val="hr-HR"/>
              </w:rPr>
              <w:t xml:space="preserve"> do</w:t>
            </w:r>
            <w:r w:rsidR="002A5E87" w:rsidRPr="00C10B32" w:rsidDel="002A5E87">
              <w:rPr>
                <w:sz w:val="22"/>
                <w:szCs w:val="22"/>
                <w:lang w:val="hr-HR"/>
              </w:rPr>
              <w:t xml:space="preserve"> </w:t>
            </w:r>
            <w:r w:rsidRPr="00C10B32">
              <w:rPr>
                <w:sz w:val="22"/>
                <w:szCs w:val="22"/>
                <w:lang w:val="hr-HR"/>
              </w:rPr>
              <w:t>5,6)</w:t>
            </w:r>
          </w:p>
        </w:tc>
      </w:tr>
      <w:tr w:rsidR="00C10B32" w:rsidRPr="00C10B32" w14:paraId="79A1B69D" w14:textId="77777777" w:rsidTr="00C10B32">
        <w:trPr>
          <w:cantSplit/>
        </w:trPr>
        <w:tc>
          <w:tcPr>
            <w:tcW w:w="1834" w:type="pct"/>
            <w:shd w:val="clear" w:color="auto" w:fill="auto"/>
          </w:tcPr>
          <w:p w14:paraId="6A6AF1D6"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bCs/>
                <w:sz w:val="22"/>
                <w:szCs w:val="22"/>
                <w:lang w:val="hr-HR"/>
              </w:rPr>
              <w:t>Odnos rizika (95% CI)</w:t>
            </w:r>
          </w:p>
        </w:tc>
        <w:tc>
          <w:tcPr>
            <w:tcW w:w="3166" w:type="pct"/>
            <w:gridSpan w:val="2"/>
            <w:shd w:val="clear" w:color="auto" w:fill="auto"/>
          </w:tcPr>
          <w:p w14:paraId="23CC8F49"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0,48 (0,32</w:t>
            </w:r>
            <w:r w:rsidR="002A5E87">
              <w:rPr>
                <w:sz w:val="22"/>
                <w:szCs w:val="22"/>
                <w:lang w:val="hr-HR"/>
              </w:rPr>
              <w:t xml:space="preserve"> do</w:t>
            </w:r>
            <w:r w:rsidR="002A5E87" w:rsidRPr="00C10B32" w:rsidDel="002A5E87">
              <w:rPr>
                <w:sz w:val="22"/>
                <w:szCs w:val="22"/>
                <w:lang w:val="hr-HR"/>
              </w:rPr>
              <w:t xml:space="preserve"> </w:t>
            </w:r>
            <w:r w:rsidRPr="00C10B32">
              <w:rPr>
                <w:sz w:val="22"/>
                <w:szCs w:val="22"/>
                <w:lang w:val="hr-HR"/>
              </w:rPr>
              <w:t>0,71)</w:t>
            </w:r>
          </w:p>
        </w:tc>
      </w:tr>
      <w:tr w:rsidR="00C10B32" w:rsidRPr="00C10B32" w14:paraId="4C459C26" w14:textId="77777777" w:rsidTr="00C10B32">
        <w:trPr>
          <w:cantSplit/>
        </w:trPr>
        <w:tc>
          <w:tcPr>
            <w:tcW w:w="1834" w:type="pct"/>
            <w:shd w:val="clear" w:color="auto" w:fill="auto"/>
          </w:tcPr>
          <w:p w14:paraId="4BE78FBC" w14:textId="77777777"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bCs/>
                <w:sz w:val="22"/>
                <w:szCs w:val="22"/>
                <w:lang w:val="hr-HR"/>
              </w:rPr>
              <w:t>p</w:t>
            </w:r>
            <w:r w:rsidRPr="00C10B32">
              <w:rPr>
                <w:bCs/>
                <w:sz w:val="22"/>
                <w:szCs w:val="22"/>
                <w:lang w:val="hr-HR"/>
              </w:rPr>
              <w:noBreakHyphen/>
            </w:r>
            <w:r w:rsidR="002A51AB">
              <w:rPr>
                <w:bCs/>
                <w:sz w:val="22"/>
                <w:szCs w:val="22"/>
                <w:lang w:val="hr-HR"/>
              </w:rPr>
              <w:t>vrijednost</w:t>
            </w:r>
          </w:p>
        </w:tc>
        <w:tc>
          <w:tcPr>
            <w:tcW w:w="3166" w:type="pct"/>
            <w:gridSpan w:val="2"/>
            <w:shd w:val="clear" w:color="auto" w:fill="auto"/>
          </w:tcPr>
          <w:p w14:paraId="0D81EBF4" w14:textId="77777777" w:rsidR="00C10B32" w:rsidRPr="00C10B32" w:rsidRDefault="00C10B32" w:rsidP="00C10B32">
            <w:pPr>
              <w:keepNext/>
              <w:keepLines/>
              <w:shd w:val="clear" w:color="auto" w:fill="FFFFFF" w:themeFill="background1"/>
              <w:autoSpaceDE w:val="0"/>
              <w:autoSpaceDN w:val="0"/>
              <w:adjustRightInd w:val="0"/>
              <w:jc w:val="center"/>
              <w:rPr>
                <w:sz w:val="22"/>
                <w:szCs w:val="22"/>
                <w:lang w:val="hr-HR"/>
              </w:rPr>
            </w:pPr>
            <w:r w:rsidRPr="00C10B32">
              <w:rPr>
                <w:sz w:val="22"/>
                <w:szCs w:val="22"/>
                <w:lang w:val="hr-HR"/>
              </w:rPr>
              <w:t>N/P</w:t>
            </w:r>
          </w:p>
        </w:tc>
      </w:tr>
      <w:tr w:rsidR="00C10B32" w:rsidRPr="00C10B32" w14:paraId="559E2A74" w14:textId="77777777" w:rsidTr="00C10B32">
        <w:trPr>
          <w:cantSplit/>
        </w:trPr>
        <w:tc>
          <w:tcPr>
            <w:tcW w:w="5000" w:type="pct"/>
            <w:gridSpan w:val="3"/>
            <w:shd w:val="clear" w:color="auto" w:fill="auto"/>
          </w:tcPr>
          <w:p w14:paraId="6079EAB5" w14:textId="41300E02" w:rsidR="00C10B32" w:rsidRPr="00C10B32" w:rsidRDefault="00C10B32" w:rsidP="00C10B32">
            <w:pPr>
              <w:shd w:val="clear" w:color="auto" w:fill="FFFFFF" w:themeFill="background1"/>
              <w:autoSpaceDE w:val="0"/>
              <w:autoSpaceDN w:val="0"/>
              <w:adjustRightInd w:val="0"/>
              <w:rPr>
                <w:sz w:val="22"/>
                <w:szCs w:val="22"/>
                <w:lang w:val="hr-HR"/>
              </w:rPr>
            </w:pPr>
            <w:r w:rsidRPr="00C10B32">
              <w:rPr>
                <w:sz w:val="22"/>
                <w:szCs w:val="22"/>
                <w:lang w:val="hr-HR"/>
              </w:rPr>
              <w:t xml:space="preserve">CI = interval pouzdanosti; N = broj pacijenata; NP = nije </w:t>
            </w:r>
            <w:r w:rsidR="00C21CF1">
              <w:rPr>
                <w:sz w:val="22"/>
                <w:szCs w:val="22"/>
                <w:lang w:val="hr-HR"/>
              </w:rPr>
              <w:t>primjen</w:t>
            </w:r>
            <w:r w:rsidRPr="00C10B32">
              <w:rPr>
                <w:sz w:val="22"/>
                <w:szCs w:val="22"/>
                <w:lang w:val="hr-HR"/>
              </w:rPr>
              <w:t xml:space="preserve">jivo; </w:t>
            </w:r>
          </w:p>
          <w:p w14:paraId="402E0350" w14:textId="77777777" w:rsidR="00C10B32" w:rsidRPr="00C10B32" w:rsidRDefault="00C10B32" w:rsidP="00C10B32">
            <w:pPr>
              <w:shd w:val="clear" w:color="auto" w:fill="FFFFFF" w:themeFill="background1"/>
              <w:tabs>
                <w:tab w:val="left" w:pos="563"/>
              </w:tabs>
              <w:autoSpaceDE w:val="0"/>
              <w:autoSpaceDN w:val="0"/>
              <w:adjustRightInd w:val="0"/>
              <w:rPr>
                <w:sz w:val="22"/>
                <w:szCs w:val="22"/>
                <w:lang w:val="hr-HR"/>
              </w:rPr>
            </w:pPr>
            <w:r w:rsidRPr="00C10B32">
              <w:rPr>
                <w:sz w:val="22"/>
                <w:szCs w:val="22"/>
                <w:vertAlign w:val="superscript"/>
                <w:lang w:val="hr-HR"/>
              </w:rPr>
              <w:t>a</w:t>
            </w:r>
            <w:r w:rsidRPr="00C10B32">
              <w:rPr>
                <w:sz w:val="22"/>
                <w:szCs w:val="22"/>
                <w:lang w:val="hr-HR"/>
              </w:rPr>
              <w:t xml:space="preserve"> p</w:t>
            </w:r>
            <w:r w:rsidRPr="00C10B32">
              <w:rPr>
                <w:sz w:val="22"/>
                <w:szCs w:val="22"/>
                <w:lang w:val="hr-HR"/>
              </w:rPr>
              <w:noBreakHyphen/>
            </w:r>
            <w:r w:rsidR="002A51AB">
              <w:rPr>
                <w:sz w:val="22"/>
                <w:szCs w:val="22"/>
                <w:lang w:val="hr-HR"/>
              </w:rPr>
              <w:t>vrijednost</w:t>
            </w:r>
            <w:r w:rsidRPr="00C10B32">
              <w:rPr>
                <w:sz w:val="22"/>
                <w:szCs w:val="22"/>
                <w:lang w:val="hr-HR"/>
              </w:rPr>
              <w:t xml:space="preserve"> dobijena je iz jednostranog stratifikovanog log-</w:t>
            </w:r>
            <w:r w:rsidR="00A2103E" w:rsidRPr="00C10B32">
              <w:rPr>
                <w:sz w:val="22"/>
                <w:szCs w:val="22"/>
                <w:lang w:val="hr-HR"/>
              </w:rPr>
              <w:t>ran</w:t>
            </w:r>
            <w:r w:rsidR="00A2103E">
              <w:rPr>
                <w:sz w:val="22"/>
                <w:szCs w:val="22"/>
                <w:lang w:val="hr-HR"/>
              </w:rPr>
              <w:t>k</w:t>
            </w:r>
            <w:r w:rsidR="00A2103E" w:rsidRPr="00C10B32">
              <w:rPr>
                <w:sz w:val="22"/>
                <w:szCs w:val="22"/>
                <w:lang w:val="hr-HR"/>
              </w:rPr>
              <w:t xml:space="preserve"> </w:t>
            </w:r>
            <w:r w:rsidRPr="00C10B32">
              <w:rPr>
                <w:sz w:val="22"/>
                <w:szCs w:val="22"/>
                <w:lang w:val="hr-HR"/>
              </w:rPr>
              <w:t>testa.</w:t>
            </w:r>
          </w:p>
          <w:p w14:paraId="4041DA92" w14:textId="77777777" w:rsidR="00C10B32" w:rsidRPr="00C10B32" w:rsidRDefault="00C10B32" w:rsidP="00C10B32">
            <w:pPr>
              <w:shd w:val="clear" w:color="auto" w:fill="FFFFFF" w:themeFill="background1"/>
              <w:autoSpaceDE w:val="0"/>
              <w:autoSpaceDN w:val="0"/>
              <w:adjustRightInd w:val="0"/>
              <w:rPr>
                <w:sz w:val="22"/>
                <w:szCs w:val="22"/>
              </w:rPr>
            </w:pPr>
            <w:r w:rsidRPr="00C10B32">
              <w:rPr>
                <w:sz w:val="22"/>
                <w:szCs w:val="22"/>
                <w:vertAlign w:val="superscript"/>
              </w:rPr>
              <w:t xml:space="preserve"># </w:t>
            </w:r>
            <w:r w:rsidRPr="00C10B32">
              <w:rPr>
                <w:sz w:val="22"/>
                <w:szCs w:val="22"/>
              </w:rPr>
              <w:t>Prema RECIST 1.1</w:t>
            </w:r>
          </w:p>
          <w:p w14:paraId="396AE9F5" w14:textId="3FC10F01" w:rsidR="00C10B32" w:rsidRPr="00C10B32" w:rsidRDefault="00C10B32" w:rsidP="00C10B32">
            <w:pPr>
              <w:shd w:val="clear" w:color="auto" w:fill="FFFFFF" w:themeFill="background1"/>
              <w:autoSpaceDE w:val="0"/>
              <w:autoSpaceDN w:val="0"/>
              <w:adjustRightInd w:val="0"/>
              <w:rPr>
                <w:sz w:val="22"/>
                <w:szCs w:val="22"/>
                <w:lang w:val="hr-HR"/>
              </w:rPr>
            </w:pPr>
            <w:r w:rsidRPr="00C10B32">
              <w:rPr>
                <w:sz w:val="22"/>
                <w:szCs w:val="22"/>
                <w:lang w:val="hr-HR"/>
              </w:rPr>
              <w:t>* Na osnovu pristupa sa 50% revizije</w:t>
            </w:r>
            <w:r w:rsidR="00C54595">
              <w:rPr>
                <w:sz w:val="22"/>
                <w:szCs w:val="22"/>
                <w:lang w:val="hr-HR"/>
              </w:rPr>
              <w:t xml:space="preserve"> uzorka</w:t>
            </w:r>
          </w:p>
        </w:tc>
      </w:tr>
    </w:tbl>
    <w:p w14:paraId="2FCF84CD" w14:textId="77777777" w:rsidR="00C10B32" w:rsidRPr="00C10B32" w:rsidRDefault="00C10B32" w:rsidP="00C10B32">
      <w:pPr>
        <w:pStyle w:val="CommentText"/>
        <w:shd w:val="clear" w:color="auto" w:fill="FFFFFF" w:themeFill="background1"/>
        <w:rPr>
          <w:sz w:val="22"/>
          <w:szCs w:val="22"/>
          <w:lang w:val="hr-HR"/>
        </w:rPr>
      </w:pPr>
    </w:p>
    <w:p w14:paraId="47266C16"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r w:rsidRPr="00C10B32">
        <w:rPr>
          <w:sz w:val="22"/>
          <w:szCs w:val="22"/>
          <w:lang w:val="hr-HR"/>
        </w:rPr>
        <w:t>U kohorti sa PIK3CA mutacijom, analize PFS</w:t>
      </w:r>
      <w:r w:rsidRPr="00C10B32">
        <w:rPr>
          <w:sz w:val="22"/>
          <w:szCs w:val="22"/>
          <w:lang w:val="hr-HR"/>
        </w:rPr>
        <w:noBreakHyphen/>
        <w:t xml:space="preserve">a u podgupama prema </w:t>
      </w:r>
      <w:r w:rsidR="00E12644">
        <w:rPr>
          <w:sz w:val="22"/>
          <w:szCs w:val="22"/>
          <w:lang w:val="hr-HR"/>
        </w:rPr>
        <w:t>pr</w:t>
      </w:r>
      <w:r w:rsidR="007D058D">
        <w:rPr>
          <w:sz w:val="22"/>
          <w:szCs w:val="22"/>
          <w:lang w:val="hr-HR"/>
        </w:rPr>
        <w:t>o</w:t>
      </w:r>
      <w:r w:rsidR="00E12644">
        <w:rPr>
          <w:sz w:val="22"/>
          <w:szCs w:val="22"/>
          <w:lang w:val="hr-HR"/>
        </w:rPr>
        <w:t xml:space="preserve">cjeni </w:t>
      </w:r>
      <w:r w:rsidRPr="00C10B32">
        <w:rPr>
          <w:sz w:val="22"/>
          <w:szCs w:val="22"/>
          <w:lang w:val="hr-HR"/>
        </w:rPr>
        <w:t>istraživač</w:t>
      </w:r>
      <w:r w:rsidR="00E12644">
        <w:rPr>
          <w:sz w:val="22"/>
          <w:szCs w:val="22"/>
          <w:lang w:val="hr-HR"/>
        </w:rPr>
        <w:t>a</w:t>
      </w:r>
      <w:r w:rsidRPr="00C10B32">
        <w:rPr>
          <w:sz w:val="22"/>
          <w:szCs w:val="22"/>
          <w:lang w:val="hr-HR"/>
        </w:rPr>
        <w:t xml:space="preserve"> prema faktorima stratifikacije prilikom randomizacije pokazale su uglavnom dosl</w:t>
      </w:r>
      <w:r w:rsidR="00A2103E">
        <w:rPr>
          <w:sz w:val="22"/>
          <w:szCs w:val="22"/>
          <w:lang w:val="hr-HR"/>
        </w:rPr>
        <w:t>j</w:t>
      </w:r>
      <w:r w:rsidRPr="00C10B32">
        <w:rPr>
          <w:sz w:val="22"/>
          <w:szCs w:val="22"/>
          <w:lang w:val="hr-HR"/>
        </w:rPr>
        <w:t>edan terapijski efekat u korist grupe koja je primala alpelisib, nezavisno od prisutnosti ili odsutnosti metastaza u plućima/jetri.</w:t>
      </w:r>
    </w:p>
    <w:p w14:paraId="280D6A00"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p>
    <w:p w14:paraId="25A84BF5" w14:textId="26274668" w:rsidR="00C10B32" w:rsidRPr="00C10B32" w:rsidRDefault="00C10B32" w:rsidP="006703B2">
      <w:pPr>
        <w:shd w:val="clear" w:color="auto" w:fill="FFFFFF" w:themeFill="background1"/>
        <w:autoSpaceDE w:val="0"/>
        <w:autoSpaceDN w:val="0"/>
        <w:adjustRightInd w:val="0"/>
        <w:jc w:val="both"/>
        <w:rPr>
          <w:sz w:val="22"/>
          <w:szCs w:val="22"/>
          <w:lang w:val="hr-HR"/>
        </w:rPr>
      </w:pPr>
      <w:r w:rsidRPr="00C10B32">
        <w:rPr>
          <w:sz w:val="22"/>
          <w:szCs w:val="22"/>
          <w:lang w:val="hr-HR"/>
        </w:rPr>
        <w:t xml:space="preserve">Među 20 pacijenata koji su prethodno </w:t>
      </w:r>
      <w:r w:rsidR="00295316">
        <w:rPr>
          <w:sz w:val="22"/>
          <w:szCs w:val="22"/>
          <w:lang w:val="hr-HR"/>
        </w:rPr>
        <w:t>liječeni</w:t>
      </w:r>
      <w:r w:rsidRPr="00C10B32">
        <w:rPr>
          <w:sz w:val="22"/>
          <w:szCs w:val="22"/>
          <w:lang w:val="hr-HR"/>
        </w:rPr>
        <w:t xml:space="preserve"> inhibitorom CDK 4/6</w:t>
      </w:r>
      <w:r w:rsidR="00A2103E">
        <w:rPr>
          <w:sz w:val="22"/>
          <w:szCs w:val="22"/>
          <w:lang w:val="hr-HR"/>
        </w:rPr>
        <w:t>,</w:t>
      </w:r>
      <w:r w:rsidRPr="00C10B32">
        <w:rPr>
          <w:sz w:val="22"/>
          <w:szCs w:val="22"/>
          <w:lang w:val="hr-HR"/>
        </w:rPr>
        <w:t xml:space="preserve"> odnos rizika (HR)</w:t>
      </w:r>
      <w:r w:rsidR="00C54595">
        <w:rPr>
          <w:sz w:val="22"/>
          <w:szCs w:val="22"/>
          <w:lang w:val="hr-HR"/>
        </w:rPr>
        <w:t xml:space="preserve"> za PFS</w:t>
      </w:r>
      <w:r w:rsidRPr="00C10B32">
        <w:rPr>
          <w:sz w:val="22"/>
          <w:szCs w:val="22"/>
          <w:lang w:val="hr-HR"/>
        </w:rPr>
        <w:t xml:space="preserve"> bio je 0,48 (95% CI: 0,17; 1,36); medijana PFS-a bila je 1,8 m</w:t>
      </w:r>
      <w:r w:rsidR="006703B2">
        <w:rPr>
          <w:sz w:val="22"/>
          <w:szCs w:val="22"/>
          <w:lang w:val="hr-HR"/>
        </w:rPr>
        <w:t>j</w:t>
      </w:r>
      <w:r w:rsidRPr="00C10B32">
        <w:rPr>
          <w:sz w:val="22"/>
          <w:szCs w:val="22"/>
          <w:lang w:val="hr-HR"/>
        </w:rPr>
        <w:t>eseci (95% CI: 1,7; 3,6) u grupi koja je primala placebo zajedno sa fulvestrantom i 5,5 m</w:t>
      </w:r>
      <w:r w:rsidR="003764F0">
        <w:rPr>
          <w:sz w:val="22"/>
          <w:szCs w:val="22"/>
          <w:lang w:val="hr-HR"/>
        </w:rPr>
        <w:t>j</w:t>
      </w:r>
      <w:r w:rsidRPr="00C10B32">
        <w:rPr>
          <w:sz w:val="22"/>
          <w:szCs w:val="22"/>
          <w:lang w:val="hr-HR"/>
        </w:rPr>
        <w:t>eseci (95% CI: 1,6; 16,8) u grupi koja je primala alpelisib zajedno sa fulvestrantom.</w:t>
      </w:r>
    </w:p>
    <w:p w14:paraId="4476B432"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p>
    <w:p w14:paraId="18EBB2DD"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r w:rsidRPr="00C10B32">
        <w:rPr>
          <w:sz w:val="22"/>
          <w:szCs w:val="22"/>
          <w:lang w:val="hr-HR"/>
        </w:rPr>
        <w:t>Do zaključnog datuma za prikupljanje podataka koji je bio 12. jun 2018</w:t>
      </w:r>
      <w:r w:rsidR="00A2103E">
        <w:rPr>
          <w:sz w:val="22"/>
          <w:szCs w:val="22"/>
          <w:lang w:val="hr-HR"/>
        </w:rPr>
        <w:t>.</w:t>
      </w:r>
      <w:r w:rsidRPr="00C10B32">
        <w:rPr>
          <w:sz w:val="22"/>
          <w:szCs w:val="22"/>
          <w:lang w:val="hr-HR"/>
        </w:rPr>
        <w:t>, rezultati PFS-a za podgrupu pacijenata rezistentnih na endokrinu terapiju (HR=0,64; 95% CI: 0,49; 0,85, n=292) i pacijenata os</w:t>
      </w:r>
      <w:r w:rsidR="006703B2">
        <w:rPr>
          <w:sz w:val="22"/>
          <w:szCs w:val="22"/>
          <w:lang w:val="hr-HR"/>
        </w:rPr>
        <w:t>j</w:t>
      </w:r>
      <w:r w:rsidRPr="00C10B32">
        <w:rPr>
          <w:sz w:val="22"/>
          <w:szCs w:val="22"/>
          <w:lang w:val="hr-HR"/>
        </w:rPr>
        <w:t>etljivih na endokrinu terapiju (HR=0,87; 95% CI: 0,35; 2,17, n=39) bili su u korist grupe koja je primala alpelisib zajedno sa fulvestrantom. Broj pacijenata os</w:t>
      </w:r>
      <w:r w:rsidR="006703B2">
        <w:rPr>
          <w:sz w:val="22"/>
          <w:szCs w:val="22"/>
          <w:lang w:val="hr-HR"/>
        </w:rPr>
        <w:t>j</w:t>
      </w:r>
      <w:r w:rsidRPr="00C10B32">
        <w:rPr>
          <w:sz w:val="22"/>
          <w:szCs w:val="22"/>
          <w:lang w:val="hr-HR"/>
        </w:rPr>
        <w:t>etljivih na endokrinu terapiju sa PIK3CA mutacijom bio je ograničen (n=39) i rezultati treba da se tumače uz oprez.</w:t>
      </w:r>
    </w:p>
    <w:p w14:paraId="253993D1" w14:textId="77777777" w:rsidR="00C10B32" w:rsidRPr="00C10B32" w:rsidRDefault="00C10B32" w:rsidP="006703B2">
      <w:pPr>
        <w:shd w:val="clear" w:color="auto" w:fill="FFFFFF" w:themeFill="background1"/>
        <w:autoSpaceDE w:val="0"/>
        <w:autoSpaceDN w:val="0"/>
        <w:adjustRightInd w:val="0"/>
        <w:jc w:val="both"/>
        <w:rPr>
          <w:bCs/>
          <w:sz w:val="22"/>
          <w:szCs w:val="22"/>
          <w:lang w:val="hr-HR"/>
        </w:rPr>
      </w:pPr>
    </w:p>
    <w:p w14:paraId="2CE87000" w14:textId="77777777" w:rsidR="00C10B32" w:rsidRPr="00C10B32" w:rsidRDefault="00C10B32" w:rsidP="006703B2">
      <w:pPr>
        <w:autoSpaceDE w:val="0"/>
        <w:autoSpaceDN w:val="0"/>
        <w:adjustRightInd w:val="0"/>
        <w:jc w:val="both"/>
        <w:rPr>
          <w:sz w:val="22"/>
          <w:szCs w:val="22"/>
          <w:lang w:val="hr-HR"/>
        </w:rPr>
      </w:pPr>
      <w:r w:rsidRPr="00C10B32">
        <w:rPr>
          <w:sz w:val="22"/>
          <w:szCs w:val="22"/>
          <w:lang w:val="hr-HR"/>
        </w:rPr>
        <w:t>Do zaključnog datuma za prikupljanje podataka koji je bio 12. jun 2018</w:t>
      </w:r>
      <w:r w:rsidR="00A2103E">
        <w:rPr>
          <w:sz w:val="22"/>
          <w:szCs w:val="22"/>
          <w:lang w:val="hr-HR"/>
        </w:rPr>
        <w:t>.</w:t>
      </w:r>
      <w:r w:rsidRPr="00C10B32">
        <w:rPr>
          <w:sz w:val="22"/>
          <w:szCs w:val="22"/>
          <w:lang w:val="hr-HR"/>
        </w:rPr>
        <w:t>, ukupna stopa odgovora kod pacijenata sa m</w:t>
      </w:r>
      <w:r w:rsidR="006703B2">
        <w:rPr>
          <w:sz w:val="22"/>
          <w:szCs w:val="22"/>
          <w:lang w:val="hr-HR"/>
        </w:rPr>
        <w:t>j</w:t>
      </w:r>
      <w:r w:rsidRPr="00C10B32">
        <w:rPr>
          <w:sz w:val="22"/>
          <w:szCs w:val="22"/>
          <w:lang w:val="hr-HR"/>
        </w:rPr>
        <w:t>erljivom bolešću na početku bila je 35,7% (95% CI: 27,4; 44,7) u grupi koja je primala alpelisib zajedno sa fulvestrantom, i 16,2% (95% CI: 10,4; 23,5) u grupi koja je primala placebo zajedno sa fulvestrantom.</w:t>
      </w:r>
    </w:p>
    <w:bookmarkEnd w:id="1"/>
    <w:bookmarkEnd w:id="2"/>
    <w:bookmarkEnd w:id="3"/>
    <w:bookmarkEnd w:id="4"/>
    <w:bookmarkEnd w:id="5"/>
    <w:bookmarkEnd w:id="6"/>
    <w:p w14:paraId="743D815E" w14:textId="1D40B0FF" w:rsidR="00C10B32" w:rsidRPr="00C10B32" w:rsidRDefault="00C10B32" w:rsidP="00C10B32">
      <w:pPr>
        <w:keepNext/>
        <w:keepLines/>
        <w:shd w:val="clear" w:color="auto" w:fill="FFFFFF" w:themeFill="background1"/>
        <w:autoSpaceDE w:val="0"/>
        <w:autoSpaceDN w:val="0"/>
        <w:adjustRightInd w:val="0"/>
        <w:rPr>
          <w:sz w:val="22"/>
          <w:szCs w:val="22"/>
          <w:lang w:val="hr-HR"/>
        </w:rPr>
      </w:pPr>
      <w:r w:rsidRPr="00C10B32">
        <w:rPr>
          <w:noProof/>
          <w:sz w:val="22"/>
          <w:szCs w:val="22"/>
        </w:rPr>
        <mc:AlternateContent>
          <mc:Choice Requires="wps">
            <w:drawing>
              <wp:anchor distT="45720" distB="45720" distL="114300" distR="114300" simplePos="0" relativeHeight="251654144" behindDoc="0" locked="0" layoutInCell="1" allowOverlap="1" wp14:anchorId="769284BB" wp14:editId="6DFAFACF">
                <wp:simplePos x="0" y="0"/>
                <wp:positionH relativeFrom="column">
                  <wp:posOffset>2610485</wp:posOffset>
                </wp:positionH>
                <wp:positionV relativeFrom="paragraph">
                  <wp:posOffset>3543935</wp:posOffset>
                </wp:positionV>
                <wp:extent cx="880745" cy="1168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9FAD2" w14:textId="77777777" w:rsidR="00EF7C8E" w:rsidRPr="00187EFB" w:rsidRDefault="00EF7C8E" w:rsidP="00C10B32">
                            <w:pPr>
                              <w:rPr>
                                <w:sz w:val="16"/>
                                <w:szCs w:val="16"/>
                              </w:rPr>
                            </w:pPr>
                            <w:r>
                              <w:rPr>
                                <w:sz w:val="16"/>
                                <w:szCs w:val="16"/>
                              </w:rPr>
                              <w:t>Vrijeme</w:t>
                            </w:r>
                            <w:r w:rsidRPr="00187EFB">
                              <w:rPr>
                                <w:sz w:val="16"/>
                                <w:szCs w:val="16"/>
                              </w:rPr>
                              <w:t xml:space="preserve"> (</w:t>
                            </w:r>
                            <w:r>
                              <w:rPr>
                                <w:sz w:val="16"/>
                                <w:szCs w:val="16"/>
                              </w:rPr>
                              <w:t>mjeseci</w:t>
                            </w:r>
                            <w:r w:rsidRPr="00187EFB">
                              <w:rPr>
                                <w:sz w:val="16"/>
                                <w:szCs w:val="16"/>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9284BB" id="_x0000_t202" coordsize="21600,21600" o:spt="202" path="m,l,21600r21600,l21600,xe">
                <v:stroke joinstyle="miter"/>
                <v:path gradientshapeok="t" o:connecttype="rect"/>
              </v:shapetype>
              <v:shape id="Text Box 7" o:spid="_x0000_s1026" type="#_x0000_t202" style="position:absolute;margin-left:205.55pt;margin-top:279.05pt;width:69.35pt;height:9.2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" stroked="f">
                <v:textbox style="mso-fit-shape-to-text:t" inset="0,0,0,0">
                  <w:txbxContent>
                    <w:p w14:paraId="6A29FAD2" w14:textId="77777777" w:rsidR="00EF7C8E" w:rsidRPr="00187EFB" w:rsidRDefault="00EF7C8E" w:rsidP="00C10B32">
                      <w:pPr>
                        <w:rPr>
                          <w:sz w:val="16"/>
                          <w:szCs w:val="16"/>
                        </w:rPr>
                      </w:pPr>
                      <w:r>
                        <w:rPr>
                          <w:sz w:val="16"/>
                          <w:szCs w:val="16"/>
                        </w:rPr>
                        <w:t>Vrijeme</w:t>
                      </w:r>
                      <w:r w:rsidRPr="00187EFB">
                        <w:rPr>
                          <w:sz w:val="16"/>
                          <w:szCs w:val="16"/>
                        </w:rPr>
                        <w:t xml:space="preserve"> (</w:t>
                      </w:r>
                      <w:r>
                        <w:rPr>
                          <w:sz w:val="16"/>
                          <w:szCs w:val="16"/>
                        </w:rPr>
                        <w:t>mjeseci</w:t>
                      </w:r>
                      <w:r w:rsidRPr="00187EFB">
                        <w:rPr>
                          <w:sz w:val="16"/>
                          <w:szCs w:val="16"/>
                        </w:rPr>
                        <w:t>)</w:t>
                      </w:r>
                    </w:p>
                  </w:txbxContent>
                </v:textbox>
              </v:shape>
            </w:pict>
          </mc:Fallback>
        </mc:AlternateContent>
      </w:r>
      <w:r w:rsidRPr="00C10B32">
        <w:rPr>
          <w:noProof/>
          <w:sz w:val="22"/>
          <w:szCs w:val="22"/>
        </w:rPr>
        <mc:AlternateContent>
          <mc:Choice Requires="wps">
            <w:drawing>
              <wp:anchor distT="45720" distB="45720" distL="114300" distR="114300" simplePos="0" relativeHeight="251655168" behindDoc="0" locked="0" layoutInCell="1" allowOverlap="1" wp14:anchorId="5074C139" wp14:editId="2A258272">
                <wp:simplePos x="0" y="0"/>
                <wp:positionH relativeFrom="column">
                  <wp:posOffset>4445</wp:posOffset>
                </wp:positionH>
                <wp:positionV relativeFrom="paragraph">
                  <wp:posOffset>4175760</wp:posOffset>
                </wp:positionV>
                <wp:extent cx="842645" cy="187960"/>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486D8" w14:textId="77777777" w:rsidR="00EF7C8E" w:rsidRPr="00791EE2" w:rsidRDefault="00EF7C8E" w:rsidP="00C10B32">
                            <w:pPr>
                              <w:jc w:val="center"/>
                              <w:rPr>
                                <w:sz w:val="16"/>
                                <w:szCs w:val="16"/>
                              </w:rPr>
                            </w:pPr>
                            <w:r w:rsidRPr="00791EE2">
                              <w:rPr>
                                <w:sz w:val="16"/>
                                <w:szCs w:val="16"/>
                              </w:rPr>
                              <w:t>Placebo + fulv.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74C139" id="Text Box 11" o:spid="_x0000_s1027" type="#_x0000_t202" style="position:absolute;margin-left:.35pt;margin-top:328.8pt;width:66.35pt;height:1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" stroked="f">
                <v:textbox inset="0,0,0,0">
                  <w:txbxContent>
                    <w:p w14:paraId="6E5486D8" w14:textId="77777777" w:rsidR="00EF7C8E" w:rsidRPr="00791EE2" w:rsidRDefault="00EF7C8E" w:rsidP="00C10B32">
                      <w:pPr>
                        <w:jc w:val="center"/>
                        <w:rPr>
                          <w:sz w:val="16"/>
                          <w:szCs w:val="16"/>
                        </w:rPr>
                      </w:pPr>
                      <w:r w:rsidRPr="00791EE2">
                        <w:rPr>
                          <w:sz w:val="16"/>
                          <w:szCs w:val="16"/>
                        </w:rPr>
                        <w:t>Placebo + fulv.</w:t>
                      </w:r>
                    </w:p>
                  </w:txbxContent>
                </v:textbox>
              </v:shape>
            </w:pict>
          </mc:Fallback>
        </mc:AlternateContent>
      </w:r>
      <w:r w:rsidRPr="00C10B32">
        <w:rPr>
          <w:noProof/>
          <w:sz w:val="22"/>
          <w:szCs w:val="22"/>
        </w:rPr>
        <mc:AlternateContent>
          <mc:Choice Requires="wps">
            <w:drawing>
              <wp:anchor distT="45720" distB="45720" distL="114300" distR="114300" simplePos="0" relativeHeight="251656192" behindDoc="0" locked="0" layoutInCell="1" allowOverlap="1" wp14:anchorId="7C0A27FA" wp14:editId="2CAC967C">
                <wp:simplePos x="0" y="0"/>
                <wp:positionH relativeFrom="column">
                  <wp:posOffset>4445</wp:posOffset>
                </wp:positionH>
                <wp:positionV relativeFrom="paragraph">
                  <wp:posOffset>3957955</wp:posOffset>
                </wp:positionV>
                <wp:extent cx="800735" cy="18415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372AE" w14:textId="77777777" w:rsidR="00EF7C8E" w:rsidRPr="00F042D8" w:rsidRDefault="00EF7C8E" w:rsidP="00C10B32">
                            <w:pPr>
                              <w:jc w:val="center"/>
                              <w:rPr>
                                <w:sz w:val="16"/>
                                <w:szCs w:val="16"/>
                              </w:rPr>
                            </w:pPr>
                            <w:r w:rsidRPr="00F042D8">
                              <w:rPr>
                                <w:sz w:val="16"/>
                                <w:szCs w:val="16"/>
                              </w:rPr>
                              <w:t>Alpelisib + fulv.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0A27FA" id="Text Box 10" o:spid="_x0000_s1028" type="#_x0000_t202" style="position:absolute;margin-left:.35pt;margin-top:311.65pt;width:63.05pt;height:1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" stroked="f">
                <v:textbox inset="0,0,0,0">
                  <w:txbxContent>
                    <w:p w14:paraId="380372AE" w14:textId="77777777" w:rsidR="00EF7C8E" w:rsidRPr="00F042D8" w:rsidRDefault="00EF7C8E" w:rsidP="00C10B32">
                      <w:pPr>
                        <w:jc w:val="center"/>
                        <w:rPr>
                          <w:sz w:val="16"/>
                          <w:szCs w:val="16"/>
                        </w:rPr>
                      </w:pPr>
                      <w:r w:rsidRPr="00F042D8">
                        <w:rPr>
                          <w:sz w:val="16"/>
                          <w:szCs w:val="16"/>
                        </w:rPr>
                        <w:t>Alpelisib + fulv.</w:t>
                      </w:r>
                    </w:p>
                  </w:txbxContent>
                </v:textbox>
              </v:shape>
            </w:pict>
          </mc:Fallback>
        </mc:AlternateContent>
      </w:r>
      <w:r w:rsidRPr="00C10B32">
        <w:rPr>
          <w:noProof/>
          <w:sz w:val="22"/>
          <w:szCs w:val="22"/>
        </w:rPr>
        <mc:AlternateContent>
          <mc:Choice Requires="wps">
            <w:drawing>
              <wp:anchor distT="45720" distB="45720" distL="114300" distR="114300" simplePos="0" relativeHeight="251657216" behindDoc="0" locked="0" layoutInCell="1" allowOverlap="1" wp14:anchorId="7415E5D7" wp14:editId="071F5E4C">
                <wp:simplePos x="0" y="0"/>
                <wp:positionH relativeFrom="column">
                  <wp:posOffset>22860</wp:posOffset>
                </wp:positionH>
                <wp:positionV relativeFrom="paragraph">
                  <wp:posOffset>3738880</wp:posOffset>
                </wp:positionV>
                <wp:extent cx="804545" cy="24701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00748" w14:textId="77777777" w:rsidR="00EF7C8E" w:rsidRPr="00380219" w:rsidRDefault="00EF7C8E" w:rsidP="00C10B32">
                            <w:pPr>
                              <w:jc w:val="center"/>
                              <w:rPr>
                                <w:sz w:val="16"/>
                                <w:szCs w:val="16"/>
                              </w:rPr>
                            </w:pPr>
                            <w:r>
                              <w:rPr>
                                <w:sz w:val="16"/>
                                <w:szCs w:val="16"/>
                              </w:rPr>
                              <w:t>Vrijeme</w:t>
                            </w:r>
                            <w:r w:rsidRPr="00380219">
                              <w:rPr>
                                <w:sz w:val="16"/>
                                <w:szCs w:val="16"/>
                              </w:rPr>
                              <w:t xml:space="preserve"> (</w:t>
                            </w:r>
                            <w:r>
                              <w:rPr>
                                <w:sz w:val="16"/>
                                <w:szCs w:val="16"/>
                              </w:rPr>
                              <w:t>mjeseci</w:t>
                            </w:r>
                            <w:r w:rsidRPr="00380219">
                              <w:rPr>
                                <w:sz w:val="16"/>
                                <w:szCs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15E5D7" id="Text Box 9" o:spid="_x0000_s1029" type="#_x0000_t202" style="position:absolute;margin-left:1.8pt;margin-top:294.4pt;width:63.35pt;height:19.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" stroked="f">
                <v:textbox inset="0,0,0,0">
                  <w:txbxContent>
                    <w:p w14:paraId="52900748" w14:textId="77777777" w:rsidR="00EF7C8E" w:rsidRPr="00380219" w:rsidRDefault="00EF7C8E" w:rsidP="00C10B32">
                      <w:pPr>
                        <w:jc w:val="center"/>
                        <w:rPr>
                          <w:sz w:val="16"/>
                          <w:szCs w:val="16"/>
                        </w:rPr>
                      </w:pPr>
                      <w:r>
                        <w:rPr>
                          <w:sz w:val="16"/>
                          <w:szCs w:val="16"/>
                        </w:rPr>
                        <w:t>Vrijeme</w:t>
                      </w:r>
                      <w:r w:rsidRPr="00380219">
                        <w:rPr>
                          <w:sz w:val="16"/>
                          <w:szCs w:val="16"/>
                        </w:rPr>
                        <w:t xml:space="preserve"> (</w:t>
                      </w:r>
                      <w:r>
                        <w:rPr>
                          <w:sz w:val="16"/>
                          <w:szCs w:val="16"/>
                        </w:rPr>
                        <w:t>mjeseci</w:t>
                      </w:r>
                      <w:r w:rsidRPr="00380219">
                        <w:rPr>
                          <w:sz w:val="16"/>
                          <w:szCs w:val="16"/>
                        </w:rPr>
                        <w:t>)</w:t>
                      </w:r>
                    </w:p>
                  </w:txbxContent>
                </v:textbox>
              </v:shape>
            </w:pict>
          </mc:Fallback>
        </mc:AlternateContent>
      </w:r>
      <w:r w:rsidRPr="00C10B32">
        <w:rPr>
          <w:noProof/>
          <w:sz w:val="22"/>
          <w:szCs w:val="22"/>
        </w:rPr>
        <mc:AlternateContent>
          <mc:Choice Requires="wps">
            <w:drawing>
              <wp:anchor distT="45720" distB="45720" distL="114300" distR="114300" simplePos="0" relativeHeight="251658240" behindDoc="0" locked="0" layoutInCell="1" allowOverlap="1" wp14:anchorId="59714061" wp14:editId="68BFC0F9">
                <wp:simplePos x="0" y="0"/>
                <wp:positionH relativeFrom="column">
                  <wp:posOffset>827405</wp:posOffset>
                </wp:positionH>
                <wp:positionV relativeFrom="paragraph">
                  <wp:posOffset>3604895</wp:posOffset>
                </wp:positionV>
                <wp:extent cx="1372235" cy="1841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ADA5B" w14:textId="77777777" w:rsidR="00EF7C8E" w:rsidRPr="0073781C" w:rsidRDefault="00EF7C8E" w:rsidP="00C10B32">
                            <w:pPr>
                              <w:rPr>
                                <w:sz w:val="16"/>
                                <w:szCs w:val="16"/>
                              </w:rPr>
                            </w:pPr>
                            <w:r>
                              <w:rPr>
                                <w:sz w:val="16"/>
                                <w:szCs w:val="16"/>
                              </w:rPr>
                              <w:t>Broj ispitanika</w:t>
                            </w:r>
                            <w:r w:rsidRPr="0073781C">
                              <w:rPr>
                                <w:sz w:val="16"/>
                                <w:szCs w:val="16"/>
                              </w:rPr>
                              <w:t xml:space="preserve"> </w:t>
                            </w:r>
                            <w:r>
                              <w:rPr>
                                <w:sz w:val="16"/>
                                <w:szCs w:val="16"/>
                              </w:rPr>
                              <w:t>još pod rizikom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14061" id="Text Box 8" o:spid="_x0000_s1030" type="#_x0000_t202" style="position:absolute;margin-left:65.15pt;margin-top:283.85pt;width:108.05pt;height:1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z6fQIAAAY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" stroked="f">
                <v:textbox inset="0,0,0,0">
                  <w:txbxContent>
                    <w:p w14:paraId="595ADA5B" w14:textId="77777777" w:rsidR="00EF7C8E" w:rsidRPr="0073781C" w:rsidRDefault="00EF7C8E" w:rsidP="00C10B32">
                      <w:pPr>
                        <w:rPr>
                          <w:sz w:val="16"/>
                          <w:szCs w:val="16"/>
                        </w:rPr>
                      </w:pPr>
                      <w:r>
                        <w:rPr>
                          <w:sz w:val="16"/>
                          <w:szCs w:val="16"/>
                        </w:rPr>
                        <w:t>Broj ispitanika</w:t>
                      </w:r>
                      <w:r w:rsidRPr="0073781C">
                        <w:rPr>
                          <w:sz w:val="16"/>
                          <w:szCs w:val="16"/>
                        </w:rPr>
                        <w:t xml:space="preserve"> </w:t>
                      </w:r>
                      <w:r>
                        <w:rPr>
                          <w:sz w:val="16"/>
                          <w:szCs w:val="16"/>
                        </w:rPr>
                        <w:t>još pod rizikom</w:t>
                      </w:r>
                    </w:p>
                  </w:txbxContent>
                </v:textbox>
              </v:shape>
            </w:pict>
          </mc:Fallback>
        </mc:AlternateContent>
      </w:r>
    </w:p>
    <w:p w14:paraId="2770DDD3" w14:textId="4C08E242" w:rsidR="00C54595" w:rsidRDefault="00C54595" w:rsidP="00C54595">
      <w:pPr>
        <w:shd w:val="clear" w:color="auto" w:fill="FFFFFF" w:themeFill="background1"/>
        <w:autoSpaceDE w:val="0"/>
        <w:autoSpaceDN w:val="0"/>
        <w:adjustRightInd w:val="0"/>
        <w:rPr>
          <w:sz w:val="22"/>
          <w:szCs w:val="22"/>
          <w:lang w:val="hr-HR"/>
        </w:rPr>
      </w:pPr>
      <w:r w:rsidRPr="00CE48FF">
        <w:rPr>
          <w:sz w:val="22"/>
          <w:szCs w:val="22"/>
          <w:lang w:val="hr-HR"/>
        </w:rPr>
        <w:t>U vreme kada je sprovedena konačna analiza OS (zaključno sa 23. april 2020) izvršena je deskriptivna naknadna analiza efikasnosti podataka PFS-a. Sa medijanom trajanja od randomizacije do preseka podataka od oko 42 meseca, prijavljeni rezultati PFS bili su u skladu sa onima iz primarne analize PFS. Procenjeno je da je došlo do smanjenja rizika od progresije ili smrti od 36% u korist lečenja alpelisibom plus fulvestrantom (HR=0,64; 95% CI: 0,50, 0,81) (Slika 1).</w:t>
      </w:r>
    </w:p>
    <w:p w14:paraId="665C1245" w14:textId="396188F1" w:rsidR="00C54595" w:rsidRDefault="00C54595" w:rsidP="00C54595">
      <w:pPr>
        <w:shd w:val="clear" w:color="auto" w:fill="FFFFFF" w:themeFill="background1"/>
        <w:autoSpaceDE w:val="0"/>
        <w:autoSpaceDN w:val="0"/>
        <w:adjustRightInd w:val="0"/>
        <w:rPr>
          <w:sz w:val="22"/>
          <w:szCs w:val="22"/>
          <w:lang w:val="hr-HR"/>
        </w:rPr>
      </w:pPr>
    </w:p>
    <w:p w14:paraId="6DCF4E01" w14:textId="44FA7F29" w:rsidR="00CA7D42" w:rsidRDefault="00CA7D42" w:rsidP="00C54595">
      <w:pPr>
        <w:shd w:val="clear" w:color="auto" w:fill="FFFFFF" w:themeFill="background1"/>
        <w:autoSpaceDE w:val="0"/>
        <w:autoSpaceDN w:val="0"/>
        <w:adjustRightInd w:val="0"/>
        <w:rPr>
          <w:sz w:val="22"/>
          <w:szCs w:val="22"/>
          <w:lang w:val="hr-HR"/>
        </w:rPr>
      </w:pPr>
    </w:p>
    <w:p w14:paraId="58ED2D7F" w14:textId="7FCFD41C" w:rsidR="00CA7D42" w:rsidRDefault="00CA7D42" w:rsidP="00C54595">
      <w:pPr>
        <w:shd w:val="clear" w:color="auto" w:fill="FFFFFF" w:themeFill="background1"/>
        <w:autoSpaceDE w:val="0"/>
        <w:autoSpaceDN w:val="0"/>
        <w:adjustRightInd w:val="0"/>
        <w:rPr>
          <w:sz w:val="22"/>
          <w:szCs w:val="22"/>
          <w:lang w:val="hr-HR"/>
        </w:rPr>
      </w:pPr>
    </w:p>
    <w:p w14:paraId="63092AE9" w14:textId="00F33BA1" w:rsidR="00CA7D42" w:rsidRDefault="00CA7D42" w:rsidP="00C54595">
      <w:pPr>
        <w:shd w:val="clear" w:color="auto" w:fill="FFFFFF" w:themeFill="background1"/>
        <w:autoSpaceDE w:val="0"/>
        <w:autoSpaceDN w:val="0"/>
        <w:adjustRightInd w:val="0"/>
        <w:rPr>
          <w:sz w:val="22"/>
          <w:szCs w:val="22"/>
          <w:lang w:val="hr-HR"/>
        </w:rPr>
      </w:pPr>
    </w:p>
    <w:p w14:paraId="0E43393A" w14:textId="0C28BC0E" w:rsidR="00CA7D42" w:rsidRDefault="00CA7D42" w:rsidP="00C54595">
      <w:pPr>
        <w:shd w:val="clear" w:color="auto" w:fill="FFFFFF" w:themeFill="background1"/>
        <w:autoSpaceDE w:val="0"/>
        <w:autoSpaceDN w:val="0"/>
        <w:adjustRightInd w:val="0"/>
        <w:rPr>
          <w:sz w:val="22"/>
          <w:szCs w:val="22"/>
          <w:lang w:val="hr-HR"/>
        </w:rPr>
      </w:pPr>
    </w:p>
    <w:p w14:paraId="11C316EB" w14:textId="34C3A907" w:rsidR="00CA7D42" w:rsidRDefault="00CA7D42" w:rsidP="00C54595">
      <w:pPr>
        <w:shd w:val="clear" w:color="auto" w:fill="FFFFFF" w:themeFill="background1"/>
        <w:autoSpaceDE w:val="0"/>
        <w:autoSpaceDN w:val="0"/>
        <w:adjustRightInd w:val="0"/>
        <w:rPr>
          <w:sz w:val="22"/>
          <w:szCs w:val="22"/>
          <w:lang w:val="hr-HR"/>
        </w:rPr>
      </w:pPr>
    </w:p>
    <w:p w14:paraId="51384397" w14:textId="0218B85F" w:rsidR="00CA7D42" w:rsidRDefault="00CA7D42" w:rsidP="00C54595">
      <w:pPr>
        <w:shd w:val="clear" w:color="auto" w:fill="FFFFFF" w:themeFill="background1"/>
        <w:autoSpaceDE w:val="0"/>
        <w:autoSpaceDN w:val="0"/>
        <w:adjustRightInd w:val="0"/>
        <w:rPr>
          <w:sz w:val="22"/>
          <w:szCs w:val="22"/>
          <w:lang w:val="hr-HR"/>
        </w:rPr>
      </w:pPr>
    </w:p>
    <w:p w14:paraId="0965BCD4" w14:textId="4EF72B8C" w:rsidR="00CA7D42" w:rsidRDefault="00CA7D42" w:rsidP="00C54595">
      <w:pPr>
        <w:shd w:val="clear" w:color="auto" w:fill="FFFFFF" w:themeFill="background1"/>
        <w:autoSpaceDE w:val="0"/>
        <w:autoSpaceDN w:val="0"/>
        <w:adjustRightInd w:val="0"/>
        <w:rPr>
          <w:sz w:val="22"/>
          <w:szCs w:val="22"/>
          <w:lang w:val="hr-HR"/>
        </w:rPr>
      </w:pPr>
    </w:p>
    <w:p w14:paraId="7B4E78CA" w14:textId="77777777" w:rsidR="00CA7D42" w:rsidRPr="00CE48FF" w:rsidRDefault="00CA7D42" w:rsidP="00C54595">
      <w:pPr>
        <w:shd w:val="clear" w:color="auto" w:fill="FFFFFF" w:themeFill="background1"/>
        <w:autoSpaceDE w:val="0"/>
        <w:autoSpaceDN w:val="0"/>
        <w:adjustRightInd w:val="0"/>
        <w:rPr>
          <w:sz w:val="22"/>
          <w:szCs w:val="22"/>
          <w:lang w:val="hr-HR"/>
        </w:rPr>
      </w:pPr>
    </w:p>
    <w:p w14:paraId="2FFAC131" w14:textId="292C43FE" w:rsidR="00C54595" w:rsidRPr="00CE48FF" w:rsidRDefault="00C54595" w:rsidP="00C54595">
      <w:pPr>
        <w:shd w:val="clear" w:color="auto" w:fill="FFFFFF" w:themeFill="background1"/>
        <w:autoSpaceDE w:val="0"/>
        <w:autoSpaceDN w:val="0"/>
        <w:adjustRightInd w:val="0"/>
        <w:rPr>
          <w:b/>
          <w:sz w:val="22"/>
          <w:szCs w:val="22"/>
          <w:lang w:val="hr-HR"/>
        </w:rPr>
      </w:pPr>
      <w:r w:rsidRPr="00CE48FF">
        <w:rPr>
          <w:b/>
          <w:sz w:val="22"/>
          <w:szCs w:val="22"/>
          <w:lang w:val="hr-HR"/>
        </w:rPr>
        <w:lastRenderedPageBreak/>
        <w:t>Slika 1 Ispitivanje C2301 – Kaplan Meier-ov dijagram PFS prema proceni istraživača (FAS, kohorta PIK3CA mutacije): deskriptivno ažuriranje zaključno sa 23. april 2020.</w:t>
      </w:r>
      <w:r w:rsidRPr="00CE48FF" w:rsidDel="00897654">
        <w:rPr>
          <w:noProof/>
          <w:sz w:val="22"/>
          <w:szCs w:val="22"/>
          <w:lang w:val="en-GB" w:eastAsia="en-GB"/>
        </w:rPr>
        <w:t xml:space="preserve"> </w:t>
      </w:r>
    </w:p>
    <w:p w14:paraId="7698E9C2" w14:textId="7CEA2764" w:rsidR="00C10B32" w:rsidRPr="00C10B32" w:rsidRDefault="00CD2312" w:rsidP="00C10B32">
      <w:pPr>
        <w:shd w:val="clear" w:color="auto" w:fill="FFFFFF" w:themeFill="background1"/>
        <w:autoSpaceDE w:val="0"/>
        <w:autoSpaceDN w:val="0"/>
        <w:adjustRightInd w:val="0"/>
        <w:rPr>
          <w:sz w:val="22"/>
          <w:szCs w:val="22"/>
          <w:lang w:val="hr-HR"/>
        </w:rPr>
      </w:pPr>
      <w:r>
        <w:rPr>
          <w:noProof/>
        </w:rPr>
        <mc:AlternateContent>
          <mc:Choice Requires="wps">
            <w:drawing>
              <wp:anchor distT="45720" distB="45720" distL="114300" distR="114300" simplePos="0" relativeHeight="251702272" behindDoc="0" locked="0" layoutInCell="1" allowOverlap="1" wp14:anchorId="4D2C6BFB" wp14:editId="6AF4DFEE">
                <wp:simplePos x="0" y="0"/>
                <wp:positionH relativeFrom="column">
                  <wp:posOffset>2596551</wp:posOffset>
                </wp:positionH>
                <wp:positionV relativeFrom="paragraph">
                  <wp:posOffset>3848016</wp:posOffset>
                </wp:positionV>
                <wp:extent cx="804545" cy="1428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63A25" w14:textId="77777777" w:rsidR="00EF7C8E" w:rsidRDefault="00EF7C8E" w:rsidP="00CD2312">
                            <w:pPr>
                              <w:jc w:val="center"/>
                              <w:rPr>
                                <w:sz w:val="16"/>
                                <w:szCs w:val="16"/>
                              </w:rPr>
                            </w:pPr>
                            <w:r>
                              <w:rPr>
                                <w:sz w:val="16"/>
                                <w:szCs w:val="16"/>
                              </w:rPr>
                              <w:t>Vrijeme (mjeseci)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C6BFB" id="Text Box 27" o:spid="_x0000_s1031" type="#_x0000_t202" style="position:absolute;margin-left:204.45pt;margin-top:303pt;width:63.35pt;height:11.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" stroked="f">
                <v:textbox inset="0,0,0,0">
                  <w:txbxContent>
                    <w:p w14:paraId="17D63A25" w14:textId="77777777" w:rsidR="00EF7C8E" w:rsidRDefault="00EF7C8E" w:rsidP="00CD2312">
                      <w:pPr>
                        <w:jc w:val="center"/>
                        <w:rPr>
                          <w:sz w:val="16"/>
                          <w:szCs w:val="16"/>
                        </w:rPr>
                      </w:pPr>
                      <w:r>
                        <w:rPr>
                          <w:sz w:val="16"/>
                          <w:szCs w:val="16"/>
                        </w:rPr>
                        <w:t>Vrijeme (mjeseci)</w:t>
                      </w:r>
                    </w:p>
                  </w:txbxContent>
                </v:textbox>
              </v:shape>
            </w:pict>
          </mc:Fallback>
        </mc:AlternateContent>
      </w:r>
      <w:r w:rsidR="00CE48FF">
        <w:rPr>
          <w:noProof/>
        </w:rPr>
        <mc:AlternateContent>
          <mc:Choice Requires="wps">
            <w:drawing>
              <wp:anchor distT="45720" distB="45720" distL="114300" distR="114300" simplePos="0" relativeHeight="251700224" behindDoc="0" locked="0" layoutInCell="1" allowOverlap="1" wp14:anchorId="5B558569" wp14:editId="2EB396C2">
                <wp:simplePos x="0" y="0"/>
                <wp:positionH relativeFrom="column">
                  <wp:posOffset>-215660</wp:posOffset>
                </wp:positionH>
                <wp:positionV relativeFrom="paragraph">
                  <wp:posOffset>4101177</wp:posOffset>
                </wp:positionV>
                <wp:extent cx="804545" cy="1428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067D" w14:textId="77777777" w:rsidR="00EF7C8E" w:rsidRDefault="00EF7C8E" w:rsidP="00CE48FF">
                            <w:pPr>
                              <w:jc w:val="center"/>
                              <w:rPr>
                                <w:sz w:val="16"/>
                                <w:szCs w:val="16"/>
                              </w:rPr>
                            </w:pPr>
                            <w:r>
                              <w:rPr>
                                <w:sz w:val="16"/>
                                <w:szCs w:val="16"/>
                              </w:rPr>
                              <w:t>Vrijeme (mjeseci)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558569" id="Text Box 26" o:spid="_x0000_s1032" type="#_x0000_t202" style="position:absolute;margin-left:-17pt;margin-top:322.95pt;width:63.35pt;height:11.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" stroked="f">
                <v:textbox inset="0,0,0,0">
                  <w:txbxContent>
                    <w:p w14:paraId="61A8067D" w14:textId="77777777" w:rsidR="00EF7C8E" w:rsidRDefault="00EF7C8E" w:rsidP="00CE48FF">
                      <w:pPr>
                        <w:jc w:val="center"/>
                        <w:rPr>
                          <w:sz w:val="16"/>
                          <w:szCs w:val="16"/>
                        </w:rPr>
                      </w:pPr>
                      <w:r>
                        <w:rPr>
                          <w:sz w:val="16"/>
                          <w:szCs w:val="16"/>
                        </w:rPr>
                        <w:t>Vrijeme (mjeseci)</w:t>
                      </w:r>
                    </w:p>
                  </w:txbxContent>
                </v:textbox>
              </v:shape>
            </w:pict>
          </mc:Fallback>
        </mc:AlternateContent>
      </w:r>
      <w:r w:rsidR="00CE48FF" w:rsidRPr="00C10B32">
        <w:rPr>
          <w:noProof/>
          <w:sz w:val="22"/>
          <w:szCs w:val="22"/>
        </w:rPr>
        <mc:AlternateContent>
          <mc:Choice Requires="wps">
            <w:drawing>
              <wp:anchor distT="45720" distB="45720" distL="114300" distR="114300" simplePos="0" relativeHeight="251659264" behindDoc="0" locked="0" layoutInCell="1" allowOverlap="1" wp14:anchorId="1F5AF457" wp14:editId="20C989E8">
                <wp:simplePos x="0" y="0"/>
                <wp:positionH relativeFrom="margin">
                  <wp:align>left</wp:align>
                </wp:positionH>
                <wp:positionV relativeFrom="paragraph">
                  <wp:posOffset>1057335</wp:posOffset>
                </wp:positionV>
                <wp:extent cx="116840" cy="1803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80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576F3" w14:textId="77777777" w:rsidR="00EF7C8E" w:rsidRPr="00990F08" w:rsidRDefault="00EF7C8E" w:rsidP="00C10B32">
                            <w:pPr>
                              <w:jc w:val="center"/>
                              <w:rPr>
                                <w:sz w:val="16"/>
                                <w:szCs w:val="16"/>
                              </w:rPr>
                            </w:pPr>
                            <w:r>
                              <w:rPr>
                                <w:sz w:val="16"/>
                                <w:szCs w:val="16"/>
                              </w:rPr>
                              <w:t>Vjerovatnoća izostanka događaja</w:t>
                            </w:r>
                            <w:r w:rsidRPr="00990F08">
                              <w:rPr>
                                <w:sz w:val="16"/>
                                <w:szCs w:val="16"/>
                              </w:rPr>
                              <w:t xml:space="preserve"> (%)</w:t>
                            </w:r>
                          </w:p>
                        </w:txbxContent>
                      </wps:txbx>
                      <wps:bodyPr rot="0" vert="vert270" wrap="square" lIns="0" tIns="0" rIns="0" bIns="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AF457" id="Text Box 6" o:spid="_x0000_s1033" type="#_x0000_t202" style="position:absolute;margin-left:0;margin-top:83.25pt;width:9.2pt;height:142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" stroked="f">
                <v:textbox style="layout-flow:vertical;mso-layout-flow-alt:bottom-to-top;mso-fit-shape-to-text:t" inset="0,0,0,0">
                  <w:txbxContent>
                    <w:p w14:paraId="443576F3" w14:textId="77777777" w:rsidR="00EF7C8E" w:rsidRPr="00990F08" w:rsidRDefault="00EF7C8E" w:rsidP="00C10B32">
                      <w:pPr>
                        <w:jc w:val="center"/>
                        <w:rPr>
                          <w:sz w:val="16"/>
                          <w:szCs w:val="16"/>
                        </w:rPr>
                      </w:pPr>
                      <w:r>
                        <w:rPr>
                          <w:sz w:val="16"/>
                          <w:szCs w:val="16"/>
                        </w:rPr>
                        <w:t>Vjerovatnoća izostanka događaja</w:t>
                      </w:r>
                      <w:r w:rsidRPr="00990F08">
                        <w:rPr>
                          <w:sz w:val="16"/>
                          <w:szCs w:val="16"/>
                        </w:rPr>
                        <w:t xml:space="preserve"> (%)</w:t>
                      </w:r>
                    </w:p>
                  </w:txbxContent>
                </v:textbox>
                <w10:wrap anchorx="margin"/>
              </v:shape>
            </w:pict>
          </mc:Fallback>
        </mc:AlternateContent>
      </w:r>
      <w:r w:rsidR="00CE48FF">
        <w:rPr>
          <w:noProof/>
        </w:rPr>
        <mc:AlternateContent>
          <mc:Choice Requires="wps">
            <w:drawing>
              <wp:anchor distT="45720" distB="45720" distL="114300" distR="114300" simplePos="0" relativeHeight="251698176" behindDoc="0" locked="0" layoutInCell="1" allowOverlap="1" wp14:anchorId="7619386A" wp14:editId="4C1F1A46">
                <wp:simplePos x="0" y="0"/>
                <wp:positionH relativeFrom="column">
                  <wp:posOffset>483606</wp:posOffset>
                </wp:positionH>
                <wp:positionV relativeFrom="paragraph">
                  <wp:posOffset>3917111</wp:posOffset>
                </wp:positionV>
                <wp:extent cx="1372235" cy="184150"/>
                <wp:effectExtent l="0" t="0" r="0" b="63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046D6" w14:textId="77777777" w:rsidR="00EF7C8E" w:rsidRPr="0073781C" w:rsidRDefault="00EF7C8E" w:rsidP="00CE48FF">
                            <w:pPr>
                              <w:rPr>
                                <w:sz w:val="16"/>
                                <w:szCs w:val="16"/>
                              </w:rPr>
                            </w:pPr>
                            <w:r>
                              <w:rPr>
                                <w:sz w:val="16"/>
                                <w:szCs w:val="16"/>
                              </w:rPr>
                              <w:t>Broj ispitanika</w:t>
                            </w:r>
                            <w:r w:rsidRPr="0073781C">
                              <w:rPr>
                                <w:sz w:val="16"/>
                                <w:szCs w:val="16"/>
                              </w:rPr>
                              <w:t xml:space="preserve"> </w:t>
                            </w:r>
                            <w:r>
                              <w:rPr>
                                <w:sz w:val="16"/>
                                <w:szCs w:val="16"/>
                              </w:rPr>
                              <w:t>još pod rizikom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19386A" id="Text Box 2" o:spid="_x0000_s1034" type="#_x0000_t202" style="position:absolute;margin-left:38.1pt;margin-top:308.45pt;width:108.05pt;height:1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T2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10;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" stroked="f">
                <v:textbox inset="0,0,0,0">
                  <w:txbxContent>
                    <w:p w14:paraId="31F046D6" w14:textId="77777777" w:rsidR="00EF7C8E" w:rsidRPr="0073781C" w:rsidRDefault="00EF7C8E" w:rsidP="00CE48FF">
                      <w:pPr>
                        <w:rPr>
                          <w:sz w:val="16"/>
                          <w:szCs w:val="16"/>
                        </w:rPr>
                      </w:pPr>
                      <w:r>
                        <w:rPr>
                          <w:sz w:val="16"/>
                          <w:szCs w:val="16"/>
                        </w:rPr>
                        <w:t>Broj ispitanika</w:t>
                      </w:r>
                      <w:r w:rsidRPr="0073781C">
                        <w:rPr>
                          <w:sz w:val="16"/>
                          <w:szCs w:val="16"/>
                        </w:rPr>
                        <w:t xml:space="preserve"> </w:t>
                      </w:r>
                      <w:r>
                        <w:rPr>
                          <w:sz w:val="16"/>
                          <w:szCs w:val="16"/>
                        </w:rPr>
                        <w:t>još pod rizikom</w:t>
                      </w:r>
                    </w:p>
                  </w:txbxContent>
                </v:textbox>
              </v:shape>
            </w:pict>
          </mc:Fallback>
        </mc:AlternateContent>
      </w:r>
      <w:r w:rsidR="00CE48FF" w:rsidRPr="00C10B32">
        <w:rPr>
          <w:noProof/>
          <w:sz w:val="22"/>
          <w:szCs w:val="22"/>
        </w:rPr>
        <mc:AlternateContent>
          <mc:Choice Requires="wps">
            <w:drawing>
              <wp:anchor distT="45720" distB="45720" distL="114300" distR="114300" simplePos="0" relativeHeight="251660288" behindDoc="0" locked="0" layoutInCell="1" allowOverlap="1" wp14:anchorId="16C00BE6" wp14:editId="12B5BF50">
                <wp:simplePos x="0" y="0"/>
                <wp:positionH relativeFrom="column">
                  <wp:posOffset>3064294</wp:posOffset>
                </wp:positionH>
                <wp:positionV relativeFrom="paragraph">
                  <wp:posOffset>918485</wp:posOffset>
                </wp:positionV>
                <wp:extent cx="1847850" cy="121539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215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D6311" w14:textId="4D43E9AF" w:rsidR="00EF7C8E" w:rsidRPr="00400E85" w:rsidRDefault="00EF7C8E" w:rsidP="00C10B32">
                            <w:pPr>
                              <w:spacing w:line="360" w:lineRule="auto"/>
                              <w:rPr>
                                <w:sz w:val="16"/>
                                <w:szCs w:val="16"/>
                                <w:lang w:val="hr-HR"/>
                              </w:rPr>
                            </w:pPr>
                            <w:r>
                              <w:rPr>
                                <w:sz w:val="16"/>
                                <w:szCs w:val="16"/>
                                <w:lang w:val="hr-HR"/>
                              </w:rPr>
                              <w:t xml:space="preserve">Odnos rizika </w:t>
                            </w:r>
                            <w:r w:rsidRPr="00400E85">
                              <w:rPr>
                                <w:sz w:val="16"/>
                                <w:szCs w:val="16"/>
                                <w:lang w:val="hr-HR"/>
                              </w:rPr>
                              <w:t>= 0,6</w:t>
                            </w:r>
                            <w:r>
                              <w:rPr>
                                <w:sz w:val="16"/>
                                <w:szCs w:val="16"/>
                                <w:lang w:val="hr-HR"/>
                              </w:rPr>
                              <w:t>4</w:t>
                            </w:r>
                          </w:p>
                          <w:p w14:paraId="4E5E7A16" w14:textId="4A49A793" w:rsidR="00EF7C8E" w:rsidRPr="00400E85" w:rsidRDefault="00EF7C8E" w:rsidP="00C10B32">
                            <w:pPr>
                              <w:spacing w:line="360" w:lineRule="auto"/>
                              <w:rPr>
                                <w:sz w:val="16"/>
                                <w:szCs w:val="16"/>
                                <w:lang w:val="hr-HR"/>
                              </w:rPr>
                            </w:pPr>
                            <w:r w:rsidRPr="00400E85">
                              <w:rPr>
                                <w:sz w:val="16"/>
                                <w:szCs w:val="16"/>
                                <w:lang w:val="hr-HR"/>
                              </w:rPr>
                              <w:t>95% CI [0,50; 0,8</w:t>
                            </w:r>
                            <w:r>
                              <w:rPr>
                                <w:sz w:val="16"/>
                                <w:szCs w:val="16"/>
                                <w:lang w:val="hr-HR"/>
                              </w:rPr>
                              <w:t>1</w:t>
                            </w:r>
                            <w:r w:rsidRPr="00400E85">
                              <w:rPr>
                                <w:sz w:val="16"/>
                                <w:szCs w:val="16"/>
                                <w:lang w:val="hr-HR"/>
                              </w:rPr>
                              <w:t>]</w:t>
                            </w:r>
                          </w:p>
                          <w:p w14:paraId="197E81F3" w14:textId="77777777" w:rsidR="00EF7C8E" w:rsidRPr="00400E85" w:rsidRDefault="00EF7C8E" w:rsidP="00C10B32">
                            <w:pPr>
                              <w:spacing w:line="360" w:lineRule="auto"/>
                              <w:rPr>
                                <w:sz w:val="16"/>
                                <w:szCs w:val="16"/>
                                <w:lang w:val="hr-HR"/>
                              </w:rPr>
                            </w:pPr>
                            <w:r w:rsidRPr="00275401">
                              <w:rPr>
                                <w:i/>
                                <w:sz w:val="16"/>
                                <w:szCs w:val="16"/>
                                <w:lang w:val="hr-HR"/>
                              </w:rPr>
                              <w:t>Kaplan-Meier</w:t>
                            </w:r>
                            <w:r>
                              <w:rPr>
                                <w:sz w:val="16"/>
                                <w:szCs w:val="16"/>
                                <w:lang w:val="hr-HR"/>
                              </w:rPr>
                              <w:t>-ova medijana (mj</w:t>
                            </w:r>
                            <w:r w:rsidRPr="00400E85">
                              <w:rPr>
                                <w:sz w:val="16"/>
                                <w:szCs w:val="16"/>
                                <w:lang w:val="hr-HR"/>
                              </w:rPr>
                              <w:t>eseci)</w:t>
                            </w:r>
                          </w:p>
                          <w:p w14:paraId="254C0698" w14:textId="77777777" w:rsidR="00EF7C8E" w:rsidRPr="00400E85" w:rsidRDefault="00EF7C8E" w:rsidP="00C10B32">
                            <w:pPr>
                              <w:spacing w:line="360" w:lineRule="auto"/>
                              <w:rPr>
                                <w:sz w:val="16"/>
                                <w:szCs w:val="16"/>
                                <w:lang w:val="hr-HR"/>
                              </w:rPr>
                            </w:pPr>
                            <w:r>
                              <w:rPr>
                                <w:sz w:val="16"/>
                                <w:szCs w:val="16"/>
                                <w:lang w:val="hr-HR"/>
                              </w:rPr>
                              <w:t>Alpelisib + fulv</w:t>
                            </w:r>
                            <w:r w:rsidRPr="00400E85">
                              <w:rPr>
                                <w:sz w:val="16"/>
                                <w:szCs w:val="16"/>
                                <w:lang w:val="hr-HR"/>
                              </w:rPr>
                              <w:t>: 11,0</w:t>
                            </w:r>
                          </w:p>
                          <w:p w14:paraId="70A5BB59" w14:textId="77777777" w:rsidR="00EF7C8E" w:rsidRPr="00400E85" w:rsidRDefault="00EF7C8E" w:rsidP="00C10B32">
                            <w:pPr>
                              <w:spacing w:line="360" w:lineRule="auto"/>
                              <w:rPr>
                                <w:sz w:val="16"/>
                                <w:szCs w:val="16"/>
                                <w:lang w:val="hr-HR"/>
                              </w:rPr>
                            </w:pPr>
                            <w:r>
                              <w:rPr>
                                <w:sz w:val="16"/>
                                <w:szCs w:val="16"/>
                                <w:lang w:val="hr-HR"/>
                              </w:rPr>
                              <w:t>Placebo + fulv</w:t>
                            </w:r>
                            <w:r w:rsidRPr="00400E85">
                              <w:rPr>
                                <w:sz w:val="16"/>
                                <w:szCs w:val="16"/>
                                <w:lang w:val="hr-HR"/>
                              </w:rPr>
                              <w:t>: 5,7</w:t>
                            </w:r>
                          </w:p>
                          <w:p w14:paraId="21114623" w14:textId="47320D89" w:rsidR="00EF7C8E" w:rsidRPr="00400E85" w:rsidRDefault="00EF7C8E" w:rsidP="00C10B32">
                            <w:pPr>
                              <w:spacing w:line="360" w:lineRule="auto"/>
                              <w:rPr>
                                <w:sz w:val="16"/>
                                <w:szCs w:val="16"/>
                                <w:lang w:val="hr-HR"/>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00BE6" id="Text Box 5" o:spid="_x0000_s1035" type="#_x0000_t202" style="position:absolute;margin-left:241.3pt;margin-top:72.3pt;width:145.5pt;height:9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" stroked="f">
                <v:textbox inset="0,0,0,0">
                  <w:txbxContent>
                    <w:p w14:paraId="5CCD6311" w14:textId="4D43E9AF" w:rsidR="00EF7C8E" w:rsidRPr="00400E85" w:rsidRDefault="00EF7C8E" w:rsidP="00C10B32">
                      <w:pPr>
                        <w:spacing w:line="360" w:lineRule="auto"/>
                        <w:rPr>
                          <w:sz w:val="16"/>
                          <w:szCs w:val="16"/>
                          <w:lang w:val="hr-HR"/>
                        </w:rPr>
                      </w:pPr>
                      <w:r>
                        <w:rPr>
                          <w:sz w:val="16"/>
                          <w:szCs w:val="16"/>
                          <w:lang w:val="hr-HR"/>
                        </w:rPr>
                        <w:t xml:space="preserve">Odnos rizika </w:t>
                      </w:r>
                      <w:r w:rsidRPr="00400E85">
                        <w:rPr>
                          <w:sz w:val="16"/>
                          <w:szCs w:val="16"/>
                          <w:lang w:val="hr-HR"/>
                        </w:rPr>
                        <w:t>= 0,6</w:t>
                      </w:r>
                      <w:r>
                        <w:rPr>
                          <w:sz w:val="16"/>
                          <w:szCs w:val="16"/>
                          <w:lang w:val="hr-HR"/>
                        </w:rPr>
                        <w:t>4</w:t>
                      </w:r>
                    </w:p>
                    <w:p w14:paraId="4E5E7A16" w14:textId="4A49A793" w:rsidR="00EF7C8E" w:rsidRPr="00400E85" w:rsidRDefault="00EF7C8E" w:rsidP="00C10B32">
                      <w:pPr>
                        <w:spacing w:line="360" w:lineRule="auto"/>
                        <w:rPr>
                          <w:sz w:val="16"/>
                          <w:szCs w:val="16"/>
                          <w:lang w:val="hr-HR"/>
                        </w:rPr>
                      </w:pPr>
                      <w:r w:rsidRPr="00400E85">
                        <w:rPr>
                          <w:sz w:val="16"/>
                          <w:szCs w:val="16"/>
                          <w:lang w:val="hr-HR"/>
                        </w:rPr>
                        <w:t>95% CI [0,50; 0,8</w:t>
                      </w:r>
                      <w:r>
                        <w:rPr>
                          <w:sz w:val="16"/>
                          <w:szCs w:val="16"/>
                          <w:lang w:val="hr-HR"/>
                        </w:rPr>
                        <w:t>1</w:t>
                      </w:r>
                      <w:r w:rsidRPr="00400E85">
                        <w:rPr>
                          <w:sz w:val="16"/>
                          <w:szCs w:val="16"/>
                          <w:lang w:val="hr-HR"/>
                        </w:rPr>
                        <w:t>]</w:t>
                      </w:r>
                    </w:p>
                    <w:p w14:paraId="197E81F3" w14:textId="77777777" w:rsidR="00EF7C8E" w:rsidRPr="00400E85" w:rsidRDefault="00EF7C8E" w:rsidP="00C10B32">
                      <w:pPr>
                        <w:spacing w:line="360" w:lineRule="auto"/>
                        <w:rPr>
                          <w:sz w:val="16"/>
                          <w:szCs w:val="16"/>
                          <w:lang w:val="hr-HR"/>
                        </w:rPr>
                      </w:pPr>
                      <w:r w:rsidRPr="00275401">
                        <w:rPr>
                          <w:i/>
                          <w:sz w:val="16"/>
                          <w:szCs w:val="16"/>
                          <w:lang w:val="hr-HR"/>
                        </w:rPr>
                        <w:t>Kaplan-Meier</w:t>
                      </w:r>
                      <w:r>
                        <w:rPr>
                          <w:sz w:val="16"/>
                          <w:szCs w:val="16"/>
                          <w:lang w:val="hr-HR"/>
                        </w:rPr>
                        <w:t>-ova medijana (mj</w:t>
                      </w:r>
                      <w:r w:rsidRPr="00400E85">
                        <w:rPr>
                          <w:sz w:val="16"/>
                          <w:szCs w:val="16"/>
                          <w:lang w:val="hr-HR"/>
                        </w:rPr>
                        <w:t>eseci)</w:t>
                      </w:r>
                    </w:p>
                    <w:p w14:paraId="254C0698" w14:textId="77777777" w:rsidR="00EF7C8E" w:rsidRPr="00400E85" w:rsidRDefault="00EF7C8E" w:rsidP="00C10B32">
                      <w:pPr>
                        <w:spacing w:line="360" w:lineRule="auto"/>
                        <w:rPr>
                          <w:sz w:val="16"/>
                          <w:szCs w:val="16"/>
                          <w:lang w:val="hr-HR"/>
                        </w:rPr>
                      </w:pPr>
                      <w:r>
                        <w:rPr>
                          <w:sz w:val="16"/>
                          <w:szCs w:val="16"/>
                          <w:lang w:val="hr-HR"/>
                        </w:rPr>
                        <w:t>Alpelisib + fulv</w:t>
                      </w:r>
                      <w:r w:rsidRPr="00400E85">
                        <w:rPr>
                          <w:sz w:val="16"/>
                          <w:szCs w:val="16"/>
                          <w:lang w:val="hr-HR"/>
                        </w:rPr>
                        <w:t>: 11,0</w:t>
                      </w:r>
                    </w:p>
                    <w:p w14:paraId="70A5BB59" w14:textId="77777777" w:rsidR="00EF7C8E" w:rsidRPr="00400E85" w:rsidRDefault="00EF7C8E" w:rsidP="00C10B32">
                      <w:pPr>
                        <w:spacing w:line="360" w:lineRule="auto"/>
                        <w:rPr>
                          <w:sz w:val="16"/>
                          <w:szCs w:val="16"/>
                          <w:lang w:val="hr-HR"/>
                        </w:rPr>
                      </w:pPr>
                      <w:r>
                        <w:rPr>
                          <w:sz w:val="16"/>
                          <w:szCs w:val="16"/>
                          <w:lang w:val="hr-HR"/>
                        </w:rPr>
                        <w:t>Placebo + fulv</w:t>
                      </w:r>
                      <w:r w:rsidRPr="00400E85">
                        <w:rPr>
                          <w:sz w:val="16"/>
                          <w:szCs w:val="16"/>
                          <w:lang w:val="hr-HR"/>
                        </w:rPr>
                        <w:t>: 5,7</w:t>
                      </w:r>
                    </w:p>
                    <w:p w14:paraId="21114623" w14:textId="47320D89" w:rsidR="00EF7C8E" w:rsidRPr="00400E85" w:rsidRDefault="00EF7C8E" w:rsidP="00C10B32">
                      <w:pPr>
                        <w:spacing w:line="360" w:lineRule="auto"/>
                        <w:rPr>
                          <w:sz w:val="16"/>
                          <w:szCs w:val="16"/>
                          <w:lang w:val="hr-HR"/>
                        </w:rPr>
                      </w:pPr>
                    </w:p>
                  </w:txbxContent>
                </v:textbox>
              </v:shape>
            </w:pict>
          </mc:Fallback>
        </mc:AlternateContent>
      </w:r>
      <w:r w:rsidR="00CE48FF" w:rsidRPr="00C10B32">
        <w:rPr>
          <w:noProof/>
          <w:sz w:val="22"/>
          <w:szCs w:val="22"/>
        </w:rPr>
        <mc:AlternateContent>
          <mc:Choice Requires="wps">
            <w:drawing>
              <wp:anchor distT="45720" distB="45720" distL="114300" distR="114300" simplePos="0" relativeHeight="251661312" behindDoc="0" locked="0" layoutInCell="1" allowOverlap="1" wp14:anchorId="5585C60F" wp14:editId="533006E6">
                <wp:simplePos x="0" y="0"/>
                <wp:positionH relativeFrom="column">
                  <wp:posOffset>3565633</wp:posOffset>
                </wp:positionH>
                <wp:positionV relativeFrom="paragraph">
                  <wp:posOffset>261093</wp:posOffset>
                </wp:positionV>
                <wp:extent cx="1461770" cy="504190"/>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77971" w14:textId="77777777" w:rsidR="00EF7C8E" w:rsidRPr="00C06690" w:rsidRDefault="00EF7C8E" w:rsidP="00C10B32">
                            <w:pPr>
                              <w:spacing w:line="360" w:lineRule="auto"/>
                              <w:rPr>
                                <w:sz w:val="16"/>
                                <w:szCs w:val="16"/>
                                <w:lang w:val="es-ES"/>
                              </w:rPr>
                            </w:pPr>
                            <w:r>
                              <w:rPr>
                                <w:sz w:val="16"/>
                                <w:szCs w:val="16"/>
                                <w:lang w:val="es-ES"/>
                              </w:rPr>
                              <w:t>Vrijeme cenzuris</w:t>
                            </w:r>
                            <w:r w:rsidRPr="00C06690">
                              <w:rPr>
                                <w:sz w:val="16"/>
                                <w:szCs w:val="16"/>
                                <w:lang w:val="es-ES"/>
                              </w:rPr>
                              <w:t>anja</w:t>
                            </w:r>
                          </w:p>
                          <w:p w14:paraId="3E6A8ACA" w14:textId="16BF4AEF" w:rsidR="00EF7C8E" w:rsidRPr="00C06690" w:rsidRDefault="00EF7C8E" w:rsidP="00C10B32">
                            <w:pPr>
                              <w:spacing w:line="360" w:lineRule="auto"/>
                              <w:rPr>
                                <w:sz w:val="16"/>
                                <w:szCs w:val="16"/>
                                <w:lang w:val="es-ES"/>
                              </w:rPr>
                            </w:pPr>
                            <w:r w:rsidRPr="00C06690">
                              <w:rPr>
                                <w:sz w:val="16"/>
                                <w:szCs w:val="16"/>
                                <w:lang w:val="es-ES"/>
                              </w:rPr>
                              <w:t>Alpelisib + fulv. (n/N = 1</w:t>
                            </w:r>
                            <w:r>
                              <w:rPr>
                                <w:sz w:val="16"/>
                                <w:szCs w:val="16"/>
                                <w:lang w:val="es-ES"/>
                              </w:rPr>
                              <w:t>24</w:t>
                            </w:r>
                            <w:r w:rsidRPr="00C06690">
                              <w:rPr>
                                <w:sz w:val="16"/>
                                <w:szCs w:val="16"/>
                                <w:lang w:val="es-ES"/>
                              </w:rPr>
                              <w:t>/169)</w:t>
                            </w:r>
                          </w:p>
                          <w:p w14:paraId="185B3DB4" w14:textId="76B63B2B" w:rsidR="00EF7C8E" w:rsidRPr="003A576B" w:rsidRDefault="00EF7C8E" w:rsidP="00C10B32">
                            <w:pPr>
                              <w:spacing w:line="360" w:lineRule="auto"/>
                              <w:rPr>
                                <w:sz w:val="16"/>
                                <w:szCs w:val="16"/>
                              </w:rPr>
                            </w:pPr>
                            <w:r>
                              <w:rPr>
                                <w:sz w:val="16"/>
                                <w:szCs w:val="16"/>
                              </w:rPr>
                              <w:t>Placebo + fulv. (n/N = 149/172)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85C60F" id="Text Box 4" o:spid="_x0000_s1036" type="#_x0000_t202" style="position:absolute;margin-left:280.75pt;margin-top:20.55pt;width:115.1pt;height:3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" stroked="f">
                <v:textbox inset="0,0,0,0">
                  <w:txbxContent>
                    <w:p w14:paraId="0D277971" w14:textId="77777777" w:rsidR="00EF7C8E" w:rsidRPr="00C06690" w:rsidRDefault="00EF7C8E" w:rsidP="00C10B32">
                      <w:pPr>
                        <w:spacing w:line="360" w:lineRule="auto"/>
                        <w:rPr>
                          <w:sz w:val="16"/>
                          <w:szCs w:val="16"/>
                          <w:lang w:val="es-ES"/>
                        </w:rPr>
                      </w:pPr>
                      <w:r>
                        <w:rPr>
                          <w:sz w:val="16"/>
                          <w:szCs w:val="16"/>
                          <w:lang w:val="es-ES"/>
                        </w:rPr>
                        <w:t>Vrijeme cenzuris</w:t>
                      </w:r>
                      <w:r w:rsidRPr="00C06690">
                        <w:rPr>
                          <w:sz w:val="16"/>
                          <w:szCs w:val="16"/>
                          <w:lang w:val="es-ES"/>
                        </w:rPr>
                        <w:t>anja</w:t>
                      </w:r>
                    </w:p>
                    <w:p w14:paraId="3E6A8ACA" w14:textId="16BF4AEF" w:rsidR="00EF7C8E" w:rsidRPr="00C06690" w:rsidRDefault="00EF7C8E" w:rsidP="00C10B32">
                      <w:pPr>
                        <w:spacing w:line="360" w:lineRule="auto"/>
                        <w:rPr>
                          <w:sz w:val="16"/>
                          <w:szCs w:val="16"/>
                          <w:lang w:val="es-ES"/>
                        </w:rPr>
                      </w:pPr>
                      <w:r w:rsidRPr="00C06690">
                        <w:rPr>
                          <w:sz w:val="16"/>
                          <w:szCs w:val="16"/>
                          <w:lang w:val="es-ES"/>
                        </w:rPr>
                        <w:t>Alpelisib + fulv. (n/N = 1</w:t>
                      </w:r>
                      <w:r>
                        <w:rPr>
                          <w:sz w:val="16"/>
                          <w:szCs w:val="16"/>
                          <w:lang w:val="es-ES"/>
                        </w:rPr>
                        <w:t>24</w:t>
                      </w:r>
                      <w:r w:rsidRPr="00C06690">
                        <w:rPr>
                          <w:sz w:val="16"/>
                          <w:szCs w:val="16"/>
                          <w:lang w:val="es-ES"/>
                        </w:rPr>
                        <w:t>/169)</w:t>
                      </w:r>
                    </w:p>
                    <w:p w14:paraId="185B3DB4" w14:textId="76B63B2B" w:rsidR="00EF7C8E" w:rsidRPr="003A576B" w:rsidRDefault="00EF7C8E" w:rsidP="00C10B32">
                      <w:pPr>
                        <w:spacing w:line="360" w:lineRule="auto"/>
                        <w:rPr>
                          <w:sz w:val="16"/>
                          <w:szCs w:val="16"/>
                        </w:rPr>
                      </w:pPr>
                      <w:r>
                        <w:rPr>
                          <w:sz w:val="16"/>
                          <w:szCs w:val="16"/>
                        </w:rPr>
                        <w:t>Placebo + fulv. (n/N = 149/172)</w:t>
                      </w:r>
                    </w:p>
                  </w:txbxContent>
                </v:textbox>
              </v:shape>
            </w:pict>
          </mc:Fallback>
        </mc:AlternateContent>
      </w:r>
      <w:r w:rsidR="00C54595">
        <w:rPr>
          <w:i/>
          <w:noProof/>
          <w:szCs w:val="22"/>
          <w:u w:val="single"/>
        </w:rPr>
        <w:drawing>
          <wp:inline distT="0" distB="0" distL="0" distR="0" wp14:anchorId="564CFD2A" wp14:editId="62991B22">
            <wp:extent cx="5462270" cy="4737100"/>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2270" cy="4737100"/>
                    </a:xfrm>
                    <a:prstGeom prst="rect">
                      <a:avLst/>
                    </a:prstGeom>
                    <a:noFill/>
                  </pic:spPr>
                </pic:pic>
              </a:graphicData>
            </a:graphic>
          </wp:inline>
        </w:drawing>
      </w:r>
    </w:p>
    <w:p w14:paraId="090F9827" w14:textId="77777777" w:rsidR="00C54595" w:rsidRDefault="00C54595" w:rsidP="006703B2">
      <w:pPr>
        <w:keepNext/>
        <w:shd w:val="clear" w:color="auto" w:fill="FFFFFF" w:themeFill="background1"/>
        <w:autoSpaceDE w:val="0"/>
        <w:autoSpaceDN w:val="0"/>
        <w:adjustRightInd w:val="0"/>
        <w:jc w:val="both"/>
        <w:rPr>
          <w:i/>
          <w:sz w:val="22"/>
          <w:szCs w:val="22"/>
          <w:u w:val="single"/>
          <w:lang w:val="hr-HR"/>
        </w:rPr>
      </w:pPr>
    </w:p>
    <w:p w14:paraId="3FAE5641" w14:textId="77777777" w:rsidR="00C54595" w:rsidRPr="00CE48FF" w:rsidRDefault="00C54595" w:rsidP="00C54595">
      <w:pPr>
        <w:keepNext/>
        <w:shd w:val="clear" w:color="auto" w:fill="FFFFFF" w:themeFill="background1"/>
        <w:autoSpaceDE w:val="0"/>
        <w:autoSpaceDN w:val="0"/>
        <w:adjustRightInd w:val="0"/>
        <w:rPr>
          <w:i/>
          <w:sz w:val="22"/>
          <w:szCs w:val="22"/>
          <w:u w:val="single"/>
          <w:lang w:val="hr-HR"/>
        </w:rPr>
      </w:pPr>
      <w:r w:rsidRPr="00CE48FF">
        <w:rPr>
          <w:i/>
          <w:sz w:val="22"/>
          <w:szCs w:val="22"/>
          <w:u w:val="single"/>
          <w:lang w:val="hr-HR"/>
        </w:rPr>
        <w:t>Finalna analiza ukupnog preživljavanja</w:t>
      </w:r>
    </w:p>
    <w:p w14:paraId="3175339D" w14:textId="77777777" w:rsidR="00C54595" w:rsidRPr="00CE48FF" w:rsidRDefault="00C54595" w:rsidP="00C54595">
      <w:pPr>
        <w:keepNext/>
        <w:shd w:val="clear" w:color="auto" w:fill="FFFFFF" w:themeFill="background1"/>
        <w:autoSpaceDE w:val="0"/>
        <w:autoSpaceDN w:val="0"/>
        <w:adjustRightInd w:val="0"/>
        <w:jc w:val="both"/>
        <w:rPr>
          <w:sz w:val="22"/>
          <w:szCs w:val="22"/>
          <w:lang w:val="hr-HR"/>
        </w:rPr>
      </w:pPr>
      <w:r w:rsidRPr="00CE48FF">
        <w:rPr>
          <w:sz w:val="22"/>
          <w:szCs w:val="22"/>
          <w:lang w:val="hr-HR"/>
        </w:rPr>
        <w:t xml:space="preserve">U finalnoj analizi OS, ispitivanje nije ispunilo svoj ključni sekundarni cilj. Od preseka podataka 23. aprila 2020, prijavljeno je ukupno 87 (51,5%) smrtnih slučajeva u grupi koja je primala alpelisib plus fulvestrant i 94 (54,7%) u grupi koja je primala placebo i fulvestrant. HR je bio 0,86 (95% CI: 0,64, </w:t>
      </w:r>
      <w:r w:rsidRPr="00CE48FF">
        <w:rPr>
          <w:sz w:val="22"/>
          <w:szCs w:val="22"/>
          <w:lang w:val="hr-HR"/>
        </w:rPr>
        <w:lastRenderedPageBreak/>
        <w:t xml:space="preserve">1,15; p=0,15, jednostrano) i nije pređena unapred određena granica efikasnosti prema O'Brien-Fleming-u od p ≤0,0161. </w:t>
      </w:r>
    </w:p>
    <w:p w14:paraId="3B398472" w14:textId="77777777" w:rsidR="00C54595" w:rsidRPr="00CE48FF" w:rsidRDefault="00C54595" w:rsidP="00C54595">
      <w:pPr>
        <w:keepNext/>
        <w:shd w:val="clear" w:color="auto" w:fill="FFFFFF" w:themeFill="background1"/>
        <w:autoSpaceDE w:val="0"/>
        <w:autoSpaceDN w:val="0"/>
        <w:adjustRightInd w:val="0"/>
        <w:rPr>
          <w:sz w:val="22"/>
          <w:szCs w:val="22"/>
          <w:lang w:val="hr-HR"/>
        </w:rPr>
      </w:pPr>
      <w:r w:rsidRPr="00CE48FF">
        <w:rPr>
          <w:sz w:val="22"/>
          <w:szCs w:val="22"/>
          <w:lang w:val="hr-HR"/>
        </w:rPr>
        <w:t>Medijana OS je bila 39,3 meseca (95% CI: 34,1, 44,9) u grupi koja je primala alpelisib plus fulvestrant i 31,4 meseca (95% CI: 26,8, 41,3) u grupi koja je primala placebo plus fulvestrant (Slika 2).</w:t>
      </w:r>
    </w:p>
    <w:p w14:paraId="289AEE7E" w14:textId="77777777" w:rsidR="00C54595" w:rsidRPr="00CE48FF" w:rsidRDefault="00C54595" w:rsidP="00C54595">
      <w:pPr>
        <w:keepNext/>
        <w:shd w:val="clear" w:color="auto" w:fill="FFFFFF" w:themeFill="background1"/>
        <w:autoSpaceDE w:val="0"/>
        <w:autoSpaceDN w:val="0"/>
        <w:adjustRightInd w:val="0"/>
        <w:rPr>
          <w:i/>
          <w:sz w:val="22"/>
          <w:szCs w:val="22"/>
          <w:u w:val="single"/>
          <w:lang w:val="hr-HR"/>
        </w:rPr>
      </w:pPr>
    </w:p>
    <w:p w14:paraId="5ABC32E3" w14:textId="77777777" w:rsidR="00C54595" w:rsidRPr="00CE48FF" w:rsidRDefault="00C54595" w:rsidP="00C54595">
      <w:pPr>
        <w:keepNext/>
        <w:autoSpaceDE w:val="0"/>
        <w:autoSpaceDN w:val="0"/>
        <w:adjustRightInd w:val="0"/>
        <w:ind w:left="1134" w:hanging="1134"/>
        <w:rPr>
          <w:bCs/>
          <w:sz w:val="22"/>
          <w:szCs w:val="22"/>
        </w:rPr>
      </w:pPr>
      <w:r w:rsidRPr="00CE48FF">
        <w:rPr>
          <w:b/>
          <w:sz w:val="22"/>
          <w:szCs w:val="22"/>
        </w:rPr>
        <w:t>Slika 2</w:t>
      </w:r>
      <w:r w:rsidRPr="00CE48FF">
        <w:rPr>
          <w:b/>
          <w:sz w:val="22"/>
          <w:szCs w:val="22"/>
        </w:rPr>
        <w:tab/>
        <w:t>Ispitivanje C2301 ključna sekundarna analiza – Kaplan</w:t>
      </w:r>
      <w:r w:rsidRPr="00CE48FF">
        <w:rPr>
          <w:b/>
          <w:sz w:val="22"/>
          <w:szCs w:val="22"/>
        </w:rPr>
        <w:noBreakHyphen/>
        <w:t xml:space="preserve">Meier-ov dijagram OS </w:t>
      </w:r>
      <w:bookmarkStart w:id="7" w:name="_hd7_Figure_11_2_Kaplan_Mei72145"/>
      <w:bookmarkStart w:id="8" w:name="_hd7_Figure_11_3_Kaplan_Mei81866"/>
      <w:bookmarkEnd w:id="7"/>
      <w:bookmarkEnd w:id="8"/>
      <w:r w:rsidRPr="00CE48FF">
        <w:rPr>
          <w:b/>
          <w:sz w:val="22"/>
          <w:szCs w:val="22"/>
        </w:rPr>
        <w:t>(FAS, kohorta sa PIK3CA mutacijom) zaključno sa 23. apr 2020.</w:t>
      </w:r>
    </w:p>
    <w:p w14:paraId="00F90383" w14:textId="2EA78E92" w:rsidR="00C54595" w:rsidRPr="00F70ACC" w:rsidRDefault="00115D3B" w:rsidP="00C54595">
      <w:pPr>
        <w:keepNext/>
        <w:autoSpaceDE w:val="0"/>
        <w:autoSpaceDN w:val="0"/>
        <w:adjustRightInd w:val="0"/>
        <w:ind w:left="1134" w:hanging="1134"/>
        <w:rPr>
          <w:bCs/>
          <w:szCs w:val="22"/>
        </w:rPr>
      </w:pPr>
      <w:r w:rsidRPr="008126A4">
        <w:rPr>
          <w:noProof/>
        </w:rPr>
        <mc:AlternateContent>
          <mc:Choice Requires="wps">
            <w:drawing>
              <wp:anchor distT="45720" distB="45720" distL="114300" distR="114300" simplePos="0" relativeHeight="251694080" behindDoc="0" locked="0" layoutInCell="1" allowOverlap="1" wp14:anchorId="5D8F596B" wp14:editId="4BD75F31">
                <wp:simplePos x="0" y="0"/>
                <wp:positionH relativeFrom="column">
                  <wp:posOffset>-196215</wp:posOffset>
                </wp:positionH>
                <wp:positionV relativeFrom="paragraph">
                  <wp:posOffset>3216910</wp:posOffset>
                </wp:positionV>
                <wp:extent cx="800735" cy="1841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8250C" w14:textId="77777777" w:rsidR="00EF7C8E" w:rsidRPr="00F042D8" w:rsidRDefault="00EF7C8E" w:rsidP="00115D3B">
                            <w:pPr>
                              <w:jc w:val="center"/>
                              <w:rPr>
                                <w:sz w:val="16"/>
                                <w:szCs w:val="16"/>
                              </w:rPr>
                            </w:pPr>
                            <w:r w:rsidRPr="00F042D8">
                              <w:rPr>
                                <w:sz w:val="16"/>
                                <w:szCs w:val="16"/>
                              </w:rPr>
                              <w:t>Alpelisib + fulv.</w:t>
                            </w:r>
                          </w:p>
                          <w:p w14:paraId="5A8217DF" w14:textId="77777777" w:rsidR="00EF7C8E" w:rsidRPr="00F042D8" w:rsidRDefault="00EF7C8E" w:rsidP="00115D3B">
                            <w:pPr>
                              <w:jc w:val="center"/>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8F596B" id="_x0000_s1037" type="#_x0000_t202" style="position:absolute;left:0;text-align:left;margin-left:-15.45pt;margin-top:253.3pt;width:63.05pt;height:1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" stroked="f">
                <v:textbox inset="0,0,0,0">
                  <w:txbxContent>
                    <w:p w14:paraId="3308250C" w14:textId="77777777" w:rsidR="00EF7C8E" w:rsidRPr="00F042D8" w:rsidRDefault="00EF7C8E" w:rsidP="00115D3B">
                      <w:pPr>
                        <w:jc w:val="center"/>
                        <w:rPr>
                          <w:sz w:val="16"/>
                          <w:szCs w:val="16"/>
                        </w:rPr>
                      </w:pPr>
                      <w:r w:rsidRPr="00F042D8">
                        <w:rPr>
                          <w:sz w:val="16"/>
                          <w:szCs w:val="16"/>
                        </w:rPr>
                        <w:t>Alpelisib + fulv.</w:t>
                      </w:r>
                    </w:p>
                    <w:p w14:paraId="5A8217DF" w14:textId="77777777" w:rsidR="00EF7C8E" w:rsidRPr="00F042D8" w:rsidRDefault="00EF7C8E" w:rsidP="00115D3B">
                      <w:pPr>
                        <w:jc w:val="center"/>
                        <w:rPr>
                          <w:sz w:val="16"/>
                          <w:szCs w:val="16"/>
                        </w:rPr>
                      </w:pPr>
                    </w:p>
                  </w:txbxContent>
                </v:textbox>
              </v:shape>
            </w:pict>
          </mc:Fallback>
        </mc:AlternateContent>
      </w:r>
      <w:r w:rsidRPr="008126A4">
        <w:rPr>
          <w:noProof/>
        </w:rPr>
        <mc:AlternateContent>
          <mc:Choice Requires="wps">
            <w:drawing>
              <wp:anchor distT="45720" distB="45720" distL="114300" distR="114300" simplePos="0" relativeHeight="251696128" behindDoc="0" locked="0" layoutInCell="1" allowOverlap="1" wp14:anchorId="4C87AC43" wp14:editId="3CA64077">
                <wp:simplePos x="0" y="0"/>
                <wp:positionH relativeFrom="column">
                  <wp:posOffset>-165100</wp:posOffset>
                </wp:positionH>
                <wp:positionV relativeFrom="paragraph">
                  <wp:posOffset>3386455</wp:posOffset>
                </wp:positionV>
                <wp:extent cx="800735" cy="1841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35EF" w14:textId="12D77F43" w:rsidR="00EF7C8E" w:rsidRPr="00F042D8" w:rsidRDefault="00EF7C8E" w:rsidP="00115D3B">
                            <w:pPr>
                              <w:jc w:val="center"/>
                              <w:rPr>
                                <w:sz w:val="16"/>
                                <w:szCs w:val="16"/>
                              </w:rPr>
                            </w:pPr>
                            <w:r>
                              <w:rPr>
                                <w:sz w:val="16"/>
                                <w:szCs w:val="16"/>
                              </w:rPr>
                              <w:t>Placebo</w:t>
                            </w:r>
                            <w:r w:rsidRPr="00F042D8">
                              <w:rPr>
                                <w:sz w:val="16"/>
                                <w:szCs w:val="16"/>
                              </w:rPr>
                              <w:t xml:space="preserve"> + fulv.</w:t>
                            </w:r>
                          </w:p>
                          <w:p w14:paraId="08CBBEB6" w14:textId="77777777" w:rsidR="00EF7C8E" w:rsidRPr="00F042D8" w:rsidRDefault="00EF7C8E" w:rsidP="00115D3B">
                            <w:pPr>
                              <w:jc w:val="center"/>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87AC43" id="_x0000_s1038" type="#_x0000_t202" style="position:absolute;left:0;text-align:left;margin-left:-13pt;margin-top:266.65pt;width:63.05pt;height:1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" stroked="f">
                <v:textbox inset="0,0,0,0">
                  <w:txbxContent>
                    <w:p w14:paraId="0DB235EF" w14:textId="12D77F43" w:rsidR="00EF7C8E" w:rsidRPr="00F042D8" w:rsidRDefault="00EF7C8E" w:rsidP="00115D3B">
                      <w:pPr>
                        <w:jc w:val="center"/>
                        <w:rPr>
                          <w:sz w:val="16"/>
                          <w:szCs w:val="16"/>
                        </w:rPr>
                      </w:pPr>
                      <w:r>
                        <w:rPr>
                          <w:sz w:val="16"/>
                          <w:szCs w:val="16"/>
                        </w:rPr>
                        <w:t>Placebo</w:t>
                      </w:r>
                      <w:r w:rsidRPr="00F042D8">
                        <w:rPr>
                          <w:sz w:val="16"/>
                          <w:szCs w:val="16"/>
                        </w:rPr>
                        <w:t xml:space="preserve"> + fulv.</w:t>
                      </w:r>
                    </w:p>
                    <w:p w14:paraId="08CBBEB6" w14:textId="77777777" w:rsidR="00EF7C8E" w:rsidRPr="00F042D8" w:rsidRDefault="00EF7C8E" w:rsidP="00115D3B">
                      <w:pPr>
                        <w:jc w:val="center"/>
                        <w:rPr>
                          <w:sz w:val="16"/>
                          <w:szCs w:val="16"/>
                        </w:rPr>
                      </w:pPr>
                    </w:p>
                  </w:txbxContent>
                </v:textbox>
              </v:shape>
            </w:pict>
          </mc:Fallback>
        </mc:AlternateContent>
      </w:r>
      <w:r>
        <w:rPr>
          <w:noProof/>
        </w:rPr>
        <mc:AlternateContent>
          <mc:Choice Requires="wps">
            <w:drawing>
              <wp:anchor distT="45720" distB="45720" distL="114300" distR="114300" simplePos="0" relativeHeight="251692032" behindDoc="0" locked="0" layoutInCell="1" allowOverlap="1" wp14:anchorId="294FF614" wp14:editId="29B32EA2">
                <wp:simplePos x="0" y="0"/>
                <wp:positionH relativeFrom="column">
                  <wp:posOffset>398780</wp:posOffset>
                </wp:positionH>
                <wp:positionV relativeFrom="paragraph">
                  <wp:posOffset>2859405</wp:posOffset>
                </wp:positionV>
                <wp:extent cx="1372235" cy="1841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B67C7" w14:textId="77777777" w:rsidR="00EF7C8E" w:rsidRPr="0073781C" w:rsidRDefault="00EF7C8E" w:rsidP="00115D3B">
                            <w:pPr>
                              <w:rPr>
                                <w:sz w:val="16"/>
                                <w:szCs w:val="16"/>
                              </w:rPr>
                            </w:pPr>
                            <w:r>
                              <w:rPr>
                                <w:sz w:val="16"/>
                                <w:szCs w:val="16"/>
                              </w:rPr>
                              <w:t>Broj ispitanika</w:t>
                            </w:r>
                            <w:r w:rsidRPr="0073781C">
                              <w:rPr>
                                <w:sz w:val="16"/>
                                <w:szCs w:val="16"/>
                              </w:rPr>
                              <w:t xml:space="preserve"> </w:t>
                            </w:r>
                            <w:r>
                              <w:rPr>
                                <w:sz w:val="16"/>
                                <w:szCs w:val="16"/>
                              </w:rPr>
                              <w:t>još pod rizikom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4FF614" id="_x0000_s1039" type="#_x0000_t202" style="position:absolute;left:0;text-align:left;margin-left:31.4pt;margin-top:225.15pt;width:108.05pt;height:1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" stroked="f">
                <v:textbox inset="0,0,0,0">
                  <w:txbxContent>
                    <w:p w14:paraId="0FDB67C7" w14:textId="77777777" w:rsidR="00EF7C8E" w:rsidRPr="0073781C" w:rsidRDefault="00EF7C8E" w:rsidP="00115D3B">
                      <w:pPr>
                        <w:rPr>
                          <w:sz w:val="16"/>
                          <w:szCs w:val="16"/>
                        </w:rPr>
                      </w:pPr>
                      <w:r>
                        <w:rPr>
                          <w:sz w:val="16"/>
                          <w:szCs w:val="16"/>
                        </w:rPr>
                        <w:t>Broj ispitanika</w:t>
                      </w:r>
                      <w:r w:rsidRPr="0073781C">
                        <w:rPr>
                          <w:sz w:val="16"/>
                          <w:szCs w:val="16"/>
                        </w:rPr>
                        <w:t xml:space="preserve"> </w:t>
                      </w:r>
                      <w:r>
                        <w:rPr>
                          <w:sz w:val="16"/>
                          <w:szCs w:val="16"/>
                        </w:rPr>
                        <w:t>još pod rizikom</w:t>
                      </w:r>
                    </w:p>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6B9EBF53" wp14:editId="3F3F80A6">
                <wp:simplePos x="0" y="0"/>
                <wp:positionH relativeFrom="column">
                  <wp:posOffset>2561590</wp:posOffset>
                </wp:positionH>
                <wp:positionV relativeFrom="paragraph">
                  <wp:posOffset>2837815</wp:posOffset>
                </wp:positionV>
                <wp:extent cx="804545" cy="1428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0A191" w14:textId="165516A6" w:rsidR="00EF7C8E" w:rsidRDefault="00EF7C8E" w:rsidP="00115D3B">
                            <w:pPr>
                              <w:jc w:val="center"/>
                              <w:rPr>
                                <w:sz w:val="16"/>
                                <w:szCs w:val="16"/>
                              </w:rPr>
                            </w:pPr>
                            <w:r>
                              <w:rPr>
                                <w:sz w:val="16"/>
                                <w:szCs w:val="16"/>
                              </w:rPr>
                              <w:t>Vrijeme (mjeseci)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EBF53" id="Text Box 31" o:spid="_x0000_s1040" type="#_x0000_t202" style="position:absolute;left:0;text-align:left;margin-left:201.7pt;margin-top:223.45pt;width:63.35pt;height:11.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" stroked="f">
                <v:textbox inset="0,0,0,0">
                  <w:txbxContent>
                    <w:p w14:paraId="28C0A191" w14:textId="165516A6" w:rsidR="00EF7C8E" w:rsidRDefault="00EF7C8E" w:rsidP="00115D3B">
                      <w:pPr>
                        <w:jc w:val="center"/>
                        <w:rPr>
                          <w:sz w:val="16"/>
                          <w:szCs w:val="16"/>
                        </w:rPr>
                      </w:pPr>
                      <w:r>
                        <w:rPr>
                          <w:sz w:val="16"/>
                          <w:szCs w:val="16"/>
                        </w:rPr>
                        <w:t>Vrijeme (mjeseci)</w:t>
                      </w:r>
                    </w:p>
                  </w:txbxContent>
                </v:textbox>
              </v:shape>
            </w:pict>
          </mc:Fallback>
        </mc:AlternateContent>
      </w:r>
      <w:r>
        <w:rPr>
          <w:noProof/>
        </w:rPr>
        <mc:AlternateContent>
          <mc:Choice Requires="wps">
            <w:drawing>
              <wp:anchor distT="45720" distB="45720" distL="114300" distR="114300" simplePos="0" relativeHeight="251689984" behindDoc="0" locked="0" layoutInCell="1" allowOverlap="1" wp14:anchorId="72C17D7D" wp14:editId="6C4E2BCA">
                <wp:simplePos x="0" y="0"/>
                <wp:positionH relativeFrom="column">
                  <wp:posOffset>-157480</wp:posOffset>
                </wp:positionH>
                <wp:positionV relativeFrom="paragraph">
                  <wp:posOffset>3043555</wp:posOffset>
                </wp:positionV>
                <wp:extent cx="804545" cy="1428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CDF1A" w14:textId="3E5FC8EA" w:rsidR="00EF7C8E" w:rsidRDefault="00EF7C8E" w:rsidP="00115D3B">
                            <w:pPr>
                              <w:jc w:val="center"/>
                              <w:rPr>
                                <w:sz w:val="16"/>
                                <w:szCs w:val="16"/>
                              </w:rPr>
                            </w:pPr>
                            <w:r>
                              <w:rPr>
                                <w:sz w:val="16"/>
                                <w:szCs w:val="16"/>
                              </w:rPr>
                              <w:t>Vrijeme (mjeseci)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17D7D" id="Text Box 23" o:spid="_x0000_s1041" type="#_x0000_t202" style="position:absolute;left:0;text-align:left;margin-left:-12.4pt;margin-top:239.65pt;width:63.35pt;height:11.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" stroked="f">
                <v:textbox inset="0,0,0,0">
                  <w:txbxContent>
                    <w:p w14:paraId="752CDF1A" w14:textId="3E5FC8EA" w:rsidR="00EF7C8E" w:rsidRDefault="00EF7C8E" w:rsidP="00115D3B">
                      <w:pPr>
                        <w:jc w:val="center"/>
                        <w:rPr>
                          <w:sz w:val="16"/>
                          <w:szCs w:val="16"/>
                        </w:rPr>
                      </w:pPr>
                      <w:r>
                        <w:rPr>
                          <w:sz w:val="16"/>
                          <w:szCs w:val="16"/>
                        </w:rPr>
                        <w:t>Vrijeme (mjeseci)</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66E4771F" wp14:editId="74442357">
                <wp:simplePos x="0" y="0"/>
                <wp:positionH relativeFrom="column">
                  <wp:posOffset>2540</wp:posOffset>
                </wp:positionH>
                <wp:positionV relativeFrom="paragraph">
                  <wp:posOffset>544195</wp:posOffset>
                </wp:positionV>
                <wp:extent cx="212090" cy="174117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4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2B533" w14:textId="17F81D5C" w:rsidR="00EF7C8E" w:rsidRPr="00990F08" w:rsidRDefault="00EF7C8E" w:rsidP="00115D3B">
                            <w:pPr>
                              <w:jc w:val="center"/>
                              <w:rPr>
                                <w:sz w:val="16"/>
                                <w:szCs w:val="16"/>
                              </w:rPr>
                            </w:pPr>
                            <w:r>
                              <w:rPr>
                                <w:sz w:val="16"/>
                                <w:szCs w:val="16"/>
                              </w:rPr>
                              <w:t>Vjerovatnoća izostanka događaja</w:t>
                            </w:r>
                            <w:r w:rsidRPr="00990F08">
                              <w:rPr>
                                <w:sz w:val="16"/>
                                <w:szCs w:val="16"/>
                              </w:rPr>
                              <w:t xml:space="preserve">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E4771F" id="_x0000_s1042" type="#_x0000_t202" style="position:absolute;left:0;text-align:left;margin-left:.2pt;margin-top:42.85pt;width:16.7pt;height:137.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" stroked="f">
                <v:textbox style="layout-flow:vertical;mso-layout-flow-alt:bottom-to-top" inset="0,0,0,0">
                  <w:txbxContent>
                    <w:p w14:paraId="5AE2B533" w14:textId="17F81D5C" w:rsidR="00EF7C8E" w:rsidRPr="00990F08" w:rsidRDefault="00EF7C8E" w:rsidP="00115D3B">
                      <w:pPr>
                        <w:jc w:val="center"/>
                        <w:rPr>
                          <w:sz w:val="16"/>
                          <w:szCs w:val="16"/>
                        </w:rPr>
                      </w:pPr>
                      <w:r>
                        <w:rPr>
                          <w:sz w:val="16"/>
                          <w:szCs w:val="16"/>
                        </w:rPr>
                        <w:t>Vjerovatnoća izostanka događaja</w:t>
                      </w:r>
                      <w:r w:rsidRPr="00990F08">
                        <w:rPr>
                          <w:sz w:val="16"/>
                          <w:szCs w:val="16"/>
                        </w:rPr>
                        <w:t xml:space="preserve"> (%)</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6265F37D" wp14:editId="35B6C6F1">
                <wp:simplePos x="0" y="0"/>
                <wp:positionH relativeFrom="column">
                  <wp:posOffset>604520</wp:posOffset>
                </wp:positionH>
                <wp:positionV relativeFrom="paragraph">
                  <wp:posOffset>1627505</wp:posOffset>
                </wp:positionV>
                <wp:extent cx="1847850" cy="103378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03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AA7E6" w14:textId="77777777" w:rsidR="00EF7C8E" w:rsidRPr="00400E85" w:rsidRDefault="00EF7C8E" w:rsidP="00115D3B">
                            <w:pPr>
                              <w:spacing w:line="360" w:lineRule="auto"/>
                              <w:rPr>
                                <w:sz w:val="16"/>
                                <w:szCs w:val="16"/>
                                <w:lang w:val="hr-HR"/>
                              </w:rPr>
                            </w:pPr>
                            <w:r>
                              <w:rPr>
                                <w:sz w:val="16"/>
                                <w:szCs w:val="16"/>
                                <w:lang w:val="hr-HR"/>
                              </w:rPr>
                              <w:t xml:space="preserve">Odnos rizika </w:t>
                            </w:r>
                            <w:r w:rsidRPr="00400E85">
                              <w:rPr>
                                <w:sz w:val="16"/>
                                <w:szCs w:val="16"/>
                                <w:lang w:val="hr-HR"/>
                              </w:rPr>
                              <w:t>= 0,</w:t>
                            </w:r>
                            <w:r>
                              <w:rPr>
                                <w:sz w:val="16"/>
                                <w:szCs w:val="16"/>
                                <w:lang w:val="hr-HR"/>
                              </w:rPr>
                              <w:t>8</w:t>
                            </w:r>
                            <w:r w:rsidRPr="00400E85">
                              <w:rPr>
                                <w:sz w:val="16"/>
                                <w:szCs w:val="16"/>
                                <w:lang w:val="hr-HR"/>
                              </w:rPr>
                              <w:t>6</w:t>
                            </w:r>
                          </w:p>
                          <w:p w14:paraId="3777EF5C" w14:textId="3DFABDF0" w:rsidR="00EF7C8E" w:rsidRPr="00400E85" w:rsidRDefault="00EF7C8E" w:rsidP="00115D3B">
                            <w:pPr>
                              <w:spacing w:line="360" w:lineRule="auto"/>
                              <w:rPr>
                                <w:sz w:val="16"/>
                                <w:szCs w:val="16"/>
                                <w:lang w:val="hr-HR"/>
                              </w:rPr>
                            </w:pPr>
                            <w:r w:rsidRPr="00400E85">
                              <w:rPr>
                                <w:sz w:val="16"/>
                                <w:szCs w:val="16"/>
                                <w:lang w:val="hr-HR"/>
                              </w:rPr>
                              <w:t>95% CI [0,</w:t>
                            </w:r>
                            <w:r>
                              <w:rPr>
                                <w:sz w:val="16"/>
                                <w:szCs w:val="16"/>
                                <w:lang w:val="hr-HR"/>
                              </w:rPr>
                              <w:t>64</w:t>
                            </w:r>
                            <w:r w:rsidRPr="00400E85">
                              <w:rPr>
                                <w:sz w:val="16"/>
                                <w:szCs w:val="16"/>
                                <w:lang w:val="hr-HR"/>
                              </w:rPr>
                              <w:t xml:space="preserve">; </w:t>
                            </w:r>
                            <w:r>
                              <w:rPr>
                                <w:sz w:val="16"/>
                                <w:szCs w:val="16"/>
                                <w:lang w:val="hr-HR"/>
                              </w:rPr>
                              <w:t>1</w:t>
                            </w:r>
                            <w:r w:rsidRPr="00400E85">
                              <w:rPr>
                                <w:sz w:val="16"/>
                                <w:szCs w:val="16"/>
                                <w:lang w:val="hr-HR"/>
                              </w:rPr>
                              <w:t>,</w:t>
                            </w:r>
                            <w:r>
                              <w:rPr>
                                <w:sz w:val="16"/>
                                <w:szCs w:val="16"/>
                                <w:lang w:val="hr-HR"/>
                              </w:rPr>
                              <w:t>1</w:t>
                            </w:r>
                            <w:r w:rsidRPr="00400E85">
                              <w:rPr>
                                <w:sz w:val="16"/>
                                <w:szCs w:val="16"/>
                                <w:lang w:val="hr-HR"/>
                              </w:rPr>
                              <w:t>5]</w:t>
                            </w:r>
                          </w:p>
                          <w:p w14:paraId="0F266DDF" w14:textId="5F039866" w:rsidR="00EF7C8E" w:rsidRPr="00400E85" w:rsidRDefault="00EF7C8E" w:rsidP="00115D3B">
                            <w:pPr>
                              <w:spacing w:line="360" w:lineRule="auto"/>
                              <w:rPr>
                                <w:sz w:val="16"/>
                                <w:szCs w:val="16"/>
                                <w:lang w:val="hr-HR"/>
                              </w:rPr>
                            </w:pPr>
                            <w:r>
                              <w:rPr>
                                <w:sz w:val="16"/>
                                <w:szCs w:val="16"/>
                                <w:lang w:val="hr-HR"/>
                              </w:rPr>
                              <w:t>Kaplan-Meierova medijana (mj</w:t>
                            </w:r>
                            <w:r w:rsidRPr="00400E85">
                              <w:rPr>
                                <w:sz w:val="16"/>
                                <w:szCs w:val="16"/>
                                <w:lang w:val="hr-HR"/>
                              </w:rPr>
                              <w:t>eseci)</w:t>
                            </w:r>
                          </w:p>
                          <w:p w14:paraId="5051C87F" w14:textId="2F5E723B" w:rsidR="00EF7C8E" w:rsidRPr="00400E85" w:rsidRDefault="00EF7C8E" w:rsidP="00115D3B">
                            <w:pPr>
                              <w:spacing w:line="360" w:lineRule="auto"/>
                              <w:rPr>
                                <w:sz w:val="16"/>
                                <w:szCs w:val="16"/>
                                <w:lang w:val="hr-HR"/>
                              </w:rPr>
                            </w:pPr>
                            <w:r>
                              <w:rPr>
                                <w:sz w:val="16"/>
                                <w:szCs w:val="16"/>
                                <w:lang w:val="hr-HR"/>
                              </w:rPr>
                              <w:t>Alpelisib + fulv</w:t>
                            </w:r>
                            <w:r w:rsidRPr="00400E85">
                              <w:rPr>
                                <w:sz w:val="16"/>
                                <w:szCs w:val="16"/>
                                <w:lang w:val="hr-HR"/>
                              </w:rPr>
                              <w:t xml:space="preserve">: </w:t>
                            </w:r>
                            <w:r>
                              <w:rPr>
                                <w:sz w:val="16"/>
                                <w:szCs w:val="16"/>
                                <w:lang w:val="hr-HR"/>
                              </w:rPr>
                              <w:t>39</w:t>
                            </w:r>
                            <w:r w:rsidRPr="00400E85">
                              <w:rPr>
                                <w:sz w:val="16"/>
                                <w:szCs w:val="16"/>
                                <w:lang w:val="hr-HR"/>
                              </w:rPr>
                              <w:t>,</w:t>
                            </w:r>
                            <w:r>
                              <w:rPr>
                                <w:sz w:val="16"/>
                                <w:szCs w:val="16"/>
                                <w:lang w:val="hr-HR"/>
                              </w:rPr>
                              <w:t>3</w:t>
                            </w:r>
                          </w:p>
                          <w:p w14:paraId="6C858AB9" w14:textId="7A22EFFC" w:rsidR="00EF7C8E" w:rsidRPr="00400E85" w:rsidRDefault="00EF7C8E" w:rsidP="00115D3B">
                            <w:pPr>
                              <w:spacing w:line="360" w:lineRule="auto"/>
                              <w:rPr>
                                <w:sz w:val="16"/>
                                <w:szCs w:val="16"/>
                                <w:lang w:val="hr-HR"/>
                              </w:rPr>
                            </w:pPr>
                            <w:r>
                              <w:rPr>
                                <w:sz w:val="16"/>
                                <w:szCs w:val="16"/>
                                <w:lang w:val="hr-HR"/>
                              </w:rPr>
                              <w:t>Placebo + fulv</w:t>
                            </w:r>
                            <w:r w:rsidRPr="00400E85">
                              <w:rPr>
                                <w:sz w:val="16"/>
                                <w:szCs w:val="16"/>
                                <w:lang w:val="hr-HR"/>
                              </w:rPr>
                              <w:t xml:space="preserve">: </w:t>
                            </w:r>
                            <w:r>
                              <w:rPr>
                                <w:sz w:val="16"/>
                                <w:szCs w:val="16"/>
                                <w:lang w:val="hr-HR"/>
                              </w:rPr>
                              <w:t>31</w:t>
                            </w:r>
                            <w:r w:rsidRPr="00400E85">
                              <w:rPr>
                                <w:sz w:val="16"/>
                                <w:szCs w:val="16"/>
                                <w:lang w:val="hr-HR"/>
                              </w:rPr>
                              <w:t>,</w:t>
                            </w:r>
                            <w:r>
                              <w:rPr>
                                <w:sz w:val="16"/>
                                <w:szCs w:val="16"/>
                                <w:lang w:val="hr-HR"/>
                              </w:rPr>
                              <w:t>4</w:t>
                            </w:r>
                          </w:p>
                          <w:p w14:paraId="5A27CC33" w14:textId="0FFD9843" w:rsidR="00EF7C8E" w:rsidRPr="00400E85" w:rsidRDefault="00EF7C8E" w:rsidP="00115D3B">
                            <w:pPr>
                              <w:spacing w:line="360" w:lineRule="auto"/>
                              <w:rPr>
                                <w:sz w:val="16"/>
                                <w:szCs w:val="16"/>
                                <w:lang w:val="hr-HR"/>
                              </w:rPr>
                            </w:pPr>
                            <w:r w:rsidRPr="00400E85">
                              <w:rPr>
                                <w:sz w:val="16"/>
                                <w:szCs w:val="16"/>
                                <w:lang w:val="hr-HR"/>
                              </w:rPr>
                              <w:t>1-stran</w:t>
                            </w:r>
                            <w:r>
                              <w:rPr>
                                <w:sz w:val="16"/>
                                <w:szCs w:val="16"/>
                                <w:lang w:val="hr-HR"/>
                              </w:rPr>
                              <w:t>a</w:t>
                            </w:r>
                            <w:r w:rsidRPr="00400E85">
                              <w:rPr>
                                <w:sz w:val="16"/>
                                <w:szCs w:val="16"/>
                                <w:lang w:val="hr-HR"/>
                              </w:rPr>
                              <w:t xml:space="preserve"> log rang p</w:t>
                            </w:r>
                            <w:r>
                              <w:rPr>
                                <w:sz w:val="16"/>
                                <w:szCs w:val="16"/>
                                <w:lang w:val="hr-HR"/>
                              </w:rPr>
                              <w:t>-vr</w:t>
                            </w:r>
                            <w:r w:rsidRPr="00400E85">
                              <w:rPr>
                                <w:sz w:val="16"/>
                                <w:szCs w:val="16"/>
                                <w:lang w:val="hr-HR"/>
                              </w:rPr>
                              <w:t>ednost = 0,</w:t>
                            </w:r>
                            <w:r>
                              <w:rPr>
                                <w:sz w:val="16"/>
                                <w:szCs w:val="16"/>
                                <w:lang w:val="hr-HR"/>
                              </w:rPr>
                              <w:t>1</w:t>
                            </w:r>
                            <w:r w:rsidRPr="00400E85">
                              <w:rPr>
                                <w:sz w:val="16"/>
                                <w:szCs w:val="16"/>
                                <w:lang w:val="hr-HR"/>
                              </w:rPr>
                              <w:t>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65F37D" id="_x0000_s1043" type="#_x0000_t202" style="position:absolute;left:0;text-align:left;margin-left:47.6pt;margin-top:128.15pt;width:145.5pt;height:8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" stroked="f">
                <v:textbox inset="0,0,0,0">
                  <w:txbxContent>
                    <w:p w14:paraId="182AA7E6" w14:textId="77777777" w:rsidR="00EF7C8E" w:rsidRPr="00400E85" w:rsidRDefault="00EF7C8E" w:rsidP="00115D3B">
                      <w:pPr>
                        <w:spacing w:line="360" w:lineRule="auto"/>
                        <w:rPr>
                          <w:sz w:val="16"/>
                          <w:szCs w:val="16"/>
                          <w:lang w:val="hr-HR"/>
                        </w:rPr>
                      </w:pPr>
                      <w:r>
                        <w:rPr>
                          <w:sz w:val="16"/>
                          <w:szCs w:val="16"/>
                          <w:lang w:val="hr-HR"/>
                        </w:rPr>
                        <w:t xml:space="preserve">Odnos rizika </w:t>
                      </w:r>
                      <w:r w:rsidRPr="00400E85">
                        <w:rPr>
                          <w:sz w:val="16"/>
                          <w:szCs w:val="16"/>
                          <w:lang w:val="hr-HR"/>
                        </w:rPr>
                        <w:t>= 0,</w:t>
                      </w:r>
                      <w:r>
                        <w:rPr>
                          <w:sz w:val="16"/>
                          <w:szCs w:val="16"/>
                          <w:lang w:val="hr-HR"/>
                        </w:rPr>
                        <w:t>8</w:t>
                      </w:r>
                      <w:r w:rsidRPr="00400E85">
                        <w:rPr>
                          <w:sz w:val="16"/>
                          <w:szCs w:val="16"/>
                          <w:lang w:val="hr-HR"/>
                        </w:rPr>
                        <w:t>6</w:t>
                      </w:r>
                    </w:p>
                    <w:p w14:paraId="3777EF5C" w14:textId="3DFABDF0" w:rsidR="00EF7C8E" w:rsidRPr="00400E85" w:rsidRDefault="00EF7C8E" w:rsidP="00115D3B">
                      <w:pPr>
                        <w:spacing w:line="360" w:lineRule="auto"/>
                        <w:rPr>
                          <w:sz w:val="16"/>
                          <w:szCs w:val="16"/>
                          <w:lang w:val="hr-HR"/>
                        </w:rPr>
                      </w:pPr>
                      <w:r w:rsidRPr="00400E85">
                        <w:rPr>
                          <w:sz w:val="16"/>
                          <w:szCs w:val="16"/>
                          <w:lang w:val="hr-HR"/>
                        </w:rPr>
                        <w:t>95% CI [0,</w:t>
                      </w:r>
                      <w:r>
                        <w:rPr>
                          <w:sz w:val="16"/>
                          <w:szCs w:val="16"/>
                          <w:lang w:val="hr-HR"/>
                        </w:rPr>
                        <w:t>64</w:t>
                      </w:r>
                      <w:r w:rsidRPr="00400E85">
                        <w:rPr>
                          <w:sz w:val="16"/>
                          <w:szCs w:val="16"/>
                          <w:lang w:val="hr-HR"/>
                        </w:rPr>
                        <w:t xml:space="preserve">; </w:t>
                      </w:r>
                      <w:r>
                        <w:rPr>
                          <w:sz w:val="16"/>
                          <w:szCs w:val="16"/>
                          <w:lang w:val="hr-HR"/>
                        </w:rPr>
                        <w:t>1</w:t>
                      </w:r>
                      <w:r w:rsidRPr="00400E85">
                        <w:rPr>
                          <w:sz w:val="16"/>
                          <w:szCs w:val="16"/>
                          <w:lang w:val="hr-HR"/>
                        </w:rPr>
                        <w:t>,</w:t>
                      </w:r>
                      <w:r>
                        <w:rPr>
                          <w:sz w:val="16"/>
                          <w:szCs w:val="16"/>
                          <w:lang w:val="hr-HR"/>
                        </w:rPr>
                        <w:t>1</w:t>
                      </w:r>
                      <w:r w:rsidRPr="00400E85">
                        <w:rPr>
                          <w:sz w:val="16"/>
                          <w:szCs w:val="16"/>
                          <w:lang w:val="hr-HR"/>
                        </w:rPr>
                        <w:t>5]</w:t>
                      </w:r>
                    </w:p>
                    <w:p w14:paraId="0F266DDF" w14:textId="5F039866" w:rsidR="00EF7C8E" w:rsidRPr="00400E85" w:rsidRDefault="00EF7C8E" w:rsidP="00115D3B">
                      <w:pPr>
                        <w:spacing w:line="360" w:lineRule="auto"/>
                        <w:rPr>
                          <w:sz w:val="16"/>
                          <w:szCs w:val="16"/>
                          <w:lang w:val="hr-HR"/>
                        </w:rPr>
                      </w:pPr>
                      <w:r>
                        <w:rPr>
                          <w:sz w:val="16"/>
                          <w:szCs w:val="16"/>
                          <w:lang w:val="hr-HR"/>
                        </w:rPr>
                        <w:t>Kaplan-Meierova medijana (mj</w:t>
                      </w:r>
                      <w:r w:rsidRPr="00400E85">
                        <w:rPr>
                          <w:sz w:val="16"/>
                          <w:szCs w:val="16"/>
                          <w:lang w:val="hr-HR"/>
                        </w:rPr>
                        <w:t>eseci)</w:t>
                      </w:r>
                    </w:p>
                    <w:p w14:paraId="5051C87F" w14:textId="2F5E723B" w:rsidR="00EF7C8E" w:rsidRPr="00400E85" w:rsidRDefault="00EF7C8E" w:rsidP="00115D3B">
                      <w:pPr>
                        <w:spacing w:line="360" w:lineRule="auto"/>
                        <w:rPr>
                          <w:sz w:val="16"/>
                          <w:szCs w:val="16"/>
                          <w:lang w:val="hr-HR"/>
                        </w:rPr>
                      </w:pPr>
                      <w:r>
                        <w:rPr>
                          <w:sz w:val="16"/>
                          <w:szCs w:val="16"/>
                          <w:lang w:val="hr-HR"/>
                        </w:rPr>
                        <w:t>Alpelisib + fulv</w:t>
                      </w:r>
                      <w:r w:rsidRPr="00400E85">
                        <w:rPr>
                          <w:sz w:val="16"/>
                          <w:szCs w:val="16"/>
                          <w:lang w:val="hr-HR"/>
                        </w:rPr>
                        <w:t xml:space="preserve">: </w:t>
                      </w:r>
                      <w:r>
                        <w:rPr>
                          <w:sz w:val="16"/>
                          <w:szCs w:val="16"/>
                          <w:lang w:val="hr-HR"/>
                        </w:rPr>
                        <w:t>39</w:t>
                      </w:r>
                      <w:r w:rsidRPr="00400E85">
                        <w:rPr>
                          <w:sz w:val="16"/>
                          <w:szCs w:val="16"/>
                          <w:lang w:val="hr-HR"/>
                        </w:rPr>
                        <w:t>,</w:t>
                      </w:r>
                      <w:r>
                        <w:rPr>
                          <w:sz w:val="16"/>
                          <w:szCs w:val="16"/>
                          <w:lang w:val="hr-HR"/>
                        </w:rPr>
                        <w:t>3</w:t>
                      </w:r>
                    </w:p>
                    <w:p w14:paraId="6C858AB9" w14:textId="7A22EFFC" w:rsidR="00EF7C8E" w:rsidRPr="00400E85" w:rsidRDefault="00EF7C8E" w:rsidP="00115D3B">
                      <w:pPr>
                        <w:spacing w:line="360" w:lineRule="auto"/>
                        <w:rPr>
                          <w:sz w:val="16"/>
                          <w:szCs w:val="16"/>
                          <w:lang w:val="hr-HR"/>
                        </w:rPr>
                      </w:pPr>
                      <w:r>
                        <w:rPr>
                          <w:sz w:val="16"/>
                          <w:szCs w:val="16"/>
                          <w:lang w:val="hr-HR"/>
                        </w:rPr>
                        <w:t>Placebo + fulv</w:t>
                      </w:r>
                      <w:r w:rsidRPr="00400E85">
                        <w:rPr>
                          <w:sz w:val="16"/>
                          <w:szCs w:val="16"/>
                          <w:lang w:val="hr-HR"/>
                        </w:rPr>
                        <w:t xml:space="preserve">: </w:t>
                      </w:r>
                      <w:r>
                        <w:rPr>
                          <w:sz w:val="16"/>
                          <w:szCs w:val="16"/>
                          <w:lang w:val="hr-HR"/>
                        </w:rPr>
                        <w:t>31</w:t>
                      </w:r>
                      <w:r w:rsidRPr="00400E85">
                        <w:rPr>
                          <w:sz w:val="16"/>
                          <w:szCs w:val="16"/>
                          <w:lang w:val="hr-HR"/>
                        </w:rPr>
                        <w:t>,</w:t>
                      </w:r>
                      <w:r>
                        <w:rPr>
                          <w:sz w:val="16"/>
                          <w:szCs w:val="16"/>
                          <w:lang w:val="hr-HR"/>
                        </w:rPr>
                        <w:t>4</w:t>
                      </w:r>
                    </w:p>
                    <w:p w14:paraId="5A27CC33" w14:textId="0FFD9843" w:rsidR="00EF7C8E" w:rsidRPr="00400E85" w:rsidRDefault="00EF7C8E" w:rsidP="00115D3B">
                      <w:pPr>
                        <w:spacing w:line="360" w:lineRule="auto"/>
                        <w:rPr>
                          <w:sz w:val="16"/>
                          <w:szCs w:val="16"/>
                          <w:lang w:val="hr-HR"/>
                        </w:rPr>
                      </w:pPr>
                      <w:r w:rsidRPr="00400E85">
                        <w:rPr>
                          <w:sz w:val="16"/>
                          <w:szCs w:val="16"/>
                          <w:lang w:val="hr-HR"/>
                        </w:rPr>
                        <w:t>1-stran</w:t>
                      </w:r>
                      <w:r>
                        <w:rPr>
                          <w:sz w:val="16"/>
                          <w:szCs w:val="16"/>
                          <w:lang w:val="hr-HR"/>
                        </w:rPr>
                        <w:t>a</w:t>
                      </w:r>
                      <w:r w:rsidRPr="00400E85">
                        <w:rPr>
                          <w:sz w:val="16"/>
                          <w:szCs w:val="16"/>
                          <w:lang w:val="hr-HR"/>
                        </w:rPr>
                        <w:t xml:space="preserve"> log rang p</w:t>
                      </w:r>
                      <w:r>
                        <w:rPr>
                          <w:sz w:val="16"/>
                          <w:szCs w:val="16"/>
                          <w:lang w:val="hr-HR"/>
                        </w:rPr>
                        <w:t>-vr</w:t>
                      </w:r>
                      <w:r w:rsidRPr="00400E85">
                        <w:rPr>
                          <w:sz w:val="16"/>
                          <w:szCs w:val="16"/>
                          <w:lang w:val="hr-HR"/>
                        </w:rPr>
                        <w:t>ednost = 0,</w:t>
                      </w:r>
                      <w:r>
                        <w:rPr>
                          <w:sz w:val="16"/>
                          <w:szCs w:val="16"/>
                          <w:lang w:val="hr-HR"/>
                        </w:rPr>
                        <w:t>1</w:t>
                      </w:r>
                      <w:r w:rsidRPr="00400E85">
                        <w:rPr>
                          <w:sz w:val="16"/>
                          <w:szCs w:val="16"/>
                          <w:lang w:val="hr-HR"/>
                        </w:rPr>
                        <w:t>5</w:t>
                      </w:r>
                    </w:p>
                  </w:txbxContent>
                </v:textbox>
              </v:shape>
            </w:pict>
          </mc:Fallback>
        </mc:AlternateContent>
      </w:r>
      <w:r w:rsidRPr="008126A4">
        <w:rPr>
          <w:noProof/>
        </w:rPr>
        <mc:AlternateContent>
          <mc:Choice Requires="wps">
            <w:drawing>
              <wp:anchor distT="45720" distB="45720" distL="114300" distR="114300" simplePos="0" relativeHeight="251679744" behindDoc="0" locked="0" layoutInCell="1" allowOverlap="1" wp14:anchorId="0479580E" wp14:editId="58019A32">
                <wp:simplePos x="0" y="0"/>
                <wp:positionH relativeFrom="column">
                  <wp:posOffset>1099820</wp:posOffset>
                </wp:positionH>
                <wp:positionV relativeFrom="paragraph">
                  <wp:posOffset>1123315</wp:posOffset>
                </wp:positionV>
                <wp:extent cx="1461770" cy="50419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98C73" w14:textId="20BE6BE3" w:rsidR="00EF7C8E" w:rsidRPr="007E3D69" w:rsidRDefault="00EF7C8E" w:rsidP="00115D3B">
                            <w:pPr>
                              <w:spacing w:line="360" w:lineRule="auto"/>
                              <w:rPr>
                                <w:sz w:val="16"/>
                                <w:szCs w:val="16"/>
                                <w:lang w:val="pt-PT"/>
                              </w:rPr>
                            </w:pPr>
                            <w:r>
                              <w:rPr>
                                <w:sz w:val="16"/>
                                <w:szCs w:val="16"/>
                                <w:lang w:val="pt-PT"/>
                              </w:rPr>
                              <w:t xml:space="preserve">Vrijeme cenzurisanja </w:t>
                            </w:r>
                          </w:p>
                          <w:p w14:paraId="40CDEDCC" w14:textId="77777777" w:rsidR="00EF7C8E" w:rsidRPr="007E3D69" w:rsidRDefault="00EF7C8E" w:rsidP="00115D3B">
                            <w:pPr>
                              <w:spacing w:line="360" w:lineRule="auto"/>
                              <w:rPr>
                                <w:sz w:val="16"/>
                                <w:szCs w:val="16"/>
                                <w:lang w:val="pt-PT"/>
                              </w:rPr>
                            </w:pPr>
                            <w:r w:rsidRPr="007E3D69">
                              <w:rPr>
                                <w:sz w:val="16"/>
                                <w:szCs w:val="16"/>
                                <w:lang w:val="pt-PT"/>
                              </w:rPr>
                              <w:t xml:space="preserve">Alpelisib + fulv. (n/N = </w:t>
                            </w:r>
                            <w:r>
                              <w:rPr>
                                <w:sz w:val="16"/>
                                <w:szCs w:val="16"/>
                                <w:lang w:val="pt-PT"/>
                              </w:rPr>
                              <w:t>87</w:t>
                            </w:r>
                            <w:r w:rsidRPr="007E3D69">
                              <w:rPr>
                                <w:sz w:val="16"/>
                                <w:szCs w:val="16"/>
                                <w:lang w:val="pt-PT"/>
                              </w:rPr>
                              <w:t>/169)</w:t>
                            </w:r>
                          </w:p>
                          <w:p w14:paraId="372872AB" w14:textId="77777777" w:rsidR="00EF7C8E" w:rsidRPr="007E3D69" w:rsidRDefault="00EF7C8E" w:rsidP="00115D3B">
                            <w:pPr>
                              <w:spacing w:line="360" w:lineRule="auto"/>
                              <w:rPr>
                                <w:sz w:val="16"/>
                                <w:szCs w:val="16"/>
                                <w:lang w:val="pt-PT"/>
                              </w:rPr>
                            </w:pPr>
                            <w:r w:rsidRPr="007E3D69">
                              <w:rPr>
                                <w:sz w:val="16"/>
                                <w:szCs w:val="16"/>
                                <w:lang w:val="pt-PT"/>
                              </w:rPr>
                              <w:t xml:space="preserve">Placebo + fulv. (n/N = </w:t>
                            </w:r>
                            <w:r>
                              <w:rPr>
                                <w:sz w:val="16"/>
                                <w:szCs w:val="16"/>
                                <w:lang w:val="pt-PT"/>
                              </w:rPr>
                              <w:t>94</w:t>
                            </w:r>
                            <w:r w:rsidRPr="007E3D69">
                              <w:rPr>
                                <w:sz w:val="16"/>
                                <w:szCs w:val="16"/>
                                <w:lang w:val="pt-PT"/>
                              </w:rPr>
                              <w:t>/172)</w:t>
                            </w:r>
                          </w:p>
                          <w:p w14:paraId="25C3CF82" w14:textId="77777777" w:rsidR="00EF7C8E" w:rsidRPr="007E3D69" w:rsidRDefault="00EF7C8E" w:rsidP="00115D3B">
                            <w:pPr>
                              <w:spacing w:line="360" w:lineRule="auto"/>
                              <w:rPr>
                                <w:sz w:val="16"/>
                                <w:szCs w:val="16"/>
                                <w:lang w:val="pt-PT"/>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79580E" id="Text Box 30" o:spid="_x0000_s1044" type="#_x0000_t202" style="position:absolute;left:0;text-align:left;margin-left:86.6pt;margin-top:88.45pt;width:115.1pt;height:39.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" stroked="f">
                <v:textbox inset="0,0,0,0">
                  <w:txbxContent>
                    <w:p w14:paraId="3E398C73" w14:textId="20BE6BE3" w:rsidR="00EF7C8E" w:rsidRPr="007E3D69" w:rsidRDefault="00EF7C8E" w:rsidP="00115D3B">
                      <w:pPr>
                        <w:spacing w:line="360" w:lineRule="auto"/>
                        <w:rPr>
                          <w:sz w:val="16"/>
                          <w:szCs w:val="16"/>
                          <w:lang w:val="pt-PT"/>
                        </w:rPr>
                      </w:pPr>
                      <w:r>
                        <w:rPr>
                          <w:sz w:val="16"/>
                          <w:szCs w:val="16"/>
                          <w:lang w:val="pt-PT"/>
                        </w:rPr>
                        <w:t xml:space="preserve">Vrijeme cenzurisanja </w:t>
                      </w:r>
                    </w:p>
                    <w:p w14:paraId="40CDEDCC" w14:textId="77777777" w:rsidR="00EF7C8E" w:rsidRPr="007E3D69" w:rsidRDefault="00EF7C8E" w:rsidP="00115D3B">
                      <w:pPr>
                        <w:spacing w:line="360" w:lineRule="auto"/>
                        <w:rPr>
                          <w:sz w:val="16"/>
                          <w:szCs w:val="16"/>
                          <w:lang w:val="pt-PT"/>
                        </w:rPr>
                      </w:pPr>
                      <w:r w:rsidRPr="007E3D69">
                        <w:rPr>
                          <w:sz w:val="16"/>
                          <w:szCs w:val="16"/>
                          <w:lang w:val="pt-PT"/>
                        </w:rPr>
                        <w:t xml:space="preserve">Alpelisib + fulv. (n/N = </w:t>
                      </w:r>
                      <w:r>
                        <w:rPr>
                          <w:sz w:val="16"/>
                          <w:szCs w:val="16"/>
                          <w:lang w:val="pt-PT"/>
                        </w:rPr>
                        <w:t>87</w:t>
                      </w:r>
                      <w:r w:rsidRPr="007E3D69">
                        <w:rPr>
                          <w:sz w:val="16"/>
                          <w:szCs w:val="16"/>
                          <w:lang w:val="pt-PT"/>
                        </w:rPr>
                        <w:t>/169)</w:t>
                      </w:r>
                    </w:p>
                    <w:p w14:paraId="372872AB" w14:textId="77777777" w:rsidR="00EF7C8E" w:rsidRPr="007E3D69" w:rsidRDefault="00EF7C8E" w:rsidP="00115D3B">
                      <w:pPr>
                        <w:spacing w:line="360" w:lineRule="auto"/>
                        <w:rPr>
                          <w:sz w:val="16"/>
                          <w:szCs w:val="16"/>
                          <w:lang w:val="pt-PT"/>
                        </w:rPr>
                      </w:pPr>
                      <w:r w:rsidRPr="007E3D69">
                        <w:rPr>
                          <w:sz w:val="16"/>
                          <w:szCs w:val="16"/>
                          <w:lang w:val="pt-PT"/>
                        </w:rPr>
                        <w:t xml:space="preserve">Placebo + fulv. (n/N = </w:t>
                      </w:r>
                      <w:r>
                        <w:rPr>
                          <w:sz w:val="16"/>
                          <w:szCs w:val="16"/>
                          <w:lang w:val="pt-PT"/>
                        </w:rPr>
                        <w:t>94</w:t>
                      </w:r>
                      <w:r w:rsidRPr="007E3D69">
                        <w:rPr>
                          <w:sz w:val="16"/>
                          <w:szCs w:val="16"/>
                          <w:lang w:val="pt-PT"/>
                        </w:rPr>
                        <w:t>/172)</w:t>
                      </w:r>
                    </w:p>
                    <w:p w14:paraId="25C3CF82" w14:textId="77777777" w:rsidR="00EF7C8E" w:rsidRPr="007E3D69" w:rsidRDefault="00EF7C8E" w:rsidP="00115D3B">
                      <w:pPr>
                        <w:spacing w:line="360" w:lineRule="auto"/>
                        <w:rPr>
                          <w:sz w:val="16"/>
                          <w:szCs w:val="16"/>
                          <w:lang w:val="pt-PT"/>
                        </w:rPr>
                      </w:pPr>
                    </w:p>
                  </w:txbxContent>
                </v:textbox>
              </v:shape>
            </w:pict>
          </mc:Fallback>
        </mc:AlternateContent>
      </w:r>
      <w:r>
        <w:rPr>
          <w:noProof/>
        </w:rPr>
        <w:drawing>
          <wp:inline distT="0" distB="0" distL="0" distR="0" wp14:anchorId="52C32BDB" wp14:editId="247656FD">
            <wp:extent cx="5396231" cy="35244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396231" cy="3524434"/>
                    </a:xfrm>
                    <a:prstGeom prst="rect">
                      <a:avLst/>
                    </a:prstGeom>
                  </pic:spPr>
                </pic:pic>
              </a:graphicData>
            </a:graphic>
          </wp:inline>
        </w:drawing>
      </w:r>
    </w:p>
    <w:p w14:paraId="18C56E25" w14:textId="77777777" w:rsidR="00115D3B" w:rsidRDefault="00115D3B" w:rsidP="00115D3B">
      <w:pPr>
        <w:pStyle w:val="CommentText"/>
      </w:pPr>
    </w:p>
    <w:p w14:paraId="2879EEC0" w14:textId="507AF993" w:rsidR="00115D3B" w:rsidRPr="002408CB" w:rsidRDefault="00115D3B" w:rsidP="00115D3B">
      <w:pPr>
        <w:pStyle w:val="CommentText"/>
        <w:rPr>
          <w:szCs w:val="22"/>
        </w:rPr>
      </w:pPr>
      <w:r>
        <w:t>K</w:t>
      </w:r>
      <w:r w:rsidRPr="00832953">
        <w:rPr>
          <w:sz w:val="22"/>
          <w:szCs w:val="22"/>
        </w:rPr>
        <w:t>od pacijenata sa prethodn</w:t>
      </w:r>
      <w:r>
        <w:rPr>
          <w:sz w:val="22"/>
          <w:szCs w:val="22"/>
        </w:rPr>
        <w:t>o</w:t>
      </w:r>
      <w:r w:rsidRPr="00832953">
        <w:rPr>
          <w:sz w:val="22"/>
          <w:szCs w:val="22"/>
        </w:rPr>
        <w:t>m te</w:t>
      </w:r>
      <w:r>
        <w:rPr>
          <w:sz w:val="22"/>
          <w:szCs w:val="22"/>
        </w:rPr>
        <w:t>rapijom</w:t>
      </w:r>
      <w:r w:rsidRPr="00832953">
        <w:rPr>
          <w:sz w:val="22"/>
          <w:szCs w:val="22"/>
        </w:rPr>
        <w:t xml:space="preserve"> CDK4/6i (n=20), medijana OS u </w:t>
      </w:r>
      <w:r>
        <w:rPr>
          <w:sz w:val="22"/>
          <w:szCs w:val="22"/>
        </w:rPr>
        <w:t>grupi</w:t>
      </w:r>
      <w:r w:rsidRPr="00832953">
        <w:rPr>
          <w:sz w:val="22"/>
          <w:szCs w:val="22"/>
        </w:rPr>
        <w:t xml:space="preserve"> alpelisib plus fulvestrant bila je 29,8 meseci (95% CI: 6,7, 38,2) u poređenju sa 12,9 meseci (95% CI: 2,5, 34,6) u placebo plus fulvestrant </w:t>
      </w:r>
      <w:r>
        <w:rPr>
          <w:sz w:val="22"/>
          <w:szCs w:val="22"/>
        </w:rPr>
        <w:t xml:space="preserve">grupi </w:t>
      </w:r>
      <w:r w:rsidRPr="00832953">
        <w:rPr>
          <w:sz w:val="22"/>
          <w:szCs w:val="22"/>
        </w:rPr>
        <w:t>(HR=0,67; 95% CI: 0,21, 2,18).</w:t>
      </w:r>
    </w:p>
    <w:p w14:paraId="3171BDF6" w14:textId="77777777" w:rsidR="00C54595" w:rsidRPr="00CE48FF" w:rsidRDefault="00C54595" w:rsidP="00C54595">
      <w:pPr>
        <w:keepNext/>
        <w:shd w:val="clear" w:color="auto" w:fill="FFFFFF" w:themeFill="background1"/>
        <w:autoSpaceDE w:val="0"/>
        <w:autoSpaceDN w:val="0"/>
        <w:adjustRightInd w:val="0"/>
        <w:jc w:val="both"/>
        <w:rPr>
          <w:b/>
          <w:szCs w:val="22"/>
          <w:lang w:val="hr-HR"/>
        </w:rPr>
      </w:pPr>
    </w:p>
    <w:p w14:paraId="634CA5FE" w14:textId="47C74DF6" w:rsidR="00C10B32" w:rsidRPr="00C10B32" w:rsidRDefault="00C10B32" w:rsidP="00C54595">
      <w:pPr>
        <w:keepNext/>
        <w:shd w:val="clear" w:color="auto" w:fill="FFFFFF" w:themeFill="background1"/>
        <w:autoSpaceDE w:val="0"/>
        <w:autoSpaceDN w:val="0"/>
        <w:adjustRightInd w:val="0"/>
        <w:jc w:val="both"/>
        <w:rPr>
          <w:i/>
          <w:sz w:val="22"/>
          <w:szCs w:val="22"/>
          <w:u w:val="single"/>
          <w:lang w:val="hr-HR"/>
        </w:rPr>
      </w:pPr>
      <w:r w:rsidRPr="00C10B32">
        <w:rPr>
          <w:i/>
          <w:sz w:val="22"/>
          <w:szCs w:val="22"/>
          <w:u w:val="single"/>
          <w:lang w:val="hr-HR"/>
        </w:rPr>
        <w:t>Kohorta bez PIK3CA mutacije</w:t>
      </w:r>
    </w:p>
    <w:p w14:paraId="0E88FE7B"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r w:rsidRPr="00C10B32">
        <w:rPr>
          <w:sz w:val="22"/>
          <w:szCs w:val="22"/>
          <w:lang w:val="hr-HR"/>
        </w:rPr>
        <w:t xml:space="preserve">Nije uočena korist za PFS kod pacijenata čiji tumori </w:t>
      </w:r>
      <w:r w:rsidR="00D944EF">
        <w:rPr>
          <w:sz w:val="22"/>
          <w:szCs w:val="22"/>
          <w:lang w:val="hr-HR"/>
        </w:rPr>
        <w:t>nijesu</w:t>
      </w:r>
      <w:r w:rsidRPr="00C10B32">
        <w:rPr>
          <w:sz w:val="22"/>
          <w:szCs w:val="22"/>
          <w:lang w:val="hr-HR"/>
        </w:rPr>
        <w:t xml:space="preserve"> imali PIK3CA mutaciju u tkivu.</w:t>
      </w:r>
    </w:p>
    <w:p w14:paraId="38977C2A"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p>
    <w:p w14:paraId="26833C0A" w14:textId="77777777" w:rsidR="00C10B32" w:rsidRPr="00C10B32" w:rsidRDefault="00C10B32" w:rsidP="006703B2">
      <w:pPr>
        <w:keepNext/>
        <w:autoSpaceDE w:val="0"/>
        <w:autoSpaceDN w:val="0"/>
        <w:adjustRightInd w:val="0"/>
        <w:jc w:val="both"/>
        <w:rPr>
          <w:i/>
          <w:sz w:val="22"/>
          <w:szCs w:val="22"/>
          <w:u w:val="single"/>
          <w:lang w:val="hr-HR"/>
        </w:rPr>
      </w:pPr>
      <w:r w:rsidRPr="00C10B32">
        <w:rPr>
          <w:i/>
          <w:sz w:val="22"/>
          <w:szCs w:val="22"/>
          <w:u w:val="single"/>
          <w:lang w:val="hr-HR"/>
        </w:rPr>
        <w:t xml:space="preserve">Prethodna </w:t>
      </w:r>
      <w:r w:rsidR="00C21CF1">
        <w:rPr>
          <w:i/>
          <w:sz w:val="22"/>
          <w:szCs w:val="22"/>
          <w:u w:val="single"/>
          <w:lang w:val="hr-HR"/>
        </w:rPr>
        <w:t>primjen</w:t>
      </w:r>
      <w:r w:rsidRPr="00C10B32">
        <w:rPr>
          <w:i/>
          <w:sz w:val="22"/>
          <w:szCs w:val="22"/>
          <w:u w:val="single"/>
          <w:lang w:val="hr-HR"/>
        </w:rPr>
        <w:t>a fulvestranta u ispitivanju CBYL719X2102</w:t>
      </w:r>
    </w:p>
    <w:p w14:paraId="13A30AE0" w14:textId="1798ABF5" w:rsidR="00C10B32" w:rsidRPr="00C10B32" w:rsidRDefault="00C10B32" w:rsidP="006703B2">
      <w:pPr>
        <w:shd w:val="clear" w:color="auto" w:fill="FFFFFF" w:themeFill="background1"/>
        <w:autoSpaceDE w:val="0"/>
        <w:autoSpaceDN w:val="0"/>
        <w:adjustRightInd w:val="0"/>
        <w:jc w:val="both"/>
        <w:rPr>
          <w:sz w:val="22"/>
          <w:szCs w:val="22"/>
          <w:lang w:val="hr-HR"/>
        </w:rPr>
      </w:pPr>
      <w:r w:rsidRPr="00C10B32">
        <w:rPr>
          <w:sz w:val="22"/>
          <w:szCs w:val="22"/>
          <w:lang w:val="hr-HR"/>
        </w:rPr>
        <w:t xml:space="preserve">Pacijenti koji su prethodno </w:t>
      </w:r>
      <w:r w:rsidR="00295316">
        <w:rPr>
          <w:sz w:val="22"/>
          <w:szCs w:val="22"/>
          <w:lang w:val="hr-HR"/>
        </w:rPr>
        <w:t>liječeni</w:t>
      </w:r>
      <w:r w:rsidRPr="00C10B32">
        <w:rPr>
          <w:sz w:val="22"/>
          <w:szCs w:val="22"/>
          <w:lang w:val="hr-HR"/>
        </w:rPr>
        <w:t xml:space="preserve"> fulvestrantom </w:t>
      </w:r>
      <w:r w:rsidR="00D944EF">
        <w:rPr>
          <w:sz w:val="22"/>
          <w:szCs w:val="22"/>
          <w:lang w:val="hr-HR"/>
        </w:rPr>
        <w:t>nijesu</w:t>
      </w:r>
      <w:r w:rsidRPr="00C10B32">
        <w:rPr>
          <w:sz w:val="22"/>
          <w:szCs w:val="22"/>
          <w:lang w:val="hr-HR"/>
        </w:rPr>
        <w:t xml:space="preserve"> učestvovali u pivotalnom ispitivanju. U ispitivanju CBYL719X2101 faze I, 39 ispitanika prijavilo je da je prethodno l</w:t>
      </w:r>
      <w:r w:rsidR="006703B2">
        <w:rPr>
          <w:sz w:val="22"/>
          <w:szCs w:val="22"/>
          <w:lang w:val="hr-HR"/>
        </w:rPr>
        <w:t>ij</w:t>
      </w:r>
      <w:r w:rsidRPr="00C10B32">
        <w:rPr>
          <w:sz w:val="22"/>
          <w:szCs w:val="22"/>
          <w:lang w:val="hr-HR"/>
        </w:rPr>
        <w:t xml:space="preserve">ečeno fulvestrantom. Najbolji sveukupni odgovori na </w:t>
      </w:r>
      <w:r w:rsidR="00B66BE0">
        <w:rPr>
          <w:sz w:val="22"/>
          <w:szCs w:val="22"/>
          <w:lang w:val="hr-HR"/>
        </w:rPr>
        <w:t>liječenj</w:t>
      </w:r>
      <w:r w:rsidRPr="00C10B32">
        <w:rPr>
          <w:sz w:val="22"/>
          <w:szCs w:val="22"/>
          <w:lang w:val="hr-HR"/>
        </w:rPr>
        <w:t>e alpelisibom zajedno sa fulvestrantom za 21 ispitanika sa PIK3CA mutacijama i m</w:t>
      </w:r>
      <w:r w:rsidR="006703B2">
        <w:rPr>
          <w:sz w:val="22"/>
          <w:szCs w:val="22"/>
          <w:lang w:val="hr-HR"/>
        </w:rPr>
        <w:t>j</w:t>
      </w:r>
      <w:r w:rsidRPr="00C10B32">
        <w:rPr>
          <w:sz w:val="22"/>
          <w:szCs w:val="22"/>
          <w:lang w:val="hr-HR"/>
        </w:rPr>
        <w:t>erljivom bolešću na početku bili su d</w:t>
      </w:r>
      <w:r w:rsidR="00A2103E">
        <w:rPr>
          <w:sz w:val="22"/>
          <w:szCs w:val="22"/>
          <w:lang w:val="hr-HR"/>
        </w:rPr>
        <w:t>j</w:t>
      </w:r>
      <w:r w:rsidRPr="00C10B32">
        <w:rPr>
          <w:sz w:val="22"/>
          <w:szCs w:val="22"/>
          <w:lang w:val="hr-HR"/>
        </w:rPr>
        <w:t xml:space="preserve">elimičan odgovor kod 7 ispitanika, stabilna bolest kod 11 ispitanika i progresivna bolest kod 2 ispitanika. Stoga dokaz efikasnosti ovog </w:t>
      </w:r>
      <w:r w:rsidR="00B66BE0">
        <w:rPr>
          <w:sz w:val="22"/>
          <w:szCs w:val="22"/>
          <w:lang w:val="hr-HR"/>
        </w:rPr>
        <w:t>liječenj</w:t>
      </w:r>
      <w:r w:rsidRPr="00C10B32">
        <w:rPr>
          <w:sz w:val="22"/>
          <w:szCs w:val="22"/>
          <w:lang w:val="hr-HR"/>
        </w:rPr>
        <w:t xml:space="preserve">a kod pacijenata koji su prethodno </w:t>
      </w:r>
      <w:r w:rsidR="00295316">
        <w:rPr>
          <w:sz w:val="22"/>
          <w:szCs w:val="22"/>
          <w:lang w:val="hr-HR"/>
        </w:rPr>
        <w:t>liječeni</w:t>
      </w:r>
      <w:r w:rsidRPr="00C10B32">
        <w:rPr>
          <w:sz w:val="22"/>
          <w:szCs w:val="22"/>
          <w:lang w:val="hr-HR"/>
        </w:rPr>
        <w:t xml:space="preserve"> fulvestrantom nije ustanovljen zbog trenutno ograničenih podataka (</w:t>
      </w:r>
      <w:r w:rsidR="00EF7C8E">
        <w:rPr>
          <w:sz w:val="22"/>
          <w:szCs w:val="22"/>
          <w:lang w:val="hr-HR"/>
        </w:rPr>
        <w:t>pogledati dio</w:t>
      </w:r>
      <w:r w:rsidRPr="00C10B32">
        <w:rPr>
          <w:sz w:val="22"/>
          <w:szCs w:val="22"/>
          <w:lang w:val="hr-HR"/>
        </w:rPr>
        <w:t xml:space="preserve"> 4.4).</w:t>
      </w:r>
    </w:p>
    <w:p w14:paraId="70E4F289" w14:textId="77777777" w:rsidR="00C10B32" w:rsidRPr="00C10B32" w:rsidRDefault="00C10B32" w:rsidP="006703B2">
      <w:pPr>
        <w:shd w:val="clear" w:color="auto" w:fill="FFFFFF" w:themeFill="background1"/>
        <w:autoSpaceDE w:val="0"/>
        <w:autoSpaceDN w:val="0"/>
        <w:adjustRightInd w:val="0"/>
        <w:jc w:val="both"/>
        <w:rPr>
          <w:sz w:val="22"/>
          <w:szCs w:val="22"/>
          <w:lang w:val="hr-HR"/>
        </w:rPr>
      </w:pPr>
    </w:p>
    <w:p w14:paraId="1A3976B2" w14:textId="77777777" w:rsidR="00C10B32" w:rsidRPr="00C10B32" w:rsidRDefault="00C10B32" w:rsidP="006703B2">
      <w:pPr>
        <w:keepNext/>
        <w:shd w:val="clear" w:color="auto" w:fill="FFFFFF" w:themeFill="background1"/>
        <w:jc w:val="both"/>
        <w:rPr>
          <w:bCs/>
          <w:iCs/>
          <w:sz w:val="22"/>
          <w:szCs w:val="22"/>
          <w:lang w:val="hr-HR"/>
        </w:rPr>
      </w:pPr>
      <w:r w:rsidRPr="00C10B32">
        <w:rPr>
          <w:bCs/>
          <w:iCs/>
          <w:sz w:val="22"/>
          <w:szCs w:val="22"/>
          <w:u w:val="single"/>
          <w:lang w:val="hr-HR"/>
        </w:rPr>
        <w:t>Pedijatrijska populacija</w:t>
      </w:r>
    </w:p>
    <w:p w14:paraId="298B4722" w14:textId="77777777" w:rsidR="00C10B32" w:rsidRPr="00C10B32" w:rsidRDefault="00C10B32" w:rsidP="006703B2">
      <w:pPr>
        <w:keepNext/>
        <w:shd w:val="clear" w:color="auto" w:fill="FFFFFF" w:themeFill="background1"/>
        <w:jc w:val="both"/>
        <w:rPr>
          <w:bCs/>
          <w:iCs/>
          <w:sz w:val="22"/>
          <w:szCs w:val="22"/>
          <w:lang w:val="hr-HR"/>
        </w:rPr>
      </w:pPr>
    </w:p>
    <w:p w14:paraId="5F34AD3B" w14:textId="55930669" w:rsidR="00C10B32" w:rsidRPr="00C10B32" w:rsidRDefault="00C10B32" w:rsidP="006703B2">
      <w:pPr>
        <w:shd w:val="clear" w:color="auto" w:fill="FFFFFF" w:themeFill="background1"/>
        <w:jc w:val="both"/>
        <w:rPr>
          <w:sz w:val="22"/>
          <w:szCs w:val="22"/>
          <w:lang w:val="hr-HR"/>
        </w:rPr>
      </w:pPr>
      <w:r w:rsidRPr="00C10B32">
        <w:rPr>
          <w:sz w:val="22"/>
          <w:szCs w:val="22"/>
          <w:lang w:val="hr-HR"/>
        </w:rPr>
        <w:t>Evropska agencija za l</w:t>
      </w:r>
      <w:r w:rsidR="006703B2">
        <w:rPr>
          <w:sz w:val="22"/>
          <w:szCs w:val="22"/>
          <w:lang w:val="hr-HR"/>
        </w:rPr>
        <w:t>j</w:t>
      </w:r>
      <w:r w:rsidRPr="00C10B32">
        <w:rPr>
          <w:sz w:val="22"/>
          <w:szCs w:val="22"/>
          <w:lang w:val="hr-HR"/>
        </w:rPr>
        <w:t xml:space="preserve">ekove izuzela je od obaveze podnošenje rezultata ispitivanja </w:t>
      </w:r>
      <w:r w:rsidR="00A2103E" w:rsidRPr="00C10B32">
        <w:rPr>
          <w:sz w:val="22"/>
          <w:szCs w:val="22"/>
          <w:lang w:val="hr-HR"/>
        </w:rPr>
        <w:t>l</w:t>
      </w:r>
      <w:r w:rsidR="00A2103E">
        <w:rPr>
          <w:sz w:val="22"/>
          <w:szCs w:val="22"/>
          <w:lang w:val="hr-HR"/>
        </w:rPr>
        <w:t>ij</w:t>
      </w:r>
      <w:r w:rsidR="00A2103E" w:rsidRPr="00C10B32">
        <w:rPr>
          <w:sz w:val="22"/>
          <w:szCs w:val="22"/>
          <w:lang w:val="hr-HR"/>
        </w:rPr>
        <w:t xml:space="preserve">eka </w:t>
      </w:r>
      <w:r w:rsidRPr="00C10B32">
        <w:rPr>
          <w:sz w:val="22"/>
          <w:szCs w:val="22"/>
          <w:lang w:val="hr-HR"/>
        </w:rPr>
        <w:t xml:space="preserve">Piqray u svim podgrupama pedijatrijske populacije za </w:t>
      </w:r>
      <w:r w:rsidR="00A2103E">
        <w:rPr>
          <w:sz w:val="22"/>
          <w:szCs w:val="22"/>
          <w:lang w:val="hr-HR"/>
        </w:rPr>
        <w:t>karcinom</w:t>
      </w:r>
      <w:r w:rsidR="00A2103E" w:rsidRPr="00C10B32">
        <w:rPr>
          <w:sz w:val="22"/>
          <w:szCs w:val="22"/>
          <w:lang w:val="hr-HR"/>
        </w:rPr>
        <w:t xml:space="preserve"> </w:t>
      </w:r>
      <w:r w:rsidRPr="00C10B32">
        <w:rPr>
          <w:sz w:val="22"/>
          <w:szCs w:val="22"/>
          <w:lang w:val="hr-HR"/>
        </w:rPr>
        <w:t>dojke</w:t>
      </w:r>
      <w:r w:rsidRPr="00C10B32">
        <w:rPr>
          <w:color w:val="008000"/>
          <w:sz w:val="22"/>
          <w:szCs w:val="22"/>
          <w:lang w:val="hr-HR"/>
        </w:rPr>
        <w:t xml:space="preserve"> </w:t>
      </w:r>
      <w:r w:rsidRPr="00C10B32">
        <w:rPr>
          <w:sz w:val="22"/>
          <w:szCs w:val="22"/>
          <w:lang w:val="hr-HR"/>
        </w:rPr>
        <w:t>(</w:t>
      </w:r>
      <w:r w:rsidR="00EF7C8E">
        <w:rPr>
          <w:sz w:val="22"/>
          <w:szCs w:val="22"/>
          <w:lang w:val="hr-HR"/>
        </w:rPr>
        <w:t>pogledati dio</w:t>
      </w:r>
      <w:r w:rsidRPr="00C10B32">
        <w:rPr>
          <w:sz w:val="22"/>
          <w:szCs w:val="22"/>
          <w:lang w:val="hr-HR"/>
        </w:rPr>
        <w:t xml:space="preserve"> 4.2 za informacije o upotrebi u pedijatrijskoj populaciji).</w:t>
      </w:r>
    </w:p>
    <w:p w14:paraId="02E68E06" w14:textId="77777777" w:rsidR="00C10B32" w:rsidRPr="0082654D" w:rsidRDefault="00C10B32" w:rsidP="00480FB1">
      <w:pPr>
        <w:tabs>
          <w:tab w:val="left" w:pos="540"/>
          <w:tab w:val="left" w:pos="569"/>
        </w:tabs>
        <w:rPr>
          <w:b/>
          <w:bCs/>
          <w:sz w:val="22"/>
          <w:szCs w:val="22"/>
        </w:rPr>
      </w:pPr>
    </w:p>
    <w:p w14:paraId="61E32AA2" w14:textId="77777777" w:rsidR="0072020E" w:rsidRPr="0082654D" w:rsidRDefault="0072020E" w:rsidP="00480FB1">
      <w:pPr>
        <w:tabs>
          <w:tab w:val="left" w:pos="540"/>
          <w:tab w:val="left" w:pos="569"/>
        </w:tabs>
        <w:rPr>
          <w:b/>
          <w:bCs/>
          <w:sz w:val="22"/>
          <w:szCs w:val="22"/>
        </w:rPr>
      </w:pPr>
      <w:r w:rsidRPr="0082654D">
        <w:rPr>
          <w:b/>
          <w:bCs/>
          <w:sz w:val="22"/>
          <w:szCs w:val="22"/>
        </w:rPr>
        <w:t xml:space="preserve">5.2. </w:t>
      </w:r>
      <w:r w:rsidR="00480FB1" w:rsidRPr="0082654D">
        <w:rPr>
          <w:b/>
          <w:bCs/>
          <w:sz w:val="22"/>
          <w:szCs w:val="22"/>
        </w:rPr>
        <w:tab/>
      </w:r>
      <w:r w:rsidRPr="0082654D">
        <w:rPr>
          <w:b/>
          <w:bCs/>
          <w:sz w:val="22"/>
          <w:szCs w:val="22"/>
        </w:rPr>
        <w:t>Farmakokinetički podaci</w:t>
      </w:r>
      <w:r w:rsidR="003A7059" w:rsidRPr="0082654D">
        <w:rPr>
          <w:b/>
          <w:bCs/>
          <w:sz w:val="22"/>
          <w:szCs w:val="22"/>
        </w:rPr>
        <w:t xml:space="preserve"> </w:t>
      </w:r>
    </w:p>
    <w:p w14:paraId="62E77A5E" w14:textId="77777777" w:rsidR="0072020E" w:rsidRPr="00C10B32" w:rsidRDefault="0072020E" w:rsidP="006703B2">
      <w:pPr>
        <w:tabs>
          <w:tab w:val="left" w:pos="540"/>
          <w:tab w:val="left" w:pos="569"/>
        </w:tabs>
        <w:jc w:val="both"/>
        <w:rPr>
          <w:bCs/>
          <w:sz w:val="22"/>
          <w:szCs w:val="22"/>
        </w:rPr>
      </w:pPr>
    </w:p>
    <w:p w14:paraId="0AC9E499" w14:textId="4F7BFD35" w:rsidR="00C10B32" w:rsidRPr="00C10B32" w:rsidRDefault="00C10B32" w:rsidP="006703B2">
      <w:pPr>
        <w:shd w:val="clear" w:color="auto" w:fill="FFFFFF" w:themeFill="background1"/>
        <w:jc w:val="both"/>
        <w:rPr>
          <w:sz w:val="22"/>
          <w:szCs w:val="22"/>
          <w:lang w:val="hr-HR"/>
        </w:rPr>
      </w:pPr>
      <w:r w:rsidRPr="00C10B32">
        <w:rPr>
          <w:bCs/>
          <w:sz w:val="22"/>
          <w:szCs w:val="22"/>
          <w:lang w:val="hr-HR"/>
        </w:rPr>
        <w:t xml:space="preserve">Farmakokinetika alpelisiba ispitivana je kod pacijenata koji su </w:t>
      </w:r>
      <w:r w:rsidR="00E12644">
        <w:rPr>
          <w:bCs/>
          <w:sz w:val="22"/>
          <w:szCs w:val="22"/>
          <w:lang w:val="hr-HR"/>
        </w:rPr>
        <w:t>bili</w:t>
      </w:r>
      <w:r w:rsidRPr="00C10B32">
        <w:rPr>
          <w:bCs/>
          <w:sz w:val="22"/>
          <w:szCs w:val="22"/>
          <w:lang w:val="hr-HR"/>
        </w:rPr>
        <w:t xml:space="preserve"> </w:t>
      </w:r>
      <w:r w:rsidR="00E12644">
        <w:rPr>
          <w:bCs/>
          <w:sz w:val="22"/>
          <w:szCs w:val="22"/>
          <w:lang w:val="hr-HR"/>
        </w:rPr>
        <w:t xml:space="preserve">na </w:t>
      </w:r>
      <w:r w:rsidR="00E12644" w:rsidRPr="00C10B32">
        <w:rPr>
          <w:bCs/>
          <w:sz w:val="22"/>
          <w:szCs w:val="22"/>
          <w:lang w:val="hr-HR"/>
        </w:rPr>
        <w:t>peroraln</w:t>
      </w:r>
      <w:r w:rsidR="00E12644">
        <w:rPr>
          <w:bCs/>
          <w:sz w:val="22"/>
          <w:szCs w:val="22"/>
          <w:lang w:val="hr-HR"/>
        </w:rPr>
        <w:t>om</w:t>
      </w:r>
      <w:r w:rsidR="00E12644" w:rsidRPr="00C10B32">
        <w:rPr>
          <w:bCs/>
          <w:sz w:val="22"/>
          <w:szCs w:val="22"/>
          <w:lang w:val="hr-HR"/>
        </w:rPr>
        <w:t xml:space="preserve"> </w:t>
      </w:r>
      <w:r w:rsidRPr="00C10B32">
        <w:rPr>
          <w:bCs/>
          <w:sz w:val="22"/>
          <w:szCs w:val="22"/>
          <w:lang w:val="hr-HR"/>
        </w:rPr>
        <w:t>režim</w:t>
      </w:r>
      <w:r w:rsidR="00E12644">
        <w:rPr>
          <w:bCs/>
          <w:sz w:val="22"/>
          <w:szCs w:val="22"/>
          <w:lang w:val="hr-HR"/>
        </w:rPr>
        <w:t>u</w:t>
      </w:r>
      <w:r w:rsidRPr="00C10B32">
        <w:rPr>
          <w:bCs/>
          <w:sz w:val="22"/>
          <w:szCs w:val="22"/>
          <w:lang w:val="hr-HR"/>
        </w:rPr>
        <w:t xml:space="preserve"> doziranja u rasponu od 30 do 450 mg dnevno. Zdravi ispitanici primali su jednokratne peroralne doze u rasponu od 300 do 400 mg. Farmakokinetika je bila uporediva kod onkoloških i kod zdravih ispitanika.</w:t>
      </w:r>
    </w:p>
    <w:p w14:paraId="7E536D90" w14:textId="77777777" w:rsidR="00C10B32" w:rsidRPr="00C10B32" w:rsidRDefault="00C10B32" w:rsidP="006703B2">
      <w:pPr>
        <w:keepNext/>
        <w:numPr>
          <w:ilvl w:val="12"/>
          <w:numId w:val="0"/>
        </w:numPr>
        <w:shd w:val="clear" w:color="auto" w:fill="FFFFFF" w:themeFill="background1"/>
        <w:ind w:right="-2"/>
        <w:jc w:val="both"/>
        <w:rPr>
          <w:sz w:val="22"/>
          <w:szCs w:val="22"/>
          <w:u w:val="single"/>
          <w:lang w:val="hr-HR"/>
        </w:rPr>
      </w:pPr>
      <w:r w:rsidRPr="00C10B32">
        <w:rPr>
          <w:sz w:val="22"/>
          <w:szCs w:val="22"/>
          <w:u w:val="single"/>
          <w:lang w:val="hr-HR"/>
        </w:rPr>
        <w:lastRenderedPageBreak/>
        <w:t>Resorpcija</w:t>
      </w:r>
    </w:p>
    <w:p w14:paraId="619F1F0D" w14:textId="77777777" w:rsidR="00C10B32" w:rsidRPr="00C10B32" w:rsidRDefault="00C10B32" w:rsidP="006703B2">
      <w:pPr>
        <w:keepNext/>
        <w:numPr>
          <w:ilvl w:val="12"/>
          <w:numId w:val="0"/>
        </w:numPr>
        <w:shd w:val="clear" w:color="auto" w:fill="FFFFFF" w:themeFill="background1"/>
        <w:ind w:right="-2"/>
        <w:jc w:val="both"/>
        <w:rPr>
          <w:sz w:val="22"/>
          <w:szCs w:val="22"/>
          <w:lang w:val="hr-HR"/>
        </w:rPr>
      </w:pPr>
    </w:p>
    <w:p w14:paraId="30772BBC" w14:textId="77777777" w:rsidR="00C10B32" w:rsidRPr="00C10B32" w:rsidRDefault="00C10B32" w:rsidP="006703B2">
      <w:pPr>
        <w:numPr>
          <w:ilvl w:val="12"/>
          <w:numId w:val="0"/>
        </w:numPr>
        <w:shd w:val="clear" w:color="auto" w:fill="FFFFFF" w:themeFill="background1"/>
        <w:jc w:val="both"/>
        <w:rPr>
          <w:sz w:val="22"/>
          <w:szCs w:val="22"/>
          <w:lang w:val="hr-HR"/>
        </w:rPr>
      </w:pPr>
      <w:r w:rsidRPr="00C10B32">
        <w:rPr>
          <w:sz w:val="22"/>
          <w:szCs w:val="22"/>
          <w:lang w:val="hr-HR"/>
        </w:rPr>
        <w:t xml:space="preserve">Medijana </w:t>
      </w:r>
      <w:r w:rsidR="00C233FD">
        <w:rPr>
          <w:sz w:val="22"/>
          <w:szCs w:val="22"/>
          <w:lang w:val="hr-HR"/>
        </w:rPr>
        <w:t>vremena</w:t>
      </w:r>
      <w:r w:rsidRPr="00C10B32">
        <w:rPr>
          <w:sz w:val="22"/>
          <w:szCs w:val="22"/>
          <w:lang w:val="hr-HR"/>
        </w:rPr>
        <w:t xml:space="preserve"> do postizanja pik</w:t>
      </w:r>
      <w:r w:rsidR="00E12644">
        <w:rPr>
          <w:sz w:val="22"/>
          <w:szCs w:val="22"/>
          <w:lang w:val="hr-HR"/>
        </w:rPr>
        <w:t>a</w:t>
      </w:r>
      <w:r w:rsidRPr="00C10B32">
        <w:rPr>
          <w:sz w:val="22"/>
          <w:szCs w:val="22"/>
          <w:lang w:val="hr-HR"/>
        </w:rPr>
        <w:t xml:space="preserve"> koncentracije u plazmi (T</w:t>
      </w:r>
      <w:r w:rsidRPr="00C10B32">
        <w:rPr>
          <w:sz w:val="22"/>
          <w:szCs w:val="22"/>
          <w:vertAlign w:val="subscript"/>
          <w:lang w:val="hr-HR"/>
        </w:rPr>
        <w:t>max</w:t>
      </w:r>
      <w:r w:rsidRPr="00C10B32">
        <w:rPr>
          <w:sz w:val="22"/>
          <w:szCs w:val="22"/>
          <w:lang w:val="hr-HR"/>
        </w:rPr>
        <w:t xml:space="preserve">) nakon peroralne </w:t>
      </w:r>
      <w:r w:rsidR="00C21CF1">
        <w:rPr>
          <w:sz w:val="22"/>
          <w:szCs w:val="22"/>
          <w:lang w:val="hr-HR"/>
        </w:rPr>
        <w:t>primjen</w:t>
      </w:r>
      <w:r w:rsidRPr="00C10B32">
        <w:rPr>
          <w:sz w:val="22"/>
          <w:szCs w:val="22"/>
          <w:lang w:val="hr-HR"/>
        </w:rPr>
        <w:t xml:space="preserve">e alpelisiba bila je u rasponu od 2,0 do 4,0 sata, nezavisno od doze, </w:t>
      </w:r>
      <w:r w:rsidR="00C233FD">
        <w:rPr>
          <w:sz w:val="22"/>
          <w:szCs w:val="22"/>
          <w:lang w:val="hr-HR"/>
        </w:rPr>
        <w:t>vremena</w:t>
      </w:r>
      <w:r w:rsidRPr="00C10B32">
        <w:rPr>
          <w:sz w:val="22"/>
          <w:szCs w:val="22"/>
          <w:lang w:val="hr-HR"/>
        </w:rPr>
        <w:t xml:space="preserve"> ili režima. Na osnovu modelovanja resorpcije</w:t>
      </w:r>
      <w:r w:rsidR="00A2103E">
        <w:rPr>
          <w:sz w:val="22"/>
          <w:szCs w:val="22"/>
          <w:lang w:val="hr-HR"/>
        </w:rPr>
        <w:t>,</w:t>
      </w:r>
      <w:r w:rsidRPr="00C10B32">
        <w:rPr>
          <w:sz w:val="22"/>
          <w:szCs w:val="22"/>
          <w:lang w:val="hr-HR"/>
        </w:rPr>
        <w:t xml:space="preserve"> proc</w:t>
      </w:r>
      <w:r w:rsidR="006703B2">
        <w:rPr>
          <w:sz w:val="22"/>
          <w:szCs w:val="22"/>
          <w:lang w:val="hr-HR"/>
        </w:rPr>
        <w:t>ij</w:t>
      </w:r>
      <w:r w:rsidRPr="00C10B32">
        <w:rPr>
          <w:sz w:val="22"/>
          <w:szCs w:val="22"/>
          <w:lang w:val="hr-HR"/>
        </w:rPr>
        <w:t>enjeno je da je bioraspoloživost vrlo visoka (&gt;99%) u stanju sitosti, niža u stanju natašte (~68,7% pri dozi od 300 mg)</w:t>
      </w:r>
      <w:r w:rsidRPr="00C10B32">
        <w:rPr>
          <w:color w:val="0000FF"/>
          <w:sz w:val="22"/>
          <w:szCs w:val="22"/>
          <w:lang w:val="hr-HR"/>
        </w:rPr>
        <w:t>.</w:t>
      </w:r>
      <w:r w:rsidRPr="00C10B32">
        <w:rPr>
          <w:sz w:val="22"/>
          <w:szCs w:val="22"/>
          <w:lang w:val="hr-HR"/>
        </w:rPr>
        <w:t xml:space="preserve"> Postizanje plazmatskih nivoa u stanju dinamičke ravnoteže kod svakodnevnog doziranja alpelisiba može da se očekuje 3. dana nakon početka terapije kod većine pacijenata. </w:t>
      </w:r>
    </w:p>
    <w:p w14:paraId="66D5A85B" w14:textId="77777777" w:rsidR="00C10B32" w:rsidRPr="00C10B32" w:rsidRDefault="00C10B32" w:rsidP="006703B2">
      <w:pPr>
        <w:numPr>
          <w:ilvl w:val="12"/>
          <w:numId w:val="0"/>
        </w:numPr>
        <w:shd w:val="clear" w:color="auto" w:fill="FFFFFF" w:themeFill="background1"/>
        <w:jc w:val="both"/>
        <w:rPr>
          <w:sz w:val="22"/>
          <w:szCs w:val="22"/>
          <w:lang w:val="hr-HR"/>
        </w:rPr>
      </w:pPr>
    </w:p>
    <w:p w14:paraId="2DA89BD4" w14:textId="77777777" w:rsidR="00C10B32" w:rsidRPr="00C10B32" w:rsidRDefault="00C10B32" w:rsidP="006703B2">
      <w:pPr>
        <w:keepNext/>
        <w:numPr>
          <w:ilvl w:val="12"/>
          <w:numId w:val="0"/>
        </w:numPr>
        <w:shd w:val="clear" w:color="auto" w:fill="FFFFFF" w:themeFill="background1"/>
        <w:ind w:right="-2"/>
        <w:jc w:val="both"/>
        <w:rPr>
          <w:i/>
          <w:sz w:val="22"/>
          <w:szCs w:val="22"/>
          <w:u w:val="single"/>
          <w:lang w:val="hr-HR"/>
        </w:rPr>
      </w:pPr>
      <w:r w:rsidRPr="00C10B32">
        <w:rPr>
          <w:i/>
          <w:sz w:val="22"/>
          <w:szCs w:val="22"/>
          <w:u w:val="single"/>
          <w:lang w:val="hr-HR"/>
        </w:rPr>
        <w:t>Efekat hrane</w:t>
      </w:r>
    </w:p>
    <w:p w14:paraId="386ED5A7" w14:textId="77777777" w:rsidR="00C10B32" w:rsidRPr="00C10B32" w:rsidRDefault="00C10B32" w:rsidP="006703B2">
      <w:pPr>
        <w:numPr>
          <w:ilvl w:val="12"/>
          <w:numId w:val="0"/>
        </w:numPr>
        <w:shd w:val="clear" w:color="auto" w:fill="FFFFFF" w:themeFill="background1"/>
        <w:ind w:right="-2"/>
        <w:jc w:val="both"/>
        <w:rPr>
          <w:sz w:val="22"/>
          <w:szCs w:val="22"/>
          <w:lang w:val="hr-HR"/>
        </w:rPr>
      </w:pPr>
      <w:r w:rsidRPr="00C10B32">
        <w:rPr>
          <w:bCs/>
          <w:sz w:val="22"/>
          <w:szCs w:val="22"/>
          <w:lang w:val="hr-HR"/>
        </w:rPr>
        <w:t>Hrana utiče na resorpciju alpelisiba</w:t>
      </w:r>
      <w:r w:rsidRPr="00C10B32">
        <w:rPr>
          <w:sz w:val="22"/>
          <w:szCs w:val="22"/>
          <w:lang w:val="hr-HR"/>
        </w:rPr>
        <w:t>. Kod zdravih dobrovoljaca nakon jednokratne peroralne doze alpelisiba od 300 mg, u poređenju sa stanjem natašte, obrok visokog ud</w:t>
      </w:r>
      <w:r w:rsidR="003764F0">
        <w:rPr>
          <w:sz w:val="22"/>
          <w:szCs w:val="22"/>
          <w:lang w:val="hr-HR"/>
        </w:rPr>
        <w:t>j</w:t>
      </w:r>
      <w:r w:rsidRPr="00C10B32">
        <w:rPr>
          <w:sz w:val="22"/>
          <w:szCs w:val="22"/>
          <w:lang w:val="hr-HR"/>
        </w:rPr>
        <w:t xml:space="preserve">ela masti i kalorijske </w:t>
      </w:r>
      <w:r w:rsidR="002A51AB">
        <w:rPr>
          <w:sz w:val="22"/>
          <w:szCs w:val="22"/>
          <w:lang w:val="hr-HR"/>
        </w:rPr>
        <w:t>vrijednost</w:t>
      </w:r>
      <w:r w:rsidRPr="00C10B32">
        <w:rPr>
          <w:sz w:val="22"/>
          <w:szCs w:val="22"/>
          <w:lang w:val="hr-HR"/>
        </w:rPr>
        <w:t>i (</w:t>
      </w:r>
      <w:r w:rsidR="00E12644" w:rsidRPr="007D47DC">
        <w:rPr>
          <w:sz w:val="22"/>
          <w:szCs w:val="22"/>
          <w:lang w:val="hr-HR"/>
        </w:rPr>
        <w:t xml:space="preserve">engl. </w:t>
      </w:r>
      <w:r w:rsidR="00E12644" w:rsidRPr="007D47DC">
        <w:rPr>
          <w:i/>
          <w:sz w:val="22"/>
          <w:szCs w:val="22"/>
        </w:rPr>
        <w:t>high-fat high-calorie,</w:t>
      </w:r>
      <w:r w:rsidR="00E12644">
        <w:rPr>
          <w:i/>
          <w:szCs w:val="22"/>
        </w:rPr>
        <w:t xml:space="preserve"> </w:t>
      </w:r>
      <w:r w:rsidRPr="00C10B32">
        <w:rPr>
          <w:sz w:val="22"/>
          <w:szCs w:val="22"/>
          <w:lang w:val="hr-HR"/>
        </w:rPr>
        <w:t>HFHC) (985 kalorija i 58,1 g masti) povećao je PIK</w:t>
      </w:r>
      <w:r w:rsidRPr="00C10B32">
        <w:rPr>
          <w:sz w:val="22"/>
          <w:szCs w:val="22"/>
          <w:vertAlign w:val="subscript"/>
          <w:lang w:val="hr-HR"/>
        </w:rPr>
        <w:t>inf</w:t>
      </w:r>
      <w:r w:rsidRPr="00C10B32">
        <w:rPr>
          <w:sz w:val="22"/>
          <w:szCs w:val="22"/>
          <w:lang w:val="hr-HR"/>
        </w:rPr>
        <w:t xml:space="preserve"> za 73% i C</w:t>
      </w:r>
      <w:r w:rsidRPr="00C10B32">
        <w:rPr>
          <w:sz w:val="22"/>
          <w:szCs w:val="22"/>
          <w:vertAlign w:val="subscript"/>
          <w:lang w:val="hr-HR"/>
        </w:rPr>
        <w:t>max</w:t>
      </w:r>
      <w:r w:rsidRPr="00C10B32">
        <w:rPr>
          <w:sz w:val="22"/>
          <w:szCs w:val="22"/>
          <w:lang w:val="hr-HR"/>
        </w:rPr>
        <w:t xml:space="preserve"> za 84%, dok je obrok niskog ud</w:t>
      </w:r>
      <w:r w:rsidR="003764F0">
        <w:rPr>
          <w:sz w:val="22"/>
          <w:szCs w:val="22"/>
          <w:lang w:val="hr-HR"/>
        </w:rPr>
        <w:t>j</w:t>
      </w:r>
      <w:r w:rsidRPr="00C10B32">
        <w:rPr>
          <w:sz w:val="22"/>
          <w:szCs w:val="22"/>
          <w:lang w:val="hr-HR"/>
        </w:rPr>
        <w:t xml:space="preserve">ela masti i kalorijske </w:t>
      </w:r>
      <w:r w:rsidR="002A51AB">
        <w:rPr>
          <w:sz w:val="22"/>
          <w:szCs w:val="22"/>
          <w:lang w:val="hr-HR"/>
        </w:rPr>
        <w:t>vrijednost</w:t>
      </w:r>
      <w:r w:rsidRPr="00C10B32">
        <w:rPr>
          <w:sz w:val="22"/>
          <w:szCs w:val="22"/>
          <w:lang w:val="hr-HR"/>
        </w:rPr>
        <w:t>i (</w:t>
      </w:r>
      <w:r w:rsidR="007D47DC" w:rsidRPr="007D47DC">
        <w:rPr>
          <w:sz w:val="22"/>
          <w:szCs w:val="22"/>
          <w:lang w:val="hr-HR"/>
        </w:rPr>
        <w:t xml:space="preserve">engl. </w:t>
      </w:r>
      <w:r w:rsidR="007D47DC" w:rsidRPr="007D47DC">
        <w:rPr>
          <w:i/>
          <w:sz w:val="22"/>
          <w:szCs w:val="22"/>
          <w:lang w:val="hr-HR"/>
        </w:rPr>
        <w:t>low</w:t>
      </w:r>
      <w:r w:rsidR="007D47DC" w:rsidRPr="007D47DC">
        <w:rPr>
          <w:i/>
          <w:sz w:val="22"/>
          <w:szCs w:val="22"/>
        </w:rPr>
        <w:t>-fat low-calorie,</w:t>
      </w:r>
      <w:r w:rsidR="007D47DC">
        <w:rPr>
          <w:i/>
          <w:szCs w:val="22"/>
        </w:rPr>
        <w:t xml:space="preserve"> </w:t>
      </w:r>
      <w:r w:rsidRPr="00C10B32">
        <w:rPr>
          <w:sz w:val="22"/>
          <w:szCs w:val="22"/>
          <w:lang w:val="hr-HR"/>
        </w:rPr>
        <w:t>LFLC) (334 kalorija i 8,7 g masti) povećao PIK</w:t>
      </w:r>
      <w:r w:rsidRPr="00C10B32">
        <w:rPr>
          <w:sz w:val="22"/>
          <w:szCs w:val="22"/>
          <w:vertAlign w:val="subscript"/>
          <w:lang w:val="hr-HR"/>
        </w:rPr>
        <w:t>inf</w:t>
      </w:r>
      <w:r w:rsidRPr="00C10B32">
        <w:rPr>
          <w:sz w:val="22"/>
          <w:szCs w:val="22"/>
          <w:lang w:val="hr-HR"/>
        </w:rPr>
        <w:t xml:space="preserve"> za 77% i C</w:t>
      </w:r>
      <w:r w:rsidRPr="00C10B32">
        <w:rPr>
          <w:sz w:val="22"/>
          <w:szCs w:val="22"/>
          <w:vertAlign w:val="subscript"/>
          <w:lang w:val="hr-HR"/>
        </w:rPr>
        <w:t>max</w:t>
      </w:r>
      <w:r w:rsidRPr="00C10B32">
        <w:rPr>
          <w:sz w:val="22"/>
          <w:szCs w:val="22"/>
          <w:lang w:val="hr-HR"/>
        </w:rPr>
        <w:t xml:space="preserve"> za 145%. Nije bilo značajne razlike za PIK</w:t>
      </w:r>
      <w:r w:rsidRPr="00C10B32">
        <w:rPr>
          <w:sz w:val="22"/>
          <w:szCs w:val="22"/>
          <w:vertAlign w:val="subscript"/>
          <w:lang w:val="hr-HR"/>
        </w:rPr>
        <w:t>inf</w:t>
      </w:r>
      <w:r w:rsidRPr="00C10B32">
        <w:rPr>
          <w:sz w:val="22"/>
          <w:szCs w:val="22"/>
          <w:lang w:val="hr-HR"/>
        </w:rPr>
        <w:t xml:space="preserve"> između LFLC i HFHC obroka uz odnos geometrijskih srednjih </w:t>
      </w:r>
      <w:r w:rsidR="002A51AB">
        <w:rPr>
          <w:sz w:val="22"/>
          <w:szCs w:val="22"/>
          <w:lang w:val="hr-HR"/>
        </w:rPr>
        <w:t>vrijednost</w:t>
      </w:r>
      <w:r w:rsidRPr="00C10B32">
        <w:rPr>
          <w:sz w:val="22"/>
          <w:szCs w:val="22"/>
          <w:lang w:val="hr-HR"/>
        </w:rPr>
        <w:t xml:space="preserve">i 0,978 (CI: 0,876, 1,09), što pokazuje da ni </w:t>
      </w:r>
      <w:r w:rsidR="003764F0" w:rsidRPr="00C10B32">
        <w:rPr>
          <w:sz w:val="22"/>
          <w:szCs w:val="22"/>
          <w:lang w:val="hr-HR"/>
        </w:rPr>
        <w:t>ud</w:t>
      </w:r>
      <w:r w:rsidR="003764F0">
        <w:rPr>
          <w:sz w:val="22"/>
          <w:szCs w:val="22"/>
          <w:lang w:val="hr-HR"/>
        </w:rPr>
        <w:t>i</w:t>
      </w:r>
      <w:r w:rsidR="003764F0" w:rsidRPr="00C10B32">
        <w:rPr>
          <w:sz w:val="22"/>
          <w:szCs w:val="22"/>
          <w:lang w:val="hr-HR"/>
        </w:rPr>
        <w:t xml:space="preserve">o </w:t>
      </w:r>
      <w:r w:rsidRPr="00C10B32">
        <w:rPr>
          <w:sz w:val="22"/>
          <w:szCs w:val="22"/>
          <w:lang w:val="hr-HR"/>
        </w:rPr>
        <w:t>masti ni ukupni unos kalorija nemaju značajan učinak na resorpciju. Povećanje gastrointestinalne rastvorljivosti zbog žuči, koja se izlučuje nakon unosa hrane, mogući uzrok je efekat hrane. Zbog toga l</w:t>
      </w:r>
      <w:r w:rsidR="006703B2">
        <w:rPr>
          <w:sz w:val="22"/>
          <w:szCs w:val="22"/>
          <w:lang w:val="hr-HR"/>
        </w:rPr>
        <w:t>ij</w:t>
      </w:r>
      <w:r w:rsidRPr="00C10B32">
        <w:rPr>
          <w:sz w:val="22"/>
          <w:szCs w:val="22"/>
          <w:lang w:val="hr-HR"/>
        </w:rPr>
        <w:t xml:space="preserve">ek Piqray mora da se uzima neposredno nakon obroka u približno isto </w:t>
      </w:r>
      <w:r w:rsidR="00A26CAB">
        <w:rPr>
          <w:sz w:val="22"/>
          <w:szCs w:val="22"/>
          <w:lang w:val="hr-HR"/>
        </w:rPr>
        <w:t>vrijem</w:t>
      </w:r>
      <w:r w:rsidRPr="00C10B32">
        <w:rPr>
          <w:sz w:val="22"/>
          <w:szCs w:val="22"/>
          <w:lang w:val="hr-HR"/>
        </w:rPr>
        <w:t>e svakoga dana.</w:t>
      </w:r>
    </w:p>
    <w:p w14:paraId="0F074602" w14:textId="77777777" w:rsidR="00C10B32" w:rsidRPr="00C10B32" w:rsidRDefault="00C10B32" w:rsidP="006703B2">
      <w:pPr>
        <w:numPr>
          <w:ilvl w:val="12"/>
          <w:numId w:val="0"/>
        </w:numPr>
        <w:shd w:val="clear" w:color="auto" w:fill="FFFFFF" w:themeFill="background1"/>
        <w:ind w:right="-2"/>
        <w:jc w:val="both"/>
        <w:rPr>
          <w:sz w:val="22"/>
          <w:szCs w:val="22"/>
          <w:lang w:val="hr-HR"/>
        </w:rPr>
      </w:pPr>
    </w:p>
    <w:p w14:paraId="25156224" w14:textId="77777777" w:rsidR="00C10B32" w:rsidRPr="00C10B32" w:rsidRDefault="00C10B32" w:rsidP="006703B2">
      <w:pPr>
        <w:keepNext/>
        <w:numPr>
          <w:ilvl w:val="12"/>
          <w:numId w:val="0"/>
        </w:numPr>
        <w:shd w:val="clear" w:color="auto" w:fill="FFFFFF" w:themeFill="background1"/>
        <w:jc w:val="both"/>
        <w:rPr>
          <w:sz w:val="22"/>
          <w:szCs w:val="22"/>
          <w:lang w:val="hr-HR"/>
        </w:rPr>
      </w:pPr>
      <w:r w:rsidRPr="00C10B32">
        <w:rPr>
          <w:sz w:val="22"/>
          <w:szCs w:val="22"/>
          <w:u w:val="single"/>
          <w:lang w:val="hr-HR"/>
        </w:rPr>
        <w:t>Raspod</w:t>
      </w:r>
      <w:r w:rsidR="003764F0">
        <w:rPr>
          <w:sz w:val="22"/>
          <w:szCs w:val="22"/>
          <w:u w:val="single"/>
          <w:lang w:val="hr-HR"/>
        </w:rPr>
        <w:t>j</w:t>
      </w:r>
      <w:r w:rsidRPr="00C10B32">
        <w:rPr>
          <w:sz w:val="22"/>
          <w:szCs w:val="22"/>
          <w:u w:val="single"/>
          <w:lang w:val="hr-HR"/>
        </w:rPr>
        <w:t>ela</w:t>
      </w:r>
    </w:p>
    <w:p w14:paraId="4062C762" w14:textId="77777777" w:rsidR="00C10B32" w:rsidRPr="00C10B32" w:rsidRDefault="00C10B32" w:rsidP="006703B2">
      <w:pPr>
        <w:keepNext/>
        <w:numPr>
          <w:ilvl w:val="12"/>
          <w:numId w:val="0"/>
        </w:numPr>
        <w:shd w:val="clear" w:color="auto" w:fill="FFFFFF" w:themeFill="background1"/>
        <w:jc w:val="both"/>
        <w:rPr>
          <w:sz w:val="22"/>
          <w:szCs w:val="22"/>
          <w:lang w:val="hr-HR"/>
        </w:rPr>
      </w:pPr>
    </w:p>
    <w:p w14:paraId="2887DF4F" w14:textId="77777777" w:rsidR="00C10B32" w:rsidRPr="00C10B32" w:rsidRDefault="00C10B32" w:rsidP="006703B2">
      <w:pPr>
        <w:shd w:val="clear" w:color="auto" w:fill="FFFFFF" w:themeFill="background1"/>
        <w:jc w:val="both"/>
        <w:rPr>
          <w:sz w:val="22"/>
          <w:szCs w:val="22"/>
          <w:lang w:val="hr-HR"/>
        </w:rPr>
      </w:pPr>
      <w:r w:rsidRPr="00C10B32">
        <w:rPr>
          <w:sz w:val="22"/>
          <w:szCs w:val="22"/>
          <w:lang w:val="hr-HR"/>
        </w:rPr>
        <w:t>Alpelisib se um</w:t>
      </w:r>
      <w:r w:rsidR="006703B2">
        <w:rPr>
          <w:sz w:val="22"/>
          <w:szCs w:val="22"/>
          <w:lang w:val="hr-HR"/>
        </w:rPr>
        <w:t>j</w:t>
      </w:r>
      <w:r w:rsidRPr="00C10B32">
        <w:rPr>
          <w:sz w:val="22"/>
          <w:szCs w:val="22"/>
          <w:lang w:val="hr-HR"/>
        </w:rPr>
        <w:t xml:space="preserve">ereno vezuje za proteine uz </w:t>
      </w:r>
      <w:r w:rsidR="002A51AB">
        <w:rPr>
          <w:sz w:val="22"/>
          <w:szCs w:val="22"/>
          <w:lang w:val="hr-HR"/>
        </w:rPr>
        <w:t>vrijednost</w:t>
      </w:r>
      <w:r w:rsidRPr="00C10B32">
        <w:rPr>
          <w:sz w:val="22"/>
          <w:szCs w:val="22"/>
          <w:lang w:val="hr-HR"/>
        </w:rPr>
        <w:t xml:space="preserve"> slobodne frakcije od 10,8% nezavisno od koncentracije. Alpelisib se podjednako raspod</w:t>
      </w:r>
      <w:r w:rsidR="003764F0">
        <w:rPr>
          <w:sz w:val="22"/>
          <w:szCs w:val="22"/>
          <w:lang w:val="hr-HR"/>
        </w:rPr>
        <w:t>ij</w:t>
      </w:r>
      <w:r w:rsidRPr="00C10B32">
        <w:rPr>
          <w:sz w:val="22"/>
          <w:szCs w:val="22"/>
          <w:lang w:val="hr-HR"/>
        </w:rPr>
        <w:t xml:space="preserve">elio između eritrocita i plazme uz srednji </w:t>
      </w:r>
      <w:r w:rsidRPr="00C10B32">
        <w:rPr>
          <w:i/>
          <w:sz w:val="22"/>
          <w:szCs w:val="22"/>
          <w:lang w:val="hr-HR"/>
        </w:rPr>
        <w:t>in vivo</w:t>
      </w:r>
      <w:r w:rsidRPr="00C10B32">
        <w:rPr>
          <w:sz w:val="22"/>
          <w:szCs w:val="22"/>
          <w:lang w:val="hr-HR"/>
        </w:rPr>
        <w:t xml:space="preserve"> odnos krv</w:t>
      </w:r>
      <w:r w:rsidRPr="00C10B32">
        <w:rPr>
          <w:sz w:val="22"/>
          <w:szCs w:val="22"/>
          <w:lang w:val="hr-HR"/>
        </w:rPr>
        <w:noBreakHyphen/>
        <w:t>plazma od 1,03. Sa obzirom na to da je alpelisib supstrat humanih efluksnih transportera, ne očekuje se prolaz kroz krvno</w:t>
      </w:r>
      <w:r w:rsidRPr="00C10B32">
        <w:rPr>
          <w:sz w:val="22"/>
          <w:szCs w:val="22"/>
          <w:lang w:val="hr-HR"/>
        </w:rPr>
        <w:noBreakHyphen/>
        <w:t>moždanu barijeru kod ljudi. Volumen distribucije alpelisiba u stanju dinamičke ravnoteže (Vss/F) proc</w:t>
      </w:r>
      <w:r w:rsidR="003764F0">
        <w:rPr>
          <w:sz w:val="22"/>
          <w:szCs w:val="22"/>
          <w:lang w:val="hr-HR"/>
        </w:rPr>
        <w:t>ij</w:t>
      </w:r>
      <w:r w:rsidRPr="00C10B32">
        <w:rPr>
          <w:sz w:val="22"/>
          <w:szCs w:val="22"/>
          <w:lang w:val="hr-HR"/>
        </w:rPr>
        <w:t>enjen je na 114 litara (CV% između ispitanika 46%).</w:t>
      </w:r>
    </w:p>
    <w:p w14:paraId="7F8E91F8" w14:textId="77777777" w:rsidR="00C10B32" w:rsidRPr="00C10B32" w:rsidRDefault="00C10B32" w:rsidP="006703B2">
      <w:pPr>
        <w:shd w:val="clear" w:color="auto" w:fill="FFFFFF" w:themeFill="background1"/>
        <w:jc w:val="both"/>
        <w:rPr>
          <w:sz w:val="22"/>
          <w:szCs w:val="22"/>
          <w:lang w:val="hr-HR"/>
        </w:rPr>
      </w:pPr>
    </w:p>
    <w:p w14:paraId="1B82C0BF" w14:textId="77777777" w:rsidR="00C10B32" w:rsidRPr="00C10B32" w:rsidRDefault="00C10B32" w:rsidP="006703B2">
      <w:pPr>
        <w:keepNext/>
        <w:shd w:val="clear" w:color="auto" w:fill="FFFFFF" w:themeFill="background1"/>
        <w:jc w:val="both"/>
        <w:rPr>
          <w:sz w:val="22"/>
          <w:szCs w:val="22"/>
          <w:lang w:val="hr-HR"/>
        </w:rPr>
      </w:pPr>
      <w:r w:rsidRPr="00C10B32">
        <w:rPr>
          <w:sz w:val="22"/>
          <w:szCs w:val="22"/>
          <w:u w:val="single"/>
          <w:lang w:val="hr-HR"/>
        </w:rPr>
        <w:t>Biotransformacija</w:t>
      </w:r>
    </w:p>
    <w:p w14:paraId="0229175D" w14:textId="77777777" w:rsidR="00C10B32" w:rsidRPr="00C10B32" w:rsidRDefault="00C10B32" w:rsidP="006703B2">
      <w:pPr>
        <w:keepNext/>
        <w:shd w:val="clear" w:color="auto" w:fill="FFFFFF" w:themeFill="background1"/>
        <w:jc w:val="both"/>
        <w:rPr>
          <w:sz w:val="22"/>
          <w:szCs w:val="22"/>
          <w:lang w:val="hr-HR"/>
        </w:rPr>
      </w:pPr>
    </w:p>
    <w:p w14:paraId="7D71F232" w14:textId="3FE52A6A" w:rsidR="00C10B32" w:rsidRPr="00C10B32" w:rsidRDefault="00C10B32" w:rsidP="006703B2">
      <w:pPr>
        <w:shd w:val="clear" w:color="auto" w:fill="FFFFFF" w:themeFill="background1"/>
        <w:jc w:val="both"/>
        <w:rPr>
          <w:iCs/>
          <w:sz w:val="22"/>
          <w:szCs w:val="22"/>
          <w:lang w:val="hr-HR"/>
        </w:rPr>
      </w:pPr>
      <w:r w:rsidRPr="00C10B32">
        <w:rPr>
          <w:i/>
          <w:iCs/>
          <w:sz w:val="22"/>
          <w:szCs w:val="22"/>
          <w:lang w:val="hr-HR"/>
        </w:rPr>
        <w:t>In vitro</w:t>
      </w:r>
      <w:r w:rsidRPr="00C10B32">
        <w:rPr>
          <w:sz w:val="22"/>
          <w:szCs w:val="22"/>
          <w:lang w:val="hr-HR"/>
        </w:rPr>
        <w:t xml:space="preserve"> ispitivanja pokazala su da je stvaranje metabolita hidrolize BZG791 hemijskom hidrolizom i enzimskom hidrolizom amida bilo glavni metabolički put, praćen CYP3A4</w:t>
      </w:r>
      <w:r w:rsidR="00264ADA">
        <w:rPr>
          <w:sz w:val="22"/>
          <w:szCs w:val="22"/>
          <w:lang w:val="hr-HR"/>
        </w:rPr>
        <w:t xml:space="preserve"> posredovanom hidroksilacijom</w:t>
      </w:r>
      <w:r w:rsidRPr="00C10B32">
        <w:rPr>
          <w:sz w:val="22"/>
          <w:szCs w:val="22"/>
          <w:lang w:val="hr-HR"/>
        </w:rPr>
        <w:t>. Hidroliza alpelisiba</w:t>
      </w:r>
      <w:r w:rsidRPr="00C10B32" w:rsidDel="000D04EF">
        <w:rPr>
          <w:sz w:val="22"/>
          <w:szCs w:val="22"/>
          <w:lang w:val="hr-HR"/>
        </w:rPr>
        <w:t xml:space="preserve"> </w:t>
      </w:r>
      <w:r w:rsidRPr="00C10B32">
        <w:rPr>
          <w:sz w:val="22"/>
          <w:szCs w:val="22"/>
          <w:lang w:val="hr-HR"/>
        </w:rPr>
        <w:t xml:space="preserve">odvija se sistemski hemijskom razgradnjom i enzimskom hidrolizom putem ubikvitarno eksprimiranih enzima visokog kapaciteta (esteraze, amidaze, holinesteraza) koji </w:t>
      </w:r>
      <w:r w:rsidR="00D944EF">
        <w:rPr>
          <w:sz w:val="22"/>
          <w:szCs w:val="22"/>
          <w:lang w:val="hr-HR"/>
        </w:rPr>
        <w:t>nijesu</w:t>
      </w:r>
      <w:r w:rsidRPr="00C10B32">
        <w:rPr>
          <w:sz w:val="22"/>
          <w:szCs w:val="22"/>
          <w:lang w:val="hr-HR"/>
        </w:rPr>
        <w:t xml:space="preserve"> ograničeni na jetru.</w:t>
      </w:r>
      <w:r w:rsidRPr="00C10B32" w:rsidDel="006A1118">
        <w:rPr>
          <w:sz w:val="22"/>
          <w:szCs w:val="22"/>
          <w:lang w:val="hr-HR"/>
        </w:rPr>
        <w:t xml:space="preserve"> </w:t>
      </w:r>
      <w:r w:rsidRPr="00C10B32">
        <w:rPr>
          <w:sz w:val="22"/>
          <w:szCs w:val="22"/>
          <w:lang w:val="hr-HR"/>
        </w:rPr>
        <w:t>CYP3A4</w:t>
      </w:r>
      <w:r w:rsidRPr="00C10B32">
        <w:rPr>
          <w:sz w:val="22"/>
          <w:szCs w:val="22"/>
          <w:lang w:val="hr-HR"/>
        </w:rPr>
        <w:noBreakHyphen/>
        <w:t>posredovani metaboliti i glukuronidi iznosili su ~15% doze; BZG791 je predstavljao ~40</w:t>
      </w:r>
      <w:r w:rsidRPr="00C10B32">
        <w:rPr>
          <w:sz w:val="22"/>
          <w:szCs w:val="22"/>
          <w:lang w:val="hr-HR"/>
        </w:rPr>
        <w:noBreakHyphen/>
        <w:t>45% doze. Ostatak doze</w:t>
      </w:r>
      <w:r w:rsidR="00264ADA">
        <w:rPr>
          <w:sz w:val="22"/>
          <w:szCs w:val="22"/>
          <w:lang w:val="hr-HR"/>
        </w:rPr>
        <w:t>,</w:t>
      </w:r>
      <w:r w:rsidRPr="00C10B32">
        <w:rPr>
          <w:sz w:val="22"/>
          <w:szCs w:val="22"/>
          <w:lang w:val="hr-HR"/>
        </w:rPr>
        <w:t xml:space="preserve"> </w:t>
      </w:r>
      <w:r w:rsidR="00264ADA" w:rsidRPr="00264ADA">
        <w:rPr>
          <w:sz w:val="22"/>
          <w:szCs w:val="22"/>
          <w:lang w:val="hr-HR"/>
        </w:rPr>
        <w:t>koji je nađen u urinu i stolici kao neprom</w:t>
      </w:r>
      <w:r w:rsidR="00212EDF">
        <w:rPr>
          <w:sz w:val="22"/>
          <w:szCs w:val="22"/>
          <w:lang w:val="hr-HR"/>
        </w:rPr>
        <w:t>ij</w:t>
      </w:r>
      <w:r w:rsidR="00264ADA" w:rsidRPr="00264ADA">
        <w:rPr>
          <w:sz w:val="22"/>
          <w:szCs w:val="22"/>
          <w:lang w:val="hr-HR"/>
        </w:rPr>
        <w:t xml:space="preserve">enjeni alpelisib, bio je ili </w:t>
      </w:r>
      <w:r w:rsidRPr="00C10B32">
        <w:rPr>
          <w:sz w:val="22"/>
          <w:szCs w:val="22"/>
          <w:lang w:val="hr-HR"/>
        </w:rPr>
        <w:t>izlučen u obliku alpelisiba</w:t>
      </w:r>
      <w:r w:rsidR="00264ADA">
        <w:rPr>
          <w:sz w:val="22"/>
          <w:szCs w:val="22"/>
          <w:lang w:val="hr-HR"/>
        </w:rPr>
        <w:t xml:space="preserve"> ili nije resorbovan</w:t>
      </w:r>
      <w:r w:rsidRPr="00C10B32">
        <w:rPr>
          <w:sz w:val="22"/>
          <w:szCs w:val="22"/>
          <w:lang w:val="hr-HR"/>
        </w:rPr>
        <w:t>.</w:t>
      </w:r>
    </w:p>
    <w:p w14:paraId="176556D7" w14:textId="77777777" w:rsidR="00C10B32" w:rsidRPr="00C10B32" w:rsidRDefault="00C10B32" w:rsidP="006703B2">
      <w:pPr>
        <w:shd w:val="clear" w:color="auto" w:fill="FFFFFF" w:themeFill="background1"/>
        <w:jc w:val="both"/>
        <w:rPr>
          <w:sz w:val="22"/>
          <w:szCs w:val="22"/>
          <w:lang w:val="hr-HR"/>
        </w:rPr>
      </w:pPr>
    </w:p>
    <w:p w14:paraId="25C12516" w14:textId="77777777" w:rsidR="00C10B32" w:rsidRPr="00C10B32" w:rsidRDefault="00C10B32" w:rsidP="00801BB8">
      <w:pPr>
        <w:keepNext/>
        <w:shd w:val="clear" w:color="auto" w:fill="FFFFFF" w:themeFill="background1"/>
        <w:jc w:val="both"/>
        <w:rPr>
          <w:sz w:val="22"/>
          <w:szCs w:val="22"/>
          <w:lang w:val="hr-HR"/>
        </w:rPr>
      </w:pPr>
      <w:r w:rsidRPr="00C10B32">
        <w:rPr>
          <w:sz w:val="22"/>
          <w:szCs w:val="22"/>
          <w:u w:val="single"/>
          <w:lang w:val="hr-HR"/>
        </w:rPr>
        <w:t>Eliminacija</w:t>
      </w:r>
    </w:p>
    <w:p w14:paraId="7DB8928F" w14:textId="77777777" w:rsidR="00C10B32" w:rsidRPr="00C10B32" w:rsidRDefault="00C10B32" w:rsidP="00801BB8">
      <w:pPr>
        <w:keepNext/>
        <w:shd w:val="clear" w:color="auto" w:fill="FFFFFF" w:themeFill="background1"/>
        <w:jc w:val="both"/>
        <w:rPr>
          <w:sz w:val="22"/>
          <w:szCs w:val="22"/>
          <w:lang w:val="hr-HR"/>
        </w:rPr>
      </w:pPr>
    </w:p>
    <w:p w14:paraId="2CDB626C" w14:textId="77777777" w:rsidR="00C10B32" w:rsidRPr="00C10B32" w:rsidRDefault="00C10B32" w:rsidP="00801BB8">
      <w:pPr>
        <w:shd w:val="clear" w:color="auto" w:fill="FFFFFF" w:themeFill="background1"/>
        <w:jc w:val="both"/>
        <w:rPr>
          <w:sz w:val="22"/>
          <w:szCs w:val="22"/>
          <w:lang w:val="hr-HR"/>
        </w:rPr>
      </w:pPr>
      <w:r w:rsidRPr="00C10B32">
        <w:rPr>
          <w:sz w:val="22"/>
          <w:szCs w:val="22"/>
          <w:lang w:val="hr-HR"/>
        </w:rPr>
        <w:t xml:space="preserve">Alpelisib ima niski klirens uz 9,2 L/h (CV% 21%) na osnovu populacione farmakokinetičke analize u stanju sitosti. </w:t>
      </w:r>
      <w:r w:rsidR="00B232D5" w:rsidRPr="00C10B32">
        <w:rPr>
          <w:sz w:val="22"/>
          <w:szCs w:val="22"/>
          <w:lang w:val="hr-HR"/>
        </w:rPr>
        <w:t>Polu</w:t>
      </w:r>
      <w:r w:rsidR="00B232D5">
        <w:rPr>
          <w:sz w:val="22"/>
          <w:szCs w:val="22"/>
          <w:lang w:val="hr-HR"/>
        </w:rPr>
        <w:t>vrijeme eliminacije</w:t>
      </w:r>
      <w:r w:rsidR="00B232D5" w:rsidRPr="00C10B32">
        <w:rPr>
          <w:sz w:val="22"/>
          <w:szCs w:val="22"/>
          <w:lang w:val="hr-HR"/>
        </w:rPr>
        <w:t xml:space="preserve"> </w:t>
      </w:r>
      <w:r w:rsidRPr="00C10B32">
        <w:rPr>
          <w:sz w:val="22"/>
          <w:szCs w:val="22"/>
          <w:lang w:val="hr-HR"/>
        </w:rPr>
        <w:t>dobijen</w:t>
      </w:r>
      <w:r w:rsidR="00B232D5">
        <w:rPr>
          <w:sz w:val="22"/>
          <w:szCs w:val="22"/>
          <w:lang w:val="hr-HR"/>
        </w:rPr>
        <w:t>o</w:t>
      </w:r>
      <w:r w:rsidRPr="00C10B32">
        <w:rPr>
          <w:sz w:val="22"/>
          <w:szCs w:val="22"/>
          <w:lang w:val="hr-HR"/>
        </w:rPr>
        <w:t xml:space="preserve"> na osnovu populacije, nezavisno od doze i </w:t>
      </w:r>
      <w:r w:rsidR="00C233FD">
        <w:rPr>
          <w:sz w:val="22"/>
          <w:szCs w:val="22"/>
          <w:lang w:val="hr-HR"/>
        </w:rPr>
        <w:t>vremena</w:t>
      </w:r>
      <w:r w:rsidRPr="00C10B32">
        <w:rPr>
          <w:sz w:val="22"/>
          <w:szCs w:val="22"/>
          <w:lang w:val="hr-HR"/>
        </w:rPr>
        <w:t>, bi</w:t>
      </w:r>
      <w:r w:rsidR="00B232D5">
        <w:rPr>
          <w:sz w:val="22"/>
          <w:szCs w:val="22"/>
          <w:lang w:val="hr-HR"/>
        </w:rPr>
        <w:t>l</w:t>
      </w:r>
      <w:r w:rsidRPr="00C10B32">
        <w:rPr>
          <w:sz w:val="22"/>
          <w:szCs w:val="22"/>
          <w:lang w:val="hr-HR"/>
        </w:rPr>
        <w:t>o je 8 do 9 sati u stanju dinamičke ravnoteže uz 300 mg jedanput na dan.</w:t>
      </w:r>
    </w:p>
    <w:p w14:paraId="775BA76B" w14:textId="77777777" w:rsidR="00C10B32" w:rsidRPr="00C10B32" w:rsidRDefault="00C10B32" w:rsidP="00801BB8">
      <w:pPr>
        <w:shd w:val="clear" w:color="auto" w:fill="FFFFFF" w:themeFill="background1"/>
        <w:jc w:val="both"/>
        <w:rPr>
          <w:sz w:val="22"/>
          <w:szCs w:val="22"/>
          <w:lang w:val="hr-HR"/>
        </w:rPr>
      </w:pPr>
    </w:p>
    <w:p w14:paraId="12329A14" w14:textId="2099EB2F" w:rsidR="00C10B32" w:rsidRPr="00C10B32" w:rsidRDefault="00C10B32" w:rsidP="00801BB8">
      <w:pPr>
        <w:shd w:val="clear" w:color="auto" w:fill="FFFFFF" w:themeFill="background1"/>
        <w:jc w:val="both"/>
        <w:rPr>
          <w:sz w:val="22"/>
          <w:szCs w:val="22"/>
          <w:lang w:val="hr-HR"/>
        </w:rPr>
      </w:pPr>
      <w:r w:rsidRPr="00C10B32">
        <w:rPr>
          <w:sz w:val="22"/>
          <w:szCs w:val="22"/>
          <w:lang w:val="hr-HR"/>
        </w:rPr>
        <w:t xml:space="preserve">U ispitivanju balansa mase kod ljudi, nakon peroralne </w:t>
      </w:r>
      <w:r w:rsidR="00C21CF1">
        <w:rPr>
          <w:sz w:val="22"/>
          <w:szCs w:val="22"/>
          <w:lang w:val="hr-HR"/>
        </w:rPr>
        <w:t>primjen</w:t>
      </w:r>
      <w:r w:rsidRPr="00C10B32">
        <w:rPr>
          <w:sz w:val="22"/>
          <w:szCs w:val="22"/>
          <w:lang w:val="hr-HR"/>
        </w:rPr>
        <w:t>e, a</w:t>
      </w:r>
      <w:r w:rsidRPr="00C10B32">
        <w:rPr>
          <w:bCs/>
          <w:sz w:val="22"/>
          <w:szCs w:val="22"/>
          <w:lang w:val="hr-HR"/>
        </w:rPr>
        <w:t>lpelisib i njegovi met</w:t>
      </w:r>
      <w:r w:rsidRPr="00212EDF">
        <w:rPr>
          <w:bCs/>
          <w:sz w:val="22"/>
          <w:szCs w:val="22"/>
          <w:lang w:val="hr-HR"/>
        </w:rPr>
        <w:t xml:space="preserve">aboliti </w:t>
      </w:r>
      <w:r w:rsidR="00264ADA" w:rsidRPr="00212EDF">
        <w:rPr>
          <w:bCs/>
          <w:sz w:val="22"/>
          <w:szCs w:val="22"/>
          <w:lang w:val="hr-HR"/>
        </w:rPr>
        <w:t>primarno su nađeni</w:t>
      </w:r>
      <w:r w:rsidRPr="00212EDF">
        <w:rPr>
          <w:bCs/>
          <w:sz w:val="22"/>
          <w:szCs w:val="22"/>
          <w:lang w:val="hr-HR"/>
        </w:rPr>
        <w:t xml:space="preserve">u </w:t>
      </w:r>
      <w:r w:rsidR="00264ADA" w:rsidRPr="00212EDF">
        <w:rPr>
          <w:bCs/>
          <w:sz w:val="22"/>
          <w:szCs w:val="22"/>
          <w:lang w:val="hr-HR"/>
        </w:rPr>
        <w:t xml:space="preserve">stolici </w:t>
      </w:r>
      <w:r w:rsidRPr="00212EDF">
        <w:rPr>
          <w:bCs/>
          <w:sz w:val="22"/>
          <w:szCs w:val="22"/>
          <w:lang w:val="hr-HR"/>
        </w:rPr>
        <w:t xml:space="preserve">(81,0%) </w:t>
      </w:r>
      <w:r w:rsidR="00264ADA" w:rsidRPr="00212EDF">
        <w:rPr>
          <w:bCs/>
          <w:sz w:val="22"/>
          <w:szCs w:val="22"/>
          <w:lang w:val="hr-HR"/>
        </w:rPr>
        <w:t xml:space="preserve">kao </w:t>
      </w:r>
      <w:r w:rsidRPr="00212EDF">
        <w:rPr>
          <w:bCs/>
          <w:sz w:val="22"/>
          <w:szCs w:val="22"/>
          <w:lang w:val="hr-HR"/>
        </w:rPr>
        <w:t xml:space="preserve">alpelisib, ili </w:t>
      </w:r>
      <w:r w:rsidR="00264ADA" w:rsidRPr="00212EDF">
        <w:rPr>
          <w:bCs/>
          <w:sz w:val="22"/>
          <w:szCs w:val="22"/>
          <w:lang w:val="hr-HR"/>
        </w:rPr>
        <w:t xml:space="preserve">metabolisani kao </w:t>
      </w:r>
      <w:r w:rsidRPr="00212EDF">
        <w:rPr>
          <w:bCs/>
          <w:sz w:val="22"/>
          <w:szCs w:val="22"/>
          <w:lang w:val="hr-HR"/>
        </w:rPr>
        <w:t>BZG791. Izlučivanje putem urina je neznatno (13,5%), uz ne</w:t>
      </w:r>
      <w:r w:rsidR="00065093" w:rsidRPr="00212EDF">
        <w:rPr>
          <w:bCs/>
          <w:sz w:val="22"/>
          <w:szCs w:val="22"/>
          <w:lang w:val="hr-HR"/>
        </w:rPr>
        <w:t>prom</w:t>
      </w:r>
      <w:r w:rsidR="003764F0" w:rsidRPr="00212EDF">
        <w:rPr>
          <w:bCs/>
          <w:sz w:val="22"/>
          <w:szCs w:val="22"/>
          <w:lang w:val="hr-HR"/>
        </w:rPr>
        <w:t>i</w:t>
      </w:r>
      <w:r w:rsidR="00065093" w:rsidRPr="00212EDF">
        <w:rPr>
          <w:bCs/>
          <w:sz w:val="22"/>
          <w:szCs w:val="22"/>
          <w:lang w:val="hr-HR"/>
        </w:rPr>
        <w:t>jen</w:t>
      </w:r>
      <w:r w:rsidRPr="00212EDF">
        <w:rPr>
          <w:bCs/>
          <w:sz w:val="22"/>
          <w:szCs w:val="22"/>
          <w:lang w:val="hr-HR"/>
        </w:rPr>
        <w:t>jeni alpelisib (2%). Nakon jednokratne p</w:t>
      </w:r>
      <w:r w:rsidRPr="00C10B32">
        <w:rPr>
          <w:bCs/>
          <w:sz w:val="22"/>
          <w:szCs w:val="22"/>
          <w:lang w:val="hr-HR"/>
        </w:rPr>
        <w:t>eroralne doze [14C]</w:t>
      </w:r>
      <w:r w:rsidRPr="00C10B32">
        <w:rPr>
          <w:bCs/>
          <w:sz w:val="22"/>
          <w:szCs w:val="22"/>
          <w:lang w:val="hr-HR"/>
        </w:rPr>
        <w:noBreakHyphen/>
        <w:t xml:space="preserve">alpelisiba, 94,5% ukupne </w:t>
      </w:r>
      <w:r w:rsidR="00C21CF1">
        <w:rPr>
          <w:bCs/>
          <w:sz w:val="22"/>
          <w:szCs w:val="22"/>
          <w:lang w:val="hr-HR"/>
        </w:rPr>
        <w:t>prim</w:t>
      </w:r>
      <w:r w:rsidR="003764F0">
        <w:rPr>
          <w:bCs/>
          <w:sz w:val="22"/>
          <w:szCs w:val="22"/>
          <w:lang w:val="hr-HR"/>
        </w:rPr>
        <w:t>ij</w:t>
      </w:r>
      <w:r w:rsidR="00C21CF1">
        <w:rPr>
          <w:bCs/>
          <w:sz w:val="22"/>
          <w:szCs w:val="22"/>
          <w:lang w:val="hr-HR"/>
        </w:rPr>
        <w:t>en</w:t>
      </w:r>
      <w:r w:rsidRPr="00C10B32">
        <w:rPr>
          <w:bCs/>
          <w:sz w:val="22"/>
          <w:szCs w:val="22"/>
          <w:lang w:val="hr-HR"/>
        </w:rPr>
        <w:t>jene radioaktivne doze izlučeno je u roku od 8 dana.</w:t>
      </w:r>
    </w:p>
    <w:p w14:paraId="3A4D9B73" w14:textId="77777777" w:rsidR="00C10B32" w:rsidRPr="00C10B32" w:rsidRDefault="00C10B32" w:rsidP="00801BB8">
      <w:pPr>
        <w:shd w:val="clear" w:color="auto" w:fill="FFFFFF" w:themeFill="background1"/>
        <w:jc w:val="both"/>
        <w:rPr>
          <w:sz w:val="22"/>
          <w:szCs w:val="22"/>
          <w:lang w:val="hr-HR"/>
        </w:rPr>
      </w:pPr>
    </w:p>
    <w:p w14:paraId="4E516EBB" w14:textId="77777777" w:rsidR="00C10B32" w:rsidRPr="00C10B32" w:rsidRDefault="00C10B32" w:rsidP="00801BB8">
      <w:pPr>
        <w:keepNext/>
        <w:shd w:val="clear" w:color="auto" w:fill="FFFFFF" w:themeFill="background1"/>
        <w:jc w:val="both"/>
        <w:rPr>
          <w:iCs/>
          <w:sz w:val="22"/>
          <w:szCs w:val="22"/>
          <w:lang w:val="hr-HR"/>
        </w:rPr>
      </w:pPr>
      <w:r w:rsidRPr="00C10B32">
        <w:rPr>
          <w:iCs/>
          <w:sz w:val="22"/>
          <w:szCs w:val="22"/>
          <w:u w:val="single"/>
          <w:lang w:val="hr-HR"/>
        </w:rPr>
        <w:t>Linearnost/nelinearnost</w:t>
      </w:r>
    </w:p>
    <w:p w14:paraId="2511E19D" w14:textId="77777777" w:rsidR="00C10B32" w:rsidRPr="00C10B32" w:rsidRDefault="00C10B32" w:rsidP="00801BB8">
      <w:pPr>
        <w:keepNext/>
        <w:shd w:val="clear" w:color="auto" w:fill="FFFFFF" w:themeFill="background1"/>
        <w:jc w:val="both"/>
        <w:rPr>
          <w:iCs/>
          <w:sz w:val="22"/>
          <w:szCs w:val="22"/>
          <w:lang w:val="hr-HR"/>
        </w:rPr>
      </w:pPr>
    </w:p>
    <w:p w14:paraId="07D7EE10" w14:textId="5E8E9BAB" w:rsidR="00C10B32" w:rsidRPr="00C10B32" w:rsidRDefault="00C10B32" w:rsidP="00CA7D42">
      <w:pPr>
        <w:shd w:val="clear" w:color="auto" w:fill="FFFFFF" w:themeFill="background1"/>
        <w:jc w:val="both"/>
        <w:rPr>
          <w:sz w:val="22"/>
          <w:szCs w:val="22"/>
          <w:lang w:val="hr-HR"/>
        </w:rPr>
      </w:pPr>
      <w:r w:rsidRPr="00C10B32">
        <w:rPr>
          <w:sz w:val="22"/>
          <w:szCs w:val="22"/>
          <w:lang w:val="hr-HR"/>
        </w:rPr>
        <w:t xml:space="preserve">Pokazalo se da je za raspon doza između 30 i 450 mg farmakokinetika u stanju sitosti linearna u odnosu na dozu i </w:t>
      </w:r>
      <w:r w:rsidR="00A26CAB">
        <w:rPr>
          <w:sz w:val="22"/>
          <w:szCs w:val="22"/>
          <w:lang w:val="hr-HR"/>
        </w:rPr>
        <w:t>vrijem</w:t>
      </w:r>
      <w:r w:rsidRPr="00C10B32">
        <w:rPr>
          <w:sz w:val="22"/>
          <w:szCs w:val="22"/>
          <w:lang w:val="hr-HR"/>
        </w:rPr>
        <w:t>e. Nakon višestrukih doza, izloženost alpelisibu (PIK) u stanju dinamičke ravnoteže samo je malo viša nego kod jednokratne doze, uz pros</w:t>
      </w:r>
      <w:r w:rsidR="00B232D5">
        <w:rPr>
          <w:sz w:val="22"/>
          <w:szCs w:val="22"/>
          <w:lang w:val="hr-HR"/>
        </w:rPr>
        <w:t>j</w:t>
      </w:r>
      <w:r w:rsidRPr="00C10B32">
        <w:rPr>
          <w:sz w:val="22"/>
          <w:szCs w:val="22"/>
          <w:lang w:val="hr-HR"/>
        </w:rPr>
        <w:t>ečnu akumulaciju od 1,3 do 1,5 uz režim svakodnevnog doziranja.</w:t>
      </w:r>
    </w:p>
    <w:p w14:paraId="01D49882" w14:textId="77777777" w:rsidR="00C10B32" w:rsidRPr="00C10B32" w:rsidRDefault="00C10B32" w:rsidP="00801BB8">
      <w:pPr>
        <w:keepNext/>
        <w:jc w:val="both"/>
        <w:rPr>
          <w:iCs/>
          <w:sz w:val="22"/>
          <w:szCs w:val="22"/>
          <w:u w:val="single"/>
          <w:lang w:val="hr-HR"/>
        </w:rPr>
      </w:pPr>
      <w:r w:rsidRPr="00C10B32">
        <w:rPr>
          <w:iCs/>
          <w:sz w:val="22"/>
          <w:szCs w:val="22"/>
          <w:u w:val="single"/>
          <w:lang w:val="hr-HR"/>
        </w:rPr>
        <w:lastRenderedPageBreak/>
        <w:t>Metabolička interakcija</w:t>
      </w:r>
    </w:p>
    <w:p w14:paraId="53EB6BA6" w14:textId="77777777" w:rsidR="00C10B32" w:rsidRPr="00C10B32" w:rsidRDefault="00C10B32" w:rsidP="00801BB8">
      <w:pPr>
        <w:keepNext/>
        <w:jc w:val="both"/>
        <w:rPr>
          <w:sz w:val="22"/>
          <w:szCs w:val="22"/>
          <w:lang w:val="hr-HR"/>
        </w:rPr>
      </w:pPr>
    </w:p>
    <w:p w14:paraId="0CA75CE4" w14:textId="77777777" w:rsidR="008F3BDC" w:rsidRPr="008F3BDC" w:rsidRDefault="00C10B32" w:rsidP="008F3BDC">
      <w:pPr>
        <w:keepNext/>
        <w:rPr>
          <w:i/>
          <w:sz w:val="22"/>
          <w:szCs w:val="22"/>
          <w:u w:val="single"/>
          <w:lang w:val="hr-HR"/>
        </w:rPr>
      </w:pPr>
      <w:r w:rsidRPr="00C10B32">
        <w:rPr>
          <w:i/>
          <w:sz w:val="22"/>
          <w:szCs w:val="22"/>
          <w:u w:val="single"/>
          <w:lang w:val="hr-HR"/>
        </w:rPr>
        <w:t>Supstrati CYP3A4</w:t>
      </w:r>
      <w:r w:rsidR="008F3BDC" w:rsidRPr="008F3BDC">
        <w:rPr>
          <w:i/>
          <w:sz w:val="22"/>
          <w:szCs w:val="22"/>
          <w:u w:val="single"/>
        </w:rPr>
        <w:t>, CYP2C8, CYP2C9, CYP2C19 i CYP2B6</w:t>
      </w:r>
    </w:p>
    <w:p w14:paraId="0BA354B9" w14:textId="286D224A" w:rsidR="008F3BDC" w:rsidRPr="008F3BDC" w:rsidRDefault="008F3BDC" w:rsidP="008F3BDC">
      <w:pPr>
        <w:tabs>
          <w:tab w:val="left" w:pos="284"/>
        </w:tabs>
        <w:jc w:val="both"/>
        <w:rPr>
          <w:sz w:val="22"/>
          <w:szCs w:val="22"/>
          <w:lang w:val="hr-HR"/>
        </w:rPr>
      </w:pPr>
      <w:r w:rsidRPr="008F3BDC">
        <w:rPr>
          <w:sz w:val="22"/>
          <w:szCs w:val="22"/>
          <w:lang w:val="hr-HR"/>
        </w:rPr>
        <w:t>U ispitivanju interakcije l</w:t>
      </w:r>
      <w:r w:rsidR="004E1947">
        <w:rPr>
          <w:sz w:val="22"/>
          <w:szCs w:val="22"/>
          <w:lang w:val="hr-HR"/>
        </w:rPr>
        <w:t>j</w:t>
      </w:r>
      <w:r w:rsidRPr="008F3BDC">
        <w:rPr>
          <w:sz w:val="22"/>
          <w:szCs w:val="22"/>
          <w:lang w:val="hr-HR"/>
        </w:rPr>
        <w:t>ekova, istovremena prim</w:t>
      </w:r>
      <w:r w:rsidR="004E1947">
        <w:rPr>
          <w:sz w:val="22"/>
          <w:szCs w:val="22"/>
          <w:lang w:val="hr-HR"/>
        </w:rPr>
        <w:t>j</w:t>
      </w:r>
      <w:r w:rsidRPr="008F3BDC">
        <w:rPr>
          <w:sz w:val="22"/>
          <w:szCs w:val="22"/>
          <w:lang w:val="hr-HR"/>
        </w:rPr>
        <w:t>ena ponovljenih doza alpelisiba 300 mg sa pojedinačnom dozom os</w:t>
      </w:r>
      <w:r w:rsidR="004E1947">
        <w:rPr>
          <w:sz w:val="22"/>
          <w:szCs w:val="22"/>
          <w:lang w:val="hr-HR"/>
        </w:rPr>
        <w:t>j</w:t>
      </w:r>
      <w:r w:rsidRPr="008F3BDC">
        <w:rPr>
          <w:sz w:val="22"/>
          <w:szCs w:val="22"/>
          <w:lang w:val="hr-HR"/>
        </w:rPr>
        <w:t>etljivih supstrata CYP3A4 (midazolam), CYP2C8 (repaglinid), CYP2C9 (varfarin), CYP2C19 (omeprazol) i CYP2B6 (bupropion), prim</w:t>
      </w:r>
      <w:r w:rsidR="004E1947">
        <w:rPr>
          <w:sz w:val="22"/>
          <w:szCs w:val="22"/>
          <w:lang w:val="hr-HR"/>
        </w:rPr>
        <w:t>ij</w:t>
      </w:r>
      <w:r w:rsidRPr="008F3BDC">
        <w:rPr>
          <w:sz w:val="22"/>
          <w:szCs w:val="22"/>
          <w:lang w:val="hr-HR"/>
        </w:rPr>
        <w:t>enjenih u obliku koktela, pokazala je da ne postoji klinički značajna farmakokinetička interakcija. Podatke od supstrata CYP2B6 (bupropion) treba interpretirati sa oprezom zbog male veličine uzorka.</w:t>
      </w:r>
    </w:p>
    <w:p w14:paraId="13F5F209" w14:textId="77777777" w:rsidR="008F3BDC" w:rsidRPr="008F3BDC" w:rsidRDefault="008F3BDC" w:rsidP="008F3BDC">
      <w:pPr>
        <w:tabs>
          <w:tab w:val="left" w:pos="284"/>
        </w:tabs>
        <w:jc w:val="both"/>
        <w:rPr>
          <w:sz w:val="22"/>
          <w:szCs w:val="22"/>
          <w:lang w:val="hr-HR"/>
        </w:rPr>
      </w:pPr>
    </w:p>
    <w:p w14:paraId="5D52F8EB" w14:textId="49065616" w:rsidR="008F3BDC" w:rsidRPr="008F3BDC" w:rsidRDefault="008F3BDC" w:rsidP="008F3BDC">
      <w:pPr>
        <w:shd w:val="clear" w:color="auto" w:fill="FFFFFF"/>
        <w:tabs>
          <w:tab w:val="left" w:pos="284"/>
        </w:tabs>
        <w:jc w:val="both"/>
        <w:rPr>
          <w:sz w:val="22"/>
          <w:szCs w:val="22"/>
          <w:lang w:val="hr-HR"/>
        </w:rPr>
      </w:pPr>
      <w:r w:rsidRPr="008F3BDC">
        <w:rPr>
          <w:sz w:val="22"/>
          <w:szCs w:val="22"/>
          <w:lang w:val="hr-HR"/>
        </w:rPr>
        <w:t>Kod zdravih ispitanika, istovremena prim</w:t>
      </w:r>
      <w:r w:rsidR="004E1947">
        <w:rPr>
          <w:sz w:val="22"/>
          <w:szCs w:val="22"/>
          <w:lang w:val="hr-HR"/>
        </w:rPr>
        <w:t>j</w:t>
      </w:r>
      <w:r w:rsidRPr="008F3BDC">
        <w:rPr>
          <w:sz w:val="22"/>
          <w:szCs w:val="22"/>
          <w:lang w:val="hr-HR"/>
        </w:rPr>
        <w:t>ena supstrata CYP2C9 (S</w:t>
      </w:r>
      <w:r w:rsidRPr="008F3BDC">
        <w:rPr>
          <w:sz w:val="22"/>
          <w:szCs w:val="22"/>
          <w:lang w:val="hr-HR"/>
        </w:rPr>
        <w:noBreakHyphen/>
        <w:t>varfarin) sa ponovljenim dozama alpelisiba od 300 mg u stanju dinamičke ravnoteže, povećala je izloženost S</w:t>
      </w:r>
      <w:r w:rsidRPr="008F3BDC">
        <w:rPr>
          <w:sz w:val="22"/>
          <w:szCs w:val="22"/>
          <w:lang w:val="hr-HR"/>
        </w:rPr>
        <w:noBreakHyphen/>
        <w:t>varfarinu u pros</w:t>
      </w:r>
      <w:r w:rsidR="004E1947">
        <w:rPr>
          <w:sz w:val="22"/>
          <w:szCs w:val="22"/>
          <w:lang w:val="hr-HR"/>
        </w:rPr>
        <w:t>j</w:t>
      </w:r>
      <w:r w:rsidRPr="008F3BDC">
        <w:rPr>
          <w:sz w:val="22"/>
          <w:szCs w:val="22"/>
          <w:lang w:val="hr-HR"/>
        </w:rPr>
        <w:t>eku za 34% za AUC</w:t>
      </w:r>
      <w:r w:rsidRPr="008F3BDC">
        <w:rPr>
          <w:sz w:val="22"/>
          <w:szCs w:val="22"/>
          <w:vertAlign w:val="subscript"/>
          <w:lang w:val="hr-HR"/>
        </w:rPr>
        <w:t>inf</w:t>
      </w:r>
      <w:r w:rsidRPr="008F3BDC">
        <w:rPr>
          <w:sz w:val="22"/>
          <w:szCs w:val="22"/>
          <w:lang w:val="hr-HR"/>
        </w:rPr>
        <w:t xml:space="preserve"> i 19% za C</w:t>
      </w:r>
      <w:r w:rsidRPr="008F3BDC">
        <w:rPr>
          <w:sz w:val="22"/>
          <w:szCs w:val="22"/>
          <w:vertAlign w:val="subscript"/>
          <w:lang w:val="hr-HR"/>
        </w:rPr>
        <w:t>max</w:t>
      </w:r>
      <w:r w:rsidRPr="008F3BDC">
        <w:rPr>
          <w:sz w:val="22"/>
          <w:szCs w:val="22"/>
          <w:lang w:val="hr-HR"/>
        </w:rPr>
        <w:t>, u poređenju sa samostalnom prim</w:t>
      </w:r>
      <w:r w:rsidR="004E1947">
        <w:rPr>
          <w:sz w:val="22"/>
          <w:szCs w:val="22"/>
          <w:lang w:val="hr-HR"/>
        </w:rPr>
        <w:t>j</w:t>
      </w:r>
      <w:r w:rsidRPr="008F3BDC">
        <w:rPr>
          <w:sz w:val="22"/>
          <w:szCs w:val="22"/>
          <w:lang w:val="hr-HR"/>
        </w:rPr>
        <w:t>enom S</w:t>
      </w:r>
      <w:r w:rsidRPr="008F3BDC">
        <w:rPr>
          <w:sz w:val="22"/>
          <w:szCs w:val="22"/>
          <w:lang w:val="hr-HR"/>
        </w:rPr>
        <w:noBreakHyphen/>
        <w:t>varfarina. To ukazuje da je alpelisib slab inhibitor CYP2C9.</w:t>
      </w:r>
    </w:p>
    <w:p w14:paraId="098D9088" w14:textId="2D9E4AAB" w:rsidR="00C10B32" w:rsidRPr="00C10B32" w:rsidRDefault="00C10B32" w:rsidP="00801BB8">
      <w:pPr>
        <w:keepNext/>
        <w:jc w:val="both"/>
        <w:rPr>
          <w:i/>
          <w:sz w:val="22"/>
          <w:szCs w:val="22"/>
          <w:u w:val="single"/>
          <w:lang w:val="hr-HR"/>
        </w:rPr>
      </w:pPr>
    </w:p>
    <w:p w14:paraId="16EE77FE" w14:textId="5884C01D" w:rsidR="00C10B32" w:rsidRPr="00C10B32" w:rsidRDefault="00C10B32" w:rsidP="00801BB8">
      <w:pPr>
        <w:jc w:val="both"/>
        <w:rPr>
          <w:sz w:val="22"/>
          <w:szCs w:val="22"/>
          <w:lang w:val="hr-HR"/>
        </w:rPr>
      </w:pPr>
      <w:r w:rsidRPr="00C10B32">
        <w:rPr>
          <w:sz w:val="22"/>
          <w:szCs w:val="22"/>
          <w:lang w:val="hr-HR"/>
        </w:rPr>
        <w:t>U ispitivanju interakcije između l</w:t>
      </w:r>
      <w:r w:rsidR="00801BB8">
        <w:rPr>
          <w:sz w:val="22"/>
          <w:szCs w:val="22"/>
          <w:lang w:val="hr-HR"/>
        </w:rPr>
        <w:t>j</w:t>
      </w:r>
      <w:r w:rsidRPr="00C10B32">
        <w:rPr>
          <w:sz w:val="22"/>
          <w:szCs w:val="22"/>
          <w:lang w:val="hr-HR"/>
        </w:rPr>
        <w:t xml:space="preserve">ekova, kod </w:t>
      </w:r>
      <w:r w:rsidR="00C21CF1">
        <w:rPr>
          <w:sz w:val="22"/>
          <w:szCs w:val="22"/>
          <w:lang w:val="hr-HR"/>
        </w:rPr>
        <w:t>primjen</w:t>
      </w:r>
      <w:r w:rsidRPr="00C10B32">
        <w:rPr>
          <w:sz w:val="22"/>
          <w:szCs w:val="22"/>
          <w:lang w:val="hr-HR"/>
        </w:rPr>
        <w:t>e sa os</w:t>
      </w:r>
      <w:r w:rsidR="00B232D5">
        <w:rPr>
          <w:sz w:val="22"/>
          <w:szCs w:val="22"/>
          <w:lang w:val="hr-HR"/>
        </w:rPr>
        <w:t>j</w:t>
      </w:r>
      <w:r w:rsidRPr="00C10B32">
        <w:rPr>
          <w:sz w:val="22"/>
          <w:szCs w:val="22"/>
          <w:lang w:val="hr-HR"/>
        </w:rPr>
        <w:t>etljivim supstratom CYP3A4</w:t>
      </w:r>
      <w:r w:rsidR="008F3BDC" w:rsidRPr="008F3BDC">
        <w:rPr>
          <w:sz w:val="22"/>
          <w:szCs w:val="22"/>
          <w:lang w:val="hr-HR"/>
        </w:rPr>
        <w:t xml:space="preserve"> i P</w:t>
      </w:r>
      <w:r w:rsidR="008F3BDC" w:rsidRPr="008F3BDC">
        <w:rPr>
          <w:sz w:val="22"/>
          <w:szCs w:val="22"/>
          <w:lang w:val="hr-HR"/>
        </w:rPr>
        <w:noBreakHyphen/>
        <w:t>gp</w:t>
      </w:r>
      <w:r w:rsidR="008F3BDC" w:rsidRPr="008F3BDC">
        <w:rPr>
          <w:sz w:val="22"/>
          <w:szCs w:val="22"/>
          <w:lang w:val="hr-HR"/>
        </w:rPr>
        <w:noBreakHyphen/>
        <w:t>a,</w:t>
      </w:r>
      <w:r w:rsidRPr="00C10B32">
        <w:rPr>
          <w:sz w:val="22"/>
          <w:szCs w:val="22"/>
          <w:lang w:val="hr-HR"/>
        </w:rPr>
        <w:t xml:space="preserve">everolimusom, </w:t>
      </w:r>
      <w:r w:rsidR="008F3BDC" w:rsidRPr="008F3BDC">
        <w:rPr>
          <w:sz w:val="22"/>
          <w:szCs w:val="22"/>
          <w:lang w:val="hr-HR"/>
        </w:rPr>
        <w:t xml:space="preserve">kod pacijenata sa uznapredovalim solidnim tumorima, </w:t>
      </w:r>
      <w:r w:rsidRPr="00C10B32">
        <w:rPr>
          <w:sz w:val="22"/>
          <w:szCs w:val="22"/>
          <w:lang w:val="hr-HR"/>
        </w:rPr>
        <w:t xml:space="preserve">PIK se povećao za 11,2%. Ne očekuje se nikakva klinički relevantna </w:t>
      </w:r>
      <w:r w:rsidR="00065093">
        <w:rPr>
          <w:sz w:val="22"/>
          <w:szCs w:val="22"/>
          <w:lang w:val="hr-HR"/>
        </w:rPr>
        <w:t>promjen</w:t>
      </w:r>
      <w:r w:rsidRPr="00C10B32">
        <w:rPr>
          <w:sz w:val="22"/>
          <w:szCs w:val="22"/>
          <w:lang w:val="hr-HR"/>
        </w:rPr>
        <w:t>a kao rezultat interakcije sa supstratima CYP3A4.</w:t>
      </w:r>
    </w:p>
    <w:p w14:paraId="557E02CB" w14:textId="77777777" w:rsidR="00C10B32" w:rsidRPr="00C10B32" w:rsidRDefault="00C10B32" w:rsidP="00801BB8">
      <w:pPr>
        <w:jc w:val="both"/>
        <w:rPr>
          <w:sz w:val="22"/>
          <w:szCs w:val="22"/>
          <w:lang w:val="hr-HR"/>
        </w:rPr>
      </w:pPr>
    </w:p>
    <w:p w14:paraId="5E3E1670" w14:textId="4BE01DD9" w:rsidR="00C10B32" w:rsidRPr="00C10B32" w:rsidRDefault="00C10B32" w:rsidP="00801BB8">
      <w:pPr>
        <w:keepNext/>
        <w:jc w:val="both"/>
        <w:rPr>
          <w:i/>
          <w:sz w:val="22"/>
          <w:szCs w:val="22"/>
          <w:u w:val="single"/>
          <w:lang w:val="hr-HR"/>
        </w:rPr>
      </w:pPr>
      <w:r w:rsidRPr="00C10B32">
        <w:rPr>
          <w:i/>
          <w:sz w:val="22"/>
          <w:szCs w:val="22"/>
          <w:u w:val="single"/>
          <w:lang w:val="hr-HR"/>
        </w:rPr>
        <w:t>Induktori CYP3A4</w:t>
      </w:r>
    </w:p>
    <w:p w14:paraId="1B02204D" w14:textId="04AB18E4" w:rsidR="00C10B32" w:rsidRPr="00C10B32" w:rsidRDefault="001949CB" w:rsidP="00801BB8">
      <w:pPr>
        <w:shd w:val="clear" w:color="auto" w:fill="FFFFFF" w:themeFill="background1"/>
        <w:jc w:val="both"/>
        <w:rPr>
          <w:iCs/>
          <w:sz w:val="22"/>
          <w:szCs w:val="22"/>
          <w:lang w:val="hr-HR"/>
        </w:rPr>
      </w:pPr>
      <w:r w:rsidRPr="001949CB">
        <w:rPr>
          <w:sz w:val="22"/>
          <w:szCs w:val="22"/>
          <w:lang w:val="hr-HR"/>
        </w:rPr>
        <w:t>U ispitivanju interakcije između l</w:t>
      </w:r>
      <w:r w:rsidR="00212EDF">
        <w:rPr>
          <w:sz w:val="22"/>
          <w:szCs w:val="22"/>
          <w:lang w:val="hr-HR"/>
        </w:rPr>
        <w:t>j</w:t>
      </w:r>
      <w:r w:rsidRPr="001949CB">
        <w:rPr>
          <w:sz w:val="22"/>
          <w:szCs w:val="22"/>
          <w:lang w:val="hr-HR"/>
        </w:rPr>
        <w:t>ekova pri istovremenoj prim</w:t>
      </w:r>
      <w:r w:rsidR="00212EDF">
        <w:rPr>
          <w:sz w:val="22"/>
          <w:szCs w:val="22"/>
          <w:lang w:val="hr-HR"/>
        </w:rPr>
        <w:t>j</w:t>
      </w:r>
      <w:r w:rsidRPr="001949CB">
        <w:rPr>
          <w:sz w:val="22"/>
          <w:szCs w:val="22"/>
          <w:lang w:val="hr-HR"/>
        </w:rPr>
        <w:t>eni alpelisiba i rifampina, jakog induktora CYP3A4, potvrđeno je da postoji klinički značajna farmakokinetička interakcija između alpelisiba i jakog induktora CYP3A4 (</w:t>
      </w:r>
      <w:r w:rsidR="00EF7C8E">
        <w:rPr>
          <w:sz w:val="22"/>
          <w:szCs w:val="22"/>
          <w:lang w:val="hr-HR"/>
        </w:rPr>
        <w:t>pogledati dio</w:t>
      </w:r>
      <w:r w:rsidRPr="001949CB">
        <w:rPr>
          <w:sz w:val="22"/>
          <w:szCs w:val="22"/>
          <w:lang w:val="hr-HR"/>
        </w:rPr>
        <w:t xml:space="preserve"> 4.5).</w:t>
      </w:r>
    </w:p>
    <w:p w14:paraId="3B9DF760" w14:textId="77777777" w:rsidR="00C10B32" w:rsidRPr="00C10B32" w:rsidRDefault="00C10B32" w:rsidP="00801BB8">
      <w:pPr>
        <w:keepNext/>
        <w:shd w:val="clear" w:color="auto" w:fill="FFFFFF" w:themeFill="background1"/>
        <w:jc w:val="both"/>
        <w:rPr>
          <w:sz w:val="22"/>
          <w:szCs w:val="22"/>
          <w:u w:val="single"/>
          <w:lang w:val="hr-HR"/>
        </w:rPr>
      </w:pPr>
      <w:r w:rsidRPr="00C10B32">
        <w:rPr>
          <w:sz w:val="22"/>
          <w:szCs w:val="22"/>
          <w:u w:val="single"/>
          <w:lang w:val="hr-HR"/>
        </w:rPr>
        <w:t>Interakcija zasnovana na transporterima</w:t>
      </w:r>
    </w:p>
    <w:p w14:paraId="3627E9B4" w14:textId="77777777" w:rsidR="00C10B32" w:rsidRPr="00C10B32" w:rsidRDefault="00C10B32" w:rsidP="00801BB8">
      <w:pPr>
        <w:keepNext/>
        <w:shd w:val="clear" w:color="auto" w:fill="FFFFFF" w:themeFill="background1"/>
        <w:jc w:val="both"/>
        <w:rPr>
          <w:sz w:val="22"/>
          <w:szCs w:val="22"/>
          <w:lang w:val="hr-HR"/>
        </w:rPr>
      </w:pPr>
    </w:p>
    <w:p w14:paraId="343D7156" w14:textId="77777777" w:rsidR="00C10B32" w:rsidRPr="00C10B32" w:rsidRDefault="00C10B32" w:rsidP="00801BB8">
      <w:pPr>
        <w:shd w:val="clear" w:color="auto" w:fill="FFFFFF" w:themeFill="background1"/>
        <w:jc w:val="both"/>
        <w:rPr>
          <w:sz w:val="22"/>
          <w:szCs w:val="22"/>
          <w:lang w:val="hr-HR"/>
        </w:rPr>
      </w:pPr>
      <w:r w:rsidRPr="00C10B32">
        <w:rPr>
          <w:sz w:val="22"/>
          <w:szCs w:val="22"/>
          <w:lang w:val="hr-HR"/>
        </w:rPr>
        <w:t xml:space="preserve">Na osnovu </w:t>
      </w:r>
      <w:r w:rsidRPr="00C10B32">
        <w:rPr>
          <w:i/>
          <w:sz w:val="22"/>
          <w:szCs w:val="22"/>
          <w:lang w:val="hr-HR"/>
        </w:rPr>
        <w:t>in vitro</w:t>
      </w:r>
      <w:r w:rsidRPr="00C10B32">
        <w:rPr>
          <w:sz w:val="22"/>
          <w:szCs w:val="22"/>
          <w:lang w:val="hr-HR"/>
        </w:rPr>
        <w:t xml:space="preserve"> podataka, inhibicija transportera organskih anjona OAT3 u bubregu putem alpelisiba (i/ili njegovog metabolita BZG791) ne može da se odbaci kod pacijenata pri terapijskoj dozi.</w:t>
      </w:r>
    </w:p>
    <w:p w14:paraId="3431CD01" w14:textId="77777777" w:rsidR="00C10B32" w:rsidRPr="00C10B32" w:rsidRDefault="00C10B32" w:rsidP="00801BB8">
      <w:pPr>
        <w:shd w:val="clear" w:color="auto" w:fill="FFFFFF" w:themeFill="background1"/>
        <w:jc w:val="both"/>
        <w:rPr>
          <w:sz w:val="22"/>
          <w:szCs w:val="22"/>
          <w:lang w:val="hr-HR"/>
        </w:rPr>
      </w:pPr>
    </w:p>
    <w:p w14:paraId="75927441" w14:textId="77777777" w:rsidR="00C10B32" w:rsidRPr="00C10B32" w:rsidRDefault="00C10B32" w:rsidP="00801BB8">
      <w:pPr>
        <w:shd w:val="clear" w:color="auto" w:fill="FFFFFF" w:themeFill="background1"/>
        <w:jc w:val="both"/>
        <w:rPr>
          <w:sz w:val="22"/>
          <w:szCs w:val="22"/>
          <w:lang w:val="hr-HR"/>
        </w:rPr>
      </w:pPr>
      <w:r w:rsidRPr="00C10B32">
        <w:rPr>
          <w:sz w:val="22"/>
          <w:szCs w:val="22"/>
          <w:lang w:val="hr-HR"/>
        </w:rPr>
        <w:t xml:space="preserve">Alpelisib je pokazao samo slabu </w:t>
      </w:r>
      <w:r w:rsidRPr="00C10B32">
        <w:rPr>
          <w:i/>
          <w:sz w:val="22"/>
          <w:szCs w:val="22"/>
          <w:lang w:val="hr-HR"/>
        </w:rPr>
        <w:t>in vitro</w:t>
      </w:r>
      <w:r w:rsidRPr="00C10B32">
        <w:rPr>
          <w:sz w:val="22"/>
          <w:szCs w:val="22"/>
          <w:lang w:val="hr-HR"/>
        </w:rPr>
        <w:t xml:space="preserve"> inhibiciju prema ubikvitarno eksprimiranim efluksnim transporterima (P</w:t>
      </w:r>
      <w:r w:rsidRPr="00C10B32">
        <w:rPr>
          <w:sz w:val="22"/>
          <w:szCs w:val="22"/>
          <w:lang w:val="hr-HR"/>
        </w:rPr>
        <w:noBreakHyphen/>
        <w:t xml:space="preserve">gp, BCRP, MRP2, BSEP), </w:t>
      </w:r>
      <w:r w:rsidRPr="00C10B32">
        <w:rPr>
          <w:i/>
          <w:sz w:val="22"/>
          <w:szCs w:val="22"/>
          <w:lang w:val="hr-HR"/>
        </w:rPr>
        <w:t>solute</w:t>
      </w:r>
      <w:r w:rsidRPr="00C10B32">
        <w:rPr>
          <w:sz w:val="22"/>
          <w:szCs w:val="22"/>
          <w:lang w:val="hr-HR"/>
        </w:rPr>
        <w:t xml:space="preserve"> nosač (engl. </w:t>
      </w:r>
      <w:r w:rsidRPr="00C10B32">
        <w:rPr>
          <w:i/>
          <w:sz w:val="22"/>
          <w:szCs w:val="22"/>
          <w:lang w:val="hr-HR"/>
        </w:rPr>
        <w:t>solute carrier</w:t>
      </w:r>
      <w:r w:rsidRPr="00C10B32">
        <w:rPr>
          <w:sz w:val="22"/>
          <w:szCs w:val="22"/>
          <w:lang w:val="hr-HR"/>
        </w:rPr>
        <w:t>) transporte</w:t>
      </w:r>
      <w:r w:rsidR="00801BB8">
        <w:rPr>
          <w:sz w:val="22"/>
          <w:szCs w:val="22"/>
          <w:lang w:val="hr-HR"/>
        </w:rPr>
        <w:t>r</w:t>
      </w:r>
      <w:r w:rsidRPr="00C10B32">
        <w:rPr>
          <w:sz w:val="22"/>
          <w:szCs w:val="22"/>
          <w:lang w:val="hr-HR"/>
        </w:rPr>
        <w:t>i</w:t>
      </w:r>
      <w:r w:rsidR="007D47DC">
        <w:rPr>
          <w:sz w:val="22"/>
          <w:szCs w:val="22"/>
          <w:lang w:val="hr-HR"/>
        </w:rPr>
        <w:t>ma</w:t>
      </w:r>
      <w:r w:rsidRPr="00C10B32">
        <w:rPr>
          <w:sz w:val="22"/>
          <w:szCs w:val="22"/>
          <w:lang w:val="hr-HR"/>
        </w:rPr>
        <w:t xml:space="preserve"> na ulaznom d</w:t>
      </w:r>
      <w:r w:rsidR="00B232D5">
        <w:rPr>
          <w:sz w:val="22"/>
          <w:szCs w:val="22"/>
          <w:lang w:val="hr-HR"/>
        </w:rPr>
        <w:t>ij</w:t>
      </w:r>
      <w:r w:rsidRPr="00C10B32">
        <w:rPr>
          <w:sz w:val="22"/>
          <w:szCs w:val="22"/>
          <w:lang w:val="hr-HR"/>
        </w:rPr>
        <w:t xml:space="preserve">elu jetre (OATP1B1, OATP1B3, OCT1) i </w:t>
      </w:r>
      <w:r w:rsidRPr="00C10B32">
        <w:rPr>
          <w:i/>
          <w:sz w:val="22"/>
          <w:szCs w:val="22"/>
          <w:lang w:val="hr-HR"/>
        </w:rPr>
        <w:t>solute</w:t>
      </w:r>
      <w:r w:rsidRPr="00C10B32">
        <w:rPr>
          <w:sz w:val="22"/>
          <w:szCs w:val="22"/>
          <w:lang w:val="hr-HR"/>
        </w:rPr>
        <w:t xml:space="preserve"> nosač transporteri</w:t>
      </w:r>
      <w:r w:rsidR="007D47DC">
        <w:rPr>
          <w:sz w:val="22"/>
          <w:szCs w:val="22"/>
          <w:lang w:val="hr-HR"/>
        </w:rPr>
        <w:t>ma</w:t>
      </w:r>
      <w:r w:rsidRPr="00C10B32">
        <w:rPr>
          <w:sz w:val="22"/>
          <w:szCs w:val="22"/>
          <w:lang w:val="hr-HR"/>
        </w:rPr>
        <w:t xml:space="preserve"> u bubre</w:t>
      </w:r>
      <w:r w:rsidR="007D47DC">
        <w:rPr>
          <w:sz w:val="22"/>
          <w:szCs w:val="22"/>
          <w:lang w:val="hr-HR"/>
        </w:rPr>
        <w:t>zima</w:t>
      </w:r>
      <w:r w:rsidRPr="00C10B32">
        <w:rPr>
          <w:sz w:val="22"/>
          <w:szCs w:val="22"/>
          <w:lang w:val="hr-HR"/>
        </w:rPr>
        <w:t xml:space="preserve"> (OAT1, OCT2, MATE1, MATE2K). Budući da su sistemske koncentracije nev</w:t>
      </w:r>
      <w:r w:rsidRPr="006C2069">
        <w:rPr>
          <w:sz w:val="22"/>
          <w:szCs w:val="22"/>
          <w:lang w:val="hr-HR"/>
        </w:rPr>
        <w:t>ezanog l</w:t>
      </w:r>
      <w:r w:rsidR="00801BB8" w:rsidRPr="006C2069">
        <w:rPr>
          <w:sz w:val="22"/>
          <w:szCs w:val="22"/>
          <w:lang w:val="hr-HR"/>
        </w:rPr>
        <w:t>ij</w:t>
      </w:r>
      <w:r w:rsidRPr="006C2069">
        <w:rPr>
          <w:sz w:val="22"/>
          <w:szCs w:val="22"/>
          <w:lang w:val="hr-HR"/>
        </w:rPr>
        <w:t>eka u stanju dinamičke ravnoteže (ili koncentracije na ulaznom d</w:t>
      </w:r>
      <w:r w:rsidR="00B232D5">
        <w:rPr>
          <w:sz w:val="22"/>
          <w:szCs w:val="22"/>
          <w:lang w:val="hr-HR"/>
        </w:rPr>
        <w:t>ij</w:t>
      </w:r>
      <w:r w:rsidRPr="006C2069">
        <w:rPr>
          <w:sz w:val="22"/>
          <w:szCs w:val="22"/>
          <w:lang w:val="hr-HR"/>
        </w:rPr>
        <w:t>elu jetre) pri terapijskoj dozi i najvećoj podnošljivoj dozi značajno niže od eksperimentalno utvrđenih inhibitornih konstanti nevezanog l</w:t>
      </w:r>
      <w:r w:rsidR="006C2069" w:rsidRPr="006C2069">
        <w:rPr>
          <w:sz w:val="22"/>
          <w:szCs w:val="22"/>
          <w:lang w:val="hr-HR"/>
        </w:rPr>
        <w:t>ij</w:t>
      </w:r>
      <w:r w:rsidRPr="006C2069">
        <w:rPr>
          <w:sz w:val="22"/>
          <w:szCs w:val="22"/>
          <w:lang w:val="hr-HR"/>
        </w:rPr>
        <w:t>eka ili IC</w:t>
      </w:r>
      <w:r w:rsidRPr="006C2069">
        <w:rPr>
          <w:sz w:val="22"/>
          <w:szCs w:val="22"/>
          <w:vertAlign w:val="subscript"/>
          <w:lang w:val="hr-HR"/>
        </w:rPr>
        <w:t>50</w:t>
      </w:r>
      <w:r w:rsidRPr="006C2069">
        <w:rPr>
          <w:sz w:val="22"/>
          <w:szCs w:val="22"/>
          <w:lang w:val="hr-HR"/>
        </w:rPr>
        <w:t xml:space="preserve">, inhibicija neće </w:t>
      </w:r>
      <w:r w:rsidR="007D47DC">
        <w:rPr>
          <w:sz w:val="22"/>
          <w:szCs w:val="22"/>
          <w:lang w:val="hr-HR"/>
        </w:rPr>
        <w:t>biti prevedena u</w:t>
      </w:r>
      <w:r w:rsidR="007D058D">
        <w:rPr>
          <w:sz w:val="22"/>
          <w:szCs w:val="22"/>
          <w:lang w:val="hr-HR"/>
        </w:rPr>
        <w:t xml:space="preserve"> </w:t>
      </w:r>
      <w:r w:rsidR="007D47DC" w:rsidRPr="006C2069">
        <w:rPr>
          <w:sz w:val="22"/>
          <w:szCs w:val="22"/>
          <w:lang w:val="hr-HR"/>
        </w:rPr>
        <w:t>kliničk</w:t>
      </w:r>
      <w:r w:rsidR="007D47DC">
        <w:rPr>
          <w:sz w:val="22"/>
          <w:szCs w:val="22"/>
          <w:lang w:val="hr-HR"/>
        </w:rPr>
        <w:t>i</w:t>
      </w:r>
      <w:r w:rsidR="007D47DC" w:rsidRPr="006C2069">
        <w:rPr>
          <w:sz w:val="22"/>
          <w:szCs w:val="22"/>
          <w:lang w:val="hr-HR"/>
        </w:rPr>
        <w:t xml:space="preserve"> značajn</w:t>
      </w:r>
      <w:r w:rsidR="007D47DC">
        <w:rPr>
          <w:sz w:val="22"/>
          <w:szCs w:val="22"/>
          <w:lang w:val="hr-HR"/>
        </w:rPr>
        <w:t>u</w:t>
      </w:r>
      <w:r w:rsidRPr="006C2069">
        <w:rPr>
          <w:sz w:val="22"/>
          <w:szCs w:val="22"/>
          <w:lang w:val="hr-HR"/>
        </w:rPr>
        <w:t>. Zbog visokih koncentracija alpelisiba u lumenu cr</w:t>
      </w:r>
      <w:r w:rsidR="00801BB8" w:rsidRPr="006C2069">
        <w:rPr>
          <w:sz w:val="22"/>
          <w:szCs w:val="22"/>
          <w:lang w:val="hr-HR"/>
        </w:rPr>
        <w:t>ij</w:t>
      </w:r>
      <w:r w:rsidRPr="006C2069">
        <w:rPr>
          <w:sz w:val="22"/>
          <w:szCs w:val="22"/>
          <w:lang w:val="hr-HR"/>
        </w:rPr>
        <w:t>eva, efekat na cr</w:t>
      </w:r>
      <w:r w:rsidR="00801BB8" w:rsidRPr="006C2069">
        <w:rPr>
          <w:sz w:val="22"/>
          <w:szCs w:val="22"/>
          <w:lang w:val="hr-HR"/>
        </w:rPr>
        <w:t>ij</w:t>
      </w:r>
      <w:r w:rsidRPr="006C2069">
        <w:rPr>
          <w:sz w:val="22"/>
          <w:szCs w:val="22"/>
          <w:lang w:val="hr-HR"/>
        </w:rPr>
        <w:t>evni P-gp i BCRP ne može da se u potpunosti isključi.</w:t>
      </w:r>
    </w:p>
    <w:p w14:paraId="0E82DA1A" w14:textId="77777777" w:rsidR="00C10B32" w:rsidRPr="00C10B32" w:rsidRDefault="00C10B32" w:rsidP="00801BB8">
      <w:pPr>
        <w:shd w:val="clear" w:color="auto" w:fill="FFFFFF" w:themeFill="background1"/>
        <w:jc w:val="both"/>
        <w:rPr>
          <w:sz w:val="22"/>
          <w:szCs w:val="22"/>
          <w:lang w:val="hr-HR"/>
        </w:rPr>
      </w:pPr>
    </w:p>
    <w:p w14:paraId="4CF5CDEB" w14:textId="77777777" w:rsidR="00C10B32" w:rsidRPr="00C10B32" w:rsidRDefault="00C10B32" w:rsidP="00801BB8">
      <w:pPr>
        <w:keepNext/>
        <w:shd w:val="clear" w:color="auto" w:fill="FFFFFF" w:themeFill="background1"/>
        <w:jc w:val="both"/>
        <w:rPr>
          <w:iCs/>
          <w:sz w:val="22"/>
          <w:szCs w:val="22"/>
          <w:lang w:val="hr-HR"/>
        </w:rPr>
      </w:pPr>
      <w:r w:rsidRPr="00C10B32">
        <w:rPr>
          <w:iCs/>
          <w:sz w:val="22"/>
          <w:szCs w:val="22"/>
          <w:u w:val="single"/>
          <w:lang w:val="hr-HR"/>
        </w:rPr>
        <w:t>Posebne populacije</w:t>
      </w:r>
    </w:p>
    <w:p w14:paraId="0CE98C3D" w14:textId="77777777" w:rsidR="00C10B32" w:rsidRPr="00C10B32" w:rsidRDefault="00C10B32" w:rsidP="00801BB8">
      <w:pPr>
        <w:keepNext/>
        <w:shd w:val="clear" w:color="auto" w:fill="FFFFFF" w:themeFill="background1"/>
        <w:jc w:val="both"/>
        <w:rPr>
          <w:iCs/>
          <w:sz w:val="22"/>
          <w:szCs w:val="22"/>
          <w:lang w:val="hr-HR"/>
        </w:rPr>
      </w:pPr>
    </w:p>
    <w:p w14:paraId="76B5A7CB" w14:textId="77777777" w:rsidR="00C10B32" w:rsidRPr="00C10B32" w:rsidRDefault="007D47DC" w:rsidP="00801BB8">
      <w:pPr>
        <w:keepNext/>
        <w:shd w:val="clear" w:color="auto" w:fill="FFFFFF" w:themeFill="background1"/>
        <w:jc w:val="both"/>
        <w:rPr>
          <w:iCs/>
          <w:sz w:val="22"/>
          <w:szCs w:val="22"/>
          <w:lang w:val="hr-HR"/>
        </w:rPr>
      </w:pPr>
      <w:r w:rsidRPr="00C10B32">
        <w:rPr>
          <w:i/>
          <w:iCs/>
          <w:sz w:val="22"/>
          <w:szCs w:val="22"/>
          <w:u w:val="single"/>
          <w:lang w:val="hr-HR"/>
        </w:rPr>
        <w:t>U</w:t>
      </w:r>
      <w:r>
        <w:rPr>
          <w:i/>
          <w:iCs/>
          <w:sz w:val="22"/>
          <w:szCs w:val="22"/>
          <w:u w:val="single"/>
          <w:lang w:val="hr-HR"/>
        </w:rPr>
        <w:t>ticaj</w:t>
      </w:r>
      <w:r w:rsidRPr="00C10B32">
        <w:rPr>
          <w:i/>
          <w:iCs/>
          <w:sz w:val="22"/>
          <w:szCs w:val="22"/>
          <w:u w:val="single"/>
          <w:lang w:val="hr-HR"/>
        </w:rPr>
        <w:t xml:space="preserve"> </w:t>
      </w:r>
      <w:r w:rsidR="00C10B32" w:rsidRPr="00C10B32">
        <w:rPr>
          <w:i/>
          <w:iCs/>
          <w:sz w:val="22"/>
          <w:szCs w:val="22"/>
          <w:u w:val="single"/>
          <w:lang w:val="hr-HR"/>
        </w:rPr>
        <w:t>godina, težine i pola</w:t>
      </w:r>
    </w:p>
    <w:p w14:paraId="31F31A52" w14:textId="77777777" w:rsidR="00C10B32" w:rsidRPr="00C10B32" w:rsidRDefault="00C10B32" w:rsidP="00801BB8">
      <w:pPr>
        <w:shd w:val="clear" w:color="auto" w:fill="FFFFFF" w:themeFill="background1"/>
        <w:jc w:val="both"/>
        <w:rPr>
          <w:iCs/>
          <w:sz w:val="22"/>
          <w:szCs w:val="22"/>
          <w:lang w:val="hr-HR"/>
        </w:rPr>
      </w:pPr>
      <w:r w:rsidRPr="00C10B32">
        <w:rPr>
          <w:iCs/>
          <w:sz w:val="22"/>
          <w:szCs w:val="22"/>
          <w:lang w:val="hr-HR"/>
        </w:rPr>
        <w:t xml:space="preserve">Populaciona farmakokinetička analiza pokazala je da nema klinički relevantnih efekata godina, </w:t>
      </w:r>
      <w:r w:rsidR="0010032C">
        <w:rPr>
          <w:iCs/>
          <w:sz w:val="22"/>
          <w:szCs w:val="22"/>
          <w:lang w:val="hr-HR"/>
        </w:rPr>
        <w:t>tjelesn</w:t>
      </w:r>
      <w:r w:rsidRPr="00C10B32">
        <w:rPr>
          <w:iCs/>
          <w:sz w:val="22"/>
          <w:szCs w:val="22"/>
          <w:lang w:val="hr-HR"/>
        </w:rPr>
        <w:t xml:space="preserve">e težine ili pola na sistemsku izloženost alpelisibu zbog kojih bi bilo </w:t>
      </w:r>
      <w:r w:rsidR="00B232D5" w:rsidRPr="00C10B32">
        <w:rPr>
          <w:iCs/>
          <w:sz w:val="22"/>
          <w:szCs w:val="22"/>
          <w:lang w:val="hr-HR"/>
        </w:rPr>
        <w:t>potrebn</w:t>
      </w:r>
      <w:r w:rsidR="00B232D5">
        <w:rPr>
          <w:iCs/>
          <w:sz w:val="22"/>
          <w:szCs w:val="22"/>
          <w:lang w:val="hr-HR"/>
        </w:rPr>
        <w:t>o</w:t>
      </w:r>
      <w:r w:rsidR="00B232D5" w:rsidRPr="00C10B32">
        <w:rPr>
          <w:iCs/>
          <w:sz w:val="22"/>
          <w:szCs w:val="22"/>
          <w:lang w:val="hr-HR"/>
        </w:rPr>
        <w:t xml:space="preserve"> </w:t>
      </w:r>
      <w:r w:rsidRPr="00C10B32">
        <w:rPr>
          <w:iCs/>
          <w:sz w:val="22"/>
          <w:szCs w:val="22"/>
          <w:lang w:val="hr-HR"/>
        </w:rPr>
        <w:t xml:space="preserve">prilagođavanje doze </w:t>
      </w:r>
      <w:r w:rsidRPr="00C10B32">
        <w:rPr>
          <w:sz w:val="22"/>
          <w:szCs w:val="22"/>
          <w:lang w:val="hr-HR"/>
        </w:rPr>
        <w:t>l</w:t>
      </w:r>
      <w:r w:rsidR="00801BB8">
        <w:rPr>
          <w:sz w:val="22"/>
          <w:szCs w:val="22"/>
          <w:lang w:val="hr-HR"/>
        </w:rPr>
        <w:t>ij</w:t>
      </w:r>
      <w:r w:rsidRPr="00C10B32">
        <w:rPr>
          <w:sz w:val="22"/>
          <w:szCs w:val="22"/>
          <w:lang w:val="hr-HR"/>
        </w:rPr>
        <w:t xml:space="preserve">eka </w:t>
      </w:r>
      <w:r w:rsidRPr="00C10B32">
        <w:rPr>
          <w:iCs/>
          <w:sz w:val="22"/>
          <w:szCs w:val="22"/>
          <w:lang w:val="hr-HR"/>
        </w:rPr>
        <w:t>Piqray.</w:t>
      </w:r>
    </w:p>
    <w:p w14:paraId="56459421" w14:textId="77777777" w:rsidR="00C10B32" w:rsidRPr="00C10B32" w:rsidRDefault="00C10B32" w:rsidP="00801BB8">
      <w:pPr>
        <w:shd w:val="clear" w:color="auto" w:fill="FFFFFF" w:themeFill="background1"/>
        <w:jc w:val="both"/>
        <w:rPr>
          <w:iCs/>
          <w:sz w:val="22"/>
          <w:szCs w:val="22"/>
          <w:lang w:val="hr-HR"/>
        </w:rPr>
      </w:pPr>
    </w:p>
    <w:p w14:paraId="465095BF" w14:textId="77777777" w:rsidR="00C10B32" w:rsidRPr="00C10B32" w:rsidRDefault="00C10B32" w:rsidP="00801BB8">
      <w:pPr>
        <w:keepNext/>
        <w:shd w:val="clear" w:color="auto" w:fill="FFFFFF" w:themeFill="background1"/>
        <w:jc w:val="both"/>
        <w:rPr>
          <w:iCs/>
          <w:sz w:val="22"/>
          <w:szCs w:val="22"/>
          <w:lang w:val="hr-HR"/>
        </w:rPr>
      </w:pPr>
      <w:r w:rsidRPr="00C10B32">
        <w:rPr>
          <w:i/>
          <w:iCs/>
          <w:sz w:val="22"/>
          <w:szCs w:val="22"/>
          <w:u w:val="single"/>
          <w:lang w:val="hr-HR"/>
        </w:rPr>
        <w:t>Pedijatrijska populacija (mlađi od 18 godina)</w:t>
      </w:r>
    </w:p>
    <w:p w14:paraId="1C8D9F79" w14:textId="77777777" w:rsidR="00C10B32" w:rsidRPr="00C10B32" w:rsidRDefault="00C10B32" w:rsidP="00801BB8">
      <w:pPr>
        <w:shd w:val="clear" w:color="auto" w:fill="FFFFFF" w:themeFill="background1"/>
        <w:jc w:val="both"/>
        <w:rPr>
          <w:iCs/>
          <w:sz w:val="22"/>
          <w:szCs w:val="22"/>
          <w:lang w:val="hr-HR"/>
        </w:rPr>
      </w:pPr>
      <w:r w:rsidRPr="00C10B32">
        <w:rPr>
          <w:iCs/>
          <w:sz w:val="22"/>
          <w:szCs w:val="22"/>
          <w:lang w:val="hr-HR"/>
        </w:rPr>
        <w:t xml:space="preserve">Farmakokinetika </w:t>
      </w:r>
      <w:r w:rsidRPr="00C10B32">
        <w:rPr>
          <w:sz w:val="22"/>
          <w:szCs w:val="22"/>
          <w:lang w:val="hr-HR"/>
        </w:rPr>
        <w:t>l</w:t>
      </w:r>
      <w:r w:rsidR="00801BB8">
        <w:rPr>
          <w:sz w:val="22"/>
          <w:szCs w:val="22"/>
          <w:lang w:val="hr-HR"/>
        </w:rPr>
        <w:t>ij</w:t>
      </w:r>
      <w:r w:rsidRPr="00C10B32">
        <w:rPr>
          <w:sz w:val="22"/>
          <w:szCs w:val="22"/>
          <w:lang w:val="hr-HR"/>
        </w:rPr>
        <w:t>eka Piqray</w:t>
      </w:r>
      <w:r w:rsidRPr="00C10B32">
        <w:rPr>
          <w:iCs/>
          <w:sz w:val="22"/>
          <w:szCs w:val="22"/>
          <w:lang w:val="hr-HR"/>
        </w:rPr>
        <w:t xml:space="preserve"> kod d</w:t>
      </w:r>
      <w:r w:rsidR="003764F0">
        <w:rPr>
          <w:iCs/>
          <w:sz w:val="22"/>
          <w:szCs w:val="22"/>
          <w:lang w:val="hr-HR"/>
        </w:rPr>
        <w:t>j</w:t>
      </w:r>
      <w:r w:rsidRPr="00C10B32">
        <w:rPr>
          <w:iCs/>
          <w:sz w:val="22"/>
          <w:szCs w:val="22"/>
          <w:lang w:val="hr-HR"/>
        </w:rPr>
        <w:t xml:space="preserve">ece </w:t>
      </w:r>
      <w:r w:rsidR="007D47DC">
        <w:rPr>
          <w:iCs/>
          <w:sz w:val="22"/>
          <w:szCs w:val="22"/>
          <w:lang w:val="hr-HR"/>
        </w:rPr>
        <w:t>uzrasta</w:t>
      </w:r>
      <w:r w:rsidRPr="00C10B32">
        <w:rPr>
          <w:iCs/>
          <w:sz w:val="22"/>
          <w:szCs w:val="22"/>
          <w:lang w:val="hr-HR"/>
        </w:rPr>
        <w:t xml:space="preserve"> od 0 do 18 godina nije ustanovljena. Nema dostupnih podataka.</w:t>
      </w:r>
    </w:p>
    <w:p w14:paraId="002BABB2" w14:textId="77777777" w:rsidR="00C10B32" w:rsidRPr="00C10B32" w:rsidRDefault="00C10B32" w:rsidP="00801BB8">
      <w:pPr>
        <w:shd w:val="clear" w:color="auto" w:fill="FFFFFF" w:themeFill="background1"/>
        <w:jc w:val="both"/>
        <w:rPr>
          <w:iCs/>
          <w:sz w:val="22"/>
          <w:szCs w:val="22"/>
          <w:lang w:val="hr-HR"/>
        </w:rPr>
      </w:pPr>
    </w:p>
    <w:p w14:paraId="26666AC3" w14:textId="77777777" w:rsidR="00C10B32" w:rsidRPr="00C10B32" w:rsidRDefault="00C10B32" w:rsidP="00801BB8">
      <w:pPr>
        <w:keepNext/>
        <w:shd w:val="clear" w:color="auto" w:fill="FFFFFF" w:themeFill="background1"/>
        <w:jc w:val="both"/>
        <w:rPr>
          <w:iCs/>
          <w:sz w:val="22"/>
          <w:szCs w:val="22"/>
          <w:lang w:val="hr-HR"/>
        </w:rPr>
      </w:pPr>
      <w:r w:rsidRPr="00C10B32">
        <w:rPr>
          <w:i/>
          <w:iCs/>
          <w:sz w:val="22"/>
          <w:szCs w:val="22"/>
          <w:u w:val="single"/>
          <w:lang w:val="hr-HR"/>
        </w:rPr>
        <w:t>Starije osobe (65 godina i više)</w:t>
      </w:r>
    </w:p>
    <w:p w14:paraId="421A7CEE" w14:textId="2A497796" w:rsidR="00C10B32" w:rsidRPr="00C10B32" w:rsidRDefault="00C10B32" w:rsidP="00801BB8">
      <w:pPr>
        <w:shd w:val="clear" w:color="auto" w:fill="FFFFFF" w:themeFill="background1"/>
        <w:jc w:val="both"/>
        <w:rPr>
          <w:iCs/>
          <w:sz w:val="22"/>
          <w:szCs w:val="22"/>
          <w:lang w:val="hr-HR"/>
        </w:rPr>
      </w:pPr>
      <w:r w:rsidRPr="00C10B32">
        <w:rPr>
          <w:iCs/>
          <w:sz w:val="22"/>
          <w:szCs w:val="22"/>
          <w:lang w:val="hr-HR"/>
        </w:rPr>
        <w:t>Od 284 pacijenata koji su primali l</w:t>
      </w:r>
      <w:r w:rsidR="00801BB8">
        <w:rPr>
          <w:iCs/>
          <w:sz w:val="22"/>
          <w:szCs w:val="22"/>
          <w:lang w:val="hr-HR"/>
        </w:rPr>
        <w:t>ij</w:t>
      </w:r>
      <w:r w:rsidRPr="00C10B32">
        <w:rPr>
          <w:iCs/>
          <w:sz w:val="22"/>
          <w:szCs w:val="22"/>
          <w:lang w:val="hr-HR"/>
        </w:rPr>
        <w:t xml:space="preserve">ek </w:t>
      </w:r>
      <w:r w:rsidRPr="00C10B32">
        <w:rPr>
          <w:sz w:val="22"/>
          <w:szCs w:val="22"/>
          <w:lang w:val="hr-HR"/>
        </w:rPr>
        <w:t>Piqray</w:t>
      </w:r>
      <w:r w:rsidRPr="00C10B32">
        <w:rPr>
          <w:iCs/>
          <w:sz w:val="22"/>
          <w:szCs w:val="22"/>
          <w:lang w:val="hr-HR"/>
        </w:rPr>
        <w:t xml:space="preserve"> u ispitivanju faze III (u grupi koja je primala alpelisib zajedno sa fulvestrantom), 117 pacijenata je imalo ≥65 godina, a 34 pacijenta su imala između 75 i 87 godina. </w:t>
      </w:r>
      <w:r w:rsidR="00D944EF">
        <w:rPr>
          <w:iCs/>
          <w:sz w:val="22"/>
          <w:szCs w:val="22"/>
          <w:lang w:val="hr-HR"/>
        </w:rPr>
        <w:t>Nijesu</w:t>
      </w:r>
      <w:r w:rsidRPr="00C10B32">
        <w:rPr>
          <w:iCs/>
          <w:sz w:val="22"/>
          <w:szCs w:val="22"/>
          <w:lang w:val="hr-HR"/>
        </w:rPr>
        <w:t xml:space="preserve"> uočene sveukupne razlike u izloženosti l</w:t>
      </w:r>
      <w:r w:rsidR="00801BB8">
        <w:rPr>
          <w:iCs/>
          <w:sz w:val="22"/>
          <w:szCs w:val="22"/>
          <w:lang w:val="hr-HR"/>
        </w:rPr>
        <w:t>ij</w:t>
      </w:r>
      <w:r w:rsidRPr="00C10B32">
        <w:rPr>
          <w:iCs/>
          <w:sz w:val="22"/>
          <w:szCs w:val="22"/>
          <w:lang w:val="hr-HR"/>
        </w:rPr>
        <w:t xml:space="preserve">eku </w:t>
      </w:r>
      <w:r w:rsidRPr="00C10B32">
        <w:rPr>
          <w:sz w:val="22"/>
          <w:szCs w:val="22"/>
          <w:lang w:val="hr-HR"/>
        </w:rPr>
        <w:t xml:space="preserve">Piqray između pacijenata ove </w:t>
      </w:r>
      <w:r w:rsidR="007D47DC">
        <w:rPr>
          <w:sz w:val="22"/>
          <w:szCs w:val="22"/>
          <w:lang w:val="hr-HR"/>
        </w:rPr>
        <w:t>starosti</w:t>
      </w:r>
      <w:r w:rsidR="007D47DC" w:rsidRPr="00C10B32">
        <w:rPr>
          <w:sz w:val="22"/>
          <w:szCs w:val="22"/>
          <w:lang w:val="hr-HR"/>
        </w:rPr>
        <w:t xml:space="preserve"> </w:t>
      </w:r>
      <w:r w:rsidRPr="00C10B32">
        <w:rPr>
          <w:sz w:val="22"/>
          <w:szCs w:val="22"/>
          <w:lang w:val="hr-HR"/>
        </w:rPr>
        <w:t xml:space="preserve">i mlađih pacijenata </w:t>
      </w:r>
      <w:r w:rsidRPr="00C10B32">
        <w:rPr>
          <w:iCs/>
          <w:sz w:val="22"/>
          <w:szCs w:val="22"/>
          <w:lang w:val="hr-HR"/>
        </w:rPr>
        <w:t>(</w:t>
      </w:r>
      <w:r w:rsidR="00EF7C8E">
        <w:rPr>
          <w:iCs/>
          <w:sz w:val="22"/>
          <w:szCs w:val="22"/>
          <w:lang w:val="hr-HR"/>
        </w:rPr>
        <w:t>pogledati dio</w:t>
      </w:r>
      <w:r w:rsidRPr="00C10B32">
        <w:rPr>
          <w:iCs/>
          <w:sz w:val="22"/>
          <w:szCs w:val="22"/>
          <w:lang w:val="hr-HR"/>
        </w:rPr>
        <w:t xml:space="preserve"> 4.2).</w:t>
      </w:r>
    </w:p>
    <w:p w14:paraId="0D378045" w14:textId="77777777" w:rsidR="00C10B32" w:rsidRPr="00C10B32" w:rsidRDefault="00C10B32" w:rsidP="00801BB8">
      <w:pPr>
        <w:shd w:val="clear" w:color="auto" w:fill="FFFFFF" w:themeFill="background1"/>
        <w:jc w:val="both"/>
        <w:rPr>
          <w:iCs/>
          <w:sz w:val="22"/>
          <w:szCs w:val="22"/>
          <w:lang w:val="hr-HR"/>
        </w:rPr>
      </w:pPr>
    </w:p>
    <w:p w14:paraId="25408752" w14:textId="77777777" w:rsidR="00C10B32" w:rsidRPr="00C10B32" w:rsidRDefault="00C10B32" w:rsidP="00801BB8">
      <w:pPr>
        <w:keepNext/>
        <w:shd w:val="clear" w:color="auto" w:fill="FFFFFF" w:themeFill="background1"/>
        <w:jc w:val="both"/>
        <w:rPr>
          <w:sz w:val="22"/>
          <w:szCs w:val="22"/>
          <w:lang w:val="hr-HR"/>
        </w:rPr>
      </w:pPr>
      <w:r w:rsidRPr="00C10B32">
        <w:rPr>
          <w:i/>
          <w:sz w:val="22"/>
          <w:szCs w:val="22"/>
          <w:u w:val="single"/>
          <w:lang w:val="hr-HR"/>
        </w:rPr>
        <w:t>Rasa/etnička pripadnost</w:t>
      </w:r>
    </w:p>
    <w:p w14:paraId="37942DBB" w14:textId="77777777" w:rsidR="00C10B32" w:rsidRPr="00C10B32" w:rsidRDefault="00C10B32" w:rsidP="00801BB8">
      <w:pPr>
        <w:shd w:val="clear" w:color="auto" w:fill="FFFFFF" w:themeFill="background1"/>
        <w:jc w:val="both"/>
        <w:rPr>
          <w:sz w:val="22"/>
          <w:szCs w:val="22"/>
          <w:lang w:val="hr-HR"/>
        </w:rPr>
      </w:pPr>
      <w:r w:rsidRPr="00C10B32">
        <w:rPr>
          <w:sz w:val="22"/>
          <w:szCs w:val="22"/>
          <w:lang w:val="hr-HR"/>
        </w:rPr>
        <w:t>Populacione farmakokinetičke analize i farmakokinetičke analize iz ispitivanja faze I kod japanskih pacijenat</w:t>
      </w:r>
      <w:r w:rsidR="00801BB8">
        <w:rPr>
          <w:sz w:val="22"/>
          <w:szCs w:val="22"/>
          <w:lang w:val="hr-HR"/>
        </w:rPr>
        <w:t>a</w:t>
      </w:r>
      <w:r w:rsidRPr="00C10B32">
        <w:rPr>
          <w:sz w:val="22"/>
          <w:szCs w:val="22"/>
          <w:lang w:val="hr-HR"/>
        </w:rPr>
        <w:t xml:space="preserve"> sa </w:t>
      </w:r>
      <w:r w:rsidR="00B232D5">
        <w:rPr>
          <w:sz w:val="22"/>
          <w:szCs w:val="22"/>
          <w:lang w:val="hr-HR"/>
        </w:rPr>
        <w:t>karcinom</w:t>
      </w:r>
      <w:r w:rsidR="00B232D5" w:rsidRPr="00C10B32">
        <w:rPr>
          <w:sz w:val="22"/>
          <w:szCs w:val="22"/>
          <w:lang w:val="hr-HR"/>
        </w:rPr>
        <w:t xml:space="preserve">om </w:t>
      </w:r>
      <w:r w:rsidRPr="00C10B32">
        <w:rPr>
          <w:sz w:val="22"/>
          <w:szCs w:val="22"/>
          <w:lang w:val="hr-HR"/>
        </w:rPr>
        <w:t>pokazale su da nema klinički relevantnih efekata etničke pripadnosti na sistemsku izloženost l</w:t>
      </w:r>
      <w:r w:rsidR="00801BB8">
        <w:rPr>
          <w:sz w:val="22"/>
          <w:szCs w:val="22"/>
          <w:lang w:val="hr-HR"/>
        </w:rPr>
        <w:t>ij</w:t>
      </w:r>
      <w:r w:rsidRPr="00C10B32">
        <w:rPr>
          <w:sz w:val="22"/>
          <w:szCs w:val="22"/>
          <w:lang w:val="hr-HR"/>
        </w:rPr>
        <w:t>eku Piqray.</w:t>
      </w:r>
    </w:p>
    <w:p w14:paraId="4AAB29B6" w14:textId="77777777" w:rsidR="00C10B32" w:rsidRPr="00C10B32" w:rsidRDefault="00C10B32" w:rsidP="00801BB8">
      <w:pPr>
        <w:shd w:val="clear" w:color="auto" w:fill="FFFFFF" w:themeFill="background1"/>
        <w:jc w:val="both"/>
        <w:rPr>
          <w:sz w:val="22"/>
          <w:szCs w:val="22"/>
          <w:lang w:val="hr-HR"/>
        </w:rPr>
      </w:pPr>
    </w:p>
    <w:p w14:paraId="236C0F99" w14:textId="77777777" w:rsidR="00C10B32" w:rsidRPr="00C10B32" w:rsidRDefault="00C10B32" w:rsidP="00801BB8">
      <w:pPr>
        <w:shd w:val="clear" w:color="auto" w:fill="FFFFFF" w:themeFill="background1"/>
        <w:jc w:val="both"/>
        <w:rPr>
          <w:sz w:val="22"/>
          <w:szCs w:val="22"/>
          <w:lang w:val="hr-HR"/>
        </w:rPr>
      </w:pPr>
      <w:r w:rsidRPr="00C10B32">
        <w:rPr>
          <w:iCs/>
          <w:sz w:val="22"/>
          <w:szCs w:val="22"/>
          <w:lang w:val="hr-HR"/>
        </w:rPr>
        <w:t xml:space="preserve">Farmakokinetički parametri na osnovu analize bez </w:t>
      </w:r>
      <w:r w:rsidR="00FE1F5B">
        <w:rPr>
          <w:iCs/>
          <w:sz w:val="22"/>
          <w:szCs w:val="22"/>
          <w:lang w:val="hr-HR"/>
        </w:rPr>
        <w:t>odjeljak</w:t>
      </w:r>
      <w:r w:rsidRPr="00C10B32">
        <w:rPr>
          <w:iCs/>
          <w:sz w:val="22"/>
          <w:szCs w:val="22"/>
          <w:lang w:val="hr-HR"/>
        </w:rPr>
        <w:t xml:space="preserve">a </w:t>
      </w:r>
      <w:r w:rsidRPr="00C10B32">
        <w:rPr>
          <w:sz w:val="22"/>
          <w:szCs w:val="22"/>
          <w:lang w:val="hr-HR"/>
        </w:rPr>
        <w:t xml:space="preserve">(engl. </w:t>
      </w:r>
      <w:r w:rsidRPr="00C10B32">
        <w:rPr>
          <w:i/>
          <w:sz w:val="22"/>
          <w:szCs w:val="22"/>
          <w:lang w:val="hr-HR"/>
        </w:rPr>
        <w:t>non</w:t>
      </w:r>
      <w:r w:rsidRPr="00C10B32">
        <w:rPr>
          <w:i/>
          <w:sz w:val="22"/>
          <w:szCs w:val="22"/>
          <w:lang w:val="hr-HR"/>
        </w:rPr>
        <w:noBreakHyphen/>
        <w:t>compartmental</w:t>
      </w:r>
      <w:r w:rsidRPr="00C10B32">
        <w:rPr>
          <w:sz w:val="22"/>
          <w:szCs w:val="22"/>
          <w:lang w:val="hr-HR"/>
        </w:rPr>
        <w:t xml:space="preserve">) </w:t>
      </w:r>
      <w:r w:rsidRPr="00C10B32">
        <w:rPr>
          <w:iCs/>
          <w:sz w:val="22"/>
          <w:szCs w:val="22"/>
          <w:lang w:val="hr-HR"/>
        </w:rPr>
        <w:t>nakon jednokratne i višestrukih dnevnih doza</w:t>
      </w:r>
      <w:r w:rsidRPr="00C10B32">
        <w:rPr>
          <w:sz w:val="22"/>
          <w:szCs w:val="22"/>
          <w:lang w:val="hr-HR"/>
        </w:rPr>
        <w:t xml:space="preserve"> l</w:t>
      </w:r>
      <w:r w:rsidR="00801BB8">
        <w:rPr>
          <w:sz w:val="22"/>
          <w:szCs w:val="22"/>
          <w:lang w:val="hr-HR"/>
        </w:rPr>
        <w:t>ij</w:t>
      </w:r>
      <w:r w:rsidRPr="00C10B32">
        <w:rPr>
          <w:sz w:val="22"/>
          <w:szCs w:val="22"/>
          <w:lang w:val="hr-HR"/>
        </w:rPr>
        <w:t>eka Piqray kod japanskih pacijenata bili su vrlo slični onima prijavljenim u populaciji b</w:t>
      </w:r>
      <w:r w:rsidR="003764F0">
        <w:rPr>
          <w:sz w:val="22"/>
          <w:szCs w:val="22"/>
          <w:lang w:val="hr-HR"/>
        </w:rPr>
        <w:t>ij</w:t>
      </w:r>
      <w:r w:rsidRPr="00C10B32">
        <w:rPr>
          <w:sz w:val="22"/>
          <w:szCs w:val="22"/>
          <w:lang w:val="hr-HR"/>
        </w:rPr>
        <w:t>ele rase.</w:t>
      </w:r>
    </w:p>
    <w:p w14:paraId="039F2A51" w14:textId="77777777" w:rsidR="00C10B32" w:rsidRPr="00C10B32" w:rsidRDefault="00C10B32" w:rsidP="00801BB8">
      <w:pPr>
        <w:shd w:val="clear" w:color="auto" w:fill="FFFFFF" w:themeFill="background1"/>
        <w:jc w:val="both"/>
        <w:rPr>
          <w:sz w:val="22"/>
          <w:szCs w:val="22"/>
          <w:lang w:val="hr-HR"/>
        </w:rPr>
      </w:pPr>
    </w:p>
    <w:p w14:paraId="0C270EB7" w14:textId="77777777" w:rsidR="00C10B32" w:rsidRPr="00C10B32" w:rsidRDefault="00C10B32" w:rsidP="00801BB8">
      <w:pPr>
        <w:keepNext/>
        <w:shd w:val="clear" w:color="auto" w:fill="FFFFFF" w:themeFill="background1"/>
        <w:jc w:val="both"/>
        <w:rPr>
          <w:sz w:val="22"/>
          <w:szCs w:val="22"/>
          <w:lang w:val="hr-HR"/>
        </w:rPr>
      </w:pPr>
      <w:r w:rsidRPr="00C10B32">
        <w:rPr>
          <w:i/>
          <w:sz w:val="22"/>
          <w:szCs w:val="22"/>
          <w:u w:val="single"/>
          <w:lang w:val="hr-HR"/>
        </w:rPr>
        <w:t>Oštećenje funkcije bubrega</w:t>
      </w:r>
    </w:p>
    <w:p w14:paraId="516C392D" w14:textId="264151E5" w:rsidR="00C10B32" w:rsidRPr="00C10B32" w:rsidRDefault="00C10B32" w:rsidP="00801BB8">
      <w:pPr>
        <w:shd w:val="clear" w:color="auto" w:fill="FFFFFF" w:themeFill="background1"/>
        <w:jc w:val="both"/>
        <w:rPr>
          <w:sz w:val="22"/>
          <w:szCs w:val="22"/>
          <w:lang w:val="hr-HR"/>
        </w:rPr>
      </w:pPr>
      <w:r w:rsidRPr="00C10B32">
        <w:rPr>
          <w:sz w:val="22"/>
          <w:szCs w:val="22"/>
          <w:lang w:val="hr-HR"/>
        </w:rPr>
        <w:t>Na osnovu populacione farmakokinetičke analize koja je uključivala 117 pacijenata sa normalnom funkcijom bubrega (eGFR ≥90 mL/min/1,73 m</w:t>
      </w:r>
      <w:r w:rsidRPr="00C10B32">
        <w:rPr>
          <w:sz w:val="22"/>
          <w:szCs w:val="22"/>
          <w:vertAlign w:val="superscript"/>
          <w:lang w:val="hr-HR"/>
        </w:rPr>
        <w:t>2</w:t>
      </w:r>
      <w:r w:rsidRPr="00C10B32">
        <w:rPr>
          <w:sz w:val="22"/>
          <w:szCs w:val="22"/>
          <w:lang w:val="hr-HR"/>
        </w:rPr>
        <w:t>) / (CLcr ≥90 mL/min), 108 pacijenata sa blagim oštećenjem funkcije bubrega (eGFR 60 do &lt;90 mL/min/1,73 m</w:t>
      </w:r>
      <w:r w:rsidRPr="00C10B32">
        <w:rPr>
          <w:sz w:val="22"/>
          <w:szCs w:val="22"/>
          <w:vertAlign w:val="superscript"/>
          <w:lang w:val="hr-HR"/>
        </w:rPr>
        <w:t>2</w:t>
      </w:r>
      <w:r w:rsidRPr="00C10B32">
        <w:rPr>
          <w:sz w:val="22"/>
          <w:szCs w:val="22"/>
          <w:lang w:val="hr-HR"/>
        </w:rPr>
        <w:t>) / (CLcr 60 do &lt;90 mL/min) i 45 pacijenata sa um</w:t>
      </w:r>
      <w:r w:rsidR="00801BB8">
        <w:rPr>
          <w:sz w:val="22"/>
          <w:szCs w:val="22"/>
          <w:lang w:val="hr-HR"/>
        </w:rPr>
        <w:t>j</w:t>
      </w:r>
      <w:r w:rsidRPr="00C10B32">
        <w:rPr>
          <w:sz w:val="22"/>
          <w:szCs w:val="22"/>
          <w:lang w:val="hr-HR"/>
        </w:rPr>
        <w:t>erenim oštećenjem funkcije bubrega (eGFR 30 do &lt;60 mL/min/1,73 m</w:t>
      </w:r>
      <w:r w:rsidRPr="00C10B32">
        <w:rPr>
          <w:sz w:val="22"/>
          <w:szCs w:val="22"/>
          <w:vertAlign w:val="superscript"/>
          <w:lang w:val="hr-HR"/>
        </w:rPr>
        <w:t>2</w:t>
      </w:r>
      <w:r w:rsidRPr="00C10B32">
        <w:rPr>
          <w:sz w:val="22"/>
          <w:szCs w:val="22"/>
          <w:lang w:val="hr-HR"/>
        </w:rPr>
        <w:t>), blago i um</w:t>
      </w:r>
      <w:r w:rsidR="00801BB8">
        <w:rPr>
          <w:sz w:val="22"/>
          <w:szCs w:val="22"/>
          <w:lang w:val="hr-HR"/>
        </w:rPr>
        <w:t>j</w:t>
      </w:r>
      <w:r w:rsidRPr="00C10B32">
        <w:rPr>
          <w:sz w:val="22"/>
          <w:szCs w:val="22"/>
          <w:lang w:val="hr-HR"/>
        </w:rPr>
        <w:t>ereno oštećenje funkcije bubrega nije imalo efekta na izloženost alpelisibu</w:t>
      </w:r>
      <w:r w:rsidRPr="00C10B32">
        <w:rPr>
          <w:color w:val="0000FF"/>
          <w:sz w:val="22"/>
          <w:szCs w:val="22"/>
          <w:lang w:val="hr-HR"/>
        </w:rPr>
        <w:t xml:space="preserve"> </w:t>
      </w:r>
      <w:r w:rsidRPr="00C10B32">
        <w:rPr>
          <w:sz w:val="22"/>
          <w:szCs w:val="22"/>
          <w:lang w:val="hr-HR"/>
        </w:rPr>
        <w:t>(</w:t>
      </w:r>
      <w:r w:rsidR="00EF7C8E">
        <w:rPr>
          <w:sz w:val="22"/>
          <w:szCs w:val="22"/>
          <w:lang w:val="hr-HR"/>
        </w:rPr>
        <w:t>pogledati dio</w:t>
      </w:r>
      <w:r w:rsidRPr="00C10B32">
        <w:rPr>
          <w:sz w:val="22"/>
          <w:szCs w:val="22"/>
          <w:lang w:val="hr-HR"/>
        </w:rPr>
        <w:t> 4.2).</w:t>
      </w:r>
    </w:p>
    <w:p w14:paraId="3FDA641D" w14:textId="77777777" w:rsidR="00C10B32" w:rsidRPr="00C10B32" w:rsidRDefault="00C10B32" w:rsidP="00C10B32">
      <w:pPr>
        <w:shd w:val="clear" w:color="auto" w:fill="FFFFFF" w:themeFill="background1"/>
        <w:rPr>
          <w:sz w:val="22"/>
          <w:szCs w:val="22"/>
          <w:lang w:val="hr-HR"/>
        </w:rPr>
      </w:pPr>
    </w:p>
    <w:p w14:paraId="383F9489" w14:textId="77777777" w:rsidR="00C10B32" w:rsidRPr="00C10B32" w:rsidRDefault="00C10B32" w:rsidP="00801BB8">
      <w:pPr>
        <w:keepNext/>
        <w:shd w:val="clear" w:color="auto" w:fill="FFFFFF" w:themeFill="background1"/>
        <w:jc w:val="both"/>
        <w:rPr>
          <w:sz w:val="22"/>
          <w:szCs w:val="22"/>
          <w:lang w:val="hr-HR"/>
        </w:rPr>
      </w:pPr>
      <w:r w:rsidRPr="00C10B32">
        <w:rPr>
          <w:i/>
          <w:sz w:val="22"/>
          <w:szCs w:val="22"/>
          <w:u w:val="single"/>
          <w:lang w:val="hr-HR"/>
        </w:rPr>
        <w:t>Oštećenje funkcije jetre</w:t>
      </w:r>
    </w:p>
    <w:p w14:paraId="7A322A1A" w14:textId="70DA3996" w:rsidR="00C10B32" w:rsidRPr="00C10B32" w:rsidRDefault="00C10B32" w:rsidP="00801BB8">
      <w:pPr>
        <w:shd w:val="clear" w:color="auto" w:fill="FFFFFF" w:themeFill="background1"/>
        <w:jc w:val="both"/>
        <w:rPr>
          <w:sz w:val="22"/>
          <w:szCs w:val="22"/>
          <w:lang w:val="hr-HR"/>
        </w:rPr>
      </w:pPr>
      <w:r w:rsidRPr="00C10B32">
        <w:rPr>
          <w:sz w:val="22"/>
          <w:szCs w:val="22"/>
          <w:lang w:val="hr-HR"/>
        </w:rPr>
        <w:t>Na osnovu farmakokinetičkog ispitivanja kod pacijenata sa oštećenjem funkcije jetre, um</w:t>
      </w:r>
      <w:r w:rsidR="004D63C8">
        <w:rPr>
          <w:sz w:val="22"/>
          <w:szCs w:val="22"/>
          <w:lang w:val="hr-HR"/>
        </w:rPr>
        <w:t>j</w:t>
      </w:r>
      <w:r w:rsidRPr="00C10B32">
        <w:rPr>
          <w:sz w:val="22"/>
          <w:szCs w:val="22"/>
          <w:lang w:val="hr-HR"/>
        </w:rPr>
        <w:t>ereno i teško oštećenje funkcije jetre imalo je zanemarljiv efekat na izloženost alpelisibu (</w:t>
      </w:r>
      <w:r w:rsidR="00EF7C8E">
        <w:rPr>
          <w:sz w:val="22"/>
          <w:szCs w:val="22"/>
          <w:lang w:val="hr-HR"/>
        </w:rPr>
        <w:t>pogledati dio</w:t>
      </w:r>
      <w:r w:rsidRPr="00C10B32">
        <w:rPr>
          <w:sz w:val="22"/>
          <w:szCs w:val="22"/>
          <w:lang w:val="hr-HR"/>
        </w:rPr>
        <w:t xml:space="preserve"> 4.2). Srednja </w:t>
      </w:r>
      <w:r w:rsidR="002A51AB">
        <w:rPr>
          <w:sz w:val="22"/>
          <w:szCs w:val="22"/>
          <w:lang w:val="hr-HR"/>
        </w:rPr>
        <w:t>vrijednost</w:t>
      </w:r>
      <w:r w:rsidRPr="00C10B32">
        <w:rPr>
          <w:sz w:val="22"/>
          <w:szCs w:val="22"/>
          <w:lang w:val="hr-HR"/>
        </w:rPr>
        <w:t xml:space="preserve"> izloženosti za alpelisib povećala se 1,26 puta kod pacijenata sa teškim (odnos srednjih geometrijskih </w:t>
      </w:r>
      <w:r w:rsidR="002A51AB">
        <w:rPr>
          <w:sz w:val="22"/>
          <w:szCs w:val="22"/>
          <w:lang w:val="hr-HR"/>
        </w:rPr>
        <w:t>vrijednost</w:t>
      </w:r>
      <w:r w:rsidRPr="00C10B32">
        <w:rPr>
          <w:sz w:val="22"/>
          <w:szCs w:val="22"/>
          <w:lang w:val="hr-HR"/>
        </w:rPr>
        <w:t>i: 1,00 za C</w:t>
      </w:r>
      <w:r w:rsidRPr="00C10B32">
        <w:rPr>
          <w:sz w:val="22"/>
          <w:szCs w:val="22"/>
          <w:vertAlign w:val="subscript"/>
          <w:lang w:val="hr-HR"/>
        </w:rPr>
        <w:t>max</w:t>
      </w:r>
      <w:r w:rsidRPr="00C10B32">
        <w:rPr>
          <w:sz w:val="22"/>
          <w:szCs w:val="22"/>
          <w:lang w:val="hr-HR"/>
        </w:rPr>
        <w:t>; 1,26 za PIK</w:t>
      </w:r>
      <w:r w:rsidRPr="00C10B32">
        <w:rPr>
          <w:sz w:val="22"/>
          <w:szCs w:val="22"/>
          <w:vertAlign w:val="subscript"/>
          <w:lang w:val="hr-HR"/>
        </w:rPr>
        <w:t>last</w:t>
      </w:r>
      <w:r w:rsidRPr="00C10B32">
        <w:rPr>
          <w:sz w:val="22"/>
          <w:szCs w:val="22"/>
          <w:lang w:val="hr-HR"/>
        </w:rPr>
        <w:t>/PIK</w:t>
      </w:r>
      <w:r w:rsidRPr="00C10B32">
        <w:rPr>
          <w:sz w:val="22"/>
          <w:szCs w:val="22"/>
          <w:vertAlign w:val="subscript"/>
          <w:lang w:val="hr-HR"/>
        </w:rPr>
        <w:t>inf</w:t>
      </w:r>
      <w:r w:rsidRPr="00C10B32">
        <w:rPr>
          <w:sz w:val="22"/>
          <w:szCs w:val="22"/>
          <w:lang w:val="hr-HR"/>
        </w:rPr>
        <w:t>) oštećenjem funkcije jetre.</w:t>
      </w:r>
    </w:p>
    <w:p w14:paraId="71861B95" w14:textId="77777777" w:rsidR="00C10B32" w:rsidRPr="00C10B32" w:rsidRDefault="00C10B32" w:rsidP="00801BB8">
      <w:pPr>
        <w:shd w:val="clear" w:color="auto" w:fill="FFFFFF" w:themeFill="background1"/>
        <w:jc w:val="both"/>
        <w:rPr>
          <w:sz w:val="22"/>
          <w:szCs w:val="22"/>
          <w:lang w:val="hr-HR"/>
        </w:rPr>
      </w:pPr>
    </w:p>
    <w:p w14:paraId="40DD11F3" w14:textId="018714D7" w:rsidR="00C10B32" w:rsidRPr="00C10B32" w:rsidRDefault="00C10B32" w:rsidP="00801BB8">
      <w:pPr>
        <w:shd w:val="clear" w:color="auto" w:fill="FFFFFF" w:themeFill="background1"/>
        <w:jc w:val="both"/>
        <w:rPr>
          <w:sz w:val="22"/>
          <w:szCs w:val="22"/>
          <w:lang w:val="hr-HR"/>
        </w:rPr>
      </w:pPr>
      <w:r w:rsidRPr="00C10B32">
        <w:rPr>
          <w:sz w:val="22"/>
          <w:szCs w:val="22"/>
          <w:lang w:val="hr-HR"/>
        </w:rPr>
        <w:t>Na osnovu populacione farmakokinetičke analize koja je uključivala 230 pacijenata sa normalnom funkcijom jetre, 41 pacijent sa blagim oštećenjem funkcije jetre i nijedan pacijent sa um</w:t>
      </w:r>
      <w:r w:rsidR="004D63C8">
        <w:rPr>
          <w:sz w:val="22"/>
          <w:szCs w:val="22"/>
          <w:lang w:val="hr-HR"/>
        </w:rPr>
        <w:t>j</w:t>
      </w:r>
      <w:r w:rsidRPr="00C10B32">
        <w:rPr>
          <w:sz w:val="22"/>
          <w:szCs w:val="22"/>
          <w:lang w:val="hr-HR"/>
        </w:rPr>
        <w:t>erenim oštećenjem funkcije jetre, a koja dodatno podržava nalaze iz posebnog ispitivanja oštećenja funkcije jetre, blago i um</w:t>
      </w:r>
      <w:r w:rsidR="004D63C8">
        <w:rPr>
          <w:sz w:val="22"/>
          <w:szCs w:val="22"/>
          <w:lang w:val="hr-HR"/>
        </w:rPr>
        <w:t>j</w:t>
      </w:r>
      <w:r w:rsidRPr="00C10B32">
        <w:rPr>
          <w:sz w:val="22"/>
          <w:szCs w:val="22"/>
          <w:lang w:val="hr-HR"/>
        </w:rPr>
        <w:t>ereno oštećenje funkcije jetre nije imalo efekat na izloženost alpelisibu (</w:t>
      </w:r>
      <w:r w:rsidR="00EF7C8E">
        <w:rPr>
          <w:sz w:val="22"/>
          <w:szCs w:val="22"/>
          <w:lang w:val="hr-HR"/>
        </w:rPr>
        <w:t>pogledati dio</w:t>
      </w:r>
      <w:r w:rsidRPr="00C10B32">
        <w:rPr>
          <w:sz w:val="22"/>
          <w:szCs w:val="22"/>
          <w:lang w:val="hr-HR"/>
        </w:rPr>
        <w:t xml:space="preserve"> 4.2).</w:t>
      </w:r>
    </w:p>
    <w:p w14:paraId="7C0663A0" w14:textId="77777777" w:rsidR="00C10B32" w:rsidRPr="0082654D" w:rsidRDefault="00C10B32" w:rsidP="00480FB1">
      <w:pPr>
        <w:tabs>
          <w:tab w:val="left" w:pos="540"/>
          <w:tab w:val="left" w:pos="569"/>
        </w:tabs>
        <w:rPr>
          <w:bCs/>
          <w:sz w:val="22"/>
          <w:szCs w:val="22"/>
        </w:rPr>
      </w:pPr>
    </w:p>
    <w:p w14:paraId="1C28F4DA" w14:textId="77777777" w:rsidR="0072020E" w:rsidRPr="0082654D" w:rsidRDefault="0072020E" w:rsidP="00480FB1">
      <w:pPr>
        <w:tabs>
          <w:tab w:val="left" w:pos="540"/>
          <w:tab w:val="left" w:pos="569"/>
        </w:tabs>
        <w:rPr>
          <w:b/>
          <w:bCs/>
          <w:sz w:val="22"/>
          <w:szCs w:val="22"/>
        </w:rPr>
      </w:pPr>
      <w:r w:rsidRPr="0082654D">
        <w:rPr>
          <w:b/>
          <w:bCs/>
          <w:sz w:val="22"/>
          <w:szCs w:val="22"/>
        </w:rPr>
        <w:t xml:space="preserve">5.3. </w:t>
      </w:r>
      <w:r w:rsidR="00480FB1" w:rsidRPr="0082654D">
        <w:rPr>
          <w:b/>
          <w:bCs/>
          <w:sz w:val="22"/>
          <w:szCs w:val="22"/>
        </w:rPr>
        <w:tab/>
      </w:r>
      <w:r w:rsidRPr="0082654D">
        <w:rPr>
          <w:b/>
          <w:bCs/>
          <w:sz w:val="22"/>
          <w:szCs w:val="22"/>
        </w:rPr>
        <w:t xml:space="preserve">Pretklinički podaci o bezbjednosti </w:t>
      </w:r>
    </w:p>
    <w:p w14:paraId="6A460F42" w14:textId="77777777" w:rsidR="00836B35" w:rsidRPr="00C10B32" w:rsidRDefault="00836B35" w:rsidP="00480FB1">
      <w:pPr>
        <w:tabs>
          <w:tab w:val="left" w:pos="540"/>
          <w:tab w:val="left" w:pos="569"/>
        </w:tabs>
        <w:rPr>
          <w:bCs/>
          <w:sz w:val="22"/>
          <w:szCs w:val="22"/>
        </w:rPr>
      </w:pPr>
    </w:p>
    <w:p w14:paraId="1CC43C6F" w14:textId="77777777" w:rsidR="00C10B32" w:rsidRPr="00C10B32" w:rsidRDefault="00C10B32" w:rsidP="004D63C8">
      <w:pPr>
        <w:keepNext/>
        <w:shd w:val="clear" w:color="auto" w:fill="FFFFFF" w:themeFill="background1"/>
        <w:jc w:val="both"/>
        <w:rPr>
          <w:sz w:val="22"/>
          <w:szCs w:val="22"/>
          <w:lang w:val="hr-HR"/>
        </w:rPr>
      </w:pPr>
      <w:r w:rsidRPr="00C10B32">
        <w:rPr>
          <w:sz w:val="22"/>
          <w:szCs w:val="22"/>
          <w:u w:val="single"/>
          <w:lang w:val="hr-HR"/>
        </w:rPr>
        <w:t>Bezb</w:t>
      </w:r>
      <w:r w:rsidR="003764F0">
        <w:rPr>
          <w:sz w:val="22"/>
          <w:szCs w:val="22"/>
          <w:u w:val="single"/>
          <w:lang w:val="hr-HR"/>
        </w:rPr>
        <w:t>j</w:t>
      </w:r>
      <w:r w:rsidRPr="00C10B32">
        <w:rPr>
          <w:sz w:val="22"/>
          <w:szCs w:val="22"/>
          <w:u w:val="single"/>
          <w:lang w:val="hr-HR"/>
        </w:rPr>
        <w:t>ednosna farmakologija i toksičnost ponovljenih doza</w:t>
      </w:r>
    </w:p>
    <w:p w14:paraId="2F4F1F8E" w14:textId="77777777" w:rsidR="00C10B32" w:rsidRPr="00C10B32" w:rsidRDefault="00C10B32" w:rsidP="004D63C8">
      <w:pPr>
        <w:keepNext/>
        <w:shd w:val="clear" w:color="auto" w:fill="FFFFFF" w:themeFill="background1"/>
        <w:jc w:val="both"/>
        <w:rPr>
          <w:sz w:val="22"/>
          <w:szCs w:val="22"/>
          <w:lang w:val="hr-HR"/>
        </w:rPr>
      </w:pPr>
    </w:p>
    <w:p w14:paraId="097A4B07" w14:textId="2A4C534B" w:rsidR="00C10B32" w:rsidRDefault="00C10B32" w:rsidP="004D63C8">
      <w:pPr>
        <w:shd w:val="clear" w:color="auto" w:fill="FFFFFF" w:themeFill="background1"/>
        <w:jc w:val="both"/>
        <w:rPr>
          <w:sz w:val="22"/>
          <w:szCs w:val="22"/>
          <w:lang w:val="hr-HR"/>
        </w:rPr>
      </w:pPr>
      <w:r w:rsidRPr="00C10B32">
        <w:rPr>
          <w:sz w:val="22"/>
          <w:szCs w:val="22"/>
          <w:lang w:val="hr-HR"/>
        </w:rPr>
        <w:t>Većina uočenih efekata alpelisiba bila je povezana sa farmakološkom aktivnošću alpelisiba kao p110α</w:t>
      </w:r>
      <w:r w:rsidRPr="00C10B32">
        <w:rPr>
          <w:sz w:val="22"/>
          <w:szCs w:val="22"/>
          <w:lang w:val="hr-HR"/>
        </w:rPr>
        <w:noBreakHyphen/>
        <w:t>specifičnog inhibitora PI3K puta, kao što je efekat na homeostazu glukoze koji rezultuje  hiperglikemijom</w:t>
      </w:r>
      <w:r w:rsidR="007D47DC">
        <w:rPr>
          <w:sz w:val="22"/>
          <w:szCs w:val="22"/>
          <w:lang w:val="hr-HR"/>
        </w:rPr>
        <w:t xml:space="preserve"> i</w:t>
      </w:r>
      <w:r w:rsidRPr="00C10B32">
        <w:rPr>
          <w:sz w:val="22"/>
          <w:szCs w:val="22"/>
          <w:lang w:val="hr-HR"/>
        </w:rPr>
        <w:t xml:space="preserve"> rizik od povišenog krvnog pritiska. </w:t>
      </w:r>
      <w:r w:rsidR="00E07798" w:rsidRPr="00C10B32">
        <w:rPr>
          <w:sz w:val="22"/>
          <w:szCs w:val="22"/>
          <w:lang w:val="hr-HR"/>
        </w:rPr>
        <w:t>Ko</w:t>
      </w:r>
      <w:r w:rsidR="00E07798">
        <w:rPr>
          <w:sz w:val="22"/>
          <w:szCs w:val="22"/>
          <w:lang w:val="hr-HR"/>
        </w:rPr>
        <w:t>st</w:t>
      </w:r>
      <w:r w:rsidR="00E07798" w:rsidRPr="00C10B32">
        <w:rPr>
          <w:sz w:val="22"/>
          <w:szCs w:val="22"/>
          <w:lang w:val="hr-HR"/>
        </w:rPr>
        <w:t xml:space="preserve">na </w:t>
      </w:r>
      <w:r w:rsidRPr="00C10B32">
        <w:rPr>
          <w:sz w:val="22"/>
          <w:szCs w:val="22"/>
          <w:lang w:val="hr-HR"/>
        </w:rPr>
        <w:t>srž i limfno tkivo, pankreas i neki reproduktivni organi kod oba pola bili su glavni ciljni organi za neželjen</w:t>
      </w:r>
      <w:r w:rsidR="002032DE">
        <w:rPr>
          <w:sz w:val="22"/>
          <w:szCs w:val="22"/>
          <w:lang w:val="hr-HR"/>
        </w:rPr>
        <w:t>e događaje</w:t>
      </w:r>
      <w:r w:rsidRPr="00C10B32">
        <w:rPr>
          <w:sz w:val="22"/>
          <w:szCs w:val="22"/>
          <w:lang w:val="hr-HR"/>
        </w:rPr>
        <w:t xml:space="preserve">. Efekti na </w:t>
      </w:r>
      <w:r w:rsidR="00E07798" w:rsidRPr="00C10B32">
        <w:rPr>
          <w:sz w:val="22"/>
          <w:szCs w:val="22"/>
          <w:lang w:val="hr-HR"/>
        </w:rPr>
        <w:t>ko</w:t>
      </w:r>
      <w:r w:rsidR="00E07798">
        <w:rPr>
          <w:sz w:val="22"/>
          <w:szCs w:val="22"/>
          <w:lang w:val="hr-HR"/>
        </w:rPr>
        <w:t>st</w:t>
      </w:r>
      <w:r w:rsidR="00E07798" w:rsidRPr="00C10B32">
        <w:rPr>
          <w:sz w:val="22"/>
          <w:szCs w:val="22"/>
          <w:lang w:val="hr-HR"/>
        </w:rPr>
        <w:t xml:space="preserve">nu </w:t>
      </w:r>
      <w:r w:rsidRPr="00C10B32">
        <w:rPr>
          <w:sz w:val="22"/>
          <w:szCs w:val="22"/>
          <w:lang w:val="hr-HR"/>
        </w:rPr>
        <w:t xml:space="preserve">srž i limfno tkivo uglavnom su bili reverzibilni nakon prestanka terapije. Efekti na pankreas i reproduktivne organe </w:t>
      </w:r>
      <w:r w:rsidR="00D944EF">
        <w:rPr>
          <w:sz w:val="22"/>
          <w:szCs w:val="22"/>
          <w:lang w:val="hr-HR"/>
        </w:rPr>
        <w:t>nijesu</w:t>
      </w:r>
      <w:r w:rsidRPr="00C10B32">
        <w:rPr>
          <w:sz w:val="22"/>
          <w:szCs w:val="22"/>
          <w:lang w:val="hr-HR"/>
        </w:rPr>
        <w:t xml:space="preserve"> se potpuno povukli, ali su pokazali tendenciju povlačenja.</w:t>
      </w:r>
    </w:p>
    <w:p w14:paraId="24BA1DDB" w14:textId="624F4186" w:rsidR="001568C9" w:rsidRPr="00D11644" w:rsidRDefault="001568C9" w:rsidP="004D63C8">
      <w:pPr>
        <w:shd w:val="clear" w:color="auto" w:fill="FFFFFF" w:themeFill="background1"/>
        <w:jc w:val="both"/>
        <w:rPr>
          <w:sz w:val="22"/>
          <w:szCs w:val="22"/>
          <w:lang w:val="hr-HR"/>
        </w:rPr>
      </w:pPr>
      <w:r w:rsidRPr="0045497A">
        <w:rPr>
          <w:sz w:val="22"/>
          <w:szCs w:val="22"/>
          <w:lang w:val="hr-HR"/>
        </w:rPr>
        <w:t>U preliminarnim studijama kod pacova pronađeni su dokazi o inflamatornim promjenama kože.</w:t>
      </w:r>
    </w:p>
    <w:p w14:paraId="339D071D" w14:textId="77777777" w:rsidR="00C10B32" w:rsidRPr="00C10B32" w:rsidRDefault="00C10B32" w:rsidP="004D63C8">
      <w:pPr>
        <w:shd w:val="clear" w:color="auto" w:fill="FFFFFF" w:themeFill="background1"/>
        <w:jc w:val="both"/>
        <w:rPr>
          <w:sz w:val="22"/>
          <w:szCs w:val="22"/>
          <w:lang w:val="hr-HR"/>
        </w:rPr>
      </w:pPr>
    </w:p>
    <w:p w14:paraId="2A26A686" w14:textId="77777777" w:rsidR="00C10B32" w:rsidRPr="00C10B32" w:rsidRDefault="00C10B32" w:rsidP="004D63C8">
      <w:pPr>
        <w:keepNext/>
        <w:shd w:val="clear" w:color="auto" w:fill="FFFFFF" w:themeFill="background1"/>
        <w:jc w:val="both"/>
        <w:rPr>
          <w:sz w:val="22"/>
          <w:szCs w:val="22"/>
          <w:lang w:val="hr-HR"/>
        </w:rPr>
      </w:pPr>
      <w:r w:rsidRPr="00C10B32">
        <w:rPr>
          <w:i/>
          <w:sz w:val="22"/>
          <w:szCs w:val="22"/>
          <w:u w:val="single"/>
          <w:lang w:val="hr-HR"/>
        </w:rPr>
        <w:t xml:space="preserve">Kardiovaskularna </w:t>
      </w:r>
      <w:r w:rsidR="00051A8C">
        <w:rPr>
          <w:i/>
          <w:sz w:val="22"/>
          <w:szCs w:val="22"/>
          <w:u w:val="single"/>
          <w:lang w:val="hr-HR"/>
        </w:rPr>
        <w:t>bezbjed</w:t>
      </w:r>
      <w:r w:rsidRPr="00C10B32">
        <w:rPr>
          <w:i/>
          <w:sz w:val="22"/>
          <w:szCs w:val="22"/>
          <w:u w:val="single"/>
          <w:lang w:val="hr-HR"/>
        </w:rPr>
        <w:t>nosna farmakologija</w:t>
      </w:r>
    </w:p>
    <w:p w14:paraId="27CF24FE" w14:textId="77777777" w:rsidR="00C10B32" w:rsidRPr="00C10B32" w:rsidRDefault="00C10B32" w:rsidP="004D63C8">
      <w:pPr>
        <w:shd w:val="clear" w:color="auto" w:fill="FFFFFF" w:themeFill="background1"/>
        <w:jc w:val="both"/>
        <w:rPr>
          <w:sz w:val="22"/>
          <w:szCs w:val="22"/>
          <w:lang w:val="hr-HR"/>
        </w:rPr>
      </w:pPr>
      <w:r w:rsidRPr="00C10B32">
        <w:rPr>
          <w:i/>
          <w:sz w:val="22"/>
          <w:szCs w:val="22"/>
          <w:lang w:val="hr-HR"/>
        </w:rPr>
        <w:t>In vitro</w:t>
      </w:r>
      <w:r w:rsidRPr="00C10B32">
        <w:rPr>
          <w:sz w:val="22"/>
          <w:szCs w:val="22"/>
          <w:lang w:val="hr-HR"/>
        </w:rPr>
        <w:t xml:space="preserve"> inhibicija hERG kanala (IC</w:t>
      </w:r>
      <w:r w:rsidRPr="00C10B32">
        <w:rPr>
          <w:sz w:val="22"/>
          <w:szCs w:val="22"/>
          <w:vertAlign w:val="subscript"/>
          <w:lang w:val="hr-HR"/>
        </w:rPr>
        <w:t>50</w:t>
      </w:r>
      <w:r w:rsidRPr="00C10B32">
        <w:rPr>
          <w:sz w:val="22"/>
          <w:szCs w:val="22"/>
          <w:lang w:val="hr-HR"/>
        </w:rPr>
        <w:t xml:space="preserve"> od 9,4 mikroM) pokazala se pri koncentracijama ~13 puta višim od izloženosti kod ljudi, pri preporučenoj dozi od 300 mg/dan. Nije uočen nikakav relevantan elektrofiziološki efekat kod pasa.</w:t>
      </w:r>
    </w:p>
    <w:p w14:paraId="50CAF499" w14:textId="77777777" w:rsidR="00C10B32" w:rsidRPr="00C10B32" w:rsidRDefault="00C10B32" w:rsidP="00C10B32">
      <w:pPr>
        <w:shd w:val="clear" w:color="auto" w:fill="FFFFFF" w:themeFill="background1"/>
        <w:rPr>
          <w:sz w:val="22"/>
          <w:szCs w:val="22"/>
          <w:lang w:val="hr-HR"/>
        </w:rPr>
      </w:pPr>
    </w:p>
    <w:p w14:paraId="151660A2" w14:textId="77777777" w:rsidR="00C10B32" w:rsidRPr="00C10B32" w:rsidRDefault="00E07798" w:rsidP="004D63C8">
      <w:pPr>
        <w:keepNext/>
        <w:shd w:val="clear" w:color="auto" w:fill="FFFFFF" w:themeFill="background1"/>
        <w:jc w:val="both"/>
        <w:rPr>
          <w:sz w:val="22"/>
          <w:szCs w:val="22"/>
          <w:lang w:val="hr-HR"/>
        </w:rPr>
      </w:pPr>
      <w:r w:rsidRPr="00C10B32">
        <w:rPr>
          <w:sz w:val="22"/>
          <w:szCs w:val="22"/>
          <w:u w:val="single"/>
          <w:lang w:val="hr-HR"/>
        </w:rPr>
        <w:t>Ka</w:t>
      </w:r>
      <w:r>
        <w:rPr>
          <w:sz w:val="22"/>
          <w:szCs w:val="22"/>
          <w:u w:val="single"/>
          <w:lang w:val="hr-HR"/>
        </w:rPr>
        <w:t>rcin</w:t>
      </w:r>
      <w:r w:rsidRPr="00C10B32">
        <w:rPr>
          <w:sz w:val="22"/>
          <w:szCs w:val="22"/>
          <w:u w:val="single"/>
          <w:lang w:val="hr-HR"/>
        </w:rPr>
        <w:t xml:space="preserve">ogenost </w:t>
      </w:r>
      <w:r w:rsidR="00C10B32" w:rsidRPr="00C10B32">
        <w:rPr>
          <w:sz w:val="22"/>
          <w:szCs w:val="22"/>
          <w:u w:val="single"/>
          <w:lang w:val="hr-HR"/>
        </w:rPr>
        <w:t>i mutagenost</w:t>
      </w:r>
    </w:p>
    <w:p w14:paraId="1685F288" w14:textId="77777777" w:rsidR="00C10B32" w:rsidRPr="00C10B32" w:rsidRDefault="00C10B32" w:rsidP="004D63C8">
      <w:pPr>
        <w:keepNext/>
        <w:shd w:val="clear" w:color="auto" w:fill="FFFFFF" w:themeFill="background1"/>
        <w:jc w:val="both"/>
        <w:rPr>
          <w:sz w:val="22"/>
          <w:szCs w:val="22"/>
          <w:lang w:val="hr-HR"/>
        </w:rPr>
      </w:pPr>
    </w:p>
    <w:p w14:paraId="2BB6106B" w14:textId="77777777" w:rsidR="00C10B32" w:rsidRPr="00C10B32" w:rsidRDefault="00D944EF" w:rsidP="004D63C8">
      <w:pPr>
        <w:shd w:val="clear" w:color="auto" w:fill="FFFFFF" w:themeFill="background1"/>
        <w:jc w:val="both"/>
        <w:rPr>
          <w:sz w:val="22"/>
          <w:szCs w:val="22"/>
          <w:lang w:val="hr-HR"/>
        </w:rPr>
      </w:pPr>
      <w:r>
        <w:rPr>
          <w:sz w:val="22"/>
          <w:szCs w:val="22"/>
          <w:lang w:val="hr-HR"/>
        </w:rPr>
        <w:t>Nijesu</w:t>
      </w:r>
      <w:r w:rsidR="00C10B32" w:rsidRPr="00C10B32">
        <w:rPr>
          <w:sz w:val="22"/>
          <w:szCs w:val="22"/>
          <w:lang w:val="hr-HR"/>
        </w:rPr>
        <w:t xml:space="preserve"> sprovedena ispitivanja kancerogenosti.</w:t>
      </w:r>
    </w:p>
    <w:p w14:paraId="02A09784" w14:textId="77777777" w:rsidR="00C10B32" w:rsidRPr="00C10B32" w:rsidRDefault="00C10B32" w:rsidP="004D63C8">
      <w:pPr>
        <w:shd w:val="clear" w:color="auto" w:fill="FFFFFF" w:themeFill="background1"/>
        <w:jc w:val="both"/>
        <w:rPr>
          <w:sz w:val="22"/>
          <w:szCs w:val="22"/>
          <w:lang w:val="hr-HR"/>
        </w:rPr>
      </w:pPr>
    </w:p>
    <w:p w14:paraId="65E150BB" w14:textId="6FA3E43F" w:rsidR="00C10B32" w:rsidRPr="00791C05" w:rsidRDefault="00C10B32" w:rsidP="004D63C8">
      <w:pPr>
        <w:shd w:val="clear" w:color="auto" w:fill="FFFFFF" w:themeFill="background1"/>
        <w:jc w:val="both"/>
        <w:rPr>
          <w:sz w:val="22"/>
          <w:szCs w:val="22"/>
          <w:lang w:val="hr-HR"/>
        </w:rPr>
      </w:pPr>
      <w:r w:rsidRPr="00791C05">
        <w:rPr>
          <w:sz w:val="22"/>
          <w:szCs w:val="22"/>
          <w:lang w:val="hr-HR"/>
        </w:rPr>
        <w:t xml:space="preserve">Rezultati standardnih </w:t>
      </w:r>
      <w:r w:rsidR="00791C05" w:rsidRPr="00EA2EB8">
        <w:rPr>
          <w:i/>
          <w:iCs/>
          <w:sz w:val="22"/>
          <w:szCs w:val="22"/>
          <w:lang w:val="hr-HR"/>
        </w:rPr>
        <w:t>in vitro</w:t>
      </w:r>
      <w:r w:rsidR="00791C05" w:rsidRPr="00791C05">
        <w:rPr>
          <w:sz w:val="22"/>
          <w:szCs w:val="22"/>
          <w:lang w:val="hr-HR"/>
        </w:rPr>
        <w:t xml:space="preserve"> </w:t>
      </w:r>
      <w:r w:rsidRPr="00791C05">
        <w:rPr>
          <w:sz w:val="22"/>
          <w:szCs w:val="22"/>
          <w:lang w:val="hr-HR"/>
        </w:rPr>
        <w:t xml:space="preserve">ispitivanja genotoksičnosti sa alpelisibom bili su negativni. U ispitivanju toksičnosti ponovljenih doza kod pacova, sa integrisanom </w:t>
      </w:r>
      <w:r w:rsidR="007D47DC" w:rsidRPr="00791C05">
        <w:rPr>
          <w:sz w:val="22"/>
          <w:szCs w:val="22"/>
          <w:lang w:val="hr-HR"/>
        </w:rPr>
        <w:t xml:space="preserve">analizom </w:t>
      </w:r>
      <w:r w:rsidRPr="00791C05">
        <w:rPr>
          <w:sz w:val="22"/>
          <w:szCs w:val="22"/>
          <w:lang w:val="hr-HR"/>
        </w:rPr>
        <w:t>mikronukleus</w:t>
      </w:r>
      <w:r w:rsidR="007D47DC" w:rsidRPr="00791C05">
        <w:rPr>
          <w:sz w:val="22"/>
          <w:szCs w:val="22"/>
          <w:lang w:val="hr-HR"/>
        </w:rPr>
        <w:t>a</w:t>
      </w:r>
      <w:r w:rsidRPr="00791C05">
        <w:rPr>
          <w:sz w:val="22"/>
          <w:szCs w:val="22"/>
          <w:lang w:val="hr-HR"/>
        </w:rPr>
        <w:t xml:space="preserve">, </w:t>
      </w:r>
      <w:r w:rsidR="00791C05" w:rsidRPr="00EA2EB8">
        <w:rPr>
          <w:sz w:val="22"/>
          <w:szCs w:val="22"/>
          <w:lang w:val="hr-HR"/>
        </w:rPr>
        <w:t xml:space="preserve">alpelisib nije bio genotoksičan, do </w:t>
      </w:r>
      <w:r w:rsidR="00791C05" w:rsidRPr="00791C05">
        <w:rPr>
          <w:sz w:val="22"/>
          <w:szCs w:val="22"/>
          <w:lang w:val="hr-HR"/>
        </w:rPr>
        <w:t xml:space="preserve">nivoa </w:t>
      </w:r>
      <w:r w:rsidR="00791C05" w:rsidRPr="00EA2EB8">
        <w:rPr>
          <w:sz w:val="22"/>
          <w:szCs w:val="22"/>
          <w:lang w:val="hr-HR"/>
        </w:rPr>
        <w:t>približno dvostruko većem od proc</w:t>
      </w:r>
      <w:r w:rsidR="003D0778">
        <w:rPr>
          <w:sz w:val="22"/>
          <w:szCs w:val="22"/>
          <w:lang w:val="hr-HR"/>
        </w:rPr>
        <w:t>ij</w:t>
      </w:r>
      <w:r w:rsidR="00791C05" w:rsidRPr="00EA2EB8">
        <w:rPr>
          <w:sz w:val="22"/>
          <w:szCs w:val="22"/>
          <w:lang w:val="hr-HR"/>
        </w:rPr>
        <w:t>enjene izloženosti alpelisibu (PIK) kod ljudi u preporučenoj dozi od 300 mg</w:t>
      </w:r>
      <w:r w:rsidR="00791C05" w:rsidRPr="00791C05">
        <w:rPr>
          <w:sz w:val="22"/>
          <w:szCs w:val="22"/>
          <w:lang w:val="hr-HR"/>
        </w:rPr>
        <w:t xml:space="preserve"> </w:t>
      </w:r>
      <w:r w:rsidRPr="00791C05">
        <w:rPr>
          <w:sz w:val="22"/>
          <w:szCs w:val="22"/>
          <w:lang w:val="hr-HR"/>
        </w:rPr>
        <w:t>.</w:t>
      </w:r>
    </w:p>
    <w:p w14:paraId="0FE31578" w14:textId="77777777" w:rsidR="00C10B32" w:rsidRPr="00791C05" w:rsidRDefault="00C10B32" w:rsidP="004D63C8">
      <w:pPr>
        <w:shd w:val="clear" w:color="auto" w:fill="FFFFFF" w:themeFill="background1"/>
        <w:jc w:val="both"/>
        <w:rPr>
          <w:sz w:val="22"/>
          <w:szCs w:val="22"/>
          <w:lang w:val="hr-HR"/>
        </w:rPr>
      </w:pPr>
    </w:p>
    <w:p w14:paraId="15BB468E" w14:textId="77777777" w:rsidR="00C10B32" w:rsidRPr="00C10B32" w:rsidRDefault="00C10B32" w:rsidP="004D63C8">
      <w:pPr>
        <w:keepNext/>
        <w:shd w:val="clear" w:color="auto" w:fill="FFFFFF" w:themeFill="background1"/>
        <w:jc w:val="both"/>
        <w:rPr>
          <w:sz w:val="22"/>
          <w:szCs w:val="22"/>
          <w:lang w:val="hr-HR"/>
        </w:rPr>
      </w:pPr>
      <w:r w:rsidRPr="00C10B32">
        <w:rPr>
          <w:sz w:val="22"/>
          <w:szCs w:val="22"/>
          <w:u w:val="single"/>
          <w:lang w:val="hr-HR"/>
        </w:rPr>
        <w:t>Reproduktivna toksičnost</w:t>
      </w:r>
    </w:p>
    <w:p w14:paraId="4C8E84A3" w14:textId="77777777" w:rsidR="00C10B32" w:rsidRPr="00C10B32" w:rsidRDefault="00C10B32" w:rsidP="004D63C8">
      <w:pPr>
        <w:keepNext/>
        <w:shd w:val="clear" w:color="auto" w:fill="FFFFFF" w:themeFill="background1"/>
        <w:jc w:val="both"/>
        <w:rPr>
          <w:sz w:val="22"/>
          <w:szCs w:val="22"/>
          <w:lang w:val="hr-HR"/>
        </w:rPr>
      </w:pPr>
    </w:p>
    <w:p w14:paraId="12832CE5" w14:textId="77777777" w:rsidR="00C10B32" w:rsidRPr="00C10B32" w:rsidRDefault="00C10B32" w:rsidP="004D63C8">
      <w:pPr>
        <w:shd w:val="clear" w:color="auto" w:fill="FFFFFF" w:themeFill="background1"/>
        <w:jc w:val="both"/>
        <w:rPr>
          <w:sz w:val="22"/>
          <w:szCs w:val="22"/>
          <w:lang w:val="hr-HR"/>
        </w:rPr>
      </w:pPr>
      <w:r w:rsidRPr="00C10B32">
        <w:rPr>
          <w:sz w:val="22"/>
          <w:szCs w:val="22"/>
          <w:lang w:val="hr-HR"/>
        </w:rPr>
        <w:t xml:space="preserve">Ispitivanja embriofetalnog razvoja kod pacova i kunića pokazala su da peroralna </w:t>
      </w:r>
      <w:r w:rsidR="00C21CF1">
        <w:rPr>
          <w:sz w:val="22"/>
          <w:szCs w:val="22"/>
          <w:lang w:val="hr-HR"/>
        </w:rPr>
        <w:t>primjen</w:t>
      </w:r>
      <w:r w:rsidRPr="00C10B32">
        <w:rPr>
          <w:sz w:val="22"/>
          <w:szCs w:val="22"/>
          <w:lang w:val="hr-HR"/>
        </w:rPr>
        <w:t xml:space="preserve">a alpelisiba tokom organogeneze izaziva embriotoksičnost, fetotoksičnost i teratogenost. Kod pacova i kunića su nakon prenatalne izloženosti alpelisibu uočene povećane incidence pred- i postimplantacionih gubitaka, smanjenje fetalne težine i povećanje incidence fetalnih abnormalnosti (povećani moždani ventrikul, </w:t>
      </w:r>
      <w:r w:rsidRPr="00C10B32">
        <w:rPr>
          <w:sz w:val="22"/>
          <w:szCs w:val="22"/>
          <w:lang w:val="hr-HR"/>
        </w:rPr>
        <w:lastRenderedPageBreak/>
        <w:t>smanjena osifikacija kostiju i malformacije skeleta) počevši od izloženosti nižih od onih kod ljudi pri najvišoj preporučenoj dozi od 300 mg, što ukazuje na potencijalni klinički značaj.</w:t>
      </w:r>
    </w:p>
    <w:p w14:paraId="4D5E1233" w14:textId="77777777" w:rsidR="00C10B32" w:rsidRPr="00C10B32" w:rsidRDefault="00C10B32" w:rsidP="004D63C8">
      <w:pPr>
        <w:shd w:val="clear" w:color="auto" w:fill="FFFFFF" w:themeFill="background1"/>
        <w:jc w:val="both"/>
        <w:rPr>
          <w:rFonts w:eastAsia="SimSun"/>
          <w:sz w:val="22"/>
          <w:szCs w:val="22"/>
          <w:lang w:val="hr-HR"/>
        </w:rPr>
      </w:pPr>
    </w:p>
    <w:p w14:paraId="2BFD5348" w14:textId="7D875BA3" w:rsidR="00791C05" w:rsidRDefault="00791C05" w:rsidP="004D63C8">
      <w:pPr>
        <w:shd w:val="clear" w:color="auto" w:fill="FFFFFF" w:themeFill="background1"/>
        <w:jc w:val="both"/>
      </w:pPr>
      <w:r>
        <w:rPr>
          <w:sz w:val="22"/>
          <w:szCs w:val="22"/>
          <w:lang w:val="hr-HR"/>
        </w:rPr>
        <w:t>U</w:t>
      </w:r>
      <w:r w:rsidR="00C10B32" w:rsidRPr="00C10B32">
        <w:rPr>
          <w:sz w:val="22"/>
          <w:szCs w:val="22"/>
          <w:lang w:val="hr-HR"/>
        </w:rPr>
        <w:t xml:space="preserve"> ispitivanjima toksičnosti ponovljenih doza uočeni su neželjeni </w:t>
      </w:r>
      <w:r w:rsidR="002032DE">
        <w:rPr>
          <w:sz w:val="22"/>
          <w:szCs w:val="22"/>
          <w:lang w:val="hr-HR"/>
        </w:rPr>
        <w:t>događaji</w:t>
      </w:r>
      <w:r w:rsidR="002032DE" w:rsidRPr="00C10B32">
        <w:rPr>
          <w:sz w:val="22"/>
          <w:szCs w:val="22"/>
          <w:lang w:val="hr-HR"/>
        </w:rPr>
        <w:t xml:space="preserve"> </w:t>
      </w:r>
      <w:r w:rsidR="00C10B32" w:rsidRPr="00C10B32">
        <w:rPr>
          <w:sz w:val="22"/>
          <w:szCs w:val="22"/>
          <w:lang w:val="hr-HR"/>
        </w:rPr>
        <w:t>na reproduktivn</w:t>
      </w:r>
      <w:r w:rsidR="002032DE">
        <w:rPr>
          <w:sz w:val="22"/>
          <w:szCs w:val="22"/>
          <w:lang w:val="hr-HR"/>
        </w:rPr>
        <w:t>im</w:t>
      </w:r>
      <w:r w:rsidR="00C10B32" w:rsidRPr="00C10B32">
        <w:rPr>
          <w:sz w:val="22"/>
          <w:szCs w:val="22"/>
          <w:lang w:val="hr-HR"/>
        </w:rPr>
        <w:t xml:space="preserve"> organ</w:t>
      </w:r>
      <w:r w:rsidR="002032DE">
        <w:rPr>
          <w:sz w:val="22"/>
          <w:szCs w:val="22"/>
          <w:lang w:val="hr-HR"/>
        </w:rPr>
        <w:t>ima</w:t>
      </w:r>
      <w:r w:rsidR="00C10B32" w:rsidRPr="00C10B32">
        <w:rPr>
          <w:sz w:val="22"/>
          <w:szCs w:val="22"/>
          <w:lang w:val="hr-HR"/>
        </w:rPr>
        <w:t>, kao što su vaginalna ili uterina atrofija i varijacije estrusnog ciklusa kod pacova, smanjenje težine prostate i testisa kod pacova i pasa, i atrofija prostate kod pasa pri klinički značajnim dozama na osnovu PIK-a.</w:t>
      </w:r>
      <w:r w:rsidRPr="00791C05">
        <w:t xml:space="preserve"> </w:t>
      </w:r>
    </w:p>
    <w:p w14:paraId="6DC19D00" w14:textId="77777777" w:rsidR="00791C05" w:rsidRDefault="00791C05" w:rsidP="004D63C8">
      <w:pPr>
        <w:shd w:val="clear" w:color="auto" w:fill="FFFFFF" w:themeFill="background1"/>
        <w:jc w:val="both"/>
      </w:pPr>
    </w:p>
    <w:p w14:paraId="2CED1388" w14:textId="7DB63DF9" w:rsidR="00C10B32" w:rsidRPr="00C10B32" w:rsidRDefault="00791C05" w:rsidP="004D63C8">
      <w:pPr>
        <w:shd w:val="clear" w:color="auto" w:fill="FFFFFF" w:themeFill="background1"/>
        <w:jc w:val="both"/>
        <w:rPr>
          <w:sz w:val="22"/>
          <w:szCs w:val="22"/>
          <w:lang w:val="hr-HR"/>
        </w:rPr>
      </w:pPr>
      <w:r w:rsidRPr="00791C05">
        <w:rPr>
          <w:sz w:val="22"/>
          <w:szCs w:val="22"/>
          <w:lang w:val="hr-HR"/>
        </w:rPr>
        <w:t>U ispitivanjima plodnosti sprovedenim kod mužjaka i ženki pacova, prim</w:t>
      </w:r>
      <w:r w:rsidR="003D0778">
        <w:rPr>
          <w:sz w:val="22"/>
          <w:szCs w:val="22"/>
          <w:lang w:val="hr-HR"/>
        </w:rPr>
        <w:t>ij</w:t>
      </w:r>
      <w:r w:rsidRPr="00791C05">
        <w:rPr>
          <w:sz w:val="22"/>
          <w:szCs w:val="22"/>
          <w:lang w:val="hr-HR"/>
        </w:rPr>
        <w:t>ećeni su slični efekti na plodnost. Kod ženki, povećani gubici pr</w:t>
      </w:r>
      <w:r w:rsidR="003D0778">
        <w:rPr>
          <w:sz w:val="22"/>
          <w:szCs w:val="22"/>
          <w:lang w:val="hr-HR"/>
        </w:rPr>
        <w:t>ij</w:t>
      </w:r>
      <w:r w:rsidRPr="00791C05">
        <w:rPr>
          <w:sz w:val="22"/>
          <w:szCs w:val="22"/>
          <w:lang w:val="hr-HR"/>
        </w:rPr>
        <w:t>e i posl</w:t>
      </w:r>
      <w:r w:rsidR="003D0778">
        <w:rPr>
          <w:sz w:val="22"/>
          <w:szCs w:val="22"/>
          <w:lang w:val="hr-HR"/>
        </w:rPr>
        <w:t>ij</w:t>
      </w:r>
      <w:r w:rsidRPr="00791C05">
        <w:rPr>
          <w:sz w:val="22"/>
          <w:szCs w:val="22"/>
          <w:lang w:val="hr-HR"/>
        </w:rPr>
        <w:t>e implantacije, koji su doveli do smanjenog broja implantacionih m</w:t>
      </w:r>
      <w:r w:rsidR="003D0778">
        <w:rPr>
          <w:sz w:val="22"/>
          <w:szCs w:val="22"/>
          <w:lang w:val="hr-HR"/>
        </w:rPr>
        <w:t>j</w:t>
      </w:r>
      <w:r w:rsidRPr="00791C05">
        <w:rPr>
          <w:sz w:val="22"/>
          <w:szCs w:val="22"/>
          <w:lang w:val="hr-HR"/>
        </w:rPr>
        <w:t>esta i živih embriona, prim</w:t>
      </w:r>
      <w:r w:rsidR="003D0778">
        <w:rPr>
          <w:sz w:val="22"/>
          <w:szCs w:val="22"/>
          <w:lang w:val="hr-HR"/>
        </w:rPr>
        <w:t>ij</w:t>
      </w:r>
      <w:r w:rsidRPr="00791C05">
        <w:rPr>
          <w:sz w:val="22"/>
          <w:szCs w:val="22"/>
          <w:lang w:val="hr-HR"/>
        </w:rPr>
        <w:t>ećeni su pri nivou izloženosti približno dvostruko većem od proc</w:t>
      </w:r>
      <w:r w:rsidR="003D0778">
        <w:rPr>
          <w:sz w:val="22"/>
          <w:szCs w:val="22"/>
          <w:lang w:val="hr-HR"/>
        </w:rPr>
        <w:t>ij</w:t>
      </w:r>
      <w:r w:rsidRPr="00791C05">
        <w:rPr>
          <w:sz w:val="22"/>
          <w:szCs w:val="22"/>
          <w:lang w:val="hr-HR"/>
        </w:rPr>
        <w:t>enjene izloženosti alpelisibu (PIK) kod ljudi u preporučenoj dozi od 300 mg. Kod muškaraca, plodnost i reproduktivni učinak, uključujući broj spermatozoida i parametre pokretljivosti, nisu bili pod uticajem pri nivoima izloženosti približno dvostruko većem od proc</w:t>
      </w:r>
      <w:r w:rsidR="003D0778">
        <w:rPr>
          <w:sz w:val="22"/>
          <w:szCs w:val="22"/>
          <w:lang w:val="hr-HR"/>
        </w:rPr>
        <w:t>ij</w:t>
      </w:r>
      <w:r w:rsidRPr="00791C05">
        <w:rPr>
          <w:sz w:val="22"/>
          <w:szCs w:val="22"/>
          <w:lang w:val="hr-HR"/>
        </w:rPr>
        <w:t>enjene izloženosti (PIK) kod ljudi pri preporučenoj dozi od 300 mg. Međutim, pri nivoima izloženosti (PIK) u ili ispod preporučene doze za ljude od 300 mg, masa pomoćnih žl</w:t>
      </w:r>
      <w:r w:rsidR="003D0778">
        <w:rPr>
          <w:sz w:val="22"/>
          <w:szCs w:val="22"/>
          <w:lang w:val="hr-HR"/>
        </w:rPr>
        <w:t>ij</w:t>
      </w:r>
      <w:r w:rsidRPr="00791C05">
        <w:rPr>
          <w:sz w:val="22"/>
          <w:szCs w:val="22"/>
          <w:lang w:val="hr-HR"/>
        </w:rPr>
        <w:t>ezda (semenske vezikule, prostata) bila je smanjena i mikroskopski je bila u korelaciji sa atrofijom i/ili smanjenom sekrecijom u prostati tj. semenskim vezikulama.</w:t>
      </w:r>
      <w:r w:rsidR="00EA2EB8">
        <w:rPr>
          <w:szCs w:val="22"/>
          <w:lang w:val="hr-HR"/>
        </w:rPr>
        <w:t xml:space="preserve"> </w:t>
      </w:r>
    </w:p>
    <w:p w14:paraId="1E131C8E" w14:textId="77777777" w:rsidR="00C10B32" w:rsidRPr="00C10B32" w:rsidRDefault="00C10B32" w:rsidP="004D63C8">
      <w:pPr>
        <w:shd w:val="clear" w:color="auto" w:fill="FFFFFF" w:themeFill="background1"/>
        <w:jc w:val="both"/>
        <w:rPr>
          <w:sz w:val="22"/>
          <w:szCs w:val="22"/>
          <w:lang w:val="hr-HR"/>
        </w:rPr>
      </w:pPr>
    </w:p>
    <w:p w14:paraId="5E3B2663" w14:textId="77777777" w:rsidR="00C10B32" w:rsidRPr="00C10B32" w:rsidRDefault="00C10B32" w:rsidP="004D63C8">
      <w:pPr>
        <w:keepNext/>
        <w:shd w:val="clear" w:color="auto" w:fill="FFFFFF" w:themeFill="background1"/>
        <w:jc w:val="both"/>
        <w:rPr>
          <w:sz w:val="22"/>
          <w:szCs w:val="22"/>
          <w:lang w:val="hr-HR"/>
        </w:rPr>
      </w:pPr>
      <w:r w:rsidRPr="00C10B32">
        <w:rPr>
          <w:sz w:val="22"/>
          <w:szCs w:val="22"/>
          <w:u w:val="single"/>
          <w:lang w:val="hr-HR"/>
        </w:rPr>
        <w:t>Fototoksičnost</w:t>
      </w:r>
    </w:p>
    <w:p w14:paraId="1E3C83A7" w14:textId="77777777" w:rsidR="00C10B32" w:rsidRPr="00C10B32" w:rsidRDefault="00C10B32" w:rsidP="004D63C8">
      <w:pPr>
        <w:keepNext/>
        <w:shd w:val="clear" w:color="auto" w:fill="FFFFFF" w:themeFill="background1"/>
        <w:jc w:val="both"/>
        <w:rPr>
          <w:sz w:val="22"/>
          <w:szCs w:val="22"/>
          <w:lang w:val="hr-HR"/>
        </w:rPr>
      </w:pPr>
    </w:p>
    <w:p w14:paraId="12934F6C" w14:textId="77777777" w:rsidR="00C10B32" w:rsidRPr="00C10B32" w:rsidRDefault="00C10B32" w:rsidP="004D63C8">
      <w:pPr>
        <w:shd w:val="clear" w:color="auto" w:fill="FFFFFF" w:themeFill="background1"/>
        <w:jc w:val="both"/>
        <w:rPr>
          <w:sz w:val="22"/>
          <w:szCs w:val="22"/>
          <w:lang w:val="hr-HR"/>
        </w:rPr>
      </w:pPr>
      <w:r w:rsidRPr="00C10B32">
        <w:rPr>
          <w:i/>
          <w:sz w:val="22"/>
          <w:szCs w:val="22"/>
          <w:lang w:val="hr-HR"/>
        </w:rPr>
        <w:t>I</w:t>
      </w:r>
      <w:r w:rsidRPr="00C10B32">
        <w:rPr>
          <w:i/>
          <w:iCs/>
          <w:sz w:val="22"/>
          <w:szCs w:val="22"/>
          <w:lang w:val="hr-HR"/>
        </w:rPr>
        <w:t>n vitro</w:t>
      </w:r>
      <w:r w:rsidRPr="00C10B32">
        <w:rPr>
          <w:sz w:val="22"/>
          <w:szCs w:val="22"/>
          <w:lang w:val="hr-HR"/>
        </w:rPr>
        <w:t xml:space="preserve"> test fototoksičnosti na ćelijskoj liniji mišjih fibroblasta, Balb/c 3T3, nije utvrdio značajan fototoksični potencijal za alpelisib.</w:t>
      </w:r>
    </w:p>
    <w:p w14:paraId="385AAD17" w14:textId="2DD94B16" w:rsidR="00396DFD" w:rsidRDefault="00396DFD" w:rsidP="00480FB1">
      <w:pPr>
        <w:tabs>
          <w:tab w:val="left" w:pos="540"/>
          <w:tab w:val="left" w:pos="569"/>
        </w:tabs>
        <w:rPr>
          <w:b/>
          <w:bCs/>
          <w:sz w:val="22"/>
          <w:szCs w:val="22"/>
        </w:rPr>
      </w:pPr>
    </w:p>
    <w:p w14:paraId="04225793" w14:textId="77777777" w:rsidR="00CA7D42" w:rsidRPr="00C10B32" w:rsidRDefault="00CA7D42" w:rsidP="00480FB1">
      <w:pPr>
        <w:tabs>
          <w:tab w:val="left" w:pos="540"/>
          <w:tab w:val="left" w:pos="569"/>
        </w:tabs>
        <w:rPr>
          <w:b/>
          <w:bCs/>
          <w:sz w:val="22"/>
          <w:szCs w:val="22"/>
        </w:rPr>
      </w:pPr>
    </w:p>
    <w:p w14:paraId="09AF1071" w14:textId="77777777" w:rsidR="0072020E" w:rsidRPr="00C10B32" w:rsidRDefault="0072020E" w:rsidP="00480FB1">
      <w:pPr>
        <w:tabs>
          <w:tab w:val="left" w:pos="540"/>
          <w:tab w:val="left" w:pos="569"/>
        </w:tabs>
        <w:rPr>
          <w:b/>
          <w:bCs/>
          <w:sz w:val="22"/>
          <w:szCs w:val="22"/>
        </w:rPr>
      </w:pPr>
      <w:r w:rsidRPr="00C10B32">
        <w:rPr>
          <w:b/>
          <w:bCs/>
          <w:sz w:val="22"/>
          <w:szCs w:val="22"/>
        </w:rPr>
        <w:t xml:space="preserve">6. </w:t>
      </w:r>
      <w:r w:rsidR="00480FB1" w:rsidRPr="00C10B32">
        <w:rPr>
          <w:b/>
          <w:bCs/>
          <w:sz w:val="22"/>
          <w:szCs w:val="22"/>
        </w:rPr>
        <w:tab/>
      </w:r>
      <w:r w:rsidRPr="00C10B32">
        <w:rPr>
          <w:b/>
          <w:bCs/>
          <w:sz w:val="22"/>
          <w:szCs w:val="22"/>
        </w:rPr>
        <w:t>FARMACEUTSKI PODACI</w:t>
      </w:r>
    </w:p>
    <w:p w14:paraId="1C1684A9" w14:textId="77777777" w:rsidR="00836B35" w:rsidRPr="00C10B32" w:rsidRDefault="00836B35" w:rsidP="00480FB1">
      <w:pPr>
        <w:tabs>
          <w:tab w:val="left" w:pos="540"/>
          <w:tab w:val="left" w:pos="569"/>
        </w:tabs>
        <w:rPr>
          <w:bCs/>
          <w:sz w:val="22"/>
          <w:szCs w:val="22"/>
        </w:rPr>
      </w:pPr>
    </w:p>
    <w:p w14:paraId="26EC176B" w14:textId="77777777" w:rsidR="0072020E" w:rsidRPr="00C10B32" w:rsidRDefault="0072020E" w:rsidP="00480FB1">
      <w:pPr>
        <w:tabs>
          <w:tab w:val="left" w:pos="540"/>
          <w:tab w:val="left" w:pos="569"/>
        </w:tabs>
        <w:rPr>
          <w:b/>
          <w:bCs/>
          <w:sz w:val="22"/>
          <w:szCs w:val="22"/>
        </w:rPr>
      </w:pPr>
      <w:r w:rsidRPr="00C10B32">
        <w:rPr>
          <w:b/>
          <w:bCs/>
          <w:sz w:val="22"/>
          <w:szCs w:val="22"/>
        </w:rPr>
        <w:t xml:space="preserve">6.1. </w:t>
      </w:r>
      <w:r w:rsidR="00480FB1" w:rsidRPr="00C10B32">
        <w:rPr>
          <w:b/>
          <w:bCs/>
          <w:sz w:val="22"/>
          <w:szCs w:val="22"/>
        </w:rPr>
        <w:tab/>
      </w:r>
      <w:r w:rsidRPr="00C10B32">
        <w:rPr>
          <w:b/>
          <w:bCs/>
          <w:sz w:val="22"/>
          <w:szCs w:val="22"/>
        </w:rPr>
        <w:t>Lista pomoćnih supstanci</w:t>
      </w:r>
      <w:r w:rsidR="002E0135" w:rsidRPr="00C10B32">
        <w:rPr>
          <w:b/>
          <w:bCs/>
          <w:sz w:val="22"/>
          <w:szCs w:val="22"/>
        </w:rPr>
        <w:t xml:space="preserve"> (ekscipijenasa)</w:t>
      </w:r>
    </w:p>
    <w:p w14:paraId="4A4B3D69" w14:textId="77777777" w:rsidR="0072020E" w:rsidRPr="00C10B32" w:rsidRDefault="0072020E" w:rsidP="00480FB1">
      <w:pPr>
        <w:tabs>
          <w:tab w:val="left" w:pos="540"/>
          <w:tab w:val="left" w:pos="569"/>
        </w:tabs>
        <w:rPr>
          <w:bCs/>
          <w:sz w:val="22"/>
          <w:szCs w:val="22"/>
        </w:rPr>
      </w:pPr>
    </w:p>
    <w:p w14:paraId="437FC14E" w14:textId="77777777" w:rsidR="00C10B32" w:rsidRPr="00C10B32" w:rsidRDefault="00C10B32" w:rsidP="00C10B32">
      <w:pPr>
        <w:keepNext/>
        <w:shd w:val="clear" w:color="auto" w:fill="FFFFFF" w:themeFill="background1"/>
        <w:rPr>
          <w:sz w:val="22"/>
          <w:szCs w:val="22"/>
          <w:lang w:val="hr-HR"/>
        </w:rPr>
      </w:pPr>
      <w:r w:rsidRPr="00C10B32">
        <w:rPr>
          <w:sz w:val="22"/>
          <w:szCs w:val="22"/>
          <w:u w:val="single"/>
          <w:lang w:val="hr-HR"/>
        </w:rPr>
        <w:t>Jezgro tablete</w:t>
      </w:r>
    </w:p>
    <w:p w14:paraId="1727B736" w14:textId="77777777" w:rsidR="00C10B32" w:rsidRPr="00C10B32" w:rsidRDefault="00C55705" w:rsidP="00C10B32">
      <w:pPr>
        <w:keepNext/>
        <w:shd w:val="clear" w:color="auto" w:fill="FFFFFF" w:themeFill="background1"/>
        <w:rPr>
          <w:sz w:val="22"/>
          <w:szCs w:val="22"/>
          <w:lang w:val="hr-HR"/>
        </w:rPr>
      </w:pPr>
      <w:r>
        <w:rPr>
          <w:sz w:val="22"/>
          <w:szCs w:val="22"/>
          <w:lang w:val="hr-HR"/>
        </w:rPr>
        <w:t xml:space="preserve">celuloza, </w:t>
      </w:r>
      <w:r w:rsidR="00C10B32" w:rsidRPr="00C10B32">
        <w:rPr>
          <w:sz w:val="22"/>
          <w:szCs w:val="22"/>
          <w:lang w:val="hr-HR"/>
        </w:rPr>
        <w:t>mikrokristalna</w:t>
      </w:r>
    </w:p>
    <w:p w14:paraId="69AC5F57"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manitol</w:t>
      </w:r>
    </w:p>
    <w:p w14:paraId="14D28CD0"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natrijum</w:t>
      </w:r>
      <w:r w:rsidR="00223224">
        <w:rPr>
          <w:sz w:val="22"/>
          <w:szCs w:val="22"/>
          <w:lang w:val="hr-HR"/>
        </w:rPr>
        <w:t xml:space="preserve"> </w:t>
      </w:r>
      <w:r w:rsidRPr="00C10B32">
        <w:rPr>
          <w:sz w:val="22"/>
          <w:szCs w:val="22"/>
          <w:lang w:val="hr-HR"/>
        </w:rPr>
        <w:t>skrob</w:t>
      </w:r>
      <w:r w:rsidR="00677FDE">
        <w:rPr>
          <w:sz w:val="22"/>
          <w:szCs w:val="22"/>
          <w:lang w:val="hr-HR"/>
        </w:rPr>
        <w:t xml:space="preserve"> </w:t>
      </w:r>
      <w:r w:rsidRPr="00C10B32">
        <w:rPr>
          <w:sz w:val="22"/>
          <w:szCs w:val="22"/>
          <w:lang w:val="hr-HR"/>
        </w:rPr>
        <w:t>glikolat</w:t>
      </w:r>
    </w:p>
    <w:p w14:paraId="6C70B2DE"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hipromeloza</w:t>
      </w:r>
    </w:p>
    <w:p w14:paraId="3A8AEE67" w14:textId="77777777" w:rsidR="00C10B32" w:rsidRPr="00C10B32" w:rsidRDefault="00C10B32" w:rsidP="00C10B32">
      <w:pPr>
        <w:shd w:val="clear" w:color="auto" w:fill="FFFFFF" w:themeFill="background1"/>
        <w:rPr>
          <w:sz w:val="22"/>
          <w:szCs w:val="22"/>
          <w:lang w:val="hr-HR"/>
        </w:rPr>
      </w:pPr>
      <w:r w:rsidRPr="00C10B32">
        <w:rPr>
          <w:sz w:val="22"/>
          <w:szCs w:val="22"/>
          <w:lang w:val="hr-HR"/>
        </w:rPr>
        <w:t>magnezijum</w:t>
      </w:r>
      <w:r w:rsidR="00C55705">
        <w:rPr>
          <w:sz w:val="22"/>
          <w:szCs w:val="22"/>
          <w:lang w:val="hr-HR"/>
        </w:rPr>
        <w:t xml:space="preserve"> </w:t>
      </w:r>
      <w:r w:rsidRPr="00C10B32">
        <w:rPr>
          <w:sz w:val="22"/>
          <w:szCs w:val="22"/>
          <w:lang w:val="hr-HR"/>
        </w:rPr>
        <w:t>stearat</w:t>
      </w:r>
    </w:p>
    <w:p w14:paraId="7EE8B3B7" w14:textId="77777777" w:rsidR="00C10B32" w:rsidRPr="00C10B32" w:rsidRDefault="00C10B32" w:rsidP="00C10B32">
      <w:pPr>
        <w:shd w:val="clear" w:color="auto" w:fill="FFFFFF" w:themeFill="background1"/>
        <w:rPr>
          <w:sz w:val="22"/>
          <w:szCs w:val="22"/>
          <w:lang w:val="hr-HR"/>
        </w:rPr>
      </w:pPr>
    </w:p>
    <w:p w14:paraId="40436C91" w14:textId="77777777" w:rsidR="00C10B32" w:rsidRPr="00C10B32" w:rsidRDefault="00C10B32" w:rsidP="00C10B32">
      <w:pPr>
        <w:keepNext/>
        <w:shd w:val="clear" w:color="auto" w:fill="FFFFFF" w:themeFill="background1"/>
        <w:rPr>
          <w:sz w:val="22"/>
          <w:szCs w:val="22"/>
          <w:u w:val="single"/>
          <w:lang w:val="hr-HR"/>
        </w:rPr>
      </w:pPr>
      <w:r w:rsidRPr="00C10B32">
        <w:rPr>
          <w:sz w:val="22"/>
          <w:szCs w:val="22"/>
          <w:u w:val="single"/>
          <w:lang w:val="hr-HR"/>
        </w:rPr>
        <w:t>Film tablete</w:t>
      </w:r>
    </w:p>
    <w:p w14:paraId="75A8BE87"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hipromeloza</w:t>
      </w:r>
    </w:p>
    <w:p w14:paraId="65A248A9"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gvožđe</w:t>
      </w:r>
      <w:r w:rsidR="00C55705">
        <w:rPr>
          <w:sz w:val="22"/>
          <w:szCs w:val="22"/>
          <w:lang w:val="hr-HR"/>
        </w:rPr>
        <w:t xml:space="preserve"> </w:t>
      </w:r>
      <w:r w:rsidRPr="00C10B32">
        <w:rPr>
          <w:sz w:val="22"/>
          <w:szCs w:val="22"/>
          <w:lang w:val="hr-HR"/>
        </w:rPr>
        <w:t>oksid, crni (E172)</w:t>
      </w:r>
    </w:p>
    <w:p w14:paraId="1DCA72E8"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gvožđe</w:t>
      </w:r>
      <w:r w:rsidR="00C55705">
        <w:rPr>
          <w:sz w:val="22"/>
          <w:szCs w:val="22"/>
          <w:lang w:val="hr-HR"/>
        </w:rPr>
        <w:t xml:space="preserve"> </w:t>
      </w:r>
      <w:r w:rsidRPr="00C10B32">
        <w:rPr>
          <w:sz w:val="22"/>
          <w:szCs w:val="22"/>
          <w:lang w:val="hr-HR"/>
        </w:rPr>
        <w:t>oksid, crveni (E172)</w:t>
      </w:r>
    </w:p>
    <w:p w14:paraId="7AA6FD41"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titan</w:t>
      </w:r>
      <w:r w:rsidR="00C55705">
        <w:rPr>
          <w:sz w:val="22"/>
          <w:szCs w:val="22"/>
          <w:lang w:val="hr-HR"/>
        </w:rPr>
        <w:t xml:space="preserve"> </w:t>
      </w:r>
      <w:r w:rsidRPr="00C10B32">
        <w:rPr>
          <w:sz w:val="22"/>
          <w:szCs w:val="22"/>
          <w:lang w:val="hr-HR"/>
        </w:rPr>
        <w:t>dioksid (E171)</w:t>
      </w:r>
    </w:p>
    <w:p w14:paraId="734E91AF"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makrogol</w:t>
      </w:r>
    </w:p>
    <w:p w14:paraId="2837D625" w14:textId="77777777" w:rsidR="00C10B32" w:rsidRPr="00C10B32" w:rsidRDefault="00C10B32" w:rsidP="00C10B32">
      <w:pPr>
        <w:shd w:val="clear" w:color="auto" w:fill="FFFFFF" w:themeFill="background1"/>
        <w:rPr>
          <w:sz w:val="22"/>
          <w:szCs w:val="22"/>
          <w:lang w:val="hr-HR"/>
        </w:rPr>
      </w:pPr>
      <w:r w:rsidRPr="00C10B32">
        <w:rPr>
          <w:sz w:val="22"/>
          <w:szCs w:val="22"/>
          <w:lang w:val="hr-HR"/>
        </w:rPr>
        <w:t>talk</w:t>
      </w:r>
    </w:p>
    <w:p w14:paraId="011F0EC1" w14:textId="77777777" w:rsidR="00C10B32" w:rsidRPr="00C10B32" w:rsidRDefault="00C10B32" w:rsidP="00480FB1">
      <w:pPr>
        <w:tabs>
          <w:tab w:val="left" w:pos="540"/>
          <w:tab w:val="left" w:pos="569"/>
        </w:tabs>
        <w:rPr>
          <w:bCs/>
          <w:sz w:val="22"/>
          <w:szCs w:val="22"/>
        </w:rPr>
      </w:pPr>
    </w:p>
    <w:p w14:paraId="1F85B644" w14:textId="77777777" w:rsidR="0072020E" w:rsidRPr="0082654D" w:rsidRDefault="0072020E" w:rsidP="00480FB1">
      <w:pPr>
        <w:tabs>
          <w:tab w:val="left" w:pos="540"/>
          <w:tab w:val="left" w:pos="569"/>
        </w:tabs>
        <w:rPr>
          <w:b/>
          <w:bCs/>
          <w:sz w:val="22"/>
          <w:szCs w:val="22"/>
        </w:rPr>
      </w:pPr>
      <w:r w:rsidRPr="0082654D">
        <w:rPr>
          <w:b/>
          <w:bCs/>
          <w:sz w:val="22"/>
          <w:szCs w:val="22"/>
        </w:rPr>
        <w:t xml:space="preserve">6.2. </w:t>
      </w:r>
      <w:r w:rsidR="00480FB1" w:rsidRPr="0082654D">
        <w:rPr>
          <w:b/>
          <w:bCs/>
          <w:sz w:val="22"/>
          <w:szCs w:val="22"/>
        </w:rPr>
        <w:tab/>
      </w:r>
      <w:r w:rsidRPr="0082654D">
        <w:rPr>
          <w:b/>
          <w:bCs/>
          <w:sz w:val="22"/>
          <w:szCs w:val="22"/>
        </w:rPr>
        <w:t>Inkompatibilnost</w:t>
      </w:r>
      <w:r w:rsidR="002846DB" w:rsidRPr="0082654D">
        <w:rPr>
          <w:b/>
          <w:bCs/>
          <w:sz w:val="22"/>
          <w:szCs w:val="22"/>
        </w:rPr>
        <w:t>i</w:t>
      </w:r>
    </w:p>
    <w:p w14:paraId="67AE125D" w14:textId="77777777" w:rsidR="0072020E" w:rsidRDefault="0072020E" w:rsidP="00480FB1">
      <w:pPr>
        <w:tabs>
          <w:tab w:val="left" w:pos="540"/>
          <w:tab w:val="left" w:pos="569"/>
        </w:tabs>
        <w:rPr>
          <w:bCs/>
          <w:sz w:val="22"/>
          <w:szCs w:val="22"/>
        </w:rPr>
      </w:pPr>
    </w:p>
    <w:p w14:paraId="1C035FF4" w14:textId="77777777" w:rsidR="00C10B32" w:rsidRPr="00C10B32" w:rsidRDefault="00C10B32" w:rsidP="00C10B32">
      <w:pPr>
        <w:shd w:val="clear" w:color="auto" w:fill="FFFFFF" w:themeFill="background1"/>
        <w:rPr>
          <w:sz w:val="22"/>
          <w:szCs w:val="22"/>
          <w:lang w:val="hr-HR"/>
        </w:rPr>
      </w:pPr>
      <w:r w:rsidRPr="00C10B32">
        <w:rPr>
          <w:sz w:val="22"/>
          <w:szCs w:val="22"/>
          <w:lang w:val="hr-HR"/>
        </w:rPr>
        <w:t xml:space="preserve">Nije </w:t>
      </w:r>
      <w:r w:rsidR="00C21CF1">
        <w:rPr>
          <w:sz w:val="22"/>
          <w:szCs w:val="22"/>
          <w:lang w:val="hr-HR"/>
        </w:rPr>
        <w:t>primjen</w:t>
      </w:r>
      <w:r w:rsidRPr="00C10B32">
        <w:rPr>
          <w:sz w:val="22"/>
          <w:szCs w:val="22"/>
          <w:lang w:val="hr-HR"/>
        </w:rPr>
        <w:t>jivo.</w:t>
      </w:r>
    </w:p>
    <w:p w14:paraId="4884CD7C" w14:textId="77777777" w:rsidR="00C10B32" w:rsidRPr="0082654D" w:rsidRDefault="00C10B32" w:rsidP="00480FB1">
      <w:pPr>
        <w:tabs>
          <w:tab w:val="left" w:pos="540"/>
          <w:tab w:val="left" w:pos="569"/>
        </w:tabs>
        <w:rPr>
          <w:bCs/>
          <w:sz w:val="22"/>
          <w:szCs w:val="22"/>
        </w:rPr>
      </w:pPr>
    </w:p>
    <w:p w14:paraId="29CBF094" w14:textId="77777777" w:rsidR="0072020E" w:rsidRPr="0082654D" w:rsidRDefault="0072020E" w:rsidP="00480FB1">
      <w:pPr>
        <w:tabs>
          <w:tab w:val="left" w:pos="540"/>
          <w:tab w:val="left" w:pos="569"/>
        </w:tabs>
        <w:rPr>
          <w:b/>
          <w:bCs/>
          <w:sz w:val="22"/>
          <w:szCs w:val="22"/>
        </w:rPr>
      </w:pPr>
      <w:r w:rsidRPr="0082654D">
        <w:rPr>
          <w:b/>
          <w:bCs/>
          <w:sz w:val="22"/>
          <w:szCs w:val="22"/>
        </w:rPr>
        <w:t>6.3.</w:t>
      </w:r>
      <w:r w:rsidR="00C05DF8" w:rsidRPr="0082654D">
        <w:rPr>
          <w:b/>
          <w:bCs/>
          <w:sz w:val="22"/>
          <w:szCs w:val="22"/>
        </w:rPr>
        <w:t xml:space="preserve"> </w:t>
      </w:r>
      <w:r w:rsidR="00480FB1" w:rsidRPr="0082654D">
        <w:rPr>
          <w:b/>
          <w:bCs/>
          <w:sz w:val="22"/>
          <w:szCs w:val="22"/>
        </w:rPr>
        <w:tab/>
      </w:r>
      <w:r w:rsidRPr="0082654D">
        <w:rPr>
          <w:b/>
          <w:bCs/>
          <w:sz w:val="22"/>
          <w:szCs w:val="22"/>
        </w:rPr>
        <w:t>Rok upotrebe</w:t>
      </w:r>
    </w:p>
    <w:p w14:paraId="0FD93223" w14:textId="77777777" w:rsidR="0072020E" w:rsidRPr="00C10B32" w:rsidRDefault="0072020E" w:rsidP="00480FB1">
      <w:pPr>
        <w:tabs>
          <w:tab w:val="left" w:pos="540"/>
          <w:tab w:val="left" w:pos="569"/>
        </w:tabs>
        <w:rPr>
          <w:bCs/>
          <w:sz w:val="22"/>
          <w:szCs w:val="22"/>
        </w:rPr>
      </w:pPr>
    </w:p>
    <w:p w14:paraId="1A65306D" w14:textId="41E246BA" w:rsidR="00C10B32" w:rsidRPr="00C10B32" w:rsidRDefault="00AF4064" w:rsidP="00C10B32">
      <w:pPr>
        <w:rPr>
          <w:sz w:val="22"/>
          <w:szCs w:val="22"/>
          <w:lang w:val="hr-HR"/>
        </w:rPr>
      </w:pPr>
      <w:r>
        <w:rPr>
          <w:sz w:val="22"/>
          <w:szCs w:val="22"/>
          <w:lang w:val="hr-HR"/>
        </w:rPr>
        <w:t>4</w:t>
      </w:r>
      <w:r w:rsidR="00C10B32" w:rsidRPr="00C10B32">
        <w:rPr>
          <w:sz w:val="22"/>
          <w:szCs w:val="22"/>
          <w:lang w:val="hr-HR"/>
        </w:rPr>
        <w:t> godine.</w:t>
      </w:r>
    </w:p>
    <w:p w14:paraId="36FF728E" w14:textId="77777777" w:rsidR="00C10B32" w:rsidRPr="00C10B32" w:rsidRDefault="00C10B32" w:rsidP="00480FB1">
      <w:pPr>
        <w:tabs>
          <w:tab w:val="left" w:pos="540"/>
          <w:tab w:val="left" w:pos="569"/>
        </w:tabs>
        <w:rPr>
          <w:bCs/>
          <w:sz w:val="22"/>
          <w:szCs w:val="22"/>
        </w:rPr>
      </w:pPr>
    </w:p>
    <w:p w14:paraId="00DA8AD4" w14:textId="77777777" w:rsidR="0072020E" w:rsidRPr="00C10B32" w:rsidRDefault="0072020E" w:rsidP="00480FB1">
      <w:pPr>
        <w:tabs>
          <w:tab w:val="left" w:pos="540"/>
          <w:tab w:val="left" w:pos="569"/>
        </w:tabs>
        <w:rPr>
          <w:b/>
          <w:bCs/>
          <w:sz w:val="22"/>
          <w:szCs w:val="22"/>
        </w:rPr>
      </w:pPr>
      <w:r w:rsidRPr="00C10B32">
        <w:rPr>
          <w:b/>
          <w:bCs/>
          <w:sz w:val="22"/>
          <w:szCs w:val="22"/>
        </w:rPr>
        <w:t xml:space="preserve">6.4. </w:t>
      </w:r>
      <w:r w:rsidR="00480FB1" w:rsidRPr="00C10B32">
        <w:rPr>
          <w:b/>
          <w:bCs/>
          <w:sz w:val="22"/>
          <w:szCs w:val="22"/>
        </w:rPr>
        <w:tab/>
      </w:r>
      <w:r w:rsidRPr="00C10B32">
        <w:rPr>
          <w:b/>
          <w:bCs/>
          <w:sz w:val="22"/>
          <w:szCs w:val="22"/>
        </w:rPr>
        <w:t>Posebne mjere upozorenja pri čuvanju</w:t>
      </w:r>
      <w:r w:rsidR="00F8570A" w:rsidRPr="00C10B32">
        <w:rPr>
          <w:b/>
          <w:bCs/>
          <w:sz w:val="22"/>
          <w:szCs w:val="22"/>
        </w:rPr>
        <w:t xml:space="preserve"> lijeka</w:t>
      </w:r>
    </w:p>
    <w:p w14:paraId="5B0CA74E" w14:textId="77777777" w:rsidR="00EC2532" w:rsidRDefault="00EC2532" w:rsidP="00480FB1">
      <w:pPr>
        <w:tabs>
          <w:tab w:val="left" w:pos="540"/>
          <w:tab w:val="left" w:pos="569"/>
        </w:tabs>
        <w:rPr>
          <w:bCs/>
          <w:sz w:val="22"/>
          <w:szCs w:val="22"/>
        </w:rPr>
      </w:pPr>
    </w:p>
    <w:p w14:paraId="0F7B2F56" w14:textId="77777777" w:rsidR="00C10B32" w:rsidRPr="00C10B32" w:rsidRDefault="00C10B32" w:rsidP="00C10B32">
      <w:pPr>
        <w:shd w:val="clear" w:color="auto" w:fill="FFFFFF" w:themeFill="background1"/>
        <w:rPr>
          <w:sz w:val="22"/>
          <w:szCs w:val="22"/>
          <w:lang w:val="hr-HR"/>
        </w:rPr>
      </w:pPr>
      <w:r w:rsidRPr="00C10B32">
        <w:rPr>
          <w:sz w:val="22"/>
          <w:szCs w:val="22"/>
          <w:lang w:val="hr-HR"/>
        </w:rPr>
        <w:t>L</w:t>
      </w:r>
      <w:r w:rsidR="004D63C8">
        <w:rPr>
          <w:sz w:val="22"/>
          <w:szCs w:val="22"/>
          <w:lang w:val="hr-HR"/>
        </w:rPr>
        <w:t>ij</w:t>
      </w:r>
      <w:r w:rsidRPr="00C10B32">
        <w:rPr>
          <w:sz w:val="22"/>
          <w:szCs w:val="22"/>
          <w:lang w:val="hr-HR"/>
        </w:rPr>
        <w:t>ek ne zaht</w:t>
      </w:r>
      <w:r w:rsidR="002D6BF5">
        <w:rPr>
          <w:sz w:val="22"/>
          <w:szCs w:val="22"/>
          <w:lang w:val="hr-HR"/>
        </w:rPr>
        <w:t>ij</w:t>
      </w:r>
      <w:r w:rsidRPr="00C10B32">
        <w:rPr>
          <w:sz w:val="22"/>
          <w:szCs w:val="22"/>
          <w:lang w:val="hr-HR"/>
        </w:rPr>
        <w:t>eva posebne uslove čuvanja.</w:t>
      </w:r>
    </w:p>
    <w:p w14:paraId="03D3A693" w14:textId="46FEFADB" w:rsidR="00C10B32" w:rsidRDefault="00C10B32" w:rsidP="00480FB1">
      <w:pPr>
        <w:tabs>
          <w:tab w:val="left" w:pos="540"/>
          <w:tab w:val="left" w:pos="569"/>
        </w:tabs>
        <w:rPr>
          <w:bCs/>
          <w:sz w:val="22"/>
          <w:szCs w:val="22"/>
        </w:rPr>
      </w:pPr>
    </w:p>
    <w:p w14:paraId="3EEA906E" w14:textId="77777777" w:rsidR="00966763" w:rsidRPr="0082654D" w:rsidRDefault="00966763" w:rsidP="00480FB1">
      <w:pPr>
        <w:tabs>
          <w:tab w:val="left" w:pos="540"/>
          <w:tab w:val="left" w:pos="569"/>
        </w:tabs>
        <w:rPr>
          <w:bCs/>
          <w:sz w:val="22"/>
          <w:szCs w:val="22"/>
        </w:rPr>
      </w:pPr>
    </w:p>
    <w:p w14:paraId="69AA0EF2" w14:textId="77777777" w:rsidR="0072020E" w:rsidRPr="0082654D" w:rsidRDefault="0072020E" w:rsidP="00480FB1">
      <w:pPr>
        <w:tabs>
          <w:tab w:val="left" w:pos="540"/>
          <w:tab w:val="left" w:pos="569"/>
        </w:tabs>
        <w:rPr>
          <w:b/>
          <w:bCs/>
          <w:sz w:val="22"/>
          <w:szCs w:val="22"/>
        </w:rPr>
      </w:pPr>
      <w:r w:rsidRPr="0082654D">
        <w:rPr>
          <w:b/>
          <w:bCs/>
          <w:sz w:val="22"/>
          <w:szCs w:val="22"/>
        </w:rPr>
        <w:lastRenderedPageBreak/>
        <w:t xml:space="preserve">6.5. </w:t>
      </w:r>
      <w:r w:rsidR="00480FB1" w:rsidRPr="0082654D">
        <w:rPr>
          <w:b/>
          <w:bCs/>
          <w:sz w:val="22"/>
          <w:szCs w:val="22"/>
        </w:rPr>
        <w:tab/>
      </w:r>
      <w:r w:rsidR="002846DB" w:rsidRPr="0082654D">
        <w:rPr>
          <w:b/>
          <w:bCs/>
          <w:sz w:val="22"/>
          <w:szCs w:val="22"/>
        </w:rPr>
        <w:t xml:space="preserve">Vrsta i sadržaj </w:t>
      </w:r>
      <w:r w:rsidR="00F8570A" w:rsidRPr="0082654D">
        <w:rPr>
          <w:b/>
          <w:bCs/>
          <w:sz w:val="22"/>
          <w:szCs w:val="22"/>
        </w:rPr>
        <w:t>pakovanja</w:t>
      </w:r>
      <w:r w:rsidR="00C06864" w:rsidRPr="0082654D">
        <w:rPr>
          <w:b/>
          <w:bCs/>
          <w:sz w:val="22"/>
          <w:szCs w:val="22"/>
        </w:rPr>
        <w:t xml:space="preserve"> </w:t>
      </w:r>
    </w:p>
    <w:p w14:paraId="3C0C46EF" w14:textId="77777777" w:rsidR="00C10B32" w:rsidRPr="00C10B32" w:rsidRDefault="00C10B32" w:rsidP="00C10B32">
      <w:pPr>
        <w:rPr>
          <w:sz w:val="22"/>
          <w:szCs w:val="22"/>
        </w:rPr>
      </w:pPr>
    </w:p>
    <w:p w14:paraId="3E0A23AE" w14:textId="77777777" w:rsidR="00C10B32" w:rsidRPr="00C10B32" w:rsidRDefault="00C10B32" w:rsidP="00C10B32">
      <w:pPr>
        <w:shd w:val="clear" w:color="auto" w:fill="FFFFFF" w:themeFill="background1"/>
        <w:rPr>
          <w:sz w:val="22"/>
          <w:szCs w:val="22"/>
          <w:lang w:val="hr-HR"/>
        </w:rPr>
      </w:pPr>
      <w:r w:rsidRPr="00C10B32">
        <w:rPr>
          <w:sz w:val="22"/>
          <w:szCs w:val="22"/>
          <w:lang w:val="hr-HR"/>
        </w:rPr>
        <w:t>PVC/PCTFE/Alu (polivinilhlorid/polihlorotrifluoroetilen/aluminijum) blister koji sadrži 14 film tableta.</w:t>
      </w:r>
    </w:p>
    <w:p w14:paraId="2607906C" w14:textId="77777777" w:rsidR="00C10B32" w:rsidRPr="00C10B32" w:rsidRDefault="00C10B32" w:rsidP="00C10B32">
      <w:pPr>
        <w:shd w:val="clear" w:color="auto" w:fill="FFFFFF" w:themeFill="background1"/>
        <w:rPr>
          <w:sz w:val="22"/>
          <w:szCs w:val="22"/>
          <w:lang w:val="hr-HR"/>
        </w:rPr>
      </w:pPr>
    </w:p>
    <w:p w14:paraId="0B3C3A48" w14:textId="77777777" w:rsidR="00C10B32" w:rsidRPr="00C10B32" w:rsidRDefault="00C10B32" w:rsidP="00C10B32">
      <w:pPr>
        <w:keepNext/>
        <w:shd w:val="clear" w:color="auto" w:fill="FFFFFF" w:themeFill="background1"/>
        <w:rPr>
          <w:sz w:val="22"/>
          <w:szCs w:val="22"/>
          <w:lang w:val="hr-HR"/>
        </w:rPr>
      </w:pPr>
      <w:r w:rsidRPr="00C10B32">
        <w:rPr>
          <w:sz w:val="22"/>
          <w:szCs w:val="22"/>
          <w:u w:val="single"/>
          <w:lang w:val="hr-HR"/>
        </w:rPr>
        <w:t>Piqray 50 mg i 200 mg film tablete</w:t>
      </w:r>
    </w:p>
    <w:p w14:paraId="209494BB" w14:textId="77777777" w:rsidR="00C10B32" w:rsidRPr="00C10B32" w:rsidRDefault="00C10B32" w:rsidP="00C10B32">
      <w:pPr>
        <w:keepNext/>
        <w:keepLines/>
        <w:shd w:val="clear" w:color="auto" w:fill="FFFFFF" w:themeFill="background1"/>
        <w:rPr>
          <w:sz w:val="22"/>
          <w:szCs w:val="22"/>
          <w:lang w:val="hr-HR"/>
        </w:rPr>
      </w:pPr>
      <w:r w:rsidRPr="00C10B32">
        <w:rPr>
          <w:sz w:val="22"/>
          <w:szCs w:val="22"/>
          <w:lang w:val="hr-HR"/>
        </w:rPr>
        <w:t>Pakovanje sadrži 56 film tableta (</w:t>
      </w:r>
      <w:r w:rsidR="00C55705">
        <w:rPr>
          <w:sz w:val="22"/>
          <w:szCs w:val="22"/>
          <w:lang w:val="hr-HR"/>
        </w:rPr>
        <w:t xml:space="preserve">2 blistera </w:t>
      </w:r>
      <w:r w:rsidRPr="00C10B32">
        <w:rPr>
          <w:sz w:val="22"/>
          <w:szCs w:val="22"/>
          <w:lang w:val="hr-HR"/>
        </w:rPr>
        <w:t xml:space="preserve">od 50 mg i </w:t>
      </w:r>
      <w:r w:rsidR="00AC4BB2">
        <w:rPr>
          <w:sz w:val="22"/>
          <w:szCs w:val="22"/>
          <w:lang w:val="hr-HR"/>
        </w:rPr>
        <w:t>2 blistera</w:t>
      </w:r>
      <w:r w:rsidRPr="00C10B32">
        <w:rPr>
          <w:sz w:val="22"/>
          <w:szCs w:val="22"/>
          <w:lang w:val="hr-HR"/>
        </w:rPr>
        <w:t xml:space="preserve"> od 200 mg).</w:t>
      </w:r>
    </w:p>
    <w:p w14:paraId="7F1A82BA" w14:textId="77777777" w:rsidR="00C10B32" w:rsidRPr="00C10B32" w:rsidRDefault="00C10B32" w:rsidP="00C10B32">
      <w:pPr>
        <w:shd w:val="clear" w:color="auto" w:fill="FFFFFF" w:themeFill="background1"/>
        <w:rPr>
          <w:sz w:val="22"/>
          <w:szCs w:val="22"/>
          <w:lang w:val="hr-HR"/>
        </w:rPr>
      </w:pPr>
    </w:p>
    <w:p w14:paraId="37160DA3" w14:textId="77777777" w:rsidR="00C10B32" w:rsidRPr="00C10B32" w:rsidRDefault="00C10B32" w:rsidP="00C10B32">
      <w:pPr>
        <w:keepNext/>
        <w:shd w:val="clear" w:color="auto" w:fill="FFFFFF" w:themeFill="background1"/>
        <w:rPr>
          <w:sz w:val="22"/>
          <w:szCs w:val="22"/>
          <w:lang w:val="hr-HR"/>
        </w:rPr>
      </w:pPr>
      <w:r w:rsidRPr="00C10B32">
        <w:rPr>
          <w:sz w:val="22"/>
          <w:szCs w:val="22"/>
          <w:u w:val="single"/>
          <w:lang w:val="hr-HR"/>
        </w:rPr>
        <w:t>Piqray 150 mg film tablete</w:t>
      </w:r>
    </w:p>
    <w:p w14:paraId="6415E7A0"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Pakovanje sadrži 56 film tableta</w:t>
      </w:r>
      <w:r w:rsidR="00A026CE">
        <w:rPr>
          <w:sz w:val="22"/>
          <w:szCs w:val="22"/>
          <w:lang w:val="hr-HR"/>
        </w:rPr>
        <w:t xml:space="preserve"> (4 blistera)</w:t>
      </w:r>
      <w:r w:rsidRPr="00C10B32">
        <w:rPr>
          <w:sz w:val="22"/>
          <w:szCs w:val="22"/>
          <w:lang w:val="hr-HR"/>
        </w:rPr>
        <w:t>.</w:t>
      </w:r>
    </w:p>
    <w:p w14:paraId="3763D4EB" w14:textId="77777777" w:rsidR="00C10B32" w:rsidRPr="00C10B32" w:rsidRDefault="00C10B32" w:rsidP="00C10B32">
      <w:pPr>
        <w:shd w:val="clear" w:color="auto" w:fill="FFFFFF" w:themeFill="background1"/>
        <w:rPr>
          <w:sz w:val="22"/>
          <w:szCs w:val="22"/>
          <w:lang w:val="hr-HR"/>
        </w:rPr>
      </w:pPr>
    </w:p>
    <w:p w14:paraId="0BEC1583" w14:textId="77777777" w:rsidR="00C10B32" w:rsidRPr="00C10B32" w:rsidRDefault="00C10B32" w:rsidP="00C10B32">
      <w:pPr>
        <w:keepNext/>
        <w:shd w:val="clear" w:color="auto" w:fill="FFFFFF" w:themeFill="background1"/>
        <w:rPr>
          <w:sz w:val="22"/>
          <w:szCs w:val="22"/>
          <w:lang w:val="hr-HR"/>
        </w:rPr>
      </w:pPr>
      <w:r w:rsidRPr="00C10B32">
        <w:rPr>
          <w:sz w:val="22"/>
          <w:szCs w:val="22"/>
          <w:u w:val="single"/>
          <w:lang w:val="hr-HR"/>
        </w:rPr>
        <w:t>Piqray 200 mg film tablete</w:t>
      </w:r>
    </w:p>
    <w:p w14:paraId="7B0209C5" w14:textId="77777777" w:rsidR="00C10B32" w:rsidRPr="00C10B32" w:rsidRDefault="00C10B32" w:rsidP="00C10B32">
      <w:pPr>
        <w:keepNext/>
        <w:shd w:val="clear" w:color="auto" w:fill="FFFFFF" w:themeFill="background1"/>
        <w:rPr>
          <w:sz w:val="22"/>
          <w:szCs w:val="22"/>
          <w:lang w:val="hr-HR"/>
        </w:rPr>
      </w:pPr>
      <w:r w:rsidRPr="00C10B32">
        <w:rPr>
          <w:sz w:val="22"/>
          <w:szCs w:val="22"/>
          <w:lang w:val="hr-HR"/>
        </w:rPr>
        <w:t>Pakovanje sadrži 28 film tableta</w:t>
      </w:r>
      <w:r w:rsidR="00A026CE">
        <w:rPr>
          <w:sz w:val="22"/>
          <w:szCs w:val="22"/>
          <w:lang w:val="hr-HR"/>
        </w:rPr>
        <w:t xml:space="preserve"> (2 blistera)</w:t>
      </w:r>
      <w:r w:rsidRPr="00C10B32">
        <w:rPr>
          <w:sz w:val="22"/>
          <w:szCs w:val="22"/>
          <w:lang w:val="hr-HR"/>
        </w:rPr>
        <w:t>.</w:t>
      </w:r>
    </w:p>
    <w:p w14:paraId="183DB9D6" w14:textId="77777777" w:rsidR="0072020E" w:rsidRPr="00C10B32" w:rsidRDefault="0072020E" w:rsidP="00480FB1">
      <w:pPr>
        <w:tabs>
          <w:tab w:val="left" w:pos="540"/>
          <w:tab w:val="left" w:pos="569"/>
        </w:tabs>
        <w:rPr>
          <w:bCs/>
          <w:sz w:val="22"/>
          <w:szCs w:val="22"/>
        </w:rPr>
      </w:pPr>
    </w:p>
    <w:p w14:paraId="130F168B" w14:textId="77777777" w:rsidR="002846DB" w:rsidRPr="0082654D" w:rsidRDefault="0072020E" w:rsidP="00480FB1">
      <w:pPr>
        <w:tabs>
          <w:tab w:val="left" w:pos="540"/>
          <w:tab w:val="left" w:pos="569"/>
        </w:tabs>
        <w:rPr>
          <w:b/>
          <w:bCs/>
          <w:sz w:val="22"/>
          <w:szCs w:val="22"/>
        </w:rPr>
      </w:pPr>
      <w:r w:rsidRPr="0082654D">
        <w:rPr>
          <w:b/>
          <w:bCs/>
          <w:sz w:val="22"/>
          <w:szCs w:val="22"/>
        </w:rPr>
        <w:t xml:space="preserve">6.6. </w:t>
      </w:r>
      <w:r w:rsidR="00480FB1" w:rsidRPr="0082654D">
        <w:rPr>
          <w:b/>
          <w:bCs/>
          <w:sz w:val="22"/>
          <w:szCs w:val="22"/>
        </w:rPr>
        <w:tab/>
      </w:r>
      <w:r w:rsidRPr="0082654D">
        <w:rPr>
          <w:b/>
          <w:bCs/>
          <w:color w:val="000000"/>
          <w:sz w:val="22"/>
          <w:szCs w:val="22"/>
        </w:rPr>
        <w:t>Posebne mjere opreza pri odlaganju materijala koji treba odbaciti nakon primjene lijeka</w:t>
      </w:r>
      <w:r w:rsidRPr="0082654D">
        <w:rPr>
          <w:b/>
          <w:bCs/>
          <w:sz w:val="22"/>
          <w:szCs w:val="22"/>
        </w:rPr>
        <w:t xml:space="preserve"> </w:t>
      </w:r>
      <w:r w:rsidR="00310F03" w:rsidRPr="0082654D">
        <w:rPr>
          <w:b/>
          <w:bCs/>
          <w:sz w:val="22"/>
          <w:szCs w:val="22"/>
        </w:rPr>
        <w:t>(i druga uputs</w:t>
      </w:r>
      <w:r w:rsidR="004109FA" w:rsidRPr="0082654D">
        <w:rPr>
          <w:b/>
          <w:bCs/>
          <w:sz w:val="22"/>
          <w:szCs w:val="22"/>
        </w:rPr>
        <w:t>t</w:t>
      </w:r>
      <w:r w:rsidR="00310F03" w:rsidRPr="0082654D">
        <w:rPr>
          <w:b/>
          <w:bCs/>
          <w:sz w:val="22"/>
          <w:szCs w:val="22"/>
        </w:rPr>
        <w:t xml:space="preserve">va za rukovanje lijekom) </w:t>
      </w:r>
    </w:p>
    <w:p w14:paraId="44E09721" w14:textId="77777777" w:rsidR="00B66A70" w:rsidRPr="00C10B32" w:rsidRDefault="00B66A70" w:rsidP="00480FB1">
      <w:pPr>
        <w:tabs>
          <w:tab w:val="left" w:pos="540"/>
          <w:tab w:val="left" w:pos="569"/>
        </w:tabs>
        <w:rPr>
          <w:b/>
          <w:bCs/>
          <w:sz w:val="22"/>
          <w:szCs w:val="22"/>
        </w:rPr>
      </w:pPr>
    </w:p>
    <w:p w14:paraId="7712B583" w14:textId="77777777" w:rsidR="00C10B32" w:rsidRPr="00C10B32" w:rsidRDefault="00C10B32" w:rsidP="004D63C8">
      <w:pPr>
        <w:shd w:val="clear" w:color="auto" w:fill="FFFFFF" w:themeFill="background1"/>
        <w:jc w:val="both"/>
        <w:rPr>
          <w:sz w:val="22"/>
          <w:szCs w:val="22"/>
          <w:lang w:val="hr-HR"/>
        </w:rPr>
      </w:pPr>
      <w:r w:rsidRPr="00C10B32">
        <w:rPr>
          <w:sz w:val="22"/>
          <w:szCs w:val="22"/>
          <w:lang w:val="hr-HR"/>
        </w:rPr>
        <w:t>Svu neiskorišćenu količinu l</w:t>
      </w:r>
      <w:r w:rsidR="004D63C8">
        <w:rPr>
          <w:sz w:val="22"/>
          <w:szCs w:val="22"/>
          <w:lang w:val="hr-HR"/>
        </w:rPr>
        <w:t>ij</w:t>
      </w:r>
      <w:r w:rsidRPr="00C10B32">
        <w:rPr>
          <w:sz w:val="22"/>
          <w:szCs w:val="22"/>
          <w:lang w:val="hr-HR"/>
        </w:rPr>
        <w:t>eka ili otpadnog materijala nakon njegove upotrebe treba ukloniti, u skladu sa važećim propisima.</w:t>
      </w:r>
    </w:p>
    <w:p w14:paraId="23CA4B57" w14:textId="7FE8D096" w:rsidR="0072020E" w:rsidRDefault="0072020E" w:rsidP="00480FB1">
      <w:pPr>
        <w:tabs>
          <w:tab w:val="left" w:pos="540"/>
          <w:tab w:val="left" w:pos="569"/>
        </w:tabs>
        <w:rPr>
          <w:bCs/>
          <w:sz w:val="22"/>
          <w:szCs w:val="22"/>
        </w:rPr>
      </w:pPr>
    </w:p>
    <w:p w14:paraId="21970F1E" w14:textId="77777777" w:rsidR="00450357" w:rsidRPr="0082654D" w:rsidRDefault="00450357" w:rsidP="00480FB1">
      <w:pPr>
        <w:tabs>
          <w:tab w:val="left" w:pos="540"/>
          <w:tab w:val="left" w:pos="569"/>
        </w:tabs>
        <w:rPr>
          <w:bCs/>
          <w:sz w:val="22"/>
          <w:szCs w:val="22"/>
        </w:rPr>
      </w:pPr>
    </w:p>
    <w:p w14:paraId="22B9200D" w14:textId="239B9EB7" w:rsidR="00F8570A" w:rsidRDefault="0072020E" w:rsidP="00480FB1">
      <w:pPr>
        <w:tabs>
          <w:tab w:val="left" w:pos="540"/>
          <w:tab w:val="left" w:pos="569"/>
        </w:tabs>
        <w:rPr>
          <w:b/>
          <w:bCs/>
          <w:sz w:val="22"/>
          <w:szCs w:val="22"/>
        </w:rPr>
      </w:pPr>
      <w:r w:rsidRPr="0082654D">
        <w:rPr>
          <w:b/>
          <w:bCs/>
          <w:sz w:val="22"/>
          <w:szCs w:val="22"/>
        </w:rPr>
        <w:t xml:space="preserve">7. </w:t>
      </w:r>
      <w:r w:rsidR="00480FB1" w:rsidRPr="0082654D">
        <w:rPr>
          <w:b/>
          <w:bCs/>
          <w:sz w:val="22"/>
          <w:szCs w:val="22"/>
        </w:rPr>
        <w:tab/>
      </w:r>
      <w:r w:rsidRPr="0082654D">
        <w:rPr>
          <w:b/>
          <w:bCs/>
          <w:sz w:val="22"/>
          <w:szCs w:val="22"/>
        </w:rPr>
        <w:t>NOSILAC DOZVOLE</w:t>
      </w:r>
      <w:r w:rsidR="00483928" w:rsidRPr="0082654D">
        <w:rPr>
          <w:b/>
          <w:bCs/>
          <w:sz w:val="22"/>
          <w:szCs w:val="22"/>
        </w:rPr>
        <w:t xml:space="preserve"> </w:t>
      </w:r>
    </w:p>
    <w:p w14:paraId="2424A6A1" w14:textId="77777777" w:rsidR="00450357" w:rsidRPr="0082654D" w:rsidRDefault="00450357" w:rsidP="00480FB1">
      <w:pPr>
        <w:tabs>
          <w:tab w:val="left" w:pos="540"/>
          <w:tab w:val="left" w:pos="569"/>
        </w:tabs>
        <w:rPr>
          <w:b/>
          <w:bCs/>
          <w:sz w:val="22"/>
          <w:szCs w:val="22"/>
        </w:rPr>
      </w:pPr>
    </w:p>
    <w:p w14:paraId="330F453A" w14:textId="77777777" w:rsidR="004D63C8" w:rsidRPr="0078134B" w:rsidRDefault="004D63C8" w:rsidP="004D63C8">
      <w:pPr>
        <w:widowControl w:val="0"/>
        <w:autoSpaceDE w:val="0"/>
        <w:autoSpaceDN w:val="0"/>
        <w:rPr>
          <w:sz w:val="22"/>
          <w:szCs w:val="22"/>
          <w:lang w:val="hr-HR"/>
        </w:rPr>
      </w:pPr>
      <w:r w:rsidRPr="0078134B">
        <w:rPr>
          <w:bCs/>
          <w:sz w:val="22"/>
          <w:szCs w:val="22"/>
        </w:rPr>
        <w:t>“Novartis Pharma Services AG” dio stranog društva Podgorica</w:t>
      </w:r>
    </w:p>
    <w:p w14:paraId="6BDF85E1" w14:textId="77777777" w:rsidR="00C37FD7" w:rsidRDefault="007821D0" w:rsidP="004D63C8">
      <w:pPr>
        <w:tabs>
          <w:tab w:val="left" w:pos="540"/>
          <w:tab w:val="left" w:pos="569"/>
        </w:tabs>
        <w:rPr>
          <w:sz w:val="22"/>
          <w:szCs w:val="22"/>
          <w:lang w:val="hr-HR"/>
        </w:rPr>
      </w:pPr>
      <w:r>
        <w:rPr>
          <w:sz w:val="22"/>
          <w:szCs w:val="22"/>
          <w:lang w:val="hr-HR"/>
        </w:rPr>
        <w:t xml:space="preserve">ul. </w:t>
      </w:r>
      <w:r w:rsidR="004D63C8" w:rsidRPr="0078134B">
        <w:rPr>
          <w:sz w:val="22"/>
          <w:szCs w:val="22"/>
          <w:lang w:val="hr-HR"/>
        </w:rPr>
        <w:t xml:space="preserve">Svetlane Kane Radević </w:t>
      </w:r>
      <w:r>
        <w:rPr>
          <w:sz w:val="22"/>
          <w:szCs w:val="22"/>
          <w:lang w:val="hr-HR"/>
        </w:rPr>
        <w:t xml:space="preserve">br. </w:t>
      </w:r>
      <w:r w:rsidR="004D63C8" w:rsidRPr="0078134B">
        <w:rPr>
          <w:sz w:val="22"/>
          <w:szCs w:val="22"/>
          <w:lang w:val="hr-HR"/>
        </w:rPr>
        <w:t>3, Podgorica, Crna Gora</w:t>
      </w:r>
    </w:p>
    <w:p w14:paraId="791FF156" w14:textId="17C84186" w:rsidR="004D63C8" w:rsidRDefault="004D63C8" w:rsidP="004D63C8">
      <w:pPr>
        <w:tabs>
          <w:tab w:val="left" w:pos="540"/>
          <w:tab w:val="left" w:pos="569"/>
        </w:tabs>
        <w:rPr>
          <w:bCs/>
          <w:sz w:val="22"/>
          <w:szCs w:val="22"/>
        </w:rPr>
      </w:pPr>
    </w:p>
    <w:p w14:paraId="7886817A" w14:textId="77777777" w:rsidR="00450357" w:rsidRPr="00C10B32" w:rsidRDefault="00450357" w:rsidP="004D63C8">
      <w:pPr>
        <w:tabs>
          <w:tab w:val="left" w:pos="540"/>
          <w:tab w:val="left" w:pos="569"/>
        </w:tabs>
        <w:rPr>
          <w:bCs/>
          <w:sz w:val="22"/>
          <w:szCs w:val="22"/>
        </w:rPr>
      </w:pPr>
    </w:p>
    <w:p w14:paraId="597A5FF6" w14:textId="77777777" w:rsidR="0072020E" w:rsidRPr="0082654D" w:rsidRDefault="0072020E" w:rsidP="00480FB1">
      <w:pPr>
        <w:tabs>
          <w:tab w:val="left" w:pos="540"/>
          <w:tab w:val="left" w:pos="569"/>
        </w:tabs>
        <w:rPr>
          <w:b/>
          <w:bCs/>
          <w:sz w:val="22"/>
          <w:szCs w:val="22"/>
        </w:rPr>
      </w:pPr>
      <w:r w:rsidRPr="0082654D">
        <w:rPr>
          <w:b/>
          <w:bCs/>
          <w:sz w:val="22"/>
          <w:szCs w:val="22"/>
        </w:rPr>
        <w:t xml:space="preserve">8. </w:t>
      </w:r>
      <w:r w:rsidR="00480FB1" w:rsidRPr="0082654D">
        <w:rPr>
          <w:b/>
          <w:bCs/>
          <w:sz w:val="22"/>
          <w:szCs w:val="22"/>
        </w:rPr>
        <w:tab/>
      </w:r>
      <w:r w:rsidRPr="0082654D">
        <w:rPr>
          <w:b/>
          <w:bCs/>
          <w:sz w:val="22"/>
          <w:szCs w:val="22"/>
        </w:rPr>
        <w:t>BROJ DOZVOLE</w:t>
      </w:r>
      <w:r w:rsidR="008A6D43" w:rsidRPr="0082654D">
        <w:rPr>
          <w:b/>
          <w:bCs/>
          <w:sz w:val="22"/>
          <w:szCs w:val="22"/>
        </w:rPr>
        <w:t xml:space="preserve"> ZA STAVLJANJE LIJEKA U PROMET</w:t>
      </w:r>
    </w:p>
    <w:p w14:paraId="46C0339D" w14:textId="77777777" w:rsidR="0072020E" w:rsidRDefault="0072020E" w:rsidP="00480FB1">
      <w:pPr>
        <w:tabs>
          <w:tab w:val="left" w:pos="540"/>
          <w:tab w:val="left" w:pos="569"/>
        </w:tabs>
        <w:rPr>
          <w:bCs/>
          <w:sz w:val="22"/>
          <w:szCs w:val="22"/>
        </w:rPr>
      </w:pPr>
    </w:p>
    <w:p w14:paraId="5688E04E" w14:textId="77777777" w:rsidR="00E77ACC" w:rsidRPr="00E77ACC" w:rsidRDefault="00E77ACC" w:rsidP="00E77ACC">
      <w:pPr>
        <w:tabs>
          <w:tab w:val="left" w:pos="540"/>
          <w:tab w:val="left" w:pos="569"/>
        </w:tabs>
        <w:rPr>
          <w:bCs/>
          <w:sz w:val="22"/>
          <w:szCs w:val="22"/>
        </w:rPr>
      </w:pPr>
      <w:r w:rsidRPr="00E77ACC">
        <w:rPr>
          <w:bCs/>
          <w:sz w:val="22"/>
          <w:szCs w:val="22"/>
        </w:rPr>
        <w:t>Piqray, film tableta, 150</w:t>
      </w:r>
      <w:r>
        <w:rPr>
          <w:bCs/>
          <w:sz w:val="22"/>
          <w:szCs w:val="22"/>
        </w:rPr>
        <w:t xml:space="preserve"> </w:t>
      </w:r>
      <w:r w:rsidRPr="00E77ACC">
        <w:rPr>
          <w:bCs/>
          <w:sz w:val="22"/>
          <w:szCs w:val="22"/>
        </w:rPr>
        <w:t xml:space="preserve">mg, </w:t>
      </w:r>
      <w:r>
        <w:rPr>
          <w:bCs/>
          <w:sz w:val="22"/>
          <w:szCs w:val="22"/>
        </w:rPr>
        <w:t>blister, 56 (4x14) film tableta:</w:t>
      </w:r>
      <w:r w:rsidR="00C36107">
        <w:rPr>
          <w:bCs/>
          <w:sz w:val="22"/>
          <w:szCs w:val="22"/>
        </w:rPr>
        <w:t xml:space="preserve"> 2030/22/33-4805</w:t>
      </w:r>
    </w:p>
    <w:p w14:paraId="5C11FB1B" w14:textId="77777777" w:rsidR="00E77ACC" w:rsidRPr="00E77ACC" w:rsidRDefault="00E77ACC" w:rsidP="00E77ACC">
      <w:pPr>
        <w:tabs>
          <w:tab w:val="left" w:pos="540"/>
          <w:tab w:val="left" w:pos="569"/>
        </w:tabs>
        <w:rPr>
          <w:bCs/>
          <w:sz w:val="22"/>
          <w:szCs w:val="22"/>
        </w:rPr>
      </w:pPr>
      <w:r w:rsidRPr="00E77ACC">
        <w:rPr>
          <w:bCs/>
          <w:sz w:val="22"/>
          <w:szCs w:val="22"/>
        </w:rPr>
        <w:t>Piqray, film tableta, 200</w:t>
      </w:r>
      <w:r>
        <w:rPr>
          <w:bCs/>
          <w:sz w:val="22"/>
          <w:szCs w:val="22"/>
        </w:rPr>
        <w:t xml:space="preserve"> </w:t>
      </w:r>
      <w:r w:rsidRPr="00E77ACC">
        <w:rPr>
          <w:bCs/>
          <w:sz w:val="22"/>
          <w:szCs w:val="22"/>
        </w:rPr>
        <w:t xml:space="preserve">mg, </w:t>
      </w:r>
      <w:r>
        <w:rPr>
          <w:bCs/>
          <w:sz w:val="22"/>
          <w:szCs w:val="22"/>
        </w:rPr>
        <w:t>blister, 28 (2x14) film tableta:</w:t>
      </w:r>
      <w:r w:rsidR="00C36107">
        <w:rPr>
          <w:bCs/>
          <w:sz w:val="22"/>
          <w:szCs w:val="22"/>
        </w:rPr>
        <w:t xml:space="preserve"> 2030/22/34-4806</w:t>
      </w:r>
    </w:p>
    <w:p w14:paraId="38DB34CB" w14:textId="77777777" w:rsidR="00E77ACC" w:rsidRPr="0082654D" w:rsidRDefault="00E77ACC" w:rsidP="00E77ACC">
      <w:pPr>
        <w:tabs>
          <w:tab w:val="left" w:pos="540"/>
          <w:tab w:val="left" w:pos="569"/>
        </w:tabs>
        <w:rPr>
          <w:bCs/>
          <w:sz w:val="22"/>
          <w:szCs w:val="22"/>
        </w:rPr>
      </w:pPr>
      <w:r w:rsidRPr="00E77ACC">
        <w:rPr>
          <w:bCs/>
          <w:sz w:val="22"/>
          <w:szCs w:val="22"/>
        </w:rPr>
        <w:t>Piqray, film tableta, 50</w:t>
      </w:r>
      <w:r>
        <w:rPr>
          <w:bCs/>
          <w:sz w:val="22"/>
          <w:szCs w:val="22"/>
        </w:rPr>
        <w:t xml:space="preserve"> </w:t>
      </w:r>
      <w:r w:rsidRPr="00E77ACC">
        <w:rPr>
          <w:bCs/>
          <w:sz w:val="22"/>
          <w:szCs w:val="22"/>
        </w:rPr>
        <w:t>mg i 200</w:t>
      </w:r>
      <w:r>
        <w:rPr>
          <w:bCs/>
          <w:sz w:val="22"/>
          <w:szCs w:val="22"/>
        </w:rPr>
        <w:t xml:space="preserve"> </w:t>
      </w:r>
      <w:r w:rsidRPr="00E77ACC">
        <w:rPr>
          <w:bCs/>
          <w:sz w:val="22"/>
          <w:szCs w:val="22"/>
        </w:rPr>
        <w:t>mg, blister, 56 (28x50mg + 28x200mg) film tableta</w:t>
      </w:r>
      <w:r>
        <w:rPr>
          <w:bCs/>
          <w:sz w:val="22"/>
          <w:szCs w:val="22"/>
        </w:rPr>
        <w:t>:</w:t>
      </w:r>
      <w:r w:rsidR="00C36107">
        <w:rPr>
          <w:bCs/>
          <w:sz w:val="22"/>
          <w:szCs w:val="22"/>
        </w:rPr>
        <w:t xml:space="preserve"> 2030/22/35-4807</w:t>
      </w:r>
    </w:p>
    <w:p w14:paraId="4C851E7F" w14:textId="6CE1E71A" w:rsidR="00F45F77" w:rsidRDefault="00F45F77" w:rsidP="00480FB1">
      <w:pPr>
        <w:tabs>
          <w:tab w:val="left" w:pos="540"/>
          <w:tab w:val="left" w:pos="569"/>
        </w:tabs>
        <w:rPr>
          <w:bCs/>
          <w:sz w:val="22"/>
          <w:szCs w:val="22"/>
        </w:rPr>
      </w:pPr>
    </w:p>
    <w:p w14:paraId="316BCE8D" w14:textId="77777777" w:rsidR="00CA7D42" w:rsidRPr="0082654D" w:rsidRDefault="00CA7D42" w:rsidP="00480FB1">
      <w:pPr>
        <w:tabs>
          <w:tab w:val="left" w:pos="540"/>
          <w:tab w:val="left" w:pos="569"/>
        </w:tabs>
        <w:rPr>
          <w:bCs/>
          <w:sz w:val="22"/>
          <w:szCs w:val="22"/>
        </w:rPr>
      </w:pPr>
    </w:p>
    <w:p w14:paraId="29EFC44E" w14:textId="77777777" w:rsidR="0072020E" w:rsidRPr="0082654D" w:rsidRDefault="0072020E" w:rsidP="00480FB1">
      <w:pPr>
        <w:tabs>
          <w:tab w:val="left" w:pos="540"/>
          <w:tab w:val="left" w:pos="569"/>
        </w:tabs>
        <w:rPr>
          <w:b/>
          <w:bCs/>
          <w:sz w:val="22"/>
          <w:szCs w:val="22"/>
        </w:rPr>
      </w:pPr>
      <w:r w:rsidRPr="0082654D">
        <w:rPr>
          <w:b/>
          <w:bCs/>
          <w:sz w:val="22"/>
          <w:szCs w:val="22"/>
        </w:rPr>
        <w:t xml:space="preserve">9. </w:t>
      </w:r>
      <w:r w:rsidR="00480FB1" w:rsidRPr="0082654D">
        <w:rPr>
          <w:b/>
          <w:bCs/>
          <w:sz w:val="22"/>
          <w:szCs w:val="22"/>
        </w:rPr>
        <w:tab/>
      </w:r>
      <w:r w:rsidRPr="0082654D">
        <w:rPr>
          <w:b/>
          <w:bCs/>
          <w:sz w:val="22"/>
          <w:szCs w:val="22"/>
        </w:rPr>
        <w:t xml:space="preserve">DATUM </w:t>
      </w:r>
      <w:r w:rsidR="00C05DF8" w:rsidRPr="0082654D">
        <w:rPr>
          <w:b/>
          <w:bCs/>
          <w:sz w:val="22"/>
          <w:szCs w:val="22"/>
        </w:rPr>
        <w:t xml:space="preserve">PRVE </w:t>
      </w:r>
      <w:r w:rsidR="008A6D43" w:rsidRPr="0082654D">
        <w:rPr>
          <w:b/>
          <w:bCs/>
          <w:sz w:val="22"/>
          <w:szCs w:val="22"/>
        </w:rPr>
        <w:t>DOZVOLE</w:t>
      </w:r>
      <w:r w:rsidR="00C05DF8" w:rsidRPr="0082654D">
        <w:rPr>
          <w:b/>
          <w:bCs/>
          <w:sz w:val="22"/>
          <w:szCs w:val="22"/>
        </w:rPr>
        <w:t>/OBNOVE DOZVOLE</w:t>
      </w:r>
      <w:r w:rsidR="008A6D43" w:rsidRPr="0082654D">
        <w:rPr>
          <w:b/>
          <w:bCs/>
          <w:sz w:val="22"/>
          <w:szCs w:val="22"/>
        </w:rPr>
        <w:t xml:space="preserve"> ZA STAVLJANJE LIJEKA U PROMET</w:t>
      </w:r>
    </w:p>
    <w:p w14:paraId="6E4AB9D4" w14:textId="77777777" w:rsidR="0072020E" w:rsidRDefault="0072020E" w:rsidP="00480FB1">
      <w:pPr>
        <w:tabs>
          <w:tab w:val="left" w:pos="540"/>
          <w:tab w:val="left" w:pos="569"/>
        </w:tabs>
        <w:rPr>
          <w:bCs/>
          <w:sz w:val="22"/>
          <w:szCs w:val="22"/>
        </w:rPr>
      </w:pPr>
    </w:p>
    <w:p w14:paraId="43C7DD85" w14:textId="77777777" w:rsidR="00E77ACC" w:rsidRPr="0082654D" w:rsidRDefault="00C36107" w:rsidP="00E77ACC">
      <w:pPr>
        <w:tabs>
          <w:tab w:val="left" w:pos="540"/>
          <w:tab w:val="left" w:pos="569"/>
        </w:tabs>
        <w:rPr>
          <w:bCs/>
          <w:sz w:val="22"/>
          <w:szCs w:val="22"/>
        </w:rPr>
      </w:pPr>
      <w:r>
        <w:rPr>
          <w:bCs/>
          <w:sz w:val="22"/>
          <w:szCs w:val="22"/>
        </w:rPr>
        <w:t>20.01.2022. godine</w:t>
      </w:r>
    </w:p>
    <w:p w14:paraId="658A198C" w14:textId="77777777" w:rsidR="00E77ACC" w:rsidRPr="0082654D" w:rsidRDefault="00E77ACC" w:rsidP="00480FB1">
      <w:pPr>
        <w:tabs>
          <w:tab w:val="left" w:pos="540"/>
          <w:tab w:val="left" w:pos="569"/>
        </w:tabs>
        <w:rPr>
          <w:bCs/>
          <w:sz w:val="22"/>
          <w:szCs w:val="22"/>
        </w:rPr>
      </w:pPr>
    </w:p>
    <w:p w14:paraId="7E02EEB7" w14:textId="77777777" w:rsidR="00836B35" w:rsidRPr="0082654D" w:rsidRDefault="00836B35" w:rsidP="00480FB1">
      <w:pPr>
        <w:tabs>
          <w:tab w:val="left" w:pos="540"/>
          <w:tab w:val="left" w:pos="569"/>
        </w:tabs>
        <w:rPr>
          <w:bCs/>
          <w:sz w:val="22"/>
          <w:szCs w:val="22"/>
        </w:rPr>
      </w:pPr>
    </w:p>
    <w:p w14:paraId="518CE109" w14:textId="77777777" w:rsidR="003F6A59" w:rsidRPr="0082654D" w:rsidRDefault="0072020E" w:rsidP="00C05DF8">
      <w:pPr>
        <w:tabs>
          <w:tab w:val="left" w:pos="540"/>
          <w:tab w:val="left" w:pos="569"/>
        </w:tabs>
        <w:ind w:left="540" w:hanging="540"/>
        <w:rPr>
          <w:bCs/>
          <w:sz w:val="22"/>
          <w:szCs w:val="22"/>
        </w:rPr>
      </w:pPr>
      <w:r w:rsidRPr="0082654D">
        <w:rPr>
          <w:b/>
          <w:bCs/>
          <w:sz w:val="22"/>
          <w:szCs w:val="22"/>
        </w:rPr>
        <w:t xml:space="preserve">10. </w:t>
      </w:r>
      <w:r w:rsidR="00480FB1" w:rsidRPr="0082654D">
        <w:rPr>
          <w:b/>
          <w:bCs/>
          <w:sz w:val="22"/>
          <w:szCs w:val="22"/>
        </w:rPr>
        <w:tab/>
      </w:r>
      <w:r w:rsidR="002846DB" w:rsidRPr="0082654D">
        <w:rPr>
          <w:b/>
          <w:bCs/>
          <w:sz w:val="22"/>
          <w:szCs w:val="22"/>
        </w:rPr>
        <w:t>D</w:t>
      </w:r>
      <w:r w:rsidR="00EC2532" w:rsidRPr="0082654D">
        <w:rPr>
          <w:b/>
          <w:bCs/>
          <w:sz w:val="22"/>
          <w:szCs w:val="22"/>
        </w:rPr>
        <w:t xml:space="preserve">ATUM REVIZIJE TEKSTA </w:t>
      </w:r>
    </w:p>
    <w:p w14:paraId="24A1E82B" w14:textId="77777777" w:rsidR="00702E22" w:rsidRDefault="00702E22" w:rsidP="002352F8">
      <w:pPr>
        <w:tabs>
          <w:tab w:val="left" w:pos="540"/>
          <w:tab w:val="left" w:pos="569"/>
        </w:tabs>
        <w:rPr>
          <w:bCs/>
          <w:sz w:val="22"/>
          <w:szCs w:val="22"/>
        </w:rPr>
      </w:pPr>
    </w:p>
    <w:p w14:paraId="2EFAE673" w14:textId="1629A9C4" w:rsidR="003F6A59" w:rsidRPr="0082654D" w:rsidRDefault="00980D53" w:rsidP="00DE3F5C">
      <w:pPr>
        <w:rPr>
          <w:sz w:val="22"/>
          <w:szCs w:val="22"/>
          <w:lang w:val="pl-PL"/>
        </w:rPr>
      </w:pPr>
      <w:r>
        <w:rPr>
          <w:sz w:val="22"/>
          <w:szCs w:val="22"/>
          <w:lang w:val="pl-PL"/>
        </w:rPr>
        <w:t>Jul</w:t>
      </w:r>
      <w:r w:rsidR="00450357">
        <w:rPr>
          <w:sz w:val="22"/>
          <w:szCs w:val="22"/>
          <w:lang w:val="pl-PL"/>
        </w:rPr>
        <w:t>, 2025. godine</w:t>
      </w:r>
    </w:p>
    <w:sectPr w:rsidR="003F6A59" w:rsidRPr="0082654D" w:rsidSect="00EF3B86">
      <w:footerReference w:type="default" r:id="rId14"/>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F08D1" w14:textId="77777777" w:rsidR="00F72491" w:rsidRDefault="00F72491">
      <w:r>
        <w:separator/>
      </w:r>
    </w:p>
  </w:endnote>
  <w:endnote w:type="continuationSeparator" w:id="0">
    <w:p w14:paraId="5BA49338" w14:textId="77777777" w:rsidR="00F72491" w:rsidRDefault="00F7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B831" w14:textId="28F6294B" w:rsidR="00EF7C8E" w:rsidRPr="00B23F69" w:rsidRDefault="00EF7C8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0217">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0217">
      <w:rPr>
        <w:noProof/>
        <w:sz w:val="22"/>
        <w:szCs w:val="22"/>
      </w:rPr>
      <w:t>26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6780" w14:textId="77777777" w:rsidR="00F72491" w:rsidRDefault="00F72491">
      <w:r>
        <w:separator/>
      </w:r>
    </w:p>
  </w:footnote>
  <w:footnote w:type="continuationSeparator" w:id="0">
    <w:p w14:paraId="42974C20" w14:textId="77777777" w:rsidR="00F72491" w:rsidRDefault="00F7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9pt;height:13.4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8D86492"/>
    <w:multiLevelType w:val="hybridMultilevel"/>
    <w:tmpl w:val="2B8E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US" w:vendorID="64" w:dllVersion="6" w:nlCheck="1" w:checkStyle="1"/>
  <w:activeWritingStyle w:appName="MSWord" w:lang="pt-PT" w:vendorID="64" w:dllVersion="6"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D63"/>
    <w:rsid w:val="00033F67"/>
    <w:rsid w:val="00036FA0"/>
    <w:rsid w:val="0003793F"/>
    <w:rsid w:val="0004274D"/>
    <w:rsid w:val="00051A8C"/>
    <w:rsid w:val="00057E35"/>
    <w:rsid w:val="00065093"/>
    <w:rsid w:val="000733C8"/>
    <w:rsid w:val="00076726"/>
    <w:rsid w:val="00080303"/>
    <w:rsid w:val="00081FC4"/>
    <w:rsid w:val="000A3F58"/>
    <w:rsid w:val="000B3828"/>
    <w:rsid w:val="000C5E1D"/>
    <w:rsid w:val="000D2343"/>
    <w:rsid w:val="000D3449"/>
    <w:rsid w:val="000D425A"/>
    <w:rsid w:val="000D60CC"/>
    <w:rsid w:val="000E055A"/>
    <w:rsid w:val="000E2084"/>
    <w:rsid w:val="000E30E5"/>
    <w:rsid w:val="000E6F55"/>
    <w:rsid w:val="000F1D2B"/>
    <w:rsid w:val="000F1F42"/>
    <w:rsid w:val="000F77FA"/>
    <w:rsid w:val="0010032C"/>
    <w:rsid w:val="00107BF7"/>
    <w:rsid w:val="00115D3B"/>
    <w:rsid w:val="0012331C"/>
    <w:rsid w:val="00126F53"/>
    <w:rsid w:val="00134B1F"/>
    <w:rsid w:val="00140B1D"/>
    <w:rsid w:val="00144828"/>
    <w:rsid w:val="0014766D"/>
    <w:rsid w:val="001536CC"/>
    <w:rsid w:val="001568C9"/>
    <w:rsid w:val="001949CB"/>
    <w:rsid w:val="001A3FBA"/>
    <w:rsid w:val="001A5518"/>
    <w:rsid w:val="001B1C6A"/>
    <w:rsid w:val="001B3769"/>
    <w:rsid w:val="001C0294"/>
    <w:rsid w:val="001C1263"/>
    <w:rsid w:val="001C1417"/>
    <w:rsid w:val="001D6862"/>
    <w:rsid w:val="001E390B"/>
    <w:rsid w:val="001F42FB"/>
    <w:rsid w:val="001F719A"/>
    <w:rsid w:val="002031B3"/>
    <w:rsid w:val="002032DE"/>
    <w:rsid w:val="00212EDF"/>
    <w:rsid w:val="00215931"/>
    <w:rsid w:val="00223224"/>
    <w:rsid w:val="00227BDB"/>
    <w:rsid w:val="00234CB1"/>
    <w:rsid w:val="002352F8"/>
    <w:rsid w:val="002510A5"/>
    <w:rsid w:val="00254A0A"/>
    <w:rsid w:val="00264ADA"/>
    <w:rsid w:val="00265449"/>
    <w:rsid w:val="00266046"/>
    <w:rsid w:val="00271675"/>
    <w:rsid w:val="0027382A"/>
    <w:rsid w:val="00275401"/>
    <w:rsid w:val="002846DB"/>
    <w:rsid w:val="00284CCD"/>
    <w:rsid w:val="00292A17"/>
    <w:rsid w:val="00295316"/>
    <w:rsid w:val="002A51AB"/>
    <w:rsid w:val="002A5E87"/>
    <w:rsid w:val="002C2A97"/>
    <w:rsid w:val="002C51B9"/>
    <w:rsid w:val="002C6637"/>
    <w:rsid w:val="002D1529"/>
    <w:rsid w:val="002D6793"/>
    <w:rsid w:val="002D6BF5"/>
    <w:rsid w:val="002E0135"/>
    <w:rsid w:val="002E37A5"/>
    <w:rsid w:val="002F55A6"/>
    <w:rsid w:val="002F56DB"/>
    <w:rsid w:val="00310F03"/>
    <w:rsid w:val="003247D2"/>
    <w:rsid w:val="0034443A"/>
    <w:rsid w:val="003445C1"/>
    <w:rsid w:val="00355B61"/>
    <w:rsid w:val="00362686"/>
    <w:rsid w:val="00371510"/>
    <w:rsid w:val="0037235B"/>
    <w:rsid w:val="003764F0"/>
    <w:rsid w:val="00396DFD"/>
    <w:rsid w:val="003A6BA4"/>
    <w:rsid w:val="003A7059"/>
    <w:rsid w:val="003B36A0"/>
    <w:rsid w:val="003B7A36"/>
    <w:rsid w:val="003C17AB"/>
    <w:rsid w:val="003C7823"/>
    <w:rsid w:val="003D0778"/>
    <w:rsid w:val="003D45CD"/>
    <w:rsid w:val="003E1DCC"/>
    <w:rsid w:val="003F6A59"/>
    <w:rsid w:val="004010DA"/>
    <w:rsid w:val="004065C8"/>
    <w:rsid w:val="004109FA"/>
    <w:rsid w:val="00411B4B"/>
    <w:rsid w:val="00414EA9"/>
    <w:rsid w:val="00415BEE"/>
    <w:rsid w:val="00427F85"/>
    <w:rsid w:val="00436F42"/>
    <w:rsid w:val="004378B4"/>
    <w:rsid w:val="00450357"/>
    <w:rsid w:val="00451314"/>
    <w:rsid w:val="00452E9D"/>
    <w:rsid w:val="004534C7"/>
    <w:rsid w:val="0045497A"/>
    <w:rsid w:val="00456576"/>
    <w:rsid w:val="004671AA"/>
    <w:rsid w:val="00480FB1"/>
    <w:rsid w:val="00483928"/>
    <w:rsid w:val="00491E0A"/>
    <w:rsid w:val="00492AFA"/>
    <w:rsid w:val="00496B19"/>
    <w:rsid w:val="004A0D69"/>
    <w:rsid w:val="004C112C"/>
    <w:rsid w:val="004D3BA8"/>
    <w:rsid w:val="004D6103"/>
    <w:rsid w:val="004D63C8"/>
    <w:rsid w:val="004E1947"/>
    <w:rsid w:val="004E3BCE"/>
    <w:rsid w:val="004F0E97"/>
    <w:rsid w:val="00501DD1"/>
    <w:rsid w:val="00515C21"/>
    <w:rsid w:val="00521E4E"/>
    <w:rsid w:val="00530BD7"/>
    <w:rsid w:val="00545CD2"/>
    <w:rsid w:val="005476F3"/>
    <w:rsid w:val="00572527"/>
    <w:rsid w:val="00573E40"/>
    <w:rsid w:val="00576348"/>
    <w:rsid w:val="0058265B"/>
    <w:rsid w:val="005A0B2E"/>
    <w:rsid w:val="005A23D2"/>
    <w:rsid w:val="005A36CB"/>
    <w:rsid w:val="005A5FDD"/>
    <w:rsid w:val="005B49B8"/>
    <w:rsid w:val="005C0741"/>
    <w:rsid w:val="005C1969"/>
    <w:rsid w:val="005C4208"/>
    <w:rsid w:val="005C5EF4"/>
    <w:rsid w:val="005E0C04"/>
    <w:rsid w:val="005E2E0B"/>
    <w:rsid w:val="005E3209"/>
    <w:rsid w:val="005E7A7D"/>
    <w:rsid w:val="00602457"/>
    <w:rsid w:val="00646BD1"/>
    <w:rsid w:val="006561C2"/>
    <w:rsid w:val="006703B2"/>
    <w:rsid w:val="00671CB3"/>
    <w:rsid w:val="00674BAF"/>
    <w:rsid w:val="0067538B"/>
    <w:rsid w:val="00677FDE"/>
    <w:rsid w:val="00682200"/>
    <w:rsid w:val="00692BF6"/>
    <w:rsid w:val="006A1497"/>
    <w:rsid w:val="006B0BD1"/>
    <w:rsid w:val="006B780B"/>
    <w:rsid w:val="006C2069"/>
    <w:rsid w:val="006D20A5"/>
    <w:rsid w:val="006D3735"/>
    <w:rsid w:val="006D37BF"/>
    <w:rsid w:val="006F328F"/>
    <w:rsid w:val="007002B5"/>
    <w:rsid w:val="00702E22"/>
    <w:rsid w:val="0072020E"/>
    <w:rsid w:val="00734F24"/>
    <w:rsid w:val="00742790"/>
    <w:rsid w:val="007821D0"/>
    <w:rsid w:val="00786071"/>
    <w:rsid w:val="00791C05"/>
    <w:rsid w:val="007A3BC6"/>
    <w:rsid w:val="007A3ECB"/>
    <w:rsid w:val="007D058D"/>
    <w:rsid w:val="007D3283"/>
    <w:rsid w:val="007D47DC"/>
    <w:rsid w:val="007F4F69"/>
    <w:rsid w:val="007F6B1A"/>
    <w:rsid w:val="00801BB8"/>
    <w:rsid w:val="00805C8E"/>
    <w:rsid w:val="00810DCF"/>
    <w:rsid w:val="00824AB9"/>
    <w:rsid w:val="0082654D"/>
    <w:rsid w:val="00826C6D"/>
    <w:rsid w:val="00836B35"/>
    <w:rsid w:val="00837B50"/>
    <w:rsid w:val="00843BDE"/>
    <w:rsid w:val="008639DB"/>
    <w:rsid w:val="00873880"/>
    <w:rsid w:val="0089705C"/>
    <w:rsid w:val="008A6D43"/>
    <w:rsid w:val="008B491E"/>
    <w:rsid w:val="008C05D4"/>
    <w:rsid w:val="008C1A28"/>
    <w:rsid w:val="008C2E98"/>
    <w:rsid w:val="008E49BD"/>
    <w:rsid w:val="008E53E9"/>
    <w:rsid w:val="008E5771"/>
    <w:rsid w:val="008F3BDC"/>
    <w:rsid w:val="008F43B0"/>
    <w:rsid w:val="008F4ACF"/>
    <w:rsid w:val="00926A9D"/>
    <w:rsid w:val="00940B9B"/>
    <w:rsid w:val="00954F30"/>
    <w:rsid w:val="0095676E"/>
    <w:rsid w:val="00956983"/>
    <w:rsid w:val="00963CF0"/>
    <w:rsid w:val="009640D7"/>
    <w:rsid w:val="00964BB1"/>
    <w:rsid w:val="00966763"/>
    <w:rsid w:val="009775D9"/>
    <w:rsid w:val="00980D53"/>
    <w:rsid w:val="00997175"/>
    <w:rsid w:val="009A1847"/>
    <w:rsid w:val="009A54B4"/>
    <w:rsid w:val="009B062A"/>
    <w:rsid w:val="009C20E7"/>
    <w:rsid w:val="009E7C6F"/>
    <w:rsid w:val="009F1793"/>
    <w:rsid w:val="009F2AA2"/>
    <w:rsid w:val="009F2D23"/>
    <w:rsid w:val="00A0017D"/>
    <w:rsid w:val="00A01D69"/>
    <w:rsid w:val="00A02335"/>
    <w:rsid w:val="00A026CE"/>
    <w:rsid w:val="00A072C0"/>
    <w:rsid w:val="00A10845"/>
    <w:rsid w:val="00A2103E"/>
    <w:rsid w:val="00A26CAB"/>
    <w:rsid w:val="00A30245"/>
    <w:rsid w:val="00A45623"/>
    <w:rsid w:val="00A46C9A"/>
    <w:rsid w:val="00A619F3"/>
    <w:rsid w:val="00A62A73"/>
    <w:rsid w:val="00A67800"/>
    <w:rsid w:val="00A80217"/>
    <w:rsid w:val="00A87FF6"/>
    <w:rsid w:val="00AA0A3B"/>
    <w:rsid w:val="00AA2763"/>
    <w:rsid w:val="00AA33B6"/>
    <w:rsid w:val="00AA7909"/>
    <w:rsid w:val="00AB50CA"/>
    <w:rsid w:val="00AB6D64"/>
    <w:rsid w:val="00AC4BB2"/>
    <w:rsid w:val="00AC53CE"/>
    <w:rsid w:val="00AD01A5"/>
    <w:rsid w:val="00AD2193"/>
    <w:rsid w:val="00AD62CF"/>
    <w:rsid w:val="00AF2AC7"/>
    <w:rsid w:val="00AF4064"/>
    <w:rsid w:val="00AF74CE"/>
    <w:rsid w:val="00B208DB"/>
    <w:rsid w:val="00B232D5"/>
    <w:rsid w:val="00B23F69"/>
    <w:rsid w:val="00B408AC"/>
    <w:rsid w:val="00B4502B"/>
    <w:rsid w:val="00B45FC0"/>
    <w:rsid w:val="00B60619"/>
    <w:rsid w:val="00B662EE"/>
    <w:rsid w:val="00B66A70"/>
    <w:rsid w:val="00B66BE0"/>
    <w:rsid w:val="00B67366"/>
    <w:rsid w:val="00B708FD"/>
    <w:rsid w:val="00B80EE1"/>
    <w:rsid w:val="00B84135"/>
    <w:rsid w:val="00BA52C5"/>
    <w:rsid w:val="00BC40A7"/>
    <w:rsid w:val="00BD46B4"/>
    <w:rsid w:val="00C0017A"/>
    <w:rsid w:val="00C04D34"/>
    <w:rsid w:val="00C05DF8"/>
    <w:rsid w:val="00C06864"/>
    <w:rsid w:val="00C10B32"/>
    <w:rsid w:val="00C10F54"/>
    <w:rsid w:val="00C11935"/>
    <w:rsid w:val="00C21CF1"/>
    <w:rsid w:val="00C233FD"/>
    <w:rsid w:val="00C23D8D"/>
    <w:rsid w:val="00C251AC"/>
    <w:rsid w:val="00C36107"/>
    <w:rsid w:val="00C37AA3"/>
    <w:rsid w:val="00C37FD7"/>
    <w:rsid w:val="00C43419"/>
    <w:rsid w:val="00C44CF3"/>
    <w:rsid w:val="00C44D47"/>
    <w:rsid w:val="00C54595"/>
    <w:rsid w:val="00C55705"/>
    <w:rsid w:val="00C61BE0"/>
    <w:rsid w:val="00C70B0E"/>
    <w:rsid w:val="00C773CA"/>
    <w:rsid w:val="00C83785"/>
    <w:rsid w:val="00C926F9"/>
    <w:rsid w:val="00C94C0D"/>
    <w:rsid w:val="00CA0400"/>
    <w:rsid w:val="00CA1FEB"/>
    <w:rsid w:val="00CA78C3"/>
    <w:rsid w:val="00CA7D42"/>
    <w:rsid w:val="00CD2312"/>
    <w:rsid w:val="00CD4F85"/>
    <w:rsid w:val="00CD6F02"/>
    <w:rsid w:val="00CE246D"/>
    <w:rsid w:val="00CE48FF"/>
    <w:rsid w:val="00CF07A0"/>
    <w:rsid w:val="00CF3E03"/>
    <w:rsid w:val="00D0082A"/>
    <w:rsid w:val="00D0512A"/>
    <w:rsid w:val="00D11644"/>
    <w:rsid w:val="00D21455"/>
    <w:rsid w:val="00D30E7D"/>
    <w:rsid w:val="00D47634"/>
    <w:rsid w:val="00D60803"/>
    <w:rsid w:val="00D709B3"/>
    <w:rsid w:val="00D856BA"/>
    <w:rsid w:val="00D944EF"/>
    <w:rsid w:val="00DA2ED6"/>
    <w:rsid w:val="00DA5EF0"/>
    <w:rsid w:val="00DB3123"/>
    <w:rsid w:val="00DB76B8"/>
    <w:rsid w:val="00DC2EA1"/>
    <w:rsid w:val="00DD0799"/>
    <w:rsid w:val="00DD6AAF"/>
    <w:rsid w:val="00DE3F5C"/>
    <w:rsid w:val="00DF1D20"/>
    <w:rsid w:val="00DF70F8"/>
    <w:rsid w:val="00E0164E"/>
    <w:rsid w:val="00E04BE4"/>
    <w:rsid w:val="00E07798"/>
    <w:rsid w:val="00E12644"/>
    <w:rsid w:val="00E21324"/>
    <w:rsid w:val="00E23B6B"/>
    <w:rsid w:val="00E246B9"/>
    <w:rsid w:val="00E31FEA"/>
    <w:rsid w:val="00E45169"/>
    <w:rsid w:val="00E47787"/>
    <w:rsid w:val="00E51C30"/>
    <w:rsid w:val="00E64180"/>
    <w:rsid w:val="00E6735D"/>
    <w:rsid w:val="00E74AEE"/>
    <w:rsid w:val="00E77ACC"/>
    <w:rsid w:val="00E84045"/>
    <w:rsid w:val="00E868E5"/>
    <w:rsid w:val="00E9237A"/>
    <w:rsid w:val="00E939FA"/>
    <w:rsid w:val="00EA2EB8"/>
    <w:rsid w:val="00EA5765"/>
    <w:rsid w:val="00EB3A50"/>
    <w:rsid w:val="00EC2532"/>
    <w:rsid w:val="00ED7812"/>
    <w:rsid w:val="00EF05A7"/>
    <w:rsid w:val="00EF0DCC"/>
    <w:rsid w:val="00EF3B86"/>
    <w:rsid w:val="00EF571C"/>
    <w:rsid w:val="00EF7C8E"/>
    <w:rsid w:val="00F317E9"/>
    <w:rsid w:val="00F34554"/>
    <w:rsid w:val="00F44BED"/>
    <w:rsid w:val="00F45F77"/>
    <w:rsid w:val="00F5167F"/>
    <w:rsid w:val="00F52258"/>
    <w:rsid w:val="00F57B71"/>
    <w:rsid w:val="00F72491"/>
    <w:rsid w:val="00F8015A"/>
    <w:rsid w:val="00F8570A"/>
    <w:rsid w:val="00F91C7B"/>
    <w:rsid w:val="00F965FF"/>
    <w:rsid w:val="00FE1F5B"/>
    <w:rsid w:val="00FE51A7"/>
    <w:rsid w:val="00FF0C1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0B2A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E87"/>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aliases w:val="Comment Text Char1 Char,Comment Text Char Char Char,Comment Text Char1,Annotationtext,Comment Text Char Char,Comment Text Char Char1"/>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aliases w:val="Comment Text Char1 Char Char,Comment Text Char Char Char Char,Comment Text Char1 Char1,Annotationtext Char,Comment Text Char Char Char1,Comment Text Char Char1 Char"/>
    <w:link w:val="CommentText"/>
    <w:rsid w:val="008A6D43"/>
    <w:rPr>
      <w:lang w:val="en-US" w:eastAsia="en-US"/>
    </w:rPr>
  </w:style>
  <w:style w:type="table" w:styleId="TableGrid">
    <w:name w:val="Table Grid"/>
    <w:basedOn w:val="TableNormal"/>
    <w:rsid w:val="0082654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Graphic,Graphic Char Char,Graphic Char Char Char Char Char,Graphic Char Char Char Char Char Char Char C,notic,Text_10394,non tochic,Italic,graphics,本文,JP Body Text,Body Text1,Body Text11,Body Text111,Body Text1111,??,Body Text11111,本文1,Body Text2"/>
    <w:basedOn w:val="Normal"/>
    <w:link w:val="TextChar"/>
    <w:qFormat/>
    <w:rsid w:val="0082654D"/>
    <w:pPr>
      <w:spacing w:before="120"/>
      <w:jc w:val="both"/>
    </w:pPr>
    <w:rPr>
      <w:rFonts w:eastAsia="MS Mincho"/>
      <w:szCs w:val="20"/>
      <w:lang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82654D"/>
    <w:rPr>
      <w:rFonts w:eastAsia="MS Mincho"/>
      <w:sz w:val="24"/>
      <w:lang w:val="en-US" w:eastAsia="zh-CN"/>
    </w:rPr>
  </w:style>
  <w:style w:type="character" w:customStyle="1" w:styleId="normaltextrun1">
    <w:name w:val="normaltextrun1"/>
    <w:rsid w:val="0082654D"/>
  </w:style>
  <w:style w:type="paragraph" w:customStyle="1" w:styleId="Table">
    <w:name w:val="Table"/>
    <w:aliases w:val="10 pt  Bold,9 pt,10 pt,9pt,Table + (Latin) Courier New,Before:  0 pt,After:  0 pt,Comment + (Latin) Courier New,Not Italic,Auto,Table pt,table text 10 pt + Arial,Bold,Normal + (Latin) Arial,(Complex) Arial,legendpt,Normal + Courier New,Courier New"/>
    <w:basedOn w:val="Normal"/>
    <w:link w:val="TableChar"/>
    <w:qFormat/>
    <w:rsid w:val="0082654D"/>
    <w:pPr>
      <w:keepLines/>
      <w:tabs>
        <w:tab w:val="left" w:pos="284"/>
      </w:tabs>
      <w:spacing w:before="40" w:after="20"/>
    </w:pPr>
    <w:rPr>
      <w:rFonts w:ascii="Arial" w:eastAsia="MS Mincho" w:hAnsi="Arial" w:cs="Arial"/>
      <w:sz w:val="20"/>
      <w:lang w:eastAsia="zh-CN"/>
    </w:rPr>
  </w:style>
  <w:style w:type="character" w:customStyle="1" w:styleId="TableChar">
    <w:name w:val="Table Char"/>
    <w:aliases w:val="10 pt  Bold Char,9 pt Char,10 pt Char,Normal + Courier New Char,Italic Char,Justified Char,Left:  0&quot; Char,Hanging:  0.67&quot; Char,Be... Char,Table pt Char,table text 10 pt + Arial Char,Bold Char,Normal + (Latin) Arial Char,9 Char,8 pt Char"/>
    <w:link w:val="Table"/>
    <w:rsid w:val="0082654D"/>
    <w:rPr>
      <w:rFonts w:ascii="Arial" w:eastAsia="MS Mincho" w:hAnsi="Arial" w:cs="Arial"/>
      <w:szCs w:val="24"/>
      <w:lang w:val="en-US" w:eastAsia="zh-CN"/>
    </w:rPr>
  </w:style>
  <w:style w:type="character" w:customStyle="1" w:styleId="HeaderChar">
    <w:name w:val="Header Char"/>
    <w:link w:val="Header"/>
    <w:rsid w:val="00C10B32"/>
    <w:rPr>
      <w:sz w:val="24"/>
      <w:szCs w:val="24"/>
      <w:lang w:val="en-US" w:eastAsia="en-US"/>
    </w:rPr>
  </w:style>
  <w:style w:type="character" w:styleId="Hyperlink">
    <w:name w:val="Hyperlink"/>
    <w:basedOn w:val="DefaultParagraphFont"/>
    <w:rsid w:val="00F57B71"/>
    <w:rPr>
      <w:color w:val="0563C1" w:themeColor="hyperlink"/>
      <w:u w:val="single"/>
    </w:rPr>
  </w:style>
  <w:style w:type="paragraph" w:styleId="ListParagraph">
    <w:name w:val="List Paragraph"/>
    <w:basedOn w:val="Normal"/>
    <w:uiPriority w:val="34"/>
    <w:qFormat/>
    <w:rsid w:val="000E055A"/>
    <w:pPr>
      <w:ind w:left="720"/>
      <w:contextualSpacing/>
    </w:pPr>
  </w:style>
  <w:style w:type="paragraph" w:styleId="Revision">
    <w:name w:val="Revision"/>
    <w:hidden/>
    <w:uiPriority w:val="99"/>
    <w:semiHidden/>
    <w:rsid w:val="003D077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6633-18DE-4BC5-8783-6AC2DB72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10406</Words>
  <Characters>59319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69586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Nađa Mugoša</cp:lastModifiedBy>
  <cp:revision>9</cp:revision>
  <dcterms:created xsi:type="dcterms:W3CDTF">2025-04-30T07:56:00Z</dcterms:created>
  <dcterms:modified xsi:type="dcterms:W3CDTF">2025-07-28T08:28:00Z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2021-08-09T09:08:11Z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8c566fa4-65bc-461a-a460-c82db8b8bdb0</vt:lpwstr>
  </property>
  <property fmtid="{D5CDD505-2E9C-101B-9397-08002B2CF9AE}" pid="9" name="MSIP_Label_4929bff8-5b33-42aa-95d2-28f72e792cb0_ContentBits">
    <vt:lpwstr>0</vt:lpwstr>
  </property>
</Properties>
</file>